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968967">
      <w:pPr>
        <w:pStyle w:val="34"/>
        <w:shd w:val="clear"/>
        <w:ind w:left="0" w:leftChars="0" w:firstLineChars="0"/>
        <w:jc w:val="center"/>
        <w:rPr>
          <w:rFonts w:ascii="新宋体" w:hAnsi="新宋体" w:eastAsia="新宋体"/>
          <w:b/>
          <w:color w:val="auto"/>
          <w:sz w:val="44"/>
          <w:szCs w:val="44"/>
          <w:highlight w:val="none"/>
        </w:rPr>
      </w:pPr>
      <w:bookmarkStart w:id="0" w:name="OLE_LINK1"/>
    </w:p>
    <w:p w14:paraId="0F02CA9C">
      <w:pPr>
        <w:shd w:val="clear"/>
        <w:spacing w:beforeLines="100" w:afterLines="100" w:line="840" w:lineRule="exact"/>
        <w:jc w:val="center"/>
        <w:rPr>
          <w:rFonts w:hint="eastAsia" w:ascii="新宋体" w:hAnsi="新宋体" w:eastAsia="新宋体"/>
          <w:b/>
          <w:color w:val="auto"/>
          <w:sz w:val="44"/>
          <w:szCs w:val="44"/>
          <w:highlight w:val="none"/>
          <w:lang w:val="en-US" w:eastAsia="zh-CN"/>
        </w:rPr>
      </w:pPr>
      <w:r>
        <w:rPr>
          <w:rFonts w:hint="eastAsia" w:eastAsia="方正小标宋简体" w:cs="Times New Roman"/>
          <w:color w:val="auto"/>
          <w:sz w:val="44"/>
          <w:szCs w:val="44"/>
          <w:highlight w:val="none"/>
          <w:lang w:val="en-US" w:eastAsia="zh-CN"/>
        </w:rPr>
        <w:t xml:space="preserve"> 2026年中国国际皮划艇马拉松公开赛（安徽·滁州站）赛事服务项目</w:t>
      </w:r>
    </w:p>
    <w:p w14:paraId="1B798401">
      <w:pPr>
        <w:shd w:val="clear"/>
        <w:spacing w:beforeLines="50" w:afterLines="50"/>
        <w:ind w:left="-850" w:leftChars="-405" w:right="-625"/>
        <w:jc w:val="center"/>
        <w:rPr>
          <w:rFonts w:ascii="宋体" w:hAnsi="宋体"/>
          <w:color w:val="auto"/>
          <w:sz w:val="40"/>
          <w:szCs w:val="36"/>
          <w:highlight w:val="none"/>
        </w:rPr>
      </w:pPr>
      <w:r>
        <w:rPr>
          <w:rFonts w:hint="eastAsia" w:ascii="宋体" w:hAnsi="宋体"/>
          <w:color w:val="auto"/>
          <w:sz w:val="40"/>
          <w:szCs w:val="36"/>
          <w:highlight w:val="none"/>
        </w:rPr>
        <w:t>（电子招标投标）</w:t>
      </w:r>
    </w:p>
    <w:p w14:paraId="4F5A90E1">
      <w:pPr>
        <w:pStyle w:val="34"/>
        <w:shd w:val="clear"/>
        <w:ind w:left="0" w:leftChars="0" w:firstLine="2880" w:firstLineChars="1200"/>
        <w:rPr>
          <w:rFonts w:hint="eastAsia"/>
          <w:color w:val="auto"/>
          <w:sz w:val="24"/>
          <w:highlight w:val="none"/>
        </w:rPr>
      </w:pPr>
    </w:p>
    <w:p w14:paraId="21DC0F54">
      <w:pPr>
        <w:pStyle w:val="34"/>
        <w:shd w:val="clear"/>
        <w:ind w:left="0" w:leftChars="0" w:firstLine="2880" w:firstLineChars="1200"/>
        <w:rPr>
          <w:rFonts w:hint="default"/>
          <w:color w:val="auto"/>
          <w:sz w:val="24"/>
          <w:highlight w:val="none"/>
          <w:lang w:val="en-US"/>
        </w:rPr>
      </w:pPr>
      <w:r>
        <w:rPr>
          <w:rFonts w:hint="eastAsia"/>
          <w:color w:val="auto"/>
          <w:sz w:val="24"/>
          <w:highlight w:val="none"/>
        </w:rPr>
        <w:t>项目编号：czsjqt202608-009</w:t>
      </w:r>
    </w:p>
    <w:p w14:paraId="179EFCC0">
      <w:pPr>
        <w:pStyle w:val="34"/>
        <w:shd w:val="clear"/>
        <w:ind w:left="0" w:leftChars="0" w:firstLine="2880" w:firstLineChars="1200"/>
        <w:rPr>
          <w:rFonts w:hint="eastAsia" w:eastAsia="宋体"/>
          <w:color w:val="auto"/>
          <w:sz w:val="24"/>
          <w:highlight w:val="none"/>
          <w:lang w:val="en-US" w:eastAsia="zh-CN"/>
        </w:rPr>
      </w:pPr>
      <w:r>
        <w:rPr>
          <w:rFonts w:hint="eastAsia"/>
          <w:color w:val="auto"/>
          <w:sz w:val="24"/>
          <w:highlight w:val="none"/>
          <w:lang w:val="en-US" w:eastAsia="zh-CN"/>
        </w:rPr>
        <w:t xml:space="preserve">  </w:t>
      </w:r>
    </w:p>
    <w:p w14:paraId="0EB0CBD0">
      <w:pPr>
        <w:pStyle w:val="54"/>
        <w:shd w:val="clear"/>
        <w:ind w:firstLine="0" w:firstLineChars="0"/>
        <w:rPr>
          <w:color w:val="auto"/>
          <w:highlight w:val="none"/>
        </w:rPr>
      </w:pPr>
    </w:p>
    <w:p w14:paraId="52AA32CA">
      <w:pPr>
        <w:pStyle w:val="54"/>
        <w:shd w:val="clear"/>
        <w:ind w:firstLine="480"/>
        <w:rPr>
          <w:color w:val="auto"/>
          <w:highlight w:val="none"/>
        </w:rPr>
      </w:pPr>
    </w:p>
    <w:p w14:paraId="68787B14">
      <w:pPr>
        <w:shd w:val="clear"/>
        <w:rPr>
          <w:rFonts w:ascii="宋体"/>
          <w:bCs/>
          <w:color w:val="auto"/>
          <w:szCs w:val="21"/>
          <w:highlight w:val="none"/>
        </w:rPr>
      </w:pPr>
    </w:p>
    <w:p w14:paraId="70D1C16A">
      <w:pPr>
        <w:shd w:val="clear"/>
        <w:spacing w:line="312" w:lineRule="auto"/>
        <w:jc w:val="center"/>
        <w:rPr>
          <w:rFonts w:ascii="宋体" w:hAnsi="宋体"/>
          <w:b/>
          <w:color w:val="auto"/>
          <w:sz w:val="84"/>
          <w:szCs w:val="84"/>
          <w:highlight w:val="none"/>
        </w:rPr>
      </w:pPr>
      <w:r>
        <w:rPr>
          <w:rFonts w:hint="eastAsia" w:ascii="宋体" w:hAnsi="宋体"/>
          <w:b/>
          <w:color w:val="auto"/>
          <w:sz w:val="84"/>
          <w:szCs w:val="84"/>
          <w:highlight w:val="none"/>
        </w:rPr>
        <w:t>招 标 文 件</w:t>
      </w:r>
    </w:p>
    <w:p w14:paraId="7033419E">
      <w:pPr>
        <w:shd w:val="clear"/>
        <w:rPr>
          <w:rFonts w:ascii="宋体"/>
          <w:bCs/>
          <w:color w:val="auto"/>
          <w:szCs w:val="21"/>
          <w:highlight w:val="none"/>
        </w:rPr>
      </w:pPr>
    </w:p>
    <w:p w14:paraId="2F28F6ED">
      <w:pPr>
        <w:shd w:val="clear"/>
        <w:rPr>
          <w:rFonts w:ascii="宋体" w:hAnsi="宋体"/>
          <w:b/>
          <w:color w:val="auto"/>
          <w:sz w:val="84"/>
          <w:szCs w:val="84"/>
          <w:highlight w:val="none"/>
        </w:rPr>
      </w:pPr>
      <w:r>
        <w:rPr>
          <w:rFonts w:hint="eastAsia" w:ascii="宋体" w:hAnsi="宋体"/>
          <w:b/>
          <w:color w:val="auto"/>
          <w:sz w:val="84"/>
          <w:szCs w:val="84"/>
          <w:highlight w:val="none"/>
        </w:rPr>
        <w:t xml:space="preserve"> </w:t>
      </w:r>
    </w:p>
    <w:p w14:paraId="58A751C8">
      <w:pPr>
        <w:shd w:val="clear"/>
        <w:spacing w:beforeLines="100" w:afterLines="100" w:line="360" w:lineRule="auto"/>
        <w:jc w:val="left"/>
        <w:rPr>
          <w:rFonts w:ascii="宋体"/>
          <w:b/>
          <w:color w:val="auto"/>
          <w:sz w:val="32"/>
          <w:szCs w:val="32"/>
          <w:highlight w:val="none"/>
        </w:rPr>
      </w:pPr>
    </w:p>
    <w:p w14:paraId="289CD838">
      <w:pPr>
        <w:pStyle w:val="34"/>
        <w:shd w:val="clear"/>
        <w:ind w:firstLine="400"/>
        <w:rPr>
          <w:color w:val="auto"/>
          <w:highlight w:val="none"/>
        </w:rPr>
      </w:pPr>
    </w:p>
    <w:p w14:paraId="032BC327">
      <w:pPr>
        <w:keepNext w:val="0"/>
        <w:keepLines w:val="0"/>
        <w:widowControl/>
        <w:suppressLineNumbers w:val="0"/>
        <w:jc w:val="left"/>
        <w:rPr>
          <w:rFonts w:ascii="宋体"/>
          <w:b/>
          <w:color w:val="auto"/>
          <w:sz w:val="32"/>
          <w:szCs w:val="32"/>
          <w:highlight w:val="none"/>
        </w:rPr>
      </w:pPr>
      <w:r>
        <w:rPr>
          <w:rFonts w:hint="eastAsia" w:ascii="宋体"/>
          <w:b/>
          <w:color w:val="auto"/>
          <w:sz w:val="32"/>
          <w:szCs w:val="32"/>
          <w:highlight w:val="none"/>
        </w:rPr>
        <w:t>招</w:t>
      </w: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标</w:t>
      </w: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人：</w:t>
      </w:r>
      <w:r>
        <w:rPr>
          <w:rFonts w:hint="eastAsia" w:ascii="宋体"/>
          <w:b/>
          <w:color w:val="auto"/>
          <w:sz w:val="32"/>
          <w:szCs w:val="32"/>
          <w:highlight w:val="none"/>
          <w:u w:val="single"/>
        </w:rPr>
        <w:t xml:space="preserve"> </w:t>
      </w:r>
      <w:r>
        <w:rPr>
          <w:rFonts w:hint="eastAsia" w:ascii="宋体"/>
          <w:b/>
          <w:color w:val="auto"/>
          <w:sz w:val="32"/>
          <w:szCs w:val="32"/>
          <w:highlight w:val="none"/>
          <w:u w:val="single"/>
          <w:lang w:val="en-US" w:eastAsia="zh-CN"/>
        </w:rPr>
        <w:t xml:space="preserve">    滁州市琅狮文旅发展有限公司</w:t>
      </w:r>
      <w:r>
        <w:rPr>
          <w:rFonts w:hint="eastAsia" w:ascii="宋体"/>
          <w:b/>
          <w:color w:val="auto"/>
          <w:sz w:val="32"/>
          <w:szCs w:val="32"/>
          <w:highlight w:val="none"/>
          <w:u w:val="single"/>
        </w:rPr>
        <w:t xml:space="preserve"> </w:t>
      </w:r>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u w:val="single"/>
        </w:rPr>
        <w:t xml:space="preserve"> </w:t>
      </w:r>
      <w:r>
        <w:rPr>
          <w:rFonts w:hint="eastAsia" w:ascii="宋体"/>
          <w:b/>
          <w:color w:val="auto"/>
          <w:sz w:val="32"/>
          <w:szCs w:val="32"/>
          <w:highlight w:val="none"/>
        </w:rPr>
        <w:t>（盖单位章）</w:t>
      </w:r>
    </w:p>
    <w:p w14:paraId="44A980C8">
      <w:pPr>
        <w:shd w:val="clear"/>
        <w:spacing w:beforeLines="100" w:afterLines="100" w:line="480" w:lineRule="auto"/>
        <w:rPr>
          <w:rFonts w:ascii="宋体"/>
          <w:b/>
          <w:color w:val="auto"/>
          <w:sz w:val="32"/>
          <w:szCs w:val="32"/>
          <w:highlight w:val="none"/>
          <w:u w:val="single"/>
        </w:rPr>
      </w:pPr>
      <w:r>
        <w:rPr>
          <w:rFonts w:hint="eastAsia" w:ascii="宋体"/>
          <w:b/>
          <w:color w:val="auto"/>
          <w:sz w:val="32"/>
          <w:szCs w:val="32"/>
          <w:highlight w:val="none"/>
        </w:rPr>
        <w:t>代理机构：</w:t>
      </w:r>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u w:val="single"/>
        </w:rPr>
        <w:t>滁州市城投工程咨询管理有限公司</w:t>
      </w:r>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rPr>
        <w:t>（盖单位章）</w:t>
      </w:r>
    </w:p>
    <w:p w14:paraId="638AFC35">
      <w:pPr>
        <w:shd w:val="clear"/>
        <w:spacing w:beforeLines="100" w:afterLines="100" w:line="480" w:lineRule="auto"/>
        <w:jc w:val="center"/>
        <w:rPr>
          <w:rFonts w:ascii="宋体"/>
          <w:b/>
          <w:color w:val="auto"/>
          <w:sz w:val="32"/>
          <w:szCs w:val="32"/>
          <w:highlight w:val="none"/>
        </w:rPr>
      </w:pPr>
      <w:r>
        <w:rPr>
          <w:rFonts w:hint="eastAsia" w:ascii="宋体"/>
          <w:b/>
          <w:color w:val="auto"/>
          <w:sz w:val="32"/>
          <w:szCs w:val="32"/>
          <w:highlight w:val="none"/>
          <w:u w:val="single"/>
        </w:rPr>
        <w:t>202</w:t>
      </w:r>
      <w:r>
        <w:rPr>
          <w:rFonts w:hint="eastAsia" w:ascii="宋体"/>
          <w:b/>
          <w:color w:val="auto"/>
          <w:sz w:val="32"/>
          <w:szCs w:val="32"/>
          <w:highlight w:val="none"/>
          <w:u w:val="single"/>
          <w:lang w:val="en-US" w:eastAsia="zh-CN"/>
        </w:rPr>
        <w:t>6</w:t>
      </w:r>
      <w:r>
        <w:rPr>
          <w:rFonts w:hint="eastAsia" w:ascii="宋体"/>
          <w:b/>
          <w:color w:val="auto"/>
          <w:sz w:val="32"/>
          <w:szCs w:val="32"/>
          <w:highlight w:val="none"/>
        </w:rPr>
        <w:t>年</w:t>
      </w:r>
      <w:r>
        <w:rPr>
          <w:rFonts w:hint="eastAsia" w:ascii="宋体"/>
          <w:b/>
          <w:color w:val="auto"/>
          <w:sz w:val="32"/>
          <w:szCs w:val="32"/>
          <w:highlight w:val="none"/>
          <w:u w:val="single"/>
          <w:lang w:val="en-US" w:eastAsia="zh-CN"/>
        </w:rPr>
        <w:t xml:space="preserve"> 8 </w:t>
      </w:r>
      <w:r>
        <w:rPr>
          <w:rFonts w:hint="eastAsia" w:ascii="宋体"/>
          <w:b/>
          <w:color w:val="auto"/>
          <w:sz w:val="32"/>
          <w:szCs w:val="32"/>
          <w:highlight w:val="none"/>
        </w:rPr>
        <w:t>月</w:t>
      </w:r>
    </w:p>
    <w:p w14:paraId="4CB6D157">
      <w:pPr>
        <w:shd w:val="clear"/>
        <w:spacing w:line="360" w:lineRule="exact"/>
        <w:rPr>
          <w:b/>
          <w:color w:val="auto"/>
          <w:sz w:val="36"/>
          <w:highlight w:val="none"/>
        </w:rPr>
      </w:pPr>
    </w:p>
    <w:p w14:paraId="3213DC9A">
      <w:pPr>
        <w:pStyle w:val="16"/>
        <w:shd w:val="clear"/>
        <w:ind w:left="0" w:leftChars="0"/>
        <w:rPr>
          <w:color w:val="auto"/>
          <w:highlight w:val="none"/>
        </w:rPr>
      </w:pPr>
    </w:p>
    <w:p w14:paraId="5E457507">
      <w:pPr>
        <w:pStyle w:val="17"/>
        <w:shd w:val="clear"/>
        <w:rPr>
          <w:color w:val="auto"/>
          <w:highlight w:val="none"/>
        </w:rPr>
      </w:pPr>
    </w:p>
    <w:p w14:paraId="068DA86A">
      <w:pPr>
        <w:shd w:val="clear"/>
        <w:spacing w:line="360" w:lineRule="exact"/>
        <w:jc w:val="center"/>
        <w:rPr>
          <w:b/>
          <w:color w:val="auto"/>
          <w:sz w:val="36"/>
          <w:highlight w:val="none"/>
        </w:rPr>
      </w:pPr>
    </w:p>
    <w:p w14:paraId="41AC21CE">
      <w:pPr>
        <w:shd w:val="clear"/>
        <w:spacing w:line="360" w:lineRule="auto"/>
        <w:jc w:val="center"/>
        <w:rPr>
          <w:b/>
          <w:color w:val="auto"/>
          <w:sz w:val="44"/>
          <w:szCs w:val="32"/>
          <w:highlight w:val="none"/>
        </w:rPr>
      </w:pPr>
      <w:r>
        <w:rPr>
          <w:rFonts w:hint="eastAsia"/>
          <w:b/>
          <w:color w:val="auto"/>
          <w:sz w:val="44"/>
          <w:szCs w:val="32"/>
          <w:highlight w:val="none"/>
        </w:rPr>
        <w:t>目  录</w:t>
      </w:r>
    </w:p>
    <w:p w14:paraId="0421470E">
      <w:pPr>
        <w:shd w:val="clear"/>
        <w:spacing w:line="720" w:lineRule="auto"/>
        <w:jc w:val="center"/>
        <w:rPr>
          <w:b/>
          <w:color w:val="auto"/>
          <w:sz w:val="36"/>
          <w:highlight w:val="none"/>
        </w:rPr>
      </w:pPr>
    </w:p>
    <w:p w14:paraId="302A5B80">
      <w:pPr>
        <w:pStyle w:val="24"/>
        <w:keepNext w:val="0"/>
        <w:keepLines w:val="0"/>
        <w:pageBreakBefore w:val="0"/>
        <w:widowControl w:val="0"/>
        <w:tabs>
          <w:tab w:val="right" w:leader="dot" w:pos="9411"/>
        </w:tabs>
        <w:kinsoku/>
        <w:wordWrap/>
        <w:overflowPunct/>
        <w:topLinePunct w:val="0"/>
        <w:autoSpaceDE/>
        <w:autoSpaceDN/>
        <w:bidi w:val="0"/>
        <w:spacing w:line="600" w:lineRule="exact"/>
        <w:textAlignment w:val="auto"/>
        <w:rPr>
          <w:color w:val="auto"/>
          <w:sz w:val="32"/>
          <w:szCs w:val="32"/>
          <w:highlight w:val="none"/>
        </w:rPr>
      </w:pP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TOC \o "1-3" \h \z \u </w:instrText>
      </w:r>
      <w:r>
        <w:rPr>
          <w:rFonts w:hint="eastAsia" w:ascii="宋体" w:hAnsi="宋体" w:cs="宋体"/>
          <w:color w:val="auto"/>
          <w:sz w:val="32"/>
          <w:szCs w:val="32"/>
          <w:highlight w:val="none"/>
        </w:rPr>
        <w:fldChar w:fldCharType="separate"/>
      </w:r>
      <w:r>
        <w:rPr>
          <w:rFonts w:hint="eastAsia"/>
          <w:color w:val="auto"/>
          <w:sz w:val="32"/>
          <w:szCs w:val="32"/>
          <w:highlight w:val="none"/>
        </w:rPr>
        <w:fldChar w:fldCharType="begin"/>
      </w:r>
      <w:r>
        <w:rPr>
          <w:rFonts w:hint="eastAsia"/>
          <w:color w:val="auto"/>
          <w:sz w:val="32"/>
          <w:szCs w:val="32"/>
          <w:highlight w:val="none"/>
        </w:rPr>
        <w:instrText xml:space="preserve"> HYPERLINK \l _Toc26072 </w:instrText>
      </w:r>
      <w:r>
        <w:rPr>
          <w:rFonts w:hint="eastAsia"/>
          <w:color w:val="auto"/>
          <w:sz w:val="32"/>
          <w:szCs w:val="32"/>
          <w:highlight w:val="none"/>
        </w:rPr>
        <w:fldChar w:fldCharType="separate"/>
      </w:r>
      <w:r>
        <w:rPr>
          <w:rFonts w:hint="eastAsia"/>
          <w:color w:val="auto"/>
          <w:sz w:val="32"/>
          <w:szCs w:val="32"/>
          <w:highlight w:val="none"/>
        </w:rPr>
        <w:t>第一章 招标公告</w:t>
      </w:r>
      <w:r>
        <w:rPr>
          <w:rFonts w:hint="eastAsia"/>
          <w:color w:val="auto"/>
          <w:sz w:val="32"/>
          <w:szCs w:val="32"/>
          <w:highlight w:val="none"/>
        </w:rPr>
        <w:tab/>
      </w:r>
      <w:r>
        <w:rPr>
          <w:rFonts w:hint="eastAsia"/>
          <w:color w:val="auto"/>
          <w:sz w:val="32"/>
          <w:szCs w:val="32"/>
          <w:highlight w:val="none"/>
        </w:rPr>
        <w:fldChar w:fldCharType="begin"/>
      </w:r>
      <w:r>
        <w:rPr>
          <w:rFonts w:hint="eastAsia"/>
          <w:color w:val="auto"/>
          <w:sz w:val="32"/>
          <w:szCs w:val="32"/>
          <w:highlight w:val="none"/>
        </w:rPr>
        <w:instrText xml:space="preserve"> PAGEREF _Toc26072 \h </w:instrText>
      </w:r>
      <w:r>
        <w:rPr>
          <w:rFonts w:hint="eastAsia"/>
          <w:color w:val="auto"/>
          <w:sz w:val="32"/>
          <w:szCs w:val="32"/>
          <w:highlight w:val="none"/>
        </w:rPr>
        <w:fldChar w:fldCharType="separate"/>
      </w:r>
      <w:r>
        <w:rPr>
          <w:rFonts w:hint="eastAsia"/>
          <w:color w:val="auto"/>
          <w:sz w:val="32"/>
          <w:szCs w:val="32"/>
          <w:highlight w:val="none"/>
        </w:rPr>
        <w:t>3</w:t>
      </w:r>
      <w:r>
        <w:rPr>
          <w:rFonts w:hint="eastAsia"/>
          <w:color w:val="auto"/>
          <w:sz w:val="32"/>
          <w:szCs w:val="32"/>
          <w:highlight w:val="none"/>
        </w:rPr>
        <w:fldChar w:fldCharType="end"/>
      </w:r>
      <w:r>
        <w:rPr>
          <w:rFonts w:hint="eastAsia"/>
          <w:color w:val="auto"/>
          <w:sz w:val="32"/>
          <w:szCs w:val="32"/>
          <w:highlight w:val="none"/>
        </w:rPr>
        <w:fldChar w:fldCharType="end"/>
      </w:r>
    </w:p>
    <w:p w14:paraId="72A74487">
      <w:pPr>
        <w:pStyle w:val="24"/>
        <w:keepNext w:val="0"/>
        <w:keepLines w:val="0"/>
        <w:pageBreakBefore w:val="0"/>
        <w:widowControl w:val="0"/>
        <w:tabs>
          <w:tab w:val="right" w:leader="dot" w:pos="9411"/>
        </w:tabs>
        <w:kinsoku/>
        <w:wordWrap/>
        <w:overflowPunct/>
        <w:topLinePunct w:val="0"/>
        <w:autoSpaceDE/>
        <w:autoSpaceDN/>
        <w:bidi w:val="0"/>
        <w:spacing w:line="600" w:lineRule="exact"/>
        <w:textAlignment w:val="auto"/>
        <w:rPr>
          <w:color w:val="auto"/>
          <w:sz w:val="32"/>
          <w:szCs w:val="32"/>
          <w:highlight w:val="none"/>
        </w:rPr>
      </w:pP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HYPERLINK \l _Toc13253 </w:instrText>
      </w:r>
      <w:r>
        <w:rPr>
          <w:rFonts w:hint="eastAsia" w:ascii="宋体" w:hAnsi="宋体" w:cs="宋体"/>
          <w:color w:val="auto"/>
          <w:sz w:val="32"/>
          <w:szCs w:val="32"/>
          <w:highlight w:val="none"/>
        </w:rPr>
        <w:fldChar w:fldCharType="separate"/>
      </w:r>
      <w:r>
        <w:rPr>
          <w:rFonts w:hint="eastAsia"/>
          <w:color w:val="auto"/>
          <w:sz w:val="32"/>
          <w:szCs w:val="32"/>
          <w:highlight w:val="none"/>
        </w:rPr>
        <w:t>第二章 投标人须知</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_Toc13253 \h </w:instrText>
      </w:r>
      <w:r>
        <w:rPr>
          <w:color w:val="auto"/>
          <w:sz w:val="32"/>
          <w:szCs w:val="32"/>
          <w:highlight w:val="none"/>
        </w:rPr>
        <w:fldChar w:fldCharType="separate"/>
      </w:r>
      <w:r>
        <w:rPr>
          <w:color w:val="auto"/>
          <w:sz w:val="32"/>
          <w:szCs w:val="32"/>
          <w:highlight w:val="none"/>
        </w:rPr>
        <w:t>8</w:t>
      </w:r>
      <w:r>
        <w:rPr>
          <w:color w:val="auto"/>
          <w:sz w:val="32"/>
          <w:szCs w:val="32"/>
          <w:highlight w:val="none"/>
        </w:rPr>
        <w:fldChar w:fldCharType="end"/>
      </w:r>
      <w:r>
        <w:rPr>
          <w:rFonts w:hint="eastAsia" w:ascii="宋体" w:hAnsi="宋体" w:cs="宋体"/>
          <w:color w:val="auto"/>
          <w:sz w:val="32"/>
          <w:szCs w:val="32"/>
          <w:highlight w:val="none"/>
        </w:rPr>
        <w:fldChar w:fldCharType="end"/>
      </w:r>
    </w:p>
    <w:p w14:paraId="2EB38766">
      <w:pPr>
        <w:pStyle w:val="24"/>
        <w:keepNext w:val="0"/>
        <w:keepLines w:val="0"/>
        <w:pageBreakBefore w:val="0"/>
        <w:widowControl w:val="0"/>
        <w:tabs>
          <w:tab w:val="right" w:leader="dot" w:pos="9411"/>
        </w:tabs>
        <w:kinsoku/>
        <w:wordWrap/>
        <w:overflowPunct/>
        <w:topLinePunct w:val="0"/>
        <w:autoSpaceDE/>
        <w:autoSpaceDN/>
        <w:bidi w:val="0"/>
        <w:spacing w:line="600" w:lineRule="exact"/>
        <w:textAlignment w:val="auto"/>
        <w:rPr>
          <w:color w:val="auto"/>
          <w:sz w:val="32"/>
          <w:szCs w:val="32"/>
          <w:highlight w:val="none"/>
        </w:rPr>
      </w:pP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HYPERLINK \l _Toc2798 </w:instrText>
      </w:r>
      <w:r>
        <w:rPr>
          <w:rFonts w:hint="eastAsia" w:ascii="宋体" w:hAnsi="宋体" w:cs="宋体"/>
          <w:color w:val="auto"/>
          <w:sz w:val="32"/>
          <w:szCs w:val="32"/>
          <w:highlight w:val="none"/>
        </w:rPr>
        <w:fldChar w:fldCharType="separate"/>
      </w:r>
      <w:r>
        <w:rPr>
          <w:rFonts w:hint="eastAsia" w:ascii="宋体"/>
          <w:bCs w:val="0"/>
          <w:color w:val="auto"/>
          <w:sz w:val="32"/>
          <w:szCs w:val="32"/>
          <w:highlight w:val="none"/>
        </w:rPr>
        <w:t>第三章 评标办法（综合评分法）</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_Toc2798 \h </w:instrText>
      </w:r>
      <w:r>
        <w:rPr>
          <w:color w:val="auto"/>
          <w:sz w:val="32"/>
          <w:szCs w:val="32"/>
          <w:highlight w:val="none"/>
        </w:rPr>
        <w:fldChar w:fldCharType="separate"/>
      </w:r>
      <w:r>
        <w:rPr>
          <w:color w:val="auto"/>
          <w:sz w:val="32"/>
          <w:szCs w:val="32"/>
          <w:highlight w:val="none"/>
        </w:rPr>
        <w:t>25</w:t>
      </w:r>
      <w:r>
        <w:rPr>
          <w:color w:val="auto"/>
          <w:sz w:val="32"/>
          <w:szCs w:val="32"/>
          <w:highlight w:val="none"/>
        </w:rPr>
        <w:fldChar w:fldCharType="end"/>
      </w:r>
      <w:r>
        <w:rPr>
          <w:rFonts w:hint="eastAsia" w:ascii="宋体" w:hAnsi="宋体" w:cs="宋体"/>
          <w:color w:val="auto"/>
          <w:sz w:val="32"/>
          <w:szCs w:val="32"/>
          <w:highlight w:val="none"/>
        </w:rPr>
        <w:fldChar w:fldCharType="end"/>
      </w:r>
    </w:p>
    <w:p w14:paraId="17161714">
      <w:pPr>
        <w:pStyle w:val="24"/>
        <w:keepNext w:val="0"/>
        <w:keepLines w:val="0"/>
        <w:pageBreakBefore w:val="0"/>
        <w:widowControl w:val="0"/>
        <w:tabs>
          <w:tab w:val="right" w:leader="dot" w:pos="9411"/>
        </w:tabs>
        <w:kinsoku/>
        <w:wordWrap/>
        <w:overflowPunct/>
        <w:topLinePunct w:val="0"/>
        <w:autoSpaceDE/>
        <w:autoSpaceDN/>
        <w:bidi w:val="0"/>
        <w:spacing w:line="600" w:lineRule="exact"/>
        <w:textAlignment w:val="auto"/>
        <w:rPr>
          <w:rFonts w:hint="eastAsia" w:ascii="宋体" w:hAnsi="宋体" w:cs="宋体"/>
          <w:color w:val="auto"/>
          <w:sz w:val="32"/>
          <w:szCs w:val="32"/>
          <w:highlight w:val="none"/>
        </w:rPr>
      </w:pP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HYPERLINK \l _Toc1606 </w:instrText>
      </w:r>
      <w:r>
        <w:rPr>
          <w:rFonts w:hint="eastAsia" w:ascii="宋体" w:hAnsi="宋体" w:cs="宋体"/>
          <w:color w:val="auto"/>
          <w:sz w:val="32"/>
          <w:szCs w:val="32"/>
          <w:highlight w:val="none"/>
        </w:rPr>
        <w:fldChar w:fldCharType="separate"/>
      </w:r>
      <w:r>
        <w:rPr>
          <w:rFonts w:hint="eastAsia" w:ascii="宋体"/>
          <w:color w:val="auto"/>
          <w:sz w:val="32"/>
          <w:szCs w:val="32"/>
          <w:highlight w:val="none"/>
        </w:rPr>
        <w:t>第四章 采购内容及服务要求</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_Toc1606 \h </w:instrText>
      </w:r>
      <w:r>
        <w:rPr>
          <w:color w:val="auto"/>
          <w:sz w:val="32"/>
          <w:szCs w:val="32"/>
          <w:highlight w:val="none"/>
        </w:rPr>
        <w:fldChar w:fldCharType="separate"/>
      </w:r>
      <w:r>
        <w:rPr>
          <w:color w:val="auto"/>
          <w:sz w:val="32"/>
          <w:szCs w:val="32"/>
          <w:highlight w:val="none"/>
        </w:rPr>
        <w:t>36</w:t>
      </w:r>
      <w:r>
        <w:rPr>
          <w:color w:val="auto"/>
          <w:sz w:val="32"/>
          <w:szCs w:val="32"/>
          <w:highlight w:val="none"/>
        </w:rPr>
        <w:fldChar w:fldCharType="end"/>
      </w:r>
      <w:r>
        <w:rPr>
          <w:rFonts w:hint="eastAsia" w:ascii="宋体" w:hAnsi="宋体" w:cs="宋体"/>
          <w:color w:val="auto"/>
          <w:sz w:val="32"/>
          <w:szCs w:val="32"/>
          <w:highlight w:val="none"/>
        </w:rPr>
        <w:fldChar w:fldCharType="end"/>
      </w:r>
    </w:p>
    <w:p w14:paraId="17DE8A2E">
      <w:pPr>
        <w:keepNext w:val="0"/>
        <w:keepLines w:val="0"/>
        <w:pageBreakBefore w:val="0"/>
        <w:widowControl w:val="0"/>
        <w:kinsoku/>
        <w:wordWrap/>
        <w:overflowPunct/>
        <w:topLinePunct w:val="0"/>
        <w:autoSpaceDE/>
        <w:autoSpaceDN/>
        <w:bidi w:val="0"/>
        <w:spacing w:line="600" w:lineRule="exact"/>
        <w:textAlignment w:val="auto"/>
        <w:rPr>
          <w:rFonts w:hint="eastAsia" w:eastAsia="宋体"/>
          <w:color w:val="auto"/>
          <w:highlight w:val="none"/>
          <w:lang w:val="en-US" w:eastAsia="zh-CN"/>
        </w:rPr>
      </w:pP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HYPERLINK \l _Toc1606 </w:instrText>
      </w:r>
      <w:r>
        <w:rPr>
          <w:rFonts w:hint="eastAsia" w:ascii="宋体" w:hAnsi="宋体" w:cs="宋体"/>
          <w:color w:val="auto"/>
          <w:sz w:val="32"/>
          <w:szCs w:val="32"/>
          <w:highlight w:val="none"/>
        </w:rPr>
        <w:fldChar w:fldCharType="separate"/>
      </w:r>
      <w:r>
        <w:rPr>
          <w:rFonts w:hint="eastAsia" w:ascii="宋体"/>
          <w:color w:val="auto"/>
          <w:sz w:val="32"/>
          <w:szCs w:val="32"/>
          <w:highlight w:val="none"/>
        </w:rPr>
        <w:t>第</w:t>
      </w:r>
      <w:r>
        <w:rPr>
          <w:rFonts w:hint="eastAsia" w:ascii="宋体"/>
          <w:color w:val="auto"/>
          <w:sz w:val="32"/>
          <w:szCs w:val="32"/>
          <w:highlight w:val="none"/>
          <w:lang w:val="en-US" w:eastAsia="zh-CN"/>
        </w:rPr>
        <w:t>五</w:t>
      </w:r>
      <w:r>
        <w:rPr>
          <w:rFonts w:hint="eastAsia" w:ascii="宋体"/>
          <w:color w:val="auto"/>
          <w:sz w:val="32"/>
          <w:szCs w:val="32"/>
          <w:highlight w:val="none"/>
        </w:rPr>
        <w:t xml:space="preserve">章 </w:t>
      </w:r>
      <w:r>
        <w:rPr>
          <w:rFonts w:hint="eastAsia" w:ascii="宋体"/>
          <w:color w:val="auto"/>
          <w:sz w:val="32"/>
          <w:szCs w:val="32"/>
          <w:highlight w:val="none"/>
          <w:lang w:val="en-US" w:eastAsia="zh-CN"/>
        </w:rPr>
        <w:t>合同条款及格式</w:t>
      </w:r>
      <w:r>
        <w:rPr>
          <w:rFonts w:hint="eastAsia"/>
          <w:color w:val="auto"/>
          <w:sz w:val="32"/>
          <w:szCs w:val="32"/>
          <w:highlight w:val="none"/>
          <w:lang w:val="en-US" w:eastAsia="zh-CN"/>
        </w:rPr>
        <w:t>.......................................................................4</w:t>
      </w:r>
      <w:r>
        <w:rPr>
          <w:rFonts w:hint="eastAsia" w:ascii="宋体" w:hAnsi="宋体" w:cs="宋体"/>
          <w:color w:val="auto"/>
          <w:sz w:val="32"/>
          <w:szCs w:val="32"/>
          <w:highlight w:val="none"/>
        </w:rPr>
        <w:fldChar w:fldCharType="end"/>
      </w:r>
      <w:r>
        <w:rPr>
          <w:rFonts w:hint="eastAsia" w:ascii="宋体" w:hAnsi="宋体" w:cs="宋体"/>
          <w:color w:val="auto"/>
          <w:sz w:val="32"/>
          <w:szCs w:val="32"/>
          <w:highlight w:val="none"/>
          <w:lang w:val="en-US" w:eastAsia="zh-CN"/>
        </w:rPr>
        <w:t>1</w:t>
      </w:r>
    </w:p>
    <w:p w14:paraId="0214606F">
      <w:pPr>
        <w:pStyle w:val="24"/>
        <w:keepNext w:val="0"/>
        <w:keepLines w:val="0"/>
        <w:pageBreakBefore w:val="0"/>
        <w:widowControl w:val="0"/>
        <w:tabs>
          <w:tab w:val="right" w:leader="dot" w:pos="9411"/>
        </w:tabs>
        <w:kinsoku/>
        <w:wordWrap/>
        <w:overflowPunct/>
        <w:topLinePunct w:val="0"/>
        <w:autoSpaceDE/>
        <w:autoSpaceDN/>
        <w:bidi w:val="0"/>
        <w:spacing w:line="600" w:lineRule="exact"/>
        <w:textAlignment w:val="auto"/>
        <w:rPr>
          <w:rFonts w:hint="eastAsia" w:eastAsia="宋体"/>
          <w:color w:val="auto"/>
          <w:sz w:val="32"/>
          <w:szCs w:val="32"/>
          <w:highlight w:val="none"/>
          <w:lang w:val="en-US" w:eastAsia="zh-CN"/>
        </w:rPr>
      </w:pP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HYPERLINK \l _Toc20961 </w:instrText>
      </w:r>
      <w:r>
        <w:rPr>
          <w:rFonts w:hint="eastAsia" w:ascii="宋体" w:hAnsi="宋体" w:cs="宋体"/>
          <w:color w:val="auto"/>
          <w:sz w:val="32"/>
          <w:szCs w:val="32"/>
          <w:highlight w:val="none"/>
        </w:rPr>
        <w:fldChar w:fldCharType="separate"/>
      </w:r>
      <w:r>
        <w:rPr>
          <w:rFonts w:hint="eastAsia"/>
          <w:color w:val="auto"/>
          <w:sz w:val="32"/>
          <w:szCs w:val="32"/>
          <w:highlight w:val="none"/>
        </w:rPr>
        <w:t>第六章 投标文件格式</w:t>
      </w:r>
      <w:r>
        <w:rPr>
          <w:rFonts w:hint="eastAsia"/>
          <w:color w:val="auto"/>
          <w:sz w:val="32"/>
          <w:szCs w:val="32"/>
          <w:highlight w:val="none"/>
          <w:lang w:val="en-US" w:eastAsia="zh-CN"/>
        </w:rPr>
        <w:t>..</w:t>
      </w:r>
      <w:r>
        <w:rPr>
          <w:color w:val="auto"/>
          <w:sz w:val="32"/>
          <w:szCs w:val="32"/>
          <w:highlight w:val="none"/>
        </w:rPr>
        <w:tab/>
      </w:r>
      <w:r>
        <w:rPr>
          <w:rFonts w:hint="eastAsia"/>
          <w:color w:val="auto"/>
          <w:sz w:val="32"/>
          <w:szCs w:val="32"/>
          <w:highlight w:val="none"/>
          <w:lang w:val="en-US" w:eastAsia="zh-CN"/>
        </w:rPr>
        <w:t>5</w:t>
      </w:r>
      <w:r>
        <w:rPr>
          <w:rFonts w:hint="eastAsia" w:ascii="宋体" w:hAnsi="宋体" w:cs="宋体"/>
          <w:color w:val="auto"/>
          <w:sz w:val="32"/>
          <w:szCs w:val="32"/>
          <w:highlight w:val="none"/>
        </w:rPr>
        <w:fldChar w:fldCharType="end"/>
      </w:r>
      <w:r>
        <w:rPr>
          <w:rFonts w:hint="eastAsia" w:ascii="宋体" w:hAnsi="宋体" w:cs="宋体"/>
          <w:color w:val="auto"/>
          <w:sz w:val="32"/>
          <w:szCs w:val="32"/>
          <w:highlight w:val="none"/>
          <w:lang w:val="en-US" w:eastAsia="zh-CN"/>
        </w:rPr>
        <w:t>6</w:t>
      </w:r>
    </w:p>
    <w:p w14:paraId="34631990">
      <w:pPr>
        <w:pStyle w:val="24"/>
        <w:keepNext w:val="0"/>
        <w:keepLines w:val="0"/>
        <w:pageBreakBefore w:val="0"/>
        <w:widowControl w:val="0"/>
        <w:tabs>
          <w:tab w:val="right" w:leader="dot" w:pos="9411"/>
        </w:tabs>
        <w:kinsoku/>
        <w:wordWrap/>
        <w:overflowPunct/>
        <w:topLinePunct w:val="0"/>
        <w:autoSpaceDE/>
        <w:autoSpaceDN/>
        <w:bidi w:val="0"/>
        <w:spacing w:line="600" w:lineRule="exact"/>
        <w:textAlignment w:val="auto"/>
        <w:rPr>
          <w:rFonts w:hint="eastAsia" w:eastAsia="宋体"/>
          <w:color w:val="auto"/>
          <w:sz w:val="32"/>
          <w:szCs w:val="32"/>
          <w:highlight w:val="none"/>
          <w:lang w:val="en-US" w:eastAsia="zh-CN"/>
        </w:rPr>
      </w:pP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HYPERLINK \l _Toc31457 </w:instrText>
      </w:r>
      <w:r>
        <w:rPr>
          <w:rFonts w:hint="eastAsia" w:ascii="宋体" w:hAnsi="宋体" w:cs="宋体"/>
          <w:color w:val="auto"/>
          <w:sz w:val="32"/>
          <w:szCs w:val="32"/>
          <w:highlight w:val="none"/>
        </w:rPr>
        <w:fldChar w:fldCharType="separate"/>
      </w:r>
      <w:r>
        <w:rPr>
          <w:rFonts w:hint="eastAsia" w:ascii="宋体"/>
          <w:color w:val="auto"/>
          <w:sz w:val="32"/>
          <w:szCs w:val="32"/>
          <w:highlight w:val="none"/>
        </w:rPr>
        <w:t xml:space="preserve">第七章 </w:t>
      </w:r>
      <w:r>
        <w:rPr>
          <w:rFonts w:hint="eastAsia" w:ascii="宋体"/>
          <w:bCs w:val="0"/>
          <w:color w:val="auto"/>
          <w:sz w:val="32"/>
          <w:szCs w:val="32"/>
          <w:highlight w:val="none"/>
        </w:rPr>
        <w:t>招标人、采购代理机构对本招标文件的确认</w:t>
      </w:r>
      <w:r>
        <w:rPr>
          <w:color w:val="auto"/>
          <w:sz w:val="32"/>
          <w:szCs w:val="32"/>
          <w:highlight w:val="none"/>
        </w:rPr>
        <w:tab/>
      </w:r>
      <w:r>
        <w:rPr>
          <w:rFonts w:hint="eastAsia"/>
          <w:color w:val="auto"/>
          <w:sz w:val="32"/>
          <w:szCs w:val="32"/>
          <w:highlight w:val="none"/>
          <w:lang w:val="en-US" w:eastAsia="zh-CN"/>
        </w:rPr>
        <w:t>6</w:t>
      </w:r>
      <w:r>
        <w:rPr>
          <w:rFonts w:hint="eastAsia" w:ascii="宋体" w:hAnsi="宋体" w:cs="宋体"/>
          <w:color w:val="auto"/>
          <w:sz w:val="32"/>
          <w:szCs w:val="32"/>
          <w:highlight w:val="none"/>
        </w:rPr>
        <w:fldChar w:fldCharType="end"/>
      </w:r>
      <w:r>
        <w:rPr>
          <w:rFonts w:hint="eastAsia" w:ascii="宋体" w:hAnsi="宋体" w:cs="宋体"/>
          <w:color w:val="auto"/>
          <w:sz w:val="32"/>
          <w:szCs w:val="32"/>
          <w:highlight w:val="none"/>
          <w:lang w:val="en-US" w:eastAsia="zh-CN"/>
        </w:rPr>
        <w:t>9</w:t>
      </w:r>
    </w:p>
    <w:p w14:paraId="29FB8797">
      <w:pPr>
        <w:pStyle w:val="24"/>
        <w:keepNext w:val="0"/>
        <w:keepLines w:val="0"/>
        <w:pageBreakBefore w:val="0"/>
        <w:widowControl w:val="0"/>
        <w:shd w:val="clear"/>
        <w:tabs>
          <w:tab w:val="right" w:leader="dot" w:pos="8296"/>
        </w:tabs>
        <w:kinsoku/>
        <w:wordWrap/>
        <w:overflowPunct/>
        <w:topLinePunct w:val="0"/>
        <w:autoSpaceDE/>
        <w:autoSpaceDN/>
        <w:bidi w:val="0"/>
        <w:adjustRightInd w:val="0"/>
        <w:snapToGrid w:val="0"/>
        <w:spacing w:line="600" w:lineRule="exact"/>
        <w:ind w:left="150" w:hanging="160" w:hangingChars="50"/>
        <w:jc w:val="center"/>
        <w:textAlignment w:val="auto"/>
        <w:rPr>
          <w:rFonts w:ascii="宋体" w:hAnsi="宋体" w:cs="宋体"/>
          <w:b/>
          <w:bCs/>
          <w:color w:val="auto"/>
          <w:sz w:val="32"/>
          <w:szCs w:val="32"/>
          <w:highlight w:val="none"/>
        </w:rPr>
        <w:sectPr>
          <w:headerReference r:id="rId3" w:type="default"/>
          <w:footerReference r:id="rId4" w:type="default"/>
          <w:pgSz w:w="11905" w:h="16838"/>
          <w:pgMar w:top="1247" w:right="1247" w:bottom="1157" w:left="1247" w:header="0" w:footer="998" w:gutter="0"/>
          <w:pgNumType w:start="1"/>
          <w:cols w:space="0" w:num="1"/>
          <w:rtlGutter w:val="0"/>
          <w:docGrid w:linePitch="312" w:charSpace="0"/>
        </w:sectPr>
      </w:pPr>
      <w:r>
        <w:rPr>
          <w:rFonts w:hint="eastAsia" w:ascii="宋体" w:hAnsi="宋体" w:cs="宋体"/>
          <w:color w:val="auto"/>
          <w:sz w:val="32"/>
          <w:szCs w:val="32"/>
          <w:highlight w:val="none"/>
        </w:rPr>
        <w:fldChar w:fldCharType="end"/>
      </w:r>
    </w:p>
    <w:p w14:paraId="30DB0F1A">
      <w:pPr>
        <w:pStyle w:val="2"/>
        <w:shd w:val="clear"/>
        <w:tabs>
          <w:tab w:val="left" w:pos="0"/>
          <w:tab w:val="left" w:pos="3165"/>
          <w:tab w:val="center" w:pos="4153"/>
        </w:tabs>
        <w:autoSpaceDE w:val="0"/>
        <w:autoSpaceDN w:val="0"/>
        <w:adjustRightInd w:val="0"/>
        <w:spacing w:before="0" w:after="0" w:line="240" w:lineRule="auto"/>
        <w:rPr>
          <w:rFonts w:ascii="黑体" w:hAnsi="黑体" w:cs="宋体"/>
          <w:b w:val="0"/>
          <w:color w:val="auto"/>
          <w:sz w:val="28"/>
          <w:szCs w:val="28"/>
          <w:highlight w:val="none"/>
        </w:rPr>
      </w:pPr>
      <w:bookmarkStart w:id="1" w:name="_Toc26072"/>
      <w:r>
        <w:rPr>
          <w:rFonts w:hint="eastAsia" w:ascii="华文中宋" w:hAnsi="华文中宋" w:eastAsia="华文中宋"/>
          <w:color w:val="auto"/>
          <w:highlight w:val="none"/>
        </w:rPr>
        <w:t>第一章 招标公告</w:t>
      </w:r>
      <w:bookmarkEnd w:id="1"/>
      <w:bookmarkStart w:id="2" w:name="_Toc35393790"/>
      <w:bookmarkStart w:id="3" w:name="_Toc35393621"/>
      <w:bookmarkStart w:id="4" w:name="_Toc28359002"/>
      <w:bookmarkStart w:id="5" w:name="_Toc28359079"/>
      <w:bookmarkStart w:id="6" w:name="_Hlk24379207"/>
    </w:p>
    <w:p w14:paraId="5E63901A">
      <w:pPr>
        <w:keepNext/>
        <w:keepLines/>
        <w:shd w:val="clear"/>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项目概况</w:t>
      </w:r>
    </w:p>
    <w:p w14:paraId="243A01A7">
      <w:pPr>
        <w:keepNext/>
        <w:keepLines/>
        <w:pageBreakBefore w:val="0"/>
        <w:widowControl w:val="0"/>
        <w:shd w:val="clear"/>
        <w:kinsoku/>
        <w:wordWrap w:val="0"/>
        <w:overflowPunct/>
        <w:topLinePunct w:val="0"/>
        <w:autoSpaceDE/>
        <w:autoSpaceDN/>
        <w:bidi w:val="0"/>
        <w:adjustRightInd/>
        <w:snapToGrid/>
        <w:spacing w:line="480" w:lineRule="exact"/>
        <w:ind w:firstLine="560" w:firstLineChars="200"/>
        <w:textAlignment w:val="auto"/>
        <w:rPr>
          <w:rFonts w:ascii="黑体" w:hAnsi="黑体" w:cs="宋体"/>
          <w:color w:val="auto"/>
          <w:sz w:val="28"/>
          <w:szCs w:val="28"/>
          <w:highlight w:val="none"/>
        </w:rPr>
      </w:pPr>
      <w:r>
        <w:rPr>
          <w:rFonts w:hint="eastAsia" w:ascii="仿宋" w:hAnsi="仿宋" w:eastAsia="仿宋" w:cs="仿宋"/>
          <w:color w:val="auto"/>
          <w:sz w:val="28"/>
          <w:szCs w:val="28"/>
          <w:highlight w:val="none"/>
          <w:u w:val="single"/>
          <w:lang w:val="en-US" w:eastAsia="zh-CN"/>
        </w:rPr>
        <w:t>2026年中国国际皮划艇马拉松公开赛（安徽·滁州站）赛事服务项目</w:t>
      </w:r>
      <w:r>
        <w:rPr>
          <w:rFonts w:hint="eastAsia" w:ascii="仿宋" w:hAnsi="仿宋" w:eastAsia="仿宋" w:cs="仿宋"/>
          <w:color w:val="auto"/>
          <w:sz w:val="28"/>
          <w:szCs w:val="28"/>
          <w:highlight w:val="none"/>
        </w:rPr>
        <w:t>招标项目的潜在投标人应在</w:t>
      </w:r>
      <w:r>
        <w:rPr>
          <w:rFonts w:hint="eastAsia" w:ascii="仿宋" w:hAnsi="仿宋" w:eastAsia="仿宋" w:cs="仿宋"/>
          <w:color w:val="auto"/>
          <w:sz w:val="28"/>
          <w:szCs w:val="28"/>
          <w:highlight w:val="none"/>
          <w:u w:val="single"/>
        </w:rPr>
        <w:t>滁州市公共资源交易中心网（http：//ggzy.chuzhou.gov.cn/）</w:t>
      </w:r>
      <w:r>
        <w:rPr>
          <w:rFonts w:hint="eastAsia" w:ascii="仿宋" w:hAnsi="仿宋" w:eastAsia="仿宋" w:cs="仿宋"/>
          <w:color w:val="auto"/>
          <w:sz w:val="28"/>
          <w:szCs w:val="28"/>
          <w:highlight w:val="none"/>
        </w:rPr>
        <w:t>获取招标文件，并于</w:t>
      </w:r>
      <w:r>
        <w:rPr>
          <w:rFonts w:hint="eastAsia" w:ascii="仿宋" w:hAnsi="仿宋" w:eastAsia="仿宋" w:cs="仿宋"/>
          <w:color w:val="auto"/>
          <w:sz w:val="28"/>
          <w:szCs w:val="28"/>
          <w:highlight w:val="none"/>
          <w:u w:val="single"/>
        </w:rPr>
        <w:t>202</w:t>
      </w:r>
      <w:r>
        <w:rPr>
          <w:rFonts w:hint="eastAsia" w:ascii="仿宋" w:hAnsi="仿宋" w:eastAsia="仿宋" w:cs="仿宋"/>
          <w:color w:val="auto"/>
          <w:sz w:val="28"/>
          <w:szCs w:val="28"/>
          <w:highlight w:val="none"/>
          <w:u w:val="single"/>
          <w:lang w:val="en-US" w:eastAsia="zh-CN"/>
        </w:rPr>
        <w:t>6</w:t>
      </w:r>
      <w:r>
        <w:rPr>
          <w:rFonts w:hint="eastAsia" w:ascii="仿宋" w:hAnsi="仿宋" w:eastAsia="仿宋" w:cs="仿宋"/>
          <w:color w:val="auto"/>
          <w:sz w:val="28"/>
          <w:szCs w:val="28"/>
          <w:highlight w:val="none"/>
          <w:u w:val="single"/>
        </w:rPr>
        <w:t>年</w:t>
      </w:r>
      <w:r>
        <w:rPr>
          <w:rFonts w:hint="eastAsia" w:ascii="仿宋" w:hAnsi="仿宋" w:eastAsia="仿宋" w:cs="仿宋"/>
          <w:color w:val="auto"/>
          <w:sz w:val="28"/>
          <w:szCs w:val="28"/>
          <w:highlight w:val="none"/>
          <w:u w:val="single"/>
          <w:lang w:val="en-US" w:eastAsia="zh-CN"/>
        </w:rPr>
        <w:t>9</w:t>
      </w:r>
      <w:r>
        <w:rPr>
          <w:rFonts w:hint="eastAsia" w:ascii="仿宋" w:hAnsi="仿宋" w:eastAsia="仿宋" w:cs="仿宋"/>
          <w:color w:val="auto"/>
          <w:sz w:val="28"/>
          <w:szCs w:val="28"/>
          <w:highlight w:val="none"/>
          <w:u w:val="single"/>
        </w:rPr>
        <w:t>月</w:t>
      </w:r>
      <w:r>
        <w:rPr>
          <w:rFonts w:hint="eastAsia" w:ascii="仿宋" w:hAnsi="仿宋" w:eastAsia="仿宋" w:cs="仿宋"/>
          <w:color w:val="auto"/>
          <w:sz w:val="28"/>
          <w:szCs w:val="28"/>
          <w:highlight w:val="none"/>
          <w:u w:val="single"/>
          <w:lang w:val="en-US" w:eastAsia="zh-CN"/>
        </w:rPr>
        <w:t>7</w:t>
      </w:r>
      <w:r>
        <w:rPr>
          <w:rFonts w:hint="eastAsia" w:ascii="仿宋" w:hAnsi="仿宋" w:eastAsia="仿宋" w:cs="仿宋"/>
          <w:color w:val="auto"/>
          <w:sz w:val="28"/>
          <w:szCs w:val="28"/>
          <w:highlight w:val="none"/>
          <w:u w:val="single"/>
        </w:rPr>
        <w:t>日</w:t>
      </w:r>
      <w:r>
        <w:rPr>
          <w:rFonts w:hint="eastAsia" w:ascii="仿宋" w:hAnsi="仿宋" w:eastAsia="仿宋" w:cs="仿宋"/>
          <w:color w:val="auto"/>
          <w:sz w:val="28"/>
          <w:szCs w:val="28"/>
          <w:highlight w:val="none"/>
          <w:u w:val="single"/>
          <w:lang w:val="en-US" w:eastAsia="zh-CN"/>
        </w:rPr>
        <w:t>08</w:t>
      </w:r>
      <w:r>
        <w:rPr>
          <w:rFonts w:hint="eastAsia" w:ascii="仿宋" w:hAnsi="仿宋" w:eastAsia="仿宋" w:cs="仿宋"/>
          <w:color w:val="auto"/>
          <w:sz w:val="28"/>
          <w:szCs w:val="28"/>
          <w:highlight w:val="none"/>
          <w:u w:val="single"/>
        </w:rPr>
        <w:t>点</w:t>
      </w:r>
      <w:r>
        <w:rPr>
          <w:rFonts w:hint="eastAsia" w:ascii="仿宋" w:hAnsi="仿宋" w:eastAsia="仿宋" w:cs="仿宋"/>
          <w:color w:val="auto"/>
          <w:sz w:val="28"/>
          <w:szCs w:val="28"/>
          <w:highlight w:val="none"/>
          <w:u w:val="single"/>
          <w:lang w:val="en-US" w:eastAsia="zh-CN"/>
        </w:rPr>
        <w:t>3</w:t>
      </w:r>
      <w:r>
        <w:rPr>
          <w:rFonts w:hint="eastAsia" w:ascii="仿宋" w:hAnsi="仿宋" w:eastAsia="仿宋" w:cs="仿宋"/>
          <w:color w:val="auto"/>
          <w:sz w:val="28"/>
          <w:szCs w:val="28"/>
          <w:highlight w:val="none"/>
          <w:u w:val="single"/>
        </w:rPr>
        <w:t>0分</w:t>
      </w:r>
      <w:r>
        <w:rPr>
          <w:rFonts w:hint="eastAsia" w:ascii="仿宋" w:hAnsi="仿宋" w:eastAsia="仿宋" w:cs="仿宋"/>
          <w:color w:val="auto"/>
          <w:sz w:val="28"/>
          <w:szCs w:val="28"/>
          <w:highlight w:val="none"/>
        </w:rPr>
        <w:t>（北京时间）前递交投标文件。</w:t>
      </w:r>
    </w:p>
    <w:p w14:paraId="66A92A0A">
      <w:pPr>
        <w:keepNext/>
        <w:keepLines/>
        <w:pageBreakBefore w:val="0"/>
        <w:widowControl w:val="0"/>
        <w:shd w:val="clear"/>
        <w:kinsoku/>
        <w:wordWrap/>
        <w:overflowPunct/>
        <w:topLinePunct w:val="0"/>
        <w:autoSpaceDE/>
        <w:autoSpaceDN/>
        <w:bidi w:val="0"/>
        <w:adjustRightInd/>
        <w:snapToGrid/>
        <w:spacing w:before="140" w:after="140"/>
        <w:textAlignment w:val="auto"/>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一、项目基本情况</w:t>
      </w:r>
      <w:bookmarkEnd w:id="2"/>
      <w:bookmarkEnd w:id="3"/>
      <w:bookmarkEnd w:id="4"/>
      <w:bookmarkEnd w:id="5"/>
    </w:p>
    <w:p w14:paraId="7D87C285">
      <w:pPr>
        <w:keepNext w:val="0"/>
        <w:keepLines w:val="0"/>
        <w:pageBreakBefore w:val="0"/>
        <w:widowControl w:val="0"/>
        <w:shd w:val="clear"/>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项目编号：czsjqt202608-009</w:t>
      </w:r>
    </w:p>
    <w:p w14:paraId="423E7749">
      <w:pPr>
        <w:keepNext w:val="0"/>
        <w:keepLines w:val="0"/>
        <w:pageBreakBefore w:val="0"/>
        <w:widowControl w:val="0"/>
        <w:shd w:val="clear"/>
        <w:kinsoku/>
        <w:wordWrap/>
        <w:overflowPunct/>
        <w:topLinePunct w:val="0"/>
        <w:autoSpaceDE/>
        <w:autoSpaceDN/>
        <w:bidi w:val="0"/>
        <w:adjustRightInd/>
        <w:snapToGrid/>
        <w:spacing w:line="460" w:lineRule="exact"/>
        <w:ind w:firstLine="560" w:firstLineChars="200"/>
        <w:textAlignment w:val="auto"/>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项目名称：</w:t>
      </w:r>
      <w:bookmarkEnd w:id="6"/>
      <w:r>
        <w:rPr>
          <w:rFonts w:hint="eastAsia" w:ascii="仿宋" w:hAnsi="仿宋" w:eastAsia="仿宋"/>
          <w:color w:val="auto"/>
          <w:sz w:val="28"/>
          <w:szCs w:val="28"/>
          <w:highlight w:val="none"/>
          <w:lang w:val="en-US" w:eastAsia="zh-CN"/>
        </w:rPr>
        <w:t>2026年中国国际皮划艇马拉松公开赛（安徽·滁州站）赛事服务项目</w:t>
      </w:r>
    </w:p>
    <w:p w14:paraId="3A3DF840">
      <w:pPr>
        <w:keepNext w:val="0"/>
        <w:keepLines w:val="0"/>
        <w:pageBreakBefore w:val="0"/>
        <w:widowControl w:val="0"/>
        <w:shd w:val="clear"/>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预算金额：</w:t>
      </w:r>
      <w:r>
        <w:rPr>
          <w:rFonts w:hint="eastAsia" w:ascii="仿宋" w:hAnsi="仿宋" w:eastAsia="仿宋"/>
          <w:color w:val="auto"/>
          <w:sz w:val="28"/>
          <w:szCs w:val="28"/>
          <w:highlight w:val="none"/>
          <w:lang w:val="en-US" w:eastAsia="zh-CN"/>
        </w:rPr>
        <w:t>1000000元</w:t>
      </w:r>
    </w:p>
    <w:p w14:paraId="2B5F6F52">
      <w:pPr>
        <w:keepNext w:val="0"/>
        <w:keepLines w:val="0"/>
        <w:pageBreakBefore w:val="0"/>
        <w:widowControl w:val="0"/>
        <w:shd w:val="clear"/>
        <w:kinsoku/>
        <w:wordWrap/>
        <w:overflowPunct/>
        <w:topLinePunct w:val="0"/>
        <w:autoSpaceDE/>
        <w:autoSpaceDN/>
        <w:bidi w:val="0"/>
        <w:adjustRightInd/>
        <w:snapToGrid/>
        <w:spacing w:line="460" w:lineRule="exact"/>
        <w:ind w:firstLine="560" w:firstLineChars="200"/>
        <w:textAlignment w:val="auto"/>
        <w:rPr>
          <w:rFonts w:ascii="仿宋" w:hAnsi="仿宋" w:eastAsia="仿宋"/>
          <w:color w:val="auto"/>
          <w:sz w:val="28"/>
          <w:szCs w:val="28"/>
          <w:highlight w:val="none"/>
        </w:rPr>
      </w:pPr>
      <w:r>
        <w:rPr>
          <w:rFonts w:hint="eastAsia" w:ascii="仿宋" w:hAnsi="仿宋" w:eastAsia="仿宋"/>
          <w:color w:val="auto"/>
          <w:sz w:val="28"/>
          <w:szCs w:val="28"/>
          <w:highlight w:val="none"/>
        </w:rPr>
        <w:t>最高限价：</w:t>
      </w:r>
      <w:r>
        <w:rPr>
          <w:rFonts w:hint="eastAsia" w:ascii="仿宋" w:hAnsi="仿宋" w:eastAsia="仿宋"/>
          <w:color w:val="auto"/>
          <w:sz w:val="28"/>
          <w:szCs w:val="28"/>
          <w:highlight w:val="none"/>
          <w:lang w:val="en-US" w:eastAsia="zh-CN"/>
        </w:rPr>
        <w:t>投标报价最高限价1000000元，投标人报价不得高于最高投标限价，否则按无效标处理</w:t>
      </w:r>
      <w:r>
        <w:rPr>
          <w:rFonts w:hint="eastAsia" w:ascii="仿宋" w:hAnsi="仿宋" w:eastAsia="仿宋" w:cs="Times New Roman"/>
          <w:color w:val="auto"/>
          <w:sz w:val="28"/>
          <w:szCs w:val="28"/>
          <w:highlight w:val="none"/>
          <w:lang w:val="en-US" w:eastAsia="zh-CN"/>
        </w:rPr>
        <w:t>。</w:t>
      </w:r>
    </w:p>
    <w:p w14:paraId="2A7EAB57">
      <w:pPr>
        <w:keepNext w:val="0"/>
        <w:keepLines w:val="0"/>
        <w:pageBreakBefore w:val="0"/>
        <w:widowControl w:val="0"/>
        <w:shd w:val="clear"/>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采购需求：</w:t>
      </w:r>
      <w:r>
        <w:rPr>
          <w:rFonts w:hint="eastAsia" w:ascii="仿宋" w:hAnsi="仿宋" w:eastAsia="仿宋" w:cs="Times New Roman"/>
          <w:color w:val="auto"/>
          <w:sz w:val="28"/>
          <w:szCs w:val="28"/>
          <w:highlight w:val="none"/>
          <w:lang w:val="en-US" w:eastAsia="zh-CN"/>
        </w:rPr>
        <w:t>详见《采购内容及服务要求》和合同条款内容</w:t>
      </w:r>
    </w:p>
    <w:p w14:paraId="030EF2A5">
      <w:pPr>
        <w:keepNext w:val="0"/>
        <w:keepLines w:val="0"/>
        <w:pageBreakBefore w:val="0"/>
        <w:widowControl w:val="0"/>
        <w:shd w:val="clear"/>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s="Times New Roman"/>
          <w:color w:val="auto"/>
          <w:sz w:val="28"/>
          <w:szCs w:val="28"/>
          <w:highlight w:val="none"/>
        </w:rPr>
        <w:t>合同履行期限：</w:t>
      </w:r>
      <w:r>
        <w:rPr>
          <w:rFonts w:hint="eastAsia" w:ascii="仿宋" w:hAnsi="仿宋" w:eastAsia="仿宋"/>
          <w:color w:val="auto"/>
          <w:sz w:val="28"/>
          <w:szCs w:val="28"/>
          <w:highlight w:val="none"/>
          <w:lang w:val="en-US" w:eastAsia="zh-CN"/>
        </w:rPr>
        <w:t>本项目服务期自合同签订之日起至赛事圆满落幕，具体时间节点以招标人安排为准。</w:t>
      </w:r>
    </w:p>
    <w:p w14:paraId="4947B9AF">
      <w:pPr>
        <w:keepNext w:val="0"/>
        <w:keepLines w:val="0"/>
        <w:pageBreakBefore w:val="0"/>
        <w:widowControl w:val="0"/>
        <w:shd w:val="clear"/>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本项目不接受联合体投标。</w:t>
      </w:r>
    </w:p>
    <w:p w14:paraId="45607310">
      <w:pPr>
        <w:keepNext/>
        <w:keepLines/>
        <w:pageBreakBefore w:val="0"/>
        <w:widowControl w:val="0"/>
        <w:shd w:val="clear"/>
        <w:kinsoku/>
        <w:wordWrap/>
        <w:overflowPunct/>
        <w:topLinePunct w:val="0"/>
        <w:autoSpaceDE/>
        <w:autoSpaceDN/>
        <w:bidi w:val="0"/>
        <w:adjustRightInd/>
        <w:snapToGrid/>
        <w:spacing w:before="140" w:after="140"/>
        <w:textAlignment w:val="auto"/>
        <w:rPr>
          <w:rFonts w:hint="eastAsia" w:ascii="黑体" w:hAnsi="黑体" w:eastAsia="黑体" w:cs="黑体"/>
          <w:color w:val="auto"/>
          <w:sz w:val="28"/>
          <w:szCs w:val="28"/>
          <w:highlight w:val="none"/>
        </w:rPr>
      </w:pPr>
      <w:bookmarkStart w:id="7" w:name="_Toc28359003"/>
      <w:bookmarkStart w:id="8" w:name="_Toc28359080"/>
      <w:bookmarkStart w:id="9" w:name="_Toc35393622"/>
      <w:bookmarkStart w:id="10" w:name="_Toc35393791"/>
      <w:r>
        <w:rPr>
          <w:rFonts w:hint="eastAsia" w:ascii="黑体" w:hAnsi="黑体" w:eastAsia="黑体" w:cs="黑体"/>
          <w:color w:val="auto"/>
          <w:sz w:val="28"/>
          <w:szCs w:val="28"/>
          <w:highlight w:val="none"/>
        </w:rPr>
        <w:t>二、申请人的资格要求</w:t>
      </w:r>
      <w:bookmarkEnd w:id="7"/>
      <w:bookmarkEnd w:id="8"/>
      <w:bookmarkEnd w:id="9"/>
      <w:bookmarkEnd w:id="10"/>
    </w:p>
    <w:p w14:paraId="62AFA44D">
      <w:pPr>
        <w:keepNext w:val="0"/>
        <w:keepLines w:val="0"/>
        <w:pageBreakBefore w:val="0"/>
        <w:widowControl w:val="0"/>
        <w:numPr>
          <w:ilvl w:val="0"/>
          <w:numId w:val="0"/>
        </w:numPr>
        <w:kinsoku/>
        <w:wordWrap/>
        <w:overflowPunct/>
        <w:topLinePunct w:val="0"/>
        <w:autoSpaceDE/>
        <w:autoSpaceDN/>
        <w:bidi w:val="0"/>
        <w:adjustRightInd w:val="0"/>
        <w:snapToGrid w:val="0"/>
        <w:spacing w:line="460" w:lineRule="exact"/>
        <w:ind w:left="0" w:leftChars="0" w:firstLine="560" w:firstLineChars="200"/>
        <w:textAlignment w:val="auto"/>
        <w:rPr>
          <w:rFonts w:hint="eastAsia" w:ascii="仿宋" w:hAnsi="仿宋" w:eastAsia="仿宋" w:cs="Times New Roman"/>
          <w:bCs w:val="0"/>
          <w:snapToGrid/>
          <w:color w:val="auto"/>
          <w:kern w:val="2"/>
          <w:sz w:val="28"/>
          <w:szCs w:val="28"/>
          <w:highlight w:val="none"/>
          <w:u w:val="none"/>
        </w:rPr>
      </w:pPr>
      <w:bookmarkStart w:id="11" w:name="_Toc35393623"/>
      <w:bookmarkStart w:id="12" w:name="_Toc35393792"/>
      <w:bookmarkStart w:id="13" w:name="_Toc28359004"/>
      <w:bookmarkStart w:id="14" w:name="_Toc28359081"/>
      <w:r>
        <w:rPr>
          <w:rFonts w:hint="eastAsia" w:ascii="仿宋" w:hAnsi="仿宋" w:eastAsia="仿宋" w:cs="Times New Roman"/>
          <w:color w:val="auto"/>
          <w:sz w:val="28"/>
          <w:szCs w:val="28"/>
          <w:highlight w:val="none"/>
        </w:rPr>
        <w:t>1.</w:t>
      </w:r>
      <w:r>
        <w:rPr>
          <w:rFonts w:hint="eastAsia" w:ascii="仿宋" w:hAnsi="仿宋" w:eastAsia="仿宋" w:cs="Times New Roman"/>
          <w:color w:val="auto"/>
          <w:sz w:val="28"/>
          <w:szCs w:val="28"/>
          <w:highlight w:val="none"/>
          <w:lang w:eastAsia="zh-CN"/>
        </w:rPr>
        <w:t>投标人</w:t>
      </w:r>
      <w:r>
        <w:rPr>
          <w:rFonts w:hint="eastAsia" w:ascii="仿宋" w:hAnsi="仿宋" w:eastAsia="仿宋" w:cs="Times New Roman"/>
          <w:color w:val="auto"/>
          <w:sz w:val="28"/>
          <w:szCs w:val="28"/>
          <w:highlight w:val="none"/>
        </w:rPr>
        <w:t>资格要求：具备独立承担民事责任能力且具备相应的实施能力</w:t>
      </w:r>
      <w:r>
        <w:rPr>
          <w:rFonts w:hint="eastAsia" w:ascii="仿宋" w:hAnsi="仿宋" w:eastAsia="仿宋" w:cs="Times New Roman"/>
          <w:bCs w:val="0"/>
          <w:snapToGrid/>
          <w:color w:val="auto"/>
          <w:kern w:val="2"/>
          <w:sz w:val="28"/>
          <w:szCs w:val="28"/>
          <w:highlight w:val="none"/>
          <w:u w:val="none"/>
          <w:lang w:eastAsia="zh-CN"/>
        </w:rPr>
        <w:t>。</w:t>
      </w:r>
    </w:p>
    <w:p w14:paraId="0F0FCA5D">
      <w:pPr>
        <w:keepNext w:val="0"/>
        <w:keepLines w:val="0"/>
        <w:pageBreakBefore w:val="0"/>
        <w:widowControl w:val="0"/>
        <w:shd w:val="clear"/>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2.</w:t>
      </w:r>
      <w:r>
        <w:rPr>
          <w:rFonts w:hint="eastAsia" w:ascii="仿宋" w:hAnsi="仿宋" w:eastAsia="仿宋" w:cs="Times New Roman"/>
          <w:color w:val="auto"/>
          <w:sz w:val="28"/>
          <w:szCs w:val="28"/>
          <w:highlight w:val="none"/>
        </w:rPr>
        <w:t>信誉要求：投标人不得存在以下情形：</w:t>
      </w:r>
    </w:p>
    <w:p w14:paraId="35C9A7A8">
      <w:pPr>
        <w:keepNext w:val="0"/>
        <w:keepLines w:val="0"/>
        <w:pageBreakBefore w:val="0"/>
        <w:widowControl w:val="0"/>
        <w:shd w:val="clear"/>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rPr>
        <w:t>①被列入“信用中国”网站（www.creditchina.gov.cn）“失信被执行人”的</w:t>
      </w:r>
      <w:r>
        <w:rPr>
          <w:rFonts w:hint="eastAsia" w:ascii="仿宋" w:hAnsi="仿宋" w:eastAsia="仿宋" w:cs="Times New Roman"/>
          <w:color w:val="auto"/>
          <w:sz w:val="28"/>
          <w:szCs w:val="28"/>
          <w:highlight w:val="none"/>
          <w:lang w:eastAsia="zh-CN"/>
        </w:rPr>
        <w:t>；</w:t>
      </w:r>
    </w:p>
    <w:p w14:paraId="537BC949">
      <w:pPr>
        <w:keepNext w:val="0"/>
        <w:keepLines w:val="0"/>
        <w:pageBreakBefore w:val="0"/>
        <w:widowControl w:val="0"/>
        <w:shd w:val="clear"/>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②被列入“信用中国”网站（www.creditchina.gov.cn）“重大税收违法失信主体”的；</w:t>
      </w:r>
    </w:p>
    <w:p w14:paraId="1917F926">
      <w:pPr>
        <w:keepNext w:val="0"/>
        <w:keepLines w:val="0"/>
        <w:pageBreakBefore w:val="0"/>
        <w:widowControl w:val="0"/>
        <w:shd w:val="clear"/>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③被列入“信用中国”网站（www.creditchina.gov.cn）“拖欠农民工工资失信联合惩戒对象名单”的；</w:t>
      </w:r>
    </w:p>
    <w:p w14:paraId="4B890BEF">
      <w:pPr>
        <w:keepNext w:val="0"/>
        <w:keepLines w:val="0"/>
        <w:pageBreakBefore w:val="0"/>
        <w:widowControl w:val="0"/>
        <w:shd w:val="clear"/>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④被列入“信用中国”网站（www.creditchina.gov.cn） “</w:t>
      </w:r>
      <w:r>
        <w:rPr>
          <w:rFonts w:hint="eastAsia" w:ascii="仿宋" w:hAnsi="仿宋" w:eastAsia="仿宋" w:cs="Times New Roman"/>
          <w:color w:val="auto"/>
          <w:sz w:val="28"/>
          <w:szCs w:val="28"/>
          <w:highlight w:val="none"/>
          <w:lang w:eastAsia="zh-CN"/>
        </w:rPr>
        <w:t>安全生产严重失信主体名单</w:t>
      </w:r>
      <w:r>
        <w:rPr>
          <w:rFonts w:hint="eastAsia" w:ascii="仿宋" w:hAnsi="仿宋" w:eastAsia="仿宋" w:cs="Times New Roman"/>
          <w:color w:val="auto"/>
          <w:sz w:val="28"/>
          <w:szCs w:val="28"/>
          <w:highlight w:val="none"/>
        </w:rPr>
        <w:t>”的；</w:t>
      </w:r>
    </w:p>
    <w:p w14:paraId="42BA1972">
      <w:pPr>
        <w:keepNext w:val="0"/>
        <w:keepLines w:val="0"/>
        <w:pageBreakBefore w:val="0"/>
        <w:widowControl w:val="0"/>
        <w:shd w:val="clear"/>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⑤</w:t>
      </w:r>
      <w:bookmarkStart w:id="15" w:name="OLE_LINK113"/>
      <w:bookmarkStart w:id="16" w:name="OLE_LINK114"/>
      <w:r>
        <w:rPr>
          <w:rFonts w:hint="eastAsia" w:ascii="仿宋" w:hAnsi="仿宋" w:eastAsia="仿宋" w:cs="Times New Roman"/>
          <w:color w:val="auto"/>
          <w:sz w:val="28"/>
          <w:szCs w:val="28"/>
          <w:highlight w:val="none"/>
        </w:rPr>
        <w:t>被列入国家企业信用信息公示系统网站（</w:t>
      </w:r>
      <w:r>
        <w:rPr>
          <w:rFonts w:hint="eastAsia" w:ascii="仿宋" w:hAnsi="仿宋" w:eastAsia="仿宋" w:cs="Times New Roman"/>
          <w:color w:val="auto"/>
          <w:sz w:val="28"/>
          <w:szCs w:val="28"/>
          <w:highlight w:val="none"/>
        </w:rPr>
        <w:fldChar w:fldCharType="begin"/>
      </w:r>
      <w:r>
        <w:rPr>
          <w:rFonts w:hint="eastAsia" w:ascii="仿宋" w:hAnsi="仿宋" w:eastAsia="仿宋" w:cs="Times New Roman"/>
          <w:color w:val="auto"/>
          <w:sz w:val="28"/>
          <w:szCs w:val="28"/>
          <w:highlight w:val="none"/>
        </w:rPr>
        <w:instrText xml:space="preserve"> HYPERLINK "http://www.gsxt.gov.cn）查询" </w:instrText>
      </w:r>
      <w:r>
        <w:rPr>
          <w:rFonts w:hint="eastAsia" w:ascii="仿宋" w:hAnsi="仿宋" w:eastAsia="仿宋" w:cs="Times New Roman"/>
          <w:color w:val="auto"/>
          <w:sz w:val="28"/>
          <w:szCs w:val="28"/>
          <w:highlight w:val="none"/>
        </w:rPr>
        <w:fldChar w:fldCharType="separate"/>
      </w:r>
      <w:r>
        <w:rPr>
          <w:rFonts w:hint="eastAsia" w:ascii="仿宋" w:hAnsi="仿宋" w:eastAsia="仿宋" w:cs="Times New Roman"/>
          <w:color w:val="auto"/>
          <w:sz w:val="28"/>
          <w:szCs w:val="28"/>
          <w:highlight w:val="none"/>
        </w:rPr>
        <w:t>www.gsxt.gov.cn）</w:t>
      </w:r>
      <w:r>
        <w:rPr>
          <w:rFonts w:hint="eastAsia" w:ascii="仿宋" w:hAnsi="仿宋" w:eastAsia="仿宋" w:cs="Times New Roman"/>
          <w:color w:val="auto"/>
          <w:sz w:val="28"/>
          <w:szCs w:val="28"/>
          <w:highlight w:val="none"/>
        </w:rPr>
        <w:fldChar w:fldCharType="end"/>
      </w:r>
      <w:r>
        <w:rPr>
          <w:rFonts w:hint="eastAsia" w:ascii="仿宋" w:hAnsi="仿宋" w:eastAsia="仿宋" w:cs="Times New Roman"/>
          <w:color w:val="auto"/>
          <w:sz w:val="28"/>
          <w:szCs w:val="28"/>
          <w:highlight w:val="none"/>
        </w:rPr>
        <w:t>“严重违法失信名单”的</w:t>
      </w:r>
      <w:bookmarkEnd w:id="15"/>
      <w:bookmarkEnd w:id="16"/>
      <w:r>
        <w:rPr>
          <w:rFonts w:hint="eastAsia" w:ascii="仿宋" w:hAnsi="仿宋" w:eastAsia="仿宋" w:cs="Times New Roman"/>
          <w:color w:val="auto"/>
          <w:sz w:val="28"/>
          <w:szCs w:val="28"/>
          <w:highlight w:val="none"/>
        </w:rPr>
        <w:t>；</w:t>
      </w:r>
    </w:p>
    <w:p w14:paraId="03791BAF">
      <w:pPr>
        <w:keepNext w:val="0"/>
        <w:keepLines w:val="0"/>
        <w:pageBreakBefore w:val="0"/>
        <w:widowControl w:val="0"/>
        <w:shd w:val="clear"/>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3</w:t>
      </w:r>
      <w:r>
        <w:rPr>
          <w:rFonts w:hint="eastAsia" w:ascii="仿宋" w:hAnsi="仿宋" w:eastAsia="仿宋" w:cs="Times New Roman"/>
          <w:color w:val="auto"/>
          <w:sz w:val="28"/>
          <w:szCs w:val="28"/>
          <w:highlight w:val="none"/>
        </w:rPr>
        <w:t>.投标人所属分公司、办事处等分支机构存在第</w:t>
      </w:r>
      <w:r>
        <w:rPr>
          <w:rFonts w:hint="eastAsia" w:ascii="仿宋" w:hAnsi="仿宋" w:eastAsia="仿宋" w:cs="Times New Roman"/>
          <w:color w:val="auto"/>
          <w:sz w:val="28"/>
          <w:szCs w:val="28"/>
          <w:highlight w:val="none"/>
          <w:lang w:val="en-US" w:eastAsia="zh-CN"/>
        </w:rPr>
        <w:t>2</w:t>
      </w:r>
      <w:r>
        <w:rPr>
          <w:rFonts w:hint="eastAsia" w:ascii="仿宋" w:hAnsi="仿宋" w:eastAsia="仿宋" w:cs="Times New Roman"/>
          <w:color w:val="auto"/>
          <w:sz w:val="28"/>
          <w:szCs w:val="28"/>
          <w:highlight w:val="none"/>
        </w:rPr>
        <w:t>款信誉要求①-⑤项情形之一的，接受投标人参加本项目。</w:t>
      </w:r>
    </w:p>
    <w:p w14:paraId="355EE675">
      <w:pPr>
        <w:keepNext/>
        <w:keepLines/>
        <w:pageBreakBefore w:val="0"/>
        <w:widowControl w:val="0"/>
        <w:shd w:val="clear"/>
        <w:kinsoku/>
        <w:wordWrap/>
        <w:overflowPunct/>
        <w:topLinePunct w:val="0"/>
        <w:autoSpaceDE/>
        <w:autoSpaceDN/>
        <w:bidi w:val="0"/>
        <w:adjustRightInd/>
        <w:snapToGrid/>
        <w:spacing w:before="140" w:after="140"/>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三、获取招标文件</w:t>
      </w:r>
      <w:bookmarkEnd w:id="11"/>
      <w:bookmarkEnd w:id="12"/>
      <w:bookmarkEnd w:id="13"/>
      <w:bookmarkEnd w:id="14"/>
    </w:p>
    <w:p w14:paraId="0BFB42E8">
      <w:pPr>
        <w:keepNext w:val="0"/>
        <w:keepLines w:val="0"/>
        <w:pageBreakBefore w:val="0"/>
        <w:widowControl w:val="0"/>
        <w:shd w:val="clear"/>
        <w:kinsoku/>
        <w:wordWrap/>
        <w:overflowPunct/>
        <w:topLinePunct w:val="0"/>
        <w:autoSpaceDE/>
        <w:autoSpaceDN/>
        <w:bidi w:val="0"/>
        <w:adjustRightInd/>
        <w:snapToGrid/>
        <w:spacing w:line="480" w:lineRule="exact"/>
        <w:ind w:firstLine="539"/>
        <w:textAlignment w:val="auto"/>
        <w:rPr>
          <w:rFonts w:ascii="仿宋" w:hAnsi="仿宋" w:eastAsia="仿宋" w:cs="宋体"/>
          <w:iCs/>
          <w:color w:val="auto"/>
          <w:sz w:val="28"/>
          <w:szCs w:val="28"/>
          <w:highlight w:val="none"/>
        </w:rPr>
      </w:pPr>
      <w:r>
        <w:rPr>
          <w:rFonts w:hint="eastAsia" w:ascii="仿宋" w:hAnsi="仿宋" w:eastAsia="仿宋" w:cs="宋体"/>
          <w:color w:val="auto"/>
          <w:sz w:val="28"/>
          <w:szCs w:val="28"/>
          <w:highlight w:val="none"/>
        </w:rPr>
        <w:t>时间：</w:t>
      </w:r>
      <w:r>
        <w:rPr>
          <w:rFonts w:hint="eastAsia" w:ascii="仿宋" w:hAnsi="仿宋" w:eastAsia="仿宋" w:cs="宋体"/>
          <w:color w:val="auto"/>
          <w:sz w:val="28"/>
          <w:szCs w:val="28"/>
          <w:highlight w:val="none"/>
          <w:u w:val="single"/>
        </w:rPr>
        <w:t>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u w:val="single"/>
        </w:rPr>
        <w:t>年</w:t>
      </w:r>
      <w:r>
        <w:rPr>
          <w:rFonts w:hint="eastAsia" w:ascii="仿宋" w:hAnsi="仿宋" w:eastAsia="仿宋" w:cs="宋体"/>
          <w:color w:val="auto"/>
          <w:sz w:val="28"/>
          <w:szCs w:val="28"/>
          <w:highlight w:val="none"/>
          <w:u w:val="single"/>
          <w:lang w:val="en-US" w:eastAsia="zh-CN"/>
        </w:rPr>
        <w:t>8</w:t>
      </w:r>
      <w:r>
        <w:rPr>
          <w:rFonts w:hint="eastAsia" w:ascii="仿宋" w:hAnsi="仿宋" w:eastAsia="仿宋" w:cs="宋体"/>
          <w:color w:val="auto"/>
          <w:sz w:val="28"/>
          <w:szCs w:val="28"/>
          <w:highlight w:val="none"/>
          <w:u w:val="single"/>
        </w:rPr>
        <w:t>月</w:t>
      </w:r>
      <w:r>
        <w:rPr>
          <w:rFonts w:hint="eastAsia" w:ascii="仿宋" w:hAnsi="仿宋" w:eastAsia="仿宋" w:cs="宋体"/>
          <w:color w:val="auto"/>
          <w:sz w:val="28"/>
          <w:szCs w:val="28"/>
          <w:highlight w:val="none"/>
          <w:u w:val="single"/>
          <w:lang w:val="en-US" w:eastAsia="zh-CN"/>
        </w:rPr>
        <w:t>17</w:t>
      </w:r>
      <w:r>
        <w:rPr>
          <w:rFonts w:hint="eastAsia" w:ascii="仿宋" w:hAnsi="仿宋" w:eastAsia="仿宋" w:cs="宋体"/>
          <w:color w:val="auto"/>
          <w:sz w:val="28"/>
          <w:szCs w:val="28"/>
          <w:highlight w:val="none"/>
          <w:u w:val="single"/>
        </w:rPr>
        <w:t>日</w:t>
      </w:r>
      <w:r>
        <w:rPr>
          <w:rFonts w:hint="eastAsia" w:ascii="仿宋" w:hAnsi="仿宋" w:eastAsia="仿宋" w:cs="宋体"/>
          <w:color w:val="auto"/>
          <w:sz w:val="28"/>
          <w:szCs w:val="28"/>
          <w:highlight w:val="none"/>
        </w:rPr>
        <w:t>至</w:t>
      </w:r>
      <w:r>
        <w:rPr>
          <w:rFonts w:hint="eastAsia" w:ascii="仿宋" w:hAnsi="仿宋" w:eastAsia="仿宋" w:cs="宋体"/>
          <w:color w:val="auto"/>
          <w:sz w:val="28"/>
          <w:szCs w:val="28"/>
          <w:highlight w:val="none"/>
          <w:u w:val="single"/>
        </w:rPr>
        <w:t xml:space="preserve"> 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u w:val="single"/>
        </w:rPr>
        <w:t>年</w:t>
      </w:r>
      <w:r>
        <w:rPr>
          <w:rFonts w:hint="eastAsia" w:ascii="仿宋" w:hAnsi="仿宋" w:eastAsia="仿宋" w:cs="宋体"/>
          <w:color w:val="auto"/>
          <w:sz w:val="28"/>
          <w:szCs w:val="28"/>
          <w:highlight w:val="none"/>
          <w:u w:val="single"/>
          <w:lang w:val="en-US" w:eastAsia="zh-CN"/>
        </w:rPr>
        <w:t>9</w:t>
      </w:r>
      <w:r>
        <w:rPr>
          <w:rFonts w:hint="eastAsia" w:ascii="仿宋" w:hAnsi="仿宋" w:eastAsia="仿宋" w:cs="宋体"/>
          <w:color w:val="auto"/>
          <w:sz w:val="28"/>
          <w:szCs w:val="28"/>
          <w:highlight w:val="none"/>
          <w:u w:val="single"/>
        </w:rPr>
        <w:t>月</w:t>
      </w:r>
      <w:r>
        <w:rPr>
          <w:rFonts w:hint="eastAsia" w:ascii="仿宋" w:hAnsi="仿宋" w:eastAsia="仿宋" w:cs="宋体"/>
          <w:color w:val="auto"/>
          <w:sz w:val="28"/>
          <w:szCs w:val="28"/>
          <w:highlight w:val="none"/>
          <w:u w:val="single"/>
          <w:lang w:val="en-US" w:eastAsia="zh-CN"/>
        </w:rPr>
        <w:t>7</w:t>
      </w:r>
      <w:r>
        <w:rPr>
          <w:rFonts w:hint="eastAsia" w:ascii="仿宋" w:hAnsi="仿宋" w:eastAsia="仿宋" w:cs="宋体"/>
          <w:color w:val="auto"/>
          <w:sz w:val="28"/>
          <w:szCs w:val="28"/>
          <w:highlight w:val="none"/>
          <w:u w:val="single"/>
        </w:rPr>
        <w:t>日</w:t>
      </w:r>
      <w:r>
        <w:rPr>
          <w:rFonts w:hint="eastAsia" w:ascii="仿宋" w:hAnsi="仿宋" w:eastAsia="仿宋" w:cs="宋体"/>
          <w:iCs/>
          <w:color w:val="auto"/>
          <w:sz w:val="28"/>
          <w:szCs w:val="28"/>
          <w:highlight w:val="none"/>
          <w:u w:val="single"/>
        </w:rPr>
        <w:t>（提供期限自本公告发布之日起不得少于5个工作日）</w:t>
      </w:r>
    </w:p>
    <w:p w14:paraId="1189E151">
      <w:pPr>
        <w:keepNext w:val="0"/>
        <w:keepLines w:val="0"/>
        <w:pageBreakBefore w:val="0"/>
        <w:widowControl w:val="0"/>
        <w:shd w:val="clear"/>
        <w:kinsoku/>
        <w:wordWrap/>
        <w:overflowPunct/>
        <w:topLinePunct w:val="0"/>
        <w:autoSpaceDE/>
        <w:autoSpaceDN/>
        <w:bidi w:val="0"/>
        <w:adjustRightInd/>
        <w:snapToGrid/>
        <w:spacing w:line="480" w:lineRule="exact"/>
        <w:ind w:firstLine="539"/>
        <w:textAlignment w:val="auto"/>
        <w:rPr>
          <w:rFonts w:ascii="仿宋" w:hAnsi="仿宋" w:eastAsia="仿宋" w:cs="宋体"/>
          <w:color w:val="auto"/>
          <w:sz w:val="28"/>
          <w:szCs w:val="28"/>
          <w:highlight w:val="none"/>
          <w:u w:val="single"/>
        </w:rPr>
      </w:pPr>
      <w:r>
        <w:rPr>
          <w:rFonts w:hint="eastAsia" w:ascii="仿宋" w:hAnsi="仿宋" w:eastAsia="仿宋" w:cs="宋体"/>
          <w:color w:val="auto"/>
          <w:sz w:val="28"/>
          <w:szCs w:val="28"/>
          <w:highlight w:val="none"/>
        </w:rPr>
        <w:t>地点：滁州市公共资源交易中心网</w:t>
      </w:r>
    </w:p>
    <w:p w14:paraId="467C9853">
      <w:pPr>
        <w:keepNext w:val="0"/>
        <w:keepLines w:val="0"/>
        <w:pageBreakBefore w:val="0"/>
        <w:widowControl w:val="0"/>
        <w:shd w:val="clear"/>
        <w:kinsoku/>
        <w:wordWrap/>
        <w:overflowPunct/>
        <w:topLinePunct w:val="0"/>
        <w:autoSpaceDE/>
        <w:autoSpaceDN/>
        <w:bidi w:val="0"/>
        <w:adjustRightInd/>
        <w:snapToGrid/>
        <w:spacing w:line="480" w:lineRule="exact"/>
        <w:ind w:firstLine="539"/>
        <w:textAlignment w:val="auto"/>
        <w:rPr>
          <w:rFonts w:ascii="仿宋" w:hAnsi="仿宋" w:eastAsia="仿宋" w:cs="宋体"/>
          <w:color w:val="auto"/>
          <w:sz w:val="28"/>
          <w:szCs w:val="28"/>
          <w:highlight w:val="none"/>
          <w:u w:val="single"/>
        </w:rPr>
      </w:pPr>
      <w:r>
        <w:rPr>
          <w:rFonts w:hint="eastAsia" w:ascii="仿宋" w:hAnsi="仿宋" w:eastAsia="仿宋" w:cs="宋体"/>
          <w:color w:val="auto"/>
          <w:sz w:val="28"/>
          <w:szCs w:val="28"/>
          <w:highlight w:val="none"/>
        </w:rPr>
        <w:t>方式：网上下载</w:t>
      </w:r>
    </w:p>
    <w:p w14:paraId="6462F083">
      <w:pPr>
        <w:keepNext w:val="0"/>
        <w:keepLines w:val="0"/>
        <w:pageBreakBefore w:val="0"/>
        <w:widowControl w:val="0"/>
        <w:shd w:val="clear"/>
        <w:kinsoku/>
        <w:wordWrap/>
        <w:overflowPunct/>
        <w:topLinePunct w:val="0"/>
        <w:autoSpaceDE/>
        <w:autoSpaceDN/>
        <w:bidi w:val="0"/>
        <w:adjustRightInd/>
        <w:snapToGrid/>
        <w:spacing w:line="480" w:lineRule="exact"/>
        <w:ind w:firstLine="539"/>
        <w:textAlignment w:val="auto"/>
        <w:rPr>
          <w:rFonts w:ascii="仿宋" w:hAnsi="仿宋" w:eastAsia="仿宋" w:cs="宋体"/>
          <w:color w:val="auto"/>
          <w:sz w:val="28"/>
          <w:szCs w:val="28"/>
          <w:highlight w:val="none"/>
        </w:rPr>
      </w:pPr>
      <w:r>
        <w:rPr>
          <w:rFonts w:hint="eastAsia" w:ascii="仿宋" w:hAnsi="仿宋" w:eastAsia="仿宋" w:cs="宋体"/>
          <w:color w:val="auto"/>
          <w:sz w:val="28"/>
          <w:szCs w:val="28"/>
          <w:highlight w:val="none"/>
        </w:rPr>
        <w:t>售价：0元</w:t>
      </w:r>
    </w:p>
    <w:p w14:paraId="53883F6C">
      <w:pPr>
        <w:keepNext/>
        <w:keepLines/>
        <w:pageBreakBefore w:val="0"/>
        <w:widowControl w:val="0"/>
        <w:shd w:val="clear"/>
        <w:kinsoku/>
        <w:wordWrap/>
        <w:overflowPunct/>
        <w:topLinePunct w:val="0"/>
        <w:autoSpaceDE/>
        <w:autoSpaceDN/>
        <w:bidi w:val="0"/>
        <w:adjustRightInd/>
        <w:snapToGrid/>
        <w:spacing w:before="140" w:after="140"/>
        <w:textAlignment w:val="auto"/>
        <w:rPr>
          <w:rFonts w:hint="eastAsia" w:ascii="黑体" w:hAnsi="黑体" w:eastAsia="黑体" w:cs="黑体"/>
          <w:color w:val="auto"/>
          <w:sz w:val="28"/>
          <w:szCs w:val="28"/>
          <w:highlight w:val="none"/>
        </w:rPr>
      </w:pPr>
      <w:bookmarkStart w:id="17" w:name="_Toc28359005"/>
      <w:bookmarkStart w:id="18" w:name="_Toc28359082"/>
      <w:bookmarkStart w:id="19" w:name="_Toc35393624"/>
      <w:bookmarkStart w:id="20" w:name="_Toc35393793"/>
      <w:r>
        <w:rPr>
          <w:rFonts w:hint="eastAsia" w:ascii="黑体" w:hAnsi="黑体" w:eastAsia="黑体" w:cs="黑体"/>
          <w:color w:val="auto"/>
          <w:sz w:val="28"/>
          <w:szCs w:val="28"/>
          <w:highlight w:val="none"/>
        </w:rPr>
        <w:t>四、提交投标文件</w:t>
      </w:r>
      <w:bookmarkEnd w:id="17"/>
      <w:bookmarkEnd w:id="18"/>
      <w:r>
        <w:rPr>
          <w:rFonts w:hint="eastAsia" w:ascii="黑体" w:hAnsi="黑体" w:eastAsia="黑体" w:cs="黑体"/>
          <w:color w:val="auto"/>
          <w:sz w:val="28"/>
          <w:szCs w:val="28"/>
          <w:highlight w:val="none"/>
        </w:rPr>
        <w:t>截止时间、开标时间和地点</w:t>
      </w:r>
      <w:bookmarkEnd w:id="19"/>
      <w:bookmarkEnd w:id="20"/>
    </w:p>
    <w:p w14:paraId="5E1996B5">
      <w:pPr>
        <w:keepNext w:val="0"/>
        <w:keepLines w:val="0"/>
        <w:pageBreakBefore w:val="0"/>
        <w:widowControl w:val="0"/>
        <w:shd w:val="clear"/>
        <w:kinsoku/>
        <w:wordWrap/>
        <w:overflowPunct/>
        <w:topLinePunct w:val="0"/>
        <w:autoSpaceDE/>
        <w:autoSpaceDN/>
        <w:bidi w:val="0"/>
        <w:adjustRightInd/>
        <w:snapToGrid/>
        <w:spacing w:line="480" w:lineRule="exact"/>
        <w:ind w:firstLine="560" w:firstLineChars="200"/>
        <w:textAlignment w:val="auto"/>
        <w:rPr>
          <w:rFonts w:ascii="仿宋" w:hAnsi="仿宋" w:eastAsia="仿宋"/>
          <w:bCs/>
          <w:iCs/>
          <w:color w:val="auto"/>
          <w:sz w:val="28"/>
          <w:szCs w:val="28"/>
          <w:highlight w:val="none"/>
        </w:rPr>
      </w:pPr>
      <w:r>
        <w:rPr>
          <w:rFonts w:hint="eastAsia" w:ascii="仿宋" w:hAnsi="仿宋" w:eastAsia="仿宋"/>
          <w:bCs/>
          <w:color w:val="auto"/>
          <w:sz w:val="28"/>
          <w:szCs w:val="28"/>
          <w:highlight w:val="none"/>
          <w:u w:val="single"/>
        </w:rPr>
        <w:t>202</w:t>
      </w:r>
      <w:r>
        <w:rPr>
          <w:rFonts w:hint="eastAsia" w:ascii="仿宋" w:hAnsi="仿宋" w:eastAsia="仿宋"/>
          <w:bCs/>
          <w:color w:val="auto"/>
          <w:sz w:val="28"/>
          <w:szCs w:val="28"/>
          <w:highlight w:val="none"/>
          <w:u w:val="single"/>
          <w:lang w:val="en-US" w:eastAsia="zh-CN"/>
        </w:rPr>
        <w:t>6</w:t>
      </w:r>
      <w:r>
        <w:rPr>
          <w:rFonts w:hint="eastAsia" w:ascii="仿宋" w:hAnsi="仿宋" w:eastAsia="仿宋"/>
          <w:bCs/>
          <w:color w:val="auto"/>
          <w:sz w:val="28"/>
          <w:szCs w:val="28"/>
          <w:highlight w:val="none"/>
          <w:u w:val="single"/>
        </w:rPr>
        <w:t>年</w:t>
      </w:r>
      <w:r>
        <w:rPr>
          <w:rFonts w:hint="eastAsia" w:ascii="仿宋" w:hAnsi="仿宋" w:eastAsia="仿宋"/>
          <w:bCs/>
          <w:color w:val="auto"/>
          <w:sz w:val="28"/>
          <w:szCs w:val="28"/>
          <w:highlight w:val="none"/>
          <w:u w:val="single"/>
          <w:lang w:val="en-US" w:eastAsia="zh-CN"/>
        </w:rPr>
        <w:t>9</w:t>
      </w:r>
      <w:r>
        <w:rPr>
          <w:rFonts w:hint="eastAsia" w:ascii="仿宋" w:hAnsi="仿宋" w:eastAsia="仿宋"/>
          <w:bCs/>
          <w:color w:val="auto"/>
          <w:sz w:val="28"/>
          <w:szCs w:val="28"/>
          <w:highlight w:val="none"/>
          <w:u w:val="single"/>
        </w:rPr>
        <w:t>月</w:t>
      </w:r>
      <w:r>
        <w:rPr>
          <w:rFonts w:hint="eastAsia" w:ascii="仿宋" w:hAnsi="仿宋" w:eastAsia="仿宋"/>
          <w:bCs/>
          <w:color w:val="auto"/>
          <w:sz w:val="28"/>
          <w:szCs w:val="28"/>
          <w:highlight w:val="none"/>
          <w:u w:val="single"/>
          <w:lang w:val="en-US" w:eastAsia="zh-CN"/>
        </w:rPr>
        <w:t>7</w:t>
      </w:r>
      <w:r>
        <w:rPr>
          <w:rFonts w:hint="eastAsia" w:ascii="仿宋" w:hAnsi="仿宋" w:eastAsia="仿宋"/>
          <w:bCs/>
          <w:color w:val="auto"/>
          <w:sz w:val="28"/>
          <w:szCs w:val="28"/>
          <w:highlight w:val="none"/>
          <w:u w:val="single"/>
        </w:rPr>
        <w:t>日</w:t>
      </w:r>
      <w:r>
        <w:rPr>
          <w:rFonts w:hint="eastAsia" w:ascii="仿宋" w:hAnsi="仿宋" w:eastAsia="仿宋"/>
          <w:bCs/>
          <w:color w:val="auto"/>
          <w:sz w:val="28"/>
          <w:szCs w:val="28"/>
          <w:highlight w:val="none"/>
          <w:u w:val="single"/>
          <w:lang w:val="en-US" w:eastAsia="zh-CN"/>
        </w:rPr>
        <w:t>08</w:t>
      </w:r>
      <w:r>
        <w:rPr>
          <w:rFonts w:hint="eastAsia" w:ascii="仿宋" w:hAnsi="仿宋" w:eastAsia="仿宋"/>
          <w:bCs/>
          <w:color w:val="auto"/>
          <w:sz w:val="28"/>
          <w:szCs w:val="28"/>
          <w:highlight w:val="none"/>
          <w:u w:val="single"/>
        </w:rPr>
        <w:t>点</w:t>
      </w:r>
      <w:r>
        <w:rPr>
          <w:rFonts w:hint="eastAsia" w:ascii="仿宋" w:hAnsi="仿宋" w:eastAsia="仿宋"/>
          <w:bCs/>
          <w:color w:val="auto"/>
          <w:sz w:val="28"/>
          <w:szCs w:val="28"/>
          <w:highlight w:val="none"/>
          <w:u w:val="single"/>
          <w:lang w:val="en-US" w:eastAsia="zh-CN"/>
        </w:rPr>
        <w:t>30</w:t>
      </w:r>
      <w:r>
        <w:rPr>
          <w:rFonts w:hint="eastAsia" w:ascii="仿宋" w:hAnsi="仿宋" w:eastAsia="仿宋"/>
          <w:bCs/>
          <w:color w:val="auto"/>
          <w:sz w:val="28"/>
          <w:szCs w:val="28"/>
          <w:highlight w:val="none"/>
          <w:u w:val="single"/>
        </w:rPr>
        <w:t>分</w:t>
      </w:r>
      <w:r>
        <w:rPr>
          <w:rFonts w:hint="eastAsia" w:ascii="仿宋" w:hAnsi="仿宋" w:eastAsia="仿宋"/>
          <w:bCs/>
          <w:color w:val="auto"/>
          <w:sz w:val="28"/>
          <w:szCs w:val="28"/>
          <w:highlight w:val="none"/>
        </w:rPr>
        <w:t>（北京时间）</w:t>
      </w:r>
      <w:r>
        <w:rPr>
          <w:rFonts w:hint="eastAsia" w:ascii="仿宋" w:hAnsi="仿宋" w:eastAsia="仿宋" w:cs="宋体"/>
          <w:iCs/>
          <w:color w:val="auto"/>
          <w:sz w:val="28"/>
          <w:szCs w:val="28"/>
          <w:highlight w:val="none"/>
          <w:u w:val="single"/>
        </w:rPr>
        <w:t>（自招标文件开始发出之日起至投标人提交投标文件截止之日止，不得少于20日）</w:t>
      </w:r>
    </w:p>
    <w:p w14:paraId="619FA813">
      <w:pPr>
        <w:keepNext w:val="0"/>
        <w:keepLines w:val="0"/>
        <w:pageBreakBefore w:val="0"/>
        <w:widowControl w:val="0"/>
        <w:shd w:val="clear"/>
        <w:kinsoku/>
        <w:wordWrap/>
        <w:overflowPunct/>
        <w:topLinePunct w:val="0"/>
        <w:autoSpaceDE/>
        <w:autoSpaceDN/>
        <w:bidi w:val="0"/>
        <w:adjustRightInd/>
        <w:snapToGrid/>
        <w:spacing w:line="480" w:lineRule="exact"/>
        <w:ind w:firstLine="560" w:firstLineChars="200"/>
        <w:textAlignment w:val="auto"/>
        <w:rPr>
          <w:rFonts w:ascii="仿宋" w:hAnsi="仿宋" w:eastAsia="仿宋"/>
          <w:color w:val="auto"/>
          <w:sz w:val="28"/>
          <w:szCs w:val="28"/>
          <w:highlight w:val="none"/>
        </w:rPr>
      </w:pPr>
      <w:r>
        <w:rPr>
          <w:rFonts w:hint="eastAsia" w:ascii="仿宋" w:hAnsi="仿宋" w:eastAsia="仿宋"/>
          <w:color w:val="auto"/>
          <w:sz w:val="28"/>
          <w:szCs w:val="28"/>
          <w:highlight w:val="none"/>
        </w:rPr>
        <w:t>地点：网上开标（滁州市公共资源交易中心网）</w:t>
      </w:r>
    </w:p>
    <w:p w14:paraId="057DC34A">
      <w:pPr>
        <w:keepNext/>
        <w:keepLines/>
        <w:pageBreakBefore w:val="0"/>
        <w:widowControl w:val="0"/>
        <w:shd w:val="clear"/>
        <w:kinsoku/>
        <w:wordWrap/>
        <w:overflowPunct/>
        <w:topLinePunct w:val="0"/>
        <w:autoSpaceDE/>
        <w:autoSpaceDN/>
        <w:bidi w:val="0"/>
        <w:adjustRightInd/>
        <w:snapToGrid/>
        <w:spacing w:before="140" w:after="140"/>
        <w:textAlignment w:val="auto"/>
        <w:rPr>
          <w:rFonts w:hint="eastAsia" w:ascii="黑体" w:hAnsi="黑体" w:eastAsia="黑体" w:cs="黑体"/>
          <w:color w:val="auto"/>
          <w:sz w:val="28"/>
          <w:szCs w:val="28"/>
          <w:highlight w:val="none"/>
        </w:rPr>
      </w:pPr>
      <w:bookmarkStart w:id="21" w:name="_Toc28359084"/>
      <w:bookmarkStart w:id="22" w:name="_Toc35393625"/>
      <w:bookmarkStart w:id="23" w:name="_Toc35393794"/>
      <w:bookmarkStart w:id="24" w:name="_Toc28359007"/>
      <w:r>
        <w:rPr>
          <w:rFonts w:hint="eastAsia" w:ascii="黑体" w:hAnsi="黑体" w:eastAsia="黑体" w:cs="黑体"/>
          <w:color w:val="auto"/>
          <w:sz w:val="28"/>
          <w:szCs w:val="28"/>
          <w:highlight w:val="none"/>
        </w:rPr>
        <w:t>五、公告期限</w:t>
      </w:r>
      <w:bookmarkEnd w:id="21"/>
      <w:bookmarkEnd w:id="22"/>
      <w:bookmarkEnd w:id="23"/>
      <w:bookmarkEnd w:id="24"/>
    </w:p>
    <w:p w14:paraId="53C3B979">
      <w:pPr>
        <w:shd w:val="clear"/>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自本公告发布之日起5个工作日。</w:t>
      </w:r>
    </w:p>
    <w:p w14:paraId="39A089B0">
      <w:pPr>
        <w:keepNext/>
        <w:keepLines/>
        <w:pageBreakBefore w:val="0"/>
        <w:widowControl w:val="0"/>
        <w:shd w:val="clear"/>
        <w:kinsoku/>
        <w:wordWrap/>
        <w:overflowPunct/>
        <w:topLinePunct w:val="0"/>
        <w:autoSpaceDE/>
        <w:autoSpaceDN/>
        <w:bidi w:val="0"/>
        <w:adjustRightInd/>
        <w:snapToGrid/>
        <w:spacing w:before="140" w:after="140"/>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六、投标保证金金额及缴纳账户</w:t>
      </w:r>
    </w:p>
    <w:p w14:paraId="37BBEC4A">
      <w:pPr>
        <w:pStyle w:val="121"/>
        <w:shd w:val="clear"/>
        <w:rPr>
          <w:color w:val="auto"/>
          <w:highlight w:val="none"/>
        </w:rPr>
      </w:pPr>
      <w:bookmarkStart w:id="25" w:name="_Toc35393795"/>
      <w:bookmarkStart w:id="26" w:name="_Toc35393626"/>
      <w:r>
        <w:rPr>
          <w:color w:val="auto"/>
          <w:highlight w:val="none"/>
        </w:rPr>
        <w:t>窗体顶端</w:t>
      </w:r>
    </w:p>
    <w:p w14:paraId="56767B0D">
      <w:pPr>
        <w:keepNext w:val="0"/>
        <w:keepLines w:val="0"/>
        <w:widowControl w:val="0"/>
        <w:suppressLineNumbers w:val="0"/>
        <w:spacing w:before="0" w:beforeAutospacing="0" w:after="0" w:afterAutospacing="0" w:line="480" w:lineRule="exact"/>
        <w:ind w:left="0" w:leftChars="0" w:right="0" w:rightChars="0" w:firstLine="560" w:firstLineChars="200"/>
        <w:jc w:val="both"/>
        <w:rPr>
          <w:rFonts w:hint="eastAsia" w:ascii="仿宋" w:hAnsi="仿宋" w:eastAsia="仿宋" w:cs="Times New Roman"/>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1.投标保证金收取：投标保证金的金额：1万元，要求投标人提交投标保证金。</w:t>
      </w:r>
    </w:p>
    <w:p w14:paraId="7DCD06B4">
      <w:pPr>
        <w:keepNext w:val="0"/>
        <w:keepLines w:val="0"/>
        <w:widowControl w:val="0"/>
        <w:suppressLineNumbers w:val="0"/>
        <w:spacing w:before="0" w:beforeAutospacing="0" w:after="0" w:afterAutospacing="0" w:line="480" w:lineRule="exact"/>
        <w:ind w:left="0" w:leftChars="0" w:right="0" w:rightChars="0" w:firstLine="560" w:firstLineChars="200"/>
        <w:jc w:val="both"/>
        <w:rPr>
          <w:rFonts w:hint="eastAsia" w:ascii="仿宋" w:hAnsi="仿宋" w:eastAsia="仿宋" w:cs="Times New Roman"/>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2.投标保证金形式：支持现金（银行转账、银行电汇等）、非现金形式（支票、银行汇票、本票等）、纸质银行保函。</w:t>
      </w:r>
    </w:p>
    <w:p w14:paraId="747063DC">
      <w:pPr>
        <w:keepNext w:val="0"/>
        <w:keepLines w:val="0"/>
        <w:widowControl w:val="0"/>
        <w:suppressLineNumbers w:val="0"/>
        <w:spacing w:before="0" w:beforeAutospacing="0" w:after="0" w:afterAutospacing="0" w:line="480" w:lineRule="exact"/>
        <w:ind w:left="0" w:leftChars="0" w:right="0" w:rightChars="0" w:firstLine="560" w:firstLineChars="200"/>
        <w:jc w:val="both"/>
        <w:rPr>
          <w:rFonts w:hint="eastAsia" w:ascii="仿宋" w:hAnsi="仿宋" w:eastAsia="仿宋" w:cs="Times New Roman"/>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3.接收投标保证金的账户信息：</w:t>
      </w:r>
    </w:p>
    <w:p w14:paraId="27ABFC91">
      <w:pPr>
        <w:keepNext w:val="0"/>
        <w:keepLines w:val="0"/>
        <w:widowControl w:val="0"/>
        <w:suppressLineNumbers w:val="0"/>
        <w:spacing w:before="0" w:beforeAutospacing="0" w:after="0" w:afterAutospacing="0" w:line="480" w:lineRule="exact"/>
        <w:ind w:left="0" w:leftChars="0" w:right="0" w:rightChars="0" w:firstLine="560" w:firstLineChars="200"/>
        <w:jc w:val="both"/>
        <w:rPr>
          <w:rFonts w:hint="eastAsia" w:ascii="仿宋" w:hAnsi="仿宋" w:eastAsia="仿宋" w:cs="Times New Roman"/>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1)采用现金形式的，投标保证金应当从投标人基本存款账户转出，投标保证金的到账截止时间为投标截止时间。投标保证金转出账户与投标人投标文件提供的基本存款账户不一致的，视为未按照招标文件规定提交投标保证金。提交投标保证金的开户银行及账号如下（选择任何一家银行提交即可）：</w:t>
      </w:r>
    </w:p>
    <w:p w14:paraId="51636500">
      <w:pPr>
        <w:keepNext w:val="0"/>
        <w:keepLines w:val="0"/>
        <w:widowControl w:val="0"/>
        <w:suppressLineNumbers w:val="0"/>
        <w:spacing w:before="0" w:beforeAutospacing="0" w:after="0" w:afterAutospacing="0" w:line="480" w:lineRule="exact"/>
        <w:ind w:left="0" w:leftChars="0" w:right="0" w:rightChars="0" w:firstLine="560" w:firstLineChars="200"/>
        <w:jc w:val="both"/>
        <w:rPr>
          <w:rFonts w:hint="eastAsia" w:ascii="仿宋" w:hAnsi="仿宋" w:eastAsia="仿宋" w:cs="Times New Roman"/>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①户名：滁州市公共资源交易中心</w:t>
      </w:r>
    </w:p>
    <w:p w14:paraId="6DDDE961">
      <w:pPr>
        <w:keepNext w:val="0"/>
        <w:keepLines w:val="0"/>
        <w:widowControl w:val="0"/>
        <w:suppressLineNumbers w:val="0"/>
        <w:spacing w:before="0" w:beforeAutospacing="0" w:after="0" w:afterAutospacing="0" w:line="480" w:lineRule="exact"/>
        <w:ind w:left="0" w:leftChars="0" w:right="0" w:rightChars="0" w:firstLine="560" w:firstLineChars="200"/>
        <w:jc w:val="both"/>
        <w:rPr>
          <w:rFonts w:hint="eastAsia" w:ascii="仿宋" w:hAnsi="仿宋" w:eastAsia="仿宋" w:cs="Times New Roman"/>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开户行：中国银行滁州分行</w:t>
      </w:r>
    </w:p>
    <w:p w14:paraId="7DC0702C">
      <w:pPr>
        <w:keepNext w:val="0"/>
        <w:keepLines w:val="0"/>
        <w:widowControl w:val="0"/>
        <w:suppressLineNumbers w:val="0"/>
        <w:spacing w:before="0" w:beforeAutospacing="0" w:after="0" w:afterAutospacing="0" w:line="480" w:lineRule="exact"/>
        <w:ind w:left="0" w:leftChars="0" w:right="0" w:rightChars="0" w:firstLine="560" w:firstLineChars="200"/>
        <w:jc w:val="both"/>
        <w:rPr>
          <w:rFonts w:hint="eastAsia" w:ascii="仿宋" w:hAnsi="仿宋" w:eastAsia="仿宋" w:cs="Times New Roman"/>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账号：188727795475</w:t>
      </w:r>
    </w:p>
    <w:p w14:paraId="332952CC">
      <w:pPr>
        <w:keepNext w:val="0"/>
        <w:keepLines w:val="0"/>
        <w:widowControl w:val="0"/>
        <w:suppressLineNumbers w:val="0"/>
        <w:spacing w:before="0" w:beforeAutospacing="0" w:after="0" w:afterAutospacing="0" w:line="480" w:lineRule="exact"/>
        <w:ind w:left="0" w:leftChars="0" w:right="0" w:rightChars="0" w:firstLine="560" w:firstLineChars="200"/>
        <w:jc w:val="both"/>
        <w:rPr>
          <w:rFonts w:hint="eastAsia" w:ascii="仿宋" w:hAnsi="仿宋" w:eastAsia="仿宋" w:cs="Times New Roman"/>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②户名：滁州市公共资源交易中心</w:t>
      </w:r>
    </w:p>
    <w:p w14:paraId="7A1A9DEE">
      <w:pPr>
        <w:keepNext w:val="0"/>
        <w:keepLines w:val="0"/>
        <w:widowControl w:val="0"/>
        <w:suppressLineNumbers w:val="0"/>
        <w:spacing w:before="0" w:beforeAutospacing="0" w:after="0" w:afterAutospacing="0" w:line="480" w:lineRule="exact"/>
        <w:ind w:left="0" w:leftChars="0" w:right="0" w:rightChars="0" w:firstLine="560" w:firstLineChars="200"/>
        <w:jc w:val="both"/>
        <w:rPr>
          <w:rFonts w:hint="eastAsia" w:ascii="仿宋" w:hAnsi="仿宋" w:eastAsia="仿宋" w:cs="Times New Roman"/>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开户行：中国建设银行股份有限公司滁州南谯支行</w:t>
      </w:r>
    </w:p>
    <w:p w14:paraId="0955C975">
      <w:pPr>
        <w:keepNext w:val="0"/>
        <w:keepLines w:val="0"/>
        <w:widowControl w:val="0"/>
        <w:suppressLineNumbers w:val="0"/>
        <w:spacing w:before="0" w:beforeAutospacing="0" w:after="0" w:afterAutospacing="0" w:line="480" w:lineRule="exact"/>
        <w:ind w:left="0" w:leftChars="0" w:right="0" w:rightChars="0" w:firstLine="560" w:firstLineChars="200"/>
        <w:jc w:val="both"/>
        <w:rPr>
          <w:rFonts w:hint="eastAsia" w:ascii="仿宋" w:hAnsi="仿宋" w:eastAsia="仿宋" w:cs="Times New Roman"/>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账号：6232811720000037783</w:t>
      </w:r>
    </w:p>
    <w:p w14:paraId="5273D474">
      <w:pPr>
        <w:keepNext w:val="0"/>
        <w:keepLines w:val="0"/>
        <w:widowControl w:val="0"/>
        <w:suppressLineNumbers w:val="0"/>
        <w:spacing w:before="0" w:beforeAutospacing="0" w:after="0" w:afterAutospacing="0" w:line="480" w:lineRule="exact"/>
        <w:ind w:left="0" w:leftChars="0" w:right="0" w:rightChars="0" w:firstLine="560" w:firstLineChars="200"/>
        <w:jc w:val="both"/>
        <w:rPr>
          <w:rFonts w:hint="eastAsia" w:ascii="仿宋" w:hAnsi="仿宋" w:eastAsia="仿宋" w:cs="Times New Roman"/>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③户名：滁州市公共资源交易中心</w:t>
      </w:r>
    </w:p>
    <w:p w14:paraId="1065CEA6">
      <w:pPr>
        <w:keepNext w:val="0"/>
        <w:keepLines w:val="0"/>
        <w:widowControl w:val="0"/>
        <w:suppressLineNumbers w:val="0"/>
        <w:spacing w:before="0" w:beforeAutospacing="0" w:after="0" w:afterAutospacing="0" w:line="480" w:lineRule="exact"/>
        <w:ind w:left="0" w:leftChars="0" w:right="0" w:rightChars="0" w:firstLine="560" w:firstLineChars="200"/>
        <w:jc w:val="both"/>
        <w:rPr>
          <w:rFonts w:hint="eastAsia" w:ascii="仿宋" w:hAnsi="仿宋" w:eastAsia="仿宋" w:cs="Times New Roman"/>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开户行：中国农业银行滁州中都支行</w:t>
      </w:r>
    </w:p>
    <w:p w14:paraId="47773CFF">
      <w:pPr>
        <w:keepNext w:val="0"/>
        <w:keepLines w:val="0"/>
        <w:widowControl w:val="0"/>
        <w:suppressLineNumbers w:val="0"/>
        <w:spacing w:before="0" w:beforeAutospacing="0" w:after="0" w:afterAutospacing="0" w:line="480" w:lineRule="exact"/>
        <w:ind w:left="0" w:leftChars="0" w:right="0" w:rightChars="0" w:firstLine="560" w:firstLineChars="200"/>
        <w:jc w:val="both"/>
        <w:rPr>
          <w:rFonts w:hint="eastAsia" w:ascii="仿宋" w:hAnsi="仿宋" w:eastAsia="仿宋" w:cs="Times New Roman"/>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 xml:space="preserve">账号：123340010400044210000000438 </w:t>
      </w:r>
    </w:p>
    <w:p w14:paraId="3A88C372">
      <w:pPr>
        <w:keepNext w:val="0"/>
        <w:keepLines w:val="0"/>
        <w:widowControl w:val="0"/>
        <w:suppressLineNumbers w:val="0"/>
        <w:spacing w:before="0" w:beforeAutospacing="0" w:after="0" w:afterAutospacing="0" w:line="480" w:lineRule="exact"/>
        <w:ind w:left="0" w:leftChars="0" w:right="0" w:rightChars="0" w:firstLine="560" w:firstLineChars="200"/>
        <w:jc w:val="both"/>
        <w:rPr>
          <w:rFonts w:hint="eastAsia" w:ascii="仿宋" w:hAnsi="仿宋" w:eastAsia="仿宋" w:cs="Times New Roman"/>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采用现金形式缴纳保证金时须在交易附言中注明：“czsjqt202608-009项目投标保证金”。</w:t>
      </w:r>
    </w:p>
    <w:p w14:paraId="6AC67993">
      <w:pPr>
        <w:keepNext w:val="0"/>
        <w:keepLines w:val="0"/>
        <w:widowControl w:val="0"/>
        <w:suppressLineNumbers w:val="0"/>
        <w:spacing w:before="0" w:beforeAutospacing="0" w:after="0" w:afterAutospacing="0" w:line="480" w:lineRule="exact"/>
        <w:ind w:left="0" w:leftChars="0" w:right="0" w:rightChars="0" w:firstLine="560" w:firstLineChars="200"/>
        <w:jc w:val="both"/>
        <w:rPr>
          <w:rFonts w:hint="eastAsia" w:ascii="仿宋" w:hAnsi="仿宋" w:eastAsia="仿宋" w:cs="Times New Roman"/>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2）采用支票、银行汇票、本票等非现金形式提交投标保证金时，投标人应在付款人开户行申请书附言处注明“czsjqt202608-009项目投标保证金”字样，应确保收款人开户行进账单完整反映交易附言内容，由此导致无法识别投标保证金对应的投标项目，其后果由投标人负责。</w:t>
      </w:r>
    </w:p>
    <w:p w14:paraId="39654209">
      <w:pPr>
        <w:keepNext w:val="0"/>
        <w:keepLines w:val="0"/>
        <w:widowControl w:val="0"/>
        <w:suppressLineNumbers w:val="0"/>
        <w:spacing w:before="0" w:beforeAutospacing="0" w:after="0" w:afterAutospacing="0" w:line="480" w:lineRule="exact"/>
        <w:ind w:left="0" w:leftChars="0" w:right="0" w:rightChars="0" w:firstLine="560" w:firstLineChars="200"/>
        <w:jc w:val="both"/>
        <w:rPr>
          <w:rFonts w:hint="eastAsia" w:ascii="仿宋" w:hAnsi="仿宋" w:eastAsia="仿宋" w:cs="Times New Roman"/>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3)采用纸质银行保函形式具体要求如下：</w:t>
      </w:r>
    </w:p>
    <w:p w14:paraId="30FADA65">
      <w:pPr>
        <w:keepNext w:val="0"/>
        <w:keepLines w:val="0"/>
        <w:widowControl w:val="0"/>
        <w:suppressLineNumbers w:val="0"/>
        <w:spacing w:before="0" w:beforeAutospacing="0" w:after="0" w:afterAutospacing="0" w:line="480" w:lineRule="exact"/>
        <w:ind w:left="0" w:leftChars="0" w:right="0" w:rightChars="0" w:firstLine="560" w:firstLineChars="200"/>
        <w:jc w:val="both"/>
        <w:rPr>
          <w:rFonts w:hint="eastAsia" w:ascii="仿宋" w:hAnsi="仿宋" w:eastAsia="仿宋" w:cs="Times New Roman"/>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①应为投标人基本账户开户银行出具的不可撤销、不可转让的见索即付独立保函,所需费用由投标人承担。</w:t>
      </w:r>
    </w:p>
    <w:p w14:paraId="7BE260B8">
      <w:pPr>
        <w:keepNext w:val="0"/>
        <w:keepLines w:val="0"/>
        <w:widowControl w:val="0"/>
        <w:suppressLineNumbers w:val="0"/>
        <w:spacing w:before="0" w:beforeAutospacing="0" w:after="0" w:afterAutospacing="0" w:line="480" w:lineRule="exact"/>
        <w:ind w:left="0" w:leftChars="0" w:right="0" w:rightChars="0" w:firstLine="560" w:firstLineChars="200"/>
        <w:jc w:val="both"/>
        <w:rPr>
          <w:rFonts w:hint="eastAsia" w:ascii="仿宋" w:hAnsi="仿宋" w:eastAsia="仿宋" w:cs="Times New Roman"/>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②投标人在投标文件中必须提供基本存款账户证明（如基本存款账户开户许可证或基本存款账户信息），同时将纸质保函扫描件提供在投标文件中。</w:t>
      </w:r>
    </w:p>
    <w:p w14:paraId="2097B0C0">
      <w:pPr>
        <w:keepNext w:val="0"/>
        <w:keepLines w:val="0"/>
        <w:widowControl w:val="0"/>
        <w:suppressLineNumbers w:val="0"/>
        <w:spacing w:before="0" w:beforeAutospacing="0" w:after="0" w:afterAutospacing="0" w:line="480" w:lineRule="exact"/>
        <w:ind w:left="0" w:leftChars="0" w:right="0" w:rightChars="0" w:firstLine="560" w:firstLineChars="200"/>
        <w:jc w:val="both"/>
        <w:rPr>
          <w:rFonts w:hint="eastAsia" w:ascii="仿宋" w:hAnsi="仿宋" w:eastAsia="仿宋" w:cs="Times New Roman"/>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③投标人在投标文件中必须提供明确有效的查询途径（网址链接及查询方式），否则该纸质银行保函无效。</w:t>
      </w:r>
    </w:p>
    <w:p w14:paraId="6BED105A">
      <w:pPr>
        <w:keepNext w:val="0"/>
        <w:keepLines w:val="0"/>
        <w:widowControl w:val="0"/>
        <w:suppressLineNumbers w:val="0"/>
        <w:spacing w:before="0" w:beforeAutospacing="0" w:after="0" w:afterAutospacing="0" w:line="480" w:lineRule="exact"/>
        <w:ind w:left="0" w:leftChars="0" w:right="0" w:rightChars="0" w:firstLine="560" w:firstLineChars="200"/>
        <w:jc w:val="both"/>
        <w:rPr>
          <w:rFonts w:hint="eastAsia" w:ascii="仿宋" w:hAnsi="仿宋" w:eastAsia="仿宋" w:cs="Times New Roman"/>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④中标候选人须在中标候选人公示期间将其开具至本招标项目的保函原件提交招标人（或招标代理机构），且原件须与投标文件中提供的扫描件一致，如存在未按照规定提交或提交内容不一致的，招标人有权取消其中标候选人资格；发现弄虚作假的，招标人（或招标代理机构）应报公共资源交易监管部门依法处理。</w:t>
      </w:r>
    </w:p>
    <w:p w14:paraId="0943177B">
      <w:pPr>
        <w:keepNext w:val="0"/>
        <w:keepLines w:val="0"/>
        <w:widowControl w:val="0"/>
        <w:suppressLineNumbers w:val="0"/>
        <w:spacing w:before="0" w:beforeAutospacing="0" w:after="0" w:afterAutospacing="0" w:line="480" w:lineRule="exact"/>
        <w:ind w:left="0" w:leftChars="0" w:right="0" w:rightChars="0" w:firstLine="560" w:firstLineChars="200"/>
        <w:jc w:val="both"/>
        <w:rPr>
          <w:rFonts w:hint="eastAsia" w:ascii="仿宋" w:hAnsi="仿宋" w:eastAsia="仿宋" w:cs="Times New Roman"/>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4.本次招标失败，再次进行招标的，投标人须按照新的账户重新缴纳投标保证金。</w:t>
      </w:r>
    </w:p>
    <w:p w14:paraId="08652D5A">
      <w:pPr>
        <w:keepNext w:val="0"/>
        <w:keepLines w:val="0"/>
        <w:widowControl w:val="0"/>
        <w:suppressLineNumbers w:val="0"/>
        <w:spacing w:before="0" w:beforeAutospacing="0" w:after="0" w:afterAutospacing="0" w:line="480" w:lineRule="exact"/>
        <w:ind w:left="0" w:leftChars="0" w:right="0" w:rightChars="0" w:firstLine="560" w:firstLineChars="200"/>
        <w:jc w:val="both"/>
        <w:rPr>
          <w:rFonts w:hint="eastAsia" w:ascii="仿宋" w:hAnsi="仿宋" w:eastAsia="仿宋" w:cs="Times New Roman"/>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5.投标人为联合体投标的，由牵头人基本账户转出投标保证金或由牵头人办理保函。</w:t>
      </w:r>
    </w:p>
    <w:p w14:paraId="3BA810A2">
      <w:pPr>
        <w:keepNext w:val="0"/>
        <w:keepLines w:val="0"/>
        <w:widowControl w:val="0"/>
        <w:suppressLineNumbers w:val="0"/>
        <w:spacing w:before="0" w:beforeAutospacing="0" w:after="0" w:afterAutospacing="0" w:line="480" w:lineRule="exact"/>
        <w:ind w:left="0" w:leftChars="0" w:right="0" w:rightChars="0" w:firstLine="560" w:firstLineChars="200"/>
        <w:jc w:val="both"/>
        <w:rPr>
          <w:rFonts w:ascii="仿宋" w:hAnsi="仿宋" w:eastAsia="仿宋"/>
          <w:color w:val="auto"/>
          <w:sz w:val="28"/>
          <w:szCs w:val="28"/>
          <w:highlight w:val="none"/>
        </w:rPr>
      </w:pPr>
      <w:r>
        <w:rPr>
          <w:rFonts w:hint="eastAsia" w:ascii="仿宋" w:hAnsi="仿宋" w:eastAsia="仿宋" w:cs="仿宋"/>
          <w:color w:val="auto"/>
          <w:kern w:val="2"/>
          <w:sz w:val="28"/>
          <w:szCs w:val="28"/>
          <w:highlight w:val="none"/>
          <w:lang w:val="en-US" w:eastAsia="zh-CN" w:bidi="ar"/>
        </w:rPr>
        <w:t>6.是否适用免缴投标保证金政策：不适用</w:t>
      </w:r>
      <w:r>
        <w:rPr>
          <w:rFonts w:hint="eastAsia" w:ascii="仿宋" w:hAnsi="仿宋" w:eastAsia="仿宋"/>
          <w:color w:val="auto"/>
          <w:sz w:val="28"/>
          <w:szCs w:val="28"/>
          <w:highlight w:val="none"/>
        </w:rPr>
        <w:t>。</w:t>
      </w:r>
    </w:p>
    <w:p w14:paraId="01814087">
      <w:pPr>
        <w:pStyle w:val="122"/>
        <w:shd w:val="clear"/>
        <w:rPr>
          <w:color w:val="auto"/>
          <w:highlight w:val="none"/>
        </w:rPr>
      </w:pPr>
      <w:r>
        <w:rPr>
          <w:rFonts w:hint="eastAsia" w:ascii="仿宋" w:hAnsi="仿宋" w:eastAsia="仿宋"/>
          <w:color w:val="auto"/>
          <w:sz w:val="28"/>
          <w:szCs w:val="28"/>
          <w:highlight w:val="none"/>
        </w:rPr>
        <w:t>本项目不缴纳投标保证金条款仅针对在投标过程中未违反本招标文件第二章“投标人须知”中第23.4项约定的投标人。如在投标过程中投标人存在本招标文件第二章“投标人须知”中第23.4项约定情形，则无条件按招标人要求的金额、时间、账号缴纳投标保证金。</w:t>
      </w:r>
      <w:r>
        <w:rPr>
          <w:color w:val="auto"/>
          <w:highlight w:val="none"/>
        </w:rPr>
        <w:t>窗体底端</w:t>
      </w:r>
    </w:p>
    <w:p w14:paraId="5D2C63F9">
      <w:pPr>
        <w:keepNext/>
        <w:keepLines/>
        <w:pageBreakBefore w:val="0"/>
        <w:widowControl w:val="0"/>
        <w:shd w:val="clear"/>
        <w:kinsoku/>
        <w:wordWrap/>
        <w:overflowPunct/>
        <w:topLinePunct w:val="0"/>
        <w:autoSpaceDE/>
        <w:autoSpaceDN/>
        <w:bidi w:val="0"/>
        <w:adjustRightInd/>
        <w:snapToGrid/>
        <w:spacing w:before="140" w:after="140"/>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七、其他补充事宜</w:t>
      </w:r>
      <w:bookmarkEnd w:id="25"/>
      <w:bookmarkEnd w:id="26"/>
    </w:p>
    <w:p w14:paraId="2B32E867">
      <w:pPr>
        <w:keepNext w:val="0"/>
        <w:keepLines w:val="0"/>
        <w:pageBreakBefore w:val="0"/>
        <w:widowControl w:val="0"/>
        <w:shd w:val="clear"/>
        <w:kinsoku/>
        <w:wordWrap w:val="0"/>
        <w:overflowPunct/>
        <w:topLinePunct w:val="0"/>
        <w:autoSpaceDE/>
        <w:autoSpaceDN/>
        <w:bidi w:val="0"/>
        <w:adjustRightInd/>
        <w:snapToGrid/>
        <w:spacing w:line="480" w:lineRule="exact"/>
        <w:ind w:left="0" w:leftChars="0" w:right="0" w:rightChars="0" w:firstLine="560" w:firstLineChars="200"/>
        <w:textAlignment w:val="auto"/>
        <w:rPr>
          <w:rFonts w:ascii="仿宋" w:hAnsi="仿宋" w:eastAsia="仿宋"/>
          <w:color w:val="auto"/>
          <w:sz w:val="28"/>
          <w:szCs w:val="28"/>
          <w:highlight w:val="none"/>
        </w:rPr>
      </w:pPr>
      <w:r>
        <w:rPr>
          <w:rFonts w:hint="eastAsia" w:ascii="仿宋" w:hAnsi="仿宋" w:eastAsia="仿宋"/>
          <w:color w:val="auto"/>
          <w:sz w:val="28"/>
          <w:szCs w:val="28"/>
          <w:highlight w:val="none"/>
        </w:rPr>
        <w:t>1.本项目只接受在安徽省公共资源交易市场主体库（http://ggzy.ah.gov.cn/ahggfwpt-zhutiku/dengludenglu）登记并进行信息确认提交的投标人投标，未登记的投标人请及时办理CA数字证书并登录安徽省公共资源交易市场主体库进行信息填写及确认提交；已办理过CA数字证书视为已在省库登记，进行信息更新及确认提交即可。办理流程为登录滁州市公共资源交易中心网&gt;服务指南&gt;办事指南中的“CA数字证书和电子签章”及“市场主体登记”。相关服务电话</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1</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安徽省公共资源交易市场主体库使用相关问题（系统登录、信息登记、录入及提交、数字证书关联等）：010-86483801转5-2</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2）CA数字证书有关问题：安徽CA客服400-615-8899、0550-3019013（工作日）,CFCA客服025-66085508、0550-3801669（工作日）；（3）市场主体招标环节和投标环节系统使用问题：0512-58188516（8:00-21:00）、0550-3801701（工作日）。因未及时通过CA数字证书登录省主体库对相关信息进行补充完善并确认提交，导致无法投标的，责任自负。为保证系统使用过程中产生的问题能够及时得到解决，请各主体在工作时间进行主体信息登记、更新、投标文件制作等相关操作。</w:t>
      </w:r>
    </w:p>
    <w:p w14:paraId="07041962">
      <w:pPr>
        <w:keepNext w:val="0"/>
        <w:keepLines w:val="0"/>
        <w:pageBreakBefore w:val="0"/>
        <w:widowControl w:val="0"/>
        <w:shd w:val="clear"/>
        <w:kinsoku/>
        <w:wordWrap/>
        <w:overflowPunct/>
        <w:topLinePunct w:val="0"/>
        <w:autoSpaceDE/>
        <w:autoSpaceDN/>
        <w:bidi w:val="0"/>
        <w:adjustRightInd/>
        <w:snapToGrid/>
        <w:spacing w:line="480" w:lineRule="exact"/>
        <w:ind w:left="0" w:leftChars="0" w:right="0" w:rightChars="0" w:firstLine="560" w:firstLineChars="200"/>
        <w:textAlignment w:val="auto"/>
        <w:rPr>
          <w:rFonts w:ascii="仿宋" w:hAnsi="仿宋" w:eastAsia="仿宋"/>
          <w:color w:val="auto"/>
          <w:sz w:val="28"/>
          <w:szCs w:val="28"/>
          <w:highlight w:val="none"/>
        </w:rPr>
      </w:pPr>
      <w:r>
        <w:rPr>
          <w:rFonts w:hint="eastAsia" w:ascii="仿宋" w:hAnsi="仿宋" w:eastAsia="仿宋"/>
          <w:color w:val="auto"/>
          <w:sz w:val="28"/>
          <w:szCs w:val="28"/>
          <w:highlight w:val="none"/>
        </w:rPr>
        <w:t>2.请投标人登录滁州市公共资源交易中心网站查看参加本项目的程序（具体操作步骤和程序请参见服务指南&gt;交易须知&gt;投标人填写投标信息、下载文件及网上提问操作手册）。</w:t>
      </w:r>
    </w:p>
    <w:p w14:paraId="5AFEC897">
      <w:pPr>
        <w:keepNext w:val="0"/>
        <w:keepLines w:val="0"/>
        <w:pageBreakBefore w:val="0"/>
        <w:widowControl w:val="0"/>
        <w:shd w:val="clear"/>
        <w:kinsoku/>
        <w:wordWrap w:val="0"/>
        <w:overflowPunct/>
        <w:topLinePunct w:val="0"/>
        <w:autoSpaceDE/>
        <w:autoSpaceDN/>
        <w:bidi w:val="0"/>
        <w:adjustRightInd/>
        <w:snapToGrid/>
        <w:spacing w:line="480" w:lineRule="exact"/>
        <w:ind w:left="0" w:leftChars="0" w:right="0" w:rightChars="0" w:firstLine="560" w:firstLineChars="200"/>
        <w:textAlignment w:val="auto"/>
        <w:rPr>
          <w:rFonts w:ascii="仿宋" w:hAnsi="仿宋" w:eastAsia="仿宋"/>
          <w:color w:val="auto"/>
          <w:sz w:val="28"/>
          <w:szCs w:val="28"/>
          <w:highlight w:val="none"/>
        </w:rPr>
      </w:pPr>
      <w:r>
        <w:rPr>
          <w:rFonts w:hint="eastAsia" w:ascii="仿宋" w:hAnsi="仿宋" w:eastAsia="仿宋"/>
          <w:color w:val="auto"/>
          <w:sz w:val="28"/>
          <w:szCs w:val="28"/>
          <w:highlight w:val="none"/>
        </w:rPr>
        <w:t>3.本项目采用不见面开标(远程解密)方式，开标时投标人无须至开标现场进行解密，开标采取远程解密方式解密投标文件，投标人远程解密方式：投标人在开标时间前使用CA数字证书登录滁州市“不见面开标系统</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网址为https://ggzy.chuzhou.gov.cn/BidOpening,等待开标并按系统提示进行相应的投标人解密等事项，无需到开标现场。采用本方式可以观看开标现场音视频直播并进行互动交流。具体操作方法见中心网站&gt;服务指南&gt;交易须知中的《滁州市不见面开标系统操作手册》。解密时间要求为：从本项目解密程序开始时计时，至完成投标文件解密时间，不得超过60分钟，否则投标文件将被拒绝。</w:t>
      </w:r>
    </w:p>
    <w:p w14:paraId="502E06D1">
      <w:pPr>
        <w:keepNext w:val="0"/>
        <w:keepLines w:val="0"/>
        <w:pageBreakBefore w:val="0"/>
        <w:widowControl w:val="0"/>
        <w:shd w:val="clear"/>
        <w:kinsoku/>
        <w:wordWrap/>
        <w:overflowPunct/>
        <w:topLinePunct w:val="0"/>
        <w:autoSpaceDE/>
        <w:autoSpaceDN/>
        <w:bidi w:val="0"/>
        <w:adjustRightInd/>
        <w:snapToGrid/>
        <w:spacing w:line="480" w:lineRule="exact"/>
        <w:ind w:left="0" w:leftChars="0" w:right="0" w:rightChars="0" w:firstLine="560" w:firstLineChars="200"/>
        <w:textAlignment w:val="auto"/>
        <w:rPr>
          <w:rFonts w:ascii="仿宋" w:hAnsi="仿宋" w:eastAsia="仿宋"/>
          <w:color w:val="auto"/>
          <w:sz w:val="28"/>
          <w:szCs w:val="28"/>
          <w:highlight w:val="none"/>
        </w:rPr>
      </w:pPr>
      <w:r>
        <w:rPr>
          <w:rFonts w:hint="eastAsia" w:ascii="仿宋" w:hAnsi="仿宋" w:eastAsia="仿宋"/>
          <w:color w:val="auto"/>
          <w:sz w:val="28"/>
          <w:szCs w:val="28"/>
          <w:highlight w:val="none"/>
        </w:rPr>
        <w:t>4.投标文件格式、内容和制作要求以招标文件为准，投标文件制作工具中提供的相关格式及内容仅供参考，投标企业可根据招标文件要求自行调整。</w:t>
      </w:r>
    </w:p>
    <w:p w14:paraId="4FFA0A97">
      <w:pPr>
        <w:keepNext w:val="0"/>
        <w:keepLines w:val="0"/>
        <w:pageBreakBefore w:val="0"/>
        <w:widowControl w:val="0"/>
        <w:shd w:val="clear"/>
        <w:kinsoku/>
        <w:wordWrap/>
        <w:overflowPunct/>
        <w:topLinePunct w:val="0"/>
        <w:autoSpaceDE/>
        <w:autoSpaceDN/>
        <w:bidi w:val="0"/>
        <w:adjustRightInd/>
        <w:snapToGrid/>
        <w:spacing w:line="480" w:lineRule="exact"/>
        <w:ind w:left="0" w:leftChars="0" w:right="0" w:rightChars="0" w:firstLine="560" w:firstLineChars="200"/>
        <w:textAlignment w:val="auto"/>
        <w:rPr>
          <w:rFonts w:ascii="仿宋" w:hAnsi="仿宋" w:eastAsia="仿宋"/>
          <w:color w:val="auto"/>
          <w:sz w:val="28"/>
          <w:szCs w:val="28"/>
          <w:highlight w:val="none"/>
        </w:rPr>
      </w:pPr>
      <w:r>
        <w:rPr>
          <w:rFonts w:hint="eastAsia" w:ascii="仿宋" w:hAnsi="仿宋" w:eastAsia="仿宋"/>
          <w:color w:val="auto"/>
          <w:sz w:val="28"/>
          <w:szCs w:val="28"/>
          <w:highlight w:val="none"/>
        </w:rPr>
        <w:t>5.投标人提出异议的截止时间及方式：如投标人对招标文件有异议，请于202</w:t>
      </w: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28</w:t>
      </w:r>
      <w:r>
        <w:rPr>
          <w:rFonts w:hint="eastAsia" w:ascii="仿宋" w:hAnsi="仿宋" w:eastAsia="仿宋"/>
          <w:color w:val="auto"/>
          <w:sz w:val="28"/>
          <w:szCs w:val="28"/>
          <w:highlight w:val="none"/>
        </w:rPr>
        <w:t>日</w:t>
      </w:r>
      <w:r>
        <w:rPr>
          <w:rFonts w:hint="eastAsia" w:ascii="仿宋" w:hAnsi="仿宋" w:eastAsia="仿宋"/>
          <w:color w:val="auto"/>
          <w:sz w:val="28"/>
          <w:szCs w:val="28"/>
          <w:highlight w:val="none"/>
          <w:lang w:val="en-US" w:eastAsia="zh-CN"/>
        </w:rPr>
        <w:t>08</w:t>
      </w:r>
      <w:r>
        <w:rPr>
          <w:rFonts w:hint="eastAsia" w:ascii="仿宋" w:hAnsi="仿宋" w:eastAsia="仿宋"/>
          <w:color w:val="auto"/>
          <w:sz w:val="28"/>
          <w:szCs w:val="28"/>
          <w:highlight w:val="none"/>
        </w:rPr>
        <w:t>时</w:t>
      </w:r>
      <w:r>
        <w:rPr>
          <w:rFonts w:hint="eastAsia" w:ascii="仿宋" w:hAnsi="仿宋" w:eastAsia="仿宋"/>
          <w:color w:val="auto"/>
          <w:sz w:val="28"/>
          <w:szCs w:val="28"/>
          <w:highlight w:val="none"/>
          <w:lang w:val="en-US" w:eastAsia="zh-CN"/>
        </w:rPr>
        <w:t>30分</w:t>
      </w:r>
      <w:r>
        <w:rPr>
          <w:rFonts w:hint="eastAsia" w:ascii="仿宋" w:hAnsi="仿宋" w:eastAsia="仿宋"/>
          <w:color w:val="auto"/>
          <w:sz w:val="28"/>
          <w:szCs w:val="28"/>
          <w:highlight w:val="none"/>
        </w:rPr>
        <w:t>（投标截止10日）前在滁州市公共资源交易中心网电子交易系统中进行异议，具体操作步骤和程序请参见服务指南&gt;交易须知&gt;在线异议、质疑和投诉操作手册。</w:t>
      </w:r>
    </w:p>
    <w:p w14:paraId="73CC5F4B">
      <w:pPr>
        <w:keepNext w:val="0"/>
        <w:keepLines w:val="0"/>
        <w:pageBreakBefore w:val="0"/>
        <w:widowControl w:val="0"/>
        <w:shd w:val="clear"/>
        <w:kinsoku/>
        <w:wordWrap w:val="0"/>
        <w:overflowPunct/>
        <w:topLinePunct w:val="0"/>
        <w:autoSpaceDE/>
        <w:autoSpaceDN/>
        <w:bidi w:val="0"/>
        <w:adjustRightInd/>
        <w:snapToGrid/>
        <w:spacing w:line="480" w:lineRule="exact"/>
        <w:ind w:left="0" w:leftChars="0" w:right="0" w:righ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6.受理异议的联系人及联系方式：</w:t>
      </w:r>
      <w:r>
        <w:rPr>
          <w:rFonts w:hint="eastAsia" w:ascii="仿宋" w:hAnsi="仿宋" w:eastAsia="仿宋"/>
          <w:color w:val="auto"/>
          <w:sz w:val="28"/>
          <w:szCs w:val="28"/>
          <w:highlight w:val="none"/>
          <w:lang w:val="en-US" w:eastAsia="zh-CN"/>
        </w:rPr>
        <w:t>李传旭0550-2201367</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关勤勤</w:t>
      </w:r>
      <w:r>
        <w:rPr>
          <w:rFonts w:hint="eastAsia" w:ascii="仿宋" w:hAnsi="仿宋" w:eastAsia="仿宋"/>
          <w:color w:val="auto"/>
          <w:sz w:val="28"/>
          <w:szCs w:val="28"/>
          <w:highlight w:val="none"/>
        </w:rPr>
        <w:t>0550-3519590。</w:t>
      </w:r>
    </w:p>
    <w:p w14:paraId="35F052BB">
      <w:pPr>
        <w:keepNext w:val="0"/>
        <w:keepLines w:val="0"/>
        <w:pageBreakBefore w:val="0"/>
        <w:widowControl w:val="0"/>
        <w:shd w:val="clear"/>
        <w:kinsoku/>
        <w:wordWrap w:val="0"/>
        <w:overflowPunct/>
        <w:topLinePunct w:val="0"/>
        <w:autoSpaceDE/>
        <w:autoSpaceDN/>
        <w:bidi w:val="0"/>
        <w:adjustRightInd/>
        <w:snapToGrid/>
        <w:spacing w:line="480" w:lineRule="exact"/>
        <w:ind w:firstLine="560" w:firstLineChars="200"/>
        <w:textAlignment w:val="auto"/>
        <w:rPr>
          <w:rFonts w:hint="default" w:ascii="仿宋" w:hAnsi="仿宋" w:eastAsia="仿宋"/>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 xml:space="preserve">7.投标人提出投诉的方式：投标人或者其他利害关系人认为招标投标活动违反法律、法规和规章规定的，有权向相关行政监督部门投诉。在线投诉具体步骤和程序请参照服务指南&gt;投诉渠道 </w:t>
      </w:r>
      <w:r>
        <w:rPr>
          <w:rFonts w:hint="eastAsia" w:ascii="仿宋" w:hAnsi="仿宋" w:eastAsia="仿宋" w:cs="Times New Roman"/>
          <w:color w:val="auto"/>
          <w:sz w:val="28"/>
          <w:szCs w:val="28"/>
          <w:highlight w:val="none"/>
          <w:lang w:val="en-US" w:eastAsia="zh-CN"/>
        </w:rPr>
        <w:fldChar w:fldCharType="begin"/>
      </w:r>
      <w:r>
        <w:rPr>
          <w:rFonts w:hint="eastAsia" w:ascii="仿宋" w:hAnsi="仿宋" w:eastAsia="仿宋" w:cs="Times New Roman"/>
          <w:color w:val="auto"/>
          <w:sz w:val="28"/>
          <w:szCs w:val="28"/>
          <w:highlight w:val="none"/>
          <w:lang w:val="en-US" w:eastAsia="zh-CN"/>
        </w:rPr>
        <w:instrText xml:space="preserve"> HYPERLINK "https://ggzy.chuzhou.gov.cn/fwzn/011001/serviceGuide.html" </w:instrText>
      </w:r>
      <w:r>
        <w:rPr>
          <w:rFonts w:hint="eastAsia" w:ascii="仿宋" w:hAnsi="仿宋" w:eastAsia="仿宋" w:cs="Times New Roman"/>
          <w:color w:val="auto"/>
          <w:sz w:val="28"/>
          <w:szCs w:val="28"/>
          <w:highlight w:val="none"/>
          <w:lang w:val="en-US" w:eastAsia="zh-CN"/>
        </w:rPr>
        <w:fldChar w:fldCharType="separate"/>
      </w:r>
      <w:r>
        <w:rPr>
          <w:rFonts w:hint="eastAsia" w:ascii="仿宋" w:hAnsi="仿宋" w:eastAsia="仿宋" w:cs="Times New Roman"/>
          <w:color w:val="auto"/>
          <w:sz w:val="28"/>
          <w:szCs w:val="28"/>
          <w:highlight w:val="none"/>
          <w:lang w:val="en-US" w:eastAsia="zh-CN"/>
        </w:rPr>
        <w:t>https://ggzy.chuzhou.gov.cn/fwzn/011001/serviceGuide.html</w:t>
      </w:r>
      <w:r>
        <w:rPr>
          <w:rFonts w:hint="eastAsia" w:ascii="仿宋" w:hAnsi="仿宋" w:eastAsia="仿宋" w:cs="Times New Roman"/>
          <w:color w:val="auto"/>
          <w:sz w:val="28"/>
          <w:szCs w:val="28"/>
          <w:highlight w:val="none"/>
          <w:lang w:val="en-US" w:eastAsia="zh-CN"/>
        </w:rPr>
        <w:fldChar w:fldCharType="end"/>
      </w:r>
      <w:r>
        <w:rPr>
          <w:rFonts w:hint="eastAsia" w:ascii="仿宋" w:hAnsi="仿宋" w:eastAsia="仿宋" w:cs="Times New Roman"/>
          <w:color w:val="auto"/>
          <w:sz w:val="28"/>
          <w:szCs w:val="28"/>
          <w:highlight w:val="none"/>
          <w:lang w:val="en-US" w:eastAsia="zh-CN"/>
        </w:rPr>
        <w:t>；投诉书格式等内容参见服务指南&gt;办事指南&gt;投标人服务&gt;投诉受理一次告知书https://ggzy.chuzhou.gov.cn/fwzn/011001/011001001/011001001003/20211022/4b7d87ec-2c58-49b0-b76c-3a6277377930.html</w:t>
      </w:r>
      <w:r>
        <w:rPr>
          <w:rFonts w:hint="eastAsia" w:ascii="仿宋" w:hAnsi="仿宋" w:eastAsia="仿宋"/>
          <w:color w:val="auto"/>
          <w:sz w:val="28"/>
          <w:szCs w:val="28"/>
          <w:highlight w:val="none"/>
          <w:lang w:val="en-US" w:eastAsia="zh-CN"/>
        </w:rPr>
        <w:t>。</w:t>
      </w:r>
    </w:p>
    <w:p w14:paraId="0F692B9D">
      <w:pPr>
        <w:shd w:val="clear"/>
        <w:ind w:firstLine="560" w:firstLineChars="200"/>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八、对本次招标提出询问，请按以下方式联系</w:t>
      </w:r>
    </w:p>
    <w:p w14:paraId="0CC82A51">
      <w:pPr>
        <w:pStyle w:val="3"/>
        <w:pageBreakBefore w:val="0"/>
        <w:widowControl w:val="0"/>
        <w:numPr>
          <w:ilvl w:val="0"/>
          <w:numId w:val="0"/>
        </w:numPr>
        <w:shd w:val="clear"/>
        <w:kinsoku/>
        <w:wordWrap/>
        <w:overflowPunct/>
        <w:topLinePunct w:val="0"/>
        <w:autoSpaceDE/>
        <w:autoSpaceDN/>
        <w:bidi w:val="0"/>
        <w:adjustRightInd/>
        <w:snapToGrid/>
        <w:spacing w:line="480" w:lineRule="exact"/>
        <w:ind w:left="-199" w:leftChars="-95" w:firstLine="560" w:firstLineChars="200"/>
        <w:jc w:val="left"/>
        <w:textAlignment w:val="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　</w:t>
      </w:r>
      <w:bookmarkStart w:id="27" w:name="_Toc8883"/>
      <w:r>
        <w:rPr>
          <w:rFonts w:hint="eastAsia" w:ascii="仿宋" w:hAnsi="仿宋" w:eastAsia="仿宋" w:cs="仿宋"/>
          <w:color w:val="auto"/>
          <w:kern w:val="2"/>
          <w:sz w:val="28"/>
          <w:szCs w:val="28"/>
          <w:highlight w:val="none"/>
        </w:rPr>
        <w:t>1.招标人信息</w:t>
      </w:r>
      <w:bookmarkEnd w:id="27"/>
    </w:p>
    <w:p w14:paraId="0401545F">
      <w:pPr>
        <w:pageBreakBefore w:val="0"/>
        <w:widowControl w:val="0"/>
        <w:shd w:val="clear"/>
        <w:kinsoku/>
        <w:wordWrap/>
        <w:overflowPunct/>
        <w:topLinePunct w:val="0"/>
        <w:autoSpaceDE/>
        <w:autoSpaceDN/>
        <w:bidi w:val="0"/>
        <w:adjustRightInd/>
        <w:snapToGrid/>
        <w:spacing w:line="480" w:lineRule="exact"/>
        <w:ind w:left="-199" w:leftChars="-95" w:firstLine="840" w:firstLineChars="300"/>
        <w:jc w:val="left"/>
        <w:textAlignment w:val="auto"/>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名    称：</w:t>
      </w:r>
      <w:r>
        <w:rPr>
          <w:rFonts w:hint="eastAsia" w:ascii="仿宋" w:hAnsi="仿宋" w:eastAsia="仿宋" w:cs="仿宋"/>
          <w:color w:val="auto"/>
          <w:sz w:val="28"/>
          <w:szCs w:val="28"/>
          <w:highlight w:val="none"/>
          <w:u w:val="single"/>
          <w:lang w:val="en-US" w:eastAsia="zh-CN"/>
        </w:rPr>
        <w:t xml:space="preserve">滁州市琅狮文旅发展有限公司 </w:t>
      </w:r>
      <w:r>
        <w:rPr>
          <w:rFonts w:hint="eastAsia" w:ascii="仿宋" w:hAnsi="仿宋" w:eastAsia="仿宋" w:cs="仿宋"/>
          <w:color w:val="auto"/>
          <w:sz w:val="28"/>
          <w:szCs w:val="28"/>
          <w:highlight w:val="none"/>
          <w:u w:val="single"/>
        </w:rPr>
        <w:t xml:space="preserve"> </w:t>
      </w:r>
    </w:p>
    <w:p w14:paraId="3DCA736A">
      <w:pPr>
        <w:pageBreakBefore w:val="0"/>
        <w:widowControl w:val="0"/>
        <w:shd w:val="clear"/>
        <w:kinsoku/>
        <w:wordWrap/>
        <w:overflowPunct/>
        <w:topLinePunct w:val="0"/>
        <w:autoSpaceDE/>
        <w:autoSpaceDN/>
        <w:bidi w:val="0"/>
        <w:adjustRightInd/>
        <w:snapToGrid/>
        <w:spacing w:line="480" w:lineRule="exact"/>
        <w:ind w:left="-199" w:leftChars="-95" w:firstLine="840" w:firstLineChars="300"/>
        <w:jc w:val="left"/>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地    址：</w:t>
      </w:r>
      <w:r>
        <w:rPr>
          <w:rFonts w:hint="eastAsia" w:ascii="仿宋" w:hAnsi="仿宋" w:eastAsia="仿宋" w:cs="仿宋"/>
          <w:color w:val="auto"/>
          <w:sz w:val="28"/>
          <w:szCs w:val="28"/>
          <w:highlight w:val="none"/>
          <w:u w:val="single"/>
          <w:lang w:val="en-US" w:eastAsia="zh-CN"/>
        </w:rPr>
        <w:t>滁州市中新苏滁高新技术产业开发区徽州南路1999号苏滁商务中心707室</w:t>
      </w:r>
    </w:p>
    <w:p w14:paraId="08056FCB">
      <w:pPr>
        <w:pageBreakBefore w:val="0"/>
        <w:widowControl w:val="0"/>
        <w:shd w:val="clear"/>
        <w:kinsoku/>
        <w:wordWrap/>
        <w:overflowPunct/>
        <w:topLinePunct w:val="0"/>
        <w:autoSpaceDE/>
        <w:autoSpaceDN/>
        <w:bidi w:val="0"/>
        <w:adjustRightInd/>
        <w:snapToGrid/>
        <w:spacing w:line="480" w:lineRule="exact"/>
        <w:ind w:left="-199" w:leftChars="-95" w:firstLine="840" w:firstLineChars="300"/>
        <w:jc w:val="left"/>
        <w:textAlignment w:val="auto"/>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u w:val="single"/>
          <w:lang w:val="en-US" w:eastAsia="zh-CN"/>
        </w:rPr>
        <w:t>0550-2201367</w:t>
      </w:r>
    </w:p>
    <w:p w14:paraId="249116B2">
      <w:pPr>
        <w:pStyle w:val="3"/>
        <w:pageBreakBefore w:val="0"/>
        <w:widowControl w:val="0"/>
        <w:numPr>
          <w:ilvl w:val="0"/>
          <w:numId w:val="0"/>
        </w:numPr>
        <w:shd w:val="clear"/>
        <w:kinsoku/>
        <w:wordWrap/>
        <w:overflowPunct/>
        <w:topLinePunct w:val="0"/>
        <w:autoSpaceDE/>
        <w:autoSpaceDN/>
        <w:bidi w:val="0"/>
        <w:adjustRightInd/>
        <w:snapToGrid/>
        <w:spacing w:line="480" w:lineRule="exact"/>
        <w:ind w:left="-199" w:leftChars="-95" w:firstLine="840" w:firstLineChars="300"/>
        <w:jc w:val="left"/>
        <w:textAlignment w:val="auto"/>
        <w:rPr>
          <w:rFonts w:ascii="仿宋" w:hAnsi="仿宋" w:eastAsia="仿宋" w:cs="仿宋"/>
          <w:color w:val="auto"/>
          <w:kern w:val="2"/>
          <w:sz w:val="28"/>
          <w:szCs w:val="28"/>
          <w:highlight w:val="none"/>
        </w:rPr>
      </w:pPr>
      <w:bookmarkStart w:id="28" w:name="_Toc2671"/>
      <w:r>
        <w:rPr>
          <w:rFonts w:hint="eastAsia" w:ascii="仿宋" w:hAnsi="仿宋" w:eastAsia="仿宋" w:cs="仿宋"/>
          <w:color w:val="auto"/>
          <w:kern w:val="2"/>
          <w:sz w:val="28"/>
          <w:szCs w:val="28"/>
          <w:highlight w:val="none"/>
        </w:rPr>
        <w:t>2.代理机构信息</w:t>
      </w:r>
      <w:bookmarkEnd w:id="28"/>
    </w:p>
    <w:p w14:paraId="70760C51">
      <w:pPr>
        <w:pageBreakBefore w:val="0"/>
        <w:widowControl w:val="0"/>
        <w:shd w:val="clear"/>
        <w:kinsoku/>
        <w:wordWrap/>
        <w:overflowPunct/>
        <w:topLinePunct w:val="0"/>
        <w:autoSpaceDE/>
        <w:autoSpaceDN/>
        <w:bidi w:val="0"/>
        <w:adjustRightInd/>
        <w:snapToGrid/>
        <w:spacing w:line="480" w:lineRule="exact"/>
        <w:ind w:left="-199" w:leftChars="-95" w:firstLine="840" w:firstLineChars="300"/>
        <w:jc w:val="left"/>
        <w:textAlignment w:val="auto"/>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名    称：</w:t>
      </w:r>
      <w:r>
        <w:rPr>
          <w:rFonts w:hint="eastAsia" w:ascii="仿宋" w:hAnsi="仿宋" w:eastAsia="仿宋" w:cs="仿宋"/>
          <w:color w:val="auto"/>
          <w:sz w:val="28"/>
          <w:szCs w:val="28"/>
          <w:highlight w:val="none"/>
          <w:u w:val="single"/>
        </w:rPr>
        <w:t>滁州市城投工程咨询管理有限公司</w:t>
      </w:r>
    </w:p>
    <w:p w14:paraId="7D000023">
      <w:pPr>
        <w:pageBreakBefore w:val="0"/>
        <w:widowControl w:val="0"/>
        <w:shd w:val="clear"/>
        <w:kinsoku/>
        <w:wordWrap/>
        <w:overflowPunct/>
        <w:topLinePunct w:val="0"/>
        <w:autoSpaceDE/>
        <w:autoSpaceDN/>
        <w:bidi w:val="0"/>
        <w:adjustRightInd/>
        <w:snapToGrid/>
        <w:spacing w:line="480" w:lineRule="exact"/>
        <w:ind w:left="-199" w:leftChars="-95" w:firstLine="840" w:firstLineChars="300"/>
        <w:jc w:val="left"/>
        <w:textAlignment w:val="auto"/>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地　　址：</w:t>
      </w:r>
      <w:r>
        <w:rPr>
          <w:rFonts w:hint="eastAsia" w:ascii="仿宋" w:hAnsi="仿宋" w:eastAsia="仿宋" w:cs="仿宋"/>
          <w:color w:val="auto"/>
          <w:sz w:val="28"/>
          <w:szCs w:val="28"/>
          <w:highlight w:val="none"/>
          <w:u w:val="single"/>
        </w:rPr>
        <w:t>滁州市龙蟠大道109号房产大厦6楼</w:t>
      </w:r>
    </w:p>
    <w:p w14:paraId="5C96A8C6">
      <w:pPr>
        <w:pageBreakBefore w:val="0"/>
        <w:widowControl w:val="0"/>
        <w:shd w:val="clear"/>
        <w:kinsoku/>
        <w:wordWrap/>
        <w:overflowPunct/>
        <w:topLinePunct w:val="0"/>
        <w:autoSpaceDE/>
        <w:autoSpaceDN/>
        <w:bidi w:val="0"/>
        <w:adjustRightInd/>
        <w:snapToGrid/>
        <w:spacing w:line="480" w:lineRule="exact"/>
        <w:ind w:left="-199" w:leftChars="-95" w:firstLine="840" w:firstLineChars="300"/>
        <w:jc w:val="left"/>
        <w:textAlignment w:val="auto"/>
        <w:rPr>
          <w:rFonts w:hint="default"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u w:val="single"/>
        </w:rPr>
        <w:t>0550-3519590、</w:t>
      </w:r>
      <w:r>
        <w:rPr>
          <w:rFonts w:hint="eastAsia" w:ascii="仿宋" w:hAnsi="仿宋" w:eastAsia="仿宋" w:cs="仿宋"/>
          <w:color w:val="auto"/>
          <w:sz w:val="28"/>
          <w:szCs w:val="28"/>
          <w:highlight w:val="none"/>
          <w:u w:val="single"/>
          <w:lang w:val="en-US" w:eastAsia="zh-CN"/>
        </w:rPr>
        <w:t>18909605753</w:t>
      </w:r>
    </w:p>
    <w:p w14:paraId="541ED5B8">
      <w:pPr>
        <w:pStyle w:val="3"/>
        <w:pageBreakBefore w:val="0"/>
        <w:widowControl w:val="0"/>
        <w:numPr>
          <w:ilvl w:val="0"/>
          <w:numId w:val="0"/>
        </w:numPr>
        <w:shd w:val="clear"/>
        <w:kinsoku/>
        <w:wordWrap/>
        <w:overflowPunct/>
        <w:topLinePunct w:val="0"/>
        <w:autoSpaceDE/>
        <w:autoSpaceDN/>
        <w:bidi w:val="0"/>
        <w:adjustRightInd/>
        <w:snapToGrid/>
        <w:spacing w:line="480" w:lineRule="exact"/>
        <w:ind w:left="-199" w:leftChars="-95" w:firstLine="840" w:firstLineChars="300"/>
        <w:jc w:val="left"/>
        <w:textAlignment w:val="auto"/>
        <w:rPr>
          <w:rFonts w:ascii="仿宋" w:hAnsi="仿宋" w:eastAsia="仿宋" w:cs="仿宋"/>
          <w:color w:val="auto"/>
          <w:kern w:val="2"/>
          <w:sz w:val="28"/>
          <w:szCs w:val="28"/>
          <w:highlight w:val="none"/>
        </w:rPr>
      </w:pPr>
      <w:bookmarkStart w:id="29" w:name="_Toc25032"/>
      <w:r>
        <w:rPr>
          <w:rFonts w:hint="eastAsia" w:ascii="仿宋" w:hAnsi="仿宋" w:eastAsia="仿宋" w:cs="仿宋"/>
          <w:color w:val="auto"/>
          <w:kern w:val="2"/>
          <w:sz w:val="28"/>
          <w:szCs w:val="28"/>
          <w:highlight w:val="none"/>
        </w:rPr>
        <w:t>3.项目联系方式</w:t>
      </w:r>
      <w:bookmarkEnd w:id="29"/>
    </w:p>
    <w:p w14:paraId="57C5BAD5">
      <w:pPr>
        <w:pStyle w:val="19"/>
        <w:pageBreakBefore w:val="0"/>
        <w:widowControl w:val="0"/>
        <w:shd w:val="clear"/>
        <w:kinsoku/>
        <w:wordWrap/>
        <w:overflowPunct/>
        <w:topLinePunct w:val="0"/>
        <w:autoSpaceDE/>
        <w:autoSpaceDN/>
        <w:bidi w:val="0"/>
        <w:adjustRightInd/>
        <w:snapToGrid/>
        <w:spacing w:line="480" w:lineRule="exact"/>
        <w:ind w:left="-199" w:leftChars="-95" w:firstLine="840" w:firstLineChars="300"/>
        <w:jc w:val="left"/>
        <w:textAlignment w:val="auto"/>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项目联系人：</w:t>
      </w:r>
      <w:r>
        <w:rPr>
          <w:rFonts w:hint="eastAsia" w:ascii="仿宋" w:hAnsi="仿宋" w:eastAsia="仿宋" w:cs="仿宋"/>
          <w:color w:val="auto"/>
          <w:sz w:val="28"/>
          <w:szCs w:val="28"/>
          <w:highlight w:val="none"/>
          <w:u w:val="single"/>
          <w:lang w:val="en-US" w:eastAsia="zh-CN"/>
        </w:rPr>
        <w:t>李传旭</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val="en-US" w:eastAsia="zh-CN"/>
        </w:rPr>
        <w:t>关勤勤</w:t>
      </w:r>
    </w:p>
    <w:p w14:paraId="28E7B289">
      <w:pPr>
        <w:pageBreakBefore w:val="0"/>
        <w:widowControl w:val="0"/>
        <w:shd w:val="clear"/>
        <w:kinsoku/>
        <w:wordWrap/>
        <w:overflowPunct/>
        <w:topLinePunct w:val="0"/>
        <w:autoSpaceDE/>
        <w:autoSpaceDN/>
        <w:bidi w:val="0"/>
        <w:adjustRightInd/>
        <w:snapToGrid/>
        <w:spacing w:line="480" w:lineRule="exact"/>
        <w:ind w:left="-199" w:leftChars="-95" w:firstLine="840" w:firstLineChars="300"/>
        <w:jc w:val="left"/>
        <w:textAlignment w:val="auto"/>
        <w:rPr>
          <w:rFonts w:ascii="仿宋" w:hAnsi="仿宋" w:eastAsia="仿宋"/>
          <w:color w:val="auto"/>
          <w:sz w:val="28"/>
          <w:szCs w:val="28"/>
          <w:highlight w:val="none"/>
          <w:u w:val="single"/>
        </w:rPr>
      </w:pPr>
      <w:r>
        <w:rPr>
          <w:rFonts w:hint="eastAsia" w:ascii="仿宋" w:hAnsi="仿宋" w:eastAsia="仿宋" w:cs="仿宋"/>
          <w:color w:val="auto"/>
          <w:sz w:val="28"/>
          <w:szCs w:val="28"/>
          <w:highlight w:val="none"/>
        </w:rPr>
        <w:t>电　　 话：</w:t>
      </w:r>
      <w:r>
        <w:rPr>
          <w:rFonts w:hint="eastAsia" w:ascii="仿宋" w:hAnsi="仿宋" w:eastAsia="仿宋" w:cs="Times New Roman"/>
          <w:color w:val="auto"/>
          <w:kern w:val="0"/>
          <w:sz w:val="28"/>
          <w:szCs w:val="28"/>
          <w:highlight w:val="none"/>
          <w:u w:val="single" w:color="auto"/>
          <w:lang w:val="en-US" w:eastAsia="zh-CN"/>
        </w:rPr>
        <w:t>0550-2201367</w:t>
      </w:r>
      <w:r>
        <w:rPr>
          <w:rFonts w:hint="eastAsia" w:ascii="仿宋" w:hAnsi="仿宋" w:eastAsia="仿宋" w:cs="仿宋"/>
          <w:color w:val="auto"/>
          <w:sz w:val="28"/>
          <w:szCs w:val="28"/>
          <w:highlight w:val="none"/>
          <w:u w:val="single" w:color="auto"/>
        </w:rPr>
        <w:t>、</w:t>
      </w:r>
      <w:r>
        <w:rPr>
          <w:rFonts w:hint="eastAsia" w:ascii="仿宋" w:hAnsi="仿宋" w:eastAsia="仿宋" w:cs="仿宋"/>
          <w:color w:val="auto"/>
          <w:sz w:val="28"/>
          <w:szCs w:val="28"/>
          <w:highlight w:val="none"/>
          <w:u w:val="single"/>
        </w:rPr>
        <w:t xml:space="preserve">0550-3519590 </w:t>
      </w:r>
    </w:p>
    <w:p w14:paraId="292B10E7">
      <w:pPr>
        <w:rPr>
          <w:rFonts w:hint="eastAsia"/>
          <w:color w:val="auto"/>
          <w:highlight w:val="none"/>
        </w:rPr>
      </w:pPr>
      <w:r>
        <w:rPr>
          <w:rFonts w:hint="eastAsia"/>
          <w:color w:val="auto"/>
          <w:highlight w:val="none"/>
        </w:rPr>
        <w:br w:type="page"/>
      </w:r>
    </w:p>
    <w:p w14:paraId="32C05E22">
      <w:pPr>
        <w:pStyle w:val="2"/>
        <w:keepNext/>
        <w:keepLines/>
        <w:pageBreakBefore w:val="0"/>
        <w:widowControl w:val="0"/>
        <w:shd w:val="clear"/>
        <w:kinsoku/>
        <w:wordWrap/>
        <w:overflowPunct/>
        <w:topLinePunct w:val="0"/>
        <w:autoSpaceDE/>
        <w:autoSpaceDN/>
        <w:bidi w:val="0"/>
        <w:adjustRightInd/>
        <w:snapToGrid/>
        <w:spacing w:beforeLines="50" w:afterLines="50" w:line="520" w:lineRule="exact"/>
        <w:textAlignment w:val="auto"/>
        <w:rPr>
          <w:rFonts w:ascii="宋体"/>
          <w:b w:val="0"/>
          <w:color w:val="auto"/>
          <w:szCs w:val="32"/>
          <w:highlight w:val="none"/>
        </w:rPr>
      </w:pPr>
      <w:bookmarkStart w:id="30" w:name="_Toc13253"/>
      <w:r>
        <w:rPr>
          <w:rFonts w:hint="eastAsia"/>
          <w:color w:val="auto"/>
          <w:highlight w:val="none"/>
        </w:rPr>
        <w:t>第二章 投标人须知</w:t>
      </w:r>
      <w:bookmarkEnd w:id="30"/>
    </w:p>
    <w:p w14:paraId="340B4472">
      <w:pPr>
        <w:shd w:val="clear"/>
        <w:snapToGrid w:val="0"/>
        <w:spacing w:line="440" w:lineRule="exact"/>
        <w:jc w:val="center"/>
        <w:outlineLvl w:val="1"/>
        <w:rPr>
          <w:rFonts w:ascii="宋体"/>
          <w:b/>
          <w:color w:val="auto"/>
          <w:sz w:val="28"/>
          <w:szCs w:val="28"/>
          <w:highlight w:val="none"/>
        </w:rPr>
      </w:pPr>
      <w:bookmarkStart w:id="31" w:name="_Toc58430314"/>
      <w:bookmarkStart w:id="32" w:name="_Toc1019"/>
      <w:bookmarkStart w:id="33" w:name="_Toc449028865"/>
      <w:bookmarkStart w:id="34" w:name="_Toc27300"/>
      <w:r>
        <w:rPr>
          <w:rFonts w:hint="eastAsia" w:ascii="宋体"/>
          <w:b/>
          <w:color w:val="auto"/>
          <w:sz w:val="32"/>
          <w:szCs w:val="32"/>
          <w:highlight w:val="none"/>
        </w:rPr>
        <w:t>一、</w:t>
      </w:r>
      <w:r>
        <w:rPr>
          <w:rFonts w:hint="eastAsia" w:ascii="宋体"/>
          <w:b/>
          <w:color w:val="auto"/>
          <w:sz w:val="28"/>
          <w:szCs w:val="28"/>
          <w:highlight w:val="none"/>
        </w:rPr>
        <w:t>投标人须知前附表</w:t>
      </w:r>
      <w:bookmarkEnd w:id="31"/>
      <w:bookmarkEnd w:id="32"/>
      <w:bookmarkEnd w:id="33"/>
      <w:bookmarkEnd w:id="34"/>
    </w:p>
    <w:tbl>
      <w:tblPr>
        <w:tblStyle w:val="35"/>
        <w:tblW w:w="9798"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48"/>
        <w:gridCol w:w="878"/>
        <w:gridCol w:w="1262"/>
        <w:gridCol w:w="6610"/>
      </w:tblGrid>
      <w:tr w14:paraId="4919BC2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6" w:hRule="atLeast"/>
        </w:trPr>
        <w:tc>
          <w:tcPr>
            <w:tcW w:w="1048" w:type="dxa"/>
            <w:vAlign w:val="center"/>
          </w:tcPr>
          <w:p w14:paraId="7959D60F">
            <w:pPr>
              <w:pStyle w:val="19"/>
              <w:keepNext w:val="0"/>
              <w:keepLines w:val="0"/>
              <w:suppressLineNumbers w:val="0"/>
              <w:shd w:val="clear"/>
              <w:spacing w:before="0" w:beforeAutospacing="0" w:after="0" w:afterAutospacing="0" w:line="500" w:lineRule="exact"/>
              <w:ind w:left="0" w:right="0"/>
              <w:jc w:val="center"/>
              <w:rPr>
                <w:rFonts w:hint="default" w:hAnsi="宋体" w:cs="宋体"/>
                <w:b/>
                <w:color w:val="auto"/>
                <w:szCs w:val="21"/>
                <w:highlight w:val="none"/>
              </w:rPr>
            </w:pPr>
            <w:r>
              <w:rPr>
                <w:rFonts w:hint="eastAsia" w:hAnsi="宋体" w:cs="宋体"/>
                <w:b/>
                <w:color w:val="auto"/>
                <w:szCs w:val="21"/>
                <w:highlight w:val="none"/>
              </w:rPr>
              <w:t>条款号</w:t>
            </w:r>
          </w:p>
        </w:tc>
        <w:tc>
          <w:tcPr>
            <w:tcW w:w="2140" w:type="dxa"/>
            <w:gridSpan w:val="2"/>
            <w:vAlign w:val="center"/>
          </w:tcPr>
          <w:p w14:paraId="01326B29">
            <w:pPr>
              <w:pStyle w:val="19"/>
              <w:keepNext w:val="0"/>
              <w:keepLines w:val="0"/>
              <w:suppressLineNumbers w:val="0"/>
              <w:shd w:val="clear"/>
              <w:spacing w:before="0" w:beforeAutospacing="0" w:after="0" w:afterAutospacing="0" w:line="500" w:lineRule="exact"/>
              <w:ind w:left="0" w:right="0"/>
              <w:jc w:val="center"/>
              <w:rPr>
                <w:rFonts w:hint="default" w:hAnsi="宋体" w:cs="宋体"/>
                <w:b/>
                <w:color w:val="auto"/>
                <w:szCs w:val="21"/>
                <w:highlight w:val="none"/>
              </w:rPr>
            </w:pPr>
            <w:r>
              <w:rPr>
                <w:rFonts w:hint="eastAsia" w:hAnsi="宋体" w:cs="宋体"/>
                <w:b/>
                <w:color w:val="auto"/>
                <w:szCs w:val="21"/>
                <w:highlight w:val="none"/>
              </w:rPr>
              <w:t>内容</w:t>
            </w:r>
          </w:p>
        </w:tc>
        <w:tc>
          <w:tcPr>
            <w:tcW w:w="6610" w:type="dxa"/>
            <w:vAlign w:val="center"/>
          </w:tcPr>
          <w:p w14:paraId="7D47AF78">
            <w:pPr>
              <w:pStyle w:val="19"/>
              <w:keepNext w:val="0"/>
              <w:keepLines w:val="0"/>
              <w:suppressLineNumbers w:val="0"/>
              <w:shd w:val="clear"/>
              <w:spacing w:before="0" w:beforeAutospacing="0" w:after="0" w:afterAutospacing="0" w:line="500" w:lineRule="exact"/>
              <w:ind w:left="0" w:right="0"/>
              <w:jc w:val="center"/>
              <w:rPr>
                <w:rFonts w:hint="default" w:hAnsi="宋体" w:cs="宋体"/>
                <w:b/>
                <w:color w:val="auto"/>
                <w:szCs w:val="21"/>
                <w:highlight w:val="none"/>
              </w:rPr>
            </w:pPr>
            <w:r>
              <w:rPr>
                <w:rFonts w:hint="eastAsia" w:hAnsi="宋体" w:cs="宋体"/>
                <w:b/>
                <w:color w:val="auto"/>
                <w:szCs w:val="21"/>
                <w:highlight w:val="none"/>
              </w:rPr>
              <w:t>说明与要求</w:t>
            </w:r>
          </w:p>
        </w:tc>
      </w:tr>
      <w:tr w14:paraId="7B175F1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9" w:hRule="atLeast"/>
        </w:trPr>
        <w:tc>
          <w:tcPr>
            <w:tcW w:w="1048" w:type="dxa"/>
            <w:vAlign w:val="center"/>
          </w:tcPr>
          <w:p w14:paraId="44548235">
            <w:pPr>
              <w:pStyle w:val="19"/>
              <w:keepNext w:val="0"/>
              <w:keepLines w:val="0"/>
              <w:suppressLineNumbers w:val="0"/>
              <w:shd w:val="clear"/>
              <w:spacing w:before="0" w:beforeAutospacing="0" w:after="0" w:afterAutospacing="0" w:line="500" w:lineRule="exact"/>
              <w:ind w:left="0" w:right="0"/>
              <w:jc w:val="center"/>
              <w:rPr>
                <w:rFonts w:hint="default" w:hAnsi="宋体" w:cs="宋体"/>
                <w:color w:val="auto"/>
                <w:szCs w:val="21"/>
                <w:highlight w:val="none"/>
              </w:rPr>
            </w:pPr>
            <w:r>
              <w:rPr>
                <w:rFonts w:hint="eastAsia" w:hAnsi="宋体" w:cs="宋体"/>
                <w:color w:val="auto"/>
                <w:szCs w:val="21"/>
                <w:highlight w:val="none"/>
              </w:rPr>
              <w:t>1.1</w:t>
            </w:r>
          </w:p>
        </w:tc>
        <w:tc>
          <w:tcPr>
            <w:tcW w:w="2140" w:type="dxa"/>
            <w:gridSpan w:val="2"/>
            <w:vAlign w:val="center"/>
          </w:tcPr>
          <w:p w14:paraId="66E0A56A">
            <w:pPr>
              <w:pStyle w:val="19"/>
              <w:keepNext w:val="0"/>
              <w:keepLines w:val="0"/>
              <w:suppressLineNumbers w:val="0"/>
              <w:shd w:val="clear"/>
              <w:spacing w:before="0" w:beforeAutospacing="0" w:after="0" w:afterAutospacing="0" w:line="500" w:lineRule="exact"/>
              <w:ind w:left="0" w:right="0"/>
              <w:jc w:val="left"/>
              <w:rPr>
                <w:rFonts w:hint="default" w:hAnsi="宋体" w:cs="宋体"/>
                <w:color w:val="auto"/>
                <w:szCs w:val="21"/>
                <w:highlight w:val="none"/>
              </w:rPr>
            </w:pPr>
            <w:r>
              <w:rPr>
                <w:rFonts w:hint="eastAsia" w:hAnsi="宋体" w:cs="宋体"/>
                <w:color w:val="auto"/>
                <w:szCs w:val="21"/>
                <w:highlight w:val="none"/>
              </w:rPr>
              <w:t>项目名称</w:t>
            </w:r>
          </w:p>
        </w:tc>
        <w:tc>
          <w:tcPr>
            <w:tcW w:w="6610" w:type="dxa"/>
            <w:vAlign w:val="center"/>
          </w:tcPr>
          <w:p w14:paraId="2A7A73AB">
            <w:pPr>
              <w:pStyle w:val="19"/>
              <w:keepNext w:val="0"/>
              <w:keepLines w:val="0"/>
              <w:suppressLineNumbers w:val="0"/>
              <w:shd w:val="clear"/>
              <w:spacing w:before="0" w:beforeAutospacing="0" w:after="0" w:afterAutospacing="0" w:line="500" w:lineRule="exact"/>
              <w:ind w:left="0" w:right="0"/>
              <w:rPr>
                <w:rFonts w:hint="default" w:hAnsi="宋体" w:eastAsia="宋体" w:cs="宋体"/>
                <w:color w:val="auto"/>
                <w:szCs w:val="21"/>
                <w:highlight w:val="none"/>
                <w:lang w:val="en-US" w:eastAsia="zh-CN"/>
              </w:rPr>
            </w:pPr>
            <w:r>
              <w:rPr>
                <w:rFonts w:hint="default" w:hAnsi="宋体" w:eastAsia="宋体" w:cs="宋体"/>
                <w:color w:val="auto"/>
                <w:szCs w:val="21"/>
                <w:highlight w:val="none"/>
                <w:lang w:val="en-US" w:eastAsia="zh-CN"/>
              </w:rPr>
              <w:t>2026年中国国际皮划艇马拉松公开赛（安徽·滁州站）赛事服务项目</w:t>
            </w:r>
          </w:p>
        </w:tc>
      </w:tr>
      <w:tr w14:paraId="2C908AE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19" w:hRule="atLeast"/>
        </w:trPr>
        <w:tc>
          <w:tcPr>
            <w:tcW w:w="1048" w:type="dxa"/>
            <w:vAlign w:val="center"/>
          </w:tcPr>
          <w:p w14:paraId="5B829123">
            <w:pPr>
              <w:pStyle w:val="19"/>
              <w:keepNext w:val="0"/>
              <w:keepLines w:val="0"/>
              <w:suppressLineNumbers w:val="0"/>
              <w:shd w:val="clear"/>
              <w:spacing w:before="0" w:beforeAutospacing="0" w:after="0" w:afterAutospacing="0" w:line="500" w:lineRule="exact"/>
              <w:ind w:left="0" w:right="0"/>
              <w:jc w:val="center"/>
              <w:rPr>
                <w:rFonts w:hint="default" w:hAnsi="宋体" w:cs="宋体"/>
                <w:color w:val="auto"/>
                <w:szCs w:val="21"/>
                <w:highlight w:val="none"/>
              </w:rPr>
            </w:pPr>
            <w:r>
              <w:rPr>
                <w:rFonts w:hint="eastAsia" w:hAnsi="宋体" w:cs="宋体"/>
                <w:color w:val="auto"/>
                <w:szCs w:val="21"/>
                <w:highlight w:val="none"/>
              </w:rPr>
              <w:t>1.1</w:t>
            </w:r>
          </w:p>
        </w:tc>
        <w:tc>
          <w:tcPr>
            <w:tcW w:w="2140" w:type="dxa"/>
            <w:gridSpan w:val="2"/>
            <w:vAlign w:val="center"/>
          </w:tcPr>
          <w:p w14:paraId="2CEC1A84">
            <w:pPr>
              <w:pStyle w:val="19"/>
              <w:keepNext w:val="0"/>
              <w:keepLines w:val="0"/>
              <w:suppressLineNumbers w:val="0"/>
              <w:shd w:val="clear"/>
              <w:spacing w:before="0" w:beforeAutospacing="0" w:after="0" w:afterAutospacing="0" w:line="500" w:lineRule="exact"/>
              <w:ind w:left="0" w:right="0"/>
              <w:rPr>
                <w:rFonts w:hint="default" w:hAnsi="宋体" w:cs="宋体"/>
                <w:color w:val="auto"/>
                <w:szCs w:val="21"/>
                <w:highlight w:val="none"/>
              </w:rPr>
            </w:pPr>
            <w:r>
              <w:rPr>
                <w:rFonts w:hint="eastAsia" w:hAnsi="宋体" w:cs="宋体"/>
                <w:color w:val="auto"/>
                <w:szCs w:val="21"/>
                <w:highlight w:val="none"/>
              </w:rPr>
              <w:t>项目编号</w:t>
            </w:r>
          </w:p>
        </w:tc>
        <w:tc>
          <w:tcPr>
            <w:tcW w:w="6610" w:type="dxa"/>
            <w:vAlign w:val="center"/>
          </w:tcPr>
          <w:p w14:paraId="05A8D5EC">
            <w:pPr>
              <w:pStyle w:val="19"/>
              <w:keepNext w:val="0"/>
              <w:keepLines w:val="0"/>
              <w:suppressLineNumbers w:val="0"/>
              <w:shd w:val="clear"/>
              <w:spacing w:before="0" w:beforeAutospacing="0" w:after="0" w:afterAutospacing="0" w:line="500" w:lineRule="exact"/>
              <w:ind w:left="0" w:right="0"/>
              <w:rPr>
                <w:rFonts w:hint="default" w:hAnsi="宋体" w:eastAsia="宋体" w:cs="宋体"/>
                <w:color w:val="auto"/>
                <w:szCs w:val="21"/>
                <w:highlight w:val="none"/>
                <w:lang w:val="en-US" w:eastAsia="zh-CN"/>
              </w:rPr>
            </w:pPr>
            <w:r>
              <w:rPr>
                <w:rFonts w:hint="default" w:hAnsi="宋体" w:eastAsia="宋体" w:cs="宋体"/>
                <w:color w:val="auto"/>
                <w:szCs w:val="21"/>
                <w:highlight w:val="none"/>
                <w:lang w:val="en-US" w:eastAsia="zh-CN"/>
              </w:rPr>
              <w:t>czsjqt202608-009</w:t>
            </w:r>
          </w:p>
        </w:tc>
      </w:tr>
      <w:tr w14:paraId="7C264E8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trPr>
        <w:tc>
          <w:tcPr>
            <w:tcW w:w="1048" w:type="dxa"/>
            <w:vAlign w:val="center"/>
          </w:tcPr>
          <w:p w14:paraId="0655D082">
            <w:pPr>
              <w:pStyle w:val="19"/>
              <w:keepNext w:val="0"/>
              <w:keepLines w:val="0"/>
              <w:suppressLineNumbers w:val="0"/>
              <w:shd w:val="clear"/>
              <w:spacing w:before="0" w:beforeAutospacing="0" w:after="0" w:afterAutospacing="0" w:line="500" w:lineRule="exact"/>
              <w:ind w:left="0" w:right="0"/>
              <w:jc w:val="center"/>
              <w:rPr>
                <w:rFonts w:hint="default" w:hAnsi="宋体" w:cs="宋体"/>
                <w:color w:val="auto"/>
                <w:szCs w:val="21"/>
                <w:highlight w:val="none"/>
              </w:rPr>
            </w:pPr>
            <w:r>
              <w:rPr>
                <w:rFonts w:hint="eastAsia" w:hAnsi="宋体" w:cs="宋体"/>
                <w:color w:val="auto"/>
                <w:szCs w:val="21"/>
                <w:highlight w:val="none"/>
              </w:rPr>
              <w:t>1.1</w:t>
            </w:r>
          </w:p>
        </w:tc>
        <w:tc>
          <w:tcPr>
            <w:tcW w:w="2140" w:type="dxa"/>
            <w:gridSpan w:val="2"/>
            <w:vAlign w:val="center"/>
          </w:tcPr>
          <w:p w14:paraId="59331298">
            <w:pPr>
              <w:pStyle w:val="19"/>
              <w:keepNext w:val="0"/>
              <w:keepLines w:val="0"/>
              <w:suppressLineNumbers w:val="0"/>
              <w:shd w:val="clear"/>
              <w:spacing w:before="0" w:beforeAutospacing="0" w:after="0" w:afterAutospacing="0" w:line="500" w:lineRule="exact"/>
              <w:ind w:left="0" w:right="0"/>
              <w:jc w:val="left"/>
              <w:rPr>
                <w:rFonts w:hint="default" w:hAnsi="宋体" w:cs="宋体"/>
                <w:color w:val="auto"/>
                <w:szCs w:val="21"/>
                <w:highlight w:val="none"/>
              </w:rPr>
            </w:pPr>
            <w:r>
              <w:rPr>
                <w:rFonts w:hint="eastAsia" w:hAnsi="宋体" w:cs="宋体"/>
                <w:color w:val="auto"/>
                <w:szCs w:val="21"/>
                <w:highlight w:val="none"/>
              </w:rPr>
              <w:t>合同履行期限</w:t>
            </w:r>
          </w:p>
        </w:tc>
        <w:tc>
          <w:tcPr>
            <w:tcW w:w="6610" w:type="dxa"/>
            <w:vAlign w:val="center"/>
          </w:tcPr>
          <w:p w14:paraId="4186B73C">
            <w:pPr>
              <w:keepNext w:val="0"/>
              <w:keepLines w:val="0"/>
              <w:suppressLineNumbers w:val="0"/>
              <w:shd w:val="clear"/>
              <w:spacing w:before="0" w:beforeAutospacing="0" w:after="0" w:afterAutospacing="0" w:line="500" w:lineRule="exact"/>
              <w:ind w:left="0" w:right="0"/>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本项目服务期自合同签订之日起至赛事圆满落幕，具体时间节点以招标人安排为准。</w:t>
            </w:r>
          </w:p>
        </w:tc>
      </w:tr>
      <w:tr w14:paraId="4C73D5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9" w:hRule="atLeast"/>
        </w:trPr>
        <w:tc>
          <w:tcPr>
            <w:tcW w:w="1048" w:type="dxa"/>
            <w:vAlign w:val="center"/>
          </w:tcPr>
          <w:p w14:paraId="0E6224D0">
            <w:pPr>
              <w:pStyle w:val="19"/>
              <w:keepNext w:val="0"/>
              <w:keepLines w:val="0"/>
              <w:suppressLineNumbers w:val="0"/>
              <w:shd w:val="clear"/>
              <w:spacing w:before="0" w:beforeAutospacing="0" w:after="0" w:afterAutospacing="0" w:line="500" w:lineRule="exact"/>
              <w:ind w:left="0" w:right="0"/>
              <w:jc w:val="center"/>
              <w:rPr>
                <w:rFonts w:hint="default" w:hAnsi="宋体" w:cs="宋体"/>
                <w:color w:val="auto"/>
                <w:szCs w:val="21"/>
                <w:highlight w:val="none"/>
              </w:rPr>
            </w:pPr>
            <w:r>
              <w:rPr>
                <w:rFonts w:hint="eastAsia" w:hAnsi="宋体" w:cs="宋体"/>
                <w:color w:val="auto"/>
                <w:szCs w:val="21"/>
                <w:highlight w:val="none"/>
              </w:rPr>
              <w:t>1.1</w:t>
            </w:r>
          </w:p>
        </w:tc>
        <w:tc>
          <w:tcPr>
            <w:tcW w:w="2140" w:type="dxa"/>
            <w:gridSpan w:val="2"/>
            <w:vAlign w:val="center"/>
          </w:tcPr>
          <w:p w14:paraId="2D964F7C">
            <w:pPr>
              <w:pStyle w:val="19"/>
              <w:keepNext w:val="0"/>
              <w:keepLines w:val="0"/>
              <w:suppressLineNumbers w:val="0"/>
              <w:shd w:val="clear"/>
              <w:spacing w:before="0" w:beforeAutospacing="0" w:after="0" w:afterAutospacing="0" w:line="500" w:lineRule="exact"/>
              <w:ind w:left="0" w:right="0"/>
              <w:jc w:val="left"/>
              <w:rPr>
                <w:rFonts w:hint="default" w:hAnsi="宋体" w:cs="宋体"/>
                <w:color w:val="auto"/>
                <w:szCs w:val="21"/>
                <w:highlight w:val="none"/>
              </w:rPr>
            </w:pPr>
            <w:r>
              <w:rPr>
                <w:rFonts w:hint="eastAsia" w:hAnsi="宋体" w:cs="宋体"/>
                <w:color w:val="auto"/>
                <w:szCs w:val="21"/>
                <w:highlight w:val="none"/>
              </w:rPr>
              <w:t>服务地点</w:t>
            </w:r>
          </w:p>
        </w:tc>
        <w:tc>
          <w:tcPr>
            <w:tcW w:w="6610" w:type="dxa"/>
            <w:vAlign w:val="center"/>
          </w:tcPr>
          <w:p w14:paraId="1B36716C">
            <w:pPr>
              <w:pStyle w:val="19"/>
              <w:keepNext w:val="0"/>
              <w:keepLines w:val="0"/>
              <w:suppressLineNumbers w:val="0"/>
              <w:shd w:val="clear"/>
              <w:spacing w:before="0" w:beforeAutospacing="0" w:after="0" w:afterAutospacing="0" w:line="500" w:lineRule="exact"/>
              <w:ind w:left="0" w:right="0"/>
              <w:rPr>
                <w:rFonts w:hint="default" w:hAnsi="宋体" w:cs="宋体"/>
                <w:color w:val="auto"/>
                <w:szCs w:val="21"/>
                <w:highlight w:val="none"/>
              </w:rPr>
            </w:pPr>
            <w:r>
              <w:rPr>
                <w:rFonts w:hint="eastAsia" w:hAnsi="宋体" w:cs="宋体"/>
                <w:color w:val="auto"/>
                <w:szCs w:val="21"/>
                <w:highlight w:val="none"/>
              </w:rPr>
              <w:t>滁州市内</w:t>
            </w:r>
          </w:p>
        </w:tc>
      </w:tr>
      <w:tr w14:paraId="2EDB6F9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8" w:hRule="atLeast"/>
        </w:trPr>
        <w:tc>
          <w:tcPr>
            <w:tcW w:w="1048" w:type="dxa"/>
            <w:vAlign w:val="center"/>
          </w:tcPr>
          <w:p w14:paraId="2143E42D">
            <w:pPr>
              <w:pStyle w:val="19"/>
              <w:keepNext w:val="0"/>
              <w:keepLines w:val="0"/>
              <w:suppressLineNumbers w:val="0"/>
              <w:shd w:val="clear"/>
              <w:spacing w:before="0" w:beforeAutospacing="0" w:after="0" w:afterAutospacing="0" w:line="500" w:lineRule="exact"/>
              <w:ind w:left="0" w:right="0"/>
              <w:jc w:val="center"/>
              <w:rPr>
                <w:rFonts w:hint="default" w:hAnsi="宋体" w:cs="宋体"/>
                <w:color w:val="auto"/>
                <w:szCs w:val="21"/>
                <w:highlight w:val="none"/>
              </w:rPr>
            </w:pPr>
            <w:r>
              <w:rPr>
                <w:rFonts w:hint="eastAsia" w:hAnsi="宋体" w:cs="宋体"/>
                <w:color w:val="auto"/>
                <w:szCs w:val="21"/>
                <w:highlight w:val="none"/>
              </w:rPr>
              <w:t>1.2</w:t>
            </w:r>
          </w:p>
        </w:tc>
        <w:tc>
          <w:tcPr>
            <w:tcW w:w="2140" w:type="dxa"/>
            <w:gridSpan w:val="2"/>
            <w:vAlign w:val="center"/>
          </w:tcPr>
          <w:p w14:paraId="7C738029">
            <w:pPr>
              <w:pStyle w:val="19"/>
              <w:keepNext w:val="0"/>
              <w:keepLines w:val="0"/>
              <w:suppressLineNumbers w:val="0"/>
              <w:shd w:val="clear"/>
              <w:spacing w:before="0" w:beforeAutospacing="0" w:after="0" w:afterAutospacing="0" w:line="500" w:lineRule="exact"/>
              <w:ind w:left="0" w:right="0"/>
              <w:jc w:val="left"/>
              <w:rPr>
                <w:rFonts w:hint="default" w:hAnsi="宋体" w:cs="宋体"/>
                <w:color w:val="auto"/>
                <w:szCs w:val="21"/>
                <w:highlight w:val="none"/>
              </w:rPr>
            </w:pPr>
            <w:r>
              <w:rPr>
                <w:rFonts w:hint="eastAsia" w:hAnsi="宋体" w:cs="宋体"/>
                <w:color w:val="auto"/>
                <w:szCs w:val="21"/>
                <w:highlight w:val="none"/>
              </w:rPr>
              <w:t>招标人联系人及电话</w:t>
            </w:r>
          </w:p>
        </w:tc>
        <w:tc>
          <w:tcPr>
            <w:tcW w:w="6610" w:type="dxa"/>
            <w:vAlign w:val="center"/>
          </w:tcPr>
          <w:p w14:paraId="6DF838C8">
            <w:pPr>
              <w:pStyle w:val="19"/>
              <w:keepNext w:val="0"/>
              <w:keepLines w:val="0"/>
              <w:suppressLineNumbers w:val="0"/>
              <w:shd w:val="clear"/>
              <w:spacing w:before="0" w:beforeAutospacing="0" w:after="0" w:afterAutospacing="0" w:line="500" w:lineRule="exact"/>
              <w:ind w:left="0" w:right="0"/>
              <w:rPr>
                <w:rFonts w:hint="default" w:hAnsi="宋体" w:eastAsia="宋体" w:cs="宋体"/>
                <w:color w:val="auto"/>
                <w:szCs w:val="21"/>
                <w:highlight w:val="none"/>
                <w:lang w:val="en-US" w:eastAsia="zh-CN"/>
              </w:rPr>
            </w:pPr>
            <w:r>
              <w:rPr>
                <w:rFonts w:hint="eastAsia" w:hAnsi="宋体" w:cs="宋体"/>
                <w:color w:val="auto"/>
                <w:szCs w:val="21"/>
                <w:highlight w:val="none"/>
              </w:rPr>
              <w:t>联系人：</w:t>
            </w:r>
            <w:r>
              <w:rPr>
                <w:rFonts w:hint="eastAsia" w:hAnsi="宋体" w:cs="宋体"/>
                <w:color w:val="auto"/>
                <w:szCs w:val="21"/>
                <w:highlight w:val="none"/>
                <w:lang w:val="en-US" w:eastAsia="zh-CN"/>
              </w:rPr>
              <w:t>李传旭</w:t>
            </w:r>
            <w:r>
              <w:rPr>
                <w:rFonts w:hint="eastAsia" w:hAnsi="宋体" w:cs="宋体"/>
                <w:color w:val="auto"/>
                <w:szCs w:val="21"/>
                <w:highlight w:val="none"/>
              </w:rPr>
              <w:t xml:space="preserve">            </w:t>
            </w:r>
            <w:r>
              <w:rPr>
                <w:rFonts w:hint="eastAsia" w:hAnsi="宋体" w:cs="宋体"/>
                <w:color w:val="auto"/>
                <w:szCs w:val="21"/>
                <w:highlight w:val="none"/>
                <w:lang w:val="en-US" w:eastAsia="zh-CN"/>
              </w:rPr>
              <w:t xml:space="preserve">  </w:t>
            </w:r>
            <w:r>
              <w:rPr>
                <w:rFonts w:hint="eastAsia" w:hAnsi="宋体" w:cs="宋体"/>
                <w:color w:val="auto"/>
                <w:szCs w:val="21"/>
                <w:highlight w:val="none"/>
              </w:rPr>
              <w:t>电话：</w:t>
            </w:r>
            <w:r>
              <w:rPr>
                <w:rFonts w:hint="eastAsia" w:hAnsi="宋体" w:cs="宋体"/>
                <w:color w:val="auto"/>
                <w:szCs w:val="21"/>
                <w:highlight w:val="none"/>
                <w:lang w:val="en-US" w:eastAsia="zh-CN"/>
              </w:rPr>
              <w:t>0550-2201367</w:t>
            </w:r>
          </w:p>
        </w:tc>
      </w:tr>
      <w:tr w14:paraId="48EA6B3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00" w:hRule="atLeast"/>
        </w:trPr>
        <w:tc>
          <w:tcPr>
            <w:tcW w:w="1048" w:type="dxa"/>
            <w:vAlign w:val="center"/>
          </w:tcPr>
          <w:p w14:paraId="055236AD">
            <w:pPr>
              <w:pStyle w:val="19"/>
              <w:keepNext w:val="0"/>
              <w:keepLines w:val="0"/>
              <w:suppressLineNumbers w:val="0"/>
              <w:shd w:val="clear"/>
              <w:spacing w:before="0" w:beforeAutospacing="0" w:after="0" w:afterAutospacing="0" w:line="500" w:lineRule="exact"/>
              <w:ind w:left="0" w:right="0"/>
              <w:jc w:val="center"/>
              <w:rPr>
                <w:rFonts w:hint="default" w:hAnsi="宋体" w:cs="宋体"/>
                <w:color w:val="auto"/>
                <w:szCs w:val="21"/>
                <w:highlight w:val="none"/>
              </w:rPr>
            </w:pPr>
            <w:r>
              <w:rPr>
                <w:rFonts w:hint="eastAsia" w:hAnsi="宋体" w:cs="宋体"/>
                <w:color w:val="auto"/>
                <w:szCs w:val="21"/>
                <w:highlight w:val="none"/>
              </w:rPr>
              <w:t>1.2</w:t>
            </w:r>
          </w:p>
        </w:tc>
        <w:tc>
          <w:tcPr>
            <w:tcW w:w="2140" w:type="dxa"/>
            <w:gridSpan w:val="2"/>
            <w:vAlign w:val="center"/>
          </w:tcPr>
          <w:p w14:paraId="785EA7E4">
            <w:pPr>
              <w:pStyle w:val="19"/>
              <w:keepNext w:val="0"/>
              <w:keepLines w:val="0"/>
              <w:suppressLineNumbers w:val="0"/>
              <w:shd w:val="clear"/>
              <w:spacing w:before="0" w:beforeAutospacing="0" w:after="0" w:afterAutospacing="0" w:line="500" w:lineRule="exact"/>
              <w:ind w:left="0" w:right="0"/>
              <w:jc w:val="left"/>
              <w:rPr>
                <w:rFonts w:hint="default" w:hAnsi="宋体" w:cs="宋体"/>
                <w:color w:val="auto"/>
                <w:szCs w:val="21"/>
                <w:highlight w:val="none"/>
              </w:rPr>
            </w:pPr>
            <w:r>
              <w:rPr>
                <w:rFonts w:hint="eastAsia" w:hAnsi="宋体" w:cs="宋体"/>
                <w:color w:val="auto"/>
                <w:szCs w:val="21"/>
                <w:highlight w:val="none"/>
              </w:rPr>
              <w:t>采购代理机构联系人及电话</w:t>
            </w:r>
          </w:p>
        </w:tc>
        <w:tc>
          <w:tcPr>
            <w:tcW w:w="6610" w:type="dxa"/>
            <w:vAlign w:val="center"/>
          </w:tcPr>
          <w:p w14:paraId="754529F4">
            <w:pPr>
              <w:pStyle w:val="19"/>
              <w:keepNext w:val="0"/>
              <w:keepLines w:val="0"/>
              <w:suppressLineNumbers w:val="0"/>
              <w:shd w:val="clear"/>
              <w:spacing w:before="0" w:beforeAutospacing="0" w:after="0" w:afterAutospacing="0" w:line="500" w:lineRule="exact"/>
              <w:ind w:left="0" w:right="0"/>
              <w:rPr>
                <w:rFonts w:hint="default" w:hAnsi="宋体" w:eastAsia="宋体" w:cs="宋体"/>
                <w:color w:val="auto"/>
                <w:szCs w:val="21"/>
                <w:highlight w:val="none"/>
                <w:lang w:val="en-US" w:eastAsia="zh-CN"/>
              </w:rPr>
            </w:pPr>
            <w:r>
              <w:rPr>
                <w:rFonts w:hint="eastAsia" w:hAnsi="宋体" w:cs="宋体"/>
                <w:color w:val="auto"/>
                <w:szCs w:val="21"/>
                <w:highlight w:val="none"/>
              </w:rPr>
              <w:t>联系人：</w:t>
            </w:r>
            <w:r>
              <w:rPr>
                <w:rFonts w:hint="eastAsia" w:hAnsi="宋体" w:cs="宋体"/>
                <w:color w:val="auto"/>
                <w:szCs w:val="21"/>
                <w:highlight w:val="none"/>
                <w:lang w:val="en-US" w:eastAsia="zh-CN"/>
              </w:rPr>
              <w:t>关勤勤</w:t>
            </w:r>
            <w:r>
              <w:rPr>
                <w:rFonts w:hint="eastAsia" w:hAnsi="宋体" w:cs="宋体"/>
                <w:color w:val="auto"/>
                <w:szCs w:val="21"/>
                <w:highlight w:val="none"/>
              </w:rPr>
              <w:t xml:space="preserve">              电话</w:t>
            </w:r>
            <w:r>
              <w:rPr>
                <w:rFonts w:hint="eastAsia" w:hAnsi="宋体" w:cs="宋体"/>
                <w:color w:val="auto"/>
                <w:szCs w:val="21"/>
                <w:highlight w:val="none"/>
                <w:lang w:eastAsia="zh-CN"/>
              </w:rPr>
              <w:t>：</w:t>
            </w:r>
            <w:r>
              <w:rPr>
                <w:rFonts w:hint="eastAsia" w:hAnsi="宋体" w:cs="宋体"/>
                <w:color w:val="auto"/>
                <w:szCs w:val="21"/>
                <w:highlight w:val="none"/>
              </w:rPr>
              <w:t xml:space="preserve">0550-3519590   </w:t>
            </w:r>
            <w:r>
              <w:rPr>
                <w:rFonts w:hint="eastAsia" w:hAnsi="宋体" w:cs="宋体"/>
                <w:color w:val="auto"/>
                <w:szCs w:val="21"/>
                <w:highlight w:val="none"/>
                <w:lang w:val="en-US" w:eastAsia="zh-CN"/>
              </w:rPr>
              <w:t>18909605753</w:t>
            </w:r>
          </w:p>
        </w:tc>
      </w:tr>
      <w:tr w14:paraId="1C9BB0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7" w:hRule="atLeast"/>
        </w:trPr>
        <w:tc>
          <w:tcPr>
            <w:tcW w:w="1048" w:type="dxa"/>
            <w:vAlign w:val="center"/>
          </w:tcPr>
          <w:p w14:paraId="006E2A55">
            <w:pPr>
              <w:pStyle w:val="19"/>
              <w:keepNext w:val="0"/>
              <w:keepLines w:val="0"/>
              <w:suppressLineNumbers w:val="0"/>
              <w:shd w:val="clear"/>
              <w:spacing w:before="0" w:beforeAutospacing="0" w:after="0" w:afterAutospacing="0" w:line="500" w:lineRule="exact"/>
              <w:ind w:left="0" w:right="0"/>
              <w:jc w:val="center"/>
              <w:rPr>
                <w:rFonts w:hint="default" w:hAnsi="宋体" w:eastAsia="宋体" w:cs="宋体"/>
                <w:color w:val="auto"/>
                <w:szCs w:val="21"/>
                <w:highlight w:val="none"/>
                <w:lang w:val="en-US" w:eastAsia="zh-CN"/>
              </w:rPr>
            </w:pPr>
            <w:r>
              <w:rPr>
                <w:rFonts w:hint="eastAsia" w:hAnsi="宋体" w:cs="宋体"/>
                <w:color w:val="auto"/>
                <w:szCs w:val="21"/>
                <w:highlight w:val="none"/>
                <w:lang w:val="en-US" w:eastAsia="zh-CN"/>
              </w:rPr>
              <w:t>1.3</w:t>
            </w:r>
          </w:p>
        </w:tc>
        <w:tc>
          <w:tcPr>
            <w:tcW w:w="2140" w:type="dxa"/>
            <w:gridSpan w:val="2"/>
            <w:vAlign w:val="center"/>
          </w:tcPr>
          <w:p w14:paraId="5135FE83">
            <w:pPr>
              <w:pStyle w:val="19"/>
              <w:keepNext w:val="0"/>
              <w:keepLines w:val="0"/>
              <w:suppressLineNumbers w:val="0"/>
              <w:shd w:val="clear"/>
              <w:spacing w:before="0" w:beforeAutospacing="0" w:after="0" w:afterAutospacing="0" w:line="500" w:lineRule="exact"/>
              <w:ind w:left="0" w:right="0"/>
              <w:jc w:val="left"/>
              <w:rPr>
                <w:rFonts w:hint="eastAsia" w:hAnsi="宋体" w:eastAsia="宋体" w:cs="宋体"/>
                <w:color w:val="auto"/>
                <w:szCs w:val="21"/>
                <w:highlight w:val="none"/>
                <w:lang w:val="en-US" w:eastAsia="zh-CN"/>
              </w:rPr>
            </w:pPr>
            <w:r>
              <w:rPr>
                <w:rFonts w:hint="eastAsia" w:hAnsi="宋体" w:cs="宋体"/>
                <w:color w:val="auto"/>
                <w:szCs w:val="21"/>
                <w:highlight w:val="none"/>
                <w:lang w:val="en-US" w:eastAsia="zh-CN"/>
              </w:rPr>
              <w:t>资金来源</w:t>
            </w:r>
          </w:p>
        </w:tc>
        <w:tc>
          <w:tcPr>
            <w:tcW w:w="6610" w:type="dxa"/>
            <w:vAlign w:val="center"/>
          </w:tcPr>
          <w:p w14:paraId="329D2818">
            <w:pPr>
              <w:pStyle w:val="19"/>
              <w:keepNext w:val="0"/>
              <w:keepLines w:val="0"/>
              <w:suppressLineNumbers w:val="0"/>
              <w:shd w:val="clear"/>
              <w:spacing w:before="0" w:beforeAutospacing="0" w:after="0" w:afterAutospacing="0" w:line="500" w:lineRule="exact"/>
              <w:ind w:left="0" w:right="0"/>
              <w:rPr>
                <w:rFonts w:hint="default" w:hAnsi="宋体" w:eastAsia="宋体" w:cs="宋体"/>
                <w:color w:val="auto"/>
                <w:szCs w:val="21"/>
                <w:highlight w:val="none"/>
                <w:lang w:val="en-US" w:eastAsia="zh-CN"/>
              </w:rPr>
            </w:pPr>
            <w:r>
              <w:rPr>
                <w:rFonts w:hint="eastAsia" w:hAnsi="宋体" w:cs="宋体"/>
                <w:color w:val="auto"/>
                <w:szCs w:val="21"/>
                <w:highlight w:val="none"/>
                <w:lang w:val="en-US" w:eastAsia="zh-CN"/>
              </w:rPr>
              <w:t>自筹资金</w:t>
            </w:r>
          </w:p>
        </w:tc>
      </w:tr>
      <w:tr w14:paraId="24F2979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2" w:hRule="atLeast"/>
        </w:trPr>
        <w:tc>
          <w:tcPr>
            <w:tcW w:w="1048" w:type="dxa"/>
            <w:vAlign w:val="center"/>
          </w:tcPr>
          <w:p w14:paraId="0BA22E9B">
            <w:pPr>
              <w:pStyle w:val="19"/>
              <w:keepNext w:val="0"/>
              <w:keepLines w:val="0"/>
              <w:suppressLineNumbers w:val="0"/>
              <w:shd w:val="clear"/>
              <w:spacing w:before="0" w:beforeAutospacing="0" w:after="0" w:afterAutospacing="0" w:line="500" w:lineRule="exact"/>
              <w:ind w:left="0" w:right="0"/>
              <w:jc w:val="center"/>
              <w:rPr>
                <w:rFonts w:hint="default" w:hAnsi="宋体" w:cs="宋体"/>
                <w:color w:val="auto"/>
                <w:szCs w:val="21"/>
                <w:highlight w:val="none"/>
              </w:rPr>
            </w:pPr>
            <w:r>
              <w:rPr>
                <w:rFonts w:hint="eastAsia" w:hAnsi="宋体" w:cs="宋体"/>
                <w:color w:val="auto"/>
                <w:szCs w:val="21"/>
                <w:highlight w:val="none"/>
              </w:rPr>
              <w:t>1.4</w:t>
            </w:r>
          </w:p>
        </w:tc>
        <w:tc>
          <w:tcPr>
            <w:tcW w:w="2140" w:type="dxa"/>
            <w:gridSpan w:val="2"/>
            <w:vAlign w:val="center"/>
          </w:tcPr>
          <w:p w14:paraId="7CEE53D0">
            <w:pPr>
              <w:pStyle w:val="19"/>
              <w:keepNext w:val="0"/>
              <w:keepLines w:val="0"/>
              <w:suppressLineNumbers w:val="0"/>
              <w:shd w:val="clear"/>
              <w:spacing w:before="0" w:beforeAutospacing="0" w:after="0" w:afterAutospacing="0" w:line="500" w:lineRule="exact"/>
              <w:ind w:left="0" w:right="0"/>
              <w:rPr>
                <w:rFonts w:hint="default" w:hAnsi="宋体" w:cs="宋体"/>
                <w:color w:val="auto"/>
                <w:szCs w:val="21"/>
                <w:highlight w:val="none"/>
              </w:rPr>
            </w:pPr>
            <w:r>
              <w:rPr>
                <w:rFonts w:hint="eastAsia" w:hAnsi="宋体" w:cs="宋体"/>
                <w:color w:val="auto"/>
                <w:szCs w:val="21"/>
                <w:highlight w:val="none"/>
                <w:lang w:val="en-US" w:eastAsia="zh-CN"/>
              </w:rPr>
              <w:t>采购</w:t>
            </w:r>
            <w:r>
              <w:rPr>
                <w:rFonts w:hint="eastAsia" w:hAnsi="宋体" w:cs="宋体"/>
                <w:color w:val="auto"/>
                <w:szCs w:val="21"/>
                <w:highlight w:val="none"/>
              </w:rPr>
              <w:t>预算</w:t>
            </w:r>
          </w:p>
        </w:tc>
        <w:tc>
          <w:tcPr>
            <w:tcW w:w="6610" w:type="dxa"/>
            <w:vAlign w:val="center"/>
          </w:tcPr>
          <w:p w14:paraId="1B1FD111">
            <w:pPr>
              <w:pStyle w:val="19"/>
              <w:keepNext w:val="0"/>
              <w:keepLines w:val="0"/>
              <w:suppressLineNumbers w:val="0"/>
              <w:shd w:val="clear"/>
              <w:spacing w:before="0" w:beforeAutospacing="0" w:after="0" w:afterAutospacing="0" w:line="500" w:lineRule="exact"/>
              <w:ind w:left="0" w:right="0"/>
              <w:rPr>
                <w:rFonts w:hint="default" w:hAnsi="宋体" w:cs="宋体"/>
                <w:color w:val="auto"/>
                <w:szCs w:val="21"/>
                <w:highlight w:val="none"/>
              </w:rPr>
            </w:pPr>
            <w:r>
              <w:rPr>
                <w:rFonts w:hint="eastAsia" w:hAnsi="宋体" w:cs="宋体"/>
                <w:color w:val="auto"/>
                <w:szCs w:val="21"/>
                <w:highlight w:val="none"/>
                <w:lang w:val="en-US" w:eastAsia="zh-CN"/>
              </w:rPr>
              <w:t>1000000元</w:t>
            </w:r>
          </w:p>
        </w:tc>
      </w:tr>
      <w:tr w14:paraId="1ADBE2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1048" w:type="dxa"/>
            <w:vAlign w:val="center"/>
          </w:tcPr>
          <w:p w14:paraId="6ED05298">
            <w:pPr>
              <w:pStyle w:val="19"/>
              <w:keepNext w:val="0"/>
              <w:keepLines w:val="0"/>
              <w:suppressLineNumbers w:val="0"/>
              <w:shd w:val="clear"/>
              <w:spacing w:before="0" w:beforeAutospacing="0" w:after="0" w:afterAutospacing="0" w:line="500" w:lineRule="exact"/>
              <w:ind w:left="0" w:right="0"/>
              <w:jc w:val="center"/>
              <w:rPr>
                <w:rFonts w:hint="default" w:hAnsi="宋体" w:cs="宋体"/>
                <w:color w:val="auto"/>
                <w:szCs w:val="21"/>
                <w:highlight w:val="none"/>
              </w:rPr>
            </w:pPr>
            <w:r>
              <w:rPr>
                <w:rFonts w:hint="eastAsia" w:hAnsi="宋体" w:cs="宋体"/>
                <w:color w:val="auto"/>
                <w:szCs w:val="21"/>
                <w:highlight w:val="none"/>
              </w:rPr>
              <w:t>1.5</w:t>
            </w:r>
          </w:p>
        </w:tc>
        <w:tc>
          <w:tcPr>
            <w:tcW w:w="2140" w:type="dxa"/>
            <w:gridSpan w:val="2"/>
            <w:vAlign w:val="center"/>
          </w:tcPr>
          <w:p w14:paraId="1795133E">
            <w:pPr>
              <w:pStyle w:val="19"/>
              <w:keepNext w:val="0"/>
              <w:keepLines w:val="0"/>
              <w:suppressLineNumbers w:val="0"/>
              <w:shd w:val="clear"/>
              <w:spacing w:before="0" w:beforeAutospacing="0" w:after="0" w:afterAutospacing="0" w:line="500" w:lineRule="exact"/>
              <w:ind w:left="0" w:right="0"/>
              <w:jc w:val="left"/>
              <w:rPr>
                <w:rFonts w:hint="default" w:hAnsi="宋体" w:cs="宋体"/>
                <w:color w:val="auto"/>
                <w:szCs w:val="21"/>
                <w:highlight w:val="none"/>
              </w:rPr>
            </w:pPr>
            <w:r>
              <w:rPr>
                <w:rFonts w:hint="eastAsia" w:hAnsi="宋体" w:cs="宋体"/>
                <w:color w:val="auto"/>
                <w:szCs w:val="21"/>
                <w:highlight w:val="none"/>
              </w:rPr>
              <w:t>最高限价</w:t>
            </w:r>
          </w:p>
        </w:tc>
        <w:tc>
          <w:tcPr>
            <w:tcW w:w="6610" w:type="dxa"/>
            <w:vAlign w:val="center"/>
          </w:tcPr>
          <w:p w14:paraId="7B127086">
            <w:pPr>
              <w:keepNext w:val="0"/>
              <w:keepLines w:val="0"/>
              <w:pageBreakBefore w:val="0"/>
              <w:suppressLineNumbers w:val="0"/>
              <w:shd w:val="clear"/>
              <w:kinsoku/>
              <w:wordWrap/>
              <w:overflowPunct/>
              <w:autoSpaceDE/>
              <w:autoSpaceDN/>
              <w:bidi w:val="0"/>
              <w:adjustRightInd w:val="0"/>
              <w:snapToGrid w:val="0"/>
              <w:spacing w:before="0" w:beforeAutospacing="0" w:after="0" w:afterAutospacing="0" w:line="440" w:lineRule="exact"/>
              <w:ind w:left="0" w:right="0"/>
              <w:textAlignment w:val="auto"/>
              <w:rPr>
                <w:rFonts w:hint="eastAsia" w:ascii="宋体" w:hAnsi="宋体" w:cs="宋体"/>
                <w:b/>
                <w:bCs/>
                <w:color w:val="auto"/>
                <w:szCs w:val="21"/>
                <w:highlight w:val="none"/>
                <w:u w:color="000000"/>
                <w:lang w:val="en-US" w:eastAsia="zh-CN"/>
              </w:rPr>
            </w:pPr>
            <w:r>
              <w:rPr>
                <w:rFonts w:hint="eastAsia" w:ascii="宋体" w:hAnsi="宋体" w:cs="宋体"/>
                <w:color w:val="auto"/>
                <w:szCs w:val="21"/>
                <w:highlight w:val="none"/>
                <w:lang w:val="en-US" w:eastAsia="zh-CN"/>
              </w:rPr>
              <w:t>投标报价最高限价1000000元，投标人报价不得高于最高投标限价，否则按无效标处理。</w:t>
            </w:r>
          </w:p>
        </w:tc>
      </w:tr>
      <w:tr w14:paraId="0966335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80" w:hRule="atLeast"/>
        </w:trPr>
        <w:tc>
          <w:tcPr>
            <w:tcW w:w="1048" w:type="dxa"/>
            <w:vAlign w:val="center"/>
          </w:tcPr>
          <w:p w14:paraId="250A6041">
            <w:pPr>
              <w:pStyle w:val="19"/>
              <w:keepNext w:val="0"/>
              <w:keepLines w:val="0"/>
              <w:suppressLineNumbers w:val="0"/>
              <w:shd w:val="clear"/>
              <w:spacing w:before="0" w:beforeAutospacing="0" w:after="0" w:afterAutospacing="0" w:line="500" w:lineRule="exact"/>
              <w:ind w:left="0" w:right="0"/>
              <w:jc w:val="center"/>
              <w:rPr>
                <w:rFonts w:hint="default" w:hAnsi="宋体" w:cs="宋体"/>
                <w:color w:val="auto"/>
                <w:szCs w:val="21"/>
                <w:highlight w:val="none"/>
              </w:rPr>
            </w:pPr>
            <w:r>
              <w:rPr>
                <w:rFonts w:hint="eastAsia" w:hAnsi="宋体" w:cs="宋体"/>
                <w:color w:val="auto"/>
                <w:szCs w:val="21"/>
                <w:highlight w:val="none"/>
              </w:rPr>
              <w:t>2.1</w:t>
            </w:r>
          </w:p>
        </w:tc>
        <w:tc>
          <w:tcPr>
            <w:tcW w:w="2140" w:type="dxa"/>
            <w:gridSpan w:val="2"/>
            <w:vAlign w:val="center"/>
          </w:tcPr>
          <w:p w14:paraId="5BC21E71">
            <w:pPr>
              <w:pStyle w:val="19"/>
              <w:keepNext w:val="0"/>
              <w:keepLines w:val="0"/>
              <w:suppressLineNumbers w:val="0"/>
              <w:shd w:val="clear"/>
              <w:spacing w:before="0" w:beforeAutospacing="0" w:after="0" w:afterAutospacing="0" w:line="500" w:lineRule="exact"/>
              <w:ind w:left="0" w:right="0"/>
              <w:jc w:val="left"/>
              <w:rPr>
                <w:rFonts w:hint="default" w:hAnsi="宋体" w:cs="宋体"/>
                <w:color w:val="auto"/>
                <w:szCs w:val="21"/>
                <w:highlight w:val="none"/>
              </w:rPr>
            </w:pPr>
            <w:r>
              <w:rPr>
                <w:rFonts w:hint="eastAsia" w:hAnsi="宋体" w:cs="宋体"/>
                <w:color w:val="auto"/>
                <w:szCs w:val="21"/>
                <w:highlight w:val="none"/>
              </w:rPr>
              <w:t>采购内容</w:t>
            </w:r>
          </w:p>
        </w:tc>
        <w:tc>
          <w:tcPr>
            <w:tcW w:w="6610" w:type="dxa"/>
            <w:vAlign w:val="center"/>
          </w:tcPr>
          <w:p w14:paraId="14447CC0">
            <w:pPr>
              <w:pStyle w:val="19"/>
              <w:keepNext w:val="0"/>
              <w:keepLines w:val="0"/>
              <w:suppressLineNumbers w:val="0"/>
              <w:shd w:val="clear"/>
              <w:spacing w:before="0" w:beforeAutospacing="0" w:after="0" w:afterAutospacing="0" w:line="500" w:lineRule="exact"/>
              <w:ind w:left="0" w:right="0"/>
              <w:rPr>
                <w:rFonts w:hint="default" w:hAnsi="宋体" w:cs="宋体"/>
                <w:color w:val="auto"/>
                <w:szCs w:val="21"/>
                <w:highlight w:val="none"/>
              </w:rPr>
            </w:pPr>
            <w:r>
              <w:rPr>
                <w:rFonts w:hint="eastAsia" w:hAnsi="宋体" w:cs="宋体"/>
                <w:b/>
                <w:color w:val="auto"/>
                <w:kern w:val="0"/>
                <w:szCs w:val="21"/>
                <w:highlight w:val="none"/>
              </w:rPr>
              <w:t>具体</w:t>
            </w:r>
            <w:r>
              <w:rPr>
                <w:rFonts w:hint="eastAsia" w:hAnsi="宋体" w:cs="宋体"/>
                <w:b/>
                <w:color w:val="auto"/>
                <w:kern w:val="0"/>
                <w:szCs w:val="21"/>
                <w:highlight w:val="none"/>
                <w:lang w:val="en-US" w:eastAsia="zh-CN"/>
              </w:rPr>
              <w:t>详见《采购内容及服务要求》和合同条款内容</w:t>
            </w:r>
          </w:p>
        </w:tc>
      </w:tr>
      <w:tr w14:paraId="3F58B8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1048" w:type="dxa"/>
            <w:vAlign w:val="center"/>
          </w:tcPr>
          <w:p w14:paraId="7C55ADD8">
            <w:pPr>
              <w:pStyle w:val="19"/>
              <w:keepNext w:val="0"/>
              <w:keepLines w:val="0"/>
              <w:suppressLineNumbers w:val="0"/>
              <w:shd w:val="clear"/>
              <w:spacing w:before="0" w:beforeAutospacing="0" w:after="0" w:afterAutospacing="0" w:line="500" w:lineRule="exact"/>
              <w:ind w:left="0" w:right="0"/>
              <w:jc w:val="center"/>
              <w:rPr>
                <w:rFonts w:hint="default" w:hAnsi="宋体" w:cs="宋体"/>
                <w:color w:val="auto"/>
                <w:szCs w:val="21"/>
                <w:highlight w:val="none"/>
              </w:rPr>
            </w:pPr>
            <w:r>
              <w:rPr>
                <w:rFonts w:hint="eastAsia" w:hAnsi="宋体" w:cs="宋体"/>
                <w:color w:val="auto"/>
                <w:szCs w:val="21"/>
                <w:highlight w:val="none"/>
              </w:rPr>
              <w:t>3.1</w:t>
            </w:r>
          </w:p>
        </w:tc>
        <w:tc>
          <w:tcPr>
            <w:tcW w:w="2140" w:type="dxa"/>
            <w:gridSpan w:val="2"/>
            <w:vAlign w:val="center"/>
          </w:tcPr>
          <w:p w14:paraId="117551AB">
            <w:pPr>
              <w:pStyle w:val="19"/>
              <w:keepNext w:val="0"/>
              <w:keepLines w:val="0"/>
              <w:suppressLineNumbers w:val="0"/>
              <w:shd w:val="clear"/>
              <w:spacing w:before="0" w:beforeAutospacing="0" w:after="0" w:afterAutospacing="0" w:line="500" w:lineRule="exact"/>
              <w:ind w:left="0" w:right="0"/>
              <w:jc w:val="left"/>
              <w:rPr>
                <w:rFonts w:hint="default" w:hAnsi="宋体" w:cs="宋体"/>
                <w:color w:val="auto"/>
                <w:szCs w:val="21"/>
                <w:highlight w:val="none"/>
              </w:rPr>
            </w:pPr>
            <w:r>
              <w:rPr>
                <w:rFonts w:hint="eastAsia" w:hAnsi="宋体" w:cs="宋体"/>
                <w:color w:val="auto"/>
                <w:szCs w:val="21"/>
                <w:highlight w:val="none"/>
              </w:rPr>
              <w:t>标</w:t>
            </w:r>
            <w:r>
              <w:rPr>
                <w:rFonts w:hint="eastAsia" w:hAnsi="宋体" w:cs="宋体"/>
                <w:color w:val="auto"/>
                <w:szCs w:val="21"/>
                <w:highlight w:val="none"/>
                <w:lang w:val="en-US" w:eastAsia="zh-CN"/>
              </w:rPr>
              <w:t>段</w:t>
            </w:r>
            <w:r>
              <w:rPr>
                <w:rFonts w:hint="eastAsia" w:hAnsi="宋体" w:cs="宋体"/>
                <w:color w:val="auto"/>
                <w:szCs w:val="21"/>
                <w:highlight w:val="none"/>
              </w:rPr>
              <w:t>划分</w:t>
            </w:r>
          </w:p>
        </w:tc>
        <w:tc>
          <w:tcPr>
            <w:tcW w:w="6610" w:type="dxa"/>
            <w:vAlign w:val="center"/>
          </w:tcPr>
          <w:p w14:paraId="2A5597AC">
            <w:pPr>
              <w:pStyle w:val="19"/>
              <w:keepNext w:val="0"/>
              <w:keepLines w:val="0"/>
              <w:suppressLineNumbers w:val="0"/>
              <w:shd w:val="clear"/>
              <w:spacing w:before="0" w:beforeAutospacing="0" w:after="0" w:afterAutospacing="0" w:line="500" w:lineRule="exact"/>
              <w:ind w:left="0" w:right="0"/>
              <w:rPr>
                <w:rFonts w:hint="eastAsia" w:hAnsi="宋体" w:eastAsia="宋体" w:cs="宋体"/>
                <w:color w:val="auto"/>
                <w:szCs w:val="21"/>
                <w:highlight w:val="none"/>
                <w:lang w:val="en-US" w:eastAsia="zh-CN"/>
              </w:rPr>
            </w:pPr>
            <w:r>
              <w:rPr>
                <w:rFonts w:hint="eastAsia" w:hAnsi="宋体" w:cs="宋体"/>
                <w:color w:val="auto"/>
                <w:szCs w:val="21"/>
                <w:highlight w:val="none"/>
              </w:rPr>
              <w:t>本项目划分为</w:t>
            </w:r>
            <w:r>
              <w:rPr>
                <w:rFonts w:hint="eastAsia" w:hAnsi="宋体" w:cs="宋体"/>
                <w:color w:val="auto"/>
                <w:szCs w:val="21"/>
                <w:highlight w:val="none"/>
                <w:u w:val="single"/>
              </w:rPr>
              <w:t xml:space="preserve"> 1</w:t>
            </w:r>
            <w:r>
              <w:rPr>
                <w:rFonts w:hint="eastAsia" w:hAnsi="宋体" w:cs="宋体"/>
                <w:color w:val="auto"/>
                <w:szCs w:val="21"/>
                <w:highlight w:val="none"/>
              </w:rPr>
              <w:t>个标</w:t>
            </w:r>
            <w:r>
              <w:rPr>
                <w:rFonts w:hint="eastAsia" w:hAnsi="宋体" w:cs="宋体"/>
                <w:color w:val="auto"/>
                <w:szCs w:val="21"/>
                <w:highlight w:val="none"/>
                <w:lang w:val="en-US" w:eastAsia="zh-CN"/>
              </w:rPr>
              <w:t>段</w:t>
            </w:r>
          </w:p>
        </w:tc>
      </w:tr>
      <w:tr w14:paraId="01350CE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048" w:type="dxa"/>
            <w:vAlign w:val="center"/>
          </w:tcPr>
          <w:p w14:paraId="33DB9270">
            <w:pPr>
              <w:pStyle w:val="19"/>
              <w:keepNext w:val="0"/>
              <w:keepLines w:val="0"/>
              <w:suppressLineNumbers w:val="0"/>
              <w:shd w:val="clear"/>
              <w:spacing w:before="0" w:beforeAutospacing="0" w:after="0" w:afterAutospacing="0" w:line="500" w:lineRule="exact"/>
              <w:ind w:left="0" w:right="0"/>
              <w:jc w:val="center"/>
              <w:rPr>
                <w:rFonts w:hint="default" w:hAnsi="宋体" w:cs="宋体"/>
                <w:color w:val="auto"/>
                <w:szCs w:val="21"/>
                <w:highlight w:val="none"/>
              </w:rPr>
            </w:pPr>
            <w:r>
              <w:rPr>
                <w:rFonts w:hint="eastAsia" w:hAnsi="宋体" w:cs="宋体"/>
                <w:color w:val="auto"/>
                <w:szCs w:val="21"/>
                <w:highlight w:val="none"/>
              </w:rPr>
              <w:t>4.1</w:t>
            </w:r>
          </w:p>
        </w:tc>
        <w:tc>
          <w:tcPr>
            <w:tcW w:w="2140" w:type="dxa"/>
            <w:gridSpan w:val="2"/>
            <w:vAlign w:val="center"/>
          </w:tcPr>
          <w:p w14:paraId="4C0D8CE5">
            <w:pPr>
              <w:pStyle w:val="19"/>
              <w:keepNext w:val="0"/>
              <w:keepLines w:val="0"/>
              <w:suppressLineNumbers w:val="0"/>
              <w:shd w:val="clear"/>
              <w:spacing w:before="0" w:beforeAutospacing="0" w:after="0" w:afterAutospacing="0" w:line="500" w:lineRule="exact"/>
              <w:ind w:left="0" w:right="0"/>
              <w:jc w:val="left"/>
              <w:rPr>
                <w:rFonts w:hint="default" w:hAnsi="宋体" w:cs="宋体"/>
                <w:color w:val="auto"/>
                <w:szCs w:val="21"/>
                <w:highlight w:val="none"/>
              </w:rPr>
            </w:pPr>
            <w:r>
              <w:rPr>
                <w:rFonts w:hint="eastAsia" w:hAnsi="宋体" w:cs="宋体"/>
                <w:color w:val="auto"/>
                <w:szCs w:val="21"/>
                <w:highlight w:val="none"/>
              </w:rPr>
              <w:t>招标方式</w:t>
            </w:r>
          </w:p>
        </w:tc>
        <w:tc>
          <w:tcPr>
            <w:tcW w:w="6610" w:type="dxa"/>
            <w:vAlign w:val="center"/>
          </w:tcPr>
          <w:p w14:paraId="5D2EF253">
            <w:pPr>
              <w:pStyle w:val="19"/>
              <w:keepNext w:val="0"/>
              <w:keepLines w:val="0"/>
              <w:suppressLineNumbers w:val="0"/>
              <w:shd w:val="clear"/>
              <w:spacing w:before="0" w:beforeAutospacing="0" w:after="0" w:afterAutospacing="0" w:line="500" w:lineRule="exact"/>
              <w:ind w:left="0" w:right="0"/>
              <w:rPr>
                <w:rFonts w:hint="default" w:hAnsi="宋体" w:cs="宋体"/>
                <w:color w:val="auto"/>
                <w:szCs w:val="21"/>
                <w:highlight w:val="none"/>
              </w:rPr>
            </w:pPr>
            <w:r>
              <w:rPr>
                <w:rFonts w:hint="eastAsia" w:hAnsi="宋体" w:cs="宋体"/>
                <w:color w:val="auto"/>
                <w:szCs w:val="21"/>
                <w:highlight w:val="none"/>
              </w:rPr>
              <w:t>公开招标</w:t>
            </w:r>
          </w:p>
        </w:tc>
      </w:tr>
      <w:tr w14:paraId="20D0773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3" w:hRule="atLeast"/>
        </w:trPr>
        <w:tc>
          <w:tcPr>
            <w:tcW w:w="1048" w:type="dxa"/>
            <w:vAlign w:val="center"/>
          </w:tcPr>
          <w:p w14:paraId="20A72F57">
            <w:pPr>
              <w:pStyle w:val="19"/>
              <w:keepNext w:val="0"/>
              <w:keepLines w:val="0"/>
              <w:suppressLineNumbers w:val="0"/>
              <w:shd w:val="clear"/>
              <w:spacing w:before="0" w:beforeAutospacing="0" w:after="0" w:afterAutospacing="0" w:line="500" w:lineRule="exact"/>
              <w:ind w:left="0" w:right="0"/>
              <w:jc w:val="center"/>
              <w:rPr>
                <w:rFonts w:hint="eastAsia" w:hAnsi="宋体" w:eastAsia="宋体" w:cs="宋体"/>
                <w:color w:val="auto"/>
                <w:szCs w:val="21"/>
                <w:highlight w:val="none"/>
                <w:lang w:eastAsia="zh-CN"/>
              </w:rPr>
            </w:pPr>
            <w:r>
              <w:rPr>
                <w:rFonts w:hint="eastAsia" w:hAnsi="宋体" w:cs="宋体"/>
                <w:color w:val="auto"/>
                <w:szCs w:val="21"/>
                <w:highlight w:val="none"/>
              </w:rPr>
              <w:t>7.</w:t>
            </w:r>
            <w:r>
              <w:rPr>
                <w:rFonts w:hint="eastAsia" w:hAnsi="宋体" w:cs="宋体"/>
                <w:color w:val="auto"/>
                <w:szCs w:val="21"/>
                <w:highlight w:val="none"/>
                <w:lang w:val="en-US" w:eastAsia="zh-CN"/>
              </w:rPr>
              <w:t>1</w:t>
            </w:r>
          </w:p>
        </w:tc>
        <w:tc>
          <w:tcPr>
            <w:tcW w:w="2140" w:type="dxa"/>
            <w:gridSpan w:val="2"/>
            <w:vAlign w:val="center"/>
          </w:tcPr>
          <w:p w14:paraId="7AA1F7BB">
            <w:pPr>
              <w:pStyle w:val="19"/>
              <w:keepNext w:val="0"/>
              <w:keepLines w:val="0"/>
              <w:suppressLineNumbers w:val="0"/>
              <w:shd w:val="clear"/>
              <w:spacing w:before="0" w:beforeAutospacing="0" w:after="0" w:afterAutospacing="0" w:line="500" w:lineRule="exact"/>
              <w:ind w:left="0" w:right="0"/>
              <w:jc w:val="left"/>
              <w:rPr>
                <w:rFonts w:hint="default" w:hAnsi="宋体" w:cs="宋体"/>
                <w:color w:val="auto"/>
                <w:szCs w:val="21"/>
                <w:highlight w:val="none"/>
              </w:rPr>
            </w:pPr>
            <w:r>
              <w:rPr>
                <w:rFonts w:hint="eastAsia" w:hAnsi="宋体" w:cs="宋体"/>
                <w:color w:val="auto"/>
                <w:szCs w:val="21"/>
                <w:highlight w:val="none"/>
              </w:rPr>
              <w:t>投标人资格条件及其他要求</w:t>
            </w:r>
          </w:p>
        </w:tc>
        <w:tc>
          <w:tcPr>
            <w:tcW w:w="6610" w:type="dxa"/>
            <w:vAlign w:val="center"/>
          </w:tcPr>
          <w:p w14:paraId="021339A2">
            <w:pPr>
              <w:keepNext w:val="0"/>
              <w:keepLines w:val="0"/>
              <w:suppressLineNumbers w:val="0"/>
              <w:shd w:val="clear"/>
              <w:spacing w:before="0" w:beforeAutospacing="0" w:after="0" w:afterAutospacing="0" w:line="50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详见第一章“招标公告”</w:t>
            </w:r>
          </w:p>
        </w:tc>
      </w:tr>
      <w:tr w14:paraId="1384DDE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1048" w:type="dxa"/>
            <w:vAlign w:val="center"/>
          </w:tcPr>
          <w:p w14:paraId="03BC3A78">
            <w:pPr>
              <w:pStyle w:val="19"/>
              <w:keepNext w:val="0"/>
              <w:keepLines w:val="0"/>
              <w:suppressLineNumbers w:val="0"/>
              <w:shd w:val="clear"/>
              <w:spacing w:before="0" w:beforeAutospacing="0" w:after="0" w:afterAutospacing="0" w:line="500" w:lineRule="exact"/>
              <w:ind w:left="0" w:right="0"/>
              <w:jc w:val="center"/>
              <w:rPr>
                <w:rFonts w:hint="default" w:hAnsi="宋体" w:cs="宋体"/>
                <w:color w:val="auto"/>
                <w:szCs w:val="21"/>
                <w:highlight w:val="none"/>
              </w:rPr>
            </w:pPr>
            <w:r>
              <w:rPr>
                <w:rFonts w:hint="eastAsia" w:hAnsi="宋体" w:cs="宋体"/>
                <w:color w:val="auto"/>
                <w:szCs w:val="21"/>
                <w:highlight w:val="none"/>
              </w:rPr>
              <w:t>9.1</w:t>
            </w:r>
          </w:p>
        </w:tc>
        <w:tc>
          <w:tcPr>
            <w:tcW w:w="2140" w:type="dxa"/>
            <w:gridSpan w:val="2"/>
            <w:vAlign w:val="center"/>
          </w:tcPr>
          <w:p w14:paraId="6785A945">
            <w:pPr>
              <w:pStyle w:val="19"/>
              <w:keepNext w:val="0"/>
              <w:keepLines w:val="0"/>
              <w:suppressLineNumbers w:val="0"/>
              <w:shd w:val="clear"/>
              <w:spacing w:before="0" w:beforeAutospacing="0" w:after="0" w:afterAutospacing="0" w:line="500" w:lineRule="exact"/>
              <w:ind w:left="0" w:right="0"/>
              <w:jc w:val="left"/>
              <w:rPr>
                <w:rFonts w:hint="default" w:hAnsi="宋体" w:cs="宋体"/>
                <w:color w:val="auto"/>
                <w:szCs w:val="21"/>
                <w:highlight w:val="none"/>
              </w:rPr>
            </w:pPr>
            <w:r>
              <w:rPr>
                <w:rFonts w:hint="eastAsia" w:hAnsi="宋体" w:cs="宋体"/>
                <w:color w:val="auto"/>
                <w:szCs w:val="21"/>
                <w:highlight w:val="none"/>
              </w:rPr>
              <w:t>踏勘现场</w:t>
            </w:r>
          </w:p>
        </w:tc>
        <w:tc>
          <w:tcPr>
            <w:tcW w:w="6610" w:type="dxa"/>
            <w:vAlign w:val="center"/>
          </w:tcPr>
          <w:p w14:paraId="2EC8505A">
            <w:pPr>
              <w:pStyle w:val="19"/>
              <w:keepNext w:val="0"/>
              <w:keepLines w:val="0"/>
              <w:suppressLineNumbers w:val="0"/>
              <w:shd w:val="clear"/>
              <w:spacing w:before="0" w:beforeAutospacing="0" w:after="0" w:afterAutospacing="0" w:line="500" w:lineRule="exact"/>
              <w:ind w:left="0" w:right="0"/>
              <w:rPr>
                <w:rFonts w:hint="default" w:hAnsi="宋体" w:cs="宋体"/>
                <w:color w:val="auto"/>
                <w:szCs w:val="21"/>
                <w:highlight w:val="none"/>
              </w:rPr>
            </w:pPr>
            <w:r>
              <w:rPr>
                <w:rFonts w:hint="eastAsia" w:hAnsi="宋体" w:cs="宋体"/>
                <w:color w:val="auto"/>
                <w:szCs w:val="21"/>
                <w:highlight w:val="none"/>
              </w:rPr>
              <w:t>不组织,投标人自行踏勘。</w:t>
            </w:r>
          </w:p>
        </w:tc>
      </w:tr>
      <w:tr w14:paraId="3886614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1048" w:type="dxa"/>
            <w:vAlign w:val="center"/>
          </w:tcPr>
          <w:p w14:paraId="39774B29">
            <w:pPr>
              <w:pStyle w:val="19"/>
              <w:keepNext w:val="0"/>
              <w:keepLines w:val="0"/>
              <w:suppressLineNumbers w:val="0"/>
              <w:shd w:val="clear"/>
              <w:spacing w:before="0" w:beforeAutospacing="0" w:after="0" w:afterAutospacing="0" w:line="500" w:lineRule="exact"/>
              <w:ind w:left="0" w:right="0"/>
              <w:jc w:val="center"/>
              <w:rPr>
                <w:rFonts w:hint="default" w:hAnsi="宋体" w:cs="宋体"/>
                <w:color w:val="auto"/>
                <w:szCs w:val="21"/>
                <w:highlight w:val="none"/>
              </w:rPr>
            </w:pPr>
            <w:r>
              <w:rPr>
                <w:rFonts w:hint="eastAsia" w:hAnsi="宋体" w:cs="宋体"/>
                <w:color w:val="auto"/>
                <w:szCs w:val="21"/>
                <w:highlight w:val="none"/>
              </w:rPr>
              <w:t>10.1</w:t>
            </w:r>
          </w:p>
        </w:tc>
        <w:tc>
          <w:tcPr>
            <w:tcW w:w="2140" w:type="dxa"/>
            <w:gridSpan w:val="2"/>
            <w:vAlign w:val="center"/>
          </w:tcPr>
          <w:p w14:paraId="49BEE084">
            <w:pPr>
              <w:pStyle w:val="19"/>
              <w:keepNext w:val="0"/>
              <w:keepLines w:val="0"/>
              <w:suppressLineNumbers w:val="0"/>
              <w:shd w:val="clear"/>
              <w:spacing w:before="0" w:beforeAutospacing="0" w:after="0" w:afterAutospacing="0" w:line="500" w:lineRule="exact"/>
              <w:ind w:left="0" w:right="0"/>
              <w:jc w:val="left"/>
              <w:rPr>
                <w:rFonts w:hint="default" w:hAnsi="宋体" w:cs="宋体"/>
                <w:color w:val="auto"/>
                <w:szCs w:val="21"/>
                <w:highlight w:val="none"/>
              </w:rPr>
            </w:pPr>
            <w:r>
              <w:rPr>
                <w:rFonts w:hint="eastAsia" w:hAnsi="宋体" w:cs="宋体"/>
                <w:color w:val="auto"/>
                <w:szCs w:val="21"/>
                <w:highlight w:val="none"/>
              </w:rPr>
              <w:t>投标预备会</w:t>
            </w:r>
          </w:p>
        </w:tc>
        <w:tc>
          <w:tcPr>
            <w:tcW w:w="6610" w:type="dxa"/>
            <w:vAlign w:val="center"/>
          </w:tcPr>
          <w:p w14:paraId="78E797DA">
            <w:pPr>
              <w:pStyle w:val="19"/>
              <w:keepNext w:val="0"/>
              <w:keepLines w:val="0"/>
              <w:suppressLineNumbers w:val="0"/>
              <w:shd w:val="clear"/>
              <w:spacing w:before="0" w:beforeAutospacing="0" w:after="0" w:afterAutospacing="0" w:line="500" w:lineRule="exact"/>
              <w:ind w:left="0" w:right="0"/>
              <w:rPr>
                <w:rFonts w:hint="default" w:hAnsi="宋体" w:cs="宋体"/>
                <w:color w:val="auto"/>
                <w:szCs w:val="21"/>
                <w:highlight w:val="none"/>
              </w:rPr>
            </w:pPr>
            <w:r>
              <w:rPr>
                <w:rFonts w:hint="eastAsia" w:hAnsi="宋体" w:cs="宋体"/>
                <w:color w:val="auto"/>
                <w:szCs w:val="21"/>
                <w:highlight w:val="none"/>
              </w:rPr>
              <w:t>不召开</w:t>
            </w:r>
          </w:p>
        </w:tc>
      </w:tr>
      <w:tr w14:paraId="3C675EA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1048" w:type="dxa"/>
            <w:vAlign w:val="center"/>
          </w:tcPr>
          <w:p w14:paraId="1865D638">
            <w:pPr>
              <w:keepNext w:val="0"/>
              <w:keepLines w:val="0"/>
              <w:suppressLineNumbers w:val="0"/>
              <w:shd w:val="clear"/>
              <w:spacing w:before="0" w:beforeAutospacing="0" w:after="0" w:afterAutospacing="0" w:line="50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12.1</w:t>
            </w:r>
          </w:p>
        </w:tc>
        <w:tc>
          <w:tcPr>
            <w:tcW w:w="2140" w:type="dxa"/>
            <w:gridSpan w:val="2"/>
            <w:vAlign w:val="center"/>
          </w:tcPr>
          <w:p w14:paraId="7B98E6C8">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rPr>
            </w:pPr>
            <w:r>
              <w:rPr>
                <w:rFonts w:hint="eastAsia" w:ascii="宋体" w:hAnsi="宋体" w:cs="宋体"/>
                <w:color w:val="auto"/>
                <w:szCs w:val="21"/>
                <w:highlight w:val="none"/>
              </w:rPr>
              <w:t>招标代理费</w:t>
            </w:r>
          </w:p>
        </w:tc>
        <w:tc>
          <w:tcPr>
            <w:tcW w:w="6610" w:type="dxa"/>
            <w:vAlign w:val="center"/>
          </w:tcPr>
          <w:p w14:paraId="38AA695A">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rPr>
            </w:pPr>
            <w:r>
              <w:rPr>
                <w:rFonts w:hint="eastAsia" w:ascii="宋体" w:hAnsi="宋体" w:cs="宋体"/>
                <w:color w:val="auto"/>
                <w:szCs w:val="21"/>
                <w:highlight w:val="none"/>
              </w:rPr>
              <w:t>代理服务费金额：</w:t>
            </w:r>
            <w:r>
              <w:rPr>
                <w:rFonts w:hint="eastAsia" w:ascii="宋体" w:hAnsi="宋体" w:cs="宋体"/>
                <w:color w:val="auto"/>
                <w:szCs w:val="21"/>
                <w:highlight w:val="none"/>
                <w:lang w:val="en-US" w:eastAsia="zh-CN"/>
              </w:rPr>
              <w:t>7500</w:t>
            </w:r>
            <w:r>
              <w:rPr>
                <w:rFonts w:hint="eastAsia" w:ascii="宋体" w:hAnsi="宋体" w:cs="宋体"/>
                <w:color w:val="auto"/>
                <w:szCs w:val="21"/>
                <w:highlight w:val="none"/>
              </w:rPr>
              <w:t>元</w:t>
            </w:r>
            <w:r>
              <w:rPr>
                <w:rFonts w:hint="eastAsia" w:ascii="宋体" w:hAnsi="宋体" w:cs="宋体"/>
                <w:color w:val="auto"/>
                <w:szCs w:val="21"/>
                <w:highlight w:val="none"/>
                <w:lang w:val="en-US" w:eastAsia="zh-CN"/>
              </w:rPr>
              <w:t>(参考计价格[2002]1980号文件的50%)</w:t>
            </w:r>
            <w:r>
              <w:rPr>
                <w:rFonts w:hint="eastAsia" w:ascii="宋体" w:hAnsi="宋体" w:cs="宋体"/>
                <w:color w:val="auto"/>
                <w:szCs w:val="21"/>
                <w:highlight w:val="none"/>
              </w:rPr>
              <w:t>。</w:t>
            </w:r>
          </w:p>
          <w:p w14:paraId="0CA95AB5">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rPr>
            </w:pPr>
            <w:r>
              <w:rPr>
                <w:rFonts w:hint="eastAsia" w:ascii="宋体" w:hAnsi="宋体" w:cs="宋体"/>
                <w:color w:val="auto"/>
                <w:szCs w:val="21"/>
                <w:highlight w:val="none"/>
              </w:rPr>
              <w:t>代理服务费支付主体：中标单位。</w:t>
            </w:r>
          </w:p>
        </w:tc>
      </w:tr>
      <w:tr w14:paraId="76FE21C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1048" w:type="dxa"/>
            <w:vAlign w:val="center"/>
          </w:tcPr>
          <w:p w14:paraId="65F2BDE7">
            <w:pPr>
              <w:keepNext w:val="0"/>
              <w:keepLines w:val="0"/>
              <w:suppressLineNumbers w:val="0"/>
              <w:shd w:val="clear"/>
              <w:kinsoku/>
              <w:overflowPunct/>
              <w:bidi w:val="0"/>
              <w:spacing w:before="0" w:beforeAutospacing="0" w:after="0" w:afterAutospacing="0" w:line="500" w:lineRule="exact"/>
              <w:ind w:left="0" w:leftChars="0" w:right="0" w:rightChars="0"/>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12.2</w:t>
            </w:r>
          </w:p>
        </w:tc>
        <w:tc>
          <w:tcPr>
            <w:tcW w:w="2140" w:type="dxa"/>
            <w:gridSpan w:val="2"/>
            <w:vAlign w:val="center"/>
          </w:tcPr>
          <w:p w14:paraId="25DFE2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highlight w:val="none"/>
              </w:rPr>
              <w:t>专家评审劳务费</w:t>
            </w:r>
          </w:p>
        </w:tc>
        <w:tc>
          <w:tcPr>
            <w:tcW w:w="6610" w:type="dxa"/>
            <w:vAlign w:val="center"/>
          </w:tcPr>
          <w:p w14:paraId="0F8AD6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费用或支付标准：按实结算；</w:t>
            </w:r>
          </w:p>
          <w:p w14:paraId="2C2E60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cs="宋体"/>
                <w:color w:val="auto"/>
                <w:szCs w:val="21"/>
                <w:highlight w:val="none"/>
              </w:rPr>
            </w:pPr>
            <w:r>
              <w:rPr>
                <w:rFonts w:hint="eastAsia" w:ascii="宋体" w:hAnsi="宋体" w:eastAsia="宋体" w:cs="宋体"/>
                <w:b w:val="0"/>
                <w:bCs w:val="0"/>
                <w:color w:val="auto"/>
                <w:highlight w:val="none"/>
              </w:rPr>
              <w:t>支付主体：招标</w:t>
            </w:r>
            <w:r>
              <w:rPr>
                <w:rFonts w:hint="eastAsia" w:ascii="宋体" w:hAnsi="宋体" w:eastAsia="宋体" w:cs="宋体"/>
                <w:b w:val="0"/>
                <w:bCs w:val="0"/>
                <w:color w:val="auto"/>
                <w:highlight w:val="none"/>
                <w:lang w:val="en-US" w:eastAsia="zh-CN"/>
              </w:rPr>
              <w:t>人</w:t>
            </w:r>
            <w:r>
              <w:rPr>
                <w:rFonts w:hint="eastAsia" w:ascii="宋体" w:hAnsi="宋体" w:eastAsia="宋体" w:cs="宋体"/>
                <w:b w:val="0"/>
                <w:bCs w:val="0"/>
                <w:color w:val="auto"/>
                <w:highlight w:val="none"/>
              </w:rPr>
              <w:t>。</w:t>
            </w:r>
          </w:p>
        </w:tc>
      </w:tr>
      <w:tr w14:paraId="35729BF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2" w:hRule="atLeast"/>
        </w:trPr>
        <w:tc>
          <w:tcPr>
            <w:tcW w:w="1048" w:type="dxa"/>
            <w:vAlign w:val="center"/>
          </w:tcPr>
          <w:p w14:paraId="6C10CCB2">
            <w:pPr>
              <w:keepNext w:val="0"/>
              <w:keepLines w:val="0"/>
              <w:suppressLineNumbers w:val="0"/>
              <w:shd w:val="clear"/>
              <w:spacing w:before="0" w:beforeAutospacing="0" w:after="0" w:afterAutospacing="0" w:line="50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16.3</w:t>
            </w:r>
          </w:p>
        </w:tc>
        <w:tc>
          <w:tcPr>
            <w:tcW w:w="2140" w:type="dxa"/>
            <w:gridSpan w:val="2"/>
            <w:vAlign w:val="center"/>
          </w:tcPr>
          <w:p w14:paraId="0295400A">
            <w:pPr>
              <w:pStyle w:val="19"/>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rPr>
            </w:pPr>
            <w:r>
              <w:rPr>
                <w:rFonts w:hint="eastAsia" w:hAnsi="宋体" w:cs="宋体"/>
                <w:color w:val="auto"/>
                <w:szCs w:val="21"/>
                <w:highlight w:val="none"/>
              </w:rPr>
              <w:t>投标人提出疑问的截止时间及方式</w:t>
            </w:r>
          </w:p>
        </w:tc>
        <w:tc>
          <w:tcPr>
            <w:tcW w:w="6610" w:type="dxa"/>
            <w:vAlign w:val="center"/>
          </w:tcPr>
          <w:p w14:paraId="6217100C">
            <w:pPr>
              <w:pStyle w:val="19"/>
              <w:keepNext w:val="0"/>
              <w:keepLines w:val="0"/>
              <w:pageBreakBefore w:val="0"/>
              <w:widowControl w:val="0"/>
              <w:suppressLineNumbers w:val="0"/>
              <w:shd w:val="clear"/>
              <w:kinsoku/>
              <w:wordWrap w:val="0"/>
              <w:overflowPunct/>
              <w:topLinePunct w:val="0"/>
              <w:autoSpaceDE/>
              <w:autoSpaceDN/>
              <w:bidi w:val="0"/>
              <w:adjustRightInd/>
              <w:snapToGrid/>
              <w:spacing w:before="0" w:beforeAutospacing="0" w:after="0" w:afterAutospacing="0" w:line="500" w:lineRule="exact"/>
              <w:ind w:left="0" w:right="0"/>
              <w:textAlignment w:val="auto"/>
              <w:rPr>
                <w:rFonts w:hint="default" w:ascii="宋体" w:hAnsi="宋体" w:cs="宋体"/>
                <w:color w:val="auto"/>
                <w:szCs w:val="21"/>
                <w:highlight w:val="none"/>
              </w:rPr>
            </w:pPr>
            <w:r>
              <w:rPr>
                <w:rFonts w:hint="eastAsia" w:hAnsi="宋体" w:cs="宋体"/>
                <w:color w:val="auto"/>
                <w:szCs w:val="21"/>
                <w:highlight w:val="none"/>
              </w:rPr>
              <w:t>如投标人对招标文件有疑问，请于</w:t>
            </w:r>
            <w:r>
              <w:rPr>
                <w:rFonts w:hint="eastAsia" w:hAnsi="宋体" w:cs="宋体"/>
                <w:b/>
                <w:bCs/>
                <w:color w:val="auto"/>
                <w:szCs w:val="21"/>
                <w:highlight w:val="none"/>
              </w:rPr>
              <w:t>202</w:t>
            </w:r>
            <w:r>
              <w:rPr>
                <w:rFonts w:hint="eastAsia" w:hAnsi="宋体" w:cs="宋体"/>
                <w:b/>
                <w:bCs/>
                <w:color w:val="auto"/>
                <w:szCs w:val="21"/>
                <w:highlight w:val="none"/>
                <w:lang w:val="en-US" w:eastAsia="zh-CN"/>
              </w:rPr>
              <w:t>6</w:t>
            </w:r>
            <w:r>
              <w:rPr>
                <w:rFonts w:hint="eastAsia" w:hAnsi="宋体" w:cs="宋体"/>
                <w:b/>
                <w:bCs/>
                <w:color w:val="auto"/>
                <w:szCs w:val="21"/>
                <w:highlight w:val="none"/>
              </w:rPr>
              <w:t>年</w:t>
            </w:r>
            <w:r>
              <w:rPr>
                <w:rFonts w:hint="eastAsia" w:hAnsi="宋体" w:cs="宋体"/>
                <w:b/>
                <w:bCs/>
                <w:color w:val="auto"/>
                <w:szCs w:val="21"/>
                <w:highlight w:val="none"/>
                <w:lang w:val="en-US" w:eastAsia="zh-CN"/>
              </w:rPr>
              <w:t>8</w:t>
            </w:r>
            <w:r>
              <w:rPr>
                <w:rFonts w:hint="eastAsia" w:hAnsi="宋体" w:cs="宋体"/>
                <w:b/>
                <w:bCs/>
                <w:color w:val="auto"/>
                <w:szCs w:val="21"/>
                <w:highlight w:val="none"/>
              </w:rPr>
              <w:t>月</w:t>
            </w:r>
            <w:r>
              <w:rPr>
                <w:rFonts w:hint="eastAsia" w:hAnsi="宋体" w:cs="宋体"/>
                <w:b/>
                <w:bCs/>
                <w:color w:val="auto"/>
                <w:szCs w:val="21"/>
                <w:highlight w:val="none"/>
                <w:lang w:val="en-US" w:eastAsia="zh-CN"/>
              </w:rPr>
              <w:t>28</w:t>
            </w:r>
            <w:r>
              <w:rPr>
                <w:rFonts w:hint="eastAsia" w:hAnsi="宋体" w:cs="宋体"/>
                <w:b/>
                <w:bCs/>
                <w:color w:val="auto"/>
                <w:szCs w:val="21"/>
                <w:highlight w:val="none"/>
              </w:rPr>
              <w:t>日</w:t>
            </w:r>
            <w:r>
              <w:rPr>
                <w:rFonts w:hint="eastAsia" w:hAnsi="宋体" w:cs="宋体"/>
                <w:b/>
                <w:bCs/>
                <w:color w:val="auto"/>
                <w:szCs w:val="21"/>
                <w:highlight w:val="none"/>
                <w:lang w:val="en-US" w:eastAsia="zh-CN"/>
              </w:rPr>
              <w:t>08</w:t>
            </w:r>
            <w:r>
              <w:rPr>
                <w:rFonts w:hint="eastAsia" w:hAnsi="宋体" w:cs="宋体"/>
                <w:b/>
                <w:bCs/>
                <w:color w:val="auto"/>
                <w:szCs w:val="21"/>
                <w:highlight w:val="none"/>
              </w:rPr>
              <w:t>时</w:t>
            </w:r>
            <w:r>
              <w:rPr>
                <w:rFonts w:hint="eastAsia" w:hAnsi="宋体" w:cs="宋体"/>
                <w:b/>
                <w:bCs/>
                <w:color w:val="auto"/>
                <w:szCs w:val="21"/>
                <w:highlight w:val="none"/>
                <w:lang w:val="en-US" w:eastAsia="zh-CN"/>
              </w:rPr>
              <w:t>30分</w:t>
            </w:r>
            <w:r>
              <w:rPr>
                <w:rFonts w:hint="eastAsia" w:hAnsi="宋体" w:cs="宋体"/>
                <w:color w:val="auto"/>
                <w:szCs w:val="21"/>
                <w:highlight w:val="none"/>
              </w:rPr>
              <w:t xml:space="preserve">（投标截止10日）前在滁州市公共资源交易中心网电子交易系统中进行异议（质疑），具体操作步骤和程序请参见服务指南&gt;交易须知&gt;在线异议、质疑和投诉操作手册。 </w:t>
            </w:r>
          </w:p>
        </w:tc>
      </w:tr>
      <w:tr w14:paraId="31195C5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28" w:hRule="atLeast"/>
        </w:trPr>
        <w:tc>
          <w:tcPr>
            <w:tcW w:w="1048" w:type="dxa"/>
            <w:vAlign w:val="center"/>
          </w:tcPr>
          <w:p w14:paraId="26F159C1">
            <w:pPr>
              <w:keepNext w:val="0"/>
              <w:keepLines w:val="0"/>
              <w:suppressLineNumbers w:val="0"/>
              <w:shd w:val="clear"/>
              <w:spacing w:before="0" w:beforeAutospacing="0" w:after="0" w:afterAutospacing="0" w:line="500" w:lineRule="exact"/>
              <w:ind w:left="0" w:right="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16.4</w:t>
            </w:r>
          </w:p>
        </w:tc>
        <w:tc>
          <w:tcPr>
            <w:tcW w:w="2140" w:type="dxa"/>
            <w:gridSpan w:val="2"/>
            <w:vAlign w:val="center"/>
          </w:tcPr>
          <w:p w14:paraId="7BF75BD0">
            <w:pPr>
              <w:pStyle w:val="19"/>
              <w:keepNext w:val="0"/>
              <w:keepLines w:val="0"/>
              <w:suppressLineNumbers w:val="0"/>
              <w:shd w:val="clear"/>
              <w:spacing w:before="0" w:beforeAutospacing="0" w:after="0" w:afterAutospacing="0" w:line="500" w:lineRule="exact"/>
              <w:ind w:left="0" w:right="0"/>
              <w:jc w:val="left"/>
              <w:rPr>
                <w:rFonts w:hint="eastAsia" w:ascii="宋体" w:hAnsi="宋体" w:cs="宋体"/>
                <w:color w:val="auto"/>
                <w:szCs w:val="21"/>
                <w:highlight w:val="none"/>
              </w:rPr>
            </w:pPr>
            <w:r>
              <w:rPr>
                <w:rFonts w:hint="eastAsia" w:hAnsi="宋体" w:cs="宋体"/>
                <w:color w:val="auto"/>
                <w:szCs w:val="21"/>
                <w:highlight w:val="none"/>
              </w:rPr>
              <w:t>招标人澄清的时间及方式</w:t>
            </w:r>
          </w:p>
        </w:tc>
        <w:tc>
          <w:tcPr>
            <w:tcW w:w="6610" w:type="dxa"/>
            <w:vAlign w:val="center"/>
          </w:tcPr>
          <w:p w14:paraId="734C1AB6">
            <w:pPr>
              <w:keepNext w:val="0"/>
              <w:keepLines w:val="0"/>
              <w:pageBreakBefore w:val="0"/>
              <w:widowControl w:val="0"/>
              <w:suppressLineNumbers w:val="0"/>
              <w:shd w:val="clear"/>
              <w:kinsoku/>
              <w:wordWrap w:val="0"/>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szCs w:val="21"/>
                <w:highlight w:val="none"/>
              </w:rPr>
            </w:pPr>
            <w:r>
              <w:rPr>
                <w:rFonts w:hint="eastAsia" w:ascii="宋体" w:hAnsi="宋体" w:cs="宋体"/>
                <w:b/>
                <w:bCs/>
                <w:color w:val="auto"/>
                <w:szCs w:val="21"/>
                <w:highlight w:val="none"/>
                <w:u w:color="000000"/>
              </w:rPr>
              <w:t>202</w:t>
            </w:r>
            <w:r>
              <w:rPr>
                <w:rFonts w:hint="eastAsia" w:ascii="宋体" w:hAnsi="宋体" w:cs="宋体"/>
                <w:b/>
                <w:bCs/>
                <w:color w:val="auto"/>
                <w:szCs w:val="21"/>
                <w:highlight w:val="none"/>
                <w:u w:color="000000"/>
                <w:lang w:val="en-US" w:eastAsia="zh-CN"/>
              </w:rPr>
              <w:t>6</w:t>
            </w:r>
            <w:r>
              <w:rPr>
                <w:rFonts w:hint="eastAsia" w:ascii="宋体" w:hAnsi="宋体" w:cs="宋体"/>
                <w:b/>
                <w:bCs/>
                <w:color w:val="auto"/>
                <w:szCs w:val="21"/>
                <w:highlight w:val="none"/>
                <w:u w:color="000000"/>
              </w:rPr>
              <w:t>年</w:t>
            </w:r>
            <w:r>
              <w:rPr>
                <w:rFonts w:hint="eastAsia" w:ascii="宋体" w:hAnsi="宋体" w:cs="宋体"/>
                <w:b/>
                <w:bCs/>
                <w:color w:val="auto"/>
                <w:szCs w:val="21"/>
                <w:highlight w:val="none"/>
                <w:u w:color="000000"/>
                <w:lang w:val="en-US" w:eastAsia="zh-CN"/>
              </w:rPr>
              <w:t>8</w:t>
            </w:r>
            <w:r>
              <w:rPr>
                <w:rFonts w:hint="eastAsia" w:ascii="宋体" w:hAnsi="宋体" w:cs="宋体"/>
                <w:b/>
                <w:bCs/>
                <w:color w:val="auto"/>
                <w:szCs w:val="21"/>
                <w:highlight w:val="none"/>
                <w:u w:color="000000"/>
              </w:rPr>
              <w:t>月</w:t>
            </w:r>
            <w:r>
              <w:rPr>
                <w:rFonts w:hint="eastAsia" w:ascii="宋体" w:hAnsi="宋体" w:cs="宋体"/>
                <w:b/>
                <w:bCs/>
                <w:color w:val="auto"/>
                <w:szCs w:val="21"/>
                <w:highlight w:val="none"/>
                <w:u w:color="000000"/>
                <w:lang w:val="en-US" w:eastAsia="zh-CN"/>
              </w:rPr>
              <w:t>31</w:t>
            </w:r>
            <w:r>
              <w:rPr>
                <w:rFonts w:hint="eastAsia" w:ascii="宋体" w:hAnsi="宋体" w:cs="宋体"/>
                <w:b/>
                <w:bCs/>
                <w:color w:val="auto"/>
                <w:szCs w:val="21"/>
                <w:highlight w:val="none"/>
                <w:u w:color="000000"/>
              </w:rPr>
              <w:t>日17时</w:t>
            </w:r>
            <w:r>
              <w:rPr>
                <w:rFonts w:hint="eastAsia" w:ascii="宋体" w:hAnsi="宋体" w:cs="宋体"/>
                <w:b/>
                <w:bCs/>
                <w:color w:val="auto"/>
                <w:szCs w:val="21"/>
                <w:highlight w:val="none"/>
              </w:rPr>
              <w:t>前</w:t>
            </w:r>
            <w:r>
              <w:rPr>
                <w:rFonts w:hint="eastAsia" w:ascii="宋体" w:hAnsi="宋体" w:cs="宋体"/>
                <w:color w:val="auto"/>
                <w:szCs w:val="21"/>
                <w:highlight w:val="none"/>
              </w:rPr>
              <w:t>以澄清公告形式在滁州市公共资源交易网（http://ggzy.chuzhou.gov.cn /）“答疑澄清文件”栏目予以公告。</w:t>
            </w:r>
          </w:p>
        </w:tc>
      </w:tr>
      <w:tr w14:paraId="7482F4C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1048" w:type="dxa"/>
            <w:vAlign w:val="center"/>
          </w:tcPr>
          <w:p w14:paraId="74773649">
            <w:pPr>
              <w:pStyle w:val="19"/>
              <w:keepNext w:val="0"/>
              <w:keepLines w:val="0"/>
              <w:suppressLineNumbers w:val="0"/>
              <w:shd w:val="clear"/>
              <w:spacing w:before="0" w:beforeAutospacing="0" w:after="0" w:afterAutospacing="0" w:line="500" w:lineRule="exact"/>
              <w:ind w:left="0" w:right="0"/>
              <w:jc w:val="center"/>
              <w:rPr>
                <w:rFonts w:hint="default" w:hAnsi="宋体" w:cs="宋体"/>
                <w:color w:val="auto"/>
                <w:szCs w:val="21"/>
                <w:highlight w:val="none"/>
              </w:rPr>
            </w:pPr>
            <w:r>
              <w:rPr>
                <w:rFonts w:hint="eastAsia" w:hAnsi="宋体" w:cs="宋体"/>
                <w:color w:val="auto"/>
                <w:szCs w:val="21"/>
                <w:highlight w:val="none"/>
              </w:rPr>
              <w:t>23.1</w:t>
            </w:r>
          </w:p>
        </w:tc>
        <w:tc>
          <w:tcPr>
            <w:tcW w:w="2140" w:type="dxa"/>
            <w:gridSpan w:val="2"/>
            <w:vAlign w:val="center"/>
          </w:tcPr>
          <w:p w14:paraId="77FD3CA6">
            <w:pPr>
              <w:pStyle w:val="19"/>
              <w:keepNext w:val="0"/>
              <w:keepLines w:val="0"/>
              <w:suppressLineNumbers w:val="0"/>
              <w:shd w:val="clear"/>
              <w:spacing w:before="0" w:beforeAutospacing="0" w:after="0" w:afterAutospacing="0" w:line="500" w:lineRule="exact"/>
              <w:ind w:left="0" w:right="0"/>
              <w:jc w:val="left"/>
              <w:rPr>
                <w:rFonts w:hint="default" w:hAnsi="宋体" w:cs="宋体"/>
                <w:color w:val="auto"/>
                <w:szCs w:val="21"/>
                <w:highlight w:val="none"/>
              </w:rPr>
            </w:pPr>
            <w:r>
              <w:rPr>
                <w:rFonts w:hint="eastAsia" w:hAnsi="宋体" w:cs="宋体"/>
                <w:color w:val="auto"/>
                <w:szCs w:val="21"/>
                <w:highlight w:val="none"/>
              </w:rPr>
              <w:t>投标有效期</w:t>
            </w:r>
          </w:p>
        </w:tc>
        <w:tc>
          <w:tcPr>
            <w:tcW w:w="6610" w:type="dxa"/>
            <w:vAlign w:val="center"/>
          </w:tcPr>
          <w:p w14:paraId="5540C305">
            <w:pPr>
              <w:pStyle w:val="19"/>
              <w:keepNext w:val="0"/>
              <w:keepLines w:val="0"/>
              <w:suppressLineNumbers w:val="0"/>
              <w:shd w:val="clear"/>
              <w:spacing w:before="0" w:beforeAutospacing="0" w:after="0" w:afterAutospacing="0" w:line="500" w:lineRule="exact"/>
              <w:ind w:left="0" w:right="0"/>
              <w:rPr>
                <w:rFonts w:hint="default" w:hAnsi="宋体" w:cs="宋体"/>
                <w:color w:val="auto"/>
                <w:szCs w:val="21"/>
                <w:highlight w:val="none"/>
              </w:rPr>
            </w:pPr>
            <w:r>
              <w:rPr>
                <w:rFonts w:hint="eastAsia" w:hAnsi="宋体" w:cs="宋体"/>
                <w:color w:val="auto"/>
                <w:szCs w:val="21"/>
                <w:highlight w:val="none"/>
              </w:rPr>
              <w:t>投标有效期为</w:t>
            </w:r>
            <w:r>
              <w:rPr>
                <w:rFonts w:hint="eastAsia" w:hAnsi="宋体" w:cs="宋体"/>
                <w:color w:val="auto"/>
                <w:szCs w:val="21"/>
                <w:highlight w:val="none"/>
                <w:u w:val="single"/>
              </w:rPr>
              <w:t xml:space="preserve"> 90  </w:t>
            </w:r>
            <w:r>
              <w:rPr>
                <w:rFonts w:hint="eastAsia" w:hAnsi="宋体" w:cs="宋体"/>
                <w:color w:val="auto"/>
                <w:szCs w:val="21"/>
                <w:highlight w:val="none"/>
              </w:rPr>
              <w:t>日历天（从投标截止之日算起）。在此期限内，凡符合本招标文件要求的投标文件均保持有效。</w:t>
            </w:r>
          </w:p>
        </w:tc>
      </w:tr>
      <w:tr w14:paraId="1BD4612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5" w:hRule="atLeast"/>
        </w:trPr>
        <w:tc>
          <w:tcPr>
            <w:tcW w:w="1048" w:type="dxa"/>
            <w:vAlign w:val="center"/>
          </w:tcPr>
          <w:p w14:paraId="66C28A3F">
            <w:pPr>
              <w:keepNext w:val="0"/>
              <w:keepLines w:val="0"/>
              <w:suppressLineNumbers w:val="0"/>
              <w:shd w:val="clear"/>
              <w:spacing w:before="0" w:beforeAutospacing="0" w:after="0" w:afterAutospacing="0" w:line="50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24</w:t>
            </w:r>
          </w:p>
        </w:tc>
        <w:tc>
          <w:tcPr>
            <w:tcW w:w="2140" w:type="dxa"/>
            <w:gridSpan w:val="2"/>
            <w:vAlign w:val="center"/>
          </w:tcPr>
          <w:p w14:paraId="0C8B6233">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rPr>
            </w:pPr>
            <w:r>
              <w:rPr>
                <w:rFonts w:hint="eastAsia" w:ascii="宋体" w:hAnsi="宋体" w:cs="宋体"/>
                <w:color w:val="auto"/>
                <w:szCs w:val="21"/>
                <w:highlight w:val="none"/>
              </w:rPr>
              <w:t>投标保证金</w:t>
            </w:r>
          </w:p>
        </w:tc>
        <w:tc>
          <w:tcPr>
            <w:tcW w:w="6610" w:type="dxa"/>
          </w:tcPr>
          <w:p w14:paraId="19395677">
            <w:pPr>
              <w:keepNext w:val="0"/>
              <w:keepLines w:val="0"/>
              <w:widowControl/>
              <w:suppressLineNumbers w:val="0"/>
              <w:shd w:val="clear" w:color="auto"/>
              <w:spacing w:before="0" w:beforeAutospacing="0" w:after="0" w:afterAutospacing="0" w:line="500" w:lineRule="exact"/>
              <w:ind w:left="0" w:right="0"/>
              <w:jc w:val="left"/>
              <w:rPr>
                <w:rFonts w:hint="default" w:ascii="宋体" w:hAnsi="宋体" w:cs="宋体"/>
                <w:color w:val="auto"/>
                <w:szCs w:val="21"/>
                <w:highlight w:val="none"/>
              </w:rPr>
            </w:pPr>
            <w:r>
              <w:rPr>
                <w:rFonts w:hint="eastAsia" w:ascii="宋体" w:hAnsi="宋体" w:cs="宋体"/>
                <w:color w:val="auto"/>
                <w:szCs w:val="21"/>
                <w:highlight w:val="none"/>
                <w:u w:color="000000"/>
              </w:rPr>
              <w:t>详见第一章“招标公告”</w:t>
            </w:r>
          </w:p>
        </w:tc>
      </w:tr>
      <w:tr w14:paraId="480A8BD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1048" w:type="dxa"/>
            <w:vAlign w:val="center"/>
          </w:tcPr>
          <w:p w14:paraId="24923DFF">
            <w:pPr>
              <w:pStyle w:val="19"/>
              <w:keepNext w:val="0"/>
              <w:keepLines w:val="0"/>
              <w:suppressLineNumbers w:val="0"/>
              <w:shd w:val="clear"/>
              <w:spacing w:before="0" w:beforeAutospacing="0" w:after="0" w:afterAutospacing="0" w:line="500" w:lineRule="exact"/>
              <w:ind w:left="0" w:right="0"/>
              <w:jc w:val="center"/>
              <w:rPr>
                <w:rFonts w:hint="default" w:hAnsi="宋体" w:cs="宋体"/>
                <w:color w:val="auto"/>
                <w:szCs w:val="21"/>
                <w:highlight w:val="none"/>
              </w:rPr>
            </w:pPr>
            <w:r>
              <w:rPr>
                <w:rFonts w:hint="eastAsia" w:hAnsi="宋体" w:cs="宋体"/>
                <w:color w:val="auto"/>
                <w:szCs w:val="21"/>
                <w:highlight w:val="none"/>
              </w:rPr>
              <w:t>25.1</w:t>
            </w:r>
          </w:p>
        </w:tc>
        <w:tc>
          <w:tcPr>
            <w:tcW w:w="2140" w:type="dxa"/>
            <w:gridSpan w:val="2"/>
            <w:vAlign w:val="center"/>
          </w:tcPr>
          <w:p w14:paraId="0E517D6F">
            <w:pPr>
              <w:pStyle w:val="19"/>
              <w:keepNext w:val="0"/>
              <w:keepLines w:val="0"/>
              <w:suppressLineNumbers w:val="0"/>
              <w:shd w:val="clear"/>
              <w:spacing w:before="0" w:beforeAutospacing="0" w:after="0" w:afterAutospacing="0" w:line="500" w:lineRule="exact"/>
              <w:ind w:left="0" w:right="0"/>
              <w:jc w:val="left"/>
              <w:rPr>
                <w:rFonts w:hint="default" w:hAnsi="宋体" w:cs="宋体"/>
                <w:color w:val="auto"/>
                <w:szCs w:val="21"/>
                <w:highlight w:val="none"/>
              </w:rPr>
            </w:pPr>
            <w:r>
              <w:rPr>
                <w:rFonts w:hint="eastAsia" w:hAnsi="宋体" w:cs="宋体"/>
                <w:color w:val="auto"/>
                <w:szCs w:val="21"/>
                <w:highlight w:val="none"/>
              </w:rPr>
              <w:t>投标文件数量</w:t>
            </w:r>
          </w:p>
        </w:tc>
        <w:tc>
          <w:tcPr>
            <w:tcW w:w="6610" w:type="dxa"/>
            <w:vAlign w:val="center"/>
          </w:tcPr>
          <w:p w14:paraId="5794973B">
            <w:pPr>
              <w:keepNext w:val="0"/>
              <w:keepLines w:val="0"/>
              <w:widowControl/>
              <w:suppressLineNumbers w:val="0"/>
              <w:shd w:val="clear"/>
              <w:spacing w:before="0" w:beforeAutospacing="0" w:after="0" w:afterAutospacing="0" w:line="500" w:lineRule="exact"/>
              <w:ind w:left="0" w:right="0" w:firstLine="88" w:firstLineChars="42"/>
              <w:jc w:val="left"/>
              <w:rPr>
                <w:rFonts w:hint="default" w:ascii="宋体" w:hAnsi="宋体" w:cs="宋体"/>
                <w:bCs/>
                <w:color w:val="auto"/>
                <w:kern w:val="0"/>
                <w:szCs w:val="21"/>
                <w:highlight w:val="none"/>
              </w:rPr>
            </w:pPr>
            <w:r>
              <w:rPr>
                <w:rFonts w:hint="eastAsia" w:ascii="宋体" w:hAnsi="宋体" w:cs="宋体"/>
                <w:bCs/>
                <w:color w:val="auto"/>
                <w:kern w:val="0"/>
                <w:szCs w:val="21"/>
                <w:highlight w:val="none"/>
              </w:rPr>
              <w:t>网上递交的电子投标文件：一份。以投标人在投标截止时间前网上递交的电子投标文件为准，逾期提交的，投标文件将被拒绝。</w:t>
            </w:r>
          </w:p>
          <w:p w14:paraId="6EF76A6F">
            <w:pPr>
              <w:keepNext w:val="0"/>
              <w:keepLines w:val="0"/>
              <w:widowControl/>
              <w:suppressLineNumbers w:val="0"/>
              <w:shd w:val="clear"/>
              <w:spacing w:before="0" w:beforeAutospacing="0" w:after="0" w:afterAutospacing="0" w:line="500" w:lineRule="exact"/>
              <w:ind w:left="0" w:right="0" w:firstLine="88" w:firstLineChars="42"/>
              <w:jc w:val="left"/>
              <w:rPr>
                <w:rFonts w:hint="default" w:ascii="宋体" w:hAnsi="宋体" w:cs="宋体"/>
                <w:bCs/>
                <w:color w:val="auto"/>
                <w:szCs w:val="21"/>
                <w:highlight w:val="none"/>
              </w:rPr>
            </w:pPr>
            <w:r>
              <w:rPr>
                <w:rFonts w:hint="eastAsia" w:ascii="宋体" w:hAnsi="宋体" w:cs="宋体"/>
                <w:bCs/>
                <w:color w:val="auto"/>
                <w:kern w:val="0"/>
                <w:szCs w:val="21"/>
                <w:highlight w:val="none"/>
              </w:rPr>
              <w:t>（投标单位中标后须递交与网上电子投标文件完全一致的纸质版投标文件，并按要求加盖公章；份数：正本1份，副本2份；中标单位领取中标通知书时，一并递交给代理机构）</w:t>
            </w:r>
          </w:p>
        </w:tc>
      </w:tr>
      <w:tr w14:paraId="42EE8F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1048" w:type="dxa"/>
            <w:vAlign w:val="center"/>
          </w:tcPr>
          <w:p w14:paraId="31677B3C">
            <w:pPr>
              <w:keepNext w:val="0"/>
              <w:keepLines w:val="0"/>
              <w:suppressLineNumbers w:val="0"/>
              <w:shd w:val="clear"/>
              <w:spacing w:before="0" w:beforeAutospacing="0" w:after="0" w:afterAutospacing="0" w:line="50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25.2</w:t>
            </w:r>
          </w:p>
        </w:tc>
        <w:tc>
          <w:tcPr>
            <w:tcW w:w="2140" w:type="dxa"/>
            <w:gridSpan w:val="2"/>
            <w:vAlign w:val="center"/>
          </w:tcPr>
          <w:p w14:paraId="46655E2E">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rPr>
            </w:pPr>
            <w:r>
              <w:rPr>
                <w:rFonts w:hint="eastAsia" w:ascii="宋体" w:hAnsi="宋体" w:cs="宋体"/>
                <w:color w:val="auto"/>
                <w:szCs w:val="21"/>
                <w:highlight w:val="none"/>
              </w:rPr>
              <w:t>签字或盖章要求</w:t>
            </w:r>
          </w:p>
        </w:tc>
        <w:tc>
          <w:tcPr>
            <w:tcW w:w="6610" w:type="dxa"/>
            <w:vAlign w:val="center"/>
          </w:tcPr>
          <w:p w14:paraId="3BD525D3">
            <w:pPr>
              <w:keepNext w:val="0"/>
              <w:keepLines w:val="0"/>
              <w:widowControl/>
              <w:suppressLineNumbers w:val="0"/>
              <w:shd w:val="clear"/>
              <w:spacing w:before="0" w:beforeAutospacing="0" w:after="0" w:afterAutospacing="0" w:line="500" w:lineRule="exact"/>
              <w:ind w:left="0" w:right="0"/>
              <w:jc w:val="left"/>
              <w:rPr>
                <w:rFonts w:hint="default" w:ascii="宋体" w:hAnsi="宋体" w:cs="宋体"/>
                <w:bCs/>
                <w:color w:val="auto"/>
                <w:kern w:val="0"/>
                <w:szCs w:val="21"/>
                <w:highlight w:val="none"/>
              </w:rPr>
            </w:pPr>
            <w:r>
              <w:rPr>
                <w:rFonts w:hint="eastAsia" w:ascii="宋体" w:hAnsi="宋体" w:cs="宋体"/>
                <w:bCs/>
                <w:color w:val="auto"/>
                <w:kern w:val="0"/>
                <w:szCs w:val="21"/>
                <w:highlight w:val="none"/>
              </w:rPr>
              <w:t>电子投标文件须按格式文件要求签字或盖章（电子签章），招标文件格式中要求“签章”部位，指电子签章或盖章后扫描上传均可。</w:t>
            </w:r>
          </w:p>
          <w:p w14:paraId="109A3BBA">
            <w:pPr>
              <w:keepNext w:val="0"/>
              <w:keepLines w:val="0"/>
              <w:widowControl/>
              <w:suppressLineNumbers w:val="0"/>
              <w:shd w:val="clear"/>
              <w:spacing w:before="0" w:beforeAutospacing="0" w:after="0" w:afterAutospacing="0" w:line="500" w:lineRule="exact"/>
              <w:ind w:left="0" w:right="0" w:firstLine="88" w:firstLineChars="42"/>
              <w:jc w:val="left"/>
              <w:rPr>
                <w:rFonts w:hint="default" w:ascii="宋体" w:hAnsi="宋体" w:cs="宋体"/>
                <w:bCs/>
                <w:color w:val="auto"/>
                <w:szCs w:val="21"/>
                <w:highlight w:val="none"/>
              </w:rPr>
            </w:pPr>
            <w:r>
              <w:rPr>
                <w:rFonts w:hint="eastAsia" w:ascii="宋体" w:hAnsi="宋体" w:cs="宋体"/>
                <w:bCs/>
                <w:color w:val="auto"/>
                <w:kern w:val="0"/>
                <w:szCs w:val="21"/>
                <w:highlight w:val="none"/>
              </w:rPr>
              <w:t>否则经评委会一致认定且经过招投标监管部门批准后，按照无效投标处理。</w:t>
            </w:r>
          </w:p>
        </w:tc>
      </w:tr>
      <w:tr w14:paraId="7E1EF66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38" w:hRule="atLeast"/>
        </w:trPr>
        <w:tc>
          <w:tcPr>
            <w:tcW w:w="1048" w:type="dxa"/>
            <w:vAlign w:val="center"/>
          </w:tcPr>
          <w:p w14:paraId="7BAC04FC">
            <w:pPr>
              <w:keepNext w:val="0"/>
              <w:keepLines w:val="0"/>
              <w:suppressLineNumbers w:val="0"/>
              <w:shd w:val="clear"/>
              <w:spacing w:before="0" w:beforeAutospacing="0" w:after="0" w:afterAutospacing="0" w:line="50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26.1</w:t>
            </w:r>
          </w:p>
        </w:tc>
        <w:tc>
          <w:tcPr>
            <w:tcW w:w="2140" w:type="dxa"/>
            <w:gridSpan w:val="2"/>
            <w:vAlign w:val="center"/>
          </w:tcPr>
          <w:p w14:paraId="061F7399">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rPr>
            </w:pPr>
            <w:r>
              <w:rPr>
                <w:rFonts w:hint="eastAsia" w:ascii="宋体" w:hAnsi="宋体" w:cs="宋体"/>
                <w:color w:val="auto"/>
                <w:szCs w:val="21"/>
                <w:highlight w:val="none"/>
              </w:rPr>
              <w:t>投标文件提交截止时间</w:t>
            </w:r>
          </w:p>
        </w:tc>
        <w:tc>
          <w:tcPr>
            <w:tcW w:w="6610" w:type="dxa"/>
            <w:vAlign w:val="center"/>
          </w:tcPr>
          <w:p w14:paraId="6C62444C">
            <w:pPr>
              <w:keepNext w:val="0"/>
              <w:keepLines w:val="0"/>
              <w:suppressLineNumbers w:val="0"/>
              <w:shd w:val="clear"/>
              <w:spacing w:before="0" w:beforeAutospacing="0" w:after="0" w:afterAutospacing="0" w:line="50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网上递交投标文件截止时间：</w:t>
            </w:r>
            <w:r>
              <w:rPr>
                <w:rFonts w:hint="eastAsia" w:ascii="宋体" w:hAnsi="宋体" w:cs="宋体"/>
                <w:b/>
                <w:bCs/>
                <w:color w:val="auto"/>
                <w:szCs w:val="21"/>
                <w:highlight w:val="none"/>
              </w:rPr>
              <w:t>202</w:t>
            </w:r>
            <w:r>
              <w:rPr>
                <w:rFonts w:hint="eastAsia" w:ascii="宋体" w:hAnsi="宋体" w:cs="宋体"/>
                <w:b/>
                <w:bCs/>
                <w:color w:val="auto"/>
                <w:szCs w:val="21"/>
                <w:highlight w:val="none"/>
                <w:lang w:val="en-US" w:eastAsia="zh-CN"/>
              </w:rPr>
              <w:t>6</w:t>
            </w:r>
            <w:r>
              <w:rPr>
                <w:rFonts w:hint="eastAsia" w:ascii="宋体" w:hAnsi="宋体" w:cs="宋体"/>
                <w:b/>
                <w:bCs/>
                <w:color w:val="auto"/>
                <w:szCs w:val="21"/>
                <w:highlight w:val="none"/>
              </w:rPr>
              <w:t>年</w:t>
            </w:r>
            <w:r>
              <w:rPr>
                <w:rFonts w:hint="eastAsia" w:ascii="宋体" w:hAnsi="宋体" w:cs="宋体"/>
                <w:b/>
                <w:bCs/>
                <w:color w:val="auto"/>
                <w:szCs w:val="21"/>
                <w:highlight w:val="none"/>
                <w:lang w:val="en-US" w:eastAsia="zh-CN"/>
              </w:rPr>
              <w:t>9</w:t>
            </w:r>
            <w:r>
              <w:rPr>
                <w:rFonts w:hint="eastAsia" w:ascii="宋体" w:hAnsi="宋体" w:cs="宋体"/>
                <w:b/>
                <w:bCs/>
                <w:color w:val="auto"/>
                <w:szCs w:val="21"/>
                <w:highlight w:val="none"/>
              </w:rPr>
              <w:t>月</w:t>
            </w:r>
            <w:r>
              <w:rPr>
                <w:rFonts w:hint="eastAsia" w:ascii="宋体" w:hAnsi="宋体" w:cs="宋体"/>
                <w:b/>
                <w:bCs/>
                <w:color w:val="auto"/>
                <w:szCs w:val="21"/>
                <w:highlight w:val="none"/>
                <w:lang w:val="en-US" w:eastAsia="zh-CN"/>
              </w:rPr>
              <w:t>7</w:t>
            </w:r>
            <w:r>
              <w:rPr>
                <w:rFonts w:hint="eastAsia" w:ascii="宋体" w:hAnsi="宋体" w:cs="宋体"/>
                <w:b/>
                <w:bCs/>
                <w:color w:val="auto"/>
                <w:szCs w:val="21"/>
                <w:highlight w:val="none"/>
              </w:rPr>
              <w:t>日</w:t>
            </w:r>
            <w:r>
              <w:rPr>
                <w:rFonts w:hint="eastAsia" w:ascii="宋体" w:hAnsi="宋体" w:cs="宋体"/>
                <w:b/>
                <w:bCs/>
                <w:color w:val="auto"/>
                <w:szCs w:val="21"/>
                <w:highlight w:val="none"/>
                <w:lang w:val="en-US" w:eastAsia="zh-CN"/>
              </w:rPr>
              <w:t>8</w:t>
            </w:r>
            <w:r>
              <w:rPr>
                <w:rFonts w:hint="eastAsia" w:ascii="宋体" w:hAnsi="宋体" w:cs="宋体"/>
                <w:b/>
                <w:bCs/>
                <w:color w:val="auto"/>
                <w:szCs w:val="21"/>
                <w:highlight w:val="none"/>
              </w:rPr>
              <w:t>点</w:t>
            </w:r>
            <w:r>
              <w:rPr>
                <w:rFonts w:hint="eastAsia" w:ascii="宋体" w:hAnsi="宋体" w:cs="宋体"/>
                <w:b/>
                <w:bCs/>
                <w:color w:val="auto"/>
                <w:szCs w:val="21"/>
                <w:highlight w:val="none"/>
                <w:lang w:val="en-US" w:eastAsia="zh-CN"/>
              </w:rPr>
              <w:t>3</w:t>
            </w:r>
            <w:r>
              <w:rPr>
                <w:rFonts w:hint="eastAsia" w:ascii="宋体" w:hAnsi="宋体" w:cs="宋体"/>
                <w:b/>
                <w:bCs/>
                <w:color w:val="auto"/>
                <w:szCs w:val="21"/>
                <w:highlight w:val="none"/>
              </w:rPr>
              <w:t>0分（北京时间）</w:t>
            </w:r>
          </w:p>
          <w:p w14:paraId="2EFCEA5D">
            <w:pPr>
              <w:keepNext w:val="0"/>
              <w:keepLines w:val="0"/>
              <w:suppressLineNumbers w:val="0"/>
              <w:shd w:val="clear"/>
              <w:spacing w:before="0" w:beforeAutospacing="0" w:after="0" w:afterAutospacing="0" w:line="500" w:lineRule="exact"/>
              <w:ind w:left="0" w:right="0"/>
              <w:rPr>
                <w:rFonts w:hint="default" w:ascii="宋体" w:hAnsi="宋体" w:cs="宋体"/>
                <w:bCs/>
                <w:color w:val="auto"/>
                <w:szCs w:val="21"/>
                <w:highlight w:val="none"/>
              </w:rPr>
            </w:pPr>
            <w:r>
              <w:rPr>
                <w:rFonts w:hint="eastAsia" w:ascii="宋体" w:hAnsi="宋体" w:cs="宋体"/>
                <w:b/>
                <w:color w:val="auto"/>
                <w:szCs w:val="21"/>
                <w:highlight w:val="none"/>
              </w:rPr>
              <w:t>注：以投标人在投标截止时间前网上递交的电子投标文件为准，逾期提交的，投标文件将被拒绝。</w:t>
            </w:r>
          </w:p>
          <w:p w14:paraId="0C116C23">
            <w:pPr>
              <w:keepNext w:val="0"/>
              <w:keepLines w:val="0"/>
              <w:suppressLineNumbers w:val="0"/>
              <w:shd w:val="clear"/>
              <w:wordWrap w:val="0"/>
              <w:spacing w:before="0" w:beforeAutospacing="0" w:after="0" w:afterAutospacing="0" w:line="50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1.解密程序开始后60分钟内（以本项目网上招投标系统解密倒计时为准）。</w:t>
            </w:r>
          </w:p>
          <w:p w14:paraId="50E733F0">
            <w:pPr>
              <w:keepNext w:val="0"/>
              <w:keepLines w:val="0"/>
              <w:suppressLineNumbers w:val="0"/>
              <w:shd w:val="clear"/>
              <w:wordWrap w:val="0"/>
              <w:spacing w:before="0" w:beforeAutospacing="0" w:after="0" w:afterAutospacing="0" w:line="500" w:lineRule="exact"/>
              <w:ind w:left="0" w:right="0"/>
              <w:rPr>
                <w:rFonts w:hint="default" w:ascii="宋体" w:hAnsi="宋体" w:cs="宋体"/>
                <w:color w:val="auto"/>
                <w:szCs w:val="21"/>
                <w:highlight w:val="none"/>
              </w:rPr>
            </w:pPr>
            <w:r>
              <w:rPr>
                <w:rFonts w:hint="eastAsia" w:ascii="宋体" w:hAnsi="宋体" w:cs="宋体"/>
                <w:b/>
                <w:bCs/>
                <w:color w:val="auto"/>
                <w:szCs w:val="21"/>
                <w:highlight w:val="none"/>
              </w:rPr>
              <w:t>2.解密时间为202</w:t>
            </w:r>
            <w:r>
              <w:rPr>
                <w:rFonts w:hint="eastAsia" w:ascii="宋体" w:hAnsi="宋体" w:cs="宋体"/>
                <w:b/>
                <w:bCs/>
                <w:color w:val="auto"/>
                <w:szCs w:val="21"/>
                <w:highlight w:val="none"/>
                <w:lang w:val="en-US" w:eastAsia="zh-CN"/>
              </w:rPr>
              <w:t>6</w:t>
            </w:r>
            <w:r>
              <w:rPr>
                <w:rFonts w:hint="eastAsia" w:ascii="宋体" w:hAnsi="宋体" w:cs="宋体"/>
                <w:b/>
                <w:bCs/>
                <w:color w:val="auto"/>
                <w:szCs w:val="21"/>
                <w:highlight w:val="none"/>
              </w:rPr>
              <w:t>年</w:t>
            </w:r>
            <w:r>
              <w:rPr>
                <w:rFonts w:hint="eastAsia" w:ascii="宋体" w:hAnsi="宋体" w:cs="宋体"/>
                <w:b/>
                <w:bCs/>
                <w:color w:val="auto"/>
                <w:szCs w:val="21"/>
                <w:highlight w:val="none"/>
                <w:lang w:val="en-US" w:eastAsia="zh-CN"/>
              </w:rPr>
              <w:t>9</w:t>
            </w:r>
            <w:r>
              <w:rPr>
                <w:rFonts w:hint="eastAsia" w:ascii="宋体" w:hAnsi="宋体" w:cs="宋体"/>
                <w:b/>
                <w:bCs/>
                <w:color w:val="auto"/>
                <w:szCs w:val="21"/>
                <w:highlight w:val="none"/>
              </w:rPr>
              <w:t>月</w:t>
            </w:r>
            <w:r>
              <w:rPr>
                <w:rFonts w:hint="eastAsia" w:ascii="宋体" w:hAnsi="宋体" w:cs="宋体"/>
                <w:b/>
                <w:bCs/>
                <w:color w:val="auto"/>
                <w:szCs w:val="21"/>
                <w:highlight w:val="none"/>
                <w:lang w:val="en-US" w:eastAsia="zh-CN"/>
              </w:rPr>
              <w:t>7</w:t>
            </w:r>
            <w:r>
              <w:rPr>
                <w:rFonts w:hint="eastAsia" w:ascii="宋体" w:hAnsi="宋体" w:cs="宋体"/>
                <w:b/>
                <w:bCs/>
                <w:color w:val="auto"/>
                <w:szCs w:val="21"/>
                <w:highlight w:val="none"/>
              </w:rPr>
              <w:t>日</w:t>
            </w:r>
            <w:r>
              <w:rPr>
                <w:rFonts w:hint="eastAsia" w:ascii="宋体" w:hAnsi="宋体" w:cs="宋体"/>
                <w:b/>
                <w:bCs/>
                <w:color w:val="auto"/>
                <w:szCs w:val="21"/>
                <w:highlight w:val="none"/>
                <w:lang w:val="en-US" w:eastAsia="zh-CN"/>
              </w:rPr>
              <w:t>08</w:t>
            </w:r>
            <w:r>
              <w:rPr>
                <w:rFonts w:hint="eastAsia" w:ascii="宋体" w:hAnsi="宋体" w:cs="宋体"/>
                <w:b/>
                <w:bCs/>
                <w:color w:val="auto"/>
                <w:szCs w:val="21"/>
                <w:highlight w:val="none"/>
              </w:rPr>
              <w:t>点</w:t>
            </w:r>
            <w:r>
              <w:rPr>
                <w:rFonts w:hint="eastAsia" w:ascii="宋体" w:hAnsi="宋体" w:cs="宋体"/>
                <w:b/>
                <w:bCs/>
                <w:color w:val="auto"/>
                <w:szCs w:val="21"/>
                <w:highlight w:val="none"/>
                <w:lang w:val="en-US" w:eastAsia="zh-CN"/>
              </w:rPr>
              <w:t>3</w:t>
            </w:r>
            <w:r>
              <w:rPr>
                <w:rFonts w:hint="eastAsia" w:ascii="宋体" w:hAnsi="宋体" w:cs="宋体"/>
                <w:b/>
                <w:bCs/>
                <w:color w:val="auto"/>
                <w:szCs w:val="21"/>
                <w:highlight w:val="none"/>
              </w:rPr>
              <w:t>0分至202</w:t>
            </w:r>
            <w:r>
              <w:rPr>
                <w:rFonts w:hint="eastAsia" w:ascii="宋体" w:hAnsi="宋体" w:cs="宋体"/>
                <w:b/>
                <w:bCs/>
                <w:color w:val="auto"/>
                <w:szCs w:val="21"/>
                <w:highlight w:val="none"/>
                <w:lang w:val="en-US" w:eastAsia="zh-CN"/>
              </w:rPr>
              <w:t>6</w:t>
            </w:r>
            <w:r>
              <w:rPr>
                <w:rFonts w:hint="eastAsia" w:ascii="宋体" w:hAnsi="宋体" w:cs="宋体"/>
                <w:b/>
                <w:bCs/>
                <w:color w:val="auto"/>
                <w:szCs w:val="21"/>
                <w:highlight w:val="none"/>
              </w:rPr>
              <w:t>年</w:t>
            </w:r>
            <w:r>
              <w:rPr>
                <w:rFonts w:hint="eastAsia" w:ascii="宋体" w:hAnsi="宋体" w:cs="宋体"/>
                <w:b/>
                <w:bCs/>
                <w:color w:val="auto"/>
                <w:szCs w:val="21"/>
                <w:highlight w:val="none"/>
                <w:lang w:val="en-US" w:eastAsia="zh-CN"/>
              </w:rPr>
              <w:t>9</w:t>
            </w:r>
            <w:r>
              <w:rPr>
                <w:rFonts w:hint="eastAsia" w:ascii="宋体" w:hAnsi="宋体" w:cs="宋体"/>
                <w:b/>
                <w:bCs/>
                <w:color w:val="auto"/>
                <w:szCs w:val="21"/>
                <w:highlight w:val="none"/>
              </w:rPr>
              <w:t>月</w:t>
            </w:r>
            <w:r>
              <w:rPr>
                <w:rFonts w:hint="eastAsia" w:ascii="宋体" w:hAnsi="宋体" w:cs="宋体"/>
                <w:b/>
                <w:bCs/>
                <w:color w:val="auto"/>
                <w:szCs w:val="21"/>
                <w:highlight w:val="none"/>
                <w:lang w:val="en-US" w:eastAsia="zh-CN"/>
              </w:rPr>
              <w:t>7</w:t>
            </w:r>
            <w:r>
              <w:rPr>
                <w:rFonts w:hint="eastAsia" w:ascii="宋体" w:hAnsi="宋体" w:cs="宋体"/>
                <w:b/>
                <w:bCs/>
                <w:color w:val="auto"/>
                <w:szCs w:val="21"/>
                <w:highlight w:val="none"/>
              </w:rPr>
              <w:t>日</w:t>
            </w:r>
            <w:r>
              <w:rPr>
                <w:rFonts w:hint="eastAsia" w:ascii="宋体" w:hAnsi="宋体" w:cs="宋体"/>
                <w:b/>
                <w:bCs/>
                <w:color w:val="auto"/>
                <w:szCs w:val="21"/>
                <w:highlight w:val="none"/>
                <w:lang w:val="en-US" w:eastAsia="zh-CN"/>
              </w:rPr>
              <w:t>9</w:t>
            </w:r>
            <w:r>
              <w:rPr>
                <w:rFonts w:hint="eastAsia" w:ascii="宋体" w:hAnsi="宋体" w:cs="宋体"/>
                <w:b/>
                <w:bCs/>
                <w:color w:val="auto"/>
                <w:szCs w:val="21"/>
                <w:highlight w:val="none"/>
              </w:rPr>
              <w:t>点</w:t>
            </w:r>
            <w:r>
              <w:rPr>
                <w:rFonts w:hint="eastAsia" w:ascii="宋体" w:hAnsi="宋体" w:cs="宋体"/>
                <w:b/>
                <w:bCs/>
                <w:color w:val="auto"/>
                <w:szCs w:val="21"/>
                <w:highlight w:val="none"/>
                <w:lang w:val="en-US" w:eastAsia="zh-CN"/>
              </w:rPr>
              <w:t>3</w:t>
            </w:r>
            <w:r>
              <w:rPr>
                <w:rFonts w:hint="eastAsia" w:ascii="宋体" w:hAnsi="宋体" w:cs="宋体"/>
                <w:b/>
                <w:bCs/>
                <w:color w:val="auto"/>
                <w:szCs w:val="21"/>
                <w:highlight w:val="none"/>
              </w:rPr>
              <w:t>0分。</w:t>
            </w:r>
          </w:p>
        </w:tc>
      </w:tr>
      <w:tr w14:paraId="0AF05A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1048" w:type="dxa"/>
            <w:vAlign w:val="center"/>
          </w:tcPr>
          <w:p w14:paraId="0E80AE6E">
            <w:pPr>
              <w:keepNext w:val="0"/>
              <w:keepLines w:val="0"/>
              <w:suppressLineNumbers w:val="0"/>
              <w:shd w:val="clear"/>
              <w:spacing w:before="0" w:beforeAutospacing="0" w:after="0" w:afterAutospacing="0" w:line="50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.1</w:t>
            </w:r>
          </w:p>
        </w:tc>
        <w:tc>
          <w:tcPr>
            <w:tcW w:w="2140" w:type="dxa"/>
            <w:gridSpan w:val="2"/>
            <w:vAlign w:val="center"/>
          </w:tcPr>
          <w:p w14:paraId="1A1347DE">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rPr>
            </w:pPr>
            <w:r>
              <w:rPr>
                <w:rFonts w:hint="eastAsia" w:ascii="宋体" w:hAnsi="宋体" w:cs="宋体"/>
                <w:color w:val="auto"/>
                <w:szCs w:val="21"/>
                <w:highlight w:val="none"/>
              </w:rPr>
              <w:t>开标时间及地点</w:t>
            </w:r>
          </w:p>
        </w:tc>
        <w:tc>
          <w:tcPr>
            <w:tcW w:w="6610" w:type="dxa"/>
            <w:vAlign w:val="center"/>
          </w:tcPr>
          <w:p w14:paraId="549FE70E">
            <w:pPr>
              <w:keepNext w:val="0"/>
              <w:keepLines w:val="0"/>
              <w:suppressLineNumbers w:val="0"/>
              <w:shd w:val="clear"/>
              <w:spacing w:before="0" w:beforeAutospacing="0" w:after="0" w:afterAutospacing="0" w:line="500" w:lineRule="exact"/>
              <w:ind w:left="0" w:right="0"/>
              <w:rPr>
                <w:rFonts w:hint="default" w:ascii="宋体" w:hAnsi="宋体" w:cs="宋体"/>
                <w:b/>
                <w:bCs/>
                <w:color w:val="auto"/>
                <w:szCs w:val="21"/>
                <w:highlight w:val="none"/>
              </w:rPr>
            </w:pPr>
            <w:r>
              <w:rPr>
                <w:rFonts w:hint="eastAsia" w:ascii="宋体" w:hAnsi="宋体" w:cs="宋体"/>
                <w:color w:val="auto"/>
                <w:szCs w:val="21"/>
                <w:highlight w:val="none"/>
              </w:rPr>
              <w:t>开标时间：</w:t>
            </w:r>
            <w:r>
              <w:rPr>
                <w:rFonts w:hint="eastAsia" w:ascii="宋体" w:hAnsi="宋体" w:cs="宋体"/>
                <w:b/>
                <w:bCs/>
                <w:color w:val="auto"/>
                <w:szCs w:val="21"/>
                <w:highlight w:val="none"/>
              </w:rPr>
              <w:t>202</w:t>
            </w:r>
            <w:r>
              <w:rPr>
                <w:rFonts w:hint="eastAsia" w:ascii="宋体" w:hAnsi="宋体" w:cs="宋体"/>
                <w:b/>
                <w:bCs/>
                <w:color w:val="auto"/>
                <w:szCs w:val="21"/>
                <w:highlight w:val="none"/>
                <w:lang w:val="en-US" w:eastAsia="zh-CN"/>
              </w:rPr>
              <w:t>6</w:t>
            </w:r>
            <w:r>
              <w:rPr>
                <w:rFonts w:hint="eastAsia" w:ascii="宋体" w:hAnsi="宋体" w:cs="宋体"/>
                <w:b/>
                <w:bCs/>
                <w:color w:val="auto"/>
                <w:szCs w:val="21"/>
                <w:highlight w:val="none"/>
              </w:rPr>
              <w:t>年</w:t>
            </w:r>
            <w:r>
              <w:rPr>
                <w:rFonts w:hint="eastAsia" w:ascii="宋体" w:hAnsi="宋体" w:cs="宋体"/>
                <w:b/>
                <w:bCs/>
                <w:color w:val="auto"/>
                <w:szCs w:val="21"/>
                <w:highlight w:val="none"/>
                <w:lang w:val="en-US" w:eastAsia="zh-CN"/>
              </w:rPr>
              <w:t>9</w:t>
            </w:r>
            <w:r>
              <w:rPr>
                <w:rFonts w:hint="eastAsia" w:ascii="宋体" w:hAnsi="宋体" w:cs="宋体"/>
                <w:b/>
                <w:bCs/>
                <w:color w:val="auto"/>
                <w:szCs w:val="21"/>
                <w:highlight w:val="none"/>
              </w:rPr>
              <w:t>月</w:t>
            </w:r>
            <w:r>
              <w:rPr>
                <w:rFonts w:hint="eastAsia" w:ascii="宋体" w:hAnsi="宋体" w:cs="宋体"/>
                <w:b/>
                <w:bCs/>
                <w:color w:val="auto"/>
                <w:szCs w:val="21"/>
                <w:highlight w:val="none"/>
                <w:lang w:val="en-US" w:eastAsia="zh-CN"/>
              </w:rPr>
              <w:t>7</w:t>
            </w:r>
            <w:r>
              <w:rPr>
                <w:rFonts w:hint="eastAsia" w:ascii="宋体" w:hAnsi="宋体" w:cs="宋体"/>
                <w:b/>
                <w:bCs/>
                <w:color w:val="auto"/>
                <w:szCs w:val="21"/>
                <w:highlight w:val="none"/>
              </w:rPr>
              <w:t>日</w:t>
            </w:r>
            <w:r>
              <w:rPr>
                <w:rFonts w:hint="eastAsia" w:ascii="宋体" w:hAnsi="宋体" w:cs="宋体"/>
                <w:b/>
                <w:bCs/>
                <w:color w:val="auto"/>
                <w:szCs w:val="21"/>
                <w:highlight w:val="none"/>
                <w:lang w:val="en-US" w:eastAsia="zh-CN"/>
              </w:rPr>
              <w:t>08</w:t>
            </w:r>
            <w:r>
              <w:rPr>
                <w:rFonts w:hint="eastAsia" w:ascii="宋体" w:hAnsi="宋体" w:cs="宋体"/>
                <w:b/>
                <w:bCs/>
                <w:color w:val="auto"/>
                <w:szCs w:val="21"/>
                <w:highlight w:val="none"/>
              </w:rPr>
              <w:t>点</w:t>
            </w:r>
            <w:r>
              <w:rPr>
                <w:rFonts w:hint="eastAsia" w:ascii="宋体" w:hAnsi="宋体" w:cs="宋体"/>
                <w:b/>
                <w:bCs/>
                <w:color w:val="auto"/>
                <w:szCs w:val="21"/>
                <w:highlight w:val="none"/>
                <w:lang w:val="en-US" w:eastAsia="zh-CN"/>
              </w:rPr>
              <w:t>3</w:t>
            </w:r>
            <w:r>
              <w:rPr>
                <w:rFonts w:hint="eastAsia" w:ascii="宋体" w:hAnsi="宋体" w:cs="宋体"/>
                <w:b/>
                <w:bCs/>
                <w:color w:val="auto"/>
                <w:szCs w:val="21"/>
                <w:highlight w:val="none"/>
              </w:rPr>
              <w:t>0分（北京时间）</w:t>
            </w:r>
          </w:p>
          <w:p w14:paraId="7DF892C9">
            <w:pPr>
              <w:keepNext w:val="0"/>
              <w:keepLines w:val="0"/>
              <w:suppressLineNumbers w:val="0"/>
              <w:shd w:val="clear"/>
              <w:spacing w:before="0" w:beforeAutospacing="0" w:after="0" w:afterAutospacing="0" w:line="50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开标地点：滁州市公共资源交易中心(滁州市龙蟠大道109号房产商务大厦二楼)</w:t>
            </w:r>
          </w:p>
        </w:tc>
      </w:tr>
      <w:tr w14:paraId="4A5AC77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48" w:type="dxa"/>
            <w:vAlign w:val="center"/>
          </w:tcPr>
          <w:p w14:paraId="0E552998">
            <w:pPr>
              <w:keepNext w:val="0"/>
              <w:keepLines w:val="0"/>
              <w:suppressLineNumbers w:val="0"/>
              <w:shd w:val="clear"/>
              <w:spacing w:before="0" w:beforeAutospacing="0" w:after="0" w:afterAutospacing="0" w:line="50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.3</w:t>
            </w:r>
          </w:p>
        </w:tc>
        <w:tc>
          <w:tcPr>
            <w:tcW w:w="2140" w:type="dxa"/>
            <w:gridSpan w:val="2"/>
            <w:vAlign w:val="center"/>
          </w:tcPr>
          <w:p w14:paraId="2CE51403">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rPr>
            </w:pPr>
            <w:r>
              <w:rPr>
                <w:rFonts w:hint="eastAsia" w:ascii="宋体" w:hAnsi="宋体" w:cs="宋体"/>
                <w:color w:val="auto"/>
                <w:szCs w:val="21"/>
                <w:highlight w:val="none"/>
              </w:rPr>
              <w:t>开标程序</w:t>
            </w:r>
          </w:p>
        </w:tc>
        <w:tc>
          <w:tcPr>
            <w:tcW w:w="6610" w:type="dxa"/>
            <w:vAlign w:val="center"/>
          </w:tcPr>
          <w:p w14:paraId="3AD06AA7">
            <w:pPr>
              <w:keepNext w:val="0"/>
              <w:keepLines w:val="0"/>
              <w:suppressLineNumbers w:val="0"/>
              <w:shd w:val="clear"/>
              <w:spacing w:before="0" w:beforeAutospacing="0" w:after="0" w:afterAutospacing="0" w:line="50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开标顺序：解密电子投标文件后，由评标委员会评审。</w:t>
            </w:r>
          </w:p>
        </w:tc>
      </w:tr>
      <w:tr w14:paraId="7E0B136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4" w:hRule="atLeast"/>
        </w:trPr>
        <w:tc>
          <w:tcPr>
            <w:tcW w:w="1048" w:type="dxa"/>
            <w:vAlign w:val="center"/>
          </w:tcPr>
          <w:p w14:paraId="2326C1DB">
            <w:pPr>
              <w:pStyle w:val="19"/>
              <w:keepNext w:val="0"/>
              <w:keepLines w:val="0"/>
              <w:suppressLineNumbers w:val="0"/>
              <w:shd w:val="clear"/>
              <w:spacing w:before="0" w:beforeAutospacing="0" w:after="0" w:afterAutospacing="0" w:line="500" w:lineRule="exact"/>
              <w:ind w:left="0" w:right="0"/>
              <w:jc w:val="center"/>
              <w:rPr>
                <w:rFonts w:hint="default" w:hAnsi="宋体" w:cs="宋体"/>
                <w:color w:val="auto"/>
                <w:szCs w:val="21"/>
                <w:highlight w:val="none"/>
              </w:rPr>
            </w:pPr>
            <w:r>
              <w:rPr>
                <w:rFonts w:hint="eastAsia" w:hAnsi="宋体" w:cs="宋体"/>
                <w:color w:val="auto"/>
                <w:szCs w:val="21"/>
                <w:highlight w:val="none"/>
                <w:lang w:val="en-US" w:eastAsia="zh-CN"/>
              </w:rPr>
              <w:t>30</w:t>
            </w:r>
            <w:r>
              <w:rPr>
                <w:rFonts w:hint="eastAsia" w:hAnsi="宋体" w:cs="宋体"/>
                <w:color w:val="auto"/>
                <w:szCs w:val="21"/>
                <w:highlight w:val="none"/>
              </w:rPr>
              <w:t>.1</w:t>
            </w:r>
          </w:p>
        </w:tc>
        <w:tc>
          <w:tcPr>
            <w:tcW w:w="2140" w:type="dxa"/>
            <w:gridSpan w:val="2"/>
            <w:vAlign w:val="center"/>
          </w:tcPr>
          <w:p w14:paraId="3CCD0D37">
            <w:pPr>
              <w:pStyle w:val="19"/>
              <w:keepNext w:val="0"/>
              <w:keepLines w:val="0"/>
              <w:suppressLineNumbers w:val="0"/>
              <w:shd w:val="clear"/>
              <w:spacing w:before="0" w:beforeAutospacing="0" w:after="0" w:afterAutospacing="0" w:line="500" w:lineRule="exact"/>
              <w:ind w:left="0" w:right="0"/>
              <w:jc w:val="left"/>
              <w:rPr>
                <w:rFonts w:hint="default" w:hAnsi="宋体" w:cs="宋体"/>
                <w:color w:val="auto"/>
                <w:szCs w:val="21"/>
                <w:highlight w:val="none"/>
              </w:rPr>
            </w:pPr>
            <w:r>
              <w:rPr>
                <w:rFonts w:hint="eastAsia" w:hAnsi="宋体" w:cs="宋体"/>
                <w:color w:val="auto"/>
                <w:szCs w:val="21"/>
                <w:highlight w:val="none"/>
              </w:rPr>
              <w:t>评标委员会的组建</w:t>
            </w:r>
          </w:p>
        </w:tc>
        <w:tc>
          <w:tcPr>
            <w:tcW w:w="6610" w:type="dxa"/>
          </w:tcPr>
          <w:p w14:paraId="68E2F1BB">
            <w:pPr>
              <w:keepNext w:val="0"/>
              <w:keepLines w:val="0"/>
              <w:suppressLineNumbers w:val="0"/>
              <w:shd w:val="clear"/>
              <w:kinsoku/>
              <w:overflowPunct/>
              <w:bidi w:val="0"/>
              <w:spacing w:before="0" w:beforeAutospacing="0" w:after="0" w:afterAutospacing="0" w:line="500" w:lineRule="exact"/>
              <w:ind w:left="0" w:leftChars="0" w:right="0" w:rightChars="0"/>
              <w:rPr>
                <w:rFonts w:hint="default" w:ascii="宋体" w:hAnsi="宋体" w:cs="宋体"/>
                <w:color w:val="auto"/>
                <w:szCs w:val="21"/>
                <w:highlight w:val="none"/>
              </w:rPr>
            </w:pPr>
            <w:r>
              <w:rPr>
                <w:rFonts w:hint="eastAsia" w:ascii="宋体" w:hAnsi="宋体" w:cs="宋体"/>
                <w:color w:val="auto"/>
                <w:szCs w:val="21"/>
                <w:highlight w:val="none"/>
              </w:rPr>
              <w:t>评标委员会构成：</w:t>
            </w:r>
            <w:r>
              <w:rPr>
                <w:rFonts w:hint="eastAsia" w:ascii="宋体" w:hAnsi="宋体" w:cs="宋体"/>
                <w:color w:val="auto"/>
                <w:szCs w:val="21"/>
                <w:highlight w:val="none"/>
                <w:lang w:val="en-US" w:eastAsia="zh-CN"/>
              </w:rPr>
              <w:t>招标人依法组建</w:t>
            </w:r>
            <w:r>
              <w:rPr>
                <w:rFonts w:hint="eastAsia" w:ascii="宋体" w:hAnsi="宋体" w:cs="宋体"/>
                <w:color w:val="auto"/>
                <w:szCs w:val="21"/>
                <w:highlight w:val="none"/>
              </w:rPr>
              <w:t>。</w:t>
            </w:r>
          </w:p>
          <w:p w14:paraId="45DE20D1">
            <w:pPr>
              <w:keepNext w:val="0"/>
              <w:keepLines w:val="0"/>
              <w:suppressLineNumbers w:val="0"/>
              <w:shd w:val="clear"/>
              <w:spacing w:before="0" w:beforeAutospacing="0" w:after="0" w:afterAutospacing="0" w:line="50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评标专家确定方式：</w:t>
            </w:r>
            <w:r>
              <w:rPr>
                <w:rFonts w:hint="eastAsia" w:ascii="宋体" w:hAnsi="宋体" w:cs="宋体"/>
                <w:color w:val="auto"/>
                <w:szCs w:val="21"/>
                <w:highlight w:val="none"/>
                <w:lang w:eastAsia="zh-CN"/>
              </w:rPr>
              <w:t>评标专家由招标人在评标活动开始前</w:t>
            </w:r>
            <w:r>
              <w:rPr>
                <w:rFonts w:hint="eastAsia" w:ascii="宋体" w:hAnsi="宋体" w:cs="宋体"/>
                <w:color w:val="auto"/>
                <w:szCs w:val="21"/>
                <w:highlight w:val="none"/>
                <w:lang w:val="en-US" w:eastAsia="zh-CN"/>
              </w:rPr>
              <w:t>24小时内，通过抽取终端从专家库中随机抽取</w:t>
            </w:r>
            <w:r>
              <w:rPr>
                <w:rFonts w:hint="eastAsia" w:ascii="宋体" w:hAnsi="宋体" w:cs="宋体"/>
                <w:color w:val="auto"/>
                <w:szCs w:val="21"/>
                <w:highlight w:val="none"/>
              </w:rPr>
              <w:t>。</w:t>
            </w:r>
          </w:p>
        </w:tc>
      </w:tr>
      <w:tr w14:paraId="1BCE861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48" w:type="dxa"/>
            <w:vAlign w:val="center"/>
          </w:tcPr>
          <w:p w14:paraId="61A4D817">
            <w:pPr>
              <w:pStyle w:val="19"/>
              <w:keepNext w:val="0"/>
              <w:keepLines w:val="0"/>
              <w:suppressLineNumbers w:val="0"/>
              <w:shd w:val="clear"/>
              <w:spacing w:before="0" w:beforeAutospacing="0" w:after="0" w:afterAutospacing="0" w:line="500" w:lineRule="exact"/>
              <w:ind w:left="0" w:right="0"/>
              <w:jc w:val="center"/>
              <w:rPr>
                <w:rFonts w:hint="default" w:hAnsi="宋体" w:cs="宋体"/>
                <w:color w:val="auto"/>
                <w:szCs w:val="21"/>
                <w:highlight w:val="none"/>
              </w:rPr>
            </w:pPr>
            <w:r>
              <w:rPr>
                <w:rFonts w:hint="eastAsia" w:hAnsi="宋体" w:cs="宋体"/>
                <w:color w:val="auto"/>
                <w:szCs w:val="21"/>
                <w:highlight w:val="none"/>
              </w:rPr>
              <w:t>32.1.1</w:t>
            </w:r>
          </w:p>
        </w:tc>
        <w:tc>
          <w:tcPr>
            <w:tcW w:w="2140" w:type="dxa"/>
            <w:gridSpan w:val="2"/>
            <w:vAlign w:val="center"/>
          </w:tcPr>
          <w:p w14:paraId="0FE5EC0D">
            <w:pPr>
              <w:pStyle w:val="19"/>
              <w:keepNext w:val="0"/>
              <w:keepLines w:val="0"/>
              <w:suppressLineNumbers w:val="0"/>
              <w:shd w:val="clear"/>
              <w:spacing w:before="0" w:beforeAutospacing="0" w:after="0" w:afterAutospacing="0" w:line="500" w:lineRule="exact"/>
              <w:ind w:left="0" w:right="0"/>
              <w:jc w:val="left"/>
              <w:rPr>
                <w:rFonts w:hint="default" w:hAnsi="宋体" w:cs="宋体"/>
                <w:color w:val="auto"/>
                <w:szCs w:val="21"/>
                <w:highlight w:val="none"/>
              </w:rPr>
            </w:pPr>
            <w:r>
              <w:rPr>
                <w:rFonts w:hint="eastAsia" w:hAnsi="宋体" w:cs="宋体"/>
                <w:color w:val="auto"/>
                <w:szCs w:val="21"/>
                <w:highlight w:val="none"/>
              </w:rPr>
              <w:t>是否授权评标委员会确定中标候选人</w:t>
            </w:r>
          </w:p>
        </w:tc>
        <w:tc>
          <w:tcPr>
            <w:tcW w:w="6610" w:type="dxa"/>
            <w:vAlign w:val="center"/>
          </w:tcPr>
          <w:p w14:paraId="2A245155">
            <w:pPr>
              <w:pStyle w:val="19"/>
              <w:keepNext w:val="0"/>
              <w:keepLines w:val="0"/>
              <w:suppressLineNumbers w:val="0"/>
              <w:shd w:val="clear"/>
              <w:spacing w:before="0" w:beforeAutospacing="0" w:after="0" w:afterAutospacing="0" w:line="500" w:lineRule="exact"/>
              <w:ind w:left="0" w:right="0"/>
              <w:rPr>
                <w:rFonts w:hint="default" w:hAnsi="宋体" w:cs="宋体"/>
                <w:color w:val="auto"/>
                <w:szCs w:val="21"/>
                <w:highlight w:val="none"/>
              </w:rPr>
            </w:pPr>
            <w:r>
              <w:rPr>
                <w:rFonts w:hint="eastAsia" w:hAnsi="宋体" w:cs="宋体"/>
                <w:color w:val="auto"/>
                <w:szCs w:val="21"/>
                <w:highlight w:val="none"/>
              </w:rPr>
              <w:t>是，评标委员会推荐3名中标候选人。</w:t>
            </w:r>
          </w:p>
        </w:tc>
      </w:tr>
      <w:tr w14:paraId="4D7BBFD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35" w:hRule="atLeast"/>
        </w:trPr>
        <w:tc>
          <w:tcPr>
            <w:tcW w:w="1048" w:type="dxa"/>
            <w:vAlign w:val="center"/>
          </w:tcPr>
          <w:p w14:paraId="0BF41B2E">
            <w:pPr>
              <w:pStyle w:val="19"/>
              <w:keepNext w:val="0"/>
              <w:keepLines w:val="0"/>
              <w:suppressLineNumbers w:val="0"/>
              <w:shd w:val="clear"/>
              <w:spacing w:before="0" w:beforeAutospacing="0" w:after="0" w:afterAutospacing="0" w:line="500" w:lineRule="exact"/>
              <w:ind w:left="0" w:right="0"/>
              <w:jc w:val="center"/>
              <w:rPr>
                <w:rFonts w:hint="default" w:hAnsi="宋体" w:cs="宋体"/>
                <w:color w:val="auto"/>
                <w:szCs w:val="21"/>
                <w:highlight w:val="none"/>
              </w:rPr>
            </w:pPr>
            <w:r>
              <w:rPr>
                <w:rFonts w:hint="eastAsia" w:hAnsi="宋体" w:cs="宋体"/>
                <w:color w:val="auto"/>
                <w:szCs w:val="21"/>
                <w:highlight w:val="none"/>
              </w:rPr>
              <w:t>32.1.2</w:t>
            </w:r>
          </w:p>
        </w:tc>
        <w:tc>
          <w:tcPr>
            <w:tcW w:w="2140" w:type="dxa"/>
            <w:gridSpan w:val="2"/>
            <w:vAlign w:val="center"/>
          </w:tcPr>
          <w:p w14:paraId="186885AA">
            <w:pPr>
              <w:pStyle w:val="19"/>
              <w:keepNext w:val="0"/>
              <w:keepLines w:val="0"/>
              <w:suppressLineNumbers w:val="0"/>
              <w:shd w:val="clear"/>
              <w:spacing w:before="0" w:beforeAutospacing="0" w:after="0" w:afterAutospacing="0" w:line="500" w:lineRule="exact"/>
              <w:ind w:left="0" w:right="0"/>
              <w:jc w:val="left"/>
              <w:rPr>
                <w:rFonts w:hint="default" w:hAnsi="宋体" w:cs="宋体"/>
                <w:color w:val="auto"/>
                <w:szCs w:val="21"/>
                <w:highlight w:val="none"/>
              </w:rPr>
            </w:pPr>
            <w:r>
              <w:rPr>
                <w:rFonts w:hint="eastAsia" w:hAnsi="宋体" w:cs="宋体"/>
                <w:color w:val="auto"/>
                <w:szCs w:val="21"/>
                <w:highlight w:val="none"/>
              </w:rPr>
              <w:t>中标结果公告媒介及期限</w:t>
            </w:r>
          </w:p>
        </w:tc>
        <w:tc>
          <w:tcPr>
            <w:tcW w:w="6610" w:type="dxa"/>
          </w:tcPr>
          <w:p w14:paraId="16AED702">
            <w:pPr>
              <w:pStyle w:val="19"/>
              <w:keepNext w:val="0"/>
              <w:keepLines w:val="0"/>
              <w:suppressLineNumbers w:val="0"/>
              <w:shd w:val="clear"/>
              <w:spacing w:before="0" w:beforeAutospacing="0" w:after="0" w:afterAutospacing="0" w:line="500" w:lineRule="exact"/>
              <w:ind w:left="0" w:right="0"/>
              <w:rPr>
                <w:rFonts w:hint="default" w:hAnsi="宋体" w:cs="宋体"/>
                <w:color w:val="auto"/>
                <w:szCs w:val="21"/>
                <w:highlight w:val="none"/>
              </w:rPr>
            </w:pPr>
            <w:r>
              <w:rPr>
                <w:rFonts w:hint="eastAsia" w:hAnsi="宋体" w:cs="宋体"/>
                <w:color w:val="auto"/>
                <w:szCs w:val="21"/>
                <w:highlight w:val="none"/>
              </w:rPr>
              <w:t>公示媒介：同招标公告发布媒介</w:t>
            </w:r>
          </w:p>
          <w:p w14:paraId="49212326">
            <w:pPr>
              <w:pStyle w:val="19"/>
              <w:keepNext w:val="0"/>
              <w:keepLines w:val="0"/>
              <w:suppressLineNumbers w:val="0"/>
              <w:shd w:val="clear"/>
              <w:spacing w:before="0" w:beforeAutospacing="0" w:after="0" w:afterAutospacing="0" w:line="500" w:lineRule="exact"/>
              <w:ind w:left="0" w:right="0"/>
              <w:rPr>
                <w:rFonts w:hint="default" w:hAnsi="宋体" w:cs="宋体"/>
                <w:color w:val="auto"/>
                <w:spacing w:val="-4"/>
                <w:szCs w:val="21"/>
                <w:highlight w:val="none"/>
              </w:rPr>
            </w:pPr>
            <w:r>
              <w:rPr>
                <w:rFonts w:hint="eastAsia" w:hAnsi="宋体" w:cs="宋体"/>
                <w:color w:val="auto"/>
                <w:szCs w:val="21"/>
                <w:highlight w:val="none"/>
              </w:rPr>
              <w:t>公示期限：公示发布次日起3日（如公示第三日为休息日或节假日，则顺延至休息日或节假日后第一个工作日）</w:t>
            </w:r>
          </w:p>
        </w:tc>
      </w:tr>
      <w:tr w14:paraId="00503DB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5" w:hRule="atLeast"/>
        </w:trPr>
        <w:tc>
          <w:tcPr>
            <w:tcW w:w="1048" w:type="dxa"/>
            <w:vMerge w:val="restart"/>
            <w:vAlign w:val="center"/>
          </w:tcPr>
          <w:p w14:paraId="49554EAB">
            <w:pPr>
              <w:keepNext w:val="0"/>
              <w:keepLines w:val="0"/>
              <w:suppressLineNumbers w:val="0"/>
              <w:shd w:val="clear"/>
              <w:spacing w:before="0" w:beforeAutospacing="0" w:after="0" w:afterAutospacing="0" w:line="50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32.2</w:t>
            </w:r>
          </w:p>
        </w:tc>
        <w:tc>
          <w:tcPr>
            <w:tcW w:w="2140" w:type="dxa"/>
            <w:gridSpan w:val="2"/>
            <w:vAlign w:val="center"/>
          </w:tcPr>
          <w:p w14:paraId="4084D845">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rPr>
            </w:pPr>
            <w:r>
              <w:rPr>
                <w:rFonts w:hint="eastAsia" w:ascii="宋体" w:hAnsi="宋体" w:cs="宋体"/>
                <w:color w:val="auto"/>
                <w:szCs w:val="21"/>
                <w:highlight w:val="none"/>
              </w:rPr>
              <w:t>中标通知书</w:t>
            </w:r>
          </w:p>
        </w:tc>
        <w:tc>
          <w:tcPr>
            <w:tcW w:w="6610" w:type="dxa"/>
            <w:vAlign w:val="center"/>
          </w:tcPr>
          <w:p w14:paraId="2C71C974">
            <w:pPr>
              <w:keepNext w:val="0"/>
              <w:keepLines w:val="0"/>
              <w:suppressLineNumbers w:val="0"/>
              <w:shd w:val="clear"/>
              <w:spacing w:before="0" w:beforeAutospacing="0" w:after="0" w:afterAutospacing="0" w:line="50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中标通知书须加盖公共资源交易中心见证章后方可发出。</w:t>
            </w:r>
          </w:p>
        </w:tc>
      </w:tr>
      <w:tr w14:paraId="788762F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5" w:hRule="atLeast"/>
        </w:trPr>
        <w:tc>
          <w:tcPr>
            <w:tcW w:w="1048" w:type="dxa"/>
            <w:vMerge w:val="continue"/>
            <w:vAlign w:val="center"/>
          </w:tcPr>
          <w:p w14:paraId="7FDC9494">
            <w:pPr>
              <w:keepNext w:val="0"/>
              <w:keepLines w:val="0"/>
              <w:suppressLineNumbers w:val="0"/>
              <w:shd w:val="clear"/>
              <w:spacing w:before="0" w:beforeAutospacing="0" w:after="0" w:afterAutospacing="0" w:line="500" w:lineRule="exact"/>
              <w:ind w:left="0" w:right="0"/>
              <w:jc w:val="center"/>
              <w:rPr>
                <w:rFonts w:hint="default" w:ascii="宋体" w:hAnsi="宋体" w:cs="宋体"/>
                <w:color w:val="auto"/>
                <w:szCs w:val="21"/>
                <w:highlight w:val="none"/>
              </w:rPr>
            </w:pPr>
          </w:p>
        </w:tc>
        <w:tc>
          <w:tcPr>
            <w:tcW w:w="2140" w:type="dxa"/>
            <w:gridSpan w:val="2"/>
            <w:vAlign w:val="center"/>
          </w:tcPr>
          <w:p w14:paraId="68550CCF">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rPr>
            </w:pPr>
            <w:r>
              <w:rPr>
                <w:rFonts w:hint="eastAsia" w:ascii="宋体" w:hAnsi="宋体" w:cs="宋体"/>
                <w:color w:val="auto"/>
                <w:szCs w:val="21"/>
                <w:highlight w:val="none"/>
              </w:rPr>
              <w:t>中标通知书发出形式</w:t>
            </w:r>
          </w:p>
        </w:tc>
        <w:tc>
          <w:tcPr>
            <w:tcW w:w="6610" w:type="dxa"/>
            <w:vAlign w:val="center"/>
          </w:tcPr>
          <w:p w14:paraId="2547DFDF">
            <w:pPr>
              <w:keepNext w:val="0"/>
              <w:keepLines w:val="0"/>
              <w:suppressLineNumbers w:val="0"/>
              <w:shd w:val="clear"/>
              <w:spacing w:before="0" w:beforeAutospacing="0" w:after="0" w:afterAutospacing="0" w:line="50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数据电文</w:t>
            </w:r>
          </w:p>
        </w:tc>
      </w:tr>
      <w:tr w14:paraId="7AF683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4" w:hRule="atLeast"/>
        </w:trPr>
        <w:tc>
          <w:tcPr>
            <w:tcW w:w="1048" w:type="dxa"/>
            <w:vAlign w:val="center"/>
          </w:tcPr>
          <w:p w14:paraId="542601D6">
            <w:pPr>
              <w:keepNext w:val="0"/>
              <w:keepLines w:val="0"/>
              <w:suppressLineNumbers w:val="0"/>
              <w:shd w:val="clear"/>
              <w:spacing w:before="0" w:beforeAutospacing="0" w:after="0" w:afterAutospacing="0" w:line="50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36.1</w:t>
            </w:r>
          </w:p>
        </w:tc>
        <w:tc>
          <w:tcPr>
            <w:tcW w:w="2140" w:type="dxa"/>
            <w:gridSpan w:val="2"/>
            <w:vAlign w:val="center"/>
          </w:tcPr>
          <w:p w14:paraId="716A3183">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rPr>
            </w:pPr>
            <w:r>
              <w:rPr>
                <w:rFonts w:hint="eastAsia" w:ascii="宋体" w:hAnsi="宋体" w:cs="宋体"/>
                <w:color w:val="auto"/>
                <w:szCs w:val="21"/>
                <w:highlight w:val="none"/>
              </w:rPr>
              <w:t>履约担保</w:t>
            </w:r>
          </w:p>
        </w:tc>
        <w:tc>
          <w:tcPr>
            <w:tcW w:w="6610" w:type="dxa"/>
            <w:vAlign w:val="center"/>
          </w:tcPr>
          <w:p w14:paraId="5760E3BE">
            <w:pPr>
              <w:keepNext w:val="0"/>
              <w:keepLines w:val="0"/>
              <w:suppressLineNumbers w:val="0"/>
              <w:shd w:val="clear"/>
              <w:tabs>
                <w:tab w:val="left" w:pos="5034"/>
              </w:tabs>
              <w:spacing w:before="0" w:beforeAutospacing="0" w:after="0" w:afterAutospacing="0" w:line="5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是否收取履约担保：</w:t>
            </w:r>
            <w:r>
              <w:rPr>
                <w:rFonts w:hint="eastAsia" w:ascii="宋体" w:hAnsi="宋体" w:cs="宋体"/>
                <w:color w:val="auto"/>
                <w:szCs w:val="21"/>
                <w:highlight w:val="none"/>
                <w:lang w:val="en-US" w:eastAsia="zh-CN"/>
              </w:rPr>
              <w:t>不</w:t>
            </w:r>
            <w:r>
              <w:rPr>
                <w:rFonts w:hint="eastAsia" w:ascii="宋体" w:hAnsi="宋体" w:cs="宋体"/>
                <w:color w:val="auto"/>
                <w:szCs w:val="21"/>
                <w:highlight w:val="none"/>
              </w:rPr>
              <w:t>收取</w:t>
            </w:r>
          </w:p>
          <w:p w14:paraId="40B1309B">
            <w:pPr>
              <w:keepNext w:val="0"/>
              <w:keepLines w:val="0"/>
              <w:suppressLineNumbers w:val="0"/>
              <w:shd w:val="clear"/>
              <w:spacing w:before="0" w:beforeAutospacing="0" w:after="0" w:afterAutospacing="0" w:line="50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履约担保的形式：</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 xml:space="preserve"> </w:t>
            </w:r>
          </w:p>
          <w:p w14:paraId="7E6A3EA8">
            <w:pPr>
              <w:keepNext w:val="0"/>
              <w:keepLines w:val="0"/>
              <w:suppressLineNumbers w:val="0"/>
              <w:shd w:val="clear"/>
              <w:spacing w:before="0" w:beforeAutospacing="0" w:after="0" w:afterAutospacing="0" w:line="50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履约担保的金额：</w:t>
            </w:r>
            <w:r>
              <w:rPr>
                <w:rFonts w:hint="eastAsia" w:ascii="宋体" w:hAnsi="宋体" w:cs="宋体"/>
                <w:color w:val="auto"/>
                <w:szCs w:val="21"/>
                <w:highlight w:val="none"/>
                <w:lang w:val="en-US" w:eastAsia="zh-CN"/>
              </w:rPr>
              <w:t>/</w:t>
            </w:r>
          </w:p>
          <w:p w14:paraId="6D0EC168">
            <w:pPr>
              <w:keepNext w:val="0"/>
              <w:keepLines w:val="0"/>
              <w:suppressLineNumbers w:val="0"/>
              <w:shd w:val="clear"/>
              <w:spacing w:before="0" w:beforeAutospacing="0" w:after="0" w:afterAutospacing="0" w:line="500" w:lineRule="exact"/>
              <w:ind w:left="0" w:right="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收款单位：</w:t>
            </w:r>
            <w:r>
              <w:rPr>
                <w:rFonts w:hint="eastAsia" w:ascii="宋体" w:hAnsi="宋体" w:cs="宋体"/>
                <w:color w:val="auto"/>
                <w:szCs w:val="21"/>
                <w:highlight w:val="none"/>
                <w:lang w:val="en-US" w:eastAsia="zh-CN"/>
              </w:rPr>
              <w:t>/</w:t>
            </w:r>
          </w:p>
          <w:p w14:paraId="7537DFA8">
            <w:pPr>
              <w:keepNext w:val="0"/>
              <w:keepLines w:val="0"/>
              <w:suppressLineNumbers w:val="0"/>
              <w:shd w:val="clear"/>
              <w:spacing w:before="0" w:beforeAutospacing="0" w:after="0" w:afterAutospacing="0" w:line="500" w:lineRule="exact"/>
              <w:ind w:left="0" w:right="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开户行、账号：</w:t>
            </w:r>
            <w:r>
              <w:rPr>
                <w:rFonts w:hint="eastAsia" w:ascii="宋体" w:hAnsi="宋体" w:cs="宋体"/>
                <w:color w:val="auto"/>
                <w:szCs w:val="21"/>
                <w:highlight w:val="none"/>
                <w:lang w:val="en-US" w:eastAsia="zh-CN"/>
              </w:rPr>
              <w:t>/</w:t>
            </w:r>
          </w:p>
          <w:p w14:paraId="5FA9CA10">
            <w:pPr>
              <w:keepNext w:val="0"/>
              <w:keepLines w:val="0"/>
              <w:suppressLineNumbers w:val="0"/>
              <w:shd w:val="clear"/>
              <w:spacing w:before="0" w:beforeAutospacing="0" w:after="0" w:afterAutospacing="0" w:line="50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缴纳时间：</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w:t>
            </w:r>
          </w:p>
          <w:p w14:paraId="37BAE66A">
            <w:pPr>
              <w:keepNext w:val="0"/>
              <w:keepLines w:val="0"/>
              <w:suppressLineNumbers w:val="0"/>
              <w:shd w:val="clear"/>
              <w:spacing w:before="0" w:beforeAutospacing="0" w:after="0" w:afterAutospacing="0" w:line="5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履约保证金退还方式：</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w:t>
            </w:r>
          </w:p>
          <w:p w14:paraId="3AF19EE3">
            <w:pPr>
              <w:keepNext w:val="0"/>
              <w:keepLines w:val="0"/>
              <w:suppressLineNumbers w:val="0"/>
              <w:shd w:val="clear"/>
              <w:spacing w:before="0" w:beforeAutospacing="0" w:after="0" w:afterAutospacing="0" w:line="500" w:lineRule="exact"/>
              <w:ind w:left="0" w:right="0"/>
              <w:rPr>
                <w:rFonts w:hint="default"/>
                <w:color w:val="auto"/>
                <w:highlight w:val="none"/>
              </w:rPr>
            </w:pPr>
            <w:r>
              <w:rPr>
                <w:rFonts w:hint="eastAsia" w:ascii="宋体" w:hAnsi="宋体" w:cs="宋体"/>
                <w:color w:val="auto"/>
                <w:szCs w:val="21"/>
                <w:highlight w:val="none"/>
              </w:rPr>
              <w:t>其他相关要求：</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w:t>
            </w:r>
          </w:p>
        </w:tc>
      </w:tr>
      <w:tr w14:paraId="120850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926" w:type="dxa"/>
            <w:gridSpan w:val="2"/>
            <w:vAlign w:val="center"/>
          </w:tcPr>
          <w:p w14:paraId="57336682">
            <w:pPr>
              <w:keepNext w:val="0"/>
              <w:keepLines w:val="0"/>
              <w:suppressLineNumbers w:val="0"/>
              <w:shd w:val="clear"/>
              <w:spacing w:before="0" w:beforeAutospacing="0" w:after="0" w:afterAutospacing="0" w:line="50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招标文件获取方式和时间</w:t>
            </w:r>
          </w:p>
        </w:tc>
        <w:tc>
          <w:tcPr>
            <w:tcW w:w="7872" w:type="dxa"/>
            <w:gridSpan w:val="2"/>
          </w:tcPr>
          <w:p w14:paraId="2E967195">
            <w:pPr>
              <w:keepNext w:val="0"/>
              <w:keepLines w:val="0"/>
              <w:suppressLineNumbers w:val="0"/>
              <w:shd w:val="clear"/>
              <w:topLinePunct/>
              <w:spacing w:before="0" w:beforeAutospacing="0" w:after="0" w:afterAutospacing="0" w:line="50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招标文件获取方式：网上下载；</w:t>
            </w:r>
          </w:p>
          <w:p w14:paraId="49654C59">
            <w:pPr>
              <w:keepNext w:val="0"/>
              <w:keepLines w:val="0"/>
              <w:suppressLineNumbers w:val="0"/>
              <w:shd w:val="clear"/>
              <w:topLinePunct/>
              <w:spacing w:before="0" w:beforeAutospacing="0" w:after="0" w:afterAutospacing="0" w:line="50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获取时间：招标文件发布至投标截止时间。</w:t>
            </w:r>
          </w:p>
        </w:tc>
      </w:tr>
      <w:tr w14:paraId="5B26DB2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926" w:type="dxa"/>
            <w:gridSpan w:val="2"/>
            <w:vAlign w:val="center"/>
          </w:tcPr>
          <w:p w14:paraId="5489BAA4">
            <w:pPr>
              <w:keepNext w:val="0"/>
              <w:keepLines w:val="0"/>
              <w:suppressLineNumbers w:val="0"/>
              <w:shd w:val="clear"/>
              <w:spacing w:before="0" w:beforeAutospacing="0" w:after="0" w:afterAutospacing="0" w:line="500" w:lineRule="exact"/>
              <w:ind w:left="0" w:right="0"/>
              <w:jc w:val="center"/>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付款方式</w:t>
            </w:r>
          </w:p>
        </w:tc>
        <w:tc>
          <w:tcPr>
            <w:tcW w:w="7872" w:type="dxa"/>
            <w:gridSpan w:val="2"/>
          </w:tcPr>
          <w:p w14:paraId="1F590D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left"/>
              <w:textAlignment w:val="auto"/>
              <w:rPr>
                <w:rFonts w:hint="eastAsia" w:ascii="宋体" w:hAnsi="宋体" w:eastAsia="宋体" w:cs="宋体"/>
                <w:b/>
                <w:bCs/>
                <w:color w:val="auto"/>
                <w:kern w:val="2"/>
                <w:sz w:val="21"/>
                <w:szCs w:val="21"/>
                <w:highlight w:val="none"/>
                <w:lang w:bidi="ar"/>
              </w:rPr>
            </w:pPr>
            <w:r>
              <w:rPr>
                <w:rFonts w:hint="eastAsia" w:ascii="宋体" w:hAnsi="宋体" w:cs="宋体"/>
                <w:b/>
                <w:bCs/>
                <w:color w:val="auto"/>
                <w:kern w:val="2"/>
                <w:sz w:val="21"/>
                <w:szCs w:val="21"/>
                <w:highlight w:val="none"/>
                <w:lang w:val="en-US" w:eastAsia="zh-CN" w:bidi="ar"/>
              </w:rPr>
              <w:t>1、</w:t>
            </w:r>
            <w:r>
              <w:rPr>
                <w:rFonts w:hint="eastAsia" w:ascii="宋体" w:hAnsi="宋体" w:eastAsia="宋体" w:cs="宋体"/>
                <w:b/>
                <w:bCs/>
                <w:color w:val="auto"/>
                <w:kern w:val="2"/>
                <w:sz w:val="21"/>
                <w:szCs w:val="21"/>
                <w:highlight w:val="none"/>
                <w:lang w:bidi="ar"/>
              </w:rPr>
              <w:t>合同签订后</w:t>
            </w:r>
            <w:r>
              <w:rPr>
                <w:rFonts w:hint="eastAsia" w:ascii="宋体" w:hAnsi="宋体" w:cs="宋体"/>
                <w:b/>
                <w:bCs/>
                <w:color w:val="auto"/>
                <w:kern w:val="2"/>
                <w:sz w:val="21"/>
                <w:szCs w:val="21"/>
                <w:highlight w:val="none"/>
                <w:lang w:val="en-US" w:eastAsia="zh-CN" w:bidi="ar"/>
              </w:rPr>
              <w:t>30</w:t>
            </w:r>
            <w:r>
              <w:rPr>
                <w:rFonts w:hint="eastAsia" w:ascii="宋体" w:hAnsi="宋体" w:eastAsia="宋体" w:cs="宋体"/>
                <w:b/>
                <w:bCs/>
                <w:color w:val="auto"/>
                <w:kern w:val="2"/>
                <w:sz w:val="21"/>
                <w:szCs w:val="21"/>
                <w:highlight w:val="none"/>
                <w:lang w:bidi="ar"/>
              </w:rPr>
              <w:t>个工作日内，甲方向乙方支付合同总价款的</w:t>
            </w:r>
            <w:r>
              <w:rPr>
                <w:rFonts w:hint="eastAsia" w:ascii="宋体" w:hAnsi="宋体" w:cs="宋体"/>
                <w:b/>
                <w:bCs/>
                <w:color w:val="auto"/>
                <w:kern w:val="2"/>
                <w:sz w:val="21"/>
                <w:szCs w:val="21"/>
                <w:highlight w:val="none"/>
                <w:lang w:val="en-US" w:eastAsia="zh-CN" w:bidi="ar"/>
              </w:rPr>
              <w:t>4</w:t>
            </w:r>
            <w:r>
              <w:rPr>
                <w:rFonts w:hint="eastAsia" w:ascii="宋体" w:hAnsi="宋体" w:eastAsia="宋体" w:cs="宋体"/>
                <w:b/>
                <w:bCs/>
                <w:color w:val="auto"/>
                <w:kern w:val="2"/>
                <w:sz w:val="21"/>
                <w:szCs w:val="21"/>
                <w:highlight w:val="none"/>
                <w:lang w:bidi="ar"/>
              </w:rPr>
              <w:t>0%作为预付款；</w:t>
            </w:r>
          </w:p>
          <w:p w14:paraId="6AFB92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left"/>
              <w:textAlignment w:val="auto"/>
              <w:rPr>
                <w:rFonts w:hint="eastAsia" w:ascii="宋体" w:hAnsi="宋体" w:eastAsia="宋体" w:cs="宋体"/>
                <w:b/>
                <w:bCs/>
                <w:color w:val="auto"/>
                <w:kern w:val="2"/>
                <w:sz w:val="21"/>
                <w:szCs w:val="21"/>
                <w:highlight w:val="none"/>
                <w:lang w:bidi="ar"/>
              </w:rPr>
            </w:pPr>
            <w:r>
              <w:rPr>
                <w:rFonts w:hint="eastAsia" w:ascii="宋体" w:hAnsi="宋体" w:cs="宋体"/>
                <w:b/>
                <w:bCs/>
                <w:color w:val="auto"/>
                <w:kern w:val="2"/>
                <w:sz w:val="21"/>
                <w:szCs w:val="21"/>
                <w:highlight w:val="none"/>
                <w:lang w:val="en-US" w:eastAsia="zh-CN" w:bidi="ar"/>
              </w:rPr>
              <w:t>2、</w:t>
            </w:r>
            <w:r>
              <w:rPr>
                <w:rFonts w:hint="eastAsia" w:ascii="宋体" w:hAnsi="宋体" w:eastAsia="宋体" w:cs="宋体"/>
                <w:b/>
                <w:bCs/>
                <w:color w:val="auto"/>
                <w:kern w:val="2"/>
                <w:sz w:val="21"/>
                <w:szCs w:val="21"/>
                <w:highlight w:val="none"/>
                <w:lang w:bidi="ar"/>
              </w:rPr>
              <w:t>赛事开幕前7个工作日内，甲方向乙方支付合同总价款的</w:t>
            </w:r>
            <w:r>
              <w:rPr>
                <w:rFonts w:hint="eastAsia" w:ascii="宋体" w:hAnsi="宋体" w:cs="宋体"/>
                <w:b/>
                <w:bCs/>
                <w:color w:val="auto"/>
                <w:kern w:val="2"/>
                <w:sz w:val="21"/>
                <w:szCs w:val="21"/>
                <w:highlight w:val="none"/>
                <w:lang w:val="en-US" w:eastAsia="zh-CN" w:bidi="ar"/>
              </w:rPr>
              <w:t>3</w:t>
            </w:r>
            <w:r>
              <w:rPr>
                <w:rFonts w:hint="eastAsia" w:ascii="宋体" w:hAnsi="宋体" w:eastAsia="宋体" w:cs="宋体"/>
                <w:b/>
                <w:bCs/>
                <w:color w:val="auto"/>
                <w:kern w:val="2"/>
                <w:sz w:val="21"/>
                <w:szCs w:val="21"/>
                <w:highlight w:val="none"/>
                <w:lang w:bidi="ar"/>
              </w:rPr>
              <w:t>0%；</w:t>
            </w:r>
          </w:p>
          <w:p w14:paraId="63ABAA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left"/>
              <w:textAlignment w:val="auto"/>
              <w:rPr>
                <w:rFonts w:hint="eastAsia" w:ascii="宋体" w:hAnsi="宋体" w:eastAsia="宋体" w:cs="宋体"/>
                <w:b/>
                <w:bCs/>
                <w:color w:val="auto"/>
                <w:kern w:val="2"/>
                <w:sz w:val="21"/>
                <w:szCs w:val="21"/>
                <w:highlight w:val="none"/>
                <w:lang w:bidi="ar"/>
              </w:rPr>
            </w:pPr>
            <w:r>
              <w:rPr>
                <w:rFonts w:hint="eastAsia" w:ascii="宋体" w:hAnsi="宋体" w:cs="宋体"/>
                <w:b/>
                <w:bCs/>
                <w:color w:val="auto"/>
                <w:kern w:val="2"/>
                <w:sz w:val="21"/>
                <w:szCs w:val="21"/>
                <w:highlight w:val="none"/>
                <w:lang w:val="en-US" w:eastAsia="zh-CN" w:bidi="ar"/>
              </w:rPr>
              <w:t>3、</w:t>
            </w:r>
            <w:r>
              <w:rPr>
                <w:rFonts w:hint="eastAsia" w:ascii="宋体" w:hAnsi="宋体" w:eastAsia="宋体" w:cs="宋体"/>
                <w:b/>
                <w:bCs/>
                <w:color w:val="auto"/>
                <w:kern w:val="2"/>
                <w:sz w:val="21"/>
                <w:szCs w:val="21"/>
                <w:highlight w:val="none"/>
                <w:lang w:bidi="ar"/>
              </w:rPr>
              <w:t>赛事结束</w:t>
            </w:r>
            <w:r>
              <w:rPr>
                <w:rFonts w:hint="eastAsia" w:ascii="宋体" w:hAnsi="宋体" w:cs="宋体"/>
                <w:b/>
                <w:bCs/>
                <w:color w:val="auto"/>
                <w:kern w:val="2"/>
                <w:sz w:val="21"/>
                <w:szCs w:val="21"/>
                <w:highlight w:val="none"/>
                <w:lang w:val="en-US" w:eastAsia="zh-CN" w:bidi="ar"/>
              </w:rPr>
              <w:t>经甲方验收</w:t>
            </w:r>
            <w:r>
              <w:rPr>
                <w:rFonts w:hint="eastAsia" w:ascii="宋体" w:hAnsi="宋体" w:eastAsia="宋体" w:cs="宋体"/>
                <w:b/>
                <w:bCs/>
                <w:color w:val="auto"/>
                <w:kern w:val="2"/>
                <w:sz w:val="21"/>
                <w:szCs w:val="21"/>
                <w:highlight w:val="none"/>
                <w:lang w:bidi="ar"/>
              </w:rPr>
              <w:t>后</w:t>
            </w:r>
            <w:r>
              <w:rPr>
                <w:rFonts w:hint="eastAsia" w:ascii="宋体" w:hAnsi="宋体" w:cs="宋体"/>
                <w:b/>
                <w:bCs/>
                <w:color w:val="auto"/>
                <w:kern w:val="2"/>
                <w:sz w:val="21"/>
                <w:szCs w:val="21"/>
                <w:highlight w:val="none"/>
                <w:lang w:val="en-US" w:eastAsia="zh-CN" w:bidi="ar"/>
              </w:rPr>
              <w:t>30</w:t>
            </w:r>
            <w:r>
              <w:rPr>
                <w:rFonts w:hint="eastAsia" w:ascii="宋体" w:hAnsi="宋体" w:eastAsia="宋体" w:cs="宋体"/>
                <w:b/>
                <w:bCs/>
                <w:color w:val="auto"/>
                <w:kern w:val="2"/>
                <w:sz w:val="21"/>
                <w:szCs w:val="21"/>
                <w:highlight w:val="none"/>
                <w:lang w:bidi="ar"/>
              </w:rPr>
              <w:t>个工作日内，甲方向乙方支付合同总价款的30%（剩余款项）。</w:t>
            </w:r>
          </w:p>
          <w:p w14:paraId="67C8E2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left"/>
              <w:textAlignment w:val="auto"/>
              <w:rPr>
                <w:rFonts w:hint="eastAsia" w:ascii="宋体" w:hAnsi="宋体" w:cs="宋体"/>
                <w:b/>
                <w:bCs/>
                <w:color w:val="auto"/>
                <w:szCs w:val="21"/>
                <w:highlight w:val="none"/>
              </w:rPr>
            </w:pPr>
            <w:r>
              <w:rPr>
                <w:rFonts w:hint="eastAsia" w:ascii="宋体" w:hAnsi="宋体" w:eastAsia="宋体" w:cs="宋体"/>
                <w:b/>
                <w:bCs/>
                <w:color w:val="auto"/>
                <w:kern w:val="2"/>
                <w:sz w:val="21"/>
                <w:szCs w:val="21"/>
                <w:highlight w:val="none"/>
                <w:lang w:bidi="ar"/>
              </w:rPr>
              <w:t>注：每次付款前，乙方须向甲方提供等额合规的增值税专用发票。</w:t>
            </w:r>
          </w:p>
        </w:tc>
      </w:tr>
      <w:tr w14:paraId="02C1D3B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926" w:type="dxa"/>
            <w:gridSpan w:val="2"/>
            <w:shd w:val="clear" w:color="auto" w:fill="auto"/>
            <w:vAlign w:val="center"/>
          </w:tcPr>
          <w:p w14:paraId="5D746F94">
            <w:pPr>
              <w:keepNext w:val="0"/>
              <w:keepLines w:val="0"/>
              <w:pageBreakBefore w:val="0"/>
              <w:suppressLineNumbers w:val="0"/>
              <w:shd w:val="clear"/>
              <w:kinsoku/>
              <w:wordWrap/>
              <w:overflowPunct/>
              <w:topLinePunct w:val="0"/>
              <w:autoSpaceDE/>
              <w:autoSpaceDN/>
              <w:bidi w:val="0"/>
              <w:adjustRightInd w:val="0"/>
              <w:snapToGrid w:val="0"/>
              <w:spacing w:before="0" w:beforeAutospacing="0" w:after="0" w:afterAutospacing="0" w:line="48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投诉</w:t>
            </w:r>
          </w:p>
        </w:tc>
        <w:tc>
          <w:tcPr>
            <w:tcW w:w="7872" w:type="dxa"/>
            <w:gridSpan w:val="2"/>
            <w:shd w:val="clear" w:color="auto" w:fill="auto"/>
          </w:tcPr>
          <w:p w14:paraId="7130C23A">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48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 xml:space="preserve">投标人或者其他利害关系人认为招标投标活动违反法律、法规和规章规定的，有权向相关行政监督部门投诉。在线投诉具体步骤和程序请参照服务指南&gt;投诉渠道 </w:t>
            </w:r>
            <w:r>
              <w:rPr>
                <w:rFonts w:hint="default"/>
                <w:color w:val="auto"/>
                <w:highlight w:val="none"/>
              </w:rPr>
              <w:fldChar w:fldCharType="begin"/>
            </w:r>
            <w:r>
              <w:rPr>
                <w:rFonts w:hint="default"/>
                <w:color w:val="auto"/>
                <w:highlight w:val="none"/>
              </w:rPr>
              <w:instrText xml:space="preserve"> HYPERLINK "https://ggzy.chuzhou.gov.cn/fwzn/011001/serviceGuide.html" </w:instrText>
            </w:r>
            <w:r>
              <w:rPr>
                <w:rFonts w:hint="default"/>
                <w:color w:val="auto"/>
                <w:highlight w:val="none"/>
              </w:rPr>
              <w:fldChar w:fldCharType="separate"/>
            </w:r>
            <w:r>
              <w:rPr>
                <w:rFonts w:hint="eastAsia" w:ascii="宋体" w:hAnsi="宋体" w:cs="宋体"/>
                <w:color w:val="auto"/>
                <w:szCs w:val="21"/>
                <w:highlight w:val="none"/>
              </w:rPr>
              <w:t>https://ggzy.chuzhou.gov.cn/fwzn/011001/serviceGuide.html</w:t>
            </w:r>
            <w:r>
              <w:rPr>
                <w:rFonts w:hint="eastAsia" w:ascii="宋体" w:hAnsi="宋体" w:cs="宋体"/>
                <w:color w:val="auto"/>
                <w:szCs w:val="21"/>
                <w:highlight w:val="none"/>
              </w:rPr>
              <w:fldChar w:fldCharType="end"/>
            </w:r>
            <w:r>
              <w:rPr>
                <w:rFonts w:hint="eastAsia" w:ascii="宋体" w:hAnsi="宋体" w:cs="宋体"/>
                <w:color w:val="auto"/>
                <w:szCs w:val="21"/>
                <w:highlight w:val="none"/>
              </w:rPr>
              <w:t>；投诉书格式等内容参见服务指南&gt;办事指南&gt;投标人服务&gt;投诉受理一次告知书https://ggzy.chuzhou.gov.cn/fwzn/011001/011001001/011001001003/20211022/4b7d87ec-2c58-49b0-b76c-3a6277377930.html。</w:t>
            </w:r>
          </w:p>
        </w:tc>
      </w:tr>
      <w:tr w14:paraId="64BB76A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926" w:type="dxa"/>
            <w:gridSpan w:val="2"/>
            <w:shd w:val="clear" w:color="auto" w:fill="auto"/>
            <w:vAlign w:val="center"/>
          </w:tcPr>
          <w:p w14:paraId="0585019D">
            <w:pPr>
              <w:keepNext w:val="0"/>
              <w:keepLines w:val="0"/>
              <w:pageBreakBefore w:val="0"/>
              <w:widowControl/>
              <w:suppressLineNumbers w:val="0"/>
              <w:shd w:val="clear"/>
              <w:kinsoku/>
              <w:wordWrap/>
              <w:overflowPunct/>
              <w:topLinePunct w:val="0"/>
              <w:autoSpaceDE/>
              <w:autoSpaceDN/>
              <w:bidi w:val="0"/>
              <w:spacing w:before="0" w:beforeAutospacing="0" w:after="0" w:afterAutospacing="0" w:line="480" w:lineRule="exact"/>
              <w:ind w:left="0" w:right="0"/>
              <w:jc w:val="center"/>
              <w:textAlignment w:val="auto"/>
              <w:rPr>
                <w:rFonts w:hint="default" w:ascii="宋体" w:hAnsi="宋体" w:cs="宋体"/>
                <w:color w:val="auto"/>
                <w:kern w:val="0"/>
                <w:szCs w:val="21"/>
                <w:highlight w:val="none"/>
              </w:rPr>
            </w:pPr>
            <w:r>
              <w:rPr>
                <w:rFonts w:hint="eastAsia" w:ascii="宋体" w:hAnsi="宋体" w:cs="宋体"/>
                <w:color w:val="auto"/>
                <w:kern w:val="0"/>
                <w:szCs w:val="21"/>
                <w:highlight w:val="none"/>
              </w:rPr>
              <w:t>特别提示</w:t>
            </w:r>
          </w:p>
        </w:tc>
        <w:tc>
          <w:tcPr>
            <w:tcW w:w="7872" w:type="dxa"/>
            <w:gridSpan w:val="2"/>
            <w:shd w:val="clear" w:color="auto" w:fill="auto"/>
          </w:tcPr>
          <w:p w14:paraId="5ACE32A8">
            <w:pPr>
              <w:keepNext w:val="0"/>
              <w:keepLines w:val="0"/>
              <w:pageBreakBefore w:val="0"/>
              <w:suppressLineNumbers w:val="0"/>
              <w:shd w:val="clear"/>
              <w:kinsoku/>
              <w:wordWrap/>
              <w:overflowPunct/>
              <w:topLinePunct w:val="0"/>
              <w:autoSpaceDE/>
              <w:autoSpaceDN/>
              <w:bidi w:val="0"/>
              <w:snapToGrid w:val="0"/>
              <w:spacing w:before="0" w:beforeAutospacing="0" w:after="0" w:afterAutospacing="0" w:line="48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1.本项目投标保证金、履约保证金均支持保函使用。以现金形式提交保证金的，应当同时退还保证金本金和银行同期存款利息。</w:t>
            </w:r>
          </w:p>
          <w:p w14:paraId="4D7F3A8A">
            <w:pPr>
              <w:keepNext w:val="0"/>
              <w:keepLines w:val="0"/>
              <w:pageBreakBefore w:val="0"/>
              <w:suppressLineNumbers w:val="0"/>
              <w:shd w:val="clear"/>
              <w:kinsoku/>
              <w:wordWrap/>
              <w:overflowPunct/>
              <w:topLinePunct w:val="0"/>
              <w:autoSpaceDE/>
              <w:autoSpaceDN/>
              <w:bidi w:val="0"/>
              <w:snapToGrid w:val="0"/>
              <w:spacing w:before="0" w:beforeAutospacing="0" w:after="0" w:afterAutospacing="0" w:line="48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2.投标人应填写投标信息并下载招标文件，否则无法上传投标文件。</w:t>
            </w:r>
          </w:p>
          <w:p w14:paraId="32185517">
            <w:pPr>
              <w:keepNext w:val="0"/>
              <w:keepLines w:val="0"/>
              <w:pageBreakBefore w:val="0"/>
              <w:suppressLineNumbers w:val="0"/>
              <w:shd w:val="clear"/>
              <w:kinsoku/>
              <w:wordWrap/>
              <w:overflowPunct/>
              <w:topLinePunct w:val="0"/>
              <w:autoSpaceDE/>
              <w:autoSpaceDN/>
              <w:bidi w:val="0"/>
              <w:snapToGrid w:val="0"/>
              <w:spacing w:before="0" w:beforeAutospacing="0" w:after="0" w:afterAutospacing="0" w:line="48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3.本项目采用电子招标投标，请投标人在滁州市公共资源交易中心网站&gt;服务指南&gt;软件下载栏目点击下载投标文件制作工具。投标人需采用最新版投标文件制作工具。软件运行需在国际互联网络通畅状态，投标人需注意更新，以免造成投标文件制作错误，如因此导致评标委员会否决其投标，责任自负。如有技术问题请联系0550-3801701，4009980000。</w:t>
            </w:r>
          </w:p>
          <w:p w14:paraId="3F57DAE3">
            <w:pPr>
              <w:keepNext w:val="0"/>
              <w:keepLines w:val="0"/>
              <w:pageBreakBefore w:val="0"/>
              <w:suppressLineNumbers w:val="0"/>
              <w:shd w:val="clear"/>
              <w:kinsoku/>
              <w:wordWrap/>
              <w:overflowPunct/>
              <w:topLinePunct w:val="0"/>
              <w:autoSpaceDE/>
              <w:autoSpaceDN/>
              <w:bidi w:val="0"/>
              <w:snapToGrid w:val="0"/>
              <w:spacing w:before="0" w:beforeAutospacing="0" w:after="0" w:afterAutospacing="0" w:line="48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4.如果过程中出现招标文件更改，应以最后发布的招标答疑澄清文件中的模板制作本项目最新投标文件。</w:t>
            </w:r>
          </w:p>
          <w:p w14:paraId="5A7B4FF1">
            <w:pPr>
              <w:keepNext w:val="0"/>
              <w:keepLines w:val="0"/>
              <w:pageBreakBefore w:val="0"/>
              <w:suppressLineNumbers w:val="0"/>
              <w:shd w:val="clear"/>
              <w:kinsoku/>
              <w:wordWrap/>
              <w:overflowPunct/>
              <w:topLinePunct w:val="0"/>
              <w:autoSpaceDE/>
              <w:autoSpaceDN/>
              <w:bidi w:val="0"/>
              <w:snapToGrid w:val="0"/>
              <w:spacing w:before="0" w:beforeAutospacing="0" w:after="0" w:afterAutospacing="0" w:line="48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 xml:space="preserve">5.投标人应当用本单位CA数字证书制作投标文件，制作成功后进行投标文件上传。 </w:t>
            </w:r>
          </w:p>
          <w:p w14:paraId="0B792A9B">
            <w:pPr>
              <w:keepNext w:val="0"/>
              <w:keepLines w:val="0"/>
              <w:pageBreakBefore w:val="0"/>
              <w:suppressLineNumbers w:val="0"/>
              <w:shd w:val="clear"/>
              <w:kinsoku/>
              <w:wordWrap/>
              <w:overflowPunct/>
              <w:topLinePunct w:val="0"/>
              <w:autoSpaceDE/>
              <w:autoSpaceDN/>
              <w:bidi w:val="0"/>
              <w:snapToGrid w:val="0"/>
              <w:spacing w:before="0" w:beforeAutospacing="0" w:after="0" w:afterAutospacing="0" w:line="48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6.投标人须用CA数字证书盖章和加密投标文件，建议使用主锁。（如未办理CA数字证书请及时办理，网上办理和窗口办理均可。查看办理所需资料请登录滁州市公共资源交易中心网站&gt;服务指南&gt;办事指南&gt;CA数字证书和电子签章。因未及时办理CA数字证书手续导致无法投标的，责任自负）</w:t>
            </w:r>
          </w:p>
          <w:p w14:paraId="6F1E7AB5">
            <w:pPr>
              <w:keepNext w:val="0"/>
              <w:keepLines w:val="0"/>
              <w:pageBreakBefore w:val="0"/>
              <w:suppressLineNumbers w:val="0"/>
              <w:shd w:val="clear"/>
              <w:kinsoku/>
              <w:wordWrap/>
              <w:overflowPunct/>
              <w:topLinePunct w:val="0"/>
              <w:autoSpaceDE/>
              <w:autoSpaceDN/>
              <w:bidi w:val="0"/>
              <w:snapToGrid w:val="0"/>
              <w:spacing w:before="0" w:beforeAutospacing="0" w:after="0" w:afterAutospacing="0" w:line="48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7.请投标人注意加密投标文件CA数字证书的有效期，不在有效期的CA数字证书无法解密投标文件。</w:t>
            </w:r>
          </w:p>
          <w:p w14:paraId="0A3201D0">
            <w:pPr>
              <w:keepNext w:val="0"/>
              <w:keepLines w:val="0"/>
              <w:pageBreakBefore w:val="0"/>
              <w:suppressLineNumbers w:val="0"/>
              <w:shd w:val="clear"/>
              <w:kinsoku/>
              <w:wordWrap/>
              <w:overflowPunct/>
              <w:topLinePunct w:val="0"/>
              <w:autoSpaceDE/>
              <w:autoSpaceDN/>
              <w:bidi w:val="0"/>
              <w:snapToGrid w:val="0"/>
              <w:spacing w:before="0" w:beforeAutospacing="0" w:after="0" w:afterAutospacing="0" w:line="48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8.投标人投标MAC地址一致或申请开具电子保函MAC地址一致的，由评标委员会否决其投标。</w:t>
            </w:r>
          </w:p>
          <w:p w14:paraId="27DD9AE7">
            <w:pPr>
              <w:keepNext w:val="0"/>
              <w:keepLines w:val="0"/>
              <w:pageBreakBefore w:val="0"/>
              <w:suppressLineNumbers w:val="0"/>
              <w:shd w:val="clear"/>
              <w:kinsoku/>
              <w:wordWrap/>
              <w:overflowPunct/>
              <w:topLinePunct w:val="0"/>
              <w:autoSpaceDE/>
              <w:autoSpaceDN/>
              <w:bidi w:val="0"/>
              <w:snapToGrid w:val="0"/>
              <w:spacing w:before="0" w:beforeAutospacing="0" w:after="0" w:afterAutospacing="0" w:line="48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9.投标人投标文件中单方面出现其他投标人材料的（依法组成联合体投标的除外），由评标委员会否决其投标。</w:t>
            </w:r>
          </w:p>
          <w:p w14:paraId="1E9854EB">
            <w:pPr>
              <w:keepNext w:val="0"/>
              <w:keepLines w:val="0"/>
              <w:pageBreakBefore w:val="0"/>
              <w:suppressLineNumbers w:val="0"/>
              <w:shd w:val="clear"/>
              <w:kinsoku/>
              <w:wordWrap/>
              <w:overflowPunct/>
              <w:topLinePunct w:val="0"/>
              <w:autoSpaceDE/>
              <w:autoSpaceDN/>
              <w:bidi w:val="0"/>
              <w:snapToGrid w:val="0"/>
              <w:spacing w:before="0" w:beforeAutospacing="0" w:after="0" w:afterAutospacing="0" w:line="48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10.评标时查询投标文件制作机器码、文件创建标识码及造价软件加密锁号。若存在投标文件制作机器码或创建标识码或造价软件加密锁号信息与其他投标人雷同的，由评标委员会否决其投标，依法依规予以处理。</w:t>
            </w:r>
          </w:p>
          <w:p w14:paraId="5CC3E954">
            <w:pPr>
              <w:keepNext w:val="0"/>
              <w:keepLines w:val="0"/>
              <w:pageBreakBefore w:val="0"/>
              <w:suppressLineNumbers w:val="0"/>
              <w:shd w:val="clear"/>
              <w:kinsoku/>
              <w:wordWrap/>
              <w:overflowPunct/>
              <w:topLinePunct w:val="0"/>
              <w:autoSpaceDE/>
              <w:autoSpaceDN/>
              <w:bidi w:val="0"/>
              <w:snapToGrid w:val="0"/>
              <w:spacing w:before="0" w:beforeAutospacing="0" w:after="0" w:afterAutospacing="0" w:line="48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11.若存在不予退还投标人投标保证金的情形，银行转账的，由市公共资源交易中心代为收缴，递交保函的，由招标人予以追缴。</w:t>
            </w:r>
          </w:p>
          <w:p w14:paraId="652A552B">
            <w:pPr>
              <w:keepNext w:val="0"/>
              <w:keepLines w:val="0"/>
              <w:pageBreakBefore w:val="0"/>
              <w:suppressLineNumbers w:val="0"/>
              <w:shd w:val="clear"/>
              <w:kinsoku/>
              <w:wordWrap/>
              <w:overflowPunct/>
              <w:topLinePunct w:val="0"/>
              <w:autoSpaceDE/>
              <w:autoSpaceDN/>
              <w:bidi w:val="0"/>
              <w:snapToGrid w:val="0"/>
              <w:spacing w:before="0" w:beforeAutospacing="0" w:after="0" w:afterAutospacing="0" w:line="48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12.投标人以联合体名义投标的，其异议投诉应当由联合体全体成员共同提出。联合体成员单独进行异议投诉的，应当书面征得联合体其他成员同意，联合体成员之间投诉的除外。</w:t>
            </w:r>
          </w:p>
          <w:p w14:paraId="3748731D">
            <w:pPr>
              <w:keepNext w:val="0"/>
              <w:keepLines w:val="0"/>
              <w:pageBreakBefore w:val="0"/>
              <w:suppressLineNumbers w:val="0"/>
              <w:shd w:val="clear"/>
              <w:kinsoku/>
              <w:wordWrap/>
              <w:overflowPunct/>
              <w:topLinePunct w:val="0"/>
              <w:autoSpaceDE/>
              <w:autoSpaceDN/>
              <w:bidi w:val="0"/>
              <w:snapToGrid w:val="0"/>
              <w:spacing w:before="0" w:beforeAutospacing="0" w:after="0" w:afterAutospacing="0" w:line="48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13.投标人联系人或联系电话相同的，由评标委员会否决其投标，并报告监管部门作不良行为处理和进一步调查。</w:t>
            </w:r>
          </w:p>
          <w:p w14:paraId="34D8BB41">
            <w:pPr>
              <w:keepNext w:val="0"/>
              <w:keepLines w:val="0"/>
              <w:pageBreakBefore w:val="0"/>
              <w:suppressLineNumbers w:val="0"/>
              <w:shd w:val="clear"/>
              <w:kinsoku/>
              <w:wordWrap/>
              <w:overflowPunct/>
              <w:topLinePunct w:val="0"/>
              <w:autoSpaceDE/>
              <w:autoSpaceDN/>
              <w:bidi w:val="0"/>
              <w:spacing w:before="0" w:beforeAutospacing="0" w:after="0" w:afterAutospacing="0" w:line="480" w:lineRule="exact"/>
              <w:ind w:left="0" w:right="0"/>
              <w:jc w:val="left"/>
              <w:textAlignment w:val="auto"/>
              <w:rPr>
                <w:rFonts w:hint="default" w:ascii="宋体" w:hAnsi="宋体" w:cs="宋体"/>
                <w:b/>
                <w:bCs/>
                <w:color w:val="auto"/>
                <w:szCs w:val="21"/>
                <w:highlight w:val="none"/>
              </w:rPr>
            </w:pPr>
            <w:r>
              <w:rPr>
                <w:rFonts w:hint="eastAsia" w:ascii="宋体" w:hAnsi="宋体" w:cs="宋体"/>
                <w:color w:val="auto"/>
                <w:szCs w:val="21"/>
                <w:highlight w:val="none"/>
              </w:rPr>
              <w:t>14.注册地在安徽省内且未在安徽省外开展业务、省外无违法违规行为的企业可通过安徽政务服务网开具由安徽省公共信用信息服务中心出具的《公共信用信息报告（无违法违规证明版或核查版）》代替《诚信投标承诺书》，信用报告出具有关问题可咨询滁州市信用办0550-3035032。</w:t>
            </w:r>
          </w:p>
        </w:tc>
      </w:tr>
      <w:tr w14:paraId="4C2EA02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926" w:type="dxa"/>
            <w:gridSpan w:val="2"/>
            <w:shd w:val="clear" w:color="auto" w:fill="auto"/>
            <w:vAlign w:val="center"/>
          </w:tcPr>
          <w:p w14:paraId="6F439700">
            <w:pPr>
              <w:keepNext w:val="0"/>
              <w:keepLines w:val="0"/>
              <w:pageBreakBefore w:val="0"/>
              <w:suppressLineNumbers w:val="0"/>
              <w:shd w:val="clear"/>
              <w:kinsoku/>
              <w:wordWrap/>
              <w:overflowPunct/>
              <w:topLinePunct w:val="0"/>
              <w:autoSpaceDE/>
              <w:autoSpaceDN/>
              <w:bidi w:val="0"/>
              <w:spacing w:before="0" w:beforeAutospacing="0" w:after="0" w:afterAutospacing="0" w:line="480" w:lineRule="exact"/>
              <w:ind w:left="0" w:right="0"/>
              <w:jc w:val="center"/>
              <w:textAlignment w:val="auto"/>
              <w:rPr>
                <w:rFonts w:hint="default" w:ascii="宋体" w:hAnsi="宋体" w:cs="宋体"/>
                <w:bCs/>
                <w:color w:val="auto"/>
                <w:szCs w:val="21"/>
                <w:highlight w:val="none"/>
              </w:rPr>
            </w:pPr>
            <w:r>
              <w:rPr>
                <w:rFonts w:hint="eastAsia" w:ascii="宋体" w:hAnsi="宋体" w:cs="宋体"/>
                <w:bCs/>
                <w:color w:val="auto"/>
                <w:szCs w:val="21"/>
                <w:highlight w:val="none"/>
              </w:rPr>
              <w:t>其他</w:t>
            </w:r>
          </w:p>
        </w:tc>
        <w:tc>
          <w:tcPr>
            <w:tcW w:w="7872" w:type="dxa"/>
            <w:gridSpan w:val="2"/>
            <w:shd w:val="clear" w:color="auto" w:fill="auto"/>
          </w:tcPr>
          <w:p w14:paraId="40EBDC7A">
            <w:pPr>
              <w:keepNext w:val="0"/>
              <w:keepLines w:val="0"/>
              <w:pageBreakBefore w:val="0"/>
              <w:suppressLineNumbers w:val="0"/>
              <w:shd w:val="clear"/>
              <w:kinsoku/>
              <w:wordWrap/>
              <w:overflowPunct/>
              <w:topLinePunct w:val="0"/>
              <w:autoSpaceDE/>
              <w:autoSpaceDN/>
              <w:bidi w:val="0"/>
              <w:snapToGrid w:val="0"/>
              <w:spacing w:before="0" w:beforeAutospacing="0" w:after="0" w:afterAutospacing="0" w:line="48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1.项目负责人必须是投标人本单位工作人员，提供虚假资料谋取中标将被依法处罚。投标人对所提交的投标人或拟派项目负责人业绩、投标人资质等证明资料承担缔约过失责任和法律责任。若投诉人或举报人对前述资料或证明资料存在争议，进行有效投诉或举报，被投诉人、被举报人应当主动配合执法机关调查，并在规定的期限内举证，提供有关证明资料的原件；拒不配合执法机构调查，且未在规定期限内举证、提供证明资料原件的，执法机构（滁州市公共资源交易监督管理局）依法处理。</w:t>
            </w:r>
          </w:p>
          <w:p w14:paraId="77C11388">
            <w:pPr>
              <w:keepNext w:val="0"/>
              <w:keepLines w:val="0"/>
              <w:pageBreakBefore w:val="0"/>
              <w:suppressLineNumbers w:val="0"/>
              <w:shd w:val="clear"/>
              <w:kinsoku/>
              <w:wordWrap/>
              <w:overflowPunct/>
              <w:topLinePunct w:val="0"/>
              <w:autoSpaceDE/>
              <w:autoSpaceDN/>
              <w:bidi w:val="0"/>
              <w:snapToGrid w:val="0"/>
              <w:spacing w:before="0" w:beforeAutospacing="0" w:after="0" w:afterAutospacing="0" w:line="48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2.中标人未履行下述义务的，滁州市公共资源交易监督管理局将依法对中标人进行处理，追究相关责任：</w:t>
            </w:r>
          </w:p>
          <w:p w14:paraId="329D9B69">
            <w:pPr>
              <w:keepNext w:val="0"/>
              <w:keepLines w:val="0"/>
              <w:pageBreakBefore w:val="0"/>
              <w:suppressLineNumbers w:val="0"/>
              <w:shd w:val="clear"/>
              <w:kinsoku/>
              <w:wordWrap/>
              <w:overflowPunct/>
              <w:topLinePunct w:val="0"/>
              <w:autoSpaceDE/>
              <w:autoSpaceDN/>
              <w:bidi w:val="0"/>
              <w:snapToGrid w:val="0"/>
              <w:spacing w:before="0" w:beforeAutospacing="0" w:after="0" w:afterAutospacing="0" w:line="48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①中标人无正当理由不与招标人订立合同，在签订合同时向招标人提出附加条件，或者不按照招标文件要求提交履约保证金的，招标人有权取消中标人中标资格，并将相关违约行为报送监管部门处理；</w:t>
            </w:r>
          </w:p>
          <w:p w14:paraId="7E7BB3FF">
            <w:pPr>
              <w:keepNext w:val="0"/>
              <w:keepLines w:val="0"/>
              <w:pageBreakBefore w:val="0"/>
              <w:suppressLineNumbers w:val="0"/>
              <w:shd w:val="clear"/>
              <w:kinsoku/>
              <w:wordWrap/>
              <w:overflowPunct/>
              <w:topLinePunct w:val="0"/>
              <w:autoSpaceDE/>
              <w:autoSpaceDN/>
              <w:bidi w:val="0"/>
              <w:snapToGrid w:val="0"/>
              <w:spacing w:before="0" w:beforeAutospacing="0" w:after="0" w:afterAutospacing="0" w:line="48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②合同签订后，中标人存在规定时间内不组织人员进场开工、不履行供货安装义务等情况，招标人有权解除合同，并追究违约责任，同时将相关违约行为报送监管部门，记不良行为记录，实施信用惩戒。</w:t>
            </w:r>
          </w:p>
        </w:tc>
      </w:tr>
      <w:tr w14:paraId="3D891A2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926" w:type="dxa"/>
            <w:gridSpan w:val="2"/>
            <w:shd w:val="clear" w:color="auto" w:fill="auto"/>
            <w:vAlign w:val="center"/>
          </w:tcPr>
          <w:p w14:paraId="1A4A0F91">
            <w:pPr>
              <w:keepNext w:val="0"/>
              <w:keepLines w:val="0"/>
              <w:pageBreakBefore w:val="0"/>
              <w:suppressLineNumbers w:val="0"/>
              <w:shd w:val="clear"/>
              <w:kinsoku/>
              <w:wordWrap/>
              <w:overflowPunct/>
              <w:topLinePunct w:val="0"/>
              <w:autoSpaceDE/>
              <w:autoSpaceDN/>
              <w:bidi w:val="0"/>
              <w:snapToGrid w:val="0"/>
              <w:spacing w:before="0" w:beforeAutospacing="0" w:after="0" w:afterAutospacing="0" w:line="480" w:lineRule="exact"/>
              <w:ind w:left="0" w:right="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评标过程中的澄清、说明或补正</w:t>
            </w:r>
          </w:p>
        </w:tc>
        <w:tc>
          <w:tcPr>
            <w:tcW w:w="7872" w:type="dxa"/>
            <w:gridSpan w:val="2"/>
            <w:shd w:val="clear" w:color="auto" w:fill="auto"/>
            <w:vAlign w:val="center"/>
          </w:tcPr>
          <w:p w14:paraId="3DF7E4E0">
            <w:pPr>
              <w:keepNext w:val="0"/>
              <w:keepLines w:val="0"/>
              <w:pageBreakBefore w:val="0"/>
              <w:suppressLineNumbers w:val="0"/>
              <w:shd w:val="clear"/>
              <w:kinsoku/>
              <w:wordWrap/>
              <w:overflowPunct/>
              <w:topLinePunct w:val="0"/>
              <w:autoSpaceDE/>
              <w:autoSpaceDN/>
              <w:bidi w:val="0"/>
              <w:snapToGrid w:val="0"/>
              <w:spacing w:before="0" w:beforeAutospacing="0" w:after="0" w:afterAutospacing="0" w:line="480" w:lineRule="exact"/>
              <w:ind w:left="0" w:right="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1、评标委员会通过</w:t>
            </w:r>
            <w:r>
              <w:rPr>
                <w:rFonts w:hint="eastAsia" w:ascii="宋体" w:hAnsi="宋体" w:eastAsia="宋体" w:cs="宋体"/>
                <w:color w:val="auto"/>
                <w:szCs w:val="21"/>
                <w:highlight w:val="none"/>
                <w:lang w:val="en-US"/>
              </w:rPr>
              <w:t>网上开评标系统</w:t>
            </w:r>
            <w:r>
              <w:rPr>
                <w:rFonts w:hint="eastAsia" w:ascii="宋体" w:hAnsi="宋体" w:eastAsia="宋体" w:cs="宋体"/>
                <w:color w:val="auto"/>
                <w:szCs w:val="21"/>
                <w:highlight w:val="none"/>
              </w:rPr>
              <w:t>将需要澄清、说明或补正的内容以询标函的形式发送给投标人，投标人应安排专人登录</w:t>
            </w:r>
            <w:r>
              <w:rPr>
                <w:rFonts w:hint="eastAsia" w:ascii="宋体" w:hAnsi="宋体" w:eastAsia="宋体" w:cs="宋体"/>
                <w:color w:val="auto"/>
                <w:szCs w:val="21"/>
                <w:highlight w:val="none"/>
                <w:lang w:val="en-US"/>
              </w:rPr>
              <w:t>网上开评标系统</w:t>
            </w:r>
            <w:r>
              <w:rPr>
                <w:rFonts w:hint="eastAsia" w:ascii="宋体" w:hAnsi="宋体" w:eastAsia="宋体" w:cs="宋体"/>
                <w:color w:val="auto"/>
                <w:szCs w:val="21"/>
                <w:highlight w:val="none"/>
              </w:rPr>
              <w:t>并保持在线状态，并确保联系方式有效，以便及时接收评标委员会可能发出的询标函。</w:t>
            </w:r>
          </w:p>
          <w:p w14:paraId="6FACAD1B">
            <w:pPr>
              <w:keepNext w:val="0"/>
              <w:keepLines w:val="0"/>
              <w:pageBreakBefore w:val="0"/>
              <w:suppressLineNumbers w:val="0"/>
              <w:shd w:val="clear"/>
              <w:kinsoku/>
              <w:wordWrap/>
              <w:overflowPunct/>
              <w:topLinePunct w:val="0"/>
              <w:autoSpaceDE/>
              <w:autoSpaceDN/>
              <w:bidi w:val="0"/>
              <w:snapToGrid w:val="0"/>
              <w:spacing w:before="0" w:beforeAutospacing="0" w:after="0" w:afterAutospacing="0" w:line="480" w:lineRule="exact"/>
              <w:ind w:left="0" w:right="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2、因投标人未登录</w:t>
            </w:r>
            <w:r>
              <w:rPr>
                <w:rFonts w:hint="eastAsia" w:ascii="宋体" w:hAnsi="宋体" w:eastAsia="宋体" w:cs="宋体"/>
                <w:color w:val="auto"/>
                <w:szCs w:val="21"/>
                <w:highlight w:val="none"/>
                <w:lang w:val="en-US"/>
              </w:rPr>
              <w:t>网上开评标系统</w:t>
            </w:r>
            <w:r>
              <w:rPr>
                <w:rFonts w:hint="eastAsia" w:ascii="宋体" w:hAnsi="宋体" w:eastAsia="宋体" w:cs="宋体"/>
                <w:color w:val="auto"/>
                <w:szCs w:val="21"/>
                <w:highlight w:val="none"/>
              </w:rPr>
              <w:t>导致无法及时接收询标函（远程网上询标）或未在规定时间内按评标委员会要求进行澄清、说明或补正内容的视同投标人放弃澄清、说明或补正内容的权利，评标委员会可按对投标人不利的解释进行判定。</w:t>
            </w:r>
          </w:p>
        </w:tc>
      </w:tr>
      <w:tr w14:paraId="497C2AC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926" w:type="dxa"/>
            <w:gridSpan w:val="2"/>
            <w:shd w:val="clear" w:color="auto" w:fill="auto"/>
            <w:vAlign w:val="center"/>
          </w:tcPr>
          <w:p w14:paraId="687BE7B5">
            <w:pPr>
              <w:keepNext w:val="0"/>
              <w:keepLines w:val="0"/>
              <w:pageBreakBefore w:val="0"/>
              <w:suppressLineNumbers w:val="0"/>
              <w:shd w:val="clear"/>
              <w:kinsoku/>
              <w:wordWrap/>
              <w:overflowPunct/>
              <w:topLinePunct w:val="0"/>
              <w:autoSpaceDE/>
              <w:autoSpaceDN/>
              <w:bidi w:val="0"/>
              <w:adjustRightInd w:val="0"/>
              <w:snapToGrid w:val="0"/>
              <w:spacing w:before="0" w:beforeAutospacing="0" w:after="0" w:afterAutospacing="0" w:line="480" w:lineRule="exact"/>
              <w:ind w:left="0" w:right="0"/>
              <w:jc w:val="center"/>
              <w:textAlignment w:val="auto"/>
              <w:rPr>
                <w:rFonts w:hint="default" w:ascii="宋体" w:hAnsi="宋体" w:cs="宋体"/>
                <w:bCs/>
                <w:color w:val="auto"/>
                <w:szCs w:val="21"/>
                <w:highlight w:val="none"/>
              </w:rPr>
            </w:pPr>
            <w:r>
              <w:rPr>
                <w:rFonts w:hint="eastAsia" w:ascii="宋体" w:hAnsi="宋体" w:cs="宋体"/>
                <w:bCs/>
                <w:color w:val="auto"/>
                <w:szCs w:val="21"/>
                <w:highlight w:val="none"/>
              </w:rPr>
              <w:t>变更招标方式</w:t>
            </w:r>
          </w:p>
        </w:tc>
        <w:tc>
          <w:tcPr>
            <w:tcW w:w="7872" w:type="dxa"/>
            <w:gridSpan w:val="2"/>
            <w:shd w:val="clear" w:color="auto" w:fill="auto"/>
            <w:vAlign w:val="center"/>
          </w:tcPr>
          <w:p w14:paraId="5D394EDF">
            <w:pPr>
              <w:pStyle w:val="14"/>
              <w:keepNext w:val="0"/>
              <w:keepLines w:val="0"/>
              <w:pageBreakBefore w:val="0"/>
              <w:suppressLineNumbers w:val="0"/>
              <w:shd w:val="clear"/>
              <w:kinsoku/>
              <w:wordWrap/>
              <w:overflowPunct/>
              <w:topLinePunct w:val="0"/>
              <w:autoSpaceDE/>
              <w:autoSpaceDN/>
              <w:bidi w:val="0"/>
              <w:adjustRightInd w:val="0"/>
              <w:snapToGrid w:val="0"/>
              <w:spacing w:before="0" w:beforeAutospacing="0" w:after="0" w:afterAutospacing="0" w:line="48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按照滁州市公共资源交易监督管理局现行规定执行。</w:t>
            </w:r>
          </w:p>
        </w:tc>
      </w:tr>
    </w:tbl>
    <w:p w14:paraId="0E1874DD">
      <w:pPr>
        <w:pageBreakBefore/>
        <w:shd w:val="clear"/>
        <w:spacing w:beforeLines="100" w:afterLines="100" w:line="500" w:lineRule="exact"/>
        <w:jc w:val="center"/>
        <w:outlineLvl w:val="1"/>
        <w:rPr>
          <w:rFonts w:ascii="宋体"/>
          <w:b/>
          <w:color w:val="auto"/>
          <w:sz w:val="28"/>
          <w:szCs w:val="32"/>
          <w:highlight w:val="none"/>
        </w:rPr>
      </w:pPr>
      <w:bookmarkStart w:id="35" w:name="_Toc58430315"/>
      <w:bookmarkStart w:id="36" w:name="_Toc449028866"/>
      <w:bookmarkStart w:id="37" w:name="_Toc28397"/>
      <w:bookmarkStart w:id="38" w:name="_Toc24756"/>
      <w:r>
        <w:rPr>
          <w:rFonts w:hint="eastAsia" w:ascii="宋体"/>
          <w:b/>
          <w:color w:val="auto"/>
          <w:sz w:val="28"/>
          <w:szCs w:val="28"/>
          <w:highlight w:val="none"/>
        </w:rPr>
        <w:t>二</w:t>
      </w:r>
      <w:bookmarkStart w:id="257" w:name="_GoBack"/>
      <w:bookmarkEnd w:id="257"/>
      <w:r>
        <w:rPr>
          <w:rFonts w:hint="eastAsia" w:ascii="宋体"/>
          <w:b/>
          <w:color w:val="auto"/>
          <w:sz w:val="28"/>
          <w:szCs w:val="28"/>
          <w:highlight w:val="none"/>
        </w:rPr>
        <w:t>、投标人须知</w:t>
      </w:r>
      <w:bookmarkEnd w:id="35"/>
      <w:bookmarkEnd w:id="36"/>
      <w:bookmarkEnd w:id="37"/>
      <w:bookmarkEnd w:id="38"/>
    </w:p>
    <w:p w14:paraId="7C91EF85">
      <w:pPr>
        <w:shd w:val="clear"/>
        <w:spacing w:beforeLines="50" w:afterLines="50" w:line="500" w:lineRule="exact"/>
        <w:jc w:val="center"/>
        <w:rPr>
          <w:rFonts w:ascii="宋体" w:hAnsi="宋体" w:cs="宋体"/>
          <w:color w:val="auto"/>
          <w:sz w:val="28"/>
          <w:szCs w:val="28"/>
          <w:highlight w:val="none"/>
        </w:rPr>
      </w:pPr>
      <w:bookmarkStart w:id="39" w:name="_Toc449028867"/>
      <w:r>
        <w:rPr>
          <w:rFonts w:hint="eastAsia" w:ascii="宋体" w:hAnsi="宋体" w:cs="宋体"/>
          <w:b/>
          <w:color w:val="auto"/>
          <w:sz w:val="28"/>
          <w:szCs w:val="28"/>
          <w:highlight w:val="none"/>
        </w:rPr>
        <w:t>（一）总  则</w:t>
      </w:r>
      <w:bookmarkEnd w:id="39"/>
    </w:p>
    <w:p w14:paraId="2E8BFBD2">
      <w:pPr>
        <w:shd w:val="clear"/>
        <w:snapToGrid w:val="0"/>
        <w:spacing w:line="500" w:lineRule="exact"/>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1.项目概况</w:t>
      </w:r>
    </w:p>
    <w:p w14:paraId="4B6D2555">
      <w:pPr>
        <w:shd w:val="clear"/>
        <w:snapToGrid w:val="0"/>
        <w:spacing w:line="50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1.1本次招标采购项目名称：见投标人须知前附表。</w:t>
      </w:r>
    </w:p>
    <w:p w14:paraId="253CF305">
      <w:pPr>
        <w:shd w:val="clear"/>
        <w:snapToGrid w:val="0"/>
        <w:spacing w:line="50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 xml:space="preserve">               项目编号：见投标人须知前附表。</w:t>
      </w:r>
    </w:p>
    <w:p w14:paraId="339A6DFF">
      <w:pPr>
        <w:shd w:val="clear"/>
        <w:snapToGrid w:val="0"/>
        <w:spacing w:line="50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 xml:space="preserve">               招 标 人：见投标人须知前附表。</w:t>
      </w:r>
    </w:p>
    <w:p w14:paraId="0B17F5F1">
      <w:pPr>
        <w:shd w:val="clear"/>
        <w:snapToGrid w:val="0"/>
        <w:spacing w:line="50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 xml:space="preserve">               </w:t>
      </w:r>
      <w:r>
        <w:rPr>
          <w:rFonts w:hint="eastAsia" w:hAnsi="宋体" w:cs="宋体"/>
          <w:color w:val="auto"/>
          <w:szCs w:val="21"/>
          <w:highlight w:val="none"/>
        </w:rPr>
        <w:t>合同履行期限</w:t>
      </w:r>
      <w:r>
        <w:rPr>
          <w:rFonts w:hint="eastAsia" w:ascii="宋体" w:hAnsi="宋体" w:cs="宋体"/>
          <w:color w:val="auto"/>
          <w:szCs w:val="21"/>
          <w:highlight w:val="none"/>
        </w:rPr>
        <w:t>：见投标人须知前附表。</w:t>
      </w:r>
    </w:p>
    <w:p w14:paraId="3D3FD474">
      <w:pPr>
        <w:shd w:val="clear"/>
        <w:snapToGrid w:val="0"/>
        <w:spacing w:line="50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地点：见投标人须知前附表。</w:t>
      </w:r>
    </w:p>
    <w:p w14:paraId="56434A09">
      <w:pPr>
        <w:shd w:val="clear"/>
        <w:snapToGrid w:val="0"/>
        <w:spacing w:line="50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1.2</w:t>
      </w:r>
      <w:r>
        <w:rPr>
          <w:rFonts w:hint="eastAsia" w:hAnsi="宋体" w:cs="宋体"/>
          <w:color w:val="auto"/>
          <w:szCs w:val="21"/>
          <w:highlight w:val="none"/>
        </w:rPr>
        <w:t>招标人联系人及电话</w:t>
      </w:r>
      <w:r>
        <w:rPr>
          <w:rFonts w:hint="eastAsia" w:ascii="宋体" w:hAnsi="宋体" w:cs="宋体"/>
          <w:color w:val="auto"/>
          <w:szCs w:val="21"/>
          <w:highlight w:val="none"/>
        </w:rPr>
        <w:t>：见投标人须知前附表。</w:t>
      </w:r>
    </w:p>
    <w:p w14:paraId="793F7CDA">
      <w:pPr>
        <w:shd w:val="clear"/>
        <w:snapToGrid w:val="0"/>
        <w:spacing w:line="500" w:lineRule="exact"/>
        <w:ind w:firstLine="525" w:firstLineChars="250"/>
        <w:jc w:val="left"/>
        <w:rPr>
          <w:rFonts w:ascii="宋体" w:hAnsi="宋体" w:cs="宋体"/>
          <w:color w:val="auto"/>
          <w:szCs w:val="21"/>
          <w:highlight w:val="none"/>
          <w:u w:val="single"/>
        </w:rPr>
      </w:pPr>
      <w:r>
        <w:rPr>
          <w:rFonts w:hint="eastAsia" w:ascii="宋体" w:hAnsi="宋体" w:cs="宋体"/>
          <w:color w:val="auto"/>
          <w:szCs w:val="21"/>
          <w:highlight w:val="none"/>
        </w:rPr>
        <w:t xml:space="preserve">  </w:t>
      </w:r>
      <w:r>
        <w:rPr>
          <w:rFonts w:hint="eastAsia" w:hAnsi="宋体" w:cs="宋体"/>
          <w:color w:val="auto"/>
          <w:szCs w:val="21"/>
          <w:highlight w:val="none"/>
        </w:rPr>
        <w:t>采购代理机构联系人及电话</w:t>
      </w:r>
      <w:r>
        <w:rPr>
          <w:rFonts w:hint="eastAsia" w:ascii="宋体" w:hAnsi="宋体" w:cs="宋体"/>
          <w:color w:val="auto"/>
          <w:szCs w:val="21"/>
          <w:highlight w:val="none"/>
        </w:rPr>
        <w:t>：见投标人须知前附表。</w:t>
      </w:r>
    </w:p>
    <w:p w14:paraId="6021C998">
      <w:pPr>
        <w:shd w:val="clear"/>
        <w:snapToGrid w:val="0"/>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1.3资金来源：见投标人须知前附表。</w:t>
      </w:r>
    </w:p>
    <w:p w14:paraId="5A5BE635">
      <w:pPr>
        <w:shd w:val="clear"/>
        <w:snapToGrid w:val="0"/>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1.4本项目</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预算：见投标人须知前附表。</w:t>
      </w:r>
    </w:p>
    <w:p w14:paraId="3B358086">
      <w:pPr>
        <w:shd w:val="clear"/>
        <w:snapToGrid w:val="0"/>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1.5本项目最高限价：见投标人须知前附表。</w:t>
      </w:r>
    </w:p>
    <w:p w14:paraId="6E9AD16F">
      <w:pPr>
        <w:shd w:val="clear"/>
        <w:snapToGrid w:val="0"/>
        <w:spacing w:line="500" w:lineRule="exact"/>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2.招标范围：</w:t>
      </w:r>
    </w:p>
    <w:p w14:paraId="5DAF78A4">
      <w:pPr>
        <w:shd w:val="clear"/>
        <w:snapToGrid w:val="0"/>
        <w:spacing w:line="50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2.1 采购内容：</w:t>
      </w:r>
      <w:r>
        <w:rPr>
          <w:rFonts w:hint="eastAsia" w:ascii="宋体" w:hAnsi="宋体" w:cs="宋体"/>
          <w:color w:val="auto"/>
          <w:szCs w:val="21"/>
          <w:highlight w:val="none"/>
          <w:lang w:val="en-US" w:eastAsia="zh-CN"/>
        </w:rPr>
        <w:t>详见《采购内容及服务要求》和合同条款内容</w:t>
      </w:r>
      <w:r>
        <w:rPr>
          <w:rFonts w:hint="eastAsia" w:ascii="宋体" w:hAnsi="宋体" w:cs="宋体"/>
          <w:color w:val="auto"/>
          <w:szCs w:val="21"/>
          <w:highlight w:val="none"/>
        </w:rPr>
        <w:t>。</w:t>
      </w:r>
    </w:p>
    <w:p w14:paraId="579F0E8B">
      <w:pPr>
        <w:shd w:val="clear"/>
        <w:snapToGrid w:val="0"/>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2.2 技术要求：</w:t>
      </w:r>
      <w:r>
        <w:rPr>
          <w:rFonts w:hint="eastAsia" w:ascii="宋体" w:hAnsi="宋体" w:cs="宋体"/>
          <w:color w:val="auto"/>
          <w:szCs w:val="21"/>
          <w:highlight w:val="none"/>
          <w:lang w:val="en-US" w:eastAsia="zh-CN"/>
        </w:rPr>
        <w:t>详见《采购内容及服务要求》和合同条款内容</w:t>
      </w:r>
      <w:r>
        <w:rPr>
          <w:rFonts w:hint="eastAsia" w:ascii="宋体" w:hAnsi="宋体" w:cs="宋体"/>
          <w:color w:val="auto"/>
          <w:szCs w:val="21"/>
          <w:highlight w:val="none"/>
        </w:rPr>
        <w:t>。</w:t>
      </w:r>
    </w:p>
    <w:p w14:paraId="68B3B4A1">
      <w:pPr>
        <w:shd w:val="clear"/>
        <w:snapToGrid w:val="0"/>
        <w:spacing w:line="500" w:lineRule="exact"/>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3.</w:t>
      </w:r>
      <w:r>
        <w:rPr>
          <w:rFonts w:hint="eastAsia" w:ascii="宋体" w:hAnsi="宋体" w:cs="宋体"/>
          <w:b/>
          <w:color w:val="auto"/>
          <w:szCs w:val="21"/>
          <w:highlight w:val="none"/>
          <w:lang w:eastAsia="zh-CN"/>
        </w:rPr>
        <w:t>标段</w:t>
      </w:r>
      <w:r>
        <w:rPr>
          <w:rFonts w:hint="eastAsia" w:ascii="宋体" w:hAnsi="宋体" w:cs="宋体"/>
          <w:b/>
          <w:color w:val="auto"/>
          <w:szCs w:val="21"/>
          <w:highlight w:val="none"/>
        </w:rPr>
        <w:t>划分：</w:t>
      </w:r>
    </w:p>
    <w:p w14:paraId="743025D5">
      <w:pPr>
        <w:shd w:val="clear"/>
        <w:snapToGrid w:val="0"/>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3.1本项目划分：见投标人须知前附表。</w:t>
      </w:r>
    </w:p>
    <w:p w14:paraId="147F4A7B">
      <w:pPr>
        <w:shd w:val="clear"/>
        <w:snapToGrid w:val="0"/>
        <w:spacing w:line="500" w:lineRule="exact"/>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4.招标方式：</w:t>
      </w:r>
    </w:p>
    <w:p w14:paraId="77B7E39E">
      <w:pPr>
        <w:shd w:val="clear"/>
        <w:snapToGrid w:val="0"/>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4.1本项目招标方式：见投标人须知前附表。</w:t>
      </w:r>
    </w:p>
    <w:p w14:paraId="1BF5A421">
      <w:pPr>
        <w:shd w:val="clear"/>
        <w:snapToGrid w:val="0"/>
        <w:spacing w:line="500" w:lineRule="exact"/>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5.计价方式：</w:t>
      </w:r>
    </w:p>
    <w:p w14:paraId="54EEC9AF">
      <w:pPr>
        <w:shd w:val="clear"/>
        <w:snapToGrid w:val="0"/>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5.1本次招标项目合同采用</w:t>
      </w:r>
      <w:r>
        <w:rPr>
          <w:rFonts w:hint="eastAsia" w:ascii="宋体" w:hAnsi="宋体" w:cs="宋体"/>
          <w:color w:val="auto"/>
          <w:szCs w:val="21"/>
          <w:highlight w:val="none"/>
          <w:u w:val="single"/>
        </w:rPr>
        <w:t xml:space="preserve">  固定</w:t>
      </w:r>
      <w:r>
        <w:rPr>
          <w:rFonts w:hint="eastAsia" w:ascii="宋体" w:hAnsi="宋体" w:cs="宋体"/>
          <w:color w:val="auto"/>
          <w:szCs w:val="21"/>
          <w:highlight w:val="none"/>
          <w:u w:val="single"/>
          <w:lang w:val="en-US" w:eastAsia="zh-CN"/>
        </w:rPr>
        <w:t>总价</w:t>
      </w:r>
      <w:r>
        <w:rPr>
          <w:rFonts w:hint="eastAsia" w:ascii="宋体" w:hAnsi="宋体" w:cs="宋体"/>
          <w:color w:val="auto"/>
          <w:szCs w:val="21"/>
          <w:highlight w:val="none"/>
          <w:u w:val="single"/>
        </w:rPr>
        <w:t xml:space="preserve"> 。</w:t>
      </w:r>
    </w:p>
    <w:p w14:paraId="7E3403C8">
      <w:pPr>
        <w:shd w:val="clear"/>
        <w:snapToGrid w:val="0"/>
        <w:spacing w:line="500" w:lineRule="exact"/>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6.评标办法：</w:t>
      </w:r>
    </w:p>
    <w:p w14:paraId="2CD91402">
      <w:pPr>
        <w:shd w:val="clear"/>
        <w:snapToGrid w:val="0"/>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6.1本次招标评标采用</w:t>
      </w:r>
      <w:r>
        <w:rPr>
          <w:rFonts w:hint="eastAsia" w:ascii="宋体" w:hAnsi="宋体" w:cs="宋体"/>
          <w:color w:val="auto"/>
          <w:szCs w:val="21"/>
          <w:highlight w:val="none"/>
          <w:u w:val="single"/>
        </w:rPr>
        <w:t xml:space="preserve">  综合评分法  </w:t>
      </w:r>
      <w:r>
        <w:rPr>
          <w:rFonts w:hint="eastAsia" w:ascii="宋体" w:hAnsi="宋体" w:cs="宋体"/>
          <w:color w:val="auto"/>
          <w:szCs w:val="21"/>
          <w:highlight w:val="none"/>
        </w:rPr>
        <w:t>（详见第三章评标办法）</w:t>
      </w:r>
    </w:p>
    <w:p w14:paraId="0A3A889A">
      <w:pPr>
        <w:shd w:val="clear"/>
        <w:snapToGrid w:val="0"/>
        <w:spacing w:line="500" w:lineRule="exact"/>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7.投标人资格：</w:t>
      </w:r>
    </w:p>
    <w:p w14:paraId="4F1868DC">
      <w:pPr>
        <w:shd w:val="clear"/>
        <w:snapToGrid w:val="0"/>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7.1</w:t>
      </w:r>
      <w:r>
        <w:rPr>
          <w:rFonts w:hint="eastAsia" w:ascii="宋体"/>
          <w:color w:val="auto"/>
          <w:szCs w:val="21"/>
          <w:highlight w:val="none"/>
        </w:rPr>
        <w:t>详见投标人须知前附表。</w:t>
      </w:r>
    </w:p>
    <w:p w14:paraId="23F6D567">
      <w:pPr>
        <w:shd w:val="clear"/>
        <w:snapToGrid w:val="0"/>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7.2根据电子化采购的特点，投标人参加本项目投标，投标人参加本项目投标，需在安徽省公共资源交易市场主体库（http://61.190.70.20/ahggfwpt-zhutiku）登记并进行信息确认提交。</w:t>
      </w:r>
    </w:p>
    <w:p w14:paraId="7FE6ED3B">
      <w:pPr>
        <w:shd w:val="clear"/>
        <w:snapToGrid w:val="0"/>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7.3投标人必须确保自己在信息库中注册的信息真实、准确，并保证投标文件中的有关信息与库中的信息相一致。否则，投标人因此蒙受损失，招标人概不负责。</w:t>
      </w:r>
    </w:p>
    <w:p w14:paraId="29A9C6F7">
      <w:pPr>
        <w:shd w:val="clear"/>
        <w:spacing w:line="500" w:lineRule="exact"/>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8. 投标费用</w:t>
      </w:r>
    </w:p>
    <w:p w14:paraId="05F49D8C">
      <w:pPr>
        <w:shd w:val="clear"/>
        <w:snapToGrid w:val="0"/>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8.1投标人准备和参加投标活动发生的费用自理。</w:t>
      </w:r>
    </w:p>
    <w:p w14:paraId="50E8D4F7">
      <w:pPr>
        <w:shd w:val="clear"/>
        <w:spacing w:line="500" w:lineRule="exact"/>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9.</w:t>
      </w:r>
      <w:bookmarkStart w:id="40" w:name="_Toc152045539"/>
      <w:bookmarkStart w:id="41" w:name="_Toc247592876"/>
      <w:bookmarkStart w:id="42" w:name="_Toc152042315"/>
      <w:bookmarkStart w:id="43" w:name="_Toc296602429"/>
      <w:bookmarkStart w:id="44" w:name="_Toc247527563"/>
      <w:bookmarkStart w:id="45" w:name="_Toc247513962"/>
      <w:bookmarkStart w:id="46" w:name="_Toc144974507"/>
      <w:r>
        <w:rPr>
          <w:rFonts w:hint="eastAsia" w:ascii="宋体" w:hAnsi="宋体" w:cs="宋体"/>
          <w:b/>
          <w:color w:val="auto"/>
          <w:szCs w:val="21"/>
          <w:highlight w:val="none"/>
        </w:rPr>
        <w:t xml:space="preserve"> 踏勘现场</w:t>
      </w:r>
      <w:bookmarkEnd w:id="40"/>
      <w:bookmarkEnd w:id="41"/>
      <w:bookmarkEnd w:id="42"/>
      <w:bookmarkEnd w:id="43"/>
      <w:bookmarkEnd w:id="44"/>
      <w:bookmarkEnd w:id="45"/>
      <w:bookmarkEnd w:id="46"/>
    </w:p>
    <w:p w14:paraId="7BEAE9AA">
      <w:pPr>
        <w:shd w:val="clear"/>
        <w:spacing w:line="500" w:lineRule="exact"/>
        <w:ind w:firstLine="409" w:firstLineChars="195"/>
        <w:jc w:val="left"/>
        <w:rPr>
          <w:rFonts w:ascii="宋体" w:hAnsi="宋体" w:cs="宋体"/>
          <w:color w:val="auto"/>
          <w:szCs w:val="21"/>
          <w:highlight w:val="none"/>
        </w:rPr>
      </w:pPr>
      <w:r>
        <w:rPr>
          <w:rFonts w:hint="eastAsia" w:ascii="宋体" w:hAnsi="宋体" w:cs="宋体"/>
          <w:color w:val="auto"/>
          <w:szCs w:val="21"/>
          <w:highlight w:val="none"/>
        </w:rPr>
        <w:t xml:space="preserve"> 9.1 投标人须知前附表规定组织踏勘现场的，招标人按投标人须知前附表规定的时间、地点组织投标人踏勘项目现场。 </w:t>
      </w:r>
    </w:p>
    <w:p w14:paraId="14CABEC4">
      <w:pPr>
        <w:shd w:val="clear"/>
        <w:spacing w:line="500" w:lineRule="exact"/>
        <w:ind w:firstLine="409" w:firstLineChars="195"/>
        <w:jc w:val="left"/>
        <w:rPr>
          <w:rFonts w:ascii="宋体" w:hAnsi="宋体" w:cs="宋体"/>
          <w:color w:val="auto"/>
          <w:szCs w:val="21"/>
          <w:highlight w:val="none"/>
        </w:rPr>
      </w:pPr>
      <w:r>
        <w:rPr>
          <w:rFonts w:hint="eastAsia" w:ascii="宋体" w:hAnsi="宋体" w:cs="宋体"/>
          <w:color w:val="auto"/>
          <w:szCs w:val="21"/>
          <w:highlight w:val="none"/>
        </w:rPr>
        <w:t>9.2 投标人踏勘现场发生的费用自理。</w:t>
      </w:r>
    </w:p>
    <w:p w14:paraId="109DD9CD">
      <w:pPr>
        <w:shd w:val="clear"/>
        <w:spacing w:line="500" w:lineRule="exact"/>
        <w:ind w:firstLine="409" w:firstLineChars="195"/>
        <w:jc w:val="left"/>
        <w:rPr>
          <w:rFonts w:ascii="宋体" w:hAnsi="宋体" w:cs="宋体"/>
          <w:color w:val="auto"/>
          <w:szCs w:val="21"/>
          <w:highlight w:val="none"/>
        </w:rPr>
      </w:pPr>
      <w:r>
        <w:rPr>
          <w:rFonts w:hint="eastAsia" w:ascii="宋体" w:hAnsi="宋体" w:cs="宋体"/>
          <w:color w:val="auto"/>
          <w:szCs w:val="21"/>
          <w:highlight w:val="none"/>
        </w:rPr>
        <w:t>9.3 除招标人的原因外，投标人自行负责在踏勘现场中所发生的人员伤亡和财产损失。</w:t>
      </w:r>
    </w:p>
    <w:p w14:paraId="6F4DACA0">
      <w:pPr>
        <w:shd w:val="clear"/>
        <w:spacing w:line="500" w:lineRule="exact"/>
        <w:ind w:firstLine="409" w:firstLineChars="195"/>
        <w:jc w:val="left"/>
        <w:rPr>
          <w:rFonts w:ascii="宋体" w:hAnsi="宋体" w:cs="宋体"/>
          <w:color w:val="auto"/>
          <w:szCs w:val="21"/>
          <w:highlight w:val="none"/>
        </w:rPr>
      </w:pPr>
      <w:r>
        <w:rPr>
          <w:rFonts w:hint="eastAsia" w:ascii="宋体" w:hAnsi="宋体" w:cs="宋体"/>
          <w:color w:val="auto"/>
          <w:szCs w:val="21"/>
          <w:highlight w:val="none"/>
        </w:rPr>
        <w:t>9.4 招标人在踏勘现场中介绍的场地和相关的周边环境情况，供投标人在编制投标文件时参考，招标人不对投标人据此作出的判断和决策负责。</w:t>
      </w:r>
      <w:bookmarkStart w:id="47" w:name="_Toc144974508"/>
      <w:bookmarkStart w:id="48" w:name="_Toc152045540"/>
      <w:bookmarkStart w:id="49" w:name="_Toc152042316"/>
      <w:bookmarkStart w:id="50" w:name="_Toc247513963"/>
      <w:bookmarkStart w:id="51" w:name="_Toc296602430"/>
      <w:bookmarkStart w:id="52" w:name="_Toc247527564"/>
      <w:bookmarkStart w:id="53" w:name="_Toc247592877"/>
    </w:p>
    <w:p w14:paraId="630E94F2">
      <w:pPr>
        <w:shd w:val="clear"/>
        <w:spacing w:line="500" w:lineRule="exact"/>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10. 投标预备会</w:t>
      </w:r>
      <w:bookmarkEnd w:id="47"/>
      <w:bookmarkEnd w:id="48"/>
      <w:bookmarkEnd w:id="49"/>
      <w:bookmarkEnd w:id="50"/>
      <w:bookmarkEnd w:id="51"/>
      <w:bookmarkEnd w:id="52"/>
      <w:bookmarkEnd w:id="53"/>
      <w:r>
        <w:rPr>
          <w:rFonts w:hint="eastAsia" w:ascii="宋体" w:hAnsi="宋体" w:cs="宋体"/>
          <w:b/>
          <w:color w:val="auto"/>
          <w:szCs w:val="21"/>
          <w:highlight w:val="none"/>
        </w:rPr>
        <w:t>（本项目不采用）</w:t>
      </w:r>
    </w:p>
    <w:p w14:paraId="3E7ACE74">
      <w:pPr>
        <w:shd w:val="clear"/>
        <w:spacing w:line="500" w:lineRule="exact"/>
        <w:ind w:firstLine="409" w:firstLineChars="195"/>
        <w:rPr>
          <w:rFonts w:ascii="宋体"/>
          <w:color w:val="auto"/>
          <w:szCs w:val="21"/>
          <w:highlight w:val="none"/>
        </w:rPr>
      </w:pPr>
      <w:r>
        <w:rPr>
          <w:rFonts w:hint="eastAsia" w:ascii="宋体"/>
          <w:color w:val="auto"/>
          <w:szCs w:val="21"/>
          <w:highlight w:val="none"/>
        </w:rPr>
        <w:t>10.1投标人须知前附表规定召开投标预备会的，招标人按投标人须知前附表规定的时间和地点召开投标预备会，澄清投标人提出的问题。</w:t>
      </w:r>
    </w:p>
    <w:p w14:paraId="65F36A77">
      <w:pPr>
        <w:shd w:val="clear"/>
        <w:spacing w:line="500" w:lineRule="exact"/>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11. 联合投标(本项目不采用）</w:t>
      </w:r>
    </w:p>
    <w:p w14:paraId="1D6F1746">
      <w:pPr>
        <w:shd w:val="clear"/>
        <w:spacing w:line="500" w:lineRule="exact"/>
        <w:ind w:firstLine="409" w:firstLineChars="195"/>
        <w:rPr>
          <w:rFonts w:ascii="宋体"/>
          <w:color w:val="auto"/>
          <w:szCs w:val="21"/>
          <w:highlight w:val="none"/>
        </w:rPr>
      </w:pPr>
      <w:r>
        <w:rPr>
          <w:rFonts w:hint="eastAsia" w:ascii="宋体" w:hAnsi="宋体" w:cs="宋体"/>
          <w:color w:val="auto"/>
          <w:szCs w:val="21"/>
          <w:highlight w:val="none"/>
        </w:rPr>
        <w:t xml:space="preserve">11.1 </w:t>
      </w:r>
      <w:r>
        <w:rPr>
          <w:rFonts w:hint="eastAsia" w:ascii="宋体"/>
          <w:bCs/>
          <w:color w:val="auto"/>
          <w:szCs w:val="21"/>
          <w:highlight w:val="none"/>
        </w:rPr>
        <w:t>本项</w:t>
      </w:r>
      <w:r>
        <w:rPr>
          <w:rFonts w:hint="eastAsia"/>
          <w:bCs/>
          <w:color w:val="auto"/>
          <w:szCs w:val="21"/>
          <w:highlight w:val="none"/>
        </w:rPr>
        <w:t>目不接受联合体投标。</w:t>
      </w:r>
    </w:p>
    <w:p w14:paraId="22339CE7">
      <w:pPr>
        <w:shd w:val="clear"/>
        <w:spacing w:line="500" w:lineRule="exact"/>
        <w:ind w:firstLine="413" w:firstLineChars="196"/>
        <w:jc w:val="left"/>
        <w:rPr>
          <w:rFonts w:ascii="宋体" w:hAnsi="宋体" w:cs="宋体"/>
          <w:b/>
          <w:color w:val="auto"/>
          <w:szCs w:val="21"/>
          <w:highlight w:val="none"/>
        </w:rPr>
      </w:pPr>
      <w:r>
        <w:rPr>
          <w:rFonts w:hint="eastAsia" w:ascii="宋体" w:hAnsi="宋体" w:cs="宋体"/>
          <w:b/>
          <w:color w:val="auto"/>
          <w:szCs w:val="21"/>
          <w:highlight w:val="none"/>
        </w:rPr>
        <w:t>12.招标代理费</w:t>
      </w:r>
    </w:p>
    <w:p w14:paraId="2F16FCB9">
      <w:pPr>
        <w:shd w:val="clear"/>
        <w:spacing w:line="500" w:lineRule="exact"/>
        <w:ind w:firstLine="210" w:firstLineChars="100"/>
        <w:jc w:val="left"/>
        <w:rPr>
          <w:rFonts w:ascii="宋体"/>
          <w:color w:val="auto"/>
          <w:szCs w:val="21"/>
          <w:highlight w:val="none"/>
        </w:rPr>
      </w:pPr>
      <w:r>
        <w:rPr>
          <w:rFonts w:hint="eastAsia" w:ascii="宋体"/>
          <w:bCs/>
          <w:color w:val="auto"/>
          <w:szCs w:val="21"/>
          <w:highlight w:val="none"/>
        </w:rPr>
        <w:t xml:space="preserve">  12.1</w:t>
      </w:r>
      <w:r>
        <w:rPr>
          <w:rFonts w:ascii="宋体"/>
          <w:bCs/>
          <w:color w:val="auto"/>
          <w:szCs w:val="21"/>
          <w:highlight w:val="none"/>
        </w:rPr>
        <w:t xml:space="preserve"> </w:t>
      </w:r>
      <w:r>
        <w:rPr>
          <w:rFonts w:hint="eastAsia" w:ascii="宋体"/>
          <w:bCs/>
          <w:color w:val="auto"/>
          <w:szCs w:val="21"/>
          <w:highlight w:val="none"/>
        </w:rPr>
        <w:t>招标代理费：</w:t>
      </w:r>
      <w:r>
        <w:rPr>
          <w:rFonts w:hint="eastAsia" w:ascii="宋体"/>
          <w:color w:val="auto"/>
          <w:szCs w:val="21"/>
          <w:highlight w:val="none"/>
        </w:rPr>
        <w:t>见投标人须知前附表。</w:t>
      </w:r>
    </w:p>
    <w:p w14:paraId="7FA2DAC6">
      <w:pPr>
        <w:shd w:val="clear"/>
        <w:spacing w:line="500" w:lineRule="exact"/>
        <w:ind w:firstLine="420" w:firstLineChars="200"/>
        <w:jc w:val="left"/>
        <w:rPr>
          <w:rFonts w:ascii="宋体"/>
          <w:color w:val="auto"/>
          <w:szCs w:val="21"/>
          <w:highlight w:val="none"/>
        </w:rPr>
      </w:pPr>
      <w:r>
        <w:rPr>
          <w:rFonts w:hint="eastAsia" w:ascii="宋体"/>
          <w:bCs/>
          <w:color w:val="auto"/>
          <w:szCs w:val="21"/>
          <w:highlight w:val="none"/>
        </w:rPr>
        <w:t>12.2</w:t>
      </w:r>
      <w:r>
        <w:rPr>
          <w:rFonts w:ascii="宋体"/>
          <w:bCs/>
          <w:color w:val="auto"/>
          <w:szCs w:val="21"/>
          <w:highlight w:val="none"/>
        </w:rPr>
        <w:t xml:space="preserve"> </w:t>
      </w:r>
      <w:r>
        <w:rPr>
          <w:rFonts w:hint="eastAsia" w:ascii="宋体"/>
          <w:bCs/>
          <w:color w:val="auto"/>
          <w:szCs w:val="21"/>
          <w:highlight w:val="none"/>
        </w:rPr>
        <w:t>专家评审劳务费：</w:t>
      </w:r>
      <w:r>
        <w:rPr>
          <w:rFonts w:hint="eastAsia" w:ascii="宋体"/>
          <w:color w:val="auto"/>
          <w:szCs w:val="21"/>
          <w:highlight w:val="none"/>
        </w:rPr>
        <w:t>见投标人须知前附表。</w:t>
      </w:r>
    </w:p>
    <w:p w14:paraId="026F0C25">
      <w:pPr>
        <w:shd w:val="clear"/>
        <w:spacing w:line="500" w:lineRule="exact"/>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13.投标人应注意的事项</w:t>
      </w:r>
    </w:p>
    <w:p w14:paraId="633995C1">
      <w:pPr>
        <w:shd w:val="clea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322EE48C">
      <w:pPr>
        <w:shd w:val="clea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13.2投标人对采购内容中规定的技术参数、规格、数量和要求等必须最大限度的满足招标文件的相关要求。</w:t>
      </w:r>
    </w:p>
    <w:p w14:paraId="7EC924CF">
      <w:pPr>
        <w:shd w:val="clea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13.3推荐品牌有助于投标人选择所投产品，仅供参考，并无限制性，可以选择性能不低于推荐品牌的产品，但所投产品的技术参数，要最大限度满足招标文件提供的详细参数。</w:t>
      </w:r>
    </w:p>
    <w:p w14:paraId="5D7A8DD2">
      <w:pPr>
        <w:shd w:val="clear"/>
        <w:spacing w:line="500" w:lineRule="exact"/>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13.4 所有投标人的投标保证金都应在投标文件规定的投标保证金缴纳截止时间前缴纳，以资金到账时间为准</w:t>
      </w:r>
      <w:r>
        <w:rPr>
          <w:rFonts w:hint="eastAsia" w:ascii="宋体" w:hAnsi="宋体" w:cs="宋体"/>
          <w:b/>
          <w:color w:val="auto"/>
          <w:szCs w:val="21"/>
          <w:highlight w:val="none"/>
        </w:rPr>
        <w:t>（采用支票、汇票、本票、保函等的，以支票、汇票、本票、保函等递交的时间为准）</w:t>
      </w:r>
      <w:r>
        <w:rPr>
          <w:rFonts w:hint="eastAsia" w:ascii="宋体" w:hAnsi="宋体" w:cs="宋体"/>
          <w:color w:val="auto"/>
          <w:szCs w:val="21"/>
          <w:highlight w:val="none"/>
        </w:rPr>
        <w:t>。</w:t>
      </w:r>
    </w:p>
    <w:p w14:paraId="14CC6011">
      <w:pPr>
        <w:shd w:val="clea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13.5</w:t>
      </w:r>
      <w:r>
        <w:rPr>
          <w:rFonts w:hint="eastAsia" w:ascii="宋体" w:hAnsi="宋体" w:cs="宋体"/>
          <w:bCs/>
          <w:color w:val="auto"/>
          <w:szCs w:val="21"/>
          <w:highlight w:val="none"/>
        </w:rPr>
        <w:t>单位负责人为同一人或者存在直接控股、管理关系的不同投标人，不得参加同一合同项下的采购活动。</w:t>
      </w:r>
      <w:r>
        <w:rPr>
          <w:rFonts w:hint="eastAsia" w:ascii="宋体" w:hAnsi="宋体" w:cs="宋体"/>
          <w:color w:val="auto"/>
          <w:szCs w:val="21"/>
          <w:highlight w:val="none"/>
        </w:rPr>
        <w:t>为采购项目提供整体设计、规范编制或者项目管理、监理、检测等服务的投标人，不得再参加该采购项目的其他采购活动。</w:t>
      </w:r>
    </w:p>
    <w:p w14:paraId="3DB6AC0F">
      <w:pPr>
        <w:shd w:val="clear"/>
        <w:spacing w:line="500" w:lineRule="exact"/>
        <w:ind w:firstLine="417" w:firstLineChars="199"/>
        <w:jc w:val="left"/>
        <w:rPr>
          <w:rFonts w:ascii="宋体" w:hAnsi="宋体" w:cs="宋体"/>
          <w:color w:val="auto"/>
          <w:szCs w:val="21"/>
          <w:highlight w:val="none"/>
        </w:rPr>
      </w:pPr>
      <w:r>
        <w:rPr>
          <w:rFonts w:hint="eastAsia" w:ascii="宋体" w:hAnsi="宋体" w:cs="宋体"/>
          <w:color w:val="auto"/>
          <w:szCs w:val="21"/>
          <w:highlight w:val="none"/>
        </w:rPr>
        <w:t>13.6投标人被视为充分熟悉本招标项目所在地的与履行合同有关的各种情况，包括但不限于：</w:t>
      </w:r>
    </w:p>
    <w:p w14:paraId="5F0638E9">
      <w:pPr>
        <w:shd w:val="clear"/>
        <w:spacing w:line="500" w:lineRule="exact"/>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（1）国家对本次投标货物和服务的生产、安装调试、验收、维修等有关法律、法规及行业管理标准；</w:t>
      </w:r>
    </w:p>
    <w:p w14:paraId="54455928">
      <w:pPr>
        <w:shd w:val="clear"/>
        <w:spacing w:line="500" w:lineRule="exact"/>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（2）安徽省及滁州市等有关管理部门的相关规定；</w:t>
      </w:r>
    </w:p>
    <w:p w14:paraId="261C232D">
      <w:pPr>
        <w:shd w:val="clear"/>
        <w:spacing w:line="500" w:lineRule="exact"/>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（3）招标人的相关场地情况、基础建设、电力供应情况及相关设计标准。</w:t>
      </w:r>
    </w:p>
    <w:p w14:paraId="174A70ED">
      <w:pPr>
        <w:shd w:val="clear"/>
        <w:spacing w:line="500" w:lineRule="exact"/>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本招标文件不再对上述情况进行描述。</w:t>
      </w:r>
    </w:p>
    <w:p w14:paraId="244FB601">
      <w:pPr>
        <w:shd w:val="clea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13.7凡投标人在我市公共资源交易活动中出现违法违规、破坏市场秩序等不良行为且被监管部门处罚的，一律在滁州市公共资源交易网等相关网站曝光。</w:t>
      </w:r>
    </w:p>
    <w:p w14:paraId="11122E92">
      <w:pPr>
        <w:shd w:val="clea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13.8投标人的不良行为、失信行为及行政处罚等效力不因企业名称的变更而改变。</w:t>
      </w:r>
    </w:p>
    <w:p w14:paraId="527572FC">
      <w:pPr>
        <w:shd w:val="clea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13.9中标候选人无正当理由放弃中标候选人资格的，其保证金将不予退还，并被记不良信息记录。</w:t>
      </w:r>
    </w:p>
    <w:p w14:paraId="2D596CCF">
      <w:pPr>
        <w:pStyle w:val="34"/>
        <w:shd w:val="clear"/>
        <w:spacing w:after="0" w:line="500" w:lineRule="exact"/>
        <w:ind w:left="0" w:leftChars="0"/>
        <w:jc w:val="left"/>
        <w:rPr>
          <w:rFonts w:ascii="宋体" w:hAnsi="宋体" w:cs="宋体"/>
          <w:color w:val="auto"/>
          <w:sz w:val="21"/>
          <w:szCs w:val="21"/>
          <w:highlight w:val="none"/>
        </w:rPr>
      </w:pPr>
      <w:r>
        <w:rPr>
          <w:rFonts w:hint="eastAsia" w:ascii="宋体" w:hAnsi="宋体" w:cs="宋体"/>
          <w:color w:val="auto"/>
          <w:sz w:val="21"/>
          <w:szCs w:val="21"/>
          <w:highlight w:val="none"/>
        </w:rPr>
        <w:t>13.10若存在不予退还投标人投标保证金的情形，银行转账的，由市公共资源交易中心代为收缴，递交保函、支票、汇票、本票的，由招标人予以追缴。</w:t>
      </w:r>
    </w:p>
    <w:p w14:paraId="6BFFABED">
      <w:pPr>
        <w:shd w:val="clear"/>
        <w:spacing w:line="500" w:lineRule="exact"/>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14.保密</w:t>
      </w:r>
    </w:p>
    <w:p w14:paraId="2A271EAC">
      <w:pPr>
        <w:pStyle w:val="34"/>
        <w:shd w:val="clear"/>
        <w:spacing w:after="0" w:line="500" w:lineRule="exact"/>
        <w:ind w:left="0" w:leftChars="0"/>
        <w:jc w:val="left"/>
        <w:rPr>
          <w:rFonts w:ascii="宋体" w:hAnsi="宋体" w:cs="宋体"/>
          <w:color w:val="auto"/>
          <w:sz w:val="21"/>
          <w:szCs w:val="21"/>
          <w:highlight w:val="none"/>
        </w:rPr>
      </w:pPr>
      <w:r>
        <w:rPr>
          <w:rFonts w:hint="eastAsia" w:ascii="宋体" w:hAnsi="宋体" w:cs="宋体"/>
          <w:color w:val="auto"/>
          <w:sz w:val="21"/>
          <w:szCs w:val="21"/>
          <w:highlight w:val="none"/>
        </w:rPr>
        <w:t xml:space="preserve">参与招标投标活动的各方应对招标文件和投标文件中的商业和技术等秘密保密，违者应对由此造成的后果承担法律责任。 </w:t>
      </w:r>
    </w:p>
    <w:p w14:paraId="3656C44F">
      <w:pPr>
        <w:shd w:val="clear"/>
        <w:spacing w:beforeLines="50" w:afterLines="50" w:line="500" w:lineRule="exact"/>
        <w:jc w:val="center"/>
        <w:rPr>
          <w:rFonts w:ascii="宋体" w:hAnsi="宋体" w:cs="宋体"/>
          <w:b/>
          <w:color w:val="auto"/>
          <w:sz w:val="28"/>
          <w:szCs w:val="28"/>
          <w:highlight w:val="none"/>
        </w:rPr>
      </w:pPr>
      <w:bookmarkStart w:id="54" w:name="_Toc449028868"/>
      <w:r>
        <w:rPr>
          <w:rFonts w:hint="eastAsia" w:ascii="宋体" w:hAnsi="宋体" w:cs="宋体"/>
          <w:b/>
          <w:color w:val="auto"/>
          <w:sz w:val="28"/>
          <w:szCs w:val="28"/>
          <w:highlight w:val="none"/>
        </w:rPr>
        <w:t>（二）</w:t>
      </w:r>
      <w:bookmarkEnd w:id="54"/>
      <w:r>
        <w:rPr>
          <w:rFonts w:hint="eastAsia" w:ascii="宋体" w:hAnsi="宋体" w:cs="宋体"/>
          <w:b/>
          <w:color w:val="auto"/>
          <w:sz w:val="28"/>
          <w:szCs w:val="28"/>
          <w:highlight w:val="none"/>
        </w:rPr>
        <w:t>招标文件</w:t>
      </w:r>
    </w:p>
    <w:p w14:paraId="155C7E16">
      <w:pPr>
        <w:shd w:val="clear"/>
        <w:spacing w:line="500" w:lineRule="exact"/>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15. 招标文件的编制依据</w:t>
      </w:r>
    </w:p>
    <w:p w14:paraId="53F2C54C">
      <w:pPr>
        <w:shd w:val="clear"/>
        <w:spacing w:line="500" w:lineRule="exact"/>
        <w:ind w:firstLine="420" w:firstLineChars="200"/>
        <w:rPr>
          <w:rFonts w:ascii="宋体"/>
          <w:color w:val="auto"/>
          <w:szCs w:val="21"/>
          <w:highlight w:val="none"/>
        </w:rPr>
      </w:pPr>
      <w:r>
        <w:rPr>
          <w:rFonts w:hint="eastAsia" w:ascii="宋体"/>
          <w:color w:val="auto"/>
          <w:szCs w:val="21"/>
          <w:highlight w:val="none"/>
        </w:rPr>
        <w:t>根据</w:t>
      </w:r>
      <w:r>
        <w:rPr>
          <w:rFonts w:hint="eastAsia"/>
          <w:color w:val="auto"/>
          <w:highlight w:val="none"/>
        </w:rPr>
        <w:t>《中华人民共和国招标投标法》、《中华人民共和国招标投标法实施条例》</w:t>
      </w:r>
      <w:r>
        <w:rPr>
          <w:rFonts w:hint="eastAsia" w:ascii="宋体"/>
          <w:color w:val="auto"/>
          <w:szCs w:val="21"/>
          <w:highlight w:val="none"/>
        </w:rPr>
        <w:t>和</w:t>
      </w:r>
      <w:r>
        <w:rPr>
          <w:rFonts w:hint="eastAsia"/>
          <w:color w:val="auto"/>
          <w:highlight w:val="none"/>
        </w:rPr>
        <w:t>《中华人民共和国民法典》</w:t>
      </w:r>
      <w:r>
        <w:rPr>
          <w:rFonts w:hint="eastAsia" w:ascii="宋体"/>
          <w:color w:val="auto"/>
          <w:spacing w:val="-2"/>
          <w:szCs w:val="21"/>
          <w:highlight w:val="none"/>
        </w:rPr>
        <w:t>等相关法律法规和规章及部、省、市级规范性文件的规定，编制本招标文件。</w:t>
      </w:r>
    </w:p>
    <w:p w14:paraId="24DA610A">
      <w:pPr>
        <w:shd w:val="clear"/>
        <w:spacing w:line="500" w:lineRule="exact"/>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16. 招标文件的组成</w:t>
      </w:r>
    </w:p>
    <w:p w14:paraId="679E8FAD">
      <w:pPr>
        <w:shd w:val="clea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16.1 招标文件包括内容：</w:t>
      </w:r>
    </w:p>
    <w:p w14:paraId="7FEDDABC">
      <w:pPr>
        <w:shd w:val="clear"/>
        <w:spacing w:line="500" w:lineRule="exact"/>
        <w:ind w:firstLine="1470" w:firstLineChars="700"/>
        <w:jc w:val="left"/>
        <w:rPr>
          <w:rFonts w:ascii="宋体" w:hAnsi="宋体" w:cs="宋体"/>
          <w:color w:val="auto"/>
          <w:szCs w:val="21"/>
          <w:highlight w:val="none"/>
        </w:rPr>
      </w:pPr>
      <w:r>
        <w:rPr>
          <w:rFonts w:hint="eastAsia" w:ascii="宋体" w:hAnsi="宋体" w:cs="宋体"/>
          <w:color w:val="auto"/>
          <w:szCs w:val="21"/>
          <w:highlight w:val="none"/>
        </w:rPr>
        <w:t>第一章  招标公告</w:t>
      </w:r>
    </w:p>
    <w:p w14:paraId="0A172FD2">
      <w:pPr>
        <w:shd w:val="clear"/>
        <w:spacing w:line="500" w:lineRule="exact"/>
        <w:ind w:firstLine="1470" w:firstLineChars="700"/>
        <w:jc w:val="left"/>
        <w:rPr>
          <w:rFonts w:ascii="宋体" w:hAnsi="宋体" w:cs="宋体"/>
          <w:color w:val="auto"/>
          <w:szCs w:val="21"/>
          <w:highlight w:val="none"/>
        </w:rPr>
      </w:pPr>
      <w:r>
        <w:rPr>
          <w:rFonts w:hint="eastAsia" w:ascii="宋体" w:hAnsi="宋体" w:cs="宋体"/>
          <w:color w:val="auto"/>
          <w:szCs w:val="21"/>
          <w:highlight w:val="none"/>
        </w:rPr>
        <w:t>第二章  投标人须知</w:t>
      </w:r>
    </w:p>
    <w:p w14:paraId="173AFCCE">
      <w:pPr>
        <w:shd w:val="clear"/>
        <w:spacing w:line="500" w:lineRule="exact"/>
        <w:ind w:firstLine="1470" w:firstLineChars="700"/>
        <w:jc w:val="left"/>
        <w:rPr>
          <w:rFonts w:ascii="宋体" w:hAnsi="宋体" w:cs="宋体"/>
          <w:color w:val="auto"/>
          <w:szCs w:val="21"/>
          <w:highlight w:val="none"/>
        </w:rPr>
      </w:pPr>
      <w:r>
        <w:rPr>
          <w:rFonts w:hint="eastAsia" w:ascii="宋体" w:hAnsi="宋体" w:cs="宋体"/>
          <w:color w:val="auto"/>
          <w:szCs w:val="21"/>
          <w:highlight w:val="none"/>
        </w:rPr>
        <w:t>第三章  评标办法</w:t>
      </w:r>
    </w:p>
    <w:p w14:paraId="639A3735">
      <w:pPr>
        <w:shd w:val="clear"/>
        <w:spacing w:line="500" w:lineRule="exact"/>
        <w:ind w:firstLine="1470" w:firstLineChars="700"/>
        <w:jc w:val="left"/>
        <w:rPr>
          <w:rFonts w:ascii="宋体" w:hAnsi="宋体" w:cs="宋体"/>
          <w:color w:val="auto"/>
          <w:szCs w:val="21"/>
          <w:highlight w:val="none"/>
        </w:rPr>
      </w:pPr>
      <w:r>
        <w:rPr>
          <w:rFonts w:hint="eastAsia" w:ascii="宋体" w:hAnsi="宋体" w:cs="宋体"/>
          <w:color w:val="auto"/>
          <w:szCs w:val="21"/>
          <w:highlight w:val="none"/>
        </w:rPr>
        <w:t>第四章  采购内容</w:t>
      </w:r>
      <w:r>
        <w:rPr>
          <w:rFonts w:hint="eastAsia" w:ascii="宋体" w:hAnsi="宋体" w:cs="宋体"/>
          <w:color w:val="auto"/>
          <w:szCs w:val="21"/>
          <w:highlight w:val="none"/>
          <w:lang w:val="en-US" w:eastAsia="zh-CN"/>
        </w:rPr>
        <w:t>及服务</w:t>
      </w:r>
      <w:r>
        <w:rPr>
          <w:rFonts w:hint="eastAsia" w:ascii="宋体" w:hAnsi="宋体" w:cs="宋体"/>
          <w:color w:val="auto"/>
          <w:szCs w:val="21"/>
          <w:highlight w:val="none"/>
        </w:rPr>
        <w:t>要求</w:t>
      </w:r>
    </w:p>
    <w:p w14:paraId="4FBCDDB3">
      <w:pPr>
        <w:shd w:val="clear"/>
        <w:spacing w:line="500" w:lineRule="exact"/>
        <w:ind w:firstLine="1470" w:firstLineChars="700"/>
        <w:jc w:val="left"/>
        <w:rPr>
          <w:rFonts w:ascii="宋体" w:hAnsi="宋体" w:cs="宋体"/>
          <w:color w:val="auto"/>
          <w:szCs w:val="21"/>
          <w:highlight w:val="none"/>
        </w:rPr>
      </w:pPr>
      <w:r>
        <w:rPr>
          <w:rFonts w:hint="eastAsia" w:ascii="宋体" w:hAnsi="宋体" w:cs="宋体"/>
          <w:color w:val="auto"/>
          <w:szCs w:val="21"/>
          <w:highlight w:val="none"/>
        </w:rPr>
        <w:t>第五章  合同条款及格式</w:t>
      </w:r>
    </w:p>
    <w:p w14:paraId="12A43E14">
      <w:pPr>
        <w:shd w:val="clear"/>
        <w:spacing w:line="500" w:lineRule="exact"/>
        <w:ind w:firstLine="1470" w:firstLineChars="700"/>
        <w:jc w:val="left"/>
        <w:rPr>
          <w:rFonts w:ascii="宋体" w:hAnsi="宋体" w:cs="宋体"/>
          <w:color w:val="auto"/>
          <w:szCs w:val="21"/>
          <w:highlight w:val="none"/>
        </w:rPr>
      </w:pPr>
      <w:r>
        <w:rPr>
          <w:rFonts w:hint="eastAsia" w:ascii="宋体" w:hAnsi="宋体" w:cs="宋体"/>
          <w:color w:val="auto"/>
          <w:szCs w:val="21"/>
          <w:highlight w:val="none"/>
        </w:rPr>
        <w:t>第六章  投标文件格式</w:t>
      </w:r>
    </w:p>
    <w:p w14:paraId="5F79B2CD">
      <w:pPr>
        <w:keepNext w:val="0"/>
        <w:keepLines w:val="0"/>
        <w:pageBreakBefore w:val="0"/>
        <w:widowControl w:val="0"/>
        <w:shd w:val="clear"/>
        <w:kinsoku/>
        <w:wordWrap/>
        <w:overflowPunct/>
        <w:topLinePunct w:val="0"/>
        <w:autoSpaceDE/>
        <w:autoSpaceDN/>
        <w:bidi w:val="0"/>
        <w:adjustRightInd/>
        <w:snapToGrid/>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16.2 除16.1款内容外，招标答疑亦为招标文件的组成部分，对招标人和投标人起约束作用。</w:t>
      </w:r>
    </w:p>
    <w:p w14:paraId="55A069BF">
      <w:pPr>
        <w:keepNext w:val="0"/>
        <w:keepLines w:val="0"/>
        <w:pageBreakBefore w:val="0"/>
        <w:widowControl w:val="0"/>
        <w:shd w:val="clear"/>
        <w:kinsoku/>
        <w:wordWrap/>
        <w:overflowPunct/>
        <w:topLinePunct w:val="0"/>
        <w:autoSpaceDE/>
        <w:autoSpaceDN/>
        <w:bidi w:val="0"/>
        <w:adjustRightInd/>
        <w:snapToGrid/>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16.3投标人应仔细阅读和检查招标文件的全部内容。如发现缺页或附件不全，应及时向招标人提出，以便补齐。</w:t>
      </w:r>
    </w:p>
    <w:p w14:paraId="174F59DE">
      <w:pPr>
        <w:keepNext w:val="0"/>
        <w:keepLines w:val="0"/>
        <w:pageBreakBefore w:val="0"/>
        <w:widowControl w:val="0"/>
        <w:shd w:val="clear"/>
        <w:kinsoku/>
        <w:wordWrap/>
        <w:overflowPunct/>
        <w:topLinePunct w:val="0"/>
        <w:autoSpaceDE/>
        <w:autoSpaceDN/>
        <w:bidi w:val="0"/>
        <w:adjustRightInd/>
        <w:snapToGrid/>
        <w:spacing w:line="50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16.4 投标人可以通过电子交易系统对招标文件提出澄清（质疑）。招标文件的澄清将在滁州市公共资源交易中心（</w:t>
      </w:r>
      <w:r>
        <w:rPr>
          <w:color w:val="auto"/>
          <w:highlight w:val="none"/>
        </w:rPr>
        <w:fldChar w:fldCharType="begin"/>
      </w:r>
      <w:r>
        <w:rPr>
          <w:color w:val="auto"/>
          <w:highlight w:val="none"/>
        </w:rPr>
        <w:instrText xml:space="preserve"> HYPERLINK "qq://txfile/" </w:instrText>
      </w:r>
      <w:r>
        <w:rPr>
          <w:color w:val="auto"/>
          <w:highlight w:val="none"/>
        </w:rPr>
        <w:fldChar w:fldCharType="separate"/>
      </w:r>
      <w:r>
        <w:rPr>
          <w:rFonts w:hint="eastAsia" w:ascii="宋体" w:hAnsi="宋体" w:cs="宋体"/>
          <w:color w:val="auto"/>
          <w:szCs w:val="21"/>
          <w:highlight w:val="none"/>
        </w:rPr>
        <w:t>http:// ggzy.chuzhou.gov.cn/</w:t>
      </w:r>
      <w:r>
        <w:rPr>
          <w:rFonts w:hint="eastAsia" w:ascii="宋体" w:hAnsi="宋体" w:cs="宋体"/>
          <w:color w:val="auto"/>
          <w:szCs w:val="21"/>
          <w:highlight w:val="none"/>
        </w:rPr>
        <w:fldChar w:fldCharType="end"/>
      </w:r>
      <w:r>
        <w:rPr>
          <w:rFonts w:hint="eastAsia" w:ascii="宋体" w:hAnsi="宋体" w:cs="宋体"/>
          <w:color w:val="auto"/>
          <w:szCs w:val="21"/>
          <w:highlight w:val="none"/>
        </w:rPr>
        <w:t>）发布，但不指明澄清问题的来源。如果澄清内容影响投标文件编制的，将相应延长投标截止时间。</w:t>
      </w:r>
    </w:p>
    <w:p w14:paraId="14F77E92">
      <w:pPr>
        <w:keepNext w:val="0"/>
        <w:keepLines w:val="0"/>
        <w:pageBreakBefore w:val="0"/>
        <w:widowControl w:val="0"/>
        <w:shd w:val="clear"/>
        <w:kinsoku/>
        <w:wordWrap/>
        <w:overflowPunct/>
        <w:topLinePunct w:val="0"/>
        <w:autoSpaceDE/>
        <w:autoSpaceDN/>
        <w:bidi w:val="0"/>
        <w:adjustRightInd/>
        <w:snapToGrid/>
        <w:spacing w:line="500" w:lineRule="exact"/>
        <w:ind w:left="0" w:leftChars="0" w:right="0" w:rightChars="0" w:firstLine="422" w:firstLineChars="200"/>
        <w:jc w:val="left"/>
        <w:textAlignment w:val="auto"/>
        <w:rPr>
          <w:rFonts w:ascii="宋体" w:hAnsi="宋体" w:cs="宋体"/>
          <w:b/>
          <w:bCs/>
          <w:color w:val="auto"/>
          <w:szCs w:val="21"/>
          <w:highlight w:val="none"/>
        </w:rPr>
      </w:pPr>
      <w:r>
        <w:rPr>
          <w:rFonts w:hint="eastAsia" w:ascii="宋体" w:hAnsi="宋体" w:cs="宋体"/>
          <w:b/>
          <w:bCs/>
          <w:color w:val="auto"/>
          <w:szCs w:val="21"/>
          <w:highlight w:val="none"/>
        </w:rPr>
        <w:t>17. 招标文件的异议、澄清</w:t>
      </w:r>
    </w:p>
    <w:p w14:paraId="009A871F">
      <w:pPr>
        <w:keepNext w:val="0"/>
        <w:keepLines w:val="0"/>
        <w:pageBreakBefore w:val="0"/>
        <w:widowControl w:val="0"/>
        <w:shd w:val="clear"/>
        <w:kinsoku/>
        <w:wordWrap/>
        <w:overflowPunct/>
        <w:topLinePunct w:val="0"/>
        <w:autoSpaceDE/>
        <w:autoSpaceDN/>
        <w:bidi w:val="0"/>
        <w:adjustRightInd/>
        <w:snapToGrid/>
        <w:spacing w:line="50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17.1 投标人或其他利害关系人投标人应仔细阅读和检查招标文件的全部内容，对招标文件有异议的，应在投标截止时间10日前以投标人须知前附表规定的网上留言或书面形式提出。招标人将在收到异议之日起3日内作出答复；作出答复前，将暂停招标投标活动。</w:t>
      </w:r>
    </w:p>
    <w:p w14:paraId="1D6BA4F3">
      <w:pPr>
        <w:keepNext w:val="0"/>
        <w:keepLines w:val="0"/>
        <w:pageBreakBefore w:val="0"/>
        <w:widowControl w:val="0"/>
        <w:shd w:val="clear"/>
        <w:kinsoku/>
        <w:wordWrap/>
        <w:overflowPunct/>
        <w:topLinePunct w:val="0"/>
        <w:autoSpaceDE/>
        <w:autoSpaceDN/>
        <w:bidi w:val="0"/>
        <w:adjustRightInd/>
        <w:snapToGrid/>
        <w:spacing w:line="500" w:lineRule="exact"/>
        <w:ind w:left="0" w:leftChars="0" w:right="0" w:rightChars="0" w:firstLine="420" w:firstLineChars="200"/>
        <w:jc w:val="left"/>
        <w:textAlignment w:val="auto"/>
        <w:rPr>
          <w:rFonts w:ascii="宋体" w:hAnsi="宋体" w:cs="宋体"/>
          <w:bCs/>
          <w:color w:val="auto"/>
          <w:szCs w:val="21"/>
          <w:highlight w:val="none"/>
        </w:rPr>
      </w:pPr>
      <w:r>
        <w:rPr>
          <w:rFonts w:hint="eastAsia" w:ascii="宋体" w:hAnsi="宋体" w:cs="宋体"/>
          <w:bCs/>
          <w:color w:val="auto"/>
          <w:szCs w:val="21"/>
          <w:highlight w:val="none"/>
        </w:rPr>
        <w:t>17.2 招标人可以澄清招标文件，并以投标人须知前附表规定澄清的方式在滁州市公共资源交易中心网站发布。但如果修改招标文件的时间距投标截止时间不足15天，并且修改内容影响投标文件编制的，将相应延长投标截止时间。</w:t>
      </w:r>
    </w:p>
    <w:p w14:paraId="4D2C5C44">
      <w:pPr>
        <w:keepNext w:val="0"/>
        <w:keepLines w:val="0"/>
        <w:pageBreakBefore w:val="0"/>
        <w:widowControl w:val="0"/>
        <w:shd w:val="clear"/>
        <w:kinsoku/>
        <w:wordWrap/>
        <w:overflowPunct/>
        <w:topLinePunct w:val="0"/>
        <w:autoSpaceDE/>
        <w:autoSpaceDN/>
        <w:bidi w:val="0"/>
        <w:adjustRightInd/>
        <w:snapToGrid/>
        <w:spacing w:line="500" w:lineRule="exact"/>
        <w:ind w:left="0" w:leftChars="0" w:right="0" w:rightChars="0" w:firstLine="420" w:firstLineChars="200"/>
        <w:jc w:val="left"/>
        <w:textAlignment w:val="auto"/>
        <w:rPr>
          <w:rFonts w:ascii="宋体" w:hAnsi="宋体" w:cs="宋体"/>
          <w:bCs/>
          <w:color w:val="auto"/>
          <w:szCs w:val="21"/>
          <w:highlight w:val="none"/>
        </w:rPr>
      </w:pPr>
      <w:r>
        <w:rPr>
          <w:rFonts w:hint="eastAsia" w:ascii="宋体" w:hAnsi="宋体" w:cs="宋体"/>
          <w:bCs/>
          <w:color w:val="auto"/>
          <w:szCs w:val="21"/>
          <w:highlight w:val="none"/>
        </w:rPr>
        <w:t>17.3招标文件的解释</w:t>
      </w:r>
    </w:p>
    <w:p w14:paraId="213C1D97">
      <w:pPr>
        <w:keepNext w:val="0"/>
        <w:keepLines w:val="0"/>
        <w:pageBreakBefore w:val="0"/>
        <w:widowControl w:val="0"/>
        <w:shd w:val="clear"/>
        <w:kinsoku/>
        <w:wordWrap/>
        <w:overflowPunct/>
        <w:topLinePunct w:val="0"/>
        <w:autoSpaceDE/>
        <w:autoSpaceDN/>
        <w:bidi w:val="0"/>
        <w:adjustRightInd/>
        <w:snapToGrid/>
        <w:spacing w:line="50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（1）构成本招标文件的各个组成文件应互为解释，互为说明；</w:t>
      </w:r>
    </w:p>
    <w:p w14:paraId="65A88C14">
      <w:pPr>
        <w:keepNext w:val="0"/>
        <w:keepLines w:val="0"/>
        <w:pageBreakBefore w:val="0"/>
        <w:widowControl w:val="0"/>
        <w:shd w:val="clear"/>
        <w:kinsoku/>
        <w:wordWrap/>
        <w:overflowPunct/>
        <w:topLinePunct w:val="0"/>
        <w:autoSpaceDE/>
        <w:autoSpaceDN/>
        <w:bidi w:val="0"/>
        <w:adjustRightInd/>
        <w:snapToGrid/>
        <w:spacing w:line="50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（2）同一组成文件中就同一事项的规定或约定不一致的，以编排顺序在后者为准；</w:t>
      </w:r>
    </w:p>
    <w:p w14:paraId="21B86063">
      <w:pPr>
        <w:keepNext w:val="0"/>
        <w:keepLines w:val="0"/>
        <w:pageBreakBefore w:val="0"/>
        <w:widowControl w:val="0"/>
        <w:shd w:val="clear"/>
        <w:kinsoku/>
        <w:wordWrap/>
        <w:overflowPunct/>
        <w:topLinePunct w:val="0"/>
        <w:autoSpaceDE/>
        <w:autoSpaceDN/>
        <w:bidi w:val="0"/>
        <w:adjustRightInd/>
        <w:snapToGrid/>
        <w:spacing w:line="50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（3）如有不明确或不一致，构成合同文件组成内容的，以合同文件约定内容为准，且以专用合同条款约定的合同文件优先顺序解释；</w:t>
      </w:r>
    </w:p>
    <w:p w14:paraId="74151488">
      <w:pPr>
        <w:keepNext w:val="0"/>
        <w:keepLines w:val="0"/>
        <w:pageBreakBefore w:val="0"/>
        <w:widowControl w:val="0"/>
        <w:shd w:val="clear"/>
        <w:kinsoku/>
        <w:wordWrap/>
        <w:overflowPunct/>
        <w:topLinePunct w:val="0"/>
        <w:autoSpaceDE/>
        <w:autoSpaceDN/>
        <w:bidi w:val="0"/>
        <w:adjustRightInd/>
        <w:snapToGrid/>
        <w:spacing w:line="50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（4）系统中提供的表格（或格式文件）与招标文件中不一致时，以招标文件中提供的为准；</w:t>
      </w:r>
    </w:p>
    <w:p w14:paraId="6C8B3CEF">
      <w:pPr>
        <w:keepNext w:val="0"/>
        <w:keepLines w:val="0"/>
        <w:pageBreakBefore w:val="0"/>
        <w:widowControl w:val="0"/>
        <w:shd w:val="clear"/>
        <w:kinsoku/>
        <w:wordWrap/>
        <w:overflowPunct/>
        <w:topLinePunct w:val="0"/>
        <w:autoSpaceDE/>
        <w:autoSpaceDN/>
        <w:bidi w:val="0"/>
        <w:adjustRightInd/>
        <w:snapToGrid/>
        <w:spacing w:line="50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（5）按本款前述规定仍不能形成结论的，由招标人（或其委托的采购代理机构）负责解释。</w:t>
      </w:r>
    </w:p>
    <w:p w14:paraId="6241D4B1">
      <w:pPr>
        <w:keepNext w:val="0"/>
        <w:keepLines w:val="0"/>
        <w:pageBreakBefore w:val="0"/>
        <w:widowControl w:val="0"/>
        <w:shd w:val="clear"/>
        <w:kinsoku/>
        <w:wordWrap/>
        <w:overflowPunct/>
        <w:topLinePunct w:val="0"/>
        <w:autoSpaceDE/>
        <w:autoSpaceDN/>
        <w:bidi w:val="0"/>
        <w:adjustRightInd/>
        <w:snapToGrid/>
        <w:spacing w:line="500" w:lineRule="exact"/>
        <w:ind w:left="0" w:leftChars="0" w:right="0" w:rightChars="0" w:firstLine="422" w:firstLineChars="200"/>
        <w:jc w:val="left"/>
        <w:textAlignment w:val="auto"/>
        <w:rPr>
          <w:rFonts w:ascii="宋体" w:hAnsi="宋体" w:cs="宋体"/>
          <w:b/>
          <w:color w:val="auto"/>
          <w:szCs w:val="21"/>
          <w:highlight w:val="none"/>
        </w:rPr>
      </w:pPr>
      <w:r>
        <w:rPr>
          <w:rFonts w:hint="eastAsia" w:ascii="宋体" w:hAnsi="宋体" w:cs="宋体"/>
          <w:b/>
          <w:color w:val="auto"/>
          <w:szCs w:val="21"/>
          <w:highlight w:val="none"/>
        </w:rPr>
        <w:t>18. 招标文件的发出</w:t>
      </w:r>
    </w:p>
    <w:p w14:paraId="63A0A2D0">
      <w:pPr>
        <w:keepNext w:val="0"/>
        <w:keepLines w:val="0"/>
        <w:pageBreakBefore w:val="0"/>
        <w:widowControl w:val="0"/>
        <w:shd w:val="clear"/>
        <w:kinsoku/>
        <w:wordWrap/>
        <w:overflowPunct/>
        <w:topLinePunct w:val="0"/>
        <w:autoSpaceDE/>
        <w:autoSpaceDN/>
        <w:bidi w:val="0"/>
        <w:adjustRightInd/>
        <w:snapToGrid/>
        <w:spacing w:line="50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18.1招标文件、招标文件的澄清、修改、补充及招标答疑等均应报公共资源交易监督管理机构备案后，方可发出。</w:t>
      </w:r>
    </w:p>
    <w:p w14:paraId="417F7AC4">
      <w:pPr>
        <w:keepNext w:val="0"/>
        <w:keepLines w:val="0"/>
        <w:pageBreakBefore w:val="0"/>
        <w:widowControl w:val="0"/>
        <w:shd w:val="clear"/>
        <w:kinsoku/>
        <w:wordWrap/>
        <w:overflowPunct/>
        <w:topLinePunct w:val="0"/>
        <w:autoSpaceDE/>
        <w:autoSpaceDN/>
        <w:bidi w:val="0"/>
        <w:adjustRightInd/>
        <w:snapToGrid/>
        <w:spacing w:line="500" w:lineRule="exact"/>
        <w:ind w:left="0" w:leftChars="0" w:right="0" w:rightChars="0" w:firstLine="422" w:firstLineChars="200"/>
        <w:textAlignment w:val="auto"/>
        <w:rPr>
          <w:rFonts w:ascii="宋体" w:hAnsi="宋体" w:cs="宋体"/>
          <w:b/>
          <w:bCs/>
          <w:color w:val="auto"/>
          <w:szCs w:val="21"/>
          <w:highlight w:val="none"/>
        </w:rPr>
      </w:pPr>
      <w:bookmarkStart w:id="55" w:name="_Toc449028869"/>
      <w:r>
        <w:rPr>
          <w:rFonts w:hint="eastAsia" w:ascii="宋体" w:hAnsi="宋体" w:cs="宋体"/>
          <w:b/>
          <w:bCs/>
          <w:color w:val="auto"/>
          <w:szCs w:val="21"/>
          <w:highlight w:val="none"/>
        </w:rPr>
        <w:t>19. 样品（本项目不采用）</w:t>
      </w:r>
    </w:p>
    <w:p w14:paraId="70941E94">
      <w:pPr>
        <w:keepNext w:val="0"/>
        <w:keepLines w:val="0"/>
        <w:pageBreakBefore w:val="0"/>
        <w:widowControl w:val="0"/>
        <w:shd w:val="clear"/>
        <w:kinsoku/>
        <w:wordWrap/>
        <w:overflowPunct/>
        <w:topLinePunct w:val="0"/>
        <w:autoSpaceDE/>
        <w:autoSpaceDN/>
        <w:bidi w:val="0"/>
        <w:adjustRightInd/>
        <w:snapToGrid/>
        <w:spacing w:line="50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19.1凡需要设置样品情形时，必须明确是否需要随样品提交检测报告，并明确检测机构的要求、检测内容、中标样品封存等事项。（评标委员会无法判断样品是否合格且样品需要提供给第三方权威检测机构检测的,在投标人提供招标人认可的第三方权威检测机构检测报告后，评标委员会推荐的中标候选人方可生效，招标人或代理机构发布中标（成交）结果公告。</w:t>
      </w:r>
    </w:p>
    <w:p w14:paraId="1D6181D9">
      <w:pPr>
        <w:keepNext w:val="0"/>
        <w:keepLines w:val="0"/>
        <w:pageBreakBefore w:val="0"/>
        <w:widowControl w:val="0"/>
        <w:shd w:val="clear"/>
        <w:kinsoku/>
        <w:wordWrap/>
        <w:overflowPunct/>
        <w:topLinePunct w:val="0"/>
        <w:autoSpaceDE/>
        <w:autoSpaceDN/>
        <w:bidi w:val="0"/>
        <w:adjustRightInd/>
        <w:snapToGrid/>
        <w:spacing w:line="50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19.2招标文件中应明确样品送检方式、检测费用支付方法、投标人在规定时间内无法提供第三方权威检测机构检测报告的处理方式。</w:t>
      </w:r>
    </w:p>
    <w:p w14:paraId="2A0452B0">
      <w:pPr>
        <w:shd w:val="clear"/>
        <w:spacing w:beforeLines="50" w:afterLines="50" w:line="500" w:lineRule="exact"/>
        <w:jc w:val="center"/>
        <w:rPr>
          <w:rFonts w:ascii="宋体" w:hAnsi="宋体" w:cs="宋体"/>
          <w:b/>
          <w:color w:val="auto"/>
          <w:sz w:val="28"/>
          <w:szCs w:val="28"/>
          <w:highlight w:val="none"/>
        </w:rPr>
      </w:pPr>
      <w:r>
        <w:rPr>
          <w:rFonts w:hint="eastAsia" w:ascii="宋体" w:hAnsi="宋体" w:cs="宋体"/>
          <w:b/>
          <w:color w:val="auto"/>
          <w:sz w:val="28"/>
          <w:szCs w:val="28"/>
          <w:highlight w:val="none"/>
        </w:rPr>
        <w:t>（三）投标文件的编制</w:t>
      </w:r>
      <w:bookmarkEnd w:id="55"/>
    </w:p>
    <w:p w14:paraId="6704723C">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20. 投标的语言及度量衡单位</w:t>
      </w:r>
    </w:p>
    <w:p w14:paraId="69089488">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20.1投标人的投标文件、以及投标人与招标人就投标的所有往来函电，均须使用简体中文。</w:t>
      </w:r>
    </w:p>
    <w:p w14:paraId="3DDFA0F7">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20.2除招标文件中另有规定外，投标文件所使用的度量衡均须采用法定计量单位。</w:t>
      </w:r>
    </w:p>
    <w:p w14:paraId="12A5CA2E">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2" w:firstLineChars="200"/>
        <w:jc w:val="left"/>
        <w:textAlignment w:val="auto"/>
        <w:rPr>
          <w:rFonts w:ascii="宋体" w:hAnsi="宋体" w:cs="宋体"/>
          <w:b/>
          <w:color w:val="auto"/>
          <w:szCs w:val="21"/>
          <w:highlight w:val="none"/>
        </w:rPr>
      </w:pPr>
      <w:r>
        <w:rPr>
          <w:rFonts w:hint="eastAsia" w:ascii="宋体" w:hAnsi="宋体" w:cs="宋体"/>
          <w:b/>
          <w:color w:val="auto"/>
          <w:szCs w:val="21"/>
          <w:highlight w:val="none"/>
        </w:rPr>
        <w:t>21. 投标文件的组成、上传说明</w:t>
      </w:r>
    </w:p>
    <w:p w14:paraId="753CBD84">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2" w:firstLineChars="200"/>
        <w:jc w:val="left"/>
        <w:textAlignment w:val="auto"/>
        <w:rPr>
          <w:rFonts w:ascii="宋体" w:hAnsi="宋体" w:cs="宋体"/>
          <w:color w:val="auto"/>
          <w:szCs w:val="21"/>
          <w:highlight w:val="none"/>
        </w:rPr>
      </w:pPr>
      <w:r>
        <w:rPr>
          <w:rFonts w:hint="eastAsia" w:ascii="宋体" w:hAnsi="宋体" w:cs="宋体"/>
          <w:b/>
          <w:color w:val="auto"/>
          <w:szCs w:val="21"/>
          <w:highlight w:val="none"/>
        </w:rPr>
        <w:t>21.1投标文件的组成</w:t>
      </w:r>
    </w:p>
    <w:p w14:paraId="4BE3A89A">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投标文件</w:t>
      </w:r>
      <w:r>
        <w:rPr>
          <w:rFonts w:hint="eastAsia" w:ascii="宋体" w:hAnsi="宋体" w:cs="宋体"/>
          <w:b/>
          <w:bCs/>
          <w:color w:val="auto"/>
          <w:szCs w:val="21"/>
          <w:highlight w:val="none"/>
        </w:rPr>
        <w:t>详见第六章投标文件格式内容。</w:t>
      </w:r>
    </w:p>
    <w:p w14:paraId="17EB096A">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2" w:firstLineChars="200"/>
        <w:jc w:val="left"/>
        <w:textAlignment w:val="auto"/>
        <w:rPr>
          <w:rFonts w:ascii="宋体" w:hAnsi="宋体" w:cs="宋体"/>
          <w:b/>
          <w:color w:val="auto"/>
          <w:szCs w:val="21"/>
          <w:highlight w:val="none"/>
        </w:rPr>
      </w:pPr>
      <w:r>
        <w:rPr>
          <w:rFonts w:hint="eastAsia" w:ascii="宋体" w:hAnsi="宋体" w:cs="宋体"/>
          <w:b/>
          <w:color w:val="auto"/>
          <w:szCs w:val="21"/>
          <w:highlight w:val="none"/>
        </w:rPr>
        <w:t>21.2投标文件的上传</w:t>
      </w:r>
    </w:p>
    <w:p w14:paraId="50E6BA9F">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投标人在滁州市公共资源交易中心网，利用用户名或CA数字证书登录下载招标文件(.czzf格式)后，在下载投标文件制作工具安装后，在线制作投标文件，制作好的投标文件格式有2种:第一种.cztf格式加密投标文件；第二种.ncztf格式是非加密投标文件。请投标人将第一种投标文件通过系统“上传投标文件”上传到系统中。</w:t>
      </w:r>
    </w:p>
    <w:p w14:paraId="165E694D">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（2）如果一个项目有多个标段，则需按标段下载对应标段招标文件分别生成对应的投标文件，通过系统“上传投标文件”按标段分别上传到系统中。</w:t>
      </w:r>
    </w:p>
    <w:p w14:paraId="530AECA2">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（3）请投标人通过系统下载投标工具制作投标文件，并利用CA数字证书进行上传投标文件，上传已加密的投标文件，务必通过此方式上传投标文件。</w:t>
      </w:r>
    </w:p>
    <w:p w14:paraId="6B6F354F">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（4）投标人在投标文件编制、签章、上传过程中如有任何操作的疑问请及时联系技术支持，电话：0550-3801701。</w:t>
      </w:r>
    </w:p>
    <w:p w14:paraId="29AA8221">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如果因投标人自身原因导致投标文件在规定时间内未能解密、解密失败或解密超时，投标文件无效；因招标人或代理公司原因或网上平台发生故障，导致无法按时完成投标文件解密的，经代理公司申请后可延迟解密时间。</w:t>
      </w:r>
    </w:p>
    <w:p w14:paraId="5FD27C66">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2" w:firstLineChars="200"/>
        <w:jc w:val="left"/>
        <w:textAlignment w:val="auto"/>
        <w:rPr>
          <w:rFonts w:ascii="宋体" w:hAnsi="宋体" w:cs="宋体"/>
          <w:b/>
          <w:color w:val="auto"/>
          <w:szCs w:val="21"/>
          <w:highlight w:val="none"/>
        </w:rPr>
      </w:pPr>
      <w:r>
        <w:rPr>
          <w:rFonts w:hint="eastAsia" w:ascii="宋体" w:hAnsi="宋体" w:cs="宋体"/>
          <w:b/>
          <w:color w:val="auto"/>
          <w:szCs w:val="21"/>
          <w:highlight w:val="none"/>
        </w:rPr>
        <w:t>21.3投标文件的编制</w:t>
      </w:r>
    </w:p>
    <w:p w14:paraId="6B9AB68F">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（1）投标文件应按第六章“投标文件格式”进行编写，如有必要，可以增加附页，作为投标文件的组成部分。</w:t>
      </w:r>
    </w:p>
    <w:p w14:paraId="0CC864B1">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（2）本次招标投标不需要提供纸质投标文件，投标人应按照电子招标投标的要求，在投标人的会员系统中制作、电子签章、上传投标文件。</w:t>
      </w:r>
    </w:p>
    <w:p w14:paraId="0DD215E8">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（3）网上递交的电子投标文件制作工具等要求详见系统内帮助模块。</w:t>
      </w:r>
    </w:p>
    <w:p w14:paraId="03EC4914">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（4）网上递交的电子投标文件应按招标文件规定的格式由投标人的法定代表人和投标人分别签章。</w:t>
      </w:r>
    </w:p>
    <w:p w14:paraId="3968D149">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2" w:firstLineChars="200"/>
        <w:jc w:val="left"/>
        <w:textAlignment w:val="auto"/>
        <w:rPr>
          <w:rFonts w:ascii="宋体" w:hAnsi="宋体" w:cs="宋体"/>
          <w:color w:val="auto"/>
          <w:szCs w:val="21"/>
          <w:highlight w:val="none"/>
        </w:rPr>
      </w:pPr>
      <w:r>
        <w:rPr>
          <w:rFonts w:hint="eastAsia" w:ascii="宋体" w:hAnsi="宋体" w:cs="宋体"/>
          <w:b/>
          <w:color w:val="auto"/>
          <w:szCs w:val="21"/>
          <w:highlight w:val="none"/>
        </w:rPr>
        <w:t>22</w:t>
      </w:r>
      <w:r>
        <w:rPr>
          <w:rFonts w:hint="eastAsia" w:ascii="宋体" w:hAnsi="宋体" w:cs="宋体"/>
          <w:color w:val="auto"/>
          <w:szCs w:val="21"/>
          <w:highlight w:val="none"/>
        </w:rPr>
        <w:t>.</w:t>
      </w:r>
      <w:r>
        <w:rPr>
          <w:rFonts w:hint="eastAsia" w:ascii="宋体" w:hAnsi="宋体" w:cs="宋体"/>
          <w:b/>
          <w:color w:val="auto"/>
          <w:szCs w:val="21"/>
          <w:highlight w:val="none"/>
        </w:rPr>
        <w:t>投标报价</w:t>
      </w:r>
    </w:p>
    <w:p w14:paraId="1A14162F">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22.1投标报价文件中的单价和总价全部采用人民币表示。投标人的报价应含有服务、利润、税金、政策性文件规定及合同包含的所有风险、责任、义务等，即为完成招标文件要求的服务内容所包含的一切应有费用，中标价格除合同约定调整内容以外的今后将不作任何调整，招标人后期不再追加费用，投标人自行考虑投标风险。</w:t>
      </w:r>
    </w:p>
    <w:p w14:paraId="4CC99946">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22.2投标人只允许有一个方案、一个报价。</w:t>
      </w:r>
    </w:p>
    <w:p w14:paraId="1730EC8B">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22.3投标报价是完成项目全部内容（包括后期的相关服务）交付验收的价格，其单价即为履行合同的固定单价。</w:t>
      </w:r>
    </w:p>
    <w:p w14:paraId="64CE1440">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技术要求中规定的安装、调试和培训费用应包括在投标价格中。投标文件报价为含税价，采购人不再为此次招标支付任何费用。</w:t>
      </w:r>
    </w:p>
    <w:p w14:paraId="0412B61B">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投标报价应由法定代表人或被授权人签署。</w:t>
      </w:r>
    </w:p>
    <w:p w14:paraId="5BD44A3A">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0" w:firstLineChars="200"/>
        <w:jc w:val="left"/>
        <w:textAlignment w:val="auto"/>
        <w:rPr>
          <w:rFonts w:ascii="宋体" w:hAnsi="宋体" w:cs="宋体"/>
          <w:color w:val="auto"/>
          <w:szCs w:val="21"/>
          <w:highlight w:val="none"/>
        </w:rPr>
      </w:pPr>
      <w:r>
        <w:rPr>
          <w:rFonts w:hint="eastAsia" w:ascii="宋体" w:hAnsi="宋体" w:cs="宋体"/>
          <w:bCs/>
          <w:color w:val="auto"/>
          <w:szCs w:val="21"/>
          <w:highlight w:val="none"/>
        </w:rPr>
        <w:t>22.</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投标人的报价（或单价）不得高于本次招标最高限价（或单价）</w:t>
      </w:r>
      <w:r>
        <w:rPr>
          <w:rFonts w:hint="eastAsia" w:ascii="宋体" w:hAnsi="宋体" w:cs="宋体"/>
          <w:b/>
          <w:color w:val="auto"/>
          <w:szCs w:val="21"/>
          <w:highlight w:val="none"/>
        </w:rPr>
        <w:t>，</w:t>
      </w:r>
      <w:r>
        <w:rPr>
          <w:rFonts w:hint="eastAsia" w:ascii="宋体" w:hAnsi="宋体" w:cs="宋体"/>
          <w:b/>
          <w:bCs/>
          <w:color w:val="auto"/>
          <w:szCs w:val="21"/>
          <w:highlight w:val="none"/>
        </w:rPr>
        <w:t>否则将作为无效投标处理。</w:t>
      </w:r>
    </w:p>
    <w:p w14:paraId="6D54DBDC">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22.</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总投标价中不得包含招标文件要求以外的内容，否则，在评标时不予核减，但在授予合同时，采购人有权将这部分价格从其中标价格中扣除。</w:t>
      </w:r>
    </w:p>
    <w:p w14:paraId="28AE4639">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2" w:firstLineChars="200"/>
        <w:jc w:val="left"/>
        <w:textAlignment w:val="auto"/>
        <w:rPr>
          <w:rFonts w:ascii="宋体" w:hAnsi="宋体" w:cs="宋体"/>
          <w:b/>
          <w:color w:val="auto"/>
          <w:szCs w:val="21"/>
          <w:highlight w:val="none"/>
        </w:rPr>
      </w:pPr>
      <w:r>
        <w:rPr>
          <w:rFonts w:hint="eastAsia" w:ascii="宋体" w:hAnsi="宋体" w:cs="宋体"/>
          <w:b/>
          <w:color w:val="auto"/>
          <w:szCs w:val="21"/>
          <w:highlight w:val="none"/>
        </w:rPr>
        <w:t>23. 投标有效期</w:t>
      </w:r>
    </w:p>
    <w:p w14:paraId="2153E16A">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23.1 除投标人须知前附表另有规定外，投标有效期为90天。</w:t>
      </w:r>
    </w:p>
    <w:p w14:paraId="2304F07C">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23.2在投标有效期内，投标人撤销或修改其投标文件的，应承担招标文件和法律规定的责任。</w:t>
      </w:r>
    </w:p>
    <w:p w14:paraId="1E1994C4">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23.3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6338FAAF">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2" w:firstLineChars="200"/>
        <w:jc w:val="left"/>
        <w:textAlignment w:val="auto"/>
        <w:rPr>
          <w:rFonts w:ascii="宋体" w:hAnsi="宋体" w:cs="宋体"/>
          <w:b/>
          <w:color w:val="auto"/>
          <w:szCs w:val="21"/>
          <w:highlight w:val="none"/>
        </w:rPr>
      </w:pPr>
      <w:r>
        <w:rPr>
          <w:rFonts w:hint="eastAsia" w:ascii="宋体" w:hAnsi="宋体" w:cs="宋体"/>
          <w:b/>
          <w:color w:val="auto"/>
          <w:szCs w:val="21"/>
          <w:highlight w:val="none"/>
        </w:rPr>
        <w:t>24. 投标保证金</w:t>
      </w:r>
    </w:p>
    <w:p w14:paraId="7AFFA2AE">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0" w:firstLineChars="200"/>
        <w:jc w:val="left"/>
        <w:textAlignment w:val="auto"/>
        <w:rPr>
          <w:rFonts w:ascii="宋体" w:hAnsi="宋体" w:cs="宋体"/>
          <w:color w:val="auto"/>
          <w:szCs w:val="21"/>
          <w:highlight w:val="none"/>
        </w:rPr>
      </w:pPr>
      <w:bookmarkStart w:id="56" w:name="_Toc449028870"/>
      <w:r>
        <w:rPr>
          <w:rFonts w:hint="eastAsia" w:ascii="宋体" w:hAnsi="宋体" w:cs="宋体"/>
          <w:color w:val="auto"/>
          <w:szCs w:val="21"/>
          <w:highlight w:val="none"/>
        </w:rPr>
        <w:t>24.1投标人须知前附表规定递交投标保证金的，投标人在递交投标文件的同时，应按投标人须知前附表规定的金额、担保形式和招标文件规定的或者事先经过招标人认可的保证金格式递交保证金，并作为其投标文件的组成部分。</w:t>
      </w:r>
    </w:p>
    <w:p w14:paraId="09025C39">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 xml:space="preserve"> 无论采取何种形式的投标保证金，投标保证金有效期均应与投标有效期一致（采用投标电子保函的保证期截止时间不得早于该项目投标有效期的截止时间）。招标人如果按本章第23.3项的规定延长了投标有效期，则投标保证金的有效期也相应延长。</w:t>
      </w:r>
    </w:p>
    <w:p w14:paraId="1DA12904">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24.2投标人不按本章第24.11项要求提交投标保证金的，评标委员会将否决其投标。</w:t>
      </w:r>
    </w:p>
    <w:p w14:paraId="61A924BE">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24.3未中标投标人的投标保证金，中标通知书同步推送至交易中心服务端，银行接到退还指令后一个工作日内退还保证金到达原交纳的基本账户；中标人的投标保证金，在中标人与招标人签订合同并将公开信息推送至交易中心服务端，银行接到退还指令后一个工作日内退付保证金到达原交纳的基本账户。</w:t>
      </w:r>
    </w:p>
    <w:p w14:paraId="46839814">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 xml:space="preserve">24.4有下列情形之一的，投标保证金将不予退还： </w:t>
      </w:r>
    </w:p>
    <w:p w14:paraId="77BE565B">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（1）投标截止后投标人撤销投标文件的；</w:t>
      </w:r>
    </w:p>
    <w:p w14:paraId="54DA51BF">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（2）中标人无正当理由不与招标人订立合同，在签订合同时向招标人提出附加条件，或者不按照招标文件要求提交履约保证金的。</w:t>
      </w:r>
    </w:p>
    <w:p w14:paraId="0967CC01">
      <w:pPr>
        <w:keepNext w:val="0"/>
        <w:keepLines w:val="0"/>
        <w:pageBreakBefore w:val="0"/>
        <w:widowControl w:val="0"/>
        <w:shd w:val="clear"/>
        <w:kinsoku/>
        <w:wordWrap/>
        <w:overflowPunct/>
        <w:topLinePunct w:val="0"/>
        <w:autoSpaceDE/>
        <w:autoSpaceDN/>
        <w:bidi w:val="0"/>
        <w:adjustRightInd/>
        <w:snapToGrid/>
        <w:spacing w:line="500" w:lineRule="exact"/>
        <w:ind w:left="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24.5投标保证金按《</w:t>
      </w:r>
      <w:r>
        <w:rPr>
          <w:color w:val="auto"/>
          <w:highlight w:val="none"/>
        </w:rPr>
        <w:fldChar w:fldCharType="begin"/>
      </w:r>
      <w:r>
        <w:rPr>
          <w:color w:val="auto"/>
          <w:highlight w:val="none"/>
        </w:rPr>
        <w:instrText xml:space="preserve"> HYPERLINK "https://www.chuzhou.gov.cn/group1/M00/12/83/CpYI8mGDiKqAD_IkAAEIAMLVghw186.doc" \t "_blank" </w:instrText>
      </w:r>
      <w:r>
        <w:rPr>
          <w:color w:val="auto"/>
          <w:highlight w:val="none"/>
        </w:rPr>
        <w:fldChar w:fldCharType="separate"/>
      </w:r>
      <w:r>
        <w:rPr>
          <w:rFonts w:hint="eastAsia" w:ascii="宋体" w:hAnsi="宋体" w:cs="宋体"/>
          <w:color w:val="auto"/>
          <w:szCs w:val="21"/>
          <w:highlight w:val="none"/>
        </w:rPr>
        <w:t>滁州市公共资源交易投标保证金管理规定</w:t>
      </w:r>
      <w:r>
        <w:rPr>
          <w:rFonts w:hint="eastAsia" w:ascii="宋体" w:hAnsi="宋体" w:cs="宋体"/>
          <w:color w:val="auto"/>
          <w:szCs w:val="21"/>
          <w:highlight w:val="none"/>
        </w:rPr>
        <w:fldChar w:fldCharType="end"/>
      </w:r>
      <w:r>
        <w:rPr>
          <w:rFonts w:hint="eastAsia" w:ascii="宋体" w:hAnsi="宋体" w:cs="宋体"/>
          <w:color w:val="auto"/>
          <w:szCs w:val="21"/>
          <w:highlight w:val="none"/>
        </w:rPr>
        <w:t>》（滁公管〔2021〕7号）规定执行。</w:t>
      </w:r>
    </w:p>
    <w:p w14:paraId="6D46E17A">
      <w:pPr>
        <w:numPr>
          <w:ilvl w:val="0"/>
          <w:numId w:val="8"/>
        </w:numPr>
        <w:shd w:val="clear"/>
        <w:spacing w:beforeLines="50" w:afterLines="50" w:line="500" w:lineRule="exact"/>
        <w:jc w:val="center"/>
        <w:rPr>
          <w:rFonts w:ascii="宋体" w:hAnsi="宋体" w:cs="宋体"/>
          <w:b/>
          <w:color w:val="auto"/>
          <w:szCs w:val="21"/>
          <w:highlight w:val="none"/>
        </w:rPr>
      </w:pPr>
      <w:r>
        <w:rPr>
          <w:rFonts w:hint="eastAsia" w:ascii="宋体" w:hAnsi="宋体" w:cs="宋体"/>
          <w:b/>
          <w:color w:val="auto"/>
          <w:sz w:val="28"/>
          <w:szCs w:val="28"/>
          <w:highlight w:val="none"/>
        </w:rPr>
        <w:t>投标文件的递交</w:t>
      </w:r>
      <w:bookmarkEnd w:id="56"/>
    </w:p>
    <w:p w14:paraId="079AF969">
      <w:pPr>
        <w:keepNext w:val="0"/>
        <w:keepLines w:val="0"/>
        <w:pageBreakBefore w:val="0"/>
        <w:widowControl w:val="0"/>
        <w:numPr>
          <w:ilvl w:val="0"/>
          <w:numId w:val="0"/>
        </w:numPr>
        <w:shd w:val="clear"/>
        <w:kinsoku/>
        <w:wordWrap/>
        <w:overflowPunct/>
        <w:topLinePunct w:val="0"/>
        <w:autoSpaceDE/>
        <w:autoSpaceDN/>
        <w:bidi w:val="0"/>
        <w:adjustRightInd/>
        <w:snapToGrid/>
        <w:spacing w:beforeLines="50" w:afterLines="50" w:line="500" w:lineRule="exact"/>
        <w:ind w:firstLine="422" w:firstLineChars="200"/>
        <w:jc w:val="both"/>
        <w:textAlignment w:val="auto"/>
        <w:rPr>
          <w:rFonts w:ascii="宋体" w:hAnsi="宋体" w:cs="宋体"/>
          <w:b/>
          <w:color w:val="auto"/>
          <w:szCs w:val="21"/>
          <w:highlight w:val="none"/>
        </w:rPr>
      </w:pPr>
      <w:r>
        <w:rPr>
          <w:rFonts w:hint="eastAsia" w:ascii="宋体" w:hAnsi="宋体" w:cs="宋体"/>
          <w:b/>
          <w:color w:val="auto"/>
          <w:szCs w:val="21"/>
          <w:highlight w:val="none"/>
        </w:rPr>
        <w:t>25. 投标文件的份数和签署</w:t>
      </w:r>
    </w:p>
    <w:p w14:paraId="55D2BA1A">
      <w:pPr>
        <w:keepNext w:val="0"/>
        <w:keepLines w:val="0"/>
        <w:pageBreakBefore w:val="0"/>
        <w:widowControl w:val="0"/>
        <w:shd w:val="clear"/>
        <w:kinsoku/>
        <w:wordWrap/>
        <w:overflowPunct/>
        <w:topLinePunct w:val="0"/>
        <w:autoSpaceDE/>
        <w:autoSpaceDN/>
        <w:bidi w:val="0"/>
        <w:adjustRightInd/>
        <w:snapToGrid/>
        <w:spacing w:line="500" w:lineRule="exact"/>
        <w:ind w:firstLine="420" w:firstLineChars="200"/>
        <w:jc w:val="left"/>
        <w:textAlignment w:val="auto"/>
        <w:rPr>
          <w:rFonts w:ascii="宋体" w:hAnsi="宋体" w:cs="宋体"/>
          <w:color w:val="auto"/>
          <w:szCs w:val="21"/>
          <w:highlight w:val="none"/>
        </w:rPr>
      </w:pPr>
      <w:bookmarkStart w:id="57" w:name="_Toc449028871"/>
      <w:r>
        <w:rPr>
          <w:rFonts w:hint="eastAsia" w:ascii="宋体" w:hAnsi="宋体" w:cs="宋体"/>
          <w:color w:val="auto"/>
          <w:szCs w:val="21"/>
          <w:highlight w:val="none"/>
        </w:rPr>
        <w:t>25.1投标人中标后须递交与网上电子投标文件完全一致的纸质版和电子版投标文件，在领取中标通知书时，一并递交给招标代理机构。</w:t>
      </w:r>
    </w:p>
    <w:p w14:paraId="24C41AC1">
      <w:pPr>
        <w:keepNext w:val="0"/>
        <w:keepLines w:val="0"/>
        <w:pageBreakBefore w:val="0"/>
        <w:widowControl w:val="0"/>
        <w:shd w:val="clear"/>
        <w:kinsoku/>
        <w:wordWrap/>
        <w:overflowPunct/>
        <w:topLinePunct w:val="0"/>
        <w:autoSpaceDE/>
        <w:autoSpaceDN/>
        <w:bidi w:val="0"/>
        <w:adjustRightInd/>
        <w:snapToGrid/>
        <w:spacing w:line="5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25.2电子投标文件须按格式文件要求签字或盖章（电子签章），否则经评委会一致认定且经过公共资源交易监督部门批准后, 按照无效投标处理。</w:t>
      </w:r>
    </w:p>
    <w:p w14:paraId="519555D1">
      <w:pPr>
        <w:keepNext w:val="0"/>
        <w:keepLines w:val="0"/>
        <w:pageBreakBefore w:val="0"/>
        <w:widowControl w:val="0"/>
        <w:shd w:val="clear"/>
        <w:kinsoku/>
        <w:wordWrap/>
        <w:overflowPunct/>
        <w:topLinePunct w:val="0"/>
        <w:autoSpaceDE/>
        <w:autoSpaceDN/>
        <w:bidi w:val="0"/>
        <w:adjustRightInd/>
        <w:snapToGrid/>
        <w:spacing w:line="500" w:lineRule="exact"/>
        <w:ind w:firstLine="422" w:firstLineChars="200"/>
        <w:jc w:val="left"/>
        <w:textAlignment w:val="auto"/>
        <w:rPr>
          <w:rFonts w:ascii="宋体" w:hAnsi="宋体" w:cs="宋体"/>
          <w:b/>
          <w:color w:val="auto"/>
          <w:szCs w:val="21"/>
          <w:highlight w:val="none"/>
        </w:rPr>
      </w:pPr>
      <w:r>
        <w:rPr>
          <w:rFonts w:hint="eastAsia" w:ascii="宋体" w:hAnsi="宋体" w:cs="宋体"/>
          <w:b/>
          <w:color w:val="auto"/>
          <w:szCs w:val="21"/>
          <w:highlight w:val="none"/>
        </w:rPr>
        <w:t>26. 投标文件的提交</w:t>
      </w:r>
    </w:p>
    <w:p w14:paraId="4D2D6706">
      <w:pPr>
        <w:keepNext w:val="0"/>
        <w:keepLines w:val="0"/>
        <w:pageBreakBefore w:val="0"/>
        <w:widowControl w:val="0"/>
        <w:shd w:val="clear"/>
        <w:kinsoku/>
        <w:wordWrap/>
        <w:overflowPunct/>
        <w:topLinePunct w:val="0"/>
        <w:autoSpaceDE/>
        <w:autoSpaceDN/>
        <w:bidi w:val="0"/>
        <w:adjustRightInd/>
        <w:snapToGrid/>
        <w:spacing w:line="500" w:lineRule="exact"/>
        <w:ind w:firstLine="420" w:firstLineChars="200"/>
        <w:jc w:val="left"/>
        <w:textAlignment w:val="auto"/>
        <w:rPr>
          <w:rFonts w:ascii="宋体" w:hAnsi="宋体" w:cs="宋体"/>
          <w:b/>
          <w:color w:val="auto"/>
          <w:szCs w:val="21"/>
          <w:highlight w:val="none"/>
        </w:rPr>
      </w:pPr>
      <w:r>
        <w:rPr>
          <w:rFonts w:hint="eastAsia" w:ascii="宋体" w:hAnsi="宋体" w:cs="宋体"/>
          <w:color w:val="auto"/>
          <w:szCs w:val="21"/>
          <w:highlight w:val="none"/>
        </w:rPr>
        <w:t>26.1 投标人应在投标人须知前附表规定的投标截止时间前在网上递交投标文件。未在开标截止时间前通过网上招标投标系统递交有效电子投标文件的，开标系统不予接收，投标将被拒绝。</w:t>
      </w:r>
    </w:p>
    <w:p w14:paraId="1E927314">
      <w:pPr>
        <w:keepNext w:val="0"/>
        <w:keepLines w:val="0"/>
        <w:pageBreakBefore w:val="0"/>
        <w:widowControl w:val="0"/>
        <w:shd w:val="clear"/>
        <w:kinsoku/>
        <w:wordWrap/>
        <w:overflowPunct/>
        <w:topLinePunct w:val="0"/>
        <w:autoSpaceDE/>
        <w:autoSpaceDN/>
        <w:bidi w:val="0"/>
        <w:adjustRightInd/>
        <w:snapToGrid/>
        <w:spacing w:line="500" w:lineRule="exact"/>
        <w:ind w:firstLine="422" w:firstLineChars="200"/>
        <w:jc w:val="left"/>
        <w:textAlignment w:val="auto"/>
        <w:rPr>
          <w:rFonts w:ascii="宋体" w:hAnsi="宋体" w:cs="宋体"/>
          <w:b/>
          <w:color w:val="auto"/>
          <w:szCs w:val="21"/>
          <w:highlight w:val="none"/>
        </w:rPr>
      </w:pPr>
      <w:r>
        <w:rPr>
          <w:rFonts w:hint="eastAsia" w:ascii="宋体" w:hAnsi="宋体" w:cs="宋体"/>
          <w:b/>
          <w:color w:val="auto"/>
          <w:szCs w:val="21"/>
          <w:highlight w:val="none"/>
        </w:rPr>
        <w:t>27．投标文件的修改与撤回</w:t>
      </w:r>
    </w:p>
    <w:p w14:paraId="69ADAB56">
      <w:pPr>
        <w:keepNext w:val="0"/>
        <w:keepLines w:val="0"/>
        <w:pageBreakBefore w:val="0"/>
        <w:widowControl w:val="0"/>
        <w:shd w:val="clear"/>
        <w:kinsoku/>
        <w:wordWrap/>
        <w:overflowPunct/>
        <w:topLinePunct w:val="0"/>
        <w:autoSpaceDE/>
        <w:autoSpaceDN/>
        <w:bidi w:val="0"/>
        <w:adjustRightInd/>
        <w:snapToGrid/>
        <w:spacing w:line="500" w:lineRule="exact"/>
        <w:ind w:firstLine="420" w:firstLineChars="200"/>
        <w:jc w:val="both"/>
        <w:textAlignment w:val="auto"/>
        <w:rPr>
          <w:rFonts w:ascii="宋体" w:hAnsi="宋体" w:cs="宋体"/>
          <w:color w:val="auto"/>
          <w:szCs w:val="21"/>
          <w:highlight w:val="none"/>
        </w:rPr>
      </w:pPr>
      <w:r>
        <w:rPr>
          <w:rFonts w:hint="eastAsia" w:ascii="宋体" w:hAnsi="宋体" w:cs="宋体"/>
          <w:color w:val="auto"/>
          <w:szCs w:val="21"/>
          <w:highlight w:val="none"/>
        </w:rPr>
        <w:t>27.1采用网上招投标的，在规定的投标截止时间前，投标人可以自行从网上招投标系统撤回已递交的投标文件，并可修改后重新上传，开标时以投标截止时间前投标人最终上传的投标文件为准。</w:t>
      </w:r>
    </w:p>
    <w:p w14:paraId="2497970F">
      <w:pPr>
        <w:keepNext w:val="0"/>
        <w:keepLines w:val="0"/>
        <w:pageBreakBefore w:val="0"/>
        <w:widowControl w:val="0"/>
        <w:shd w:val="clear"/>
        <w:kinsoku/>
        <w:wordWrap/>
        <w:overflowPunct/>
        <w:topLinePunct w:val="0"/>
        <w:autoSpaceDE/>
        <w:autoSpaceDN/>
        <w:bidi w:val="0"/>
        <w:adjustRightInd/>
        <w:snapToGrid/>
        <w:spacing w:line="500" w:lineRule="exact"/>
        <w:ind w:firstLine="422" w:firstLineChars="200"/>
        <w:jc w:val="left"/>
        <w:textAlignment w:val="auto"/>
        <w:rPr>
          <w:rFonts w:ascii="宋体"/>
          <w:b/>
          <w:color w:val="auto"/>
          <w:szCs w:val="21"/>
          <w:highlight w:val="none"/>
        </w:rPr>
      </w:pPr>
      <w:r>
        <w:rPr>
          <w:rFonts w:hint="eastAsia" w:ascii="宋体"/>
          <w:b/>
          <w:color w:val="auto"/>
          <w:szCs w:val="21"/>
          <w:highlight w:val="none"/>
        </w:rPr>
        <w:t>28.偏离</w:t>
      </w:r>
    </w:p>
    <w:p w14:paraId="456E248A">
      <w:pPr>
        <w:keepNext w:val="0"/>
        <w:keepLines w:val="0"/>
        <w:pageBreakBefore w:val="0"/>
        <w:widowControl w:val="0"/>
        <w:shd w:val="clear"/>
        <w:kinsoku/>
        <w:wordWrap/>
        <w:overflowPunct/>
        <w:topLinePunct w:val="0"/>
        <w:autoSpaceDE/>
        <w:autoSpaceDN/>
        <w:bidi w:val="0"/>
        <w:adjustRightInd/>
        <w:snapToGrid/>
        <w:spacing w:line="5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28.1投标文件偏离招标文件某些要求，视为投标文件存在偏差。偏差包括重大偏差和细微偏差。</w:t>
      </w:r>
    </w:p>
    <w:p w14:paraId="61981007">
      <w:pPr>
        <w:keepNext w:val="0"/>
        <w:keepLines w:val="0"/>
        <w:pageBreakBefore w:val="0"/>
        <w:widowControl w:val="0"/>
        <w:shd w:val="clear"/>
        <w:kinsoku/>
        <w:wordWrap/>
        <w:overflowPunct/>
        <w:topLinePunct w:val="0"/>
        <w:autoSpaceDE/>
        <w:autoSpaceDN/>
        <w:bidi w:val="0"/>
        <w:adjustRightInd/>
        <w:snapToGrid/>
        <w:spacing w:line="5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28.1.1投标文件应对招标文件的实质性要求和条件作出满足性或更有利于招标人的响应，否则，视为投标文件存在重大偏差，投标人的投标将被否决。</w:t>
      </w:r>
    </w:p>
    <w:p w14:paraId="443A1A67">
      <w:pPr>
        <w:shd w:val="clea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投标文件存在第三章“评标办法”中所列任一无效投标情形的，均属于存在重大偏差。</w:t>
      </w:r>
    </w:p>
    <w:p w14:paraId="711380D7">
      <w:pPr>
        <w:shd w:val="clea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28.1.2投标文件中的下列偏差为细微偏差：</w:t>
      </w:r>
    </w:p>
    <w:p w14:paraId="66EBB2DA">
      <w:pPr>
        <w:shd w:val="clea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（1）在按照第</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rPr>
        <w:t>章“评标办法”的规定对投标价进行算术性错误修正及其他错误修正后，最终投标报价未超过最高投标限价（如有）或未被否决投标的情况下，出现第</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rPr>
        <w:t>章“评标办法”规定的算术性错误和投标报价的其他错误；</w:t>
      </w:r>
    </w:p>
    <w:p w14:paraId="3B8F67D9">
      <w:pPr>
        <w:shd w:val="clea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（2）投标文件个别文字有遗漏错误等不影响投标文件实质性内容的偏差。</w:t>
      </w:r>
    </w:p>
    <w:p w14:paraId="33B7655A">
      <w:pPr>
        <w:shd w:val="clea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28.1.3评标委员会对投标文件中的细微偏差按如下规定处理：</w:t>
      </w:r>
    </w:p>
    <w:p w14:paraId="6A843382">
      <w:pPr>
        <w:shd w:val="clea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对于本章第28.1.2 项（1）目所述的细微偏差，按照第</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rPr>
        <w:t>章“评标办法”的规定予以修正并要求投标人进行澄清；</w:t>
      </w:r>
    </w:p>
    <w:p w14:paraId="2A8DC910">
      <w:pPr>
        <w:shd w:val="clear"/>
        <w:spacing w:beforeLines="50" w:afterLines="50" w:line="500" w:lineRule="exact"/>
        <w:ind w:firstLine="420" w:firstLineChars="200"/>
        <w:rPr>
          <w:rFonts w:ascii="宋体" w:hAnsi="宋体" w:cs="宋体"/>
          <w:b/>
          <w:color w:val="auto"/>
          <w:sz w:val="28"/>
          <w:szCs w:val="28"/>
          <w:highlight w:val="none"/>
        </w:rPr>
      </w:pPr>
      <w:r>
        <w:rPr>
          <w:rFonts w:hint="eastAsia" w:ascii="宋体" w:hAnsi="宋体" w:cs="宋体"/>
          <w:color w:val="auto"/>
          <w:szCs w:val="21"/>
          <w:highlight w:val="none"/>
        </w:rPr>
        <w:t>对于本章第28.1.2 项（2）目所述的细微偏差，可要求投标人对细微偏差进行澄清。</w:t>
      </w:r>
    </w:p>
    <w:p w14:paraId="1438C703">
      <w:pPr>
        <w:shd w:val="clear"/>
        <w:spacing w:beforeLines="50" w:afterLines="50" w:line="500" w:lineRule="exact"/>
        <w:jc w:val="center"/>
        <w:rPr>
          <w:rFonts w:ascii="宋体" w:hAnsi="宋体" w:cs="宋体"/>
          <w:b/>
          <w:color w:val="auto"/>
          <w:sz w:val="28"/>
          <w:szCs w:val="28"/>
          <w:highlight w:val="none"/>
        </w:rPr>
      </w:pPr>
      <w:r>
        <w:rPr>
          <w:rFonts w:hint="eastAsia" w:ascii="宋体" w:hAnsi="宋体" w:cs="宋体"/>
          <w:b/>
          <w:color w:val="auto"/>
          <w:sz w:val="28"/>
          <w:szCs w:val="28"/>
          <w:highlight w:val="none"/>
        </w:rPr>
        <w:t>（五）开标、评标和定标</w:t>
      </w:r>
      <w:bookmarkEnd w:id="57"/>
    </w:p>
    <w:p w14:paraId="3A2F66A8">
      <w:pPr>
        <w:keepNext w:val="0"/>
        <w:keepLines w:val="0"/>
        <w:pageBreakBefore w:val="0"/>
        <w:widowControl w:val="0"/>
        <w:shd w:val="clear"/>
        <w:kinsoku/>
        <w:wordWrap/>
        <w:overflowPunct/>
        <w:topLinePunct w:val="0"/>
        <w:autoSpaceDE/>
        <w:autoSpaceDN/>
        <w:bidi w:val="0"/>
        <w:spacing w:line="500" w:lineRule="exact"/>
        <w:ind w:right="0" w:rightChars="0" w:firstLine="422" w:firstLineChars="200"/>
        <w:jc w:val="left"/>
        <w:textAlignment w:val="auto"/>
        <w:rPr>
          <w:rFonts w:ascii="宋体"/>
          <w:b/>
          <w:color w:val="auto"/>
          <w:szCs w:val="21"/>
          <w:highlight w:val="none"/>
        </w:rPr>
      </w:pPr>
      <w:r>
        <w:rPr>
          <w:rFonts w:hint="eastAsia" w:ascii="宋体"/>
          <w:b/>
          <w:color w:val="auto"/>
          <w:szCs w:val="21"/>
          <w:highlight w:val="none"/>
        </w:rPr>
        <w:t>29. 开标</w:t>
      </w:r>
    </w:p>
    <w:p w14:paraId="0316BEA9">
      <w:pPr>
        <w:keepNext w:val="0"/>
        <w:keepLines w:val="0"/>
        <w:pageBreakBefore w:val="0"/>
        <w:widowControl w:val="0"/>
        <w:shd w:val="clear"/>
        <w:kinsoku/>
        <w:wordWrap/>
        <w:overflowPunct/>
        <w:topLinePunct w:val="0"/>
        <w:autoSpaceDE/>
        <w:autoSpaceDN/>
        <w:bidi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29.1 开标的时间和地点</w:t>
      </w:r>
    </w:p>
    <w:p w14:paraId="72E97D8E">
      <w:pPr>
        <w:keepNext w:val="0"/>
        <w:keepLines w:val="0"/>
        <w:pageBreakBefore w:val="0"/>
        <w:widowControl w:val="0"/>
        <w:shd w:val="clear"/>
        <w:kinsoku/>
        <w:wordWrap/>
        <w:overflowPunct/>
        <w:topLinePunct w:val="0"/>
        <w:autoSpaceDE/>
        <w:autoSpaceDN/>
        <w:bidi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29.1.1招标人</w:t>
      </w:r>
      <w:r>
        <w:rPr>
          <w:rFonts w:hint="eastAsia" w:ascii="宋体"/>
          <w:color w:val="auto"/>
          <w:szCs w:val="21"/>
          <w:highlight w:val="none"/>
        </w:rPr>
        <w:t>按招标公告中的开标时间和地点公开开标，并邀请所有投标人参加。</w:t>
      </w:r>
    </w:p>
    <w:p w14:paraId="6D1DD4A5">
      <w:pPr>
        <w:keepNext w:val="0"/>
        <w:keepLines w:val="0"/>
        <w:pageBreakBefore w:val="0"/>
        <w:widowControl w:val="0"/>
        <w:shd w:val="clear"/>
        <w:kinsoku/>
        <w:wordWrap/>
        <w:overflowPunct/>
        <w:topLinePunct w:val="0"/>
        <w:autoSpaceDE/>
        <w:autoSpaceDN/>
        <w:bidi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29.2 参与开标的监督部门</w:t>
      </w:r>
    </w:p>
    <w:p w14:paraId="4959C0C9">
      <w:pPr>
        <w:keepNext w:val="0"/>
        <w:keepLines w:val="0"/>
        <w:pageBreakBefore w:val="0"/>
        <w:widowControl w:val="0"/>
        <w:shd w:val="clear"/>
        <w:kinsoku/>
        <w:wordWrap/>
        <w:overflowPunct/>
        <w:topLinePunct w:val="0"/>
        <w:autoSpaceDE/>
        <w:autoSpaceDN/>
        <w:bidi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29.2.1招标人可以邀请相关监管部门参加。</w:t>
      </w:r>
    </w:p>
    <w:p w14:paraId="67E231BC">
      <w:pPr>
        <w:keepNext w:val="0"/>
        <w:keepLines w:val="0"/>
        <w:pageBreakBefore w:val="0"/>
        <w:widowControl w:val="0"/>
        <w:shd w:val="clear"/>
        <w:kinsoku/>
        <w:wordWrap/>
        <w:overflowPunct/>
        <w:topLinePunct w:val="0"/>
        <w:autoSpaceDE/>
        <w:autoSpaceDN/>
        <w:bidi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29.3开标程序</w:t>
      </w:r>
    </w:p>
    <w:p w14:paraId="03B6F988">
      <w:pPr>
        <w:keepNext w:val="0"/>
        <w:keepLines w:val="0"/>
        <w:pageBreakBefore w:val="0"/>
        <w:widowControl w:val="0"/>
        <w:shd w:val="clear"/>
        <w:kinsoku/>
        <w:wordWrap/>
        <w:overflowPunct/>
        <w:topLinePunct w:val="0"/>
        <w:autoSpaceDE/>
        <w:autoSpaceDN/>
        <w:bidi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开标会议由采购代理机构主持。</w:t>
      </w:r>
    </w:p>
    <w:p w14:paraId="65D37687">
      <w:pPr>
        <w:keepNext w:val="0"/>
        <w:keepLines w:val="0"/>
        <w:pageBreakBefore w:val="0"/>
        <w:widowControl w:val="0"/>
        <w:shd w:val="clear"/>
        <w:kinsoku/>
        <w:wordWrap/>
        <w:overflowPunct/>
        <w:topLinePunct w:val="0"/>
        <w:autoSpaceDE/>
        <w:autoSpaceDN/>
        <w:bidi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（1）宣布开标纪律；</w:t>
      </w:r>
    </w:p>
    <w:p w14:paraId="792CF161">
      <w:pPr>
        <w:keepNext w:val="0"/>
        <w:keepLines w:val="0"/>
        <w:pageBreakBefore w:val="0"/>
        <w:widowControl w:val="0"/>
        <w:shd w:val="clear"/>
        <w:kinsoku/>
        <w:wordWrap/>
        <w:overflowPunct/>
        <w:topLinePunct w:val="0"/>
        <w:autoSpaceDE/>
        <w:autoSpaceDN/>
        <w:bidi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（2）宣布招标人、代理机构主持人、见证人等有关人员姓名；</w:t>
      </w:r>
    </w:p>
    <w:p w14:paraId="1FB485A8">
      <w:pPr>
        <w:keepNext w:val="0"/>
        <w:keepLines w:val="0"/>
        <w:pageBreakBefore w:val="0"/>
        <w:widowControl w:val="0"/>
        <w:shd w:val="clear"/>
        <w:kinsoku/>
        <w:wordWrap/>
        <w:overflowPunct/>
        <w:topLinePunct w:val="0"/>
        <w:autoSpaceDE/>
        <w:autoSpaceDN/>
        <w:bidi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 xml:space="preserve">（3）公布投标截止时间前，通过滁州市公共资源交易中心网上招投标系统递交投标文件的投标人名称等； </w:t>
      </w:r>
    </w:p>
    <w:p w14:paraId="3FE478B0">
      <w:pPr>
        <w:keepNext w:val="0"/>
        <w:keepLines w:val="0"/>
        <w:pageBreakBefore w:val="0"/>
        <w:widowControl w:val="0"/>
        <w:shd w:val="clear"/>
        <w:kinsoku/>
        <w:wordWrap/>
        <w:overflowPunct/>
        <w:topLinePunct w:val="0"/>
        <w:autoSpaceDE/>
        <w:autoSpaceDN/>
        <w:bidi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（4）投标人在投标截止时间后，规定时间内完成投标文件解密工作；</w:t>
      </w:r>
    </w:p>
    <w:p w14:paraId="7B53A5AA">
      <w:pPr>
        <w:keepNext w:val="0"/>
        <w:keepLines w:val="0"/>
        <w:pageBreakBefore w:val="0"/>
        <w:widowControl w:val="0"/>
        <w:shd w:val="clear"/>
        <w:kinsoku/>
        <w:wordWrap/>
        <w:overflowPunct/>
        <w:topLinePunct w:val="0"/>
        <w:autoSpaceDE/>
        <w:autoSpaceDN/>
        <w:bidi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（5）公布投标人投标报价、质量目标、供货期及其他内容，并记录在案；</w:t>
      </w:r>
    </w:p>
    <w:p w14:paraId="41740015">
      <w:pPr>
        <w:keepNext w:val="0"/>
        <w:keepLines w:val="0"/>
        <w:pageBreakBefore w:val="0"/>
        <w:widowControl w:val="0"/>
        <w:shd w:val="clear"/>
        <w:kinsoku/>
        <w:wordWrap/>
        <w:overflowPunct/>
        <w:topLinePunct w:val="0"/>
        <w:autoSpaceDE/>
        <w:autoSpaceDN/>
        <w:bidi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（6）开标结束。</w:t>
      </w:r>
    </w:p>
    <w:p w14:paraId="103052A8">
      <w:pPr>
        <w:keepNext w:val="0"/>
        <w:keepLines w:val="0"/>
        <w:pageBreakBefore w:val="0"/>
        <w:widowControl w:val="0"/>
        <w:shd w:val="clear"/>
        <w:kinsoku/>
        <w:wordWrap/>
        <w:overflowPunct/>
        <w:topLinePunct w:val="0"/>
        <w:autoSpaceDE/>
        <w:autoSpaceDN/>
        <w:bidi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多标段项目按照标段顺序按以上程序依次开标。</w:t>
      </w:r>
    </w:p>
    <w:p w14:paraId="125AF261">
      <w:pPr>
        <w:keepNext w:val="0"/>
        <w:keepLines w:val="0"/>
        <w:pageBreakBefore w:val="0"/>
        <w:widowControl w:val="0"/>
        <w:shd w:val="clear"/>
        <w:kinsoku/>
        <w:wordWrap/>
        <w:overflowPunct/>
        <w:topLinePunct w:val="0"/>
        <w:autoSpaceDE/>
        <w:autoSpaceDN/>
        <w:bidi w:val="0"/>
        <w:spacing w:line="500" w:lineRule="exact"/>
        <w:ind w:right="0" w:rightChars="0" w:firstLine="420" w:firstLineChars="200"/>
        <w:jc w:val="left"/>
        <w:textAlignment w:val="auto"/>
        <w:rPr>
          <w:rFonts w:ascii="宋体"/>
          <w:color w:val="auto"/>
          <w:szCs w:val="21"/>
          <w:highlight w:val="none"/>
        </w:rPr>
      </w:pPr>
      <w:r>
        <w:rPr>
          <w:rFonts w:hint="eastAsia" w:ascii="宋体"/>
          <w:color w:val="auto"/>
          <w:szCs w:val="21"/>
          <w:highlight w:val="none"/>
        </w:rPr>
        <w:t>29.4开标异议</w:t>
      </w:r>
    </w:p>
    <w:p w14:paraId="773ACADB">
      <w:pPr>
        <w:keepNext w:val="0"/>
        <w:keepLines w:val="0"/>
        <w:pageBreakBefore w:val="0"/>
        <w:widowControl w:val="0"/>
        <w:shd w:val="clear"/>
        <w:kinsoku/>
        <w:wordWrap/>
        <w:overflowPunct/>
        <w:topLinePunct w:val="0"/>
        <w:autoSpaceDE/>
        <w:autoSpaceDN/>
        <w:bidi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投标人对开标有异议的，应当在开标现场提出，招标人当场作出答复，并制作记录。异议与答复应通过电子交易系统进行。</w:t>
      </w:r>
    </w:p>
    <w:p w14:paraId="752FD2EC">
      <w:pPr>
        <w:keepNext w:val="0"/>
        <w:keepLines w:val="0"/>
        <w:pageBreakBefore w:val="0"/>
        <w:widowControl w:val="0"/>
        <w:shd w:val="clear"/>
        <w:kinsoku/>
        <w:wordWrap/>
        <w:overflowPunct/>
        <w:topLinePunct w:val="0"/>
        <w:autoSpaceDE/>
        <w:autoSpaceDN/>
        <w:bidi w:val="0"/>
        <w:spacing w:line="500" w:lineRule="exact"/>
        <w:ind w:right="0" w:rightChars="0" w:firstLine="422" w:firstLineChars="200"/>
        <w:jc w:val="left"/>
        <w:textAlignment w:val="auto"/>
        <w:rPr>
          <w:rFonts w:ascii="宋体"/>
          <w:b/>
          <w:color w:val="auto"/>
          <w:szCs w:val="21"/>
          <w:highlight w:val="none"/>
        </w:rPr>
      </w:pPr>
      <w:r>
        <w:rPr>
          <w:rFonts w:hint="eastAsia" w:ascii="宋体"/>
          <w:b/>
          <w:color w:val="auto"/>
          <w:szCs w:val="21"/>
          <w:highlight w:val="none"/>
        </w:rPr>
        <w:t>30.评标委员会</w:t>
      </w:r>
    </w:p>
    <w:p w14:paraId="2AF1B3DC">
      <w:pPr>
        <w:keepNext w:val="0"/>
        <w:keepLines w:val="0"/>
        <w:pageBreakBefore w:val="0"/>
        <w:widowControl w:val="0"/>
        <w:shd w:val="clear"/>
        <w:kinsoku/>
        <w:wordWrap/>
        <w:overflowPunct/>
        <w:topLinePunct w:val="0"/>
        <w:autoSpaceDE/>
        <w:autoSpaceDN/>
        <w:bidi w:val="0"/>
        <w:spacing w:line="500" w:lineRule="exact"/>
        <w:ind w:right="0" w:rightChars="0" w:firstLine="420" w:firstLineChars="200"/>
        <w:jc w:val="left"/>
        <w:textAlignment w:val="auto"/>
        <w:rPr>
          <w:rFonts w:ascii="宋体" w:cs="宋体"/>
          <w:color w:val="auto"/>
          <w:szCs w:val="21"/>
          <w:highlight w:val="none"/>
        </w:rPr>
      </w:pPr>
      <w:r>
        <w:rPr>
          <w:rFonts w:hint="eastAsia" w:ascii="宋体"/>
          <w:color w:val="auto"/>
          <w:szCs w:val="21"/>
          <w:highlight w:val="none"/>
        </w:rPr>
        <w:t>30.1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6EE76D1D">
      <w:pPr>
        <w:keepNext w:val="0"/>
        <w:keepLines w:val="0"/>
        <w:pageBreakBefore w:val="0"/>
        <w:widowControl w:val="0"/>
        <w:shd w:val="clear"/>
        <w:kinsoku/>
        <w:wordWrap/>
        <w:overflowPunct/>
        <w:topLinePunct w:val="0"/>
        <w:autoSpaceDE/>
        <w:autoSpaceDN/>
        <w:bidi w:val="0"/>
        <w:spacing w:line="500" w:lineRule="exact"/>
        <w:ind w:right="0" w:rightChars="0"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089093D1">
      <w:pPr>
        <w:keepNext w:val="0"/>
        <w:keepLines w:val="0"/>
        <w:pageBreakBefore w:val="0"/>
        <w:widowControl w:val="0"/>
        <w:shd w:val="clear"/>
        <w:kinsoku/>
        <w:wordWrap/>
        <w:overflowPunct/>
        <w:topLinePunct w:val="0"/>
        <w:autoSpaceDE/>
        <w:autoSpaceDN/>
        <w:bidi w:val="0"/>
        <w:spacing w:line="500" w:lineRule="exact"/>
        <w:ind w:right="0" w:rightChars="0"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46671416">
      <w:pPr>
        <w:keepNext w:val="0"/>
        <w:keepLines w:val="0"/>
        <w:pageBreakBefore w:val="0"/>
        <w:widowControl w:val="0"/>
        <w:shd w:val="clear"/>
        <w:kinsoku/>
        <w:wordWrap/>
        <w:overflowPunct/>
        <w:topLinePunct w:val="0"/>
        <w:autoSpaceDE/>
        <w:autoSpaceDN/>
        <w:bidi w:val="0"/>
        <w:spacing w:line="500" w:lineRule="exact"/>
        <w:ind w:right="0" w:rightChars="0"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68AB2943">
      <w:pPr>
        <w:keepNext w:val="0"/>
        <w:keepLines w:val="0"/>
        <w:pageBreakBefore w:val="0"/>
        <w:widowControl w:val="0"/>
        <w:shd w:val="clear"/>
        <w:kinsoku/>
        <w:wordWrap/>
        <w:overflowPunct/>
        <w:topLinePunct w:val="0"/>
        <w:autoSpaceDE/>
        <w:autoSpaceDN/>
        <w:bidi w:val="0"/>
        <w:spacing w:line="500" w:lineRule="exact"/>
        <w:ind w:right="0" w:rightChars="0"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16519FB4">
      <w:pPr>
        <w:keepNext w:val="0"/>
        <w:keepLines w:val="0"/>
        <w:pageBreakBefore w:val="0"/>
        <w:widowControl w:val="0"/>
        <w:shd w:val="clear"/>
        <w:kinsoku/>
        <w:wordWrap/>
        <w:overflowPunct/>
        <w:topLinePunct w:val="0"/>
        <w:autoSpaceDE/>
        <w:autoSpaceDN/>
        <w:bidi w:val="0"/>
        <w:spacing w:line="500" w:lineRule="exact"/>
        <w:ind w:right="0" w:rightChars="0"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5E7D6734">
      <w:pPr>
        <w:keepNext w:val="0"/>
        <w:keepLines w:val="0"/>
        <w:pageBreakBefore w:val="0"/>
        <w:widowControl w:val="0"/>
        <w:shd w:val="clear"/>
        <w:kinsoku/>
        <w:wordWrap/>
        <w:overflowPunct/>
        <w:topLinePunct w:val="0"/>
        <w:autoSpaceDE/>
        <w:autoSpaceDN/>
        <w:bidi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（5）存在其他法定回避情形的。</w:t>
      </w:r>
    </w:p>
    <w:p w14:paraId="1B0FD0C7">
      <w:pPr>
        <w:keepNext w:val="0"/>
        <w:keepLines w:val="0"/>
        <w:pageBreakBefore w:val="0"/>
        <w:widowControl w:val="0"/>
        <w:shd w:val="clear"/>
        <w:kinsoku/>
        <w:wordWrap/>
        <w:overflowPunct/>
        <w:topLinePunct w:val="0"/>
        <w:autoSpaceDE/>
        <w:autoSpaceDN/>
        <w:bidi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 xml:space="preserve">项目实施主体及其子公司、下属单位、上级主管部门或者控股公司的工作人员或者退休人员不得以专家身份参与本单位或者代理项目的评标评审。 </w:t>
      </w:r>
    </w:p>
    <w:p w14:paraId="33E2B4F6">
      <w:pPr>
        <w:keepNext w:val="0"/>
        <w:keepLines w:val="0"/>
        <w:pageBreakBefore w:val="0"/>
        <w:widowControl w:val="0"/>
        <w:shd w:val="clear"/>
        <w:kinsoku/>
        <w:wordWrap/>
        <w:overflowPunct/>
        <w:topLinePunct w:val="0"/>
        <w:autoSpaceDE/>
        <w:autoSpaceDN/>
        <w:bidi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 xml:space="preserve">评标委员会或评审机构成员有前两款规定情形的，应当主动提出回避；已经进入的应当更换，被更换的成员评标评审意见无效。 </w:t>
      </w:r>
    </w:p>
    <w:p w14:paraId="1320132E">
      <w:pPr>
        <w:keepNext w:val="0"/>
        <w:keepLines w:val="0"/>
        <w:pageBreakBefore w:val="0"/>
        <w:widowControl w:val="0"/>
        <w:shd w:val="clear"/>
        <w:kinsoku/>
        <w:wordWrap/>
        <w:overflowPunct/>
        <w:topLinePunct w:val="0"/>
        <w:autoSpaceDE/>
        <w:autoSpaceDN/>
        <w:bidi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30.3评标过程中，评标委员会成员有回避事由、擅离职守或因健康等原因不能继续评标的， 招标人有权更换。被更换的评标委员会成员作出的评审结论无效，由更换后的评标委员会成员重新进行评审。</w:t>
      </w:r>
    </w:p>
    <w:p w14:paraId="7EA1703F">
      <w:pPr>
        <w:keepNext w:val="0"/>
        <w:keepLines w:val="0"/>
        <w:pageBreakBefore w:val="0"/>
        <w:widowControl w:val="0"/>
        <w:shd w:val="clear"/>
        <w:kinsoku/>
        <w:wordWrap/>
        <w:overflowPunct/>
        <w:topLinePunct w:val="0"/>
        <w:autoSpaceDE/>
        <w:autoSpaceDN/>
        <w:bidi w:val="0"/>
        <w:spacing w:line="500" w:lineRule="exact"/>
        <w:ind w:right="0" w:rightChars="0" w:firstLine="422" w:firstLineChars="200"/>
        <w:jc w:val="left"/>
        <w:textAlignment w:val="auto"/>
        <w:rPr>
          <w:rFonts w:ascii="宋体"/>
          <w:b/>
          <w:color w:val="auto"/>
          <w:szCs w:val="21"/>
          <w:highlight w:val="none"/>
        </w:rPr>
      </w:pPr>
      <w:r>
        <w:rPr>
          <w:rFonts w:hint="eastAsia" w:ascii="宋体"/>
          <w:b/>
          <w:color w:val="auto"/>
          <w:szCs w:val="21"/>
          <w:highlight w:val="none"/>
        </w:rPr>
        <w:t>31.评标</w:t>
      </w:r>
    </w:p>
    <w:p w14:paraId="138E64E9">
      <w:pPr>
        <w:keepNext w:val="0"/>
        <w:keepLines w:val="0"/>
        <w:pageBreakBefore w:val="0"/>
        <w:widowControl w:val="0"/>
        <w:shd w:val="clear"/>
        <w:kinsoku/>
        <w:wordWrap/>
        <w:overflowPunct/>
        <w:topLinePunct w:val="0"/>
        <w:autoSpaceDE/>
        <w:autoSpaceDN/>
        <w:bidi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31.1评标委员会按照第三章“评标办法”规定的方法、评审因素、标准和程序对投标文件进行评审。第三章“评标办法”没有规定的方法、评审因素和标准，不作为评标依据。</w:t>
      </w:r>
    </w:p>
    <w:p w14:paraId="2219DA98">
      <w:pPr>
        <w:keepNext w:val="0"/>
        <w:keepLines w:val="0"/>
        <w:pageBreakBefore w:val="0"/>
        <w:widowControl w:val="0"/>
        <w:shd w:val="clear"/>
        <w:kinsoku/>
        <w:wordWrap/>
        <w:overflowPunct/>
        <w:topLinePunct w:val="0"/>
        <w:autoSpaceDE/>
        <w:autoSpaceDN/>
        <w:bidi w:val="0"/>
        <w:spacing w:line="500" w:lineRule="exact"/>
        <w:ind w:right="0" w:rightChars="0" w:firstLine="420" w:firstLineChars="200"/>
        <w:jc w:val="left"/>
        <w:textAlignment w:val="auto"/>
        <w:rPr>
          <w:rFonts w:ascii="宋体" w:hAnsi="宋体" w:cs="宋体"/>
          <w:color w:val="auto"/>
          <w:szCs w:val="21"/>
          <w:highlight w:val="none"/>
        </w:rPr>
      </w:pPr>
      <w:bookmarkStart w:id="58" w:name="_Toc449028873"/>
      <w:r>
        <w:rPr>
          <w:rFonts w:hint="eastAsia" w:ascii="宋体" w:hAnsi="宋体" w:cs="宋体"/>
          <w:color w:val="auto"/>
          <w:szCs w:val="21"/>
          <w:highlight w:val="none"/>
        </w:rPr>
        <w:t>31.2评标完成后，评标委员会应向招标人提交书面评标报告和中标候选人名单。评标委员会推荐中标候选人的人数见投标人须知前附表。</w:t>
      </w:r>
    </w:p>
    <w:p w14:paraId="71F00AD0">
      <w:pPr>
        <w:keepNext w:val="0"/>
        <w:keepLines w:val="0"/>
        <w:pageBreakBefore w:val="0"/>
        <w:widowControl w:val="0"/>
        <w:shd w:val="clear"/>
        <w:kinsoku/>
        <w:wordWrap/>
        <w:overflowPunct/>
        <w:topLinePunct w:val="0"/>
        <w:autoSpaceDE/>
        <w:autoSpaceDN/>
        <w:bidi w:val="0"/>
        <w:spacing w:line="500" w:lineRule="exact"/>
        <w:ind w:right="0" w:rightChars="0" w:firstLine="420" w:firstLineChars="200"/>
        <w:jc w:val="left"/>
        <w:textAlignment w:val="auto"/>
        <w:rPr>
          <w:rFonts w:ascii="宋体"/>
          <w:color w:val="auto"/>
          <w:szCs w:val="21"/>
          <w:highlight w:val="none"/>
        </w:rPr>
      </w:pPr>
      <w:r>
        <w:rPr>
          <w:rFonts w:hint="eastAsia" w:ascii="宋体"/>
          <w:color w:val="auto"/>
          <w:szCs w:val="21"/>
          <w:highlight w:val="none"/>
        </w:rPr>
        <w:t>31.3评标原则：遵循公平、公正、科学和择优的原则。</w:t>
      </w:r>
    </w:p>
    <w:p w14:paraId="6770AC9B">
      <w:pPr>
        <w:keepNext w:val="0"/>
        <w:keepLines w:val="0"/>
        <w:pageBreakBefore w:val="0"/>
        <w:widowControl w:val="0"/>
        <w:shd w:val="clear"/>
        <w:tabs>
          <w:tab w:val="left" w:pos="720"/>
        </w:tabs>
        <w:kinsoku/>
        <w:wordWrap/>
        <w:overflowPunct/>
        <w:topLinePunct w:val="0"/>
        <w:autoSpaceDE/>
        <w:autoSpaceDN/>
        <w:bidi w:val="0"/>
        <w:spacing w:line="500" w:lineRule="exact"/>
        <w:ind w:right="0" w:rightChars="0" w:firstLine="420" w:firstLineChars="200"/>
        <w:jc w:val="left"/>
        <w:textAlignment w:val="auto"/>
        <w:rPr>
          <w:rFonts w:ascii="宋体"/>
          <w:color w:val="auto"/>
          <w:szCs w:val="21"/>
          <w:highlight w:val="none"/>
        </w:rPr>
      </w:pPr>
      <w:r>
        <w:rPr>
          <w:rFonts w:hint="eastAsia" w:ascii="宋体"/>
          <w:color w:val="auto"/>
          <w:szCs w:val="21"/>
          <w:highlight w:val="none"/>
        </w:rPr>
        <w:t>31.4投标文件的澄清</w:t>
      </w:r>
    </w:p>
    <w:p w14:paraId="6B9AE183">
      <w:pPr>
        <w:keepNext w:val="0"/>
        <w:keepLines w:val="0"/>
        <w:pageBreakBefore w:val="0"/>
        <w:widowControl w:val="0"/>
        <w:shd w:val="clear"/>
        <w:tabs>
          <w:tab w:val="left" w:pos="720"/>
        </w:tabs>
        <w:kinsoku/>
        <w:wordWrap/>
        <w:overflowPunct/>
        <w:topLinePunct w:val="0"/>
        <w:autoSpaceDE/>
        <w:autoSpaceDN/>
        <w:bidi w:val="0"/>
        <w:spacing w:line="500" w:lineRule="exact"/>
        <w:ind w:right="0" w:rightChars="0" w:firstLine="420" w:firstLineChars="200"/>
        <w:jc w:val="left"/>
        <w:textAlignment w:val="auto"/>
        <w:rPr>
          <w:rFonts w:ascii="宋体"/>
          <w:color w:val="auto"/>
          <w:szCs w:val="21"/>
          <w:highlight w:val="none"/>
        </w:rPr>
      </w:pPr>
      <w:r>
        <w:rPr>
          <w:rFonts w:hint="eastAsia" w:ascii="宋体"/>
          <w:color w:val="auto"/>
          <w:szCs w:val="21"/>
          <w:highlight w:val="none"/>
        </w:rPr>
        <w:t>31.4.1在评标过程中，评标委员会认为需要，在公共资源交易监督管理部门的监督下，可要求投标人对投标文件中的有关问题进行澄清或提供补充说明及有关资料，投标人应做出书面答复。</w:t>
      </w:r>
    </w:p>
    <w:p w14:paraId="7CC14914">
      <w:pPr>
        <w:keepNext w:val="0"/>
        <w:keepLines w:val="0"/>
        <w:pageBreakBefore w:val="0"/>
        <w:widowControl w:val="0"/>
        <w:shd w:val="clear"/>
        <w:tabs>
          <w:tab w:val="left" w:pos="720"/>
        </w:tabs>
        <w:kinsoku/>
        <w:wordWrap/>
        <w:overflowPunct/>
        <w:topLinePunct w:val="0"/>
        <w:autoSpaceDE/>
        <w:autoSpaceDN/>
        <w:bidi w:val="0"/>
        <w:spacing w:line="500" w:lineRule="exact"/>
        <w:ind w:right="0" w:rightChars="0" w:firstLine="420" w:firstLineChars="200"/>
        <w:jc w:val="left"/>
        <w:textAlignment w:val="auto"/>
        <w:rPr>
          <w:rFonts w:ascii="宋体"/>
          <w:color w:val="auto"/>
          <w:szCs w:val="21"/>
          <w:highlight w:val="none"/>
        </w:rPr>
      </w:pPr>
      <w:r>
        <w:rPr>
          <w:rFonts w:hint="eastAsia" w:ascii="宋体"/>
          <w:color w:val="auto"/>
          <w:szCs w:val="21"/>
          <w:highlight w:val="none"/>
        </w:rPr>
        <w:t>31.4.2书面答复须经投标人法定代表人或其委托代理人签字或盖章，签字或盖章的书面答复将被视为投标文件的组成部分。</w:t>
      </w:r>
    </w:p>
    <w:p w14:paraId="66741003">
      <w:pPr>
        <w:keepNext w:val="0"/>
        <w:keepLines w:val="0"/>
        <w:pageBreakBefore w:val="0"/>
        <w:widowControl w:val="0"/>
        <w:shd w:val="clear"/>
        <w:tabs>
          <w:tab w:val="left" w:pos="720"/>
        </w:tabs>
        <w:kinsoku/>
        <w:wordWrap/>
        <w:overflowPunct/>
        <w:topLinePunct w:val="0"/>
        <w:autoSpaceDE/>
        <w:autoSpaceDN/>
        <w:bidi w:val="0"/>
        <w:spacing w:line="500" w:lineRule="exact"/>
        <w:ind w:right="0" w:rightChars="0" w:firstLine="420" w:firstLineChars="200"/>
        <w:jc w:val="left"/>
        <w:textAlignment w:val="auto"/>
        <w:rPr>
          <w:rFonts w:ascii="宋体"/>
          <w:color w:val="auto"/>
          <w:szCs w:val="21"/>
          <w:highlight w:val="none"/>
        </w:rPr>
      </w:pPr>
      <w:r>
        <w:rPr>
          <w:rFonts w:hint="eastAsia" w:ascii="宋体"/>
          <w:color w:val="auto"/>
          <w:szCs w:val="21"/>
          <w:highlight w:val="none"/>
        </w:rPr>
        <w:t>31.5报价合理性的判断</w:t>
      </w:r>
    </w:p>
    <w:p w14:paraId="4BAD98A5">
      <w:pPr>
        <w:keepNext w:val="0"/>
        <w:keepLines w:val="0"/>
        <w:pageBreakBefore w:val="0"/>
        <w:widowControl w:val="0"/>
        <w:shd w:val="clear"/>
        <w:kinsoku/>
        <w:wordWrap/>
        <w:overflowPunct/>
        <w:topLinePunct w:val="0"/>
        <w:autoSpaceDE/>
        <w:autoSpaceDN/>
        <w:bidi w:val="0"/>
        <w:spacing w:line="500" w:lineRule="exact"/>
        <w:ind w:right="0" w:rightChars="0" w:firstLine="422" w:firstLineChars="200"/>
        <w:jc w:val="left"/>
        <w:textAlignment w:val="auto"/>
        <w:rPr>
          <w:rFonts w:ascii="宋体" w:hAnsi="宋体"/>
          <w:b/>
          <w:bCs/>
          <w:color w:val="auto"/>
          <w:szCs w:val="21"/>
          <w:highlight w:val="none"/>
        </w:rPr>
      </w:pPr>
      <w:r>
        <w:rPr>
          <w:rFonts w:hint="eastAsia" w:ascii="宋体" w:hAnsi="宋体"/>
          <w:b/>
          <w:bCs/>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2C005C3">
      <w:pPr>
        <w:keepNext w:val="0"/>
        <w:keepLines w:val="0"/>
        <w:pageBreakBefore w:val="0"/>
        <w:widowControl w:val="0"/>
        <w:shd w:val="clear"/>
        <w:tabs>
          <w:tab w:val="left" w:pos="720"/>
        </w:tabs>
        <w:kinsoku/>
        <w:wordWrap/>
        <w:overflowPunct/>
        <w:topLinePunct w:val="0"/>
        <w:autoSpaceDE/>
        <w:autoSpaceDN/>
        <w:bidi w:val="0"/>
        <w:spacing w:line="500" w:lineRule="exact"/>
        <w:ind w:right="0" w:rightChars="0" w:firstLine="420" w:firstLineChars="200"/>
        <w:jc w:val="left"/>
        <w:textAlignment w:val="auto"/>
        <w:rPr>
          <w:rFonts w:ascii="宋体"/>
          <w:color w:val="auto"/>
          <w:szCs w:val="21"/>
          <w:highlight w:val="none"/>
        </w:rPr>
      </w:pPr>
      <w:r>
        <w:rPr>
          <w:rFonts w:hint="eastAsia" w:ascii="宋体"/>
          <w:color w:val="auto"/>
          <w:szCs w:val="21"/>
          <w:highlight w:val="none"/>
        </w:rPr>
        <w:t>31.6评审意见分歧的处理办法</w:t>
      </w:r>
    </w:p>
    <w:p w14:paraId="5FA72EB3">
      <w:pPr>
        <w:keepNext w:val="0"/>
        <w:keepLines w:val="0"/>
        <w:pageBreakBefore w:val="0"/>
        <w:widowControl w:val="0"/>
        <w:shd w:val="clear"/>
        <w:tabs>
          <w:tab w:val="left" w:pos="720"/>
        </w:tabs>
        <w:kinsoku/>
        <w:wordWrap/>
        <w:overflowPunct/>
        <w:topLinePunct w:val="0"/>
        <w:autoSpaceDE/>
        <w:autoSpaceDN/>
        <w:bidi w:val="0"/>
        <w:spacing w:line="500" w:lineRule="exact"/>
        <w:ind w:right="0" w:rightChars="0" w:firstLine="420" w:firstLineChars="200"/>
        <w:jc w:val="left"/>
        <w:textAlignment w:val="auto"/>
        <w:rPr>
          <w:rFonts w:ascii="宋体"/>
          <w:color w:val="auto"/>
          <w:szCs w:val="21"/>
          <w:highlight w:val="none"/>
        </w:rPr>
      </w:pPr>
      <w:r>
        <w:rPr>
          <w:rFonts w:hint="eastAsia" w:ascii="宋体"/>
          <w:color w:val="auto"/>
          <w:szCs w:val="21"/>
          <w:highlight w:val="none"/>
        </w:rPr>
        <w:t>（1）评标委员会应当对投标人提供的报告、证明材料及详细说明认真研究。对存在意见分歧的，可采用投票方式表决决定（按多数评委意见为准）；</w:t>
      </w:r>
    </w:p>
    <w:p w14:paraId="476EAB96">
      <w:pPr>
        <w:keepNext w:val="0"/>
        <w:keepLines w:val="0"/>
        <w:pageBreakBefore w:val="0"/>
        <w:widowControl w:val="0"/>
        <w:shd w:val="clear"/>
        <w:tabs>
          <w:tab w:val="left" w:pos="720"/>
        </w:tabs>
        <w:kinsoku/>
        <w:wordWrap/>
        <w:overflowPunct/>
        <w:topLinePunct w:val="0"/>
        <w:autoSpaceDE/>
        <w:autoSpaceDN/>
        <w:bidi w:val="0"/>
        <w:spacing w:line="500" w:lineRule="exact"/>
        <w:ind w:right="0" w:rightChars="0" w:firstLine="420" w:firstLineChars="200"/>
        <w:jc w:val="left"/>
        <w:textAlignment w:val="auto"/>
        <w:rPr>
          <w:rFonts w:ascii="宋体"/>
          <w:color w:val="auto"/>
          <w:szCs w:val="21"/>
          <w:highlight w:val="none"/>
        </w:rPr>
      </w:pPr>
      <w:r>
        <w:rPr>
          <w:rFonts w:hint="eastAsia" w:ascii="宋体"/>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2D818E81">
      <w:pPr>
        <w:keepNext w:val="0"/>
        <w:keepLines w:val="0"/>
        <w:pageBreakBefore w:val="0"/>
        <w:widowControl w:val="0"/>
        <w:shd w:val="clear"/>
        <w:tabs>
          <w:tab w:val="left" w:pos="720"/>
        </w:tabs>
        <w:kinsoku/>
        <w:wordWrap/>
        <w:overflowPunct/>
        <w:topLinePunct w:val="0"/>
        <w:autoSpaceDE/>
        <w:autoSpaceDN/>
        <w:bidi w:val="0"/>
        <w:spacing w:line="500" w:lineRule="exact"/>
        <w:ind w:right="0" w:rightChars="0" w:firstLine="420" w:firstLineChars="200"/>
        <w:jc w:val="left"/>
        <w:textAlignment w:val="auto"/>
        <w:rPr>
          <w:rFonts w:ascii="宋体"/>
          <w:color w:val="auto"/>
          <w:szCs w:val="21"/>
          <w:highlight w:val="none"/>
        </w:rPr>
      </w:pPr>
      <w:r>
        <w:rPr>
          <w:rFonts w:hint="eastAsia" w:ascii="宋体"/>
          <w:color w:val="auto"/>
          <w:szCs w:val="21"/>
          <w:highlight w:val="none"/>
        </w:rPr>
        <w:t>31.7评标报告的签署</w:t>
      </w:r>
    </w:p>
    <w:p w14:paraId="403F298B">
      <w:pPr>
        <w:keepNext w:val="0"/>
        <w:keepLines w:val="0"/>
        <w:pageBreakBefore w:val="0"/>
        <w:widowControl w:val="0"/>
        <w:shd w:val="clear"/>
        <w:tabs>
          <w:tab w:val="left" w:pos="720"/>
        </w:tabs>
        <w:kinsoku/>
        <w:wordWrap/>
        <w:overflowPunct/>
        <w:topLinePunct w:val="0"/>
        <w:autoSpaceDE/>
        <w:autoSpaceDN/>
        <w:bidi w:val="0"/>
        <w:spacing w:line="500" w:lineRule="exact"/>
        <w:ind w:right="0" w:rightChars="0" w:firstLine="420" w:firstLineChars="200"/>
        <w:jc w:val="left"/>
        <w:textAlignment w:val="auto"/>
        <w:rPr>
          <w:rFonts w:ascii="宋体"/>
          <w:color w:val="auto"/>
          <w:szCs w:val="21"/>
          <w:highlight w:val="none"/>
        </w:rPr>
      </w:pPr>
      <w:r>
        <w:rPr>
          <w:rFonts w:hint="eastAsia" w:ascii="宋体"/>
          <w:color w:val="auto"/>
          <w:szCs w:val="21"/>
          <w:highlight w:val="none"/>
        </w:rPr>
        <w:t>31.7.1 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3C59A9E8">
      <w:pPr>
        <w:keepNext w:val="0"/>
        <w:keepLines w:val="0"/>
        <w:pageBreakBefore w:val="0"/>
        <w:widowControl w:val="0"/>
        <w:shd w:val="clear"/>
        <w:tabs>
          <w:tab w:val="left" w:pos="720"/>
        </w:tabs>
        <w:kinsoku/>
        <w:wordWrap/>
        <w:overflowPunct/>
        <w:topLinePunct w:val="0"/>
        <w:autoSpaceDE/>
        <w:autoSpaceDN/>
        <w:bidi w:val="0"/>
        <w:spacing w:line="500" w:lineRule="exact"/>
        <w:ind w:right="0" w:rightChars="0" w:firstLine="420" w:firstLineChars="200"/>
        <w:jc w:val="left"/>
        <w:textAlignment w:val="auto"/>
        <w:rPr>
          <w:rFonts w:ascii="宋体"/>
          <w:color w:val="auto"/>
          <w:szCs w:val="21"/>
          <w:highlight w:val="none"/>
        </w:rPr>
      </w:pPr>
      <w:r>
        <w:rPr>
          <w:rFonts w:hint="eastAsia" w:ascii="宋体"/>
          <w:color w:val="auto"/>
          <w:szCs w:val="21"/>
          <w:highlight w:val="none"/>
        </w:rPr>
        <w:t>31.8评标过程的保密</w:t>
      </w:r>
    </w:p>
    <w:p w14:paraId="72F0B9D2">
      <w:pPr>
        <w:keepNext w:val="0"/>
        <w:keepLines w:val="0"/>
        <w:pageBreakBefore w:val="0"/>
        <w:widowControl w:val="0"/>
        <w:shd w:val="clear"/>
        <w:tabs>
          <w:tab w:val="left" w:pos="720"/>
        </w:tabs>
        <w:kinsoku/>
        <w:wordWrap/>
        <w:overflowPunct/>
        <w:topLinePunct w:val="0"/>
        <w:autoSpaceDE/>
        <w:autoSpaceDN/>
        <w:bidi w:val="0"/>
        <w:spacing w:line="500" w:lineRule="exact"/>
        <w:ind w:right="0" w:rightChars="0" w:firstLine="420" w:firstLineChars="200"/>
        <w:jc w:val="left"/>
        <w:textAlignment w:val="auto"/>
        <w:rPr>
          <w:rFonts w:ascii="宋体"/>
          <w:color w:val="auto"/>
          <w:szCs w:val="21"/>
          <w:highlight w:val="none"/>
        </w:rPr>
      </w:pPr>
      <w:r>
        <w:rPr>
          <w:rFonts w:hint="eastAsia" w:ascii="宋体"/>
          <w:color w:val="auto"/>
          <w:szCs w:val="21"/>
          <w:highlight w:val="none"/>
        </w:rPr>
        <w:t>评标委员会成员和与评标活动有关的工作人员不得透露对投标文件的评审和比较、中标人的推荐情况以及与评标有关的其他情况。</w:t>
      </w:r>
    </w:p>
    <w:p w14:paraId="5DA0A9CF">
      <w:pPr>
        <w:keepNext w:val="0"/>
        <w:keepLines w:val="0"/>
        <w:pageBreakBefore w:val="0"/>
        <w:widowControl w:val="0"/>
        <w:shd w:val="clear"/>
        <w:tabs>
          <w:tab w:val="left" w:pos="720"/>
        </w:tabs>
        <w:kinsoku/>
        <w:wordWrap/>
        <w:overflowPunct/>
        <w:topLinePunct w:val="0"/>
        <w:autoSpaceDE/>
        <w:autoSpaceDN/>
        <w:bidi w:val="0"/>
        <w:spacing w:line="500" w:lineRule="exact"/>
        <w:ind w:right="0" w:rightChars="0" w:firstLine="420" w:firstLineChars="200"/>
        <w:jc w:val="left"/>
        <w:textAlignment w:val="auto"/>
        <w:rPr>
          <w:rFonts w:ascii="宋体"/>
          <w:color w:val="auto"/>
          <w:szCs w:val="21"/>
          <w:highlight w:val="none"/>
        </w:rPr>
      </w:pPr>
      <w:r>
        <w:rPr>
          <w:rFonts w:hint="eastAsia" w:ascii="宋体"/>
          <w:color w:val="auto"/>
          <w:szCs w:val="21"/>
          <w:highlight w:val="none"/>
        </w:rPr>
        <w:t>31.9评标结果公告</w:t>
      </w:r>
    </w:p>
    <w:p w14:paraId="1ABC40D3">
      <w:pPr>
        <w:keepNext w:val="0"/>
        <w:keepLines w:val="0"/>
        <w:pageBreakBefore w:val="0"/>
        <w:widowControl w:val="0"/>
        <w:shd w:val="clear"/>
        <w:tabs>
          <w:tab w:val="left" w:pos="720"/>
        </w:tabs>
        <w:kinsoku/>
        <w:wordWrap/>
        <w:overflowPunct/>
        <w:topLinePunct w:val="0"/>
        <w:autoSpaceDE/>
        <w:autoSpaceDN/>
        <w:bidi w:val="0"/>
        <w:spacing w:line="500" w:lineRule="exact"/>
        <w:ind w:right="0" w:rightChars="0" w:firstLine="420" w:firstLineChars="200"/>
        <w:jc w:val="left"/>
        <w:textAlignment w:val="auto"/>
        <w:rPr>
          <w:color w:val="auto"/>
          <w:highlight w:val="none"/>
        </w:rPr>
      </w:pPr>
      <w:r>
        <w:rPr>
          <w:rFonts w:hint="eastAsia" w:ascii="宋体"/>
          <w:color w:val="auto"/>
          <w:szCs w:val="21"/>
          <w:highlight w:val="none"/>
        </w:rPr>
        <w:t>招标人应将中标人的情况在滁州市公共资源交易中心等网站上予以公告，公告期为3日。</w:t>
      </w:r>
    </w:p>
    <w:p w14:paraId="1E4C70BF">
      <w:pPr>
        <w:keepNext w:val="0"/>
        <w:keepLines w:val="0"/>
        <w:pageBreakBefore w:val="0"/>
        <w:widowControl w:val="0"/>
        <w:shd w:val="clear"/>
        <w:kinsoku/>
        <w:wordWrap/>
        <w:overflowPunct/>
        <w:topLinePunct w:val="0"/>
        <w:autoSpaceDE/>
        <w:autoSpaceDN/>
        <w:bidi w:val="0"/>
        <w:spacing w:line="500" w:lineRule="exact"/>
        <w:ind w:right="0" w:rightChars="0" w:firstLine="422" w:firstLineChars="200"/>
        <w:jc w:val="left"/>
        <w:textAlignment w:val="auto"/>
        <w:rPr>
          <w:rFonts w:ascii="宋体"/>
          <w:b/>
          <w:color w:val="auto"/>
          <w:szCs w:val="21"/>
          <w:highlight w:val="none"/>
        </w:rPr>
      </w:pPr>
      <w:r>
        <w:rPr>
          <w:rFonts w:hint="eastAsia" w:ascii="宋体"/>
          <w:b/>
          <w:color w:val="auto"/>
          <w:szCs w:val="21"/>
          <w:highlight w:val="none"/>
        </w:rPr>
        <w:t>32.定标</w:t>
      </w:r>
    </w:p>
    <w:p w14:paraId="3D4AD389">
      <w:pPr>
        <w:keepNext w:val="0"/>
        <w:keepLines w:val="0"/>
        <w:pageBreakBefore w:val="0"/>
        <w:widowControl w:val="0"/>
        <w:shd w:val="clear"/>
        <w:tabs>
          <w:tab w:val="left" w:pos="720"/>
        </w:tabs>
        <w:kinsoku/>
        <w:wordWrap/>
        <w:overflowPunct/>
        <w:topLinePunct w:val="0"/>
        <w:autoSpaceDE/>
        <w:autoSpaceDN/>
        <w:bidi w:val="0"/>
        <w:spacing w:line="500" w:lineRule="exact"/>
        <w:ind w:right="0" w:rightChars="0" w:firstLine="420" w:firstLineChars="200"/>
        <w:jc w:val="left"/>
        <w:textAlignment w:val="auto"/>
        <w:rPr>
          <w:rFonts w:ascii="宋体"/>
          <w:color w:val="auto"/>
          <w:szCs w:val="21"/>
          <w:highlight w:val="none"/>
        </w:rPr>
      </w:pPr>
      <w:r>
        <w:rPr>
          <w:rFonts w:hint="eastAsia" w:ascii="宋体"/>
          <w:color w:val="auto"/>
          <w:szCs w:val="21"/>
          <w:highlight w:val="none"/>
        </w:rPr>
        <w:t>32.1 中标人的确定</w:t>
      </w:r>
    </w:p>
    <w:p w14:paraId="511F9399">
      <w:pPr>
        <w:keepNext w:val="0"/>
        <w:keepLines w:val="0"/>
        <w:pageBreakBefore w:val="0"/>
        <w:widowControl w:val="0"/>
        <w:shd w:val="clear"/>
        <w:tabs>
          <w:tab w:val="left" w:pos="720"/>
        </w:tabs>
        <w:kinsoku/>
        <w:wordWrap/>
        <w:overflowPunct/>
        <w:topLinePunct w:val="0"/>
        <w:autoSpaceDE/>
        <w:autoSpaceDN/>
        <w:bidi w:val="0"/>
        <w:spacing w:line="500" w:lineRule="exact"/>
        <w:ind w:right="0" w:rightChars="0" w:firstLine="420" w:firstLineChars="200"/>
        <w:jc w:val="left"/>
        <w:textAlignment w:val="auto"/>
        <w:rPr>
          <w:rFonts w:ascii="宋体"/>
          <w:color w:val="auto"/>
          <w:szCs w:val="21"/>
          <w:highlight w:val="none"/>
        </w:rPr>
      </w:pPr>
      <w:r>
        <w:rPr>
          <w:rFonts w:hint="eastAsia" w:ascii="宋体"/>
          <w:color w:val="auto"/>
          <w:szCs w:val="21"/>
          <w:highlight w:val="none"/>
        </w:rPr>
        <w:t>32.1.1</w:t>
      </w:r>
      <w:r>
        <w:rPr>
          <w:rFonts w:hint="eastAsia" w:ascii="宋体" w:hAnsi="宋体" w:cs="宋体"/>
          <w:color w:val="auto"/>
          <w:szCs w:val="21"/>
          <w:highlight w:val="none"/>
        </w:rPr>
        <w:t>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r>
        <w:rPr>
          <w:rFonts w:hint="eastAsia" w:ascii="宋体"/>
          <w:color w:val="auto"/>
          <w:szCs w:val="21"/>
          <w:highlight w:val="none"/>
        </w:rPr>
        <w:t>。</w:t>
      </w:r>
    </w:p>
    <w:p w14:paraId="1B868DB0">
      <w:pPr>
        <w:keepNext w:val="0"/>
        <w:keepLines w:val="0"/>
        <w:pageBreakBefore w:val="0"/>
        <w:widowControl w:val="0"/>
        <w:shd w:val="clear"/>
        <w:tabs>
          <w:tab w:val="left" w:pos="720"/>
        </w:tabs>
        <w:kinsoku/>
        <w:wordWrap/>
        <w:overflowPunct/>
        <w:topLinePunct w:val="0"/>
        <w:autoSpaceDE/>
        <w:autoSpaceDN/>
        <w:bidi w:val="0"/>
        <w:spacing w:line="500" w:lineRule="exact"/>
        <w:ind w:right="0" w:rightChars="0" w:firstLine="420" w:firstLineChars="200"/>
        <w:jc w:val="left"/>
        <w:textAlignment w:val="auto"/>
        <w:rPr>
          <w:rFonts w:ascii="宋体"/>
          <w:color w:val="auto"/>
          <w:szCs w:val="21"/>
          <w:highlight w:val="none"/>
        </w:rPr>
      </w:pPr>
      <w:r>
        <w:rPr>
          <w:rFonts w:hint="eastAsia" w:ascii="宋体"/>
          <w:color w:val="auto"/>
          <w:szCs w:val="21"/>
          <w:highlight w:val="none"/>
        </w:rPr>
        <w:t>32.1.2中标人确定后，招标人应将中标信息在滁州市公共资源交易中心等网站上公告。</w:t>
      </w:r>
    </w:p>
    <w:p w14:paraId="701CAA28">
      <w:pPr>
        <w:keepNext w:val="0"/>
        <w:keepLines w:val="0"/>
        <w:pageBreakBefore w:val="0"/>
        <w:widowControl w:val="0"/>
        <w:shd w:val="clear"/>
        <w:tabs>
          <w:tab w:val="left" w:pos="720"/>
        </w:tabs>
        <w:kinsoku/>
        <w:wordWrap/>
        <w:overflowPunct/>
        <w:topLinePunct w:val="0"/>
        <w:autoSpaceDE/>
        <w:autoSpaceDN/>
        <w:bidi w:val="0"/>
        <w:spacing w:line="500" w:lineRule="exact"/>
        <w:ind w:right="0" w:rightChars="0" w:firstLine="420" w:firstLineChars="200"/>
        <w:jc w:val="left"/>
        <w:textAlignment w:val="auto"/>
        <w:rPr>
          <w:rFonts w:ascii="宋体"/>
          <w:color w:val="auto"/>
          <w:szCs w:val="21"/>
          <w:highlight w:val="none"/>
        </w:rPr>
      </w:pPr>
      <w:r>
        <w:rPr>
          <w:rFonts w:hint="eastAsia" w:ascii="宋体"/>
          <w:color w:val="auto"/>
          <w:szCs w:val="21"/>
          <w:highlight w:val="none"/>
        </w:rPr>
        <w:t>32.2 中标通知书</w:t>
      </w:r>
    </w:p>
    <w:p w14:paraId="48F9143D">
      <w:pPr>
        <w:keepNext w:val="0"/>
        <w:keepLines w:val="0"/>
        <w:pageBreakBefore w:val="0"/>
        <w:widowControl w:val="0"/>
        <w:shd w:val="clear"/>
        <w:tabs>
          <w:tab w:val="left" w:pos="720"/>
        </w:tabs>
        <w:kinsoku/>
        <w:wordWrap/>
        <w:overflowPunct/>
        <w:topLinePunct w:val="0"/>
        <w:autoSpaceDE/>
        <w:autoSpaceDN/>
        <w:bidi w:val="0"/>
        <w:spacing w:line="500" w:lineRule="exact"/>
        <w:ind w:right="0" w:rightChars="0" w:firstLine="420" w:firstLineChars="200"/>
        <w:jc w:val="left"/>
        <w:textAlignment w:val="auto"/>
        <w:rPr>
          <w:rFonts w:ascii="宋体"/>
          <w:color w:val="auto"/>
          <w:szCs w:val="21"/>
          <w:highlight w:val="none"/>
        </w:rPr>
      </w:pPr>
      <w:r>
        <w:rPr>
          <w:rFonts w:hint="eastAsia" w:ascii="宋体"/>
          <w:color w:val="auto"/>
          <w:szCs w:val="21"/>
          <w:highlight w:val="none"/>
        </w:rPr>
        <w:t>32.2.1招标人或代理机构应在中标人确定之日起2个工作日内，在滁州市公共资源交易中心等网站公告中标结果并同时向中标人发出中标通知书。</w:t>
      </w:r>
    </w:p>
    <w:p w14:paraId="65DD346C">
      <w:pPr>
        <w:keepNext w:val="0"/>
        <w:keepLines w:val="0"/>
        <w:pageBreakBefore w:val="0"/>
        <w:widowControl w:val="0"/>
        <w:shd w:val="clear"/>
        <w:tabs>
          <w:tab w:val="left" w:pos="720"/>
        </w:tabs>
        <w:kinsoku/>
        <w:wordWrap/>
        <w:overflowPunct/>
        <w:topLinePunct w:val="0"/>
        <w:autoSpaceDE/>
        <w:autoSpaceDN/>
        <w:bidi w:val="0"/>
        <w:spacing w:line="500" w:lineRule="exact"/>
        <w:ind w:right="0" w:rightChars="0" w:firstLine="420" w:firstLineChars="200"/>
        <w:jc w:val="left"/>
        <w:textAlignment w:val="auto"/>
        <w:rPr>
          <w:rFonts w:ascii="宋体"/>
          <w:color w:val="auto"/>
          <w:szCs w:val="21"/>
          <w:highlight w:val="none"/>
        </w:rPr>
      </w:pPr>
      <w:r>
        <w:rPr>
          <w:rFonts w:hint="eastAsia" w:ascii="宋体"/>
          <w:color w:val="auto"/>
          <w:szCs w:val="21"/>
          <w:highlight w:val="none"/>
        </w:rPr>
        <w:t>32.2.2中标通知书须加盖招标人、代理机构公章并经公共资源交易中心加盖见证章后，方可发出。</w:t>
      </w:r>
    </w:p>
    <w:p w14:paraId="1D4BD24C">
      <w:pPr>
        <w:keepNext w:val="0"/>
        <w:keepLines w:val="0"/>
        <w:pageBreakBefore w:val="0"/>
        <w:widowControl w:val="0"/>
        <w:shd w:val="clear"/>
        <w:tabs>
          <w:tab w:val="left" w:pos="720"/>
        </w:tabs>
        <w:kinsoku/>
        <w:wordWrap/>
        <w:overflowPunct/>
        <w:topLinePunct w:val="0"/>
        <w:autoSpaceDE/>
        <w:autoSpaceDN/>
        <w:bidi w:val="0"/>
        <w:spacing w:line="500" w:lineRule="exact"/>
        <w:ind w:right="0" w:rightChars="0" w:firstLine="420" w:firstLineChars="200"/>
        <w:jc w:val="left"/>
        <w:textAlignment w:val="auto"/>
        <w:rPr>
          <w:rFonts w:ascii="宋体"/>
          <w:color w:val="auto"/>
          <w:szCs w:val="21"/>
          <w:highlight w:val="none"/>
        </w:rPr>
      </w:pPr>
      <w:r>
        <w:rPr>
          <w:rFonts w:hint="eastAsia" w:ascii="宋体"/>
          <w:color w:val="auto"/>
          <w:szCs w:val="21"/>
          <w:highlight w:val="none"/>
        </w:rPr>
        <w:t>32.2.3招标人将在发出中标通知书的同时，向未通过资格审查的投标人告知其未通过的原因。</w:t>
      </w:r>
    </w:p>
    <w:p w14:paraId="21B85A56">
      <w:pPr>
        <w:keepNext w:val="0"/>
        <w:keepLines w:val="0"/>
        <w:pageBreakBefore w:val="0"/>
        <w:widowControl w:val="0"/>
        <w:shd w:val="clear"/>
        <w:kinsoku/>
        <w:wordWrap/>
        <w:overflowPunct/>
        <w:topLinePunct w:val="0"/>
        <w:autoSpaceDE/>
        <w:autoSpaceDN/>
        <w:bidi w:val="0"/>
        <w:spacing w:line="500" w:lineRule="exact"/>
        <w:ind w:right="0" w:rightChars="0" w:firstLine="422" w:firstLineChars="200"/>
        <w:jc w:val="left"/>
        <w:textAlignment w:val="auto"/>
        <w:rPr>
          <w:rFonts w:ascii="宋体"/>
          <w:b/>
          <w:color w:val="auto"/>
          <w:szCs w:val="21"/>
          <w:highlight w:val="none"/>
        </w:rPr>
      </w:pPr>
      <w:r>
        <w:rPr>
          <w:rFonts w:hint="eastAsia" w:ascii="宋体"/>
          <w:b/>
          <w:color w:val="auto"/>
          <w:szCs w:val="21"/>
          <w:highlight w:val="none"/>
        </w:rPr>
        <w:t>33.开评标异常情况处理</w:t>
      </w:r>
    </w:p>
    <w:p w14:paraId="406A0602">
      <w:pPr>
        <w:keepNext w:val="0"/>
        <w:keepLines w:val="0"/>
        <w:pageBreakBefore w:val="0"/>
        <w:widowControl w:val="0"/>
        <w:shd w:val="clear"/>
        <w:kinsoku/>
        <w:wordWrap/>
        <w:overflowPunct/>
        <w:topLinePunct w:val="0"/>
        <w:autoSpaceDE/>
        <w:autoSpaceDN/>
        <w:bidi w:val="0"/>
        <w:spacing w:line="500" w:lineRule="exact"/>
        <w:ind w:right="0" w:rightChars="0" w:firstLine="420" w:firstLineChars="200"/>
        <w:jc w:val="left"/>
        <w:textAlignment w:val="auto"/>
        <w:rPr>
          <w:rFonts w:ascii="宋体"/>
          <w:b/>
          <w:color w:val="auto"/>
          <w:szCs w:val="21"/>
          <w:highlight w:val="none"/>
        </w:rPr>
      </w:pPr>
      <w:r>
        <w:rPr>
          <w:rFonts w:hint="eastAsia" w:ascii="宋体"/>
          <w:color w:val="auto"/>
          <w:kern w:val="10"/>
          <w:szCs w:val="21"/>
          <w:highlight w:val="none"/>
        </w:rPr>
        <w:t>33.1</w:t>
      </w:r>
      <w:r>
        <w:rPr>
          <w:rFonts w:hint="eastAsia" w:ascii="宋体"/>
          <w:b/>
          <w:color w:val="auto"/>
          <w:szCs w:val="21"/>
          <w:highlight w:val="none"/>
        </w:rPr>
        <w:t xml:space="preserve">重新招标 </w:t>
      </w:r>
    </w:p>
    <w:p w14:paraId="7F60AFB3">
      <w:pPr>
        <w:keepNext w:val="0"/>
        <w:keepLines w:val="0"/>
        <w:pageBreakBefore w:val="0"/>
        <w:widowControl w:val="0"/>
        <w:shd w:val="clear"/>
        <w:tabs>
          <w:tab w:val="left" w:pos="720"/>
        </w:tabs>
        <w:kinsoku/>
        <w:wordWrap/>
        <w:overflowPunct/>
        <w:topLinePunct w:val="0"/>
        <w:autoSpaceDE/>
        <w:autoSpaceDN/>
        <w:bidi w:val="0"/>
        <w:spacing w:line="500" w:lineRule="exact"/>
        <w:ind w:right="0" w:rightChars="0" w:firstLine="420" w:firstLineChars="200"/>
        <w:jc w:val="left"/>
        <w:textAlignment w:val="auto"/>
        <w:rPr>
          <w:rFonts w:ascii="宋体"/>
          <w:color w:val="auto"/>
          <w:szCs w:val="21"/>
          <w:highlight w:val="none"/>
        </w:rPr>
      </w:pPr>
      <w:r>
        <w:rPr>
          <w:rFonts w:hint="eastAsia" w:ascii="宋体"/>
          <w:color w:val="auto"/>
          <w:szCs w:val="21"/>
          <w:highlight w:val="none"/>
        </w:rPr>
        <w:t>项目有下列情形之一的，招标人将重新招标：</w:t>
      </w:r>
    </w:p>
    <w:p w14:paraId="7D80DA66">
      <w:pPr>
        <w:keepNext w:val="0"/>
        <w:keepLines w:val="0"/>
        <w:pageBreakBefore w:val="0"/>
        <w:widowControl w:val="0"/>
        <w:shd w:val="clear"/>
        <w:kinsoku/>
        <w:wordWrap/>
        <w:overflowPunct/>
        <w:topLinePunct w:val="0"/>
        <w:autoSpaceDE/>
        <w:autoSpaceDN/>
        <w:bidi w:val="0"/>
        <w:adjustRightInd w:val="0"/>
        <w:snapToGrid w:val="0"/>
        <w:spacing w:line="500" w:lineRule="exact"/>
        <w:ind w:right="0" w:rightChars="0" w:firstLine="420" w:firstLineChars="200"/>
        <w:textAlignment w:val="auto"/>
        <w:rPr>
          <w:rFonts w:ascii="宋体"/>
          <w:color w:val="auto"/>
          <w:kern w:val="10"/>
          <w:szCs w:val="21"/>
          <w:highlight w:val="none"/>
        </w:rPr>
      </w:pPr>
      <w:r>
        <w:rPr>
          <w:rFonts w:hint="eastAsia" w:ascii="宋体"/>
          <w:color w:val="auto"/>
          <w:kern w:val="10"/>
          <w:szCs w:val="21"/>
          <w:highlight w:val="none"/>
        </w:rPr>
        <w:t xml:space="preserve">(1)投标截止时间止，投标人少于三个的； </w:t>
      </w:r>
    </w:p>
    <w:p w14:paraId="14371328">
      <w:pPr>
        <w:keepNext w:val="0"/>
        <w:keepLines w:val="0"/>
        <w:pageBreakBefore w:val="0"/>
        <w:widowControl w:val="0"/>
        <w:shd w:val="clear"/>
        <w:kinsoku/>
        <w:wordWrap/>
        <w:overflowPunct/>
        <w:topLinePunct w:val="0"/>
        <w:autoSpaceDE/>
        <w:autoSpaceDN/>
        <w:bidi w:val="0"/>
        <w:adjustRightInd w:val="0"/>
        <w:snapToGrid w:val="0"/>
        <w:spacing w:line="500" w:lineRule="exact"/>
        <w:ind w:right="0" w:rightChars="0" w:firstLine="420" w:firstLineChars="200"/>
        <w:textAlignment w:val="auto"/>
        <w:rPr>
          <w:rFonts w:ascii="宋体"/>
          <w:color w:val="auto"/>
          <w:kern w:val="10"/>
          <w:szCs w:val="21"/>
          <w:highlight w:val="none"/>
        </w:rPr>
      </w:pPr>
      <w:r>
        <w:rPr>
          <w:rFonts w:hint="eastAsia" w:ascii="宋体"/>
          <w:color w:val="auto"/>
          <w:kern w:val="10"/>
          <w:szCs w:val="21"/>
          <w:highlight w:val="none"/>
        </w:rPr>
        <w:t>(2)符合专业条件的供应商或者对招标文件作实质响应的供应商不足三家的；</w:t>
      </w:r>
    </w:p>
    <w:p w14:paraId="14D561E2">
      <w:pPr>
        <w:keepNext w:val="0"/>
        <w:keepLines w:val="0"/>
        <w:pageBreakBefore w:val="0"/>
        <w:widowControl w:val="0"/>
        <w:shd w:val="clear"/>
        <w:kinsoku/>
        <w:wordWrap/>
        <w:overflowPunct/>
        <w:topLinePunct w:val="0"/>
        <w:autoSpaceDE/>
        <w:autoSpaceDN/>
        <w:bidi w:val="0"/>
        <w:adjustRightInd w:val="0"/>
        <w:snapToGrid w:val="0"/>
        <w:spacing w:line="500" w:lineRule="exact"/>
        <w:ind w:right="0" w:rightChars="0" w:firstLine="420" w:firstLineChars="200"/>
        <w:textAlignment w:val="auto"/>
        <w:rPr>
          <w:rFonts w:ascii="宋体"/>
          <w:color w:val="auto"/>
          <w:kern w:val="10"/>
          <w:szCs w:val="21"/>
          <w:highlight w:val="none"/>
        </w:rPr>
      </w:pPr>
      <w:r>
        <w:rPr>
          <w:rFonts w:hint="eastAsia" w:ascii="宋体"/>
          <w:color w:val="auto"/>
          <w:kern w:val="10"/>
          <w:szCs w:val="21"/>
          <w:highlight w:val="none"/>
        </w:rPr>
        <w:t>(3)出现影响招标公正的违法、违规行为的；</w:t>
      </w:r>
    </w:p>
    <w:p w14:paraId="1199740D">
      <w:pPr>
        <w:keepNext w:val="0"/>
        <w:keepLines w:val="0"/>
        <w:pageBreakBefore w:val="0"/>
        <w:widowControl w:val="0"/>
        <w:shd w:val="clear"/>
        <w:kinsoku/>
        <w:wordWrap/>
        <w:overflowPunct/>
        <w:topLinePunct w:val="0"/>
        <w:autoSpaceDE/>
        <w:autoSpaceDN/>
        <w:bidi w:val="0"/>
        <w:adjustRightInd w:val="0"/>
        <w:snapToGrid w:val="0"/>
        <w:spacing w:line="500" w:lineRule="exact"/>
        <w:ind w:right="0" w:rightChars="0" w:firstLine="420" w:firstLineChars="200"/>
        <w:textAlignment w:val="auto"/>
        <w:rPr>
          <w:rFonts w:ascii="宋体"/>
          <w:color w:val="auto"/>
          <w:kern w:val="10"/>
          <w:szCs w:val="21"/>
          <w:highlight w:val="none"/>
        </w:rPr>
      </w:pPr>
      <w:r>
        <w:rPr>
          <w:rFonts w:hint="eastAsia" w:ascii="宋体"/>
          <w:color w:val="auto"/>
          <w:kern w:val="10"/>
          <w:szCs w:val="21"/>
          <w:highlight w:val="none"/>
        </w:rPr>
        <w:t>(4)投标人的报价均脱离实际且无充分证据的；</w:t>
      </w:r>
    </w:p>
    <w:p w14:paraId="77E6A2E1">
      <w:pPr>
        <w:keepNext w:val="0"/>
        <w:keepLines w:val="0"/>
        <w:pageBreakBefore w:val="0"/>
        <w:widowControl w:val="0"/>
        <w:shd w:val="clear"/>
        <w:kinsoku/>
        <w:wordWrap/>
        <w:overflowPunct/>
        <w:topLinePunct w:val="0"/>
        <w:autoSpaceDE/>
        <w:autoSpaceDN/>
        <w:bidi w:val="0"/>
        <w:adjustRightInd w:val="0"/>
        <w:snapToGrid w:val="0"/>
        <w:spacing w:line="500" w:lineRule="exact"/>
        <w:ind w:right="0" w:rightChars="0" w:firstLine="420" w:firstLineChars="200"/>
        <w:textAlignment w:val="auto"/>
        <w:rPr>
          <w:rFonts w:ascii="宋体"/>
          <w:color w:val="auto"/>
          <w:kern w:val="10"/>
          <w:szCs w:val="21"/>
          <w:highlight w:val="none"/>
        </w:rPr>
      </w:pPr>
      <w:r>
        <w:rPr>
          <w:rFonts w:hint="eastAsia" w:ascii="宋体"/>
          <w:color w:val="auto"/>
          <w:kern w:val="10"/>
          <w:szCs w:val="21"/>
          <w:highlight w:val="none"/>
        </w:rPr>
        <w:t>(5)技术标暗标项目，所有投标人的技术标均能反映投标人信息的；</w:t>
      </w:r>
    </w:p>
    <w:p w14:paraId="3C0DB972">
      <w:pPr>
        <w:keepNext w:val="0"/>
        <w:keepLines w:val="0"/>
        <w:pageBreakBefore w:val="0"/>
        <w:widowControl w:val="0"/>
        <w:shd w:val="clear"/>
        <w:kinsoku/>
        <w:wordWrap/>
        <w:overflowPunct/>
        <w:topLinePunct w:val="0"/>
        <w:autoSpaceDE/>
        <w:autoSpaceDN/>
        <w:bidi w:val="0"/>
        <w:adjustRightInd w:val="0"/>
        <w:snapToGrid w:val="0"/>
        <w:spacing w:line="500" w:lineRule="exact"/>
        <w:ind w:right="0" w:rightChars="0" w:firstLine="420" w:firstLineChars="200"/>
        <w:textAlignment w:val="auto"/>
        <w:rPr>
          <w:rFonts w:ascii="宋体"/>
          <w:color w:val="auto"/>
          <w:kern w:val="10"/>
          <w:szCs w:val="21"/>
          <w:highlight w:val="none"/>
        </w:rPr>
      </w:pPr>
      <w:r>
        <w:rPr>
          <w:rFonts w:hint="eastAsia" w:ascii="宋体"/>
          <w:color w:val="auto"/>
          <w:kern w:val="10"/>
          <w:szCs w:val="21"/>
          <w:highlight w:val="none"/>
        </w:rPr>
        <w:t>(6)因重大变故，采购任务取消的。</w:t>
      </w:r>
    </w:p>
    <w:p w14:paraId="2069C872">
      <w:pPr>
        <w:keepNext w:val="0"/>
        <w:keepLines w:val="0"/>
        <w:pageBreakBefore w:val="0"/>
        <w:widowControl w:val="0"/>
        <w:shd w:val="clear"/>
        <w:kinsoku/>
        <w:wordWrap/>
        <w:overflowPunct/>
        <w:topLinePunct w:val="0"/>
        <w:autoSpaceDE/>
        <w:autoSpaceDN/>
        <w:bidi w:val="0"/>
        <w:adjustRightInd w:val="0"/>
        <w:snapToGrid w:val="0"/>
        <w:spacing w:line="500" w:lineRule="exact"/>
        <w:ind w:right="0" w:rightChars="0" w:firstLine="420" w:firstLineChars="200"/>
        <w:textAlignment w:val="auto"/>
        <w:rPr>
          <w:rFonts w:ascii="宋体"/>
          <w:color w:val="auto"/>
          <w:kern w:val="10"/>
          <w:szCs w:val="21"/>
          <w:highlight w:val="none"/>
        </w:rPr>
      </w:pPr>
      <w:r>
        <w:rPr>
          <w:rFonts w:hint="eastAsia" w:ascii="宋体"/>
          <w:color w:val="auto"/>
          <w:kern w:val="10"/>
          <w:szCs w:val="21"/>
          <w:highlight w:val="none"/>
        </w:rPr>
        <w:t>33.2变更采购方式</w:t>
      </w:r>
    </w:p>
    <w:p w14:paraId="4D33BDDD">
      <w:pPr>
        <w:keepNext w:val="0"/>
        <w:keepLines w:val="0"/>
        <w:pageBreakBefore w:val="0"/>
        <w:widowControl w:val="0"/>
        <w:shd w:val="clear"/>
        <w:tabs>
          <w:tab w:val="left" w:pos="720"/>
        </w:tabs>
        <w:kinsoku/>
        <w:wordWrap/>
        <w:overflowPunct/>
        <w:topLinePunct w:val="0"/>
        <w:autoSpaceDE/>
        <w:autoSpaceDN/>
        <w:bidi w:val="0"/>
        <w:spacing w:line="500" w:lineRule="exact"/>
        <w:ind w:right="0" w:rightChars="0" w:firstLine="420" w:firstLineChars="200"/>
        <w:jc w:val="left"/>
        <w:textAlignment w:val="auto"/>
        <w:rPr>
          <w:rFonts w:ascii="宋体"/>
          <w:color w:val="auto"/>
          <w:szCs w:val="21"/>
          <w:highlight w:val="none"/>
        </w:rPr>
      </w:pPr>
      <w:bookmarkStart w:id="59" w:name="_Toc449028872"/>
      <w:r>
        <w:rPr>
          <w:rFonts w:hint="eastAsia" w:ascii="宋体"/>
          <w:color w:val="auto"/>
          <w:szCs w:val="21"/>
          <w:highlight w:val="none"/>
        </w:rPr>
        <w:t>按照滁州市公管局相关规定执行。</w:t>
      </w:r>
      <w:bookmarkEnd w:id="59"/>
    </w:p>
    <w:p w14:paraId="7302AC6F">
      <w:pPr>
        <w:shd w:val="clear"/>
        <w:spacing w:line="500" w:lineRule="exact"/>
        <w:jc w:val="center"/>
        <w:rPr>
          <w:rFonts w:ascii="黑体" w:eastAsia="黑体"/>
          <w:color w:val="auto"/>
          <w:sz w:val="24"/>
          <w:highlight w:val="none"/>
        </w:rPr>
      </w:pPr>
      <w:r>
        <w:rPr>
          <w:rFonts w:hint="eastAsia" w:ascii="黑体" w:eastAsia="黑体"/>
          <w:color w:val="auto"/>
          <w:sz w:val="28"/>
          <w:szCs w:val="28"/>
          <w:highlight w:val="none"/>
        </w:rPr>
        <w:t>（六）合同的授予</w:t>
      </w:r>
      <w:bookmarkEnd w:id="58"/>
    </w:p>
    <w:p w14:paraId="4BF65633">
      <w:pPr>
        <w:keepNext w:val="0"/>
        <w:keepLines w:val="0"/>
        <w:pageBreakBefore w:val="0"/>
        <w:widowControl w:val="0"/>
        <w:shd w:val="clear"/>
        <w:kinsoku/>
        <w:wordWrap/>
        <w:overflowPunct/>
        <w:topLinePunct w:val="0"/>
        <w:autoSpaceDE/>
        <w:autoSpaceDN/>
        <w:bidi w:val="0"/>
        <w:adjustRightInd/>
        <w:snapToGrid/>
        <w:spacing w:line="500" w:lineRule="exact"/>
        <w:ind w:firstLine="422" w:firstLineChars="200"/>
        <w:jc w:val="left"/>
        <w:textAlignment w:val="auto"/>
        <w:rPr>
          <w:rFonts w:ascii="宋体" w:hAnsi="宋体" w:cs="宋体"/>
          <w:b/>
          <w:color w:val="auto"/>
          <w:szCs w:val="21"/>
          <w:highlight w:val="none"/>
        </w:rPr>
      </w:pPr>
      <w:r>
        <w:rPr>
          <w:rFonts w:hint="eastAsia" w:ascii="宋体" w:hAnsi="宋体" w:cs="宋体"/>
          <w:b/>
          <w:color w:val="auto"/>
          <w:szCs w:val="21"/>
          <w:highlight w:val="none"/>
        </w:rPr>
        <w:t>34. 合同授予标准</w:t>
      </w:r>
    </w:p>
    <w:p w14:paraId="4C1420D3">
      <w:pPr>
        <w:keepNext w:val="0"/>
        <w:keepLines w:val="0"/>
        <w:pageBreakBefore w:val="0"/>
        <w:widowControl w:val="0"/>
        <w:shd w:val="clear"/>
        <w:kinsoku/>
        <w:wordWrap/>
        <w:overflowPunct/>
        <w:topLinePunct w:val="0"/>
        <w:autoSpaceDE/>
        <w:autoSpaceDN/>
        <w:bidi w:val="0"/>
        <w:adjustRightInd/>
        <w:snapToGrid/>
        <w:spacing w:line="5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34.1 本招标项目的合同将授予按本投标须知第32.1.1条规定所确定的中标人。</w:t>
      </w:r>
    </w:p>
    <w:p w14:paraId="784F1B64">
      <w:pPr>
        <w:keepNext w:val="0"/>
        <w:keepLines w:val="0"/>
        <w:pageBreakBefore w:val="0"/>
        <w:widowControl w:val="0"/>
        <w:shd w:val="clear"/>
        <w:kinsoku/>
        <w:wordWrap/>
        <w:overflowPunct/>
        <w:topLinePunct w:val="0"/>
        <w:autoSpaceDE/>
        <w:autoSpaceDN/>
        <w:bidi w:val="0"/>
        <w:adjustRightInd/>
        <w:snapToGrid/>
        <w:spacing w:line="500" w:lineRule="exact"/>
        <w:ind w:firstLine="422" w:firstLineChars="200"/>
        <w:jc w:val="left"/>
        <w:textAlignment w:val="auto"/>
        <w:rPr>
          <w:rFonts w:ascii="宋体" w:hAnsi="宋体" w:cs="宋体"/>
          <w:b/>
          <w:color w:val="auto"/>
          <w:szCs w:val="21"/>
          <w:highlight w:val="none"/>
        </w:rPr>
      </w:pPr>
      <w:r>
        <w:rPr>
          <w:rFonts w:hint="eastAsia" w:ascii="宋体" w:hAnsi="宋体" w:cs="宋体"/>
          <w:b/>
          <w:color w:val="auto"/>
          <w:szCs w:val="21"/>
          <w:highlight w:val="none"/>
        </w:rPr>
        <w:t>35. 合同协议书的签订</w:t>
      </w:r>
    </w:p>
    <w:p w14:paraId="24BB9B24">
      <w:pPr>
        <w:keepNext w:val="0"/>
        <w:keepLines w:val="0"/>
        <w:pageBreakBefore w:val="0"/>
        <w:widowControl w:val="0"/>
        <w:shd w:val="clear"/>
        <w:kinsoku/>
        <w:wordWrap/>
        <w:overflowPunct/>
        <w:topLinePunct w:val="0"/>
        <w:autoSpaceDE/>
        <w:autoSpaceDN/>
        <w:bidi w:val="0"/>
        <w:adjustRightInd/>
        <w:snapToGrid/>
        <w:spacing w:line="5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35.1 招标人与中标人将于中标通知书发出之日起30日内，按照招标文件和中标人的投标文件订立书面采购合同。招标人和中标人不得再行订立背离合同实质性内容的其他协议。</w:t>
      </w:r>
    </w:p>
    <w:p w14:paraId="33CDC041">
      <w:pPr>
        <w:keepNext w:val="0"/>
        <w:keepLines w:val="0"/>
        <w:pageBreakBefore w:val="0"/>
        <w:widowControl w:val="0"/>
        <w:shd w:val="clear"/>
        <w:kinsoku/>
        <w:wordWrap/>
        <w:overflowPunct/>
        <w:topLinePunct w:val="0"/>
        <w:autoSpaceDE/>
        <w:autoSpaceDN/>
        <w:bidi w:val="0"/>
        <w:adjustRightInd/>
        <w:snapToGrid/>
        <w:spacing w:line="5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35.2发出中标通知书后，招标人无正当理由拒签合同的，招标人向中标人退还投标保证金；给中标人造成损失的，还应当赔偿损失。</w:t>
      </w:r>
    </w:p>
    <w:p w14:paraId="4254C5D9">
      <w:pPr>
        <w:keepNext w:val="0"/>
        <w:keepLines w:val="0"/>
        <w:pageBreakBefore w:val="0"/>
        <w:widowControl w:val="0"/>
        <w:shd w:val="clear"/>
        <w:kinsoku/>
        <w:wordWrap/>
        <w:overflowPunct/>
        <w:topLinePunct w:val="0"/>
        <w:autoSpaceDE/>
        <w:autoSpaceDN/>
        <w:bidi w:val="0"/>
        <w:adjustRightInd/>
        <w:snapToGrid/>
        <w:spacing w:line="5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依法必须进行招标的项目，除中标人以外的其他投标人存在串通投标、弄虚作假、行贿情形且在评标过程中未被发现的，如该等情形经监管部门认定未对中标结果造成实质性影响，招标人可依法继续开展招标活动。</w:t>
      </w:r>
    </w:p>
    <w:p w14:paraId="7A38CD5D">
      <w:pPr>
        <w:keepNext w:val="0"/>
        <w:keepLines w:val="0"/>
        <w:pageBreakBefore w:val="0"/>
        <w:widowControl w:val="0"/>
        <w:shd w:val="clear"/>
        <w:kinsoku/>
        <w:wordWrap/>
        <w:overflowPunct/>
        <w:topLinePunct w:val="0"/>
        <w:autoSpaceDE/>
        <w:autoSpaceDN/>
        <w:bidi w:val="0"/>
        <w:adjustRightInd/>
        <w:snapToGrid/>
        <w:spacing w:line="500" w:lineRule="exact"/>
        <w:ind w:firstLine="420" w:firstLineChars="200"/>
        <w:textAlignment w:val="auto"/>
        <w:rPr>
          <w:rFonts w:ascii="宋体" w:hAnsi="宋体" w:cs="宋体"/>
          <w:b/>
          <w:color w:val="auto"/>
          <w:szCs w:val="21"/>
          <w:highlight w:val="none"/>
        </w:rPr>
      </w:pPr>
      <w:r>
        <w:rPr>
          <w:rFonts w:hint="eastAsia" w:ascii="宋体" w:hAnsi="宋体" w:cs="宋体"/>
          <w:color w:val="auto"/>
          <w:szCs w:val="21"/>
          <w:highlight w:val="none"/>
        </w:rPr>
        <w:t>36.</w:t>
      </w:r>
      <w:bookmarkStart w:id="60" w:name="_Toc217446068"/>
      <w:r>
        <w:rPr>
          <w:rFonts w:hint="eastAsia" w:ascii="宋体" w:hAnsi="宋体" w:cs="宋体"/>
          <w:color w:val="auto"/>
          <w:szCs w:val="21"/>
          <w:highlight w:val="none"/>
        </w:rPr>
        <w:t xml:space="preserve"> </w:t>
      </w:r>
      <w:r>
        <w:rPr>
          <w:rFonts w:hint="eastAsia" w:ascii="宋体" w:hAnsi="宋体" w:cs="宋体"/>
          <w:b/>
          <w:color w:val="auto"/>
          <w:szCs w:val="21"/>
          <w:highlight w:val="none"/>
        </w:rPr>
        <w:t>履约</w:t>
      </w:r>
      <w:bookmarkEnd w:id="60"/>
      <w:r>
        <w:rPr>
          <w:rFonts w:hint="eastAsia" w:ascii="宋体" w:hAnsi="宋体" w:cs="宋体"/>
          <w:b/>
          <w:color w:val="auto"/>
          <w:szCs w:val="21"/>
          <w:highlight w:val="none"/>
        </w:rPr>
        <w:t>担保</w:t>
      </w:r>
    </w:p>
    <w:p w14:paraId="406D7A95">
      <w:pPr>
        <w:keepNext w:val="0"/>
        <w:keepLines w:val="0"/>
        <w:pageBreakBefore w:val="0"/>
        <w:widowControl w:val="0"/>
        <w:shd w:val="clear"/>
        <w:kinsoku/>
        <w:wordWrap/>
        <w:overflowPunct/>
        <w:topLinePunct w:val="0"/>
        <w:autoSpaceDE/>
        <w:autoSpaceDN/>
        <w:bidi w:val="0"/>
        <w:adjustRightInd/>
        <w:snapToGrid/>
        <w:spacing w:line="50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36.1在签订合同前，中标人应按投标人须知前附表规定的担保形式、金额和招标文件第五章“合同条款及格式”规定的或者事先经过招标人书面认可的履约担保格式向招标人提交履约担保。</w:t>
      </w:r>
    </w:p>
    <w:p w14:paraId="141F4B15">
      <w:pPr>
        <w:keepNext w:val="0"/>
        <w:keepLines w:val="0"/>
        <w:pageBreakBefore w:val="0"/>
        <w:widowControl w:val="0"/>
        <w:shd w:val="clear"/>
        <w:kinsoku/>
        <w:wordWrap/>
        <w:overflowPunct/>
        <w:topLinePunct w:val="0"/>
        <w:autoSpaceDE/>
        <w:autoSpaceDN/>
        <w:bidi w:val="0"/>
        <w:adjustRightInd/>
        <w:snapToGrid/>
        <w:spacing w:line="50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36.2 中标人不能按本章第36.1项要求提交履约担保的，视为放弃中标，其投标保证金不予退还，</w:t>
      </w:r>
      <w:r>
        <w:rPr>
          <w:rFonts w:hint="eastAsia" w:ascii="宋体" w:hAnsi="宋体" w:cs="宋体"/>
          <w:color w:val="auto"/>
          <w:szCs w:val="21"/>
          <w:highlight w:val="none"/>
          <w:shd w:val="clear" w:color="auto" w:fill="FFFFFF"/>
        </w:rPr>
        <w:t>给招标人造成损失的，依法承担民事责任</w:t>
      </w:r>
      <w:r>
        <w:rPr>
          <w:rFonts w:hint="eastAsia" w:ascii="宋体" w:hAnsi="宋体" w:cs="宋体"/>
          <w:color w:val="auto"/>
          <w:szCs w:val="21"/>
          <w:highlight w:val="none"/>
        </w:rPr>
        <w:t>。</w:t>
      </w:r>
    </w:p>
    <w:p w14:paraId="4E3E7D89">
      <w:pPr>
        <w:shd w:val="clear"/>
        <w:spacing w:beforeLines="100" w:afterLines="100" w:line="500" w:lineRule="exact"/>
        <w:jc w:val="center"/>
        <w:rPr>
          <w:rFonts w:ascii="宋体"/>
          <w:b/>
          <w:color w:val="auto"/>
          <w:sz w:val="28"/>
          <w:szCs w:val="28"/>
          <w:highlight w:val="none"/>
        </w:rPr>
      </w:pPr>
      <w:bookmarkStart w:id="61" w:name="_Toc449028874"/>
      <w:r>
        <w:rPr>
          <w:rFonts w:hint="eastAsia" w:ascii="宋体"/>
          <w:b/>
          <w:color w:val="auto"/>
          <w:sz w:val="28"/>
          <w:szCs w:val="28"/>
          <w:highlight w:val="none"/>
        </w:rPr>
        <w:t>（七）纪律和监督</w:t>
      </w:r>
      <w:bookmarkEnd w:id="61"/>
    </w:p>
    <w:p w14:paraId="36A062C0">
      <w:pPr>
        <w:keepNext w:val="0"/>
        <w:keepLines w:val="0"/>
        <w:pageBreakBefore w:val="0"/>
        <w:widowControl w:val="0"/>
        <w:shd w:val="clear"/>
        <w:kinsoku/>
        <w:wordWrap/>
        <w:overflowPunct/>
        <w:topLinePunct w:val="0"/>
        <w:autoSpaceDE/>
        <w:autoSpaceDN/>
        <w:bidi w:val="0"/>
        <w:spacing w:line="500" w:lineRule="exact"/>
        <w:ind w:firstLine="422" w:firstLineChars="200"/>
        <w:jc w:val="left"/>
        <w:textAlignment w:val="auto"/>
        <w:rPr>
          <w:rFonts w:ascii="宋体"/>
          <w:b/>
          <w:color w:val="auto"/>
          <w:szCs w:val="21"/>
          <w:highlight w:val="none"/>
        </w:rPr>
      </w:pPr>
      <w:r>
        <w:rPr>
          <w:rFonts w:hint="eastAsia" w:ascii="宋体"/>
          <w:b/>
          <w:color w:val="auto"/>
          <w:szCs w:val="21"/>
          <w:highlight w:val="none"/>
        </w:rPr>
        <w:t xml:space="preserve">37. 对招标人的纪律要求 </w:t>
      </w:r>
    </w:p>
    <w:p w14:paraId="0221C6BD">
      <w:pPr>
        <w:keepNext w:val="0"/>
        <w:keepLines w:val="0"/>
        <w:pageBreakBefore w:val="0"/>
        <w:widowControl w:val="0"/>
        <w:shd w:val="clear"/>
        <w:kinsoku/>
        <w:wordWrap/>
        <w:overflowPunct/>
        <w:topLinePunct w:val="0"/>
        <w:autoSpaceDE/>
        <w:autoSpaceDN/>
        <w:bidi w:val="0"/>
        <w:adjustRightInd w:val="0"/>
        <w:snapToGrid w:val="0"/>
        <w:spacing w:line="500" w:lineRule="exact"/>
        <w:ind w:firstLine="420" w:firstLineChars="200"/>
        <w:textAlignment w:val="auto"/>
        <w:rPr>
          <w:rFonts w:ascii="宋体"/>
          <w:color w:val="auto"/>
          <w:kern w:val="10"/>
          <w:szCs w:val="21"/>
          <w:highlight w:val="none"/>
        </w:rPr>
      </w:pPr>
      <w:r>
        <w:rPr>
          <w:rFonts w:hint="eastAsia" w:ascii="宋体"/>
          <w:color w:val="auto"/>
          <w:kern w:val="10"/>
          <w:szCs w:val="21"/>
          <w:highlight w:val="none"/>
        </w:rPr>
        <w:t>37.1招标人不得</w:t>
      </w:r>
      <w:r>
        <w:rPr>
          <w:rFonts w:hint="eastAsia" w:ascii="宋体"/>
          <w:color w:val="auto"/>
          <w:kern w:val="10"/>
          <w:szCs w:val="21"/>
          <w:highlight w:val="none"/>
          <w:lang w:eastAsia="zh-CN"/>
        </w:rPr>
        <w:t>泄露</w:t>
      </w:r>
      <w:r>
        <w:rPr>
          <w:rFonts w:hint="eastAsia" w:ascii="宋体"/>
          <w:color w:val="auto"/>
          <w:kern w:val="10"/>
          <w:szCs w:val="21"/>
          <w:highlight w:val="none"/>
        </w:rPr>
        <w:t xml:space="preserve">招标投标活动中应当保密的情况和资料，不得与投标人串通损害国家利益，社会公共利益或者他人合法权益。 </w:t>
      </w:r>
    </w:p>
    <w:p w14:paraId="723539E2">
      <w:pPr>
        <w:keepNext w:val="0"/>
        <w:keepLines w:val="0"/>
        <w:pageBreakBefore w:val="0"/>
        <w:widowControl w:val="0"/>
        <w:shd w:val="clear"/>
        <w:kinsoku/>
        <w:wordWrap/>
        <w:overflowPunct/>
        <w:topLinePunct w:val="0"/>
        <w:autoSpaceDE/>
        <w:autoSpaceDN/>
        <w:bidi w:val="0"/>
        <w:spacing w:line="500" w:lineRule="exact"/>
        <w:ind w:firstLine="422" w:firstLineChars="200"/>
        <w:jc w:val="left"/>
        <w:textAlignment w:val="auto"/>
        <w:rPr>
          <w:rFonts w:ascii="宋体"/>
          <w:b/>
          <w:color w:val="auto"/>
          <w:szCs w:val="21"/>
          <w:highlight w:val="none"/>
        </w:rPr>
      </w:pPr>
      <w:r>
        <w:rPr>
          <w:rFonts w:hint="eastAsia" w:ascii="宋体"/>
          <w:b/>
          <w:color w:val="auto"/>
          <w:szCs w:val="21"/>
          <w:highlight w:val="none"/>
        </w:rPr>
        <w:t xml:space="preserve">38. 对投标人的纪律要求 </w:t>
      </w:r>
    </w:p>
    <w:p w14:paraId="72BF1867">
      <w:pPr>
        <w:keepNext w:val="0"/>
        <w:keepLines w:val="0"/>
        <w:pageBreakBefore w:val="0"/>
        <w:widowControl w:val="0"/>
        <w:shd w:val="clear"/>
        <w:kinsoku/>
        <w:wordWrap/>
        <w:overflowPunct/>
        <w:topLinePunct w:val="0"/>
        <w:autoSpaceDE/>
        <w:autoSpaceDN/>
        <w:bidi w:val="0"/>
        <w:adjustRightInd w:val="0"/>
        <w:snapToGrid w:val="0"/>
        <w:spacing w:line="500" w:lineRule="exact"/>
        <w:ind w:firstLine="420" w:firstLineChars="200"/>
        <w:textAlignment w:val="auto"/>
        <w:rPr>
          <w:rFonts w:ascii="宋体"/>
          <w:color w:val="auto"/>
          <w:kern w:val="10"/>
          <w:szCs w:val="21"/>
          <w:highlight w:val="none"/>
        </w:rPr>
      </w:pPr>
      <w:r>
        <w:rPr>
          <w:rFonts w:hint="eastAsia" w:ascii="宋体"/>
          <w:color w:val="auto"/>
          <w:kern w:val="10"/>
          <w:szCs w:val="21"/>
          <w:highlight w:val="none"/>
        </w:rPr>
        <w:t>38.1投标人不得相互串通投标或者与招标人串通投标，不得向招标人或者评标委员会成员行贿谋取中标，不得以他人名义投标或者以其他方式弄虚作假骗取中标；投标人不得以任何方式干扰、影响评标工作。</w:t>
      </w:r>
    </w:p>
    <w:p w14:paraId="500656CB">
      <w:pPr>
        <w:keepNext w:val="0"/>
        <w:keepLines w:val="0"/>
        <w:pageBreakBefore w:val="0"/>
        <w:widowControl w:val="0"/>
        <w:shd w:val="clear"/>
        <w:kinsoku/>
        <w:wordWrap/>
        <w:overflowPunct/>
        <w:topLinePunct w:val="0"/>
        <w:autoSpaceDE/>
        <w:autoSpaceDN/>
        <w:bidi w:val="0"/>
        <w:spacing w:line="500" w:lineRule="exact"/>
        <w:ind w:firstLine="422" w:firstLineChars="200"/>
        <w:jc w:val="left"/>
        <w:textAlignment w:val="auto"/>
        <w:rPr>
          <w:rFonts w:ascii="宋体"/>
          <w:b/>
          <w:color w:val="auto"/>
          <w:szCs w:val="21"/>
          <w:highlight w:val="none"/>
        </w:rPr>
      </w:pPr>
      <w:r>
        <w:rPr>
          <w:rFonts w:hint="eastAsia" w:ascii="宋体"/>
          <w:b/>
          <w:color w:val="auto"/>
          <w:szCs w:val="21"/>
          <w:highlight w:val="none"/>
        </w:rPr>
        <w:t xml:space="preserve">39. 对评标委员会成员的纪律要求 </w:t>
      </w:r>
    </w:p>
    <w:p w14:paraId="321C5028">
      <w:pPr>
        <w:keepNext w:val="0"/>
        <w:keepLines w:val="0"/>
        <w:pageBreakBefore w:val="0"/>
        <w:widowControl w:val="0"/>
        <w:shd w:val="clear"/>
        <w:kinsoku/>
        <w:wordWrap/>
        <w:overflowPunct/>
        <w:topLinePunct w:val="0"/>
        <w:autoSpaceDE/>
        <w:autoSpaceDN/>
        <w:bidi w:val="0"/>
        <w:adjustRightInd w:val="0"/>
        <w:snapToGrid w:val="0"/>
        <w:spacing w:line="500" w:lineRule="exact"/>
        <w:ind w:firstLine="420" w:firstLineChars="200"/>
        <w:textAlignment w:val="auto"/>
        <w:rPr>
          <w:rFonts w:ascii="宋体"/>
          <w:color w:val="auto"/>
          <w:kern w:val="10"/>
          <w:szCs w:val="21"/>
          <w:highlight w:val="none"/>
        </w:rPr>
      </w:pPr>
      <w:r>
        <w:rPr>
          <w:rFonts w:hint="eastAsia" w:ascii="宋体"/>
          <w:color w:val="auto"/>
          <w:kern w:val="10"/>
          <w:szCs w:val="21"/>
          <w:highlight w:val="none"/>
        </w:rPr>
        <w:t>39.1评标委员会成员不得收受他人的财物或者其他好处，不得向他人</w:t>
      </w:r>
      <w:r>
        <w:rPr>
          <w:rFonts w:hint="eastAsia" w:ascii="宋体"/>
          <w:color w:val="auto"/>
          <w:kern w:val="10"/>
          <w:szCs w:val="21"/>
          <w:highlight w:val="none"/>
          <w:lang w:eastAsia="zh-CN"/>
        </w:rPr>
        <w:t>透露</w:t>
      </w:r>
      <w:r>
        <w:rPr>
          <w:rFonts w:hint="eastAsia" w:ascii="宋体"/>
          <w:color w:val="auto"/>
          <w:kern w:val="10"/>
          <w:szCs w:val="21"/>
          <w:highlight w:val="none"/>
        </w:rPr>
        <w:t>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31A5F7BE">
      <w:pPr>
        <w:keepNext w:val="0"/>
        <w:keepLines w:val="0"/>
        <w:pageBreakBefore w:val="0"/>
        <w:widowControl w:val="0"/>
        <w:shd w:val="clear"/>
        <w:kinsoku/>
        <w:wordWrap/>
        <w:overflowPunct/>
        <w:topLinePunct w:val="0"/>
        <w:autoSpaceDE/>
        <w:autoSpaceDN/>
        <w:bidi w:val="0"/>
        <w:spacing w:line="500" w:lineRule="exact"/>
        <w:ind w:firstLine="422" w:firstLineChars="200"/>
        <w:jc w:val="left"/>
        <w:textAlignment w:val="auto"/>
        <w:rPr>
          <w:rFonts w:ascii="宋体"/>
          <w:b/>
          <w:color w:val="auto"/>
          <w:szCs w:val="21"/>
          <w:highlight w:val="none"/>
        </w:rPr>
      </w:pPr>
      <w:r>
        <w:rPr>
          <w:rFonts w:hint="eastAsia" w:ascii="宋体"/>
          <w:b/>
          <w:color w:val="auto"/>
          <w:szCs w:val="21"/>
          <w:highlight w:val="none"/>
        </w:rPr>
        <w:t xml:space="preserve">40. 对与评标活动有关的工作人员的纪律要求 </w:t>
      </w:r>
    </w:p>
    <w:p w14:paraId="1C42F96B">
      <w:pPr>
        <w:keepNext w:val="0"/>
        <w:keepLines w:val="0"/>
        <w:pageBreakBefore w:val="0"/>
        <w:widowControl w:val="0"/>
        <w:shd w:val="clear"/>
        <w:kinsoku/>
        <w:wordWrap/>
        <w:overflowPunct/>
        <w:topLinePunct w:val="0"/>
        <w:autoSpaceDE/>
        <w:autoSpaceDN/>
        <w:bidi w:val="0"/>
        <w:adjustRightInd w:val="0"/>
        <w:snapToGrid w:val="0"/>
        <w:spacing w:line="500" w:lineRule="exact"/>
        <w:ind w:firstLine="420" w:firstLineChars="200"/>
        <w:textAlignment w:val="auto"/>
        <w:rPr>
          <w:rFonts w:ascii="宋体"/>
          <w:color w:val="auto"/>
          <w:kern w:val="10"/>
          <w:szCs w:val="21"/>
          <w:highlight w:val="none"/>
        </w:rPr>
      </w:pPr>
      <w:r>
        <w:rPr>
          <w:rFonts w:hint="eastAsia" w:ascii="宋体"/>
          <w:color w:val="auto"/>
          <w:kern w:val="10"/>
          <w:szCs w:val="21"/>
          <w:highlight w:val="none"/>
        </w:rPr>
        <w:t>40.1与评标活动有关的工作人员不得收受他人的财物或者其他好处，不得向他人</w:t>
      </w:r>
      <w:r>
        <w:rPr>
          <w:rFonts w:hint="eastAsia" w:ascii="宋体"/>
          <w:color w:val="auto"/>
          <w:kern w:val="10"/>
          <w:szCs w:val="21"/>
          <w:highlight w:val="none"/>
          <w:lang w:eastAsia="zh-CN"/>
        </w:rPr>
        <w:t>透露</w:t>
      </w:r>
      <w:r>
        <w:rPr>
          <w:rFonts w:hint="eastAsia" w:ascii="宋体"/>
          <w:color w:val="auto"/>
          <w:kern w:val="10"/>
          <w:szCs w:val="21"/>
          <w:highlight w:val="none"/>
        </w:rPr>
        <w:t>对投标文件的评审和比较、中标人的推荐情况以及评标有关的其他情况。在评标活动中，与评标活动有关的工作人员不得擅离职守，影响评标程序正常进行。</w:t>
      </w:r>
    </w:p>
    <w:p w14:paraId="550728D7">
      <w:pPr>
        <w:shd w:val="clear"/>
        <w:spacing w:beforeLines="100" w:afterLines="100" w:line="500" w:lineRule="exact"/>
        <w:jc w:val="center"/>
        <w:rPr>
          <w:rFonts w:ascii="宋体"/>
          <w:b/>
          <w:color w:val="auto"/>
          <w:sz w:val="28"/>
          <w:szCs w:val="28"/>
          <w:highlight w:val="none"/>
        </w:rPr>
      </w:pPr>
      <w:r>
        <w:rPr>
          <w:rFonts w:hint="eastAsia" w:ascii="宋体"/>
          <w:b/>
          <w:color w:val="auto"/>
          <w:sz w:val="28"/>
          <w:szCs w:val="28"/>
          <w:highlight w:val="none"/>
        </w:rPr>
        <w:t>（八）投诉</w:t>
      </w:r>
    </w:p>
    <w:p w14:paraId="6D1B0C9E">
      <w:pPr>
        <w:keepNext w:val="0"/>
        <w:keepLines w:val="0"/>
        <w:pageBreakBefore w:val="0"/>
        <w:widowControl w:val="0"/>
        <w:shd w:val="clear"/>
        <w:kinsoku/>
        <w:wordWrap/>
        <w:overflowPunct/>
        <w:topLinePunct w:val="0"/>
        <w:autoSpaceDE/>
        <w:autoSpaceDN/>
        <w:bidi w:val="0"/>
        <w:spacing w:line="500" w:lineRule="exact"/>
        <w:ind w:firstLine="422" w:firstLineChars="200"/>
        <w:jc w:val="left"/>
        <w:textAlignment w:val="auto"/>
        <w:rPr>
          <w:rFonts w:ascii="宋体" w:hAnsi="宋体"/>
          <w:b/>
          <w:color w:val="auto"/>
          <w:szCs w:val="21"/>
          <w:highlight w:val="none"/>
        </w:rPr>
      </w:pPr>
      <w:r>
        <w:rPr>
          <w:rFonts w:hint="eastAsia" w:ascii="宋体" w:hAnsi="宋体"/>
          <w:b/>
          <w:color w:val="auto"/>
          <w:szCs w:val="21"/>
          <w:highlight w:val="none"/>
        </w:rPr>
        <w:t>41. 投诉</w:t>
      </w:r>
    </w:p>
    <w:p w14:paraId="0DC9000B">
      <w:pPr>
        <w:keepNext w:val="0"/>
        <w:keepLines w:val="0"/>
        <w:pageBreakBefore w:val="0"/>
        <w:widowControl w:val="0"/>
        <w:shd w:val="clear"/>
        <w:kinsoku/>
        <w:wordWrap/>
        <w:overflowPunct/>
        <w:topLinePunct w:val="0"/>
        <w:autoSpaceDE/>
        <w:autoSpaceDN/>
        <w:bidi w:val="0"/>
        <w:adjustRightInd w:val="0"/>
        <w:snapToGrid w:val="0"/>
        <w:spacing w:line="500" w:lineRule="exact"/>
        <w:ind w:firstLine="420" w:firstLineChars="200"/>
        <w:textAlignment w:val="auto"/>
        <w:rPr>
          <w:rFonts w:ascii="宋体"/>
          <w:color w:val="auto"/>
          <w:kern w:val="10"/>
          <w:szCs w:val="21"/>
          <w:highlight w:val="none"/>
        </w:rPr>
      </w:pPr>
      <w:r>
        <w:rPr>
          <w:rFonts w:hint="eastAsia" w:ascii="宋体"/>
          <w:color w:val="auto"/>
          <w:kern w:val="10"/>
          <w:szCs w:val="21"/>
          <w:highlight w:val="none"/>
        </w:rPr>
        <w:t>41.1投标人或者其他利害关系人认为招标投标活动违反法律、法规和规章规定的，有权向相关行政监督部门投诉。投诉应当有明确的请求和必要的证明材料。</w:t>
      </w:r>
    </w:p>
    <w:p w14:paraId="7DD0F5D3">
      <w:pPr>
        <w:keepNext w:val="0"/>
        <w:keepLines w:val="0"/>
        <w:pageBreakBefore w:val="0"/>
        <w:widowControl w:val="0"/>
        <w:shd w:val="clear"/>
        <w:kinsoku/>
        <w:wordWrap/>
        <w:overflowPunct/>
        <w:topLinePunct w:val="0"/>
        <w:autoSpaceDE/>
        <w:autoSpaceDN/>
        <w:bidi w:val="0"/>
        <w:adjustRightInd w:val="0"/>
        <w:snapToGrid w:val="0"/>
        <w:spacing w:line="500" w:lineRule="exact"/>
        <w:ind w:firstLine="420" w:firstLineChars="200"/>
        <w:textAlignment w:val="auto"/>
        <w:rPr>
          <w:rFonts w:hint="eastAsia" w:ascii="宋体"/>
          <w:color w:val="auto"/>
          <w:kern w:val="10"/>
          <w:szCs w:val="21"/>
          <w:highlight w:val="none"/>
        </w:rPr>
      </w:pPr>
      <w:r>
        <w:rPr>
          <w:rFonts w:hint="eastAsia" w:ascii="宋体"/>
          <w:color w:val="auto"/>
          <w:kern w:val="10"/>
          <w:szCs w:val="21"/>
          <w:highlight w:val="none"/>
        </w:rPr>
        <w:t>41.2投标人和其他利害关系人对招标文件、开标和评标结果事项投诉的，应当按照投标人须知的规定先向招标人提出异议。异议答复期间不计算在第41.1项规定的期限内。</w:t>
      </w:r>
    </w:p>
    <w:p w14:paraId="53B0BCC5">
      <w:pPr>
        <w:rPr>
          <w:color w:val="auto"/>
          <w:highlight w:val="none"/>
        </w:rPr>
      </w:pPr>
      <w:r>
        <w:rPr>
          <w:color w:val="auto"/>
          <w:highlight w:val="none"/>
        </w:rPr>
        <w:br w:type="page"/>
      </w:r>
    </w:p>
    <w:p w14:paraId="12AE14ED">
      <w:pPr>
        <w:pStyle w:val="2"/>
        <w:keepNext/>
        <w:keepLines/>
        <w:pageBreakBefore w:val="0"/>
        <w:widowControl w:val="0"/>
        <w:shd w:val="clear"/>
        <w:kinsoku/>
        <w:wordWrap/>
        <w:overflowPunct/>
        <w:topLinePunct w:val="0"/>
        <w:autoSpaceDE/>
        <w:autoSpaceDN/>
        <w:bidi w:val="0"/>
        <w:adjustRightInd/>
        <w:snapToGrid/>
        <w:spacing w:before="0" w:beforeLines="100" w:after="0" w:afterLines="100" w:line="440" w:lineRule="exact"/>
        <w:textAlignment w:val="auto"/>
        <w:rPr>
          <w:rFonts w:ascii="宋体"/>
          <w:b w:val="0"/>
          <w:color w:val="auto"/>
          <w:szCs w:val="32"/>
          <w:highlight w:val="none"/>
        </w:rPr>
      </w:pPr>
      <w:bookmarkStart w:id="62" w:name="_Toc2798"/>
      <w:r>
        <w:rPr>
          <w:rFonts w:hint="eastAsia" w:ascii="宋体"/>
          <w:bCs w:val="0"/>
          <w:color w:val="auto"/>
          <w:szCs w:val="32"/>
          <w:highlight w:val="none"/>
        </w:rPr>
        <w:t>第三章 评标办法（综合评分法）</w:t>
      </w:r>
      <w:bookmarkEnd w:id="62"/>
    </w:p>
    <w:p w14:paraId="348C11CE">
      <w:pPr>
        <w:shd w:val="clear"/>
        <w:spacing w:beforeLines="50" w:afterLines="50" w:line="500" w:lineRule="exact"/>
        <w:jc w:val="center"/>
        <w:outlineLvl w:val="1"/>
        <w:rPr>
          <w:rFonts w:ascii="宋体" w:hAnsi="宋体" w:cs="宋体"/>
          <w:b/>
          <w:color w:val="auto"/>
          <w:sz w:val="28"/>
          <w:szCs w:val="28"/>
          <w:highlight w:val="none"/>
        </w:rPr>
      </w:pPr>
      <w:bookmarkStart w:id="63" w:name="_Toc58430317"/>
      <w:bookmarkStart w:id="64" w:name="_Toc362983801"/>
      <w:bookmarkStart w:id="65" w:name="_Toc449028877"/>
      <w:bookmarkStart w:id="66" w:name="_Toc20697"/>
      <w:bookmarkStart w:id="67" w:name="_Toc4528"/>
      <w:bookmarkStart w:id="68" w:name="_Toc267320058"/>
      <w:bookmarkStart w:id="69" w:name="_Toc363135205"/>
      <w:r>
        <w:rPr>
          <w:rFonts w:hint="eastAsia" w:ascii="宋体" w:hAnsi="宋体" w:cs="宋体"/>
          <w:b/>
          <w:color w:val="auto"/>
          <w:sz w:val="28"/>
          <w:szCs w:val="28"/>
          <w:highlight w:val="none"/>
        </w:rPr>
        <w:t>一、总则</w:t>
      </w:r>
      <w:bookmarkEnd w:id="63"/>
      <w:bookmarkEnd w:id="64"/>
      <w:bookmarkEnd w:id="65"/>
      <w:bookmarkEnd w:id="66"/>
      <w:bookmarkEnd w:id="67"/>
    </w:p>
    <w:p w14:paraId="2C80926C">
      <w:pPr>
        <w:shd w:val="clear"/>
        <w:spacing w:line="500" w:lineRule="exact"/>
        <w:ind w:firstLine="316" w:firstLineChars="150"/>
        <w:jc w:val="left"/>
        <w:rPr>
          <w:rFonts w:ascii="宋体" w:hAnsi="宋体" w:cs="宋体"/>
          <w:b/>
          <w:color w:val="auto"/>
          <w:szCs w:val="21"/>
          <w:highlight w:val="none"/>
        </w:rPr>
      </w:pPr>
      <w:r>
        <w:rPr>
          <w:rFonts w:hint="eastAsia" w:ascii="宋体" w:hAnsi="宋体" w:cs="宋体"/>
          <w:b/>
          <w:color w:val="auto"/>
          <w:szCs w:val="21"/>
          <w:highlight w:val="none"/>
        </w:rPr>
        <w:t xml:space="preserve"> 1. 本次评标采用综合评分法</w:t>
      </w:r>
    </w:p>
    <w:p w14:paraId="38C34B81">
      <w:pPr>
        <w:shd w:val="clea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1.1综合评分法是指投标文件满足招标文件全部实质性要求且按照评审因素的量化指标评审总得分从高到低的供应商为中标候选人的评标方法。</w:t>
      </w:r>
    </w:p>
    <w:p w14:paraId="24DBA1B5">
      <w:pPr>
        <w:shd w:val="clea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1.2综合评分法一般适用于较为复杂、评价指标难以量化且价格为非主要因素的非标准定制商品和非通用服务项目的项目评审。</w:t>
      </w:r>
    </w:p>
    <w:p w14:paraId="713CB7B3">
      <w:pPr>
        <w:shd w:val="clear"/>
        <w:spacing w:line="500" w:lineRule="exact"/>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2．评标程序</w:t>
      </w:r>
    </w:p>
    <w:p w14:paraId="34002D7B">
      <w:pPr>
        <w:shd w:val="clea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2.1投标文件的初审</w:t>
      </w:r>
    </w:p>
    <w:p w14:paraId="3B647AB6">
      <w:pPr>
        <w:shd w:val="clea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2.1.1资格性检查。依据法律法规和招标文件的规定，对投标文件中的资格证明、投标保证金等进行审查，以确定投标人是否具备投标资格。 </w:t>
      </w:r>
    </w:p>
    <w:p w14:paraId="41F2CBEA">
      <w:pPr>
        <w:shd w:val="clea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2.1.2符合性检查。依据招标文件的规定，从投标文件的有效性、完整性和对招标文件的响应程度进行审查，以确定投标人是否对招标文件的实质性要求作出响应。</w:t>
      </w:r>
    </w:p>
    <w:p w14:paraId="14C19F54">
      <w:pPr>
        <w:shd w:val="clea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2.2投标文件的澄清</w:t>
      </w:r>
    </w:p>
    <w:p w14:paraId="6B0601F9">
      <w:pPr>
        <w:shd w:val="clea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2.2.1在评标过程中，评标委员会认为需要，在监督人员在场的情况下，可要求投标人对投标文件中的有关问题进行澄清或提供补充说明及有关资料，投标人应做出书面答复。书面答复中不得变更价格、供货期、自报质量等实质性内容。</w:t>
      </w:r>
    </w:p>
    <w:p w14:paraId="417BE671">
      <w:pPr>
        <w:shd w:val="clear"/>
        <w:wordWrap w:val="0"/>
        <w:spacing w:line="500" w:lineRule="exact"/>
        <w:ind w:firstLine="422" w:firstLineChars="200"/>
        <w:jc w:val="left"/>
        <w:rPr>
          <w:rFonts w:ascii="宋体" w:hAnsi="宋体" w:cs="宋体"/>
          <w:color w:val="auto"/>
          <w:szCs w:val="21"/>
          <w:highlight w:val="none"/>
        </w:rPr>
      </w:pPr>
      <w:r>
        <w:rPr>
          <w:rFonts w:hint="eastAsia" w:ascii="宋体" w:hAnsi="宋体" w:cs="宋体"/>
          <w:b/>
          <w:bCs/>
          <w:color w:val="auto"/>
          <w:szCs w:val="21"/>
          <w:highlight w:val="none"/>
        </w:rPr>
        <w:t>本项目采用远程开标，具体操作方法详见服务指南&gt;交易须知&gt;开标大厅远程解密、质疑(异议)及回复以及评标过程中询标流程操作手册。</w:t>
      </w:r>
    </w:p>
    <w:p w14:paraId="2F15415F">
      <w:pPr>
        <w:shd w:val="clea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2.2.2书面答复须经投标人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14:paraId="0D631D55">
      <w:pPr>
        <w:shd w:val="clea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2.2.3  招标人不接受投标人主动提出的澄清。</w:t>
      </w:r>
    </w:p>
    <w:p w14:paraId="527F6D2A">
      <w:pPr>
        <w:shd w:val="clea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2.3比较与评价</w:t>
      </w:r>
    </w:p>
    <w:p w14:paraId="7199208D">
      <w:pPr>
        <w:shd w:val="clea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2．3.1按招标文件中规定的评标方法和标准，对资格性检查和符合性检查合格的投标文件进行资信、商务和技术评估，综合比较与评价。 </w:t>
      </w:r>
    </w:p>
    <w:p w14:paraId="12D59651">
      <w:pPr>
        <w:shd w:val="clea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2.4推荐中标候选人名单</w:t>
      </w:r>
    </w:p>
    <w:p w14:paraId="258869D8">
      <w:pPr>
        <w:shd w:val="clear"/>
        <w:spacing w:line="5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2.4.1中标候选人数量应当根据采购需要确定，但必须按顺序排列中标候选人。</w:t>
      </w:r>
    </w:p>
    <w:p w14:paraId="5A9B7028">
      <w:pPr>
        <w:shd w:val="clear"/>
        <w:spacing w:line="500" w:lineRule="exact"/>
        <w:ind w:firstLine="420" w:firstLineChars="200"/>
        <w:jc w:val="left"/>
        <w:rPr>
          <w:rFonts w:ascii="宋体" w:hAnsi="宋体" w:cs="宋体"/>
          <w:color w:val="auto"/>
          <w:highlight w:val="none"/>
        </w:rPr>
      </w:pPr>
      <w:r>
        <w:rPr>
          <w:rFonts w:hint="eastAsia" w:ascii="宋体" w:hAnsi="宋体" w:cs="宋体"/>
          <w:color w:val="auto"/>
          <w:szCs w:val="21"/>
          <w:highlight w:val="none"/>
        </w:rPr>
        <w:t>2.5在投标文件的审查、澄清、评价和比较以及授予合同过程中，投标人对招标人和评标委员会成员施加影响的任何行为，都将导致取消其中标资格。</w:t>
      </w:r>
      <w:bookmarkStart w:id="70" w:name="_Toc362983802"/>
      <w:bookmarkStart w:id="71" w:name="_Toc449028878"/>
      <w:bookmarkStart w:id="72" w:name="_Toc58430318"/>
    </w:p>
    <w:p w14:paraId="72F28CDE">
      <w:pPr>
        <w:shd w:val="clear"/>
        <w:spacing w:beforeLines="50" w:afterLines="50" w:line="500" w:lineRule="exact"/>
        <w:jc w:val="center"/>
        <w:outlineLvl w:val="1"/>
        <w:rPr>
          <w:rFonts w:ascii="宋体" w:hAnsi="宋体" w:cs="宋体"/>
          <w:b/>
          <w:color w:val="auto"/>
          <w:sz w:val="28"/>
          <w:szCs w:val="28"/>
          <w:highlight w:val="none"/>
        </w:rPr>
      </w:pPr>
      <w:bookmarkStart w:id="73" w:name="_Toc11532"/>
      <w:r>
        <w:rPr>
          <w:rFonts w:hint="eastAsia" w:ascii="宋体" w:hAnsi="宋体" w:cs="宋体"/>
          <w:b/>
          <w:color w:val="auto"/>
          <w:sz w:val="28"/>
          <w:szCs w:val="28"/>
          <w:highlight w:val="none"/>
        </w:rPr>
        <w:t>二、投标文件初审</w:t>
      </w:r>
      <w:bookmarkEnd w:id="70"/>
      <w:bookmarkEnd w:id="71"/>
      <w:bookmarkEnd w:id="72"/>
      <w:bookmarkEnd w:id="73"/>
    </w:p>
    <w:p w14:paraId="401C8BDC">
      <w:pPr>
        <w:shd w:val="clear"/>
        <w:spacing w:line="500" w:lineRule="exact"/>
        <w:ind w:firstLine="310" w:firstLineChars="147"/>
        <w:jc w:val="left"/>
        <w:rPr>
          <w:rFonts w:ascii="宋体" w:hAnsi="宋体" w:cs="宋体"/>
          <w:b/>
          <w:color w:val="auto"/>
          <w:szCs w:val="21"/>
          <w:highlight w:val="none"/>
        </w:rPr>
      </w:pPr>
      <w:r>
        <w:rPr>
          <w:rFonts w:hint="eastAsia" w:ascii="宋体" w:hAnsi="宋体" w:cs="宋体"/>
          <w:b/>
          <w:color w:val="auto"/>
          <w:szCs w:val="21"/>
          <w:highlight w:val="none"/>
        </w:rPr>
        <w:t>3.资格性审查:</w:t>
      </w:r>
    </w:p>
    <w:p w14:paraId="012D69DD">
      <w:pPr>
        <w:shd w:val="clear"/>
        <w:spacing w:line="500" w:lineRule="exact"/>
        <w:ind w:firstLine="308" w:firstLineChars="147"/>
        <w:jc w:val="left"/>
        <w:rPr>
          <w:rFonts w:ascii="宋体" w:hAnsi="宋体" w:cs="宋体"/>
          <w:color w:val="auto"/>
          <w:szCs w:val="21"/>
          <w:highlight w:val="none"/>
        </w:rPr>
      </w:pPr>
      <w:r>
        <w:rPr>
          <w:rFonts w:hint="eastAsia" w:ascii="宋体" w:hAnsi="宋体" w:cs="宋体"/>
          <w:color w:val="auto"/>
          <w:szCs w:val="21"/>
          <w:highlight w:val="none"/>
        </w:rPr>
        <w:t>3.1评审细则</w:t>
      </w:r>
    </w:p>
    <w:tbl>
      <w:tblPr>
        <w:tblStyle w:val="35"/>
        <w:tblW w:w="9430" w:type="dxa"/>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667"/>
        <w:gridCol w:w="4774"/>
        <w:gridCol w:w="3278"/>
      </w:tblGrid>
      <w:tr w14:paraId="52DE1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11" w:type="dxa"/>
            <w:vAlign w:val="center"/>
          </w:tcPr>
          <w:p w14:paraId="66380ACF">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b/>
                <w:bCs/>
                <w:color w:val="auto"/>
                <w:szCs w:val="21"/>
                <w:highlight w:val="none"/>
              </w:rPr>
            </w:pPr>
            <w:r>
              <w:rPr>
                <w:rFonts w:hint="eastAsia" w:ascii="宋体" w:hAnsi="宋体" w:cs="宋体"/>
                <w:b/>
                <w:bCs/>
                <w:color w:val="auto"/>
                <w:szCs w:val="21"/>
                <w:highlight w:val="none"/>
              </w:rPr>
              <w:t>序号</w:t>
            </w:r>
          </w:p>
        </w:tc>
        <w:tc>
          <w:tcPr>
            <w:tcW w:w="5441" w:type="dxa"/>
            <w:gridSpan w:val="2"/>
            <w:vAlign w:val="center"/>
          </w:tcPr>
          <w:p w14:paraId="518FA2C1">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b/>
                <w:bCs/>
                <w:color w:val="auto"/>
                <w:szCs w:val="21"/>
                <w:highlight w:val="none"/>
              </w:rPr>
            </w:pPr>
            <w:r>
              <w:rPr>
                <w:rFonts w:hint="eastAsia" w:ascii="宋体" w:hAnsi="宋体" w:cs="宋体"/>
                <w:b/>
                <w:bCs/>
                <w:color w:val="auto"/>
                <w:szCs w:val="21"/>
                <w:highlight w:val="none"/>
              </w:rPr>
              <w:t>评审因素</w:t>
            </w:r>
          </w:p>
        </w:tc>
        <w:tc>
          <w:tcPr>
            <w:tcW w:w="3278" w:type="dxa"/>
            <w:vAlign w:val="center"/>
          </w:tcPr>
          <w:p w14:paraId="0140E1BD">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b/>
                <w:bCs/>
                <w:color w:val="auto"/>
                <w:szCs w:val="21"/>
                <w:highlight w:val="none"/>
              </w:rPr>
            </w:pPr>
            <w:r>
              <w:rPr>
                <w:rFonts w:hint="eastAsia" w:ascii="宋体" w:hAnsi="宋体" w:cs="宋体"/>
                <w:b/>
                <w:bCs/>
                <w:color w:val="auto"/>
                <w:szCs w:val="21"/>
                <w:highlight w:val="none"/>
              </w:rPr>
              <w:t>评审标准</w:t>
            </w:r>
          </w:p>
        </w:tc>
      </w:tr>
      <w:tr w14:paraId="7C28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11" w:type="dxa"/>
            <w:vAlign w:val="center"/>
          </w:tcPr>
          <w:p w14:paraId="5A4E5503">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1</w:t>
            </w:r>
          </w:p>
        </w:tc>
        <w:tc>
          <w:tcPr>
            <w:tcW w:w="667" w:type="dxa"/>
            <w:vAlign w:val="center"/>
          </w:tcPr>
          <w:p w14:paraId="4A47BFC9">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重要要求</w:t>
            </w:r>
          </w:p>
        </w:tc>
        <w:tc>
          <w:tcPr>
            <w:tcW w:w="4774" w:type="dxa"/>
            <w:vAlign w:val="center"/>
          </w:tcPr>
          <w:p w14:paraId="2D13D32A">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（1）法定代表人身份证明和本人有效身份证(或法定代表人授权委托书和委托代理人有效身份证)</w:t>
            </w:r>
          </w:p>
        </w:tc>
        <w:tc>
          <w:tcPr>
            <w:tcW w:w="3278" w:type="dxa"/>
            <w:vAlign w:val="center"/>
          </w:tcPr>
          <w:p w14:paraId="0CD3C436">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default" w:ascii="宋体" w:hAnsi="宋体" w:cs="宋体"/>
                <w:color w:val="auto"/>
                <w:szCs w:val="21"/>
                <w:highlight w:val="none"/>
              </w:rPr>
            </w:pPr>
            <w:r>
              <w:rPr>
                <w:rFonts w:hint="eastAsia" w:ascii="宋体" w:hAnsi="宋体" w:cs="宋体"/>
                <w:color w:val="auto"/>
                <w:szCs w:val="21"/>
                <w:highlight w:val="none"/>
              </w:rPr>
              <w:t>检验电子标书</w:t>
            </w:r>
          </w:p>
        </w:tc>
      </w:tr>
      <w:tr w14:paraId="1AA74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1" w:hRule="atLeast"/>
        </w:trPr>
        <w:tc>
          <w:tcPr>
            <w:tcW w:w="711" w:type="dxa"/>
            <w:vMerge w:val="restart"/>
            <w:vAlign w:val="center"/>
          </w:tcPr>
          <w:p w14:paraId="5D11E7C3">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2</w:t>
            </w:r>
          </w:p>
        </w:tc>
        <w:tc>
          <w:tcPr>
            <w:tcW w:w="667" w:type="dxa"/>
            <w:vMerge w:val="restart"/>
            <w:vAlign w:val="center"/>
          </w:tcPr>
          <w:p w14:paraId="74A553A0">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投标人应符合的基本资格条件</w:t>
            </w:r>
          </w:p>
        </w:tc>
        <w:tc>
          <w:tcPr>
            <w:tcW w:w="4774" w:type="dxa"/>
            <w:vAlign w:val="center"/>
          </w:tcPr>
          <w:p w14:paraId="30837AA4">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（2）具有独立承担民事责任的能力</w:t>
            </w:r>
          </w:p>
        </w:tc>
        <w:tc>
          <w:tcPr>
            <w:tcW w:w="3278" w:type="dxa"/>
            <w:vAlign w:val="center"/>
          </w:tcPr>
          <w:p w14:paraId="2E1F418C">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cs="宋体"/>
                <w:b/>
                <w:color w:val="auto"/>
                <w:szCs w:val="21"/>
                <w:highlight w:val="none"/>
              </w:rPr>
              <w:t>评审核验电子标书中的下列证书、证明材料：</w:t>
            </w:r>
          </w:p>
          <w:p w14:paraId="7544395C">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cs="宋体"/>
                <w:color w:val="auto"/>
                <w:szCs w:val="21"/>
                <w:highlight w:val="none"/>
              </w:rPr>
            </w:pPr>
            <w:r>
              <w:rPr>
                <w:rFonts w:hint="eastAsia" w:ascii="宋体" w:hAnsi="宋体" w:cs="宋体"/>
                <w:color w:val="auto"/>
                <w:szCs w:val="21"/>
                <w:highlight w:val="none"/>
              </w:rPr>
              <w:t>投标人</w:t>
            </w:r>
            <w:r>
              <w:rPr>
                <w:rFonts w:hint="eastAsia" w:ascii="宋体" w:hAnsi="宋体" w:cs="宋体"/>
                <w:color w:val="auto"/>
                <w:szCs w:val="21"/>
                <w:highlight w:val="none"/>
                <w:lang w:eastAsia="zh-CN"/>
              </w:rPr>
              <w:t>为企业的，应提供</w:t>
            </w:r>
            <w:r>
              <w:rPr>
                <w:rFonts w:hint="eastAsia" w:ascii="宋体" w:hAnsi="宋体" w:cs="宋体"/>
                <w:color w:val="auto"/>
                <w:szCs w:val="21"/>
                <w:highlight w:val="none"/>
              </w:rPr>
              <w:t>有效的营业执照、税务登记证、组织机构</w:t>
            </w:r>
            <w:r>
              <w:rPr>
                <w:rFonts w:hint="eastAsia" w:ascii="宋体" w:hAnsi="宋体" w:cs="宋体"/>
                <w:color w:val="auto"/>
                <w:szCs w:val="21"/>
                <w:highlight w:val="none"/>
                <w:lang w:val="en-US" w:eastAsia="zh-CN"/>
              </w:rPr>
              <w:t>代</w:t>
            </w:r>
            <w:r>
              <w:rPr>
                <w:rFonts w:hint="eastAsia" w:ascii="宋体" w:hAnsi="宋体" w:cs="宋体"/>
                <w:color w:val="auto"/>
                <w:szCs w:val="21"/>
                <w:highlight w:val="none"/>
              </w:rPr>
              <w:t>码证（或“三证合一证书”）</w:t>
            </w:r>
          </w:p>
          <w:p w14:paraId="3343F016">
            <w:pPr>
              <w:keepNext w:val="0"/>
              <w:keepLines w:val="0"/>
              <w:suppressLineNumbers w:val="0"/>
              <w:spacing w:before="0" w:beforeAutospacing="0" w:after="0" w:afterAutospacing="0" w:line="420" w:lineRule="exact"/>
              <w:ind w:left="0" w:right="0"/>
              <w:jc w:val="left"/>
              <w:rPr>
                <w:rFonts w:hint="eastAsia" w:ascii="宋体" w:hAnsi="宋体" w:cs="宋体"/>
                <w:color w:val="auto"/>
                <w:szCs w:val="21"/>
                <w:highlight w:val="none"/>
              </w:rPr>
            </w:pPr>
            <w:r>
              <w:rPr>
                <w:rFonts w:hint="eastAsia" w:ascii="宋体" w:hAnsi="宋体" w:cs="宋体"/>
                <w:bCs/>
                <w:color w:val="auto"/>
                <w:szCs w:val="21"/>
                <w:highlight w:val="none"/>
                <w:lang w:val="en-US" w:eastAsia="zh-CN"/>
              </w:rPr>
              <w:t>投标人</w:t>
            </w:r>
            <w:r>
              <w:rPr>
                <w:rFonts w:hint="eastAsia" w:ascii="宋体" w:hAnsi="宋体" w:cs="宋体"/>
                <w:bCs/>
                <w:color w:val="auto"/>
                <w:szCs w:val="21"/>
                <w:highlight w:val="none"/>
              </w:rPr>
              <w:t>为事业单位的，应提供有效的“事业单位法人证书”；</w:t>
            </w:r>
          </w:p>
        </w:tc>
      </w:tr>
      <w:tr w14:paraId="2E042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trPr>
        <w:tc>
          <w:tcPr>
            <w:tcW w:w="711" w:type="dxa"/>
            <w:vMerge w:val="continue"/>
            <w:vAlign w:val="center"/>
          </w:tcPr>
          <w:p w14:paraId="1C718D20">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color w:val="auto"/>
                <w:szCs w:val="21"/>
                <w:highlight w:val="none"/>
              </w:rPr>
            </w:pPr>
          </w:p>
        </w:tc>
        <w:tc>
          <w:tcPr>
            <w:tcW w:w="667" w:type="dxa"/>
            <w:vMerge w:val="continue"/>
            <w:vAlign w:val="center"/>
          </w:tcPr>
          <w:p w14:paraId="0FE8E69B">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宋体" w:hAnsi="宋体" w:cs="宋体"/>
                <w:color w:val="auto"/>
                <w:szCs w:val="21"/>
                <w:highlight w:val="none"/>
              </w:rPr>
            </w:pPr>
          </w:p>
        </w:tc>
        <w:tc>
          <w:tcPr>
            <w:tcW w:w="4774" w:type="dxa"/>
            <w:vAlign w:val="center"/>
          </w:tcPr>
          <w:p w14:paraId="51779800">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default"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）诚信投标承诺书或公共信用信息报告（无违法违规证明版或核查版）</w:t>
            </w:r>
          </w:p>
        </w:tc>
        <w:tc>
          <w:tcPr>
            <w:tcW w:w="3278" w:type="dxa"/>
            <w:vAlign w:val="center"/>
          </w:tcPr>
          <w:p w14:paraId="110E06A2">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default" w:ascii="宋体" w:hAnsi="宋体" w:cs="宋体"/>
                <w:b/>
                <w:color w:val="auto"/>
                <w:szCs w:val="21"/>
                <w:highlight w:val="none"/>
              </w:rPr>
            </w:pPr>
            <w:r>
              <w:rPr>
                <w:rFonts w:hint="eastAsia" w:ascii="宋体" w:hAnsi="宋体" w:cs="宋体"/>
                <w:color w:val="auto"/>
                <w:szCs w:val="21"/>
                <w:highlight w:val="none"/>
              </w:rPr>
              <w:t>格式见附件，检验电子标书</w:t>
            </w:r>
          </w:p>
        </w:tc>
      </w:tr>
      <w:tr w14:paraId="0AEC2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711" w:type="dxa"/>
            <w:vMerge w:val="continue"/>
            <w:vAlign w:val="center"/>
          </w:tcPr>
          <w:p w14:paraId="1C2E40E8">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color w:val="auto"/>
                <w:szCs w:val="21"/>
                <w:highlight w:val="none"/>
              </w:rPr>
            </w:pPr>
            <w:bookmarkStart w:id="74" w:name="_Toc95223394"/>
            <w:bookmarkStart w:id="75" w:name="_Toc15058904"/>
            <w:bookmarkStart w:id="76" w:name="_Toc60061491"/>
            <w:bookmarkStart w:id="77" w:name="_Toc506107319"/>
            <w:bookmarkStart w:id="78" w:name="_Toc324404866"/>
          </w:p>
        </w:tc>
        <w:tc>
          <w:tcPr>
            <w:tcW w:w="667" w:type="dxa"/>
            <w:vMerge w:val="continue"/>
            <w:vAlign w:val="center"/>
          </w:tcPr>
          <w:p w14:paraId="54230791">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宋体" w:hAnsi="宋体" w:cs="宋体"/>
                <w:color w:val="auto"/>
                <w:szCs w:val="21"/>
                <w:highlight w:val="none"/>
              </w:rPr>
            </w:pPr>
          </w:p>
        </w:tc>
        <w:tc>
          <w:tcPr>
            <w:tcW w:w="4774" w:type="dxa"/>
            <w:vAlign w:val="center"/>
          </w:tcPr>
          <w:p w14:paraId="5DD85FC9">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4）服务承诺书</w:t>
            </w:r>
          </w:p>
        </w:tc>
        <w:tc>
          <w:tcPr>
            <w:tcW w:w="3278" w:type="dxa"/>
            <w:vAlign w:val="center"/>
          </w:tcPr>
          <w:p w14:paraId="2C914B0F">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格式见附件，检验电子标书</w:t>
            </w:r>
          </w:p>
        </w:tc>
      </w:tr>
    </w:tbl>
    <w:p w14:paraId="6289B29C">
      <w:pPr>
        <w:shd w:val="clear"/>
        <w:spacing w:line="500" w:lineRule="exact"/>
        <w:ind w:right="-164" w:rightChars="-78" w:firstLine="508" w:firstLineChars="241"/>
        <w:jc w:val="left"/>
        <w:rPr>
          <w:rFonts w:hint="eastAsia"/>
          <w:color w:val="auto"/>
          <w:highlight w:val="none"/>
        </w:rPr>
      </w:pPr>
      <w:r>
        <w:rPr>
          <w:rFonts w:hint="eastAsia" w:ascii="宋体" w:hAnsi="宋体" w:eastAsia="宋体" w:cs="宋体"/>
          <w:b/>
          <w:color w:val="auto"/>
          <w:szCs w:val="21"/>
          <w:highlight w:val="none"/>
        </w:rPr>
        <w:t>重要提示：</w:t>
      </w:r>
    </w:p>
    <w:p w14:paraId="588487EB">
      <w:pPr>
        <w:shd w:val="clear"/>
        <w:spacing w:line="500" w:lineRule="exact"/>
        <w:ind w:right="36" w:rightChars="17" w:firstLine="506" w:firstLineChars="241"/>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资格审查材料可以选择①上传到安徽省公共资源交易市场主体库中，制作投标文件时插上CA数字证书，从安徽省公共资源交易市场主体库中挑选相关材料，或按招标文件要求上传至指定位置；若所需材料无对应栏目，则将该材料上传至“其他所需材料”里，做电子投标文件时从“其他所需材料”里获取。请各投标人自行完善安徽省公共资源交易市场主体库中的单位信息，保证信息最新且有效。②或使用国家企业信用信息公示系统和全国建筑市场监管公共服务平台接口获取营业执照、建设工程相关证书等政务数据，投标人自行核验政务数据的准确性，对引用的政务数据承担责任。</w:t>
      </w:r>
    </w:p>
    <w:p w14:paraId="036A581F">
      <w:pPr>
        <w:shd w:val="clear"/>
        <w:spacing w:line="500" w:lineRule="exact"/>
        <w:ind w:right="36" w:rightChars="17" w:firstLine="506" w:firstLineChars="241"/>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（2）评标专家在检验电子投标文件过程中，如果由于投标人自身原因导致评标专家无法查看并检验电子投标文件中相关资料的，视为无效标处理。即使投标人将原件携带至现场的，同样按无效标处理。</w:t>
      </w:r>
    </w:p>
    <w:bookmarkEnd w:id="74"/>
    <w:bookmarkEnd w:id="75"/>
    <w:bookmarkEnd w:id="76"/>
    <w:bookmarkEnd w:id="77"/>
    <w:bookmarkEnd w:id="78"/>
    <w:p w14:paraId="2B2D3B7F">
      <w:pPr>
        <w:shd w:val="clear"/>
        <w:spacing w:line="500" w:lineRule="exact"/>
        <w:ind w:firstLine="310" w:firstLineChars="147"/>
        <w:jc w:val="left"/>
        <w:rPr>
          <w:rFonts w:ascii="宋体" w:hAnsi="宋体" w:cs="宋体"/>
          <w:b/>
          <w:color w:val="auto"/>
          <w:szCs w:val="21"/>
          <w:highlight w:val="none"/>
        </w:rPr>
      </w:pPr>
      <w:r>
        <w:rPr>
          <w:rFonts w:hint="eastAsia" w:ascii="宋体" w:hAnsi="宋体" w:cs="宋体"/>
          <w:b/>
          <w:color w:val="auto"/>
          <w:szCs w:val="21"/>
          <w:highlight w:val="none"/>
        </w:rPr>
        <w:t>4.符合性审查</w:t>
      </w:r>
    </w:p>
    <w:p w14:paraId="7E6C777E">
      <w:pPr>
        <w:shd w:val="clear"/>
        <w:spacing w:line="500" w:lineRule="exact"/>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4.1评审细则</w:t>
      </w:r>
    </w:p>
    <w:tbl>
      <w:tblPr>
        <w:tblStyle w:val="35"/>
        <w:tblW w:w="9615" w:type="dxa"/>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318"/>
        <w:gridCol w:w="2931"/>
        <w:gridCol w:w="4631"/>
      </w:tblGrid>
      <w:tr w14:paraId="41E5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35" w:type="dxa"/>
            <w:vAlign w:val="center"/>
          </w:tcPr>
          <w:p w14:paraId="461AF6F6">
            <w:pPr>
              <w:keepNext w:val="0"/>
              <w:keepLines w:val="0"/>
              <w:suppressLineNumbers w:val="0"/>
              <w:shd w:val="clear"/>
              <w:spacing w:before="0" w:beforeAutospacing="0" w:after="0" w:afterAutospacing="0" w:line="500" w:lineRule="exact"/>
              <w:ind w:left="0" w:right="0"/>
              <w:jc w:val="center"/>
              <w:rPr>
                <w:rFonts w:hint="default" w:ascii="宋体" w:hAnsi="宋体" w:cs="宋体"/>
                <w:b/>
                <w:bCs/>
                <w:color w:val="auto"/>
                <w:szCs w:val="21"/>
                <w:highlight w:val="none"/>
              </w:rPr>
            </w:pPr>
            <w:r>
              <w:rPr>
                <w:rFonts w:hint="eastAsia" w:ascii="宋体" w:hAnsi="宋体" w:cs="宋体"/>
                <w:b/>
                <w:bCs/>
                <w:color w:val="auto"/>
                <w:szCs w:val="21"/>
                <w:highlight w:val="none"/>
              </w:rPr>
              <w:t>序号</w:t>
            </w:r>
          </w:p>
        </w:tc>
        <w:tc>
          <w:tcPr>
            <w:tcW w:w="4249" w:type="dxa"/>
            <w:gridSpan w:val="2"/>
            <w:vAlign w:val="center"/>
          </w:tcPr>
          <w:p w14:paraId="44B1B613">
            <w:pPr>
              <w:keepNext w:val="0"/>
              <w:keepLines w:val="0"/>
              <w:suppressLineNumbers w:val="0"/>
              <w:shd w:val="clear"/>
              <w:spacing w:before="0" w:beforeAutospacing="0" w:after="0" w:afterAutospacing="0" w:line="500" w:lineRule="exact"/>
              <w:ind w:left="0" w:right="0"/>
              <w:jc w:val="center"/>
              <w:rPr>
                <w:rFonts w:hint="default" w:ascii="宋体" w:hAnsi="宋体" w:cs="宋体"/>
                <w:b/>
                <w:bCs/>
                <w:color w:val="auto"/>
                <w:szCs w:val="21"/>
                <w:highlight w:val="none"/>
              </w:rPr>
            </w:pPr>
            <w:r>
              <w:rPr>
                <w:rFonts w:hint="eastAsia" w:ascii="宋体" w:hAnsi="宋体" w:cs="宋体"/>
                <w:b/>
                <w:bCs/>
                <w:color w:val="auto"/>
                <w:szCs w:val="21"/>
                <w:highlight w:val="none"/>
              </w:rPr>
              <w:t>审查因素</w:t>
            </w:r>
          </w:p>
        </w:tc>
        <w:tc>
          <w:tcPr>
            <w:tcW w:w="4631" w:type="dxa"/>
            <w:vAlign w:val="center"/>
          </w:tcPr>
          <w:p w14:paraId="5B6289DE">
            <w:pPr>
              <w:keepNext w:val="0"/>
              <w:keepLines w:val="0"/>
              <w:suppressLineNumbers w:val="0"/>
              <w:shd w:val="clear"/>
              <w:spacing w:before="0" w:beforeAutospacing="0" w:after="0" w:afterAutospacing="0" w:line="500" w:lineRule="exact"/>
              <w:ind w:left="0" w:right="0"/>
              <w:jc w:val="center"/>
              <w:rPr>
                <w:rFonts w:hint="default" w:ascii="宋体" w:hAnsi="宋体" w:cs="宋体"/>
                <w:b/>
                <w:bCs/>
                <w:color w:val="auto"/>
                <w:szCs w:val="21"/>
                <w:highlight w:val="none"/>
              </w:rPr>
            </w:pPr>
            <w:r>
              <w:rPr>
                <w:rFonts w:hint="eastAsia" w:ascii="宋体" w:hAnsi="宋体" w:cs="宋体"/>
                <w:b/>
                <w:bCs/>
                <w:color w:val="auto"/>
                <w:szCs w:val="21"/>
                <w:highlight w:val="none"/>
              </w:rPr>
              <w:t>审查内容</w:t>
            </w:r>
          </w:p>
        </w:tc>
      </w:tr>
      <w:tr w14:paraId="12F73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5" w:type="dxa"/>
            <w:vMerge w:val="restart"/>
            <w:vAlign w:val="center"/>
          </w:tcPr>
          <w:p w14:paraId="6B605502">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rPr>
            </w:pPr>
            <w:r>
              <w:rPr>
                <w:rFonts w:hint="eastAsia" w:ascii="宋体" w:hAnsi="宋体" w:cs="宋体"/>
                <w:color w:val="auto"/>
                <w:szCs w:val="21"/>
                <w:highlight w:val="none"/>
              </w:rPr>
              <w:t>1</w:t>
            </w:r>
          </w:p>
        </w:tc>
        <w:tc>
          <w:tcPr>
            <w:tcW w:w="1318" w:type="dxa"/>
            <w:vMerge w:val="restart"/>
            <w:vAlign w:val="center"/>
          </w:tcPr>
          <w:p w14:paraId="308B9786">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lang w:val="zh-CN"/>
              </w:rPr>
            </w:pPr>
            <w:r>
              <w:rPr>
                <w:rFonts w:hint="eastAsia" w:ascii="宋体" w:hAnsi="宋体" w:cs="宋体"/>
                <w:color w:val="auto"/>
                <w:szCs w:val="21"/>
                <w:highlight w:val="none"/>
                <w:lang w:val="zh-CN"/>
              </w:rPr>
              <w:t>投标文件的有效性</w:t>
            </w:r>
          </w:p>
        </w:tc>
        <w:tc>
          <w:tcPr>
            <w:tcW w:w="2931" w:type="dxa"/>
            <w:vAlign w:val="center"/>
          </w:tcPr>
          <w:p w14:paraId="630D96C2">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lang w:val="zh-CN"/>
              </w:rPr>
            </w:pPr>
            <w:r>
              <w:rPr>
                <w:rFonts w:hint="eastAsia" w:ascii="宋体" w:hAnsi="宋体" w:cs="宋体"/>
                <w:color w:val="auto"/>
                <w:szCs w:val="21"/>
                <w:highlight w:val="none"/>
                <w:lang w:val="zh-CN"/>
              </w:rPr>
              <w:t>（1）投标文件签署</w:t>
            </w:r>
          </w:p>
        </w:tc>
        <w:tc>
          <w:tcPr>
            <w:tcW w:w="4631" w:type="dxa"/>
            <w:vAlign w:val="center"/>
          </w:tcPr>
          <w:p w14:paraId="58B2E965">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lang w:val="zh-CN"/>
              </w:rPr>
            </w:pPr>
            <w:r>
              <w:rPr>
                <w:rFonts w:hint="eastAsia" w:ascii="宋体" w:hAnsi="宋体" w:cs="宋体"/>
                <w:color w:val="auto"/>
                <w:szCs w:val="21"/>
                <w:highlight w:val="none"/>
                <w:lang w:val="zh-CN"/>
              </w:rPr>
              <w:t>签字、盖章符合要求。</w:t>
            </w:r>
          </w:p>
          <w:p w14:paraId="544EA62F">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rPr>
            </w:pPr>
            <w:r>
              <w:rPr>
                <w:rFonts w:hint="eastAsia" w:ascii="宋体" w:hAnsi="宋体" w:cs="宋体"/>
                <w:b/>
                <w:bCs/>
                <w:color w:val="auto"/>
                <w:szCs w:val="21"/>
                <w:highlight w:val="none"/>
                <w:lang w:val="zh-CN"/>
              </w:rPr>
              <w:t>（</w:t>
            </w:r>
            <w:r>
              <w:rPr>
                <w:rFonts w:hint="eastAsia" w:ascii="宋体" w:hAnsi="宋体" w:cs="宋体"/>
                <w:b/>
                <w:bCs/>
                <w:color w:val="auto"/>
                <w:szCs w:val="21"/>
                <w:highlight w:val="none"/>
              </w:rPr>
              <w:t>注：技术标采用暗标，无需签字、盖章）</w:t>
            </w:r>
          </w:p>
        </w:tc>
      </w:tr>
      <w:tr w14:paraId="167B0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trPr>
        <w:tc>
          <w:tcPr>
            <w:tcW w:w="735" w:type="dxa"/>
            <w:vMerge w:val="continue"/>
            <w:vAlign w:val="center"/>
          </w:tcPr>
          <w:p w14:paraId="4DD229F9">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rPr>
            </w:pPr>
          </w:p>
        </w:tc>
        <w:tc>
          <w:tcPr>
            <w:tcW w:w="1318" w:type="dxa"/>
            <w:vMerge w:val="continue"/>
            <w:vAlign w:val="center"/>
          </w:tcPr>
          <w:p w14:paraId="40533F9E">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rPr>
            </w:pPr>
          </w:p>
        </w:tc>
        <w:tc>
          <w:tcPr>
            <w:tcW w:w="2931" w:type="dxa"/>
            <w:vAlign w:val="center"/>
          </w:tcPr>
          <w:p w14:paraId="75826FC9">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lang w:val="zh-CN"/>
              </w:rPr>
            </w:pPr>
            <w:r>
              <w:rPr>
                <w:rFonts w:hint="eastAsia" w:ascii="宋体" w:hAnsi="宋体" w:cs="宋体"/>
                <w:color w:val="auto"/>
                <w:szCs w:val="21"/>
                <w:highlight w:val="none"/>
                <w:lang w:val="zh-CN"/>
              </w:rPr>
              <w:t>（2）投标方案</w:t>
            </w:r>
          </w:p>
        </w:tc>
        <w:tc>
          <w:tcPr>
            <w:tcW w:w="4631" w:type="dxa"/>
            <w:vAlign w:val="center"/>
          </w:tcPr>
          <w:p w14:paraId="1EC48AE4">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rPr>
            </w:pPr>
            <w:r>
              <w:rPr>
                <w:rFonts w:hint="eastAsia" w:ascii="宋体" w:hAnsi="宋体" w:cs="宋体"/>
                <w:color w:val="auto"/>
                <w:szCs w:val="21"/>
                <w:highlight w:val="none"/>
                <w:lang w:val="zh-CN"/>
              </w:rPr>
              <w:t>每个分包只能有一个方案投标。</w:t>
            </w:r>
          </w:p>
        </w:tc>
      </w:tr>
      <w:tr w14:paraId="519E9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5" w:type="dxa"/>
            <w:vMerge w:val="continue"/>
            <w:vAlign w:val="center"/>
          </w:tcPr>
          <w:p w14:paraId="6FAC2FDE">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rPr>
            </w:pPr>
          </w:p>
        </w:tc>
        <w:tc>
          <w:tcPr>
            <w:tcW w:w="1318" w:type="dxa"/>
            <w:vMerge w:val="continue"/>
            <w:vAlign w:val="center"/>
          </w:tcPr>
          <w:p w14:paraId="41F9A22C">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rPr>
            </w:pPr>
          </w:p>
        </w:tc>
        <w:tc>
          <w:tcPr>
            <w:tcW w:w="2931" w:type="dxa"/>
            <w:vAlign w:val="center"/>
          </w:tcPr>
          <w:p w14:paraId="06EBEA00">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lang w:val="zh-CN"/>
              </w:rPr>
            </w:pPr>
            <w:r>
              <w:rPr>
                <w:rFonts w:hint="eastAsia" w:ascii="宋体" w:hAnsi="宋体" w:cs="宋体"/>
                <w:color w:val="auto"/>
                <w:szCs w:val="21"/>
                <w:highlight w:val="none"/>
              </w:rPr>
              <w:t>（3）报价唯一</w:t>
            </w:r>
          </w:p>
        </w:tc>
        <w:tc>
          <w:tcPr>
            <w:tcW w:w="4631" w:type="dxa"/>
            <w:vAlign w:val="center"/>
          </w:tcPr>
          <w:p w14:paraId="2D33A63C">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rPr>
            </w:pPr>
            <w:r>
              <w:rPr>
                <w:rFonts w:hint="eastAsia" w:ascii="宋体" w:hAnsi="宋体" w:cs="宋体"/>
                <w:color w:val="auto"/>
                <w:szCs w:val="21"/>
                <w:highlight w:val="none"/>
                <w:lang w:val="zh-CN"/>
              </w:rPr>
              <w:t>只能在限价范围内报价，</w:t>
            </w:r>
            <w:r>
              <w:rPr>
                <w:rFonts w:hint="eastAsia" w:ascii="宋体" w:hAnsi="宋体" w:cs="宋体"/>
                <w:color w:val="auto"/>
                <w:szCs w:val="21"/>
                <w:highlight w:val="none"/>
              </w:rPr>
              <w:t>只能有一个有效报价，不得提交选择性报价。</w:t>
            </w:r>
          </w:p>
        </w:tc>
      </w:tr>
      <w:tr w14:paraId="238A3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5" w:hRule="atLeast"/>
        </w:trPr>
        <w:tc>
          <w:tcPr>
            <w:tcW w:w="735" w:type="dxa"/>
            <w:vMerge w:val="continue"/>
            <w:vAlign w:val="center"/>
          </w:tcPr>
          <w:p w14:paraId="1769C82E">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rPr>
            </w:pPr>
          </w:p>
        </w:tc>
        <w:tc>
          <w:tcPr>
            <w:tcW w:w="1318" w:type="dxa"/>
            <w:vMerge w:val="continue"/>
            <w:vAlign w:val="center"/>
          </w:tcPr>
          <w:p w14:paraId="697578BC">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rPr>
            </w:pPr>
          </w:p>
        </w:tc>
        <w:tc>
          <w:tcPr>
            <w:tcW w:w="2931" w:type="dxa"/>
            <w:vAlign w:val="center"/>
          </w:tcPr>
          <w:p w14:paraId="645100D4">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rPr>
            </w:pPr>
            <w:r>
              <w:rPr>
                <w:rFonts w:hint="eastAsia" w:ascii="宋体" w:hAnsi="宋体" w:cs="宋体"/>
                <w:color w:val="auto"/>
                <w:szCs w:val="21"/>
                <w:highlight w:val="none"/>
              </w:rPr>
              <w:t xml:space="preserve"> (4) 投标文件的有效期</w:t>
            </w:r>
          </w:p>
        </w:tc>
        <w:tc>
          <w:tcPr>
            <w:tcW w:w="4631" w:type="dxa"/>
            <w:vAlign w:val="center"/>
          </w:tcPr>
          <w:p w14:paraId="3ECC4C21">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lang w:val="zh-CN"/>
              </w:rPr>
            </w:pPr>
            <w:r>
              <w:rPr>
                <w:rFonts w:hint="eastAsia" w:ascii="宋体" w:hAnsi="宋体" w:cs="宋体"/>
                <w:color w:val="auto"/>
                <w:szCs w:val="21"/>
                <w:highlight w:val="none"/>
                <w:lang w:val="zh-CN"/>
              </w:rPr>
              <w:t>完全响应。</w:t>
            </w:r>
          </w:p>
        </w:tc>
      </w:tr>
      <w:tr w14:paraId="1A6F6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trPr>
        <w:tc>
          <w:tcPr>
            <w:tcW w:w="735" w:type="dxa"/>
            <w:vMerge w:val="restart"/>
            <w:vAlign w:val="center"/>
          </w:tcPr>
          <w:p w14:paraId="29F1DDE7">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rPr>
            </w:pPr>
            <w:r>
              <w:rPr>
                <w:rFonts w:hint="eastAsia" w:ascii="宋体" w:hAnsi="宋体" w:cs="宋体"/>
                <w:color w:val="auto"/>
                <w:szCs w:val="21"/>
                <w:highlight w:val="none"/>
              </w:rPr>
              <w:t>2</w:t>
            </w:r>
          </w:p>
        </w:tc>
        <w:tc>
          <w:tcPr>
            <w:tcW w:w="1318" w:type="dxa"/>
            <w:vMerge w:val="restart"/>
            <w:vAlign w:val="center"/>
          </w:tcPr>
          <w:p w14:paraId="52DB7871">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lang w:val="zh-CN"/>
              </w:rPr>
            </w:pPr>
            <w:r>
              <w:rPr>
                <w:rFonts w:hint="eastAsia" w:ascii="宋体" w:hAnsi="宋体" w:cs="宋体"/>
                <w:color w:val="auto"/>
                <w:szCs w:val="21"/>
                <w:highlight w:val="none"/>
                <w:lang w:val="zh-CN"/>
              </w:rPr>
              <w:t>投标文件的完整性</w:t>
            </w:r>
          </w:p>
        </w:tc>
        <w:tc>
          <w:tcPr>
            <w:tcW w:w="2931" w:type="dxa"/>
            <w:vAlign w:val="center"/>
          </w:tcPr>
          <w:p w14:paraId="3EF33D95">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rPr>
            </w:pPr>
            <w:r>
              <w:rPr>
                <w:rFonts w:hint="eastAsia" w:ascii="宋体" w:hAnsi="宋体" w:cs="宋体"/>
                <w:color w:val="auto"/>
                <w:szCs w:val="21"/>
                <w:highlight w:val="none"/>
                <w:lang w:val="zh-CN"/>
              </w:rPr>
              <w:t>（5）投标文件份数</w:t>
            </w:r>
          </w:p>
        </w:tc>
        <w:tc>
          <w:tcPr>
            <w:tcW w:w="4631" w:type="dxa"/>
            <w:vAlign w:val="center"/>
          </w:tcPr>
          <w:p w14:paraId="541851D7">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rPr>
            </w:pPr>
            <w:r>
              <w:rPr>
                <w:rFonts w:hint="eastAsia" w:ascii="宋体" w:hAnsi="宋体" w:cs="宋体"/>
                <w:color w:val="auto"/>
                <w:szCs w:val="21"/>
                <w:highlight w:val="none"/>
              </w:rPr>
              <w:t xml:space="preserve">网上递交的电子投标文件：一份； </w:t>
            </w:r>
          </w:p>
        </w:tc>
      </w:tr>
      <w:tr w14:paraId="760ED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735" w:type="dxa"/>
            <w:vMerge w:val="continue"/>
            <w:vAlign w:val="center"/>
          </w:tcPr>
          <w:p w14:paraId="04BCBF31">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rPr>
            </w:pPr>
          </w:p>
        </w:tc>
        <w:tc>
          <w:tcPr>
            <w:tcW w:w="1318" w:type="dxa"/>
            <w:vMerge w:val="continue"/>
            <w:vAlign w:val="center"/>
          </w:tcPr>
          <w:p w14:paraId="41CD1179">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rPr>
            </w:pPr>
          </w:p>
        </w:tc>
        <w:tc>
          <w:tcPr>
            <w:tcW w:w="2931" w:type="dxa"/>
            <w:vAlign w:val="center"/>
          </w:tcPr>
          <w:p w14:paraId="0A1C1249">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lang w:val="zh-CN"/>
              </w:rPr>
            </w:pPr>
            <w:r>
              <w:rPr>
                <w:rFonts w:hint="eastAsia" w:ascii="宋体" w:hAnsi="宋体" w:cs="宋体"/>
                <w:color w:val="auto"/>
                <w:szCs w:val="21"/>
                <w:highlight w:val="none"/>
                <w:lang w:val="zh-CN"/>
              </w:rPr>
              <w:t>（6）投标文件形式内容</w:t>
            </w:r>
          </w:p>
        </w:tc>
        <w:tc>
          <w:tcPr>
            <w:tcW w:w="4631" w:type="dxa"/>
            <w:vAlign w:val="center"/>
          </w:tcPr>
          <w:p w14:paraId="1D49BC1B">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lang w:val="zh-CN"/>
              </w:rPr>
            </w:pPr>
            <w:r>
              <w:rPr>
                <w:rFonts w:hint="eastAsia" w:ascii="宋体" w:hAnsi="宋体" w:cs="宋体"/>
                <w:color w:val="auto"/>
                <w:szCs w:val="21"/>
                <w:highlight w:val="none"/>
                <w:lang w:val="zh-CN"/>
              </w:rPr>
              <w:t>投标文件内容清晰、齐全无遗漏。</w:t>
            </w:r>
          </w:p>
        </w:tc>
      </w:tr>
      <w:tr w14:paraId="327DF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35" w:type="dxa"/>
            <w:vMerge w:val="restart"/>
            <w:vAlign w:val="center"/>
          </w:tcPr>
          <w:p w14:paraId="5AE02637">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rPr>
            </w:pPr>
            <w:r>
              <w:rPr>
                <w:rFonts w:hint="eastAsia" w:ascii="宋体" w:hAnsi="宋体" w:cs="宋体"/>
                <w:color w:val="auto"/>
                <w:szCs w:val="21"/>
                <w:highlight w:val="none"/>
              </w:rPr>
              <w:t>3</w:t>
            </w:r>
          </w:p>
        </w:tc>
        <w:tc>
          <w:tcPr>
            <w:tcW w:w="1318" w:type="dxa"/>
            <w:vMerge w:val="restart"/>
            <w:vAlign w:val="center"/>
          </w:tcPr>
          <w:p w14:paraId="4B484432">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lang w:val="zh-CN"/>
              </w:rPr>
            </w:pPr>
            <w:r>
              <w:rPr>
                <w:rFonts w:hint="eastAsia" w:ascii="宋体" w:hAnsi="宋体" w:cs="宋体"/>
                <w:color w:val="auto"/>
                <w:szCs w:val="21"/>
                <w:highlight w:val="none"/>
                <w:lang w:val="zh-CN"/>
              </w:rPr>
              <w:t>投标文件的响应程度</w:t>
            </w:r>
          </w:p>
        </w:tc>
        <w:tc>
          <w:tcPr>
            <w:tcW w:w="2931" w:type="dxa"/>
            <w:vAlign w:val="center"/>
          </w:tcPr>
          <w:p w14:paraId="72BE59D5">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lang w:val="zh-CN"/>
              </w:rPr>
            </w:pPr>
            <w:r>
              <w:rPr>
                <w:rFonts w:hint="eastAsia" w:ascii="宋体" w:hAnsi="宋体" w:cs="宋体"/>
                <w:color w:val="auto"/>
                <w:szCs w:val="21"/>
                <w:highlight w:val="none"/>
                <w:lang w:val="zh-CN"/>
              </w:rPr>
              <w:t>（7）技术参数响应程度</w:t>
            </w:r>
          </w:p>
        </w:tc>
        <w:tc>
          <w:tcPr>
            <w:tcW w:w="4631" w:type="dxa"/>
            <w:vAlign w:val="center"/>
          </w:tcPr>
          <w:p w14:paraId="0FDFFF15">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highlight w:val="none"/>
              </w:rPr>
            </w:pPr>
            <w:r>
              <w:rPr>
                <w:rFonts w:hint="eastAsia" w:ascii="宋体" w:hAnsi="宋体" w:cs="宋体"/>
                <w:color w:val="auto"/>
                <w:highlight w:val="none"/>
              </w:rPr>
              <w:t>最大限度响应</w:t>
            </w:r>
            <w:r>
              <w:rPr>
                <w:rFonts w:hint="eastAsia" w:ascii="宋体" w:hAnsi="宋体" w:cs="宋体"/>
                <w:color w:val="auto"/>
                <w:highlight w:val="none"/>
                <w:lang w:val="zh-CN"/>
              </w:rPr>
              <w:t>招标文件要求。</w:t>
            </w:r>
          </w:p>
        </w:tc>
      </w:tr>
      <w:tr w14:paraId="020E4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atLeast"/>
        </w:trPr>
        <w:tc>
          <w:tcPr>
            <w:tcW w:w="735" w:type="dxa"/>
            <w:vMerge w:val="continue"/>
            <w:vAlign w:val="center"/>
          </w:tcPr>
          <w:p w14:paraId="176F5255">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rPr>
            </w:pPr>
          </w:p>
        </w:tc>
        <w:tc>
          <w:tcPr>
            <w:tcW w:w="1318" w:type="dxa"/>
            <w:vMerge w:val="continue"/>
            <w:vAlign w:val="center"/>
          </w:tcPr>
          <w:p w14:paraId="6324ACE2">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rPr>
            </w:pPr>
          </w:p>
        </w:tc>
        <w:tc>
          <w:tcPr>
            <w:tcW w:w="2931" w:type="dxa"/>
            <w:vAlign w:val="center"/>
          </w:tcPr>
          <w:p w14:paraId="456AD78D">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lang w:val="zh-CN"/>
              </w:rPr>
            </w:pPr>
            <w:r>
              <w:rPr>
                <w:rFonts w:hint="eastAsia" w:ascii="宋体" w:hAnsi="宋体" w:cs="宋体"/>
                <w:color w:val="auto"/>
                <w:szCs w:val="21"/>
                <w:highlight w:val="none"/>
                <w:lang w:val="zh-CN"/>
              </w:rPr>
              <w:t>（8）商务条款响应程度</w:t>
            </w:r>
          </w:p>
        </w:tc>
        <w:tc>
          <w:tcPr>
            <w:tcW w:w="4631" w:type="dxa"/>
            <w:vAlign w:val="center"/>
          </w:tcPr>
          <w:p w14:paraId="59CC08D4">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lang w:val="zh-CN"/>
              </w:rPr>
            </w:pPr>
            <w:r>
              <w:rPr>
                <w:rFonts w:hint="eastAsia" w:ascii="宋体" w:hAnsi="宋体" w:cs="宋体"/>
                <w:color w:val="auto"/>
                <w:szCs w:val="21"/>
                <w:highlight w:val="none"/>
                <w:lang w:val="zh-CN"/>
              </w:rPr>
              <w:t>响应招标文件要求。</w:t>
            </w:r>
          </w:p>
        </w:tc>
      </w:tr>
    </w:tbl>
    <w:p w14:paraId="75B0F63E">
      <w:pPr>
        <w:shd w:val="clear"/>
        <w:spacing w:line="500" w:lineRule="exact"/>
        <w:ind w:right="36" w:rightChars="17" w:firstLine="506" w:firstLineChars="241"/>
        <w:jc w:val="left"/>
        <w:rPr>
          <w:rFonts w:ascii="宋体" w:hAnsi="宋体" w:cs="宋体"/>
          <w:color w:val="auto"/>
          <w:szCs w:val="21"/>
          <w:highlight w:val="none"/>
        </w:rPr>
      </w:pPr>
      <w:r>
        <w:rPr>
          <w:rFonts w:hint="eastAsia" w:ascii="宋体" w:hAnsi="宋体" w:cs="宋体"/>
          <w:color w:val="auto"/>
          <w:szCs w:val="21"/>
          <w:highlight w:val="none"/>
        </w:rPr>
        <w:t>4.2资格审查及评分细则中涉及的有关证明材料及相关证书，电子投标文件中须按招标文件要求上传</w:t>
      </w:r>
      <w:r>
        <w:rPr>
          <w:rFonts w:hint="eastAsia" w:ascii="宋体" w:hAnsi="宋体" w:cs="宋体"/>
          <w:b/>
          <w:color w:val="auto"/>
          <w:szCs w:val="21"/>
          <w:highlight w:val="none"/>
        </w:rPr>
        <w:t>扫描件</w:t>
      </w:r>
      <w:r>
        <w:rPr>
          <w:rFonts w:hint="eastAsia" w:ascii="宋体" w:hAnsi="宋体" w:cs="宋体"/>
          <w:color w:val="auto"/>
          <w:szCs w:val="21"/>
          <w:highlight w:val="none"/>
        </w:rPr>
        <w:t>，以供审查。</w:t>
      </w:r>
    </w:p>
    <w:p w14:paraId="3CA00520">
      <w:pPr>
        <w:shd w:val="clear"/>
        <w:spacing w:line="500" w:lineRule="exact"/>
        <w:ind w:right="36" w:rightChars="17" w:firstLine="506" w:firstLineChars="241"/>
        <w:jc w:val="left"/>
        <w:rPr>
          <w:rFonts w:ascii="宋体" w:hAnsi="宋体" w:cs="宋体"/>
          <w:color w:val="auto"/>
          <w:szCs w:val="21"/>
          <w:highlight w:val="none"/>
        </w:rPr>
      </w:pPr>
      <w:r>
        <w:rPr>
          <w:rFonts w:hint="eastAsia" w:ascii="宋体" w:hAnsi="宋体" w:cs="宋体"/>
          <w:color w:val="auto"/>
          <w:szCs w:val="21"/>
          <w:highlight w:val="none"/>
        </w:rPr>
        <w:t>4.3．评标委员会判定投标文件的响应性只根据投标文件本身的内容，而不寻求外部的证据，但投标有不真实不正确的内容时除外。</w:t>
      </w:r>
    </w:p>
    <w:p w14:paraId="13924DB5">
      <w:pPr>
        <w:shd w:val="clear"/>
        <w:spacing w:line="500" w:lineRule="exact"/>
        <w:ind w:right="36" w:rightChars="17" w:firstLine="506" w:firstLineChars="241"/>
        <w:jc w:val="left"/>
        <w:rPr>
          <w:rFonts w:ascii="宋体" w:hAnsi="宋体" w:cs="宋体"/>
          <w:color w:val="auto"/>
          <w:szCs w:val="21"/>
          <w:highlight w:val="none"/>
        </w:rPr>
      </w:pPr>
      <w:r>
        <w:rPr>
          <w:rFonts w:hint="eastAsia" w:ascii="宋体" w:hAnsi="宋体" w:cs="宋体"/>
          <w:color w:val="auto"/>
          <w:szCs w:val="21"/>
          <w:highlight w:val="none"/>
        </w:rPr>
        <w:t>4.4如果投标文件实质上没有响应招标文件的要求，评标委员会将予以拒绝，投标人不得通过修正或撤销不符合要求的偏离或保留，而使其投标成为实质上响应的投标。</w:t>
      </w:r>
    </w:p>
    <w:p w14:paraId="5AB98D78">
      <w:pPr>
        <w:shd w:val="clear"/>
        <w:spacing w:line="500" w:lineRule="exact"/>
        <w:ind w:right="36" w:rightChars="17"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 4.5投标人可在现场20分钟内对评标委员会的评审结论提出质疑，评标委员会根据招标文件及有关规定对投标人的质疑进行复议。</w:t>
      </w:r>
    </w:p>
    <w:p w14:paraId="77F0BFDB">
      <w:pPr>
        <w:shd w:val="clear"/>
        <w:spacing w:line="500" w:lineRule="exact"/>
        <w:ind w:right="36" w:rightChars="17" w:firstLine="525" w:firstLineChars="250"/>
        <w:jc w:val="left"/>
        <w:rPr>
          <w:rFonts w:ascii="宋体" w:hAnsi="宋体" w:cs="宋体"/>
          <w:color w:val="auto"/>
          <w:szCs w:val="21"/>
          <w:highlight w:val="none"/>
        </w:rPr>
      </w:pPr>
      <w:r>
        <w:rPr>
          <w:rFonts w:hint="eastAsia" w:ascii="宋体" w:hAnsi="宋体" w:cs="宋体"/>
          <w:color w:val="auto"/>
          <w:szCs w:val="21"/>
          <w:highlight w:val="none"/>
        </w:rPr>
        <w:t>4.6只有通过初审的投标人才能进入下一步程序。</w:t>
      </w:r>
    </w:p>
    <w:p w14:paraId="391518F5">
      <w:pPr>
        <w:shd w:val="clear"/>
        <w:spacing w:line="500" w:lineRule="exact"/>
        <w:ind w:right="36" w:rightChars="17"/>
        <w:jc w:val="left"/>
        <w:rPr>
          <w:rFonts w:ascii="宋体" w:hAnsi="宋体" w:cs="宋体"/>
          <w:b/>
          <w:color w:val="auto"/>
          <w:szCs w:val="21"/>
          <w:highlight w:val="none"/>
        </w:rPr>
      </w:pPr>
      <w:r>
        <w:rPr>
          <w:rFonts w:hint="eastAsia" w:ascii="宋体" w:hAnsi="宋体" w:cs="宋体"/>
          <w:b/>
          <w:color w:val="auto"/>
          <w:szCs w:val="21"/>
          <w:highlight w:val="none"/>
        </w:rPr>
        <w:t>温馨提示：1.请各投标人自行完善安徽省公共资源交易市场主体库中的单位基本信息，保证信息最新且有效。</w:t>
      </w:r>
    </w:p>
    <w:p w14:paraId="4F187FD5">
      <w:pPr>
        <w:shd w:val="clear"/>
        <w:spacing w:line="500" w:lineRule="exact"/>
        <w:ind w:right="36" w:rightChars="17"/>
        <w:jc w:val="left"/>
        <w:rPr>
          <w:rFonts w:ascii="宋体" w:hAnsi="宋体" w:cs="宋体"/>
          <w:color w:val="auto"/>
          <w:szCs w:val="21"/>
          <w:highlight w:val="none"/>
        </w:rPr>
      </w:pPr>
      <w:r>
        <w:rPr>
          <w:rFonts w:hint="eastAsia" w:ascii="宋体" w:hAnsi="宋体" w:cs="宋体"/>
          <w:b/>
          <w:color w:val="auto"/>
          <w:szCs w:val="21"/>
          <w:highlight w:val="none"/>
        </w:rPr>
        <w:t>2.投标文件资格审查资料请精心准备,如评标专家在检验电子投标文件过程中，如果由于投标人自身原因导致评标专家无法查看并检验电子投标文件中以上相关资料的，按无效投标处理。即使投标人将原件携带至现场的，同样按无效投标处理。</w:t>
      </w:r>
    </w:p>
    <w:p w14:paraId="49195413">
      <w:pPr>
        <w:shd w:val="clear"/>
        <w:spacing w:beforeLines="50" w:afterLines="50"/>
        <w:jc w:val="center"/>
        <w:outlineLvl w:val="1"/>
        <w:rPr>
          <w:rFonts w:ascii="宋体"/>
          <w:b/>
          <w:color w:val="auto"/>
          <w:sz w:val="28"/>
          <w:szCs w:val="28"/>
          <w:highlight w:val="none"/>
        </w:rPr>
      </w:pPr>
      <w:bookmarkStart w:id="79" w:name="_Toc449028879"/>
      <w:bookmarkStart w:id="80" w:name="_Toc14002"/>
      <w:bookmarkStart w:id="81" w:name="_Toc362983803"/>
      <w:bookmarkStart w:id="82" w:name="_Toc58430319"/>
      <w:bookmarkStart w:id="83" w:name="_Toc19521"/>
      <w:r>
        <w:rPr>
          <w:rFonts w:hint="eastAsia" w:ascii="宋体"/>
          <w:b/>
          <w:color w:val="auto"/>
          <w:sz w:val="28"/>
          <w:szCs w:val="28"/>
          <w:highlight w:val="none"/>
        </w:rPr>
        <w:t>三、投标文件的澄清和补正</w:t>
      </w:r>
      <w:bookmarkEnd w:id="79"/>
      <w:bookmarkEnd w:id="80"/>
      <w:bookmarkEnd w:id="81"/>
      <w:bookmarkEnd w:id="82"/>
      <w:bookmarkEnd w:id="83"/>
    </w:p>
    <w:p w14:paraId="035499CA">
      <w:pPr>
        <w:shd w:val="clear"/>
        <w:spacing w:line="500" w:lineRule="exact"/>
        <w:ind w:right="36" w:rightChars="17" w:firstLine="420" w:firstLineChars="200"/>
        <w:jc w:val="left"/>
        <w:rPr>
          <w:rFonts w:ascii="宋体" w:hAnsi="宋体" w:cs="宋体"/>
          <w:color w:val="auto"/>
          <w:szCs w:val="21"/>
          <w:highlight w:val="none"/>
        </w:rPr>
      </w:pPr>
      <w:r>
        <w:rPr>
          <w:rFonts w:hint="eastAsia" w:ascii="宋体" w:hAnsi="宋体" w:cs="宋体"/>
          <w:color w:val="auto"/>
          <w:szCs w:val="21"/>
          <w:highlight w:val="none"/>
        </w:rPr>
        <w:t>5.1评审阶段，评委可能会要求有关投标人就其投标文件中含义不明确、同类问题表述不一致或者有明显文字和计算错误的内容进行澄清。投标人必须在规定时间内进行回复，</w:t>
      </w:r>
      <w:r>
        <w:rPr>
          <w:rFonts w:hint="eastAsia" w:ascii="宋体" w:hAnsi="宋体" w:cs="宋体"/>
          <w:b/>
          <w:bCs/>
          <w:color w:val="auto"/>
          <w:szCs w:val="21"/>
          <w:highlight w:val="none"/>
        </w:rPr>
        <w:t>如因投标人未参加开标导致开评标过程中无法澄清、说明或补正的，视同投标人放弃该权利。</w:t>
      </w:r>
    </w:p>
    <w:p w14:paraId="35142ED8">
      <w:pPr>
        <w:shd w:val="clear"/>
        <w:spacing w:line="500" w:lineRule="exact"/>
        <w:ind w:right="36" w:rightChars="17" w:firstLine="525" w:firstLineChars="250"/>
        <w:jc w:val="left"/>
        <w:rPr>
          <w:rFonts w:ascii="宋体" w:hAnsi="宋体" w:cs="宋体"/>
          <w:color w:val="auto"/>
          <w:szCs w:val="21"/>
          <w:highlight w:val="none"/>
        </w:rPr>
      </w:pPr>
      <w:r>
        <w:rPr>
          <w:rFonts w:hint="eastAsia" w:ascii="宋体" w:hAnsi="宋体" w:cs="宋体"/>
          <w:color w:val="auto"/>
          <w:szCs w:val="21"/>
          <w:highlight w:val="none"/>
        </w:rPr>
        <w:t>5.2本项目采用远程开标，投标人的澄清、说明或者补正应当在系统进行，但不得超出投标书的范围或者改变投标书的实质性内容。具体操作方法详见服务指南&gt;交易须知&gt;开标大厅远程解密、质疑(异议)及回复以及评标过程中询标流程操作手册。</w:t>
      </w:r>
    </w:p>
    <w:p w14:paraId="6CB3DD03">
      <w:pPr>
        <w:shd w:val="clear"/>
        <w:spacing w:line="500" w:lineRule="exact"/>
        <w:ind w:right="36" w:rightChars="17" w:firstLine="525" w:firstLineChars="250"/>
        <w:jc w:val="left"/>
        <w:rPr>
          <w:rFonts w:ascii="宋体" w:hAnsi="宋体" w:cs="宋体"/>
          <w:color w:val="auto"/>
          <w:szCs w:val="21"/>
          <w:highlight w:val="none"/>
        </w:rPr>
      </w:pPr>
      <w:r>
        <w:rPr>
          <w:rFonts w:hint="eastAsia" w:ascii="宋体" w:hAnsi="宋体" w:cs="宋体"/>
          <w:color w:val="auto"/>
          <w:szCs w:val="21"/>
          <w:highlight w:val="none"/>
        </w:rPr>
        <w:t>5.3评委会修正错误的原则：</w:t>
      </w:r>
    </w:p>
    <w:p w14:paraId="447B8A24">
      <w:pPr>
        <w:shd w:val="clear"/>
        <w:spacing w:line="500" w:lineRule="exact"/>
        <w:ind w:right="36" w:rightChars="17" w:firstLine="525" w:firstLineChars="250"/>
        <w:jc w:val="left"/>
        <w:rPr>
          <w:rFonts w:ascii="宋体" w:hAnsi="宋体" w:cs="宋体"/>
          <w:color w:val="auto"/>
          <w:szCs w:val="21"/>
          <w:highlight w:val="none"/>
        </w:rPr>
      </w:pPr>
      <w:r>
        <w:rPr>
          <w:rFonts w:hint="eastAsia" w:ascii="宋体" w:hAnsi="宋体" w:cs="宋体"/>
          <w:color w:val="auto"/>
          <w:szCs w:val="21"/>
          <w:highlight w:val="none"/>
        </w:rPr>
        <w:t>5.3.1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75ADE800">
      <w:pPr>
        <w:shd w:val="clear"/>
        <w:spacing w:line="500" w:lineRule="exact"/>
        <w:ind w:right="36" w:rightChars="17" w:firstLine="525" w:firstLineChars="250"/>
        <w:jc w:val="left"/>
        <w:rPr>
          <w:rFonts w:ascii="宋体" w:hAnsi="宋体" w:cs="宋体"/>
          <w:color w:val="auto"/>
          <w:szCs w:val="21"/>
          <w:highlight w:val="none"/>
        </w:rPr>
      </w:pPr>
      <w:r>
        <w:rPr>
          <w:rFonts w:hint="eastAsia" w:ascii="宋体" w:hAnsi="宋体" w:cs="宋体"/>
          <w:color w:val="auto"/>
          <w:szCs w:val="21"/>
          <w:highlight w:val="none"/>
        </w:rPr>
        <w:t>5.3.2如果单价与数量的乘积和总价不一致，以单价为准，修正总价及开标一览表；当单价小数点有明显的错位时，评委会将以总价为准，并修正其单价；投标的数量与招标的数量不一致时，以招标数量为准。</w:t>
      </w:r>
    </w:p>
    <w:p w14:paraId="023B27E0">
      <w:pPr>
        <w:shd w:val="clear"/>
        <w:spacing w:line="500" w:lineRule="exact"/>
        <w:ind w:right="36" w:rightChars="17" w:firstLine="403" w:firstLineChars="192"/>
        <w:jc w:val="left"/>
        <w:rPr>
          <w:rFonts w:ascii="宋体" w:hAnsi="宋体" w:cs="宋体"/>
          <w:color w:val="auto"/>
          <w:szCs w:val="21"/>
          <w:highlight w:val="none"/>
        </w:rPr>
      </w:pPr>
      <w:r>
        <w:rPr>
          <w:rFonts w:hint="eastAsia" w:ascii="宋体" w:hAnsi="宋体" w:cs="宋体"/>
          <w:color w:val="auto"/>
          <w:szCs w:val="21"/>
          <w:highlight w:val="none"/>
        </w:rPr>
        <w:t xml:space="preserve"> 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bookmarkEnd w:id="68"/>
    <w:p w14:paraId="0EF8C6F4">
      <w:pPr>
        <w:shd w:val="clear"/>
        <w:spacing w:beforeLines="50" w:afterLines="50"/>
        <w:jc w:val="center"/>
        <w:outlineLvl w:val="1"/>
        <w:rPr>
          <w:rFonts w:ascii="宋体"/>
          <w:b/>
          <w:color w:val="auto"/>
          <w:sz w:val="28"/>
          <w:szCs w:val="28"/>
          <w:highlight w:val="none"/>
        </w:rPr>
      </w:pPr>
      <w:bookmarkStart w:id="84" w:name="_Toc23095"/>
      <w:bookmarkStart w:id="85" w:name="_Toc3630"/>
      <w:bookmarkStart w:id="86" w:name="_Toc58430320"/>
      <w:bookmarkStart w:id="87" w:name="_Toc449028880"/>
      <w:bookmarkStart w:id="88" w:name="_Hlk101517174"/>
      <w:r>
        <w:rPr>
          <w:rFonts w:hint="eastAsia" w:ascii="宋体"/>
          <w:b/>
          <w:color w:val="auto"/>
          <w:sz w:val="28"/>
          <w:szCs w:val="28"/>
          <w:highlight w:val="none"/>
        </w:rPr>
        <w:t>四、比较与评价</w:t>
      </w:r>
      <w:bookmarkEnd w:id="84"/>
      <w:bookmarkEnd w:id="85"/>
      <w:bookmarkEnd w:id="86"/>
      <w:bookmarkEnd w:id="87"/>
    </w:p>
    <w:p w14:paraId="52174A82">
      <w:pPr>
        <w:shd w:val="clear"/>
        <w:spacing w:line="500" w:lineRule="exact"/>
        <w:ind w:right="36" w:rightChars="17" w:firstLine="417" w:firstLineChars="198"/>
        <w:jc w:val="left"/>
        <w:rPr>
          <w:rFonts w:ascii="宋体" w:hAnsi="宋体" w:cs="宋体"/>
          <w:b/>
          <w:color w:val="auto"/>
          <w:szCs w:val="21"/>
          <w:highlight w:val="none"/>
        </w:rPr>
      </w:pPr>
      <w:r>
        <w:rPr>
          <w:rFonts w:hint="eastAsia" w:ascii="宋体" w:hAnsi="宋体" w:cs="宋体"/>
          <w:b/>
          <w:color w:val="auto"/>
          <w:szCs w:val="21"/>
          <w:highlight w:val="none"/>
        </w:rPr>
        <w:t xml:space="preserve"> 6.</w:t>
      </w:r>
      <w:bookmarkStart w:id="89" w:name="_Toc362983805"/>
      <w:r>
        <w:rPr>
          <w:rFonts w:hint="eastAsia" w:ascii="宋体" w:hAnsi="宋体" w:cs="宋体"/>
          <w:b/>
          <w:color w:val="auto"/>
          <w:szCs w:val="21"/>
          <w:highlight w:val="none"/>
        </w:rPr>
        <w:t>详细评审即按招标文件中规定的评标方法和标准，评标委员会将对通过初审的投标文件，进行资信、技术和商务部分评估、综合比较与评价。</w:t>
      </w:r>
    </w:p>
    <w:p w14:paraId="063381AF">
      <w:pPr>
        <w:shd w:val="clear"/>
        <w:spacing w:line="500" w:lineRule="exact"/>
        <w:jc w:val="left"/>
        <w:rPr>
          <w:rFonts w:ascii="宋体" w:hAnsi="宋体" w:cs="宋体"/>
          <w:b/>
          <w:bCs/>
          <w:color w:val="auto"/>
          <w:szCs w:val="21"/>
          <w:highlight w:val="none"/>
        </w:rPr>
      </w:pPr>
      <w:r>
        <w:rPr>
          <w:rFonts w:hint="eastAsia" w:ascii="宋体" w:hAnsi="宋体" w:cs="宋体"/>
          <w:b/>
          <w:bCs/>
          <w:color w:val="auto"/>
          <w:szCs w:val="21"/>
          <w:highlight w:val="none"/>
        </w:rPr>
        <w:t>6.1资信标评分细则（</w:t>
      </w:r>
      <w:r>
        <w:rPr>
          <w:rFonts w:hint="eastAsia" w:ascii="宋体" w:hAnsi="宋体" w:cs="宋体"/>
          <w:b/>
          <w:bCs/>
          <w:color w:val="auto"/>
          <w:szCs w:val="21"/>
          <w:highlight w:val="none"/>
          <w:lang w:val="en-US" w:eastAsia="zh-CN"/>
        </w:rPr>
        <w:t>30</w:t>
      </w:r>
      <w:r>
        <w:rPr>
          <w:rFonts w:hint="eastAsia" w:ascii="宋体" w:hAnsi="宋体" w:cs="宋体"/>
          <w:b/>
          <w:bCs/>
          <w:color w:val="auto"/>
          <w:szCs w:val="21"/>
          <w:highlight w:val="none"/>
        </w:rPr>
        <w:t>分）</w:t>
      </w:r>
    </w:p>
    <w:tbl>
      <w:tblPr>
        <w:tblStyle w:val="35"/>
        <w:tblW w:w="9812" w:type="dxa"/>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151"/>
        <w:gridCol w:w="709"/>
        <w:gridCol w:w="7255"/>
      </w:tblGrid>
      <w:tr w14:paraId="035EA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97" w:type="dxa"/>
            <w:vAlign w:val="center"/>
          </w:tcPr>
          <w:p w14:paraId="4EDDBDCF">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序号</w:t>
            </w:r>
          </w:p>
        </w:tc>
        <w:tc>
          <w:tcPr>
            <w:tcW w:w="1151" w:type="dxa"/>
            <w:vAlign w:val="center"/>
          </w:tcPr>
          <w:p w14:paraId="5C2F01E3">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评分因素</w:t>
            </w:r>
          </w:p>
        </w:tc>
        <w:tc>
          <w:tcPr>
            <w:tcW w:w="709" w:type="dxa"/>
            <w:vAlign w:val="center"/>
          </w:tcPr>
          <w:p w14:paraId="06071A15">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分值</w:t>
            </w:r>
          </w:p>
        </w:tc>
        <w:tc>
          <w:tcPr>
            <w:tcW w:w="7255" w:type="dxa"/>
            <w:vAlign w:val="center"/>
          </w:tcPr>
          <w:p w14:paraId="673F96E5">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评审细则</w:t>
            </w:r>
          </w:p>
        </w:tc>
      </w:tr>
      <w:tr w14:paraId="0E21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97" w:type="dxa"/>
            <w:vAlign w:val="center"/>
          </w:tcPr>
          <w:p w14:paraId="0F5429D3">
            <w:pPr>
              <w:pStyle w:val="14"/>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1</w:t>
            </w:r>
          </w:p>
        </w:tc>
        <w:tc>
          <w:tcPr>
            <w:tcW w:w="1151" w:type="dxa"/>
            <w:vAlign w:val="center"/>
          </w:tcPr>
          <w:p w14:paraId="0088E6A7">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投标人</w:t>
            </w:r>
            <w:r>
              <w:rPr>
                <w:rFonts w:hint="eastAsia" w:ascii="宋体" w:hAnsi="宋体" w:cs="宋体"/>
                <w:b w:val="0"/>
                <w:bCs w:val="0"/>
                <w:color w:val="auto"/>
                <w:sz w:val="21"/>
                <w:szCs w:val="21"/>
                <w:highlight w:val="none"/>
              </w:rPr>
              <w:t>业绩</w:t>
            </w:r>
          </w:p>
        </w:tc>
        <w:tc>
          <w:tcPr>
            <w:tcW w:w="709" w:type="dxa"/>
            <w:vAlign w:val="center"/>
          </w:tcPr>
          <w:p w14:paraId="16504C93">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7</w:t>
            </w:r>
            <w:r>
              <w:rPr>
                <w:rFonts w:hint="eastAsia" w:ascii="宋体" w:hAnsi="宋体" w:cs="宋体"/>
                <w:b w:val="0"/>
                <w:bCs w:val="0"/>
                <w:color w:val="auto"/>
                <w:sz w:val="21"/>
                <w:szCs w:val="21"/>
                <w:highlight w:val="none"/>
              </w:rPr>
              <w:t>分</w:t>
            </w:r>
          </w:p>
        </w:tc>
        <w:tc>
          <w:tcPr>
            <w:tcW w:w="7255" w:type="dxa"/>
            <w:vAlign w:val="center"/>
          </w:tcPr>
          <w:p w14:paraId="01FC005C">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default"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投标人自2022 年1 月1 日以来（以合同签订时间为准），具有皮划艇</w:t>
            </w:r>
            <w:r>
              <w:rPr>
                <w:rFonts w:hint="eastAsia" w:ascii="宋体" w:hAnsi="宋体" w:cs="宋体"/>
                <w:b w:val="0"/>
                <w:bCs w:val="0"/>
                <w:color w:val="auto"/>
                <w:sz w:val="21"/>
                <w:szCs w:val="21"/>
                <w:highlight w:val="none"/>
                <w:lang w:val="en-US" w:eastAsia="zh-CN"/>
              </w:rPr>
              <w:t>或赛艇或龙舟类</w:t>
            </w:r>
            <w:r>
              <w:rPr>
                <w:rFonts w:hint="eastAsia" w:ascii="宋体" w:hAnsi="宋体" w:cs="宋体"/>
                <w:b w:val="0"/>
                <w:bCs w:val="0"/>
                <w:color w:val="auto"/>
                <w:sz w:val="21"/>
                <w:szCs w:val="21"/>
                <w:highlight w:val="none"/>
              </w:rPr>
              <w:t>赛事服务业绩，每提供一个得</w:t>
            </w:r>
            <w:r>
              <w:rPr>
                <w:rFonts w:hint="eastAsia" w:ascii="宋体" w:hAnsi="宋体" w:cs="宋体"/>
                <w:b w:val="0"/>
                <w:bCs w:val="0"/>
                <w:color w:val="auto"/>
                <w:sz w:val="21"/>
                <w:szCs w:val="21"/>
                <w:highlight w:val="none"/>
                <w:lang w:val="en-US" w:eastAsia="zh-CN"/>
              </w:rPr>
              <w:t>7</w:t>
            </w:r>
            <w:r>
              <w:rPr>
                <w:rFonts w:hint="eastAsia" w:ascii="宋体" w:hAnsi="宋体" w:cs="宋体"/>
                <w:b w:val="0"/>
                <w:bCs w:val="0"/>
                <w:color w:val="auto"/>
                <w:sz w:val="21"/>
                <w:szCs w:val="21"/>
                <w:highlight w:val="none"/>
              </w:rPr>
              <w:t>分；本项最高得</w:t>
            </w:r>
            <w:r>
              <w:rPr>
                <w:rFonts w:hint="eastAsia" w:ascii="宋体" w:hAnsi="宋体" w:cs="宋体"/>
                <w:b w:val="0"/>
                <w:bCs w:val="0"/>
                <w:color w:val="auto"/>
                <w:sz w:val="21"/>
                <w:szCs w:val="21"/>
                <w:highlight w:val="none"/>
                <w:lang w:val="en-US" w:eastAsia="zh-CN"/>
              </w:rPr>
              <w:t>7</w:t>
            </w:r>
            <w:r>
              <w:rPr>
                <w:rFonts w:hint="eastAsia" w:ascii="宋体" w:hAnsi="宋体" w:cs="宋体"/>
                <w:b w:val="0"/>
                <w:bCs w:val="0"/>
                <w:color w:val="auto"/>
                <w:sz w:val="21"/>
                <w:szCs w:val="21"/>
                <w:highlight w:val="none"/>
              </w:rPr>
              <w:t>分。</w:t>
            </w:r>
          </w:p>
          <w:p w14:paraId="75547079">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rPr>
              <w:t>注：</w:t>
            </w:r>
            <w:r>
              <w:rPr>
                <w:rFonts w:hint="eastAsia" w:ascii="宋体" w:hAnsi="宋体" w:cs="宋体"/>
                <w:b/>
                <w:bCs/>
                <w:color w:val="auto"/>
                <w:sz w:val="21"/>
                <w:szCs w:val="21"/>
                <w:highlight w:val="none"/>
                <w:lang w:val="en-US" w:eastAsia="zh-CN"/>
              </w:rPr>
              <w:t>合同扫描件和体现关键评审信息的赛事实景照片。</w:t>
            </w:r>
          </w:p>
          <w:p w14:paraId="3E4D6737">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default"/>
                <w:b w:val="0"/>
                <w:bCs w:val="0"/>
                <w:color w:val="auto"/>
                <w:sz w:val="21"/>
                <w:szCs w:val="21"/>
                <w:highlight w:val="none"/>
              </w:rPr>
            </w:pPr>
            <w:r>
              <w:rPr>
                <w:rFonts w:hint="eastAsia" w:ascii="宋体" w:hAnsi="宋体" w:cs="宋体"/>
                <w:b/>
                <w:bCs/>
                <w:color w:val="auto"/>
                <w:sz w:val="21"/>
                <w:szCs w:val="21"/>
                <w:highlight w:val="none"/>
                <w:lang w:val="en-US" w:eastAsia="zh-CN"/>
              </w:rPr>
              <w:t>如合同不能够充分有效证明该业绩的内容的</w:t>
            </w:r>
            <w:r>
              <w:rPr>
                <w:rFonts w:hint="eastAsia" w:ascii="宋体" w:hAnsi="宋体" w:eastAsia="宋体" w:cs="宋体"/>
                <w:b/>
                <w:bCs/>
                <w:color w:val="auto"/>
                <w:sz w:val="21"/>
                <w:szCs w:val="21"/>
                <w:highlight w:val="none"/>
                <w:lang w:val="en-US" w:eastAsia="zh-CN"/>
              </w:rPr>
              <w:t>，还须另外提供建设单位出具的加盖建设单位公章的证明材料，不符合要求，不得分。业绩</w:t>
            </w:r>
            <w:r>
              <w:rPr>
                <w:rFonts w:hint="eastAsia" w:ascii="宋体" w:hAnsi="宋体" w:cs="宋体"/>
                <w:b/>
                <w:bCs/>
                <w:color w:val="auto"/>
                <w:sz w:val="21"/>
                <w:szCs w:val="21"/>
                <w:highlight w:val="none"/>
              </w:rPr>
              <w:t>时间以合同签订时间为准</w:t>
            </w:r>
            <w:r>
              <w:rPr>
                <w:rFonts w:hint="eastAsia" w:ascii="宋体" w:hAnsi="宋体" w:cs="宋体"/>
                <w:b/>
                <w:bCs/>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 xml:space="preserve"> </w:t>
            </w:r>
          </w:p>
        </w:tc>
      </w:tr>
      <w:tr w14:paraId="4E6E9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97" w:type="dxa"/>
            <w:vAlign w:val="center"/>
          </w:tcPr>
          <w:p w14:paraId="3FBD4332">
            <w:pPr>
              <w:pStyle w:val="14"/>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w:t>
            </w:r>
          </w:p>
        </w:tc>
        <w:tc>
          <w:tcPr>
            <w:tcW w:w="1151" w:type="dxa"/>
            <w:vAlign w:val="center"/>
          </w:tcPr>
          <w:p w14:paraId="6A50DB67">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项目负责人</w:t>
            </w:r>
          </w:p>
        </w:tc>
        <w:tc>
          <w:tcPr>
            <w:tcW w:w="709" w:type="dxa"/>
            <w:vAlign w:val="center"/>
          </w:tcPr>
          <w:p w14:paraId="7D61195C">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7分</w:t>
            </w:r>
          </w:p>
        </w:tc>
        <w:tc>
          <w:tcPr>
            <w:tcW w:w="7255" w:type="dxa"/>
            <w:vAlign w:val="center"/>
          </w:tcPr>
          <w:p w14:paraId="6AC68262">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default" w:ascii="宋体" w:hAnsi="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拟派项目负责人</w:t>
            </w:r>
            <w:r>
              <w:rPr>
                <w:rFonts w:hint="eastAsia" w:ascii="宋体" w:hAnsi="宋体" w:cs="宋体"/>
                <w:b w:val="0"/>
                <w:bCs w:val="0"/>
                <w:color w:val="auto"/>
                <w:sz w:val="21"/>
                <w:szCs w:val="21"/>
                <w:highlight w:val="none"/>
              </w:rPr>
              <w:t>自2022 年1 月1 日以来（以合同签订时间为准），具有皮划艇</w:t>
            </w:r>
            <w:r>
              <w:rPr>
                <w:rFonts w:hint="eastAsia" w:ascii="宋体" w:hAnsi="宋体" w:cs="宋体"/>
                <w:b w:val="0"/>
                <w:bCs w:val="0"/>
                <w:color w:val="auto"/>
                <w:sz w:val="21"/>
                <w:szCs w:val="21"/>
                <w:highlight w:val="none"/>
                <w:lang w:val="en-US" w:eastAsia="zh-CN"/>
              </w:rPr>
              <w:t>或赛艇或龙舟类</w:t>
            </w:r>
            <w:r>
              <w:rPr>
                <w:rFonts w:hint="eastAsia" w:ascii="宋体" w:hAnsi="宋体" w:cs="宋体"/>
                <w:b w:val="0"/>
                <w:bCs w:val="0"/>
                <w:color w:val="auto"/>
                <w:sz w:val="21"/>
                <w:szCs w:val="21"/>
                <w:highlight w:val="none"/>
              </w:rPr>
              <w:t>赛事服务业绩，每提供一个得</w:t>
            </w:r>
            <w:r>
              <w:rPr>
                <w:rFonts w:hint="eastAsia" w:ascii="宋体" w:hAnsi="宋体" w:cs="宋体"/>
                <w:b w:val="0"/>
                <w:bCs w:val="0"/>
                <w:color w:val="auto"/>
                <w:sz w:val="21"/>
                <w:szCs w:val="21"/>
                <w:highlight w:val="none"/>
                <w:lang w:val="en-US" w:eastAsia="zh-CN"/>
              </w:rPr>
              <w:t>7</w:t>
            </w:r>
            <w:r>
              <w:rPr>
                <w:rFonts w:hint="eastAsia" w:ascii="宋体" w:hAnsi="宋体" w:cs="宋体"/>
                <w:b w:val="0"/>
                <w:bCs w:val="0"/>
                <w:color w:val="auto"/>
                <w:sz w:val="21"/>
                <w:szCs w:val="21"/>
                <w:highlight w:val="none"/>
              </w:rPr>
              <w:t>分；本项最高得</w:t>
            </w:r>
            <w:r>
              <w:rPr>
                <w:rFonts w:hint="eastAsia" w:ascii="宋体" w:hAnsi="宋体" w:cs="宋体"/>
                <w:b w:val="0"/>
                <w:bCs w:val="0"/>
                <w:color w:val="auto"/>
                <w:sz w:val="21"/>
                <w:szCs w:val="21"/>
                <w:highlight w:val="none"/>
                <w:lang w:val="en-US" w:eastAsia="zh-CN"/>
              </w:rPr>
              <w:t>7</w:t>
            </w:r>
            <w:r>
              <w:rPr>
                <w:rFonts w:hint="eastAsia" w:ascii="宋体" w:hAnsi="宋体" w:cs="宋体"/>
                <w:b w:val="0"/>
                <w:bCs w:val="0"/>
                <w:color w:val="auto"/>
                <w:sz w:val="21"/>
                <w:szCs w:val="21"/>
                <w:highlight w:val="none"/>
              </w:rPr>
              <w:t>分。</w:t>
            </w:r>
          </w:p>
          <w:p w14:paraId="7995A8BB">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rPr>
              <w:t>注：</w:t>
            </w:r>
            <w:r>
              <w:rPr>
                <w:rFonts w:hint="eastAsia" w:ascii="宋体" w:hAnsi="宋体" w:cs="宋体"/>
                <w:b/>
                <w:bCs/>
                <w:color w:val="auto"/>
                <w:sz w:val="21"/>
                <w:szCs w:val="21"/>
                <w:highlight w:val="none"/>
                <w:lang w:val="en-US" w:eastAsia="zh-CN"/>
              </w:rPr>
              <w:t>提供合同扫描件。项目负责人以合同中约定为准。</w:t>
            </w:r>
          </w:p>
          <w:p w14:paraId="60D336AE">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jc w:val="left"/>
              <w:textAlignment w:val="center"/>
              <w:rPr>
                <w:rFonts w:hint="eastAsia" w:cs="宋体"/>
                <w:color w:val="auto"/>
                <w:kern w:val="2"/>
                <w:sz w:val="21"/>
                <w:szCs w:val="21"/>
                <w:highlight w:val="none"/>
                <w:lang w:val="en-US" w:eastAsia="zh-CN" w:bidi="ar-SA"/>
              </w:rPr>
            </w:pPr>
            <w:r>
              <w:rPr>
                <w:rFonts w:hint="eastAsia" w:ascii="宋体" w:hAnsi="宋体" w:cs="宋体"/>
                <w:b/>
                <w:bCs/>
                <w:color w:val="auto"/>
                <w:sz w:val="21"/>
                <w:szCs w:val="21"/>
                <w:highlight w:val="none"/>
                <w:lang w:val="en-US" w:eastAsia="zh-CN"/>
              </w:rPr>
              <w:t>如合同不能够充分有效证明该业绩的内容的</w:t>
            </w:r>
            <w:r>
              <w:rPr>
                <w:rFonts w:hint="eastAsia" w:ascii="宋体" w:hAnsi="宋体" w:eastAsia="宋体" w:cs="宋体"/>
                <w:b/>
                <w:bCs/>
                <w:color w:val="auto"/>
                <w:sz w:val="21"/>
                <w:szCs w:val="21"/>
                <w:highlight w:val="none"/>
                <w:lang w:val="en-US" w:eastAsia="zh-CN"/>
              </w:rPr>
              <w:t>，还须另外提供建设单位出具的加盖建设单位公章的证明材料，不符合要求，不得分。业绩</w:t>
            </w:r>
            <w:r>
              <w:rPr>
                <w:rFonts w:hint="eastAsia" w:ascii="宋体" w:hAnsi="宋体" w:cs="宋体"/>
                <w:b/>
                <w:bCs/>
                <w:color w:val="auto"/>
                <w:sz w:val="21"/>
                <w:szCs w:val="21"/>
                <w:highlight w:val="none"/>
              </w:rPr>
              <w:t>时间以合同签订时间为准</w:t>
            </w:r>
            <w:r>
              <w:rPr>
                <w:rFonts w:hint="eastAsia" w:ascii="宋体" w:hAnsi="宋体" w:cs="宋体"/>
                <w:b/>
                <w:bCs/>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 xml:space="preserve"> </w:t>
            </w:r>
          </w:p>
          <w:p w14:paraId="3457A052">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jc w:val="left"/>
              <w:textAlignment w:val="center"/>
              <w:rPr>
                <w:rFonts w:hint="eastAsia" w:cs="宋体"/>
                <w:b/>
                <w:bCs/>
                <w:color w:val="auto"/>
                <w:sz w:val="21"/>
                <w:szCs w:val="21"/>
                <w:highlight w:val="none"/>
                <w:lang w:val="en-US" w:eastAsia="zh-CN"/>
              </w:rPr>
            </w:pPr>
            <w:r>
              <w:rPr>
                <w:rFonts w:hint="eastAsia" w:cs="宋体"/>
                <w:b/>
                <w:bCs/>
                <w:color w:val="auto"/>
                <w:kern w:val="2"/>
                <w:sz w:val="21"/>
                <w:szCs w:val="21"/>
                <w:highlight w:val="none"/>
                <w:lang w:val="en-US" w:eastAsia="zh-CN" w:bidi="ar-SA"/>
              </w:rPr>
              <w:t>投标人业绩与项目负责人业绩不可为同一业绩，否则仅计取一次。</w:t>
            </w:r>
          </w:p>
        </w:tc>
      </w:tr>
      <w:tr w14:paraId="65ECA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97" w:type="dxa"/>
            <w:vAlign w:val="center"/>
          </w:tcPr>
          <w:p w14:paraId="2C3701CA">
            <w:pPr>
              <w:pStyle w:val="14"/>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w:t>
            </w:r>
          </w:p>
        </w:tc>
        <w:tc>
          <w:tcPr>
            <w:tcW w:w="1151" w:type="dxa"/>
            <w:vAlign w:val="center"/>
          </w:tcPr>
          <w:p w14:paraId="7641B5F3">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水上运动中心基地</w:t>
            </w:r>
          </w:p>
        </w:tc>
        <w:tc>
          <w:tcPr>
            <w:tcW w:w="709" w:type="dxa"/>
            <w:vAlign w:val="center"/>
          </w:tcPr>
          <w:p w14:paraId="3C02AB4A">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10分</w:t>
            </w:r>
          </w:p>
        </w:tc>
        <w:tc>
          <w:tcPr>
            <w:tcW w:w="7255" w:type="dxa"/>
            <w:vAlign w:val="center"/>
          </w:tcPr>
          <w:p w14:paraId="757E5C12">
            <w:pPr>
              <w:pStyle w:val="3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left"/>
              <w:textAlignment w:val="center"/>
              <w:rPr>
                <w:rFonts w:hint="eastAsia"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（1）</w:t>
            </w:r>
            <w:r>
              <w:rPr>
                <w:rFonts w:hint="eastAsia" w:cs="宋体"/>
                <w:b/>
                <w:bCs/>
                <w:color w:val="auto"/>
                <w:kern w:val="2"/>
                <w:sz w:val="21"/>
                <w:szCs w:val="21"/>
                <w:highlight w:val="none"/>
                <w:lang w:val="en-US" w:eastAsia="zh-CN" w:bidi="ar-SA"/>
              </w:rPr>
              <w:t>投标人具有水上运动基地的得5分，本项最高得5分。</w:t>
            </w:r>
          </w:p>
          <w:p w14:paraId="289B0E38">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jc w:val="left"/>
              <w:textAlignment w:val="center"/>
              <w:rPr>
                <w:rFonts w:hint="eastAsia" w:cs="宋体"/>
                <w:b/>
                <w:bCs/>
                <w:color w:val="auto"/>
                <w:kern w:val="2"/>
                <w:sz w:val="21"/>
                <w:szCs w:val="21"/>
                <w:highlight w:val="none"/>
                <w:lang w:val="en-US" w:eastAsia="zh-CN" w:bidi="ar-SA"/>
              </w:rPr>
            </w:pPr>
            <w:r>
              <w:rPr>
                <w:rFonts w:hint="eastAsia" w:ascii="宋体" w:hAnsi="宋体" w:cs="宋体"/>
                <w:b/>
                <w:bCs/>
                <w:color w:val="auto"/>
                <w:sz w:val="21"/>
                <w:szCs w:val="21"/>
                <w:highlight w:val="none"/>
              </w:rPr>
              <w:t>注：</w:t>
            </w:r>
            <w:r>
              <w:rPr>
                <w:rFonts w:hint="eastAsia" w:ascii="宋体" w:hAnsi="宋体" w:cs="宋体"/>
                <w:b/>
                <w:bCs/>
                <w:color w:val="auto"/>
                <w:sz w:val="21"/>
                <w:szCs w:val="21"/>
                <w:highlight w:val="none"/>
                <w:lang w:val="en-US" w:eastAsia="zh-CN"/>
              </w:rPr>
              <w:t>提供</w:t>
            </w:r>
            <w:r>
              <w:rPr>
                <w:rFonts w:hint="eastAsia" w:cs="宋体"/>
                <w:b/>
                <w:bCs/>
                <w:color w:val="auto"/>
                <w:sz w:val="21"/>
                <w:szCs w:val="21"/>
                <w:highlight w:val="none"/>
                <w:lang w:val="en-US" w:eastAsia="zh-CN"/>
              </w:rPr>
              <w:t>场地证明文件和实景照片。</w:t>
            </w:r>
          </w:p>
          <w:p w14:paraId="59D559CF">
            <w:pPr>
              <w:pStyle w:val="3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left"/>
              <w:textAlignment w:val="center"/>
              <w:rPr>
                <w:rFonts w:hint="default" w:cs="宋体"/>
                <w:b/>
                <w:bCs/>
                <w:color w:val="auto"/>
                <w:kern w:val="2"/>
                <w:sz w:val="21"/>
                <w:szCs w:val="21"/>
                <w:highlight w:val="none"/>
                <w:lang w:val="en-US" w:eastAsia="zh-CN" w:bidi="ar-SA"/>
              </w:rPr>
            </w:pPr>
            <w:r>
              <w:rPr>
                <w:rFonts w:hint="eastAsia" w:cs="宋体"/>
                <w:b/>
                <w:bCs/>
                <w:color w:val="auto"/>
                <w:kern w:val="2"/>
                <w:sz w:val="21"/>
                <w:szCs w:val="21"/>
                <w:highlight w:val="none"/>
                <w:lang w:val="en-US" w:eastAsia="zh-CN" w:bidi="ar-SA"/>
              </w:rPr>
              <w:t>（2）如上述得分水上运动基地符合中国皮划艇协会备案俱乐部条件的得5分，本项最高得5分。</w:t>
            </w:r>
          </w:p>
          <w:p w14:paraId="069D1FF4">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jc w:val="left"/>
              <w:textAlignment w:val="center"/>
              <w:rPr>
                <w:rFonts w:hint="default" w:cs="宋体"/>
                <w:b/>
                <w:bCs/>
                <w:color w:val="auto"/>
                <w:kern w:val="2"/>
                <w:sz w:val="21"/>
                <w:szCs w:val="21"/>
                <w:highlight w:val="none"/>
                <w:lang w:val="en-US" w:eastAsia="zh-CN" w:bidi="ar-SA"/>
              </w:rPr>
            </w:pPr>
            <w:r>
              <w:rPr>
                <w:rFonts w:hint="eastAsia" w:ascii="宋体" w:hAnsi="宋体" w:cs="宋体"/>
                <w:b/>
                <w:bCs/>
                <w:color w:val="auto"/>
                <w:sz w:val="21"/>
                <w:szCs w:val="21"/>
                <w:highlight w:val="none"/>
              </w:rPr>
              <w:t>注：</w:t>
            </w:r>
            <w:r>
              <w:rPr>
                <w:rFonts w:hint="eastAsia" w:ascii="宋体" w:hAnsi="宋体" w:cs="宋体"/>
                <w:b/>
                <w:bCs/>
                <w:color w:val="auto"/>
                <w:sz w:val="21"/>
                <w:szCs w:val="21"/>
                <w:highlight w:val="none"/>
                <w:lang w:val="en-US" w:eastAsia="zh-CN"/>
              </w:rPr>
              <w:t>提供</w:t>
            </w:r>
            <w:r>
              <w:rPr>
                <w:rFonts w:hint="eastAsia" w:cs="宋体"/>
                <w:b/>
                <w:bCs/>
                <w:color w:val="auto"/>
                <w:sz w:val="21"/>
                <w:szCs w:val="21"/>
                <w:highlight w:val="none"/>
                <w:lang w:val="en-US" w:eastAsia="zh-CN"/>
              </w:rPr>
              <w:t>场地证明文件和实景照片和中国皮划艇协会官网备案截图</w:t>
            </w:r>
            <w:r>
              <w:rPr>
                <w:rFonts w:hint="eastAsia" w:ascii="宋体" w:hAnsi="宋体" w:cs="宋体"/>
                <w:b/>
                <w:bCs/>
                <w:color w:val="auto"/>
                <w:sz w:val="21"/>
                <w:szCs w:val="21"/>
                <w:highlight w:val="none"/>
                <w:lang w:val="en-US" w:eastAsia="zh-CN"/>
              </w:rPr>
              <w:t>。</w:t>
            </w:r>
          </w:p>
        </w:tc>
      </w:tr>
      <w:tr w14:paraId="2388A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97" w:type="dxa"/>
            <w:vAlign w:val="center"/>
          </w:tcPr>
          <w:p w14:paraId="5DE81153">
            <w:pPr>
              <w:pStyle w:val="14"/>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4</w:t>
            </w:r>
          </w:p>
        </w:tc>
        <w:tc>
          <w:tcPr>
            <w:tcW w:w="1151" w:type="dxa"/>
            <w:vAlign w:val="center"/>
          </w:tcPr>
          <w:p w14:paraId="277B3873">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人员证书</w:t>
            </w:r>
          </w:p>
        </w:tc>
        <w:tc>
          <w:tcPr>
            <w:tcW w:w="709" w:type="dxa"/>
            <w:vAlign w:val="center"/>
          </w:tcPr>
          <w:p w14:paraId="06F603B9">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6分</w:t>
            </w:r>
          </w:p>
        </w:tc>
        <w:tc>
          <w:tcPr>
            <w:tcW w:w="7255" w:type="dxa"/>
            <w:vAlign w:val="center"/>
          </w:tcPr>
          <w:p w14:paraId="6106BB48">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jc w:val="left"/>
              <w:textAlignment w:val="center"/>
              <w:rPr>
                <w:rFonts w:hint="eastAsia" w:cs="宋体"/>
                <w:b/>
                <w:bCs/>
                <w:color w:val="auto"/>
                <w:kern w:val="2"/>
                <w:sz w:val="21"/>
                <w:szCs w:val="21"/>
                <w:highlight w:val="none"/>
                <w:lang w:val="en-US" w:eastAsia="zh-CN" w:bidi="ar-SA"/>
              </w:rPr>
            </w:pPr>
            <w:r>
              <w:rPr>
                <w:rFonts w:hint="eastAsia" w:cs="宋体"/>
                <w:b/>
                <w:bCs/>
                <w:color w:val="auto"/>
                <w:kern w:val="2"/>
                <w:sz w:val="21"/>
                <w:szCs w:val="21"/>
                <w:highlight w:val="none"/>
                <w:lang w:val="en-US" w:eastAsia="zh-CN" w:bidi="ar-SA"/>
              </w:rPr>
              <w:t>投标人拟配备团队人员中具有皮划艇教练员或裁判员证书的，每有1个得的2分，本项最高得6分。</w:t>
            </w:r>
          </w:p>
          <w:p w14:paraId="112A53B1">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jc w:val="left"/>
              <w:textAlignment w:val="center"/>
              <w:rPr>
                <w:rFonts w:hint="eastAsia" w:cs="宋体"/>
                <w:b/>
                <w:bCs/>
                <w:color w:val="auto"/>
                <w:kern w:val="2"/>
                <w:sz w:val="21"/>
                <w:szCs w:val="21"/>
                <w:highlight w:val="none"/>
                <w:lang w:val="en-US" w:eastAsia="zh-CN" w:bidi="ar-SA"/>
              </w:rPr>
            </w:pPr>
            <w:r>
              <w:rPr>
                <w:rFonts w:hint="eastAsia" w:cs="宋体"/>
                <w:b/>
                <w:bCs/>
                <w:color w:val="auto"/>
                <w:kern w:val="2"/>
                <w:sz w:val="21"/>
                <w:szCs w:val="21"/>
                <w:highlight w:val="none"/>
                <w:lang w:val="en-US" w:eastAsia="zh-CN" w:bidi="ar-SA"/>
              </w:rPr>
              <w:t>注：提供证书扫描件和身份证扫描件。</w:t>
            </w:r>
          </w:p>
          <w:p w14:paraId="0237BC59">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jc w:val="left"/>
              <w:textAlignment w:val="center"/>
              <w:rPr>
                <w:rFonts w:hint="default" w:cs="宋体"/>
                <w:b/>
                <w:bCs/>
                <w:color w:val="auto"/>
                <w:kern w:val="2"/>
                <w:sz w:val="21"/>
                <w:szCs w:val="21"/>
                <w:highlight w:val="none"/>
                <w:lang w:val="en-US" w:eastAsia="zh-CN" w:bidi="ar-SA"/>
              </w:rPr>
            </w:pPr>
            <w:r>
              <w:rPr>
                <w:rFonts w:hint="eastAsia" w:cs="宋体"/>
                <w:b/>
                <w:bCs/>
                <w:color w:val="auto"/>
                <w:kern w:val="2"/>
                <w:sz w:val="21"/>
                <w:szCs w:val="21"/>
                <w:highlight w:val="none"/>
                <w:lang w:val="en-US" w:eastAsia="zh-CN" w:bidi="ar-SA"/>
              </w:rPr>
              <w:t>一人多证不重复计分，仅计取一次。</w:t>
            </w:r>
          </w:p>
        </w:tc>
      </w:tr>
      <w:bookmarkEnd w:id="88"/>
    </w:tbl>
    <w:p w14:paraId="3E947C90">
      <w:pPr>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500" w:lineRule="exact"/>
        <w:ind w:firstLine="422" w:firstLineChars="200"/>
        <w:jc w:val="left"/>
        <w:textAlignment w:val="auto"/>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rPr>
        <w:t>6.2技术标评审细则（</w:t>
      </w:r>
      <w:r>
        <w:rPr>
          <w:rFonts w:hint="eastAsia" w:ascii="宋体" w:hAnsi="宋体" w:cs="宋体"/>
          <w:b/>
          <w:bCs/>
          <w:color w:val="auto"/>
          <w:szCs w:val="21"/>
          <w:highlight w:val="none"/>
          <w:lang w:val="en-US" w:eastAsia="zh-CN"/>
        </w:rPr>
        <w:t>60</w:t>
      </w:r>
      <w:r>
        <w:rPr>
          <w:rFonts w:hint="eastAsia" w:ascii="宋体" w:hAnsi="宋体" w:cs="宋体"/>
          <w:b/>
          <w:bCs/>
          <w:color w:val="auto"/>
          <w:szCs w:val="21"/>
          <w:highlight w:val="none"/>
        </w:rPr>
        <w:t>分）</w:t>
      </w:r>
    </w:p>
    <w:tbl>
      <w:tblPr>
        <w:tblStyle w:val="35"/>
        <w:tblW w:w="9579" w:type="dxa"/>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332"/>
        <w:gridCol w:w="750"/>
        <w:gridCol w:w="6800"/>
      </w:tblGrid>
      <w:tr w14:paraId="25E85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697" w:type="dxa"/>
            <w:vAlign w:val="center"/>
          </w:tcPr>
          <w:p w14:paraId="3FECA773">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332" w:type="dxa"/>
            <w:vAlign w:val="center"/>
          </w:tcPr>
          <w:p w14:paraId="4E93F01A">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评分因素</w:t>
            </w:r>
          </w:p>
        </w:tc>
        <w:tc>
          <w:tcPr>
            <w:tcW w:w="750" w:type="dxa"/>
            <w:vAlign w:val="center"/>
          </w:tcPr>
          <w:p w14:paraId="103756A1">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分值</w:t>
            </w:r>
          </w:p>
        </w:tc>
        <w:tc>
          <w:tcPr>
            <w:tcW w:w="6800" w:type="dxa"/>
            <w:vAlign w:val="center"/>
          </w:tcPr>
          <w:p w14:paraId="119AB06B">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评审细则</w:t>
            </w:r>
          </w:p>
        </w:tc>
      </w:tr>
      <w:tr w14:paraId="451D8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97" w:type="dxa"/>
            <w:vAlign w:val="center"/>
          </w:tcPr>
          <w:p w14:paraId="469C7E39">
            <w:pPr>
              <w:pStyle w:val="133"/>
              <w:keepNext w:val="0"/>
              <w:keepLines w:val="0"/>
              <w:suppressLineNumbers w:val="0"/>
              <w:spacing w:before="72" w:beforeAutospacing="0" w:after="0" w:afterAutospacing="0" w:line="241" w:lineRule="auto"/>
              <w:ind w:left="0" w:right="0"/>
              <w:jc w:val="center"/>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1</w:t>
            </w:r>
          </w:p>
        </w:tc>
        <w:tc>
          <w:tcPr>
            <w:tcW w:w="1332" w:type="dxa"/>
            <w:vAlign w:val="center"/>
          </w:tcPr>
          <w:p w14:paraId="7F3EB12E">
            <w:pPr>
              <w:pStyle w:val="133"/>
              <w:keepNext w:val="0"/>
              <w:keepLines w:val="0"/>
              <w:suppressLineNumbers w:val="0"/>
              <w:spacing w:before="71" w:beforeAutospacing="0" w:after="0" w:afterAutospacing="0" w:line="313" w:lineRule="auto"/>
              <w:ind w:left="0" w:right="139"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总体策划服务方案</w:t>
            </w:r>
          </w:p>
        </w:tc>
        <w:tc>
          <w:tcPr>
            <w:tcW w:w="750" w:type="dxa"/>
            <w:vAlign w:val="center"/>
          </w:tcPr>
          <w:p w14:paraId="358B75A9">
            <w:pPr>
              <w:pStyle w:val="133"/>
              <w:keepNext w:val="0"/>
              <w:keepLines w:val="0"/>
              <w:suppressLineNumbers w:val="0"/>
              <w:spacing w:before="71"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cs="宋体"/>
                <w:color w:val="auto"/>
                <w:sz w:val="21"/>
                <w:szCs w:val="21"/>
                <w:highlight w:val="none"/>
                <w:lang w:val="en-US" w:eastAsia="zh-CN"/>
              </w:rPr>
              <w:t>1</w:t>
            </w:r>
            <w:r>
              <w:rPr>
                <w:rFonts w:hint="eastAsia" w:ascii="宋体" w:hAnsi="宋体" w:eastAsia="宋体" w:cs="宋体"/>
                <w:color w:val="auto"/>
                <w:sz w:val="21"/>
                <w:szCs w:val="21"/>
                <w:highlight w:val="none"/>
              </w:rPr>
              <w:t>5分</w:t>
            </w:r>
          </w:p>
        </w:tc>
        <w:tc>
          <w:tcPr>
            <w:tcW w:w="6800" w:type="dxa"/>
            <w:vAlign w:val="top"/>
          </w:tcPr>
          <w:p w14:paraId="3F0A437F">
            <w:pPr>
              <w:pStyle w:val="133"/>
              <w:keepNext w:val="0"/>
              <w:keepLines w:val="0"/>
              <w:suppressLineNumbers w:val="0"/>
              <w:spacing w:before="79" w:beforeAutospacing="0" w:after="0" w:afterAutospacing="0" w:line="319" w:lineRule="auto"/>
              <w:ind w:left="0" w:right="69"/>
              <w:rPr>
                <w:rFonts w:hint="eastAsia" w:ascii="宋体" w:hAnsi="宋体" w:eastAsia="宋体" w:cs="宋体"/>
                <w:color w:val="auto"/>
                <w:sz w:val="21"/>
                <w:szCs w:val="21"/>
                <w:highlight w:val="none"/>
              </w:rPr>
            </w:pPr>
            <w:r>
              <w:rPr>
                <w:rFonts w:hint="eastAsia" w:cs="宋体"/>
                <w:color w:val="auto"/>
                <w:sz w:val="21"/>
                <w:szCs w:val="21"/>
                <w:highlight w:val="none"/>
                <w:lang w:val="en-US" w:eastAsia="zh-CN"/>
              </w:rPr>
              <w:t>投标人</w:t>
            </w:r>
            <w:r>
              <w:rPr>
                <w:rFonts w:hint="eastAsia" w:ascii="宋体" w:hAnsi="宋体" w:eastAsia="宋体" w:cs="宋体"/>
                <w:color w:val="auto"/>
                <w:sz w:val="21"/>
                <w:szCs w:val="21"/>
                <w:highlight w:val="none"/>
              </w:rPr>
              <w:t>针对本项目特点提供总体策划服务方案，</w:t>
            </w:r>
            <w:r>
              <w:rPr>
                <w:rFonts w:hint="eastAsia" w:ascii="宋体" w:hAnsi="宋体" w:eastAsia="宋体" w:cs="宋体"/>
                <w:color w:val="auto"/>
                <w:sz w:val="21"/>
                <w:szCs w:val="21"/>
                <w:highlight w:val="none"/>
                <w:lang w:val="en-US" w:eastAsia="zh-CN"/>
              </w:rPr>
              <w:t>评标委员会</w:t>
            </w:r>
            <w:r>
              <w:rPr>
                <w:rFonts w:hint="eastAsia" w:ascii="宋体" w:hAnsi="宋体" w:eastAsia="宋体" w:cs="宋体"/>
                <w:color w:val="auto"/>
                <w:sz w:val="21"/>
                <w:szCs w:val="21"/>
                <w:highlight w:val="none"/>
              </w:rPr>
              <w:t>根据方案综合评审：</w:t>
            </w:r>
          </w:p>
          <w:p w14:paraId="2FEEB165">
            <w:pPr>
              <w:pStyle w:val="133"/>
              <w:keepNext w:val="0"/>
              <w:keepLines w:val="0"/>
              <w:numPr>
                <w:ilvl w:val="0"/>
                <w:numId w:val="0"/>
              </w:numPr>
              <w:suppressLineNumbers w:val="0"/>
              <w:spacing w:before="79" w:beforeAutospacing="0" w:after="0" w:afterAutospacing="0" w:line="319" w:lineRule="auto"/>
              <w:ind w:left="0" w:leftChars="0" w:right="69" w:rightChars="0"/>
              <w:rPr>
                <w:rFonts w:hint="eastAsia" w:ascii="宋体" w:hAnsi="宋体" w:eastAsia="宋体" w:cs="宋体"/>
                <w:b/>
                <w:bCs/>
                <w:color w:val="auto"/>
                <w:sz w:val="21"/>
                <w:szCs w:val="21"/>
                <w:highlight w:val="none"/>
              </w:rPr>
            </w:pPr>
            <w:r>
              <w:rPr>
                <w:rFonts w:hint="eastAsia" w:ascii="宋体" w:hAnsi="宋体" w:eastAsia="宋体" w:cs="宋体"/>
                <w:b/>
                <w:bCs/>
                <w:color w:val="auto"/>
                <w:kern w:val="2"/>
                <w:sz w:val="21"/>
                <w:szCs w:val="21"/>
                <w:highlight w:val="none"/>
                <w:lang w:val="en-US" w:eastAsia="en-US" w:bidi="ar-SA"/>
              </w:rPr>
              <w:t>1、</w:t>
            </w:r>
            <w:r>
              <w:rPr>
                <w:rFonts w:hint="eastAsia" w:ascii="宋体" w:hAnsi="宋体" w:eastAsia="宋体" w:cs="宋体"/>
                <w:b/>
                <w:bCs/>
                <w:color w:val="auto"/>
                <w:sz w:val="21"/>
                <w:szCs w:val="21"/>
                <w:highlight w:val="none"/>
              </w:rPr>
              <w:t>整体赛事概况：</w:t>
            </w:r>
          </w:p>
          <w:p w14:paraId="37AAB158">
            <w:pPr>
              <w:pStyle w:val="133"/>
              <w:keepNext w:val="0"/>
              <w:keepLines w:val="0"/>
              <w:numPr>
                <w:ilvl w:val="0"/>
                <w:numId w:val="0"/>
              </w:numPr>
              <w:suppressLineNumbers w:val="0"/>
              <w:spacing w:before="79" w:beforeAutospacing="0" w:after="0" w:afterAutospacing="0" w:line="319" w:lineRule="auto"/>
              <w:ind w:left="0" w:leftChars="0" w:right="69" w:rightChars="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合理规划设计滁州清流河水域21公里比赛线路，设计规划短距离（5公里左右）比赛线路图，和其他赛事安排。</w:t>
            </w:r>
          </w:p>
          <w:p w14:paraId="3D7332D4">
            <w:pPr>
              <w:pStyle w:val="133"/>
              <w:keepNext w:val="0"/>
              <w:keepLines w:val="0"/>
              <w:suppressLineNumbers w:val="0"/>
              <w:spacing w:before="79" w:beforeAutospacing="0" w:after="0" w:afterAutospacing="0" w:line="319" w:lineRule="auto"/>
              <w:ind w:left="0" w:right="6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（1）对清流河水域特点分析透彻，21公里长距离及短距离线路规划极具创意和挑战性，充分考虑了安全、观赏性和运动员体验，规划图纸详实专业的得5分；</w:t>
            </w:r>
          </w:p>
          <w:p w14:paraId="05E95B16">
            <w:pPr>
              <w:pStyle w:val="133"/>
              <w:keepNext w:val="0"/>
              <w:keepLines w:val="0"/>
              <w:suppressLineNumbers w:val="0"/>
              <w:spacing w:before="79" w:beforeAutospacing="0" w:after="0" w:afterAutospacing="0" w:line="319" w:lineRule="auto"/>
              <w:ind w:left="0" w:right="6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（2）对水域有基本分析，线路规划合理可行，能满足赛事基本要求，提供了规划图纸的得3分；</w:t>
            </w:r>
          </w:p>
          <w:p w14:paraId="03CAA17F">
            <w:pPr>
              <w:pStyle w:val="133"/>
              <w:keepNext w:val="0"/>
              <w:keepLines w:val="0"/>
              <w:suppressLineNumbers w:val="0"/>
              <w:spacing w:before="79" w:beforeAutospacing="0" w:after="0" w:afterAutospacing="0" w:line="319" w:lineRule="auto"/>
              <w:ind w:left="0" w:right="6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（3）线路规划较为常规，对水域特点分析不足的得1分</w:t>
            </w:r>
            <w:r>
              <w:rPr>
                <w:rFonts w:hint="eastAsia" w:cs="宋体"/>
                <w:color w:val="auto"/>
                <w:sz w:val="21"/>
                <w:szCs w:val="21"/>
                <w:highlight w:val="none"/>
                <w:lang w:val="en-US" w:eastAsia="zh-CN"/>
              </w:rPr>
              <w:t>；</w:t>
            </w:r>
          </w:p>
          <w:p w14:paraId="7741B3EF">
            <w:pPr>
              <w:pStyle w:val="133"/>
              <w:keepNext w:val="0"/>
              <w:keepLines w:val="0"/>
              <w:suppressLineNumbers w:val="0"/>
              <w:spacing w:before="79" w:beforeAutospacing="0" w:after="0" w:afterAutospacing="0" w:line="319" w:lineRule="auto"/>
              <w:ind w:left="0" w:right="6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（4）方案不可行或未提供的得0分。</w:t>
            </w:r>
          </w:p>
          <w:p w14:paraId="003F5661">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480" w:lineRule="exact"/>
              <w:ind w:left="0" w:right="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此评分项上传至技术标“总体策划服务方案打分点1”，切勿传错，否则自行承担相应后果。</w:t>
            </w:r>
            <w:r>
              <w:rPr>
                <w:rFonts w:hint="eastAsia" w:ascii="宋体" w:hAnsi="宋体" w:eastAsia="宋体" w:cs="宋体"/>
                <w:b/>
                <w:bCs/>
                <w:color w:val="auto"/>
                <w:sz w:val="21"/>
                <w:szCs w:val="21"/>
                <w:highlight w:val="none"/>
                <w:lang w:eastAsia="zh-CN"/>
              </w:rPr>
              <w:t>）</w:t>
            </w:r>
          </w:p>
          <w:p w14:paraId="33F02058">
            <w:pPr>
              <w:pStyle w:val="133"/>
              <w:keepNext w:val="0"/>
              <w:keepLines w:val="0"/>
              <w:suppressLineNumbers w:val="0"/>
              <w:spacing w:before="79" w:beforeAutospacing="0" w:after="0" w:afterAutospacing="0" w:line="319" w:lineRule="auto"/>
              <w:ind w:left="0" w:right="6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2、配套活动方案，含开幕式展演</w:t>
            </w:r>
            <w:r>
              <w:rPr>
                <w:rFonts w:hint="eastAsia" w:cs="宋体"/>
                <w:b/>
                <w:bCs/>
                <w:color w:val="auto"/>
                <w:sz w:val="21"/>
                <w:szCs w:val="21"/>
                <w:highlight w:val="none"/>
                <w:lang w:val="en-US" w:eastAsia="zh-CN"/>
              </w:rPr>
              <w:t>和其他活动</w:t>
            </w:r>
            <w:r>
              <w:rPr>
                <w:rFonts w:hint="eastAsia" w:ascii="宋体" w:hAnsi="宋体" w:eastAsia="宋体" w:cs="宋体"/>
                <w:b/>
                <w:bCs/>
                <w:color w:val="auto"/>
                <w:sz w:val="21"/>
                <w:szCs w:val="21"/>
                <w:highlight w:val="none"/>
                <w:lang w:val="en-US" w:eastAsia="zh-CN"/>
              </w:rPr>
              <w:t>方案：</w:t>
            </w:r>
          </w:p>
          <w:p w14:paraId="5D0636B7">
            <w:pPr>
              <w:pStyle w:val="133"/>
              <w:keepNext w:val="0"/>
              <w:keepLines w:val="0"/>
              <w:suppressLineNumbers w:val="0"/>
              <w:spacing w:before="79" w:beforeAutospacing="0" w:after="0" w:afterAutospacing="0" w:line="319" w:lineRule="auto"/>
              <w:ind w:left="0" w:right="6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（1）开幕式及配套活动方案极具创意，能深度融合滁州地方文化特色，流程设计新颖流畅，具有极强的互动性和传播性的得5分；</w:t>
            </w:r>
          </w:p>
          <w:p w14:paraId="52197B1E">
            <w:pPr>
              <w:pStyle w:val="133"/>
              <w:keepNext w:val="0"/>
              <w:keepLines w:val="0"/>
              <w:suppressLineNumbers w:val="0"/>
              <w:spacing w:before="79" w:beforeAutospacing="0" w:after="0" w:afterAutospacing="0" w:line="319" w:lineRule="auto"/>
              <w:ind w:left="0" w:right="6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（2）方案完整，能体现地方特色，流程设计合理有序的得3分；</w:t>
            </w:r>
          </w:p>
          <w:p w14:paraId="3BF0A74B">
            <w:pPr>
              <w:pStyle w:val="133"/>
              <w:keepNext w:val="0"/>
              <w:keepLines w:val="0"/>
              <w:suppressLineNumbers w:val="0"/>
              <w:spacing w:before="79" w:beforeAutospacing="0" w:after="0" w:afterAutospacing="0" w:line="319" w:lineRule="auto"/>
              <w:ind w:left="0" w:right="69"/>
              <w:rPr>
                <w:rFonts w:hint="eastAsia"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（3）方案有待提高和完善的得1分</w:t>
            </w:r>
            <w:r>
              <w:rPr>
                <w:rFonts w:hint="eastAsia" w:cs="宋体"/>
                <w:color w:val="auto"/>
                <w:sz w:val="21"/>
                <w:szCs w:val="21"/>
                <w:highlight w:val="none"/>
                <w:lang w:val="en-US" w:eastAsia="zh-CN"/>
              </w:rPr>
              <w:t>；</w:t>
            </w:r>
          </w:p>
          <w:p w14:paraId="0BF0053C">
            <w:pPr>
              <w:pStyle w:val="133"/>
              <w:keepNext w:val="0"/>
              <w:keepLines w:val="0"/>
              <w:suppressLineNumbers w:val="0"/>
              <w:spacing w:before="79" w:beforeAutospacing="0" w:after="0" w:afterAutospacing="0" w:line="319" w:lineRule="auto"/>
              <w:ind w:left="0" w:right="6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（4）方案不可行或未提供的得0分。</w:t>
            </w:r>
          </w:p>
          <w:p w14:paraId="4AF6BC5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480" w:lineRule="exact"/>
              <w:ind w:left="0" w:right="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此评分项上传至技术标“总体策划服务方案打分点2”，切勿传错，否则自行承担相应后果。</w:t>
            </w:r>
            <w:r>
              <w:rPr>
                <w:rFonts w:hint="eastAsia" w:ascii="宋体" w:hAnsi="宋体" w:eastAsia="宋体" w:cs="宋体"/>
                <w:b/>
                <w:bCs/>
                <w:color w:val="auto"/>
                <w:sz w:val="21"/>
                <w:szCs w:val="21"/>
                <w:highlight w:val="none"/>
                <w:lang w:eastAsia="zh-CN"/>
              </w:rPr>
              <w:t>）</w:t>
            </w:r>
          </w:p>
          <w:p w14:paraId="7DDF0112">
            <w:pPr>
              <w:pStyle w:val="133"/>
              <w:keepNext w:val="0"/>
              <w:keepLines w:val="0"/>
              <w:suppressLineNumbers w:val="0"/>
              <w:spacing w:before="79" w:beforeAutospacing="0" w:after="0" w:afterAutospacing="0" w:line="319" w:lineRule="auto"/>
              <w:ind w:left="0" w:right="6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3、整体物料设计方案：</w:t>
            </w:r>
          </w:p>
          <w:p w14:paraId="280E5FA1">
            <w:pPr>
              <w:pStyle w:val="133"/>
              <w:keepNext w:val="0"/>
              <w:keepLines w:val="0"/>
              <w:suppressLineNumbers w:val="0"/>
              <w:spacing w:before="79" w:beforeAutospacing="0" w:after="0" w:afterAutospacing="0" w:line="319" w:lineRule="auto"/>
              <w:ind w:left="0" w:right="6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（1）方案科学合理，结合当地特色，展现项目风格的得5分；</w:t>
            </w:r>
          </w:p>
          <w:p w14:paraId="2EF6C614">
            <w:pPr>
              <w:pStyle w:val="133"/>
              <w:keepNext w:val="0"/>
              <w:keepLines w:val="0"/>
              <w:suppressLineNumbers w:val="0"/>
              <w:spacing w:before="79" w:beforeAutospacing="0" w:after="0" w:afterAutospacing="0" w:line="319" w:lineRule="auto"/>
              <w:ind w:left="0" w:right="6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（2）设计美观大方，能体现赛事主题和一定的地方元素的得3分；</w:t>
            </w:r>
          </w:p>
          <w:p w14:paraId="6102C725">
            <w:pPr>
              <w:pStyle w:val="133"/>
              <w:keepNext w:val="0"/>
              <w:keepLines w:val="0"/>
              <w:suppressLineNumbers w:val="0"/>
              <w:spacing w:before="79" w:beforeAutospacing="0" w:after="0" w:afterAutospacing="0" w:line="319" w:lineRule="auto"/>
              <w:ind w:left="0" w:right="6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（3）方案未结合当地特色，未展现项目风格的得1分</w:t>
            </w:r>
            <w:r>
              <w:rPr>
                <w:rFonts w:hint="eastAsia" w:cs="宋体"/>
                <w:color w:val="auto"/>
                <w:sz w:val="21"/>
                <w:szCs w:val="21"/>
                <w:highlight w:val="none"/>
                <w:lang w:val="en-US" w:eastAsia="zh-CN"/>
              </w:rPr>
              <w:t>；</w:t>
            </w:r>
          </w:p>
          <w:p w14:paraId="3A7C9417">
            <w:pPr>
              <w:pStyle w:val="133"/>
              <w:keepNext w:val="0"/>
              <w:keepLines w:val="0"/>
              <w:suppressLineNumbers w:val="0"/>
              <w:spacing w:before="79" w:beforeAutospacing="0" w:after="0" w:afterAutospacing="0" w:line="319" w:lineRule="auto"/>
              <w:ind w:left="0" w:right="6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（4）方案不可行或未提供的得0分。</w:t>
            </w:r>
          </w:p>
          <w:p w14:paraId="54B35D1B">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480" w:lineRule="exact"/>
              <w:ind w:left="0" w:right="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此评分项上传至技术标“总体策划服务方案打分点3”，切勿传错，否则自行承担相应后果。</w:t>
            </w:r>
            <w:r>
              <w:rPr>
                <w:rFonts w:hint="eastAsia" w:ascii="宋体" w:hAnsi="宋体" w:eastAsia="宋体" w:cs="宋体"/>
                <w:b/>
                <w:bCs/>
                <w:color w:val="auto"/>
                <w:sz w:val="21"/>
                <w:szCs w:val="21"/>
                <w:highlight w:val="none"/>
                <w:lang w:eastAsia="zh-CN"/>
              </w:rPr>
              <w:t>）</w:t>
            </w:r>
          </w:p>
          <w:p w14:paraId="10CC1B72">
            <w:pPr>
              <w:pStyle w:val="133"/>
              <w:keepNext w:val="0"/>
              <w:keepLines w:val="0"/>
              <w:suppressLineNumbers w:val="0"/>
              <w:spacing w:before="117" w:beforeAutospacing="0" w:after="0" w:afterAutospacing="0" w:line="265" w:lineRule="auto"/>
              <w:ind w:left="0" w:right="1820" w:rightChars="0"/>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【技术标中须能充分反映出本评分项内容】</w:t>
            </w:r>
          </w:p>
        </w:tc>
      </w:tr>
      <w:tr w14:paraId="7A31E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97" w:type="dxa"/>
            <w:vAlign w:val="center"/>
          </w:tcPr>
          <w:p w14:paraId="74A1F1AA">
            <w:pPr>
              <w:pStyle w:val="133"/>
              <w:keepNext w:val="0"/>
              <w:keepLines w:val="0"/>
              <w:suppressLineNumbers w:val="0"/>
              <w:spacing w:before="79" w:beforeAutospacing="0" w:after="0" w:afterAutospacing="0" w:line="319" w:lineRule="auto"/>
              <w:ind w:left="0" w:right="69"/>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332" w:type="dxa"/>
            <w:vAlign w:val="center"/>
          </w:tcPr>
          <w:p w14:paraId="308AFAA0">
            <w:pPr>
              <w:pStyle w:val="133"/>
              <w:keepNext w:val="0"/>
              <w:keepLines w:val="0"/>
              <w:suppressLineNumbers w:val="0"/>
              <w:spacing w:before="79" w:beforeAutospacing="0" w:after="0" w:afterAutospacing="0" w:line="319" w:lineRule="auto"/>
              <w:ind w:left="0" w:right="69"/>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现场布置方案</w:t>
            </w:r>
          </w:p>
        </w:tc>
        <w:tc>
          <w:tcPr>
            <w:tcW w:w="750" w:type="dxa"/>
            <w:vAlign w:val="center"/>
          </w:tcPr>
          <w:p w14:paraId="7FCC3BD8">
            <w:pPr>
              <w:pStyle w:val="133"/>
              <w:keepNext w:val="0"/>
              <w:keepLines w:val="0"/>
              <w:suppressLineNumbers w:val="0"/>
              <w:spacing w:before="79" w:beforeAutospacing="0" w:after="0" w:afterAutospacing="0" w:line="319" w:lineRule="auto"/>
              <w:ind w:left="0" w:right="69"/>
              <w:jc w:val="center"/>
              <w:rPr>
                <w:rFonts w:hint="eastAsia" w:ascii="宋体" w:hAnsi="宋体" w:eastAsia="宋体" w:cs="宋体"/>
                <w:color w:val="auto"/>
                <w:sz w:val="21"/>
                <w:szCs w:val="21"/>
                <w:highlight w:val="none"/>
                <w:lang w:val="en-US" w:eastAsia="zh-CN"/>
              </w:rPr>
            </w:pPr>
            <w:r>
              <w:rPr>
                <w:rFonts w:hint="eastAsia"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6800" w:type="dxa"/>
            <w:vAlign w:val="top"/>
          </w:tcPr>
          <w:p w14:paraId="684051FA">
            <w:pPr>
              <w:pStyle w:val="133"/>
              <w:keepNext w:val="0"/>
              <w:keepLines w:val="0"/>
              <w:suppressLineNumbers w:val="0"/>
              <w:spacing w:before="79" w:beforeAutospacing="0" w:after="0" w:afterAutospacing="0" w:line="319" w:lineRule="auto"/>
              <w:ind w:left="0" w:right="6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投标人针对本项目特点提供现场布置方案，评标委员会根据方案综合评审：</w:t>
            </w:r>
          </w:p>
          <w:p w14:paraId="05B8BC84">
            <w:pPr>
              <w:pStyle w:val="133"/>
              <w:keepNext w:val="0"/>
              <w:keepLines w:val="0"/>
              <w:numPr>
                <w:ilvl w:val="0"/>
                <w:numId w:val="0"/>
              </w:numPr>
              <w:suppressLineNumbers w:val="0"/>
              <w:spacing w:before="79" w:beforeAutospacing="0" w:after="0" w:afterAutospacing="0" w:line="319" w:lineRule="auto"/>
              <w:ind w:left="0" w:right="69" w:rightChars="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1、</w:t>
            </w:r>
            <w:r>
              <w:rPr>
                <w:rFonts w:hint="eastAsia" w:ascii="宋体" w:hAnsi="宋体" w:eastAsia="宋体" w:cs="宋体"/>
                <w:b/>
                <w:bCs/>
                <w:color w:val="auto"/>
                <w:sz w:val="21"/>
                <w:szCs w:val="21"/>
                <w:highlight w:val="none"/>
                <w:lang w:val="en-US" w:eastAsia="zh-CN"/>
              </w:rPr>
              <w:t>现场物料氛围布置方案（氛围营造布置具有创新性，贴合赛事主题、地域文化特色）等；</w:t>
            </w:r>
          </w:p>
          <w:p w14:paraId="6A5378B0">
            <w:pPr>
              <w:pStyle w:val="133"/>
              <w:keepNext w:val="0"/>
              <w:keepLines w:val="0"/>
              <w:numPr>
                <w:ilvl w:val="0"/>
                <w:numId w:val="0"/>
              </w:numPr>
              <w:suppressLineNumbers w:val="0"/>
              <w:spacing w:before="79" w:beforeAutospacing="0" w:after="0" w:afterAutospacing="0" w:line="319" w:lineRule="auto"/>
              <w:ind w:left="0" w:right="69" w:right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（1）充分考虑了赛事动线和人流，起终点、补给点、展示区等布局科学，氛围营造极具创新性，能显著提升参赛和观赛体验的得5分；</w:t>
            </w:r>
          </w:p>
          <w:p w14:paraId="5E1B213B">
            <w:pPr>
              <w:pStyle w:val="133"/>
              <w:keepNext w:val="0"/>
              <w:keepLines w:val="0"/>
              <w:numPr>
                <w:ilvl w:val="0"/>
                <w:numId w:val="0"/>
              </w:numPr>
              <w:suppressLineNumbers w:val="0"/>
              <w:spacing w:before="79" w:beforeAutospacing="0" w:after="0" w:afterAutospacing="0" w:line="319" w:lineRule="auto"/>
              <w:ind w:left="0" w:right="69" w:right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（2）功能区域布局合理，氛围营造得当，能满足赛事基本运行需求的得3分；</w:t>
            </w:r>
          </w:p>
          <w:p w14:paraId="1FF5CFB9">
            <w:pPr>
              <w:pStyle w:val="133"/>
              <w:keepNext w:val="0"/>
              <w:keepLines w:val="0"/>
              <w:numPr>
                <w:ilvl w:val="0"/>
                <w:numId w:val="0"/>
              </w:numPr>
              <w:suppressLineNumbers w:val="0"/>
              <w:spacing w:before="79" w:beforeAutospacing="0" w:after="0" w:afterAutospacing="0" w:line="319" w:lineRule="auto"/>
              <w:ind w:left="0" w:right="69" w:rightChars="0"/>
              <w:rPr>
                <w:rFonts w:hint="eastAsia"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（3）布局基本合理但缺乏亮点，或氛围营造方案过于简单的得1分</w:t>
            </w:r>
            <w:r>
              <w:rPr>
                <w:rFonts w:hint="eastAsia" w:cs="宋体"/>
                <w:color w:val="auto"/>
                <w:sz w:val="21"/>
                <w:szCs w:val="21"/>
                <w:highlight w:val="none"/>
                <w:lang w:val="en-US" w:eastAsia="zh-CN"/>
              </w:rPr>
              <w:t>；</w:t>
            </w:r>
          </w:p>
          <w:p w14:paraId="4AE918B7">
            <w:pPr>
              <w:pStyle w:val="133"/>
              <w:keepNext w:val="0"/>
              <w:keepLines w:val="0"/>
              <w:numPr>
                <w:ilvl w:val="0"/>
                <w:numId w:val="0"/>
              </w:numPr>
              <w:suppressLineNumbers w:val="0"/>
              <w:spacing w:before="79" w:beforeAutospacing="0" w:after="0" w:afterAutospacing="0" w:line="319" w:lineRule="auto"/>
              <w:ind w:left="0" w:right="69" w:right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（4）方案不可行或未提供的得0分。</w:t>
            </w:r>
          </w:p>
          <w:p w14:paraId="70F39FD3">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480" w:lineRule="exact"/>
              <w:ind w:left="0" w:right="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此评分项上传至技术标“现场布置方案打分点1”，切勿传错，否则自行承担相应后果。</w:t>
            </w:r>
            <w:r>
              <w:rPr>
                <w:rFonts w:hint="eastAsia" w:ascii="宋体" w:hAnsi="宋体" w:eastAsia="宋体" w:cs="宋体"/>
                <w:b/>
                <w:bCs/>
                <w:color w:val="auto"/>
                <w:sz w:val="21"/>
                <w:szCs w:val="21"/>
                <w:highlight w:val="none"/>
                <w:lang w:eastAsia="zh-CN"/>
              </w:rPr>
              <w:t>）</w:t>
            </w:r>
          </w:p>
          <w:p w14:paraId="333D5397">
            <w:pPr>
              <w:pStyle w:val="133"/>
              <w:keepNext w:val="0"/>
              <w:keepLines w:val="0"/>
              <w:suppressLineNumbers w:val="0"/>
              <w:spacing w:before="79" w:beforeAutospacing="0" w:after="0" w:afterAutospacing="0" w:line="319" w:lineRule="auto"/>
              <w:ind w:left="0" w:right="6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2、音响、大屏布置方案：</w:t>
            </w:r>
          </w:p>
          <w:p w14:paraId="4E2A6DC1">
            <w:pPr>
              <w:pStyle w:val="133"/>
              <w:keepNext w:val="0"/>
              <w:keepLines w:val="0"/>
              <w:suppressLineNumbers w:val="0"/>
              <w:spacing w:before="79" w:beforeAutospacing="0" w:after="0" w:afterAutospacing="0" w:line="319" w:lineRule="auto"/>
              <w:ind w:left="0" w:right="6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（1）对现场声光电系统有详尽的技术方案，设备选型专业，布点科学，能确保现场效果和应急备份，方案专业性强的得5分；</w:t>
            </w:r>
          </w:p>
          <w:p w14:paraId="3E532A69">
            <w:pPr>
              <w:pStyle w:val="133"/>
              <w:keepNext w:val="0"/>
              <w:keepLines w:val="0"/>
              <w:suppressLineNumbers w:val="0"/>
              <w:spacing w:before="79" w:beforeAutospacing="0" w:after="0" w:afterAutospacing="0" w:line="319" w:lineRule="auto"/>
              <w:ind w:left="0" w:right="6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（2）方案完整，设备配置能满足赛事基本需求的得3分； </w:t>
            </w:r>
          </w:p>
          <w:p w14:paraId="7171A83F">
            <w:pPr>
              <w:pStyle w:val="133"/>
              <w:keepNext w:val="0"/>
              <w:keepLines w:val="0"/>
              <w:suppressLineNumbers w:val="0"/>
              <w:spacing w:before="79" w:beforeAutospacing="0" w:after="0" w:afterAutospacing="0" w:line="319" w:lineRule="auto"/>
              <w:ind w:left="0" w:right="69"/>
              <w:rPr>
                <w:rFonts w:hint="eastAsia"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（3）方案有待提高和完善的得1分</w:t>
            </w:r>
            <w:r>
              <w:rPr>
                <w:rFonts w:hint="eastAsia" w:cs="宋体"/>
                <w:color w:val="auto"/>
                <w:sz w:val="21"/>
                <w:szCs w:val="21"/>
                <w:highlight w:val="none"/>
                <w:lang w:val="en-US" w:eastAsia="zh-CN"/>
              </w:rPr>
              <w:t>；</w:t>
            </w:r>
          </w:p>
          <w:p w14:paraId="29E079FC">
            <w:pPr>
              <w:pStyle w:val="133"/>
              <w:keepNext w:val="0"/>
              <w:keepLines w:val="0"/>
              <w:suppressLineNumbers w:val="0"/>
              <w:spacing w:before="79" w:beforeAutospacing="0" w:after="0" w:afterAutospacing="0" w:line="319" w:lineRule="auto"/>
              <w:ind w:left="0" w:right="6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（4）方案不可行或未提供的得0分</w:t>
            </w:r>
            <w:r>
              <w:rPr>
                <w:rFonts w:hint="eastAsia"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 xml:space="preserve"> </w:t>
            </w:r>
          </w:p>
          <w:p w14:paraId="39057EAD">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480" w:lineRule="exact"/>
              <w:ind w:left="0" w:right="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此评分项上传至技术标“现场布置方案打分点2”，切勿传错，否则自行承担相应后果。</w:t>
            </w:r>
            <w:r>
              <w:rPr>
                <w:rFonts w:hint="eastAsia" w:ascii="宋体" w:hAnsi="宋体" w:eastAsia="宋体" w:cs="宋体"/>
                <w:b/>
                <w:bCs/>
                <w:color w:val="auto"/>
                <w:sz w:val="21"/>
                <w:szCs w:val="21"/>
                <w:highlight w:val="none"/>
                <w:lang w:eastAsia="zh-CN"/>
              </w:rPr>
              <w:t>）</w:t>
            </w:r>
          </w:p>
          <w:p w14:paraId="4F991A79">
            <w:pPr>
              <w:pStyle w:val="133"/>
              <w:keepNext w:val="0"/>
              <w:keepLines w:val="0"/>
              <w:suppressLineNumbers w:val="0"/>
              <w:spacing w:before="79" w:beforeAutospacing="0" w:after="0" w:afterAutospacing="0" w:line="319" w:lineRule="auto"/>
              <w:ind w:left="0" w:right="69"/>
              <w:rPr>
                <w:rFonts w:hint="eastAsia"/>
                <w:color w:val="auto"/>
                <w:highlight w:val="none"/>
              </w:rPr>
            </w:pPr>
            <w:r>
              <w:rPr>
                <w:rFonts w:hint="eastAsia" w:ascii="宋体" w:hAnsi="宋体" w:eastAsia="宋体" w:cs="宋体"/>
                <w:b/>
                <w:bCs/>
                <w:color w:val="auto"/>
                <w:sz w:val="21"/>
                <w:szCs w:val="21"/>
                <w:highlight w:val="none"/>
              </w:rPr>
              <w:t>【技术标中须能充分反映出本评分项内容】</w:t>
            </w:r>
          </w:p>
        </w:tc>
      </w:tr>
      <w:tr w14:paraId="5C4E5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97" w:type="dxa"/>
            <w:vAlign w:val="center"/>
          </w:tcPr>
          <w:p w14:paraId="5B5AC92C">
            <w:pPr>
              <w:pStyle w:val="1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60" w:lineRule="exact"/>
              <w:ind w:left="0" w:right="0" w:right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w:t>
            </w:r>
          </w:p>
        </w:tc>
        <w:tc>
          <w:tcPr>
            <w:tcW w:w="1332" w:type="dxa"/>
            <w:vAlign w:val="center"/>
          </w:tcPr>
          <w:p w14:paraId="1DE79935">
            <w:pPr>
              <w:pStyle w:val="133"/>
              <w:keepNext w:val="0"/>
              <w:keepLines w:val="0"/>
              <w:suppressLineNumbers w:val="0"/>
              <w:spacing w:before="79" w:beforeAutospacing="0" w:after="0" w:afterAutospacing="0" w:line="319" w:lineRule="auto"/>
              <w:ind w:left="0" w:right="69"/>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媒体宣传方案</w:t>
            </w:r>
          </w:p>
        </w:tc>
        <w:tc>
          <w:tcPr>
            <w:tcW w:w="750" w:type="dxa"/>
            <w:vAlign w:val="center"/>
          </w:tcPr>
          <w:p w14:paraId="576FC2BF">
            <w:pPr>
              <w:pStyle w:val="133"/>
              <w:keepNext w:val="0"/>
              <w:keepLines w:val="0"/>
              <w:suppressLineNumbers w:val="0"/>
              <w:spacing w:before="79" w:beforeAutospacing="0" w:after="0" w:afterAutospacing="0" w:line="319" w:lineRule="auto"/>
              <w:ind w:left="0" w:right="69"/>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5分</w:t>
            </w:r>
          </w:p>
        </w:tc>
        <w:tc>
          <w:tcPr>
            <w:tcW w:w="6800" w:type="dxa"/>
            <w:vAlign w:val="top"/>
          </w:tcPr>
          <w:p w14:paraId="238E5F4A">
            <w:pPr>
              <w:pStyle w:val="1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68"/>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根据投标人针对本项目提供的媒体宣传方案的完整性、可行性、实用性、针对性，由评标委员会进行综合评审：</w:t>
            </w:r>
          </w:p>
          <w:p w14:paraId="02B683DE">
            <w:pPr>
              <w:pStyle w:val="1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68"/>
              <w:textAlignment w:val="auto"/>
              <w:rPr>
                <w:rFonts w:hint="eastAsia" w:ascii="宋体" w:hAnsi="宋体" w:eastAsia="宋体" w:cs="宋体"/>
                <w:color w:val="auto"/>
                <w:sz w:val="21"/>
                <w:szCs w:val="21"/>
                <w:highlight w:val="none"/>
                <w:lang w:val="en-US" w:eastAsia="zh-CN"/>
              </w:rPr>
            </w:pPr>
            <w:r>
              <w:rPr>
                <w:rFonts w:hint="eastAsia"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方案完全符合采购需求，内容完整、充实，可行性、实用性、针对性强，具有广泛的推广效应，得5分；</w:t>
            </w:r>
          </w:p>
          <w:p w14:paraId="0227EA67">
            <w:pPr>
              <w:pStyle w:val="1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68"/>
              <w:textAlignment w:val="auto"/>
              <w:rPr>
                <w:rFonts w:hint="eastAsia" w:ascii="宋体" w:hAnsi="宋体" w:eastAsia="宋体" w:cs="宋体"/>
                <w:color w:val="auto"/>
                <w:sz w:val="21"/>
                <w:szCs w:val="21"/>
                <w:highlight w:val="none"/>
                <w:lang w:val="en-US" w:eastAsia="zh-CN"/>
              </w:rPr>
            </w:pPr>
            <w:r>
              <w:rPr>
                <w:rFonts w:hint="eastAsia"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方案</w:t>
            </w:r>
            <w:r>
              <w:rPr>
                <w:rFonts w:hint="default" w:ascii="宋体" w:hAnsi="宋体" w:eastAsia="宋体" w:cs="宋体"/>
                <w:color w:val="auto"/>
                <w:sz w:val="21"/>
                <w:szCs w:val="21"/>
                <w:highlight w:val="none"/>
                <w:lang w:val="en-US" w:eastAsia="zh-CN"/>
              </w:rPr>
              <w:t>完整可行，有清晰的传播计划和媒体渠道，能完成招标文件规定的基本宣传任务</w:t>
            </w:r>
            <w:r>
              <w:rPr>
                <w:rFonts w:hint="eastAsia" w:ascii="宋体" w:hAnsi="宋体" w:eastAsia="宋体" w:cs="宋体"/>
                <w:color w:val="auto"/>
                <w:sz w:val="21"/>
                <w:szCs w:val="21"/>
                <w:highlight w:val="none"/>
                <w:lang w:val="en-US" w:eastAsia="zh-CN"/>
              </w:rPr>
              <w:t>，得3分；</w:t>
            </w:r>
          </w:p>
          <w:p w14:paraId="4E26646D">
            <w:pPr>
              <w:pStyle w:val="1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68"/>
              <w:textAlignment w:val="auto"/>
              <w:rPr>
                <w:rFonts w:hint="eastAsia" w:ascii="宋体" w:hAnsi="宋体" w:eastAsia="宋体" w:cs="宋体"/>
                <w:color w:val="auto"/>
                <w:sz w:val="21"/>
                <w:szCs w:val="21"/>
                <w:highlight w:val="none"/>
                <w:lang w:val="en-US" w:eastAsia="zh-CN"/>
              </w:rPr>
            </w:pPr>
            <w:r>
              <w:rPr>
                <w:rFonts w:hint="eastAsia"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方案基本适合采购需求，可行性、实用性、针对性有待改善，得1分；</w:t>
            </w:r>
          </w:p>
          <w:p w14:paraId="7A730F66">
            <w:pPr>
              <w:pStyle w:val="1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68"/>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（4）方案不可行或未提供的得0分。 </w:t>
            </w:r>
          </w:p>
          <w:p w14:paraId="1755C546">
            <w:pPr>
              <w:pStyle w:val="133"/>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68"/>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【技术标中须能充分反映出本评分项内容】</w:t>
            </w:r>
          </w:p>
        </w:tc>
      </w:tr>
      <w:tr w14:paraId="59ABB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97" w:type="dxa"/>
            <w:vAlign w:val="center"/>
          </w:tcPr>
          <w:p w14:paraId="209FCA81">
            <w:pPr>
              <w:pStyle w:val="1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60" w:lineRule="exact"/>
              <w:ind w:left="0" w:right="0" w:right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w:t>
            </w:r>
          </w:p>
        </w:tc>
        <w:tc>
          <w:tcPr>
            <w:tcW w:w="1332" w:type="dxa"/>
            <w:vAlign w:val="center"/>
          </w:tcPr>
          <w:p w14:paraId="4F1FA43F">
            <w:pPr>
              <w:pStyle w:val="133"/>
              <w:keepNext w:val="0"/>
              <w:keepLines w:val="0"/>
              <w:suppressLineNumbers w:val="0"/>
              <w:spacing w:before="79" w:beforeAutospacing="0" w:after="0" w:afterAutospacing="0" w:line="319" w:lineRule="auto"/>
              <w:ind w:left="0" w:right="69"/>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志愿者招募方案</w:t>
            </w:r>
          </w:p>
        </w:tc>
        <w:tc>
          <w:tcPr>
            <w:tcW w:w="750" w:type="dxa"/>
            <w:vAlign w:val="center"/>
          </w:tcPr>
          <w:p w14:paraId="58FCC8F4">
            <w:pPr>
              <w:pStyle w:val="133"/>
              <w:keepNext w:val="0"/>
              <w:keepLines w:val="0"/>
              <w:suppressLineNumbers w:val="0"/>
              <w:spacing w:before="79" w:beforeAutospacing="0" w:after="0" w:afterAutospacing="0" w:line="319" w:lineRule="auto"/>
              <w:ind w:left="0" w:right="69"/>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5分</w:t>
            </w:r>
          </w:p>
        </w:tc>
        <w:tc>
          <w:tcPr>
            <w:tcW w:w="6800" w:type="dxa"/>
            <w:vAlign w:val="top"/>
          </w:tcPr>
          <w:p w14:paraId="354E597B">
            <w:pPr>
              <w:pStyle w:val="1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68"/>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w:t>
            </w:r>
            <w:r>
              <w:rPr>
                <w:rFonts w:hint="eastAsia" w:cs="宋体"/>
                <w:color w:val="auto"/>
                <w:sz w:val="21"/>
                <w:szCs w:val="21"/>
                <w:highlight w:val="none"/>
                <w:lang w:val="en-US" w:eastAsia="zh-CN"/>
              </w:rPr>
              <w:t>投标人</w:t>
            </w:r>
            <w:r>
              <w:rPr>
                <w:rFonts w:hint="eastAsia" w:ascii="宋体" w:hAnsi="宋体" w:eastAsia="宋体" w:cs="宋体"/>
                <w:color w:val="auto"/>
                <w:sz w:val="21"/>
                <w:szCs w:val="21"/>
                <w:highlight w:val="none"/>
              </w:rPr>
              <w:t>所提供根据本项目特点阐述志愿者招募方案的完整性、</w:t>
            </w:r>
            <w:r>
              <w:rPr>
                <w:rFonts w:hint="eastAsia" w:cs="宋体"/>
                <w:color w:val="auto"/>
                <w:sz w:val="21"/>
                <w:szCs w:val="21"/>
                <w:highlight w:val="none"/>
                <w:lang w:val="en-US" w:eastAsia="zh-CN"/>
              </w:rPr>
              <w:t>可行</w:t>
            </w:r>
            <w:r>
              <w:rPr>
                <w:rFonts w:hint="eastAsia" w:ascii="宋体" w:hAnsi="宋体" w:eastAsia="宋体" w:cs="宋体"/>
                <w:color w:val="auto"/>
                <w:sz w:val="21"/>
                <w:szCs w:val="21"/>
                <w:highlight w:val="none"/>
              </w:rPr>
              <w:t>性</w:t>
            </w:r>
            <w:r>
              <w:rPr>
                <w:rFonts w:hint="eastAsia" w:cs="宋体"/>
                <w:color w:val="auto"/>
                <w:sz w:val="21"/>
                <w:szCs w:val="21"/>
                <w:highlight w:val="none"/>
                <w:lang w:val="en-US" w:eastAsia="zh-CN"/>
              </w:rPr>
              <w:t>等</w:t>
            </w:r>
            <w:r>
              <w:rPr>
                <w:rFonts w:hint="eastAsia" w:ascii="宋体" w:hAnsi="宋体" w:eastAsia="宋体" w:cs="宋体"/>
                <w:color w:val="auto"/>
                <w:sz w:val="21"/>
                <w:szCs w:val="21"/>
                <w:highlight w:val="none"/>
              </w:rPr>
              <w:t>，由</w:t>
            </w:r>
            <w:r>
              <w:rPr>
                <w:rFonts w:hint="eastAsia" w:cs="宋体"/>
                <w:color w:val="auto"/>
                <w:sz w:val="21"/>
                <w:szCs w:val="21"/>
                <w:highlight w:val="none"/>
                <w:lang w:val="en-US" w:eastAsia="zh-CN"/>
              </w:rPr>
              <w:t>评标委员会</w:t>
            </w:r>
            <w:r>
              <w:rPr>
                <w:rFonts w:hint="eastAsia" w:ascii="宋体" w:hAnsi="宋体" w:eastAsia="宋体" w:cs="宋体"/>
                <w:color w:val="auto"/>
                <w:sz w:val="21"/>
                <w:szCs w:val="21"/>
                <w:highlight w:val="none"/>
              </w:rPr>
              <w:t>进行综合评审：</w:t>
            </w:r>
          </w:p>
          <w:p w14:paraId="2130D7FA">
            <w:pPr>
              <w:pStyle w:val="133"/>
              <w:keepNext w:val="0"/>
              <w:keepLines w:val="0"/>
              <w:pageBreakBefore w:val="0"/>
              <w:widowControl w:val="0"/>
              <w:numPr>
                <w:ilvl w:val="0"/>
                <w:numId w:val="9"/>
              </w:numPr>
              <w:suppressLineNumbers w:val="0"/>
              <w:kinsoku/>
              <w:wordWrap/>
              <w:overflowPunct/>
              <w:topLinePunct w:val="0"/>
              <w:autoSpaceDE/>
              <w:autoSpaceDN/>
              <w:bidi w:val="0"/>
              <w:adjustRightInd/>
              <w:snapToGrid/>
              <w:spacing w:before="0" w:beforeAutospacing="0" w:after="0" w:afterAutospacing="0" w:line="440" w:lineRule="exact"/>
              <w:ind w:left="0" w:right="68"/>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招募流程清晰规范，培训计划系统专业（包含通识、岗位技能、应急处理等），岗位分配科学高效，激励机制和保障措施周到完善的，得5分；</w:t>
            </w:r>
          </w:p>
          <w:p w14:paraId="40F813D5">
            <w:pPr>
              <w:pStyle w:val="133"/>
              <w:keepNext w:val="0"/>
              <w:keepLines w:val="0"/>
              <w:pageBreakBefore w:val="0"/>
              <w:widowControl w:val="0"/>
              <w:numPr>
                <w:ilvl w:val="0"/>
                <w:numId w:val="9"/>
              </w:numPr>
              <w:suppressLineNumbers w:val="0"/>
              <w:kinsoku/>
              <w:wordWrap/>
              <w:overflowPunct/>
              <w:topLinePunct w:val="0"/>
              <w:autoSpaceDE/>
              <w:autoSpaceDN/>
              <w:bidi w:val="0"/>
              <w:adjustRightInd/>
              <w:snapToGrid/>
              <w:spacing w:before="0" w:beforeAutospacing="0" w:after="0" w:afterAutospacing="0" w:line="440" w:lineRule="exact"/>
              <w:ind w:left="0" w:leftChars="0" w:right="68" w:righ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有完整的招募、培训和岗位分配计划，能满足赛事服务需求，得3分；</w:t>
            </w:r>
          </w:p>
          <w:p w14:paraId="08054691">
            <w:pPr>
              <w:pStyle w:val="133"/>
              <w:keepNext w:val="0"/>
              <w:keepLines w:val="0"/>
              <w:pageBreakBefore w:val="0"/>
              <w:widowControl w:val="0"/>
              <w:numPr>
                <w:ilvl w:val="0"/>
                <w:numId w:val="9"/>
              </w:numPr>
              <w:suppressLineNumbers w:val="0"/>
              <w:kinsoku/>
              <w:wordWrap/>
              <w:overflowPunct/>
              <w:topLinePunct w:val="0"/>
              <w:autoSpaceDE/>
              <w:autoSpaceDN/>
              <w:bidi w:val="0"/>
              <w:adjustRightInd/>
              <w:snapToGrid/>
              <w:spacing w:before="0" w:beforeAutospacing="0" w:after="0" w:afterAutospacing="0" w:line="440" w:lineRule="exact"/>
              <w:ind w:left="0" w:leftChars="0" w:right="68" w:righ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方案内容泛泛，缺乏针对性和细节，得1分；</w:t>
            </w:r>
          </w:p>
          <w:p w14:paraId="7794445D">
            <w:pPr>
              <w:pStyle w:val="13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leftChars="0" w:right="68" w:righ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（4）方案差的或未提供方案的得0分。 </w:t>
            </w:r>
          </w:p>
          <w:p w14:paraId="72B8D15A">
            <w:pPr>
              <w:pStyle w:val="1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68"/>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【技术标中须能充分反映出本评分项内容】</w:t>
            </w:r>
          </w:p>
        </w:tc>
      </w:tr>
      <w:tr w14:paraId="432E4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97" w:type="dxa"/>
            <w:vAlign w:val="center"/>
          </w:tcPr>
          <w:p w14:paraId="3298DFB9">
            <w:pPr>
              <w:pStyle w:val="1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60" w:lineRule="exact"/>
              <w:ind w:left="0" w:right="0" w:right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w:t>
            </w:r>
          </w:p>
        </w:tc>
        <w:tc>
          <w:tcPr>
            <w:tcW w:w="1332" w:type="dxa"/>
            <w:vAlign w:val="center"/>
          </w:tcPr>
          <w:p w14:paraId="04489095">
            <w:pPr>
              <w:pStyle w:val="133"/>
              <w:keepNext w:val="0"/>
              <w:keepLines w:val="0"/>
              <w:suppressLineNumbers w:val="0"/>
              <w:spacing w:before="79" w:beforeAutospacing="0" w:after="0" w:afterAutospacing="0" w:line="319" w:lineRule="auto"/>
              <w:ind w:left="0" w:right="69"/>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后勤保障方案</w:t>
            </w:r>
          </w:p>
        </w:tc>
        <w:tc>
          <w:tcPr>
            <w:tcW w:w="750" w:type="dxa"/>
            <w:vAlign w:val="center"/>
          </w:tcPr>
          <w:p w14:paraId="7C644774">
            <w:pPr>
              <w:pStyle w:val="133"/>
              <w:keepNext w:val="0"/>
              <w:keepLines w:val="0"/>
              <w:suppressLineNumbers w:val="0"/>
              <w:spacing w:before="79" w:beforeAutospacing="0" w:after="0" w:afterAutospacing="0" w:line="319" w:lineRule="auto"/>
              <w:ind w:left="0" w:right="69"/>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5分</w:t>
            </w:r>
          </w:p>
        </w:tc>
        <w:tc>
          <w:tcPr>
            <w:tcW w:w="6800" w:type="dxa"/>
            <w:vAlign w:val="top"/>
          </w:tcPr>
          <w:p w14:paraId="04292EB0">
            <w:pPr>
              <w:pStyle w:val="1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68"/>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w:t>
            </w:r>
            <w:r>
              <w:rPr>
                <w:rFonts w:hint="eastAsia" w:cs="宋体"/>
                <w:color w:val="auto"/>
                <w:sz w:val="21"/>
                <w:szCs w:val="21"/>
                <w:highlight w:val="none"/>
                <w:lang w:val="en-US" w:eastAsia="zh-CN"/>
              </w:rPr>
              <w:t>投标人</w:t>
            </w:r>
            <w:r>
              <w:rPr>
                <w:rFonts w:hint="eastAsia" w:ascii="宋体" w:hAnsi="宋体" w:eastAsia="宋体" w:cs="宋体"/>
                <w:color w:val="auto"/>
                <w:sz w:val="21"/>
                <w:szCs w:val="21"/>
                <w:highlight w:val="none"/>
              </w:rPr>
              <w:t>所提供相应后勤保障方案中对食、宿、行等保障情况的科学性、完整性、可操作性，由</w:t>
            </w:r>
            <w:r>
              <w:rPr>
                <w:rFonts w:hint="eastAsia" w:cs="宋体"/>
                <w:color w:val="auto"/>
                <w:sz w:val="21"/>
                <w:szCs w:val="21"/>
                <w:highlight w:val="none"/>
                <w:lang w:val="en-US" w:eastAsia="zh-CN"/>
              </w:rPr>
              <w:t>评标委员会</w:t>
            </w:r>
            <w:r>
              <w:rPr>
                <w:rFonts w:hint="eastAsia" w:ascii="宋体" w:hAnsi="宋体" w:eastAsia="宋体" w:cs="宋体"/>
                <w:color w:val="auto"/>
                <w:sz w:val="21"/>
                <w:szCs w:val="21"/>
                <w:highlight w:val="none"/>
              </w:rPr>
              <w:t>进行综合评审：</w:t>
            </w:r>
          </w:p>
          <w:p w14:paraId="3920DD44">
            <w:pPr>
              <w:pStyle w:val="1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68"/>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（1）各类人员的食宿行安排细致入微，车辆调度方案科学高效，物资（补给、帐篷等）准备计划充足且具体，充分考虑了各类需求细节</w:t>
            </w:r>
            <w:r>
              <w:rPr>
                <w:rFonts w:hint="eastAsia" w:cs="宋体"/>
                <w:color w:val="auto"/>
                <w:sz w:val="21"/>
                <w:szCs w:val="21"/>
                <w:highlight w:val="none"/>
                <w:lang w:val="en-US" w:eastAsia="zh-CN"/>
              </w:rPr>
              <w:t>的</w:t>
            </w:r>
            <w:r>
              <w:rPr>
                <w:rFonts w:hint="eastAsia" w:ascii="宋体" w:hAnsi="宋体" w:eastAsia="宋体" w:cs="宋体"/>
                <w:color w:val="auto"/>
                <w:sz w:val="21"/>
                <w:szCs w:val="21"/>
                <w:highlight w:val="none"/>
              </w:rPr>
              <w:t>得5分；</w:t>
            </w:r>
          </w:p>
          <w:p w14:paraId="24A64708">
            <w:pPr>
              <w:pStyle w:val="1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68"/>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（2）保障方案完整，能满足赛事基本运行的后勤需求的，得3分；</w:t>
            </w:r>
          </w:p>
          <w:p w14:paraId="61373D94">
            <w:pPr>
              <w:pStyle w:val="1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68"/>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（3）方案过于概括，对关键保障环节（如交通接驳、能量补给）的描述不够具体的，得1分；</w:t>
            </w:r>
          </w:p>
          <w:p w14:paraId="1236B0AF">
            <w:pPr>
              <w:pStyle w:val="1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68"/>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（4）方案不可行或未提供的得0分</w:t>
            </w:r>
            <w:r>
              <w:rPr>
                <w:rFonts w:hint="eastAsia"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 xml:space="preserve"> </w:t>
            </w:r>
          </w:p>
          <w:p w14:paraId="35B8E767">
            <w:pPr>
              <w:pStyle w:val="1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68"/>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【技术标中须能充分反映出本评分项内容】</w:t>
            </w:r>
          </w:p>
        </w:tc>
      </w:tr>
      <w:tr w14:paraId="36161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97" w:type="dxa"/>
            <w:vAlign w:val="center"/>
          </w:tcPr>
          <w:p w14:paraId="0BBBE5CB">
            <w:pPr>
              <w:pStyle w:val="1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60" w:lineRule="exact"/>
              <w:ind w:left="0" w:right="0" w:right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w:t>
            </w:r>
          </w:p>
        </w:tc>
        <w:tc>
          <w:tcPr>
            <w:tcW w:w="1332" w:type="dxa"/>
            <w:vAlign w:val="center"/>
          </w:tcPr>
          <w:p w14:paraId="4DD4C42F">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60" w:lineRule="exact"/>
              <w:ind w:left="0" w:right="0" w:righ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医疗保障方案</w:t>
            </w:r>
          </w:p>
        </w:tc>
        <w:tc>
          <w:tcPr>
            <w:tcW w:w="750" w:type="dxa"/>
            <w:vAlign w:val="center"/>
          </w:tcPr>
          <w:p w14:paraId="731AD445">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60" w:lineRule="exact"/>
              <w:ind w:left="0" w:right="0" w:right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5分</w:t>
            </w:r>
          </w:p>
        </w:tc>
        <w:tc>
          <w:tcPr>
            <w:tcW w:w="6800" w:type="dxa"/>
            <w:vAlign w:val="center"/>
          </w:tcPr>
          <w:p w14:paraId="35CCDF4F">
            <w:pPr>
              <w:pStyle w:val="1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68"/>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w:t>
            </w:r>
            <w:r>
              <w:rPr>
                <w:rFonts w:hint="eastAsia" w:cs="宋体"/>
                <w:color w:val="auto"/>
                <w:sz w:val="21"/>
                <w:szCs w:val="21"/>
                <w:highlight w:val="none"/>
                <w:lang w:val="en-US" w:eastAsia="zh-CN"/>
              </w:rPr>
              <w:t>投标人</w:t>
            </w:r>
            <w:r>
              <w:rPr>
                <w:rFonts w:hint="eastAsia" w:ascii="宋体" w:hAnsi="宋体" w:eastAsia="宋体" w:cs="宋体"/>
                <w:color w:val="auto"/>
                <w:sz w:val="21"/>
                <w:szCs w:val="21"/>
                <w:highlight w:val="none"/>
              </w:rPr>
              <w:t>所提供根据本项目特点阐述医疗保障方案的完整性、可行性、实用性、针对性，由</w:t>
            </w:r>
            <w:r>
              <w:rPr>
                <w:rFonts w:hint="eastAsia" w:cs="宋体"/>
                <w:color w:val="auto"/>
                <w:sz w:val="21"/>
                <w:szCs w:val="21"/>
                <w:highlight w:val="none"/>
                <w:lang w:val="en-US" w:eastAsia="zh-CN"/>
              </w:rPr>
              <w:t>评标委员会</w:t>
            </w:r>
            <w:r>
              <w:rPr>
                <w:rFonts w:hint="eastAsia" w:ascii="宋体" w:hAnsi="宋体" w:eastAsia="宋体" w:cs="宋体"/>
                <w:color w:val="auto"/>
                <w:sz w:val="21"/>
                <w:szCs w:val="21"/>
                <w:highlight w:val="none"/>
              </w:rPr>
              <w:t>进行综合评审：</w:t>
            </w:r>
          </w:p>
          <w:p w14:paraId="28FCC03D">
            <w:pPr>
              <w:pStyle w:val="133"/>
              <w:keepNext w:val="0"/>
              <w:keepLines w:val="0"/>
              <w:pageBreakBefore w:val="0"/>
              <w:widowControl w:val="0"/>
              <w:numPr>
                <w:ilvl w:val="0"/>
                <w:numId w:val="10"/>
              </w:numPr>
              <w:suppressLineNumbers w:val="0"/>
              <w:kinsoku/>
              <w:wordWrap/>
              <w:overflowPunct/>
              <w:topLinePunct w:val="0"/>
              <w:autoSpaceDE/>
              <w:autoSpaceDN/>
              <w:bidi w:val="0"/>
              <w:adjustRightInd/>
              <w:snapToGrid/>
              <w:spacing w:before="0" w:beforeAutospacing="0" w:after="0" w:afterAutospacing="0" w:line="440" w:lineRule="exact"/>
              <w:ind w:left="0" w:right="68"/>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医疗资源配置科学，急救响应流程清晰高效，能与公安、消防等部门形成有效的联动机制，对常见水上意外有专项处理预案的，得5分；</w:t>
            </w:r>
          </w:p>
          <w:p w14:paraId="6FCCAA47">
            <w:pPr>
              <w:pStyle w:val="133"/>
              <w:keepNext w:val="0"/>
              <w:keepLines w:val="0"/>
              <w:pageBreakBefore w:val="0"/>
              <w:widowControl w:val="0"/>
              <w:numPr>
                <w:ilvl w:val="0"/>
                <w:numId w:val="10"/>
              </w:numPr>
              <w:suppressLineNumbers w:val="0"/>
              <w:kinsoku/>
              <w:wordWrap/>
              <w:overflowPunct/>
              <w:topLinePunct w:val="0"/>
              <w:autoSpaceDE/>
              <w:autoSpaceDN/>
              <w:bidi w:val="0"/>
              <w:adjustRightInd/>
              <w:snapToGrid/>
              <w:spacing w:before="0" w:beforeAutospacing="0" w:after="0" w:afterAutospacing="0" w:line="440" w:lineRule="exact"/>
              <w:ind w:left="0" w:leftChars="0" w:right="68" w:righ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方案完整，医疗资源配置符合招标文件基本要求</w:t>
            </w:r>
            <w:r>
              <w:rPr>
                <w:rFonts w:hint="eastAsia" w:cs="宋体"/>
                <w:color w:val="auto"/>
                <w:sz w:val="21"/>
                <w:szCs w:val="21"/>
                <w:highlight w:val="none"/>
                <w:lang w:val="en-US" w:eastAsia="zh-CN"/>
              </w:rPr>
              <w:t>的</w:t>
            </w:r>
            <w:r>
              <w:rPr>
                <w:rFonts w:hint="eastAsia" w:ascii="宋体" w:hAnsi="宋体" w:eastAsia="宋体" w:cs="宋体"/>
                <w:color w:val="auto"/>
                <w:sz w:val="21"/>
                <w:szCs w:val="21"/>
                <w:highlight w:val="none"/>
                <w:lang w:val="en-US" w:eastAsia="zh-CN"/>
              </w:rPr>
              <w:t>，得3分；</w:t>
            </w:r>
          </w:p>
          <w:p w14:paraId="782DA36E">
            <w:pPr>
              <w:pStyle w:val="133"/>
              <w:keepNext w:val="0"/>
              <w:keepLines w:val="0"/>
              <w:pageBreakBefore w:val="0"/>
              <w:widowControl w:val="0"/>
              <w:numPr>
                <w:ilvl w:val="0"/>
                <w:numId w:val="10"/>
              </w:numPr>
              <w:suppressLineNumbers w:val="0"/>
              <w:kinsoku/>
              <w:wordWrap/>
              <w:overflowPunct/>
              <w:topLinePunct w:val="0"/>
              <w:autoSpaceDE/>
              <w:autoSpaceDN/>
              <w:bidi w:val="0"/>
              <w:adjustRightInd/>
              <w:snapToGrid/>
              <w:spacing w:before="0" w:beforeAutospacing="0" w:after="0" w:afterAutospacing="0" w:line="440" w:lineRule="exact"/>
              <w:ind w:left="0" w:leftChars="0" w:right="68" w:righ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方案流于形式，资源配置和响应流程描述模糊的，得1分；</w:t>
            </w:r>
          </w:p>
          <w:p w14:paraId="7A1A685D">
            <w:pPr>
              <w:pStyle w:val="13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leftChars="0" w:right="68" w:righ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（4）方案不可行或未提供的得0分。 </w:t>
            </w:r>
          </w:p>
          <w:p w14:paraId="3150706A">
            <w:pPr>
              <w:pStyle w:val="1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68"/>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【技术标中须能充分反映出本评分项内容】</w:t>
            </w:r>
          </w:p>
        </w:tc>
      </w:tr>
      <w:tr w14:paraId="52142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97" w:type="dxa"/>
            <w:vAlign w:val="center"/>
          </w:tcPr>
          <w:p w14:paraId="665952AA">
            <w:pPr>
              <w:pStyle w:val="1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60" w:lineRule="exact"/>
              <w:ind w:left="0" w:right="0" w:right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7</w:t>
            </w:r>
          </w:p>
        </w:tc>
        <w:tc>
          <w:tcPr>
            <w:tcW w:w="1332" w:type="dxa"/>
            <w:vAlign w:val="center"/>
          </w:tcPr>
          <w:p w14:paraId="23729DB6">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60" w:lineRule="exact"/>
              <w:ind w:left="0" w:right="0" w:righ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安全保障方案</w:t>
            </w:r>
          </w:p>
        </w:tc>
        <w:tc>
          <w:tcPr>
            <w:tcW w:w="750" w:type="dxa"/>
            <w:vAlign w:val="center"/>
          </w:tcPr>
          <w:p w14:paraId="0B283A14">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60" w:lineRule="exact"/>
              <w:ind w:left="0" w:right="0" w:right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5分</w:t>
            </w:r>
          </w:p>
        </w:tc>
        <w:tc>
          <w:tcPr>
            <w:tcW w:w="6800" w:type="dxa"/>
            <w:vAlign w:val="center"/>
          </w:tcPr>
          <w:p w14:paraId="00FEA8A4">
            <w:pPr>
              <w:pStyle w:val="1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68"/>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w:t>
            </w:r>
            <w:r>
              <w:rPr>
                <w:rFonts w:hint="eastAsia" w:cs="宋体"/>
                <w:color w:val="auto"/>
                <w:sz w:val="21"/>
                <w:szCs w:val="21"/>
                <w:highlight w:val="none"/>
                <w:lang w:val="en-US" w:eastAsia="zh-CN"/>
              </w:rPr>
              <w:t>投标人</w:t>
            </w:r>
            <w:r>
              <w:rPr>
                <w:rFonts w:hint="eastAsia" w:ascii="宋体" w:hAnsi="宋体" w:eastAsia="宋体" w:cs="宋体"/>
                <w:color w:val="auto"/>
                <w:sz w:val="21"/>
                <w:szCs w:val="21"/>
                <w:highlight w:val="none"/>
              </w:rPr>
              <w:t>所提供相应食品、交通、住宿安全保障情况由</w:t>
            </w:r>
            <w:r>
              <w:rPr>
                <w:rFonts w:hint="eastAsia" w:cs="宋体"/>
                <w:color w:val="auto"/>
                <w:sz w:val="21"/>
                <w:szCs w:val="21"/>
                <w:highlight w:val="none"/>
                <w:lang w:val="en-US" w:eastAsia="zh-CN"/>
              </w:rPr>
              <w:t>评标委员会</w:t>
            </w:r>
            <w:r>
              <w:rPr>
                <w:rFonts w:hint="eastAsia" w:ascii="宋体" w:hAnsi="宋体" w:eastAsia="宋体" w:cs="宋体"/>
                <w:color w:val="auto"/>
                <w:sz w:val="21"/>
                <w:szCs w:val="21"/>
                <w:highlight w:val="none"/>
              </w:rPr>
              <w:t>进行综合评审：</w:t>
            </w:r>
          </w:p>
          <w:p w14:paraId="3AF6F914">
            <w:pPr>
              <w:pStyle w:val="13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right="68"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（1）对赛事潜在安全风险分析全面。安保力量部署、交通管制方案、安检措施等具体、科学、可操作，并具备完善的应急处突预案</w:t>
            </w:r>
            <w:r>
              <w:rPr>
                <w:rFonts w:hint="eastAsia" w:ascii="宋体" w:hAnsi="宋体" w:eastAsia="宋体" w:cs="宋体"/>
                <w:color w:val="auto"/>
                <w:sz w:val="21"/>
                <w:szCs w:val="21"/>
                <w:highlight w:val="none"/>
                <w:lang w:val="en-US" w:eastAsia="zh-CN"/>
              </w:rPr>
              <w:t>的，得5分；</w:t>
            </w:r>
          </w:p>
          <w:p w14:paraId="2E79CBE2">
            <w:pPr>
              <w:pStyle w:val="13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leftChars="0" w:right="68" w:righ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（2）方案完整，有基本的安全风险分析和安保部署</w:t>
            </w:r>
            <w:r>
              <w:rPr>
                <w:rFonts w:hint="eastAsia" w:cs="宋体"/>
                <w:color w:val="auto"/>
                <w:kern w:val="2"/>
                <w:sz w:val="21"/>
                <w:szCs w:val="21"/>
                <w:highlight w:val="none"/>
                <w:lang w:val="en-US" w:eastAsia="zh-CN" w:bidi="ar-SA"/>
              </w:rPr>
              <w:t>的</w:t>
            </w:r>
            <w:r>
              <w:rPr>
                <w:rFonts w:hint="eastAsia" w:ascii="宋体" w:hAnsi="宋体" w:eastAsia="宋体" w:cs="宋体"/>
                <w:color w:val="auto"/>
                <w:sz w:val="21"/>
                <w:szCs w:val="21"/>
                <w:highlight w:val="none"/>
                <w:lang w:val="en-US" w:eastAsia="zh-CN"/>
              </w:rPr>
              <w:t>，得3分；</w:t>
            </w:r>
          </w:p>
          <w:p w14:paraId="092ECA5A">
            <w:pPr>
              <w:pStyle w:val="13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leftChars="0" w:right="68" w:righ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（3）方案泛泛而谈，缺乏对特定风险的针对性分析和具体措施</w:t>
            </w:r>
            <w:r>
              <w:rPr>
                <w:rFonts w:hint="eastAsia" w:ascii="宋体" w:hAnsi="宋体" w:eastAsia="宋体" w:cs="宋体"/>
                <w:color w:val="auto"/>
                <w:sz w:val="21"/>
                <w:szCs w:val="21"/>
                <w:highlight w:val="none"/>
                <w:lang w:val="en-US" w:eastAsia="zh-CN"/>
              </w:rPr>
              <w:t>的，得1分；</w:t>
            </w:r>
          </w:p>
          <w:p w14:paraId="208D44C9">
            <w:pPr>
              <w:pStyle w:val="13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leftChars="0" w:right="68" w:righ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（4）方案不可行或未提供的得0分。 </w:t>
            </w:r>
          </w:p>
          <w:p w14:paraId="0FFCEEC3">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60" w:lineRule="exact"/>
              <w:ind w:left="0" w:right="0" w:rightChars="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【技术标中须能充分反映出本评分项内容】</w:t>
            </w:r>
          </w:p>
        </w:tc>
      </w:tr>
      <w:tr w14:paraId="69A8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97" w:type="dxa"/>
            <w:vAlign w:val="center"/>
          </w:tcPr>
          <w:p w14:paraId="59622F6D">
            <w:pPr>
              <w:pStyle w:val="1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60" w:lineRule="exact"/>
              <w:ind w:left="0" w:right="0" w:right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8</w:t>
            </w:r>
          </w:p>
        </w:tc>
        <w:tc>
          <w:tcPr>
            <w:tcW w:w="1332" w:type="dxa"/>
            <w:vAlign w:val="center"/>
          </w:tcPr>
          <w:p w14:paraId="141CB401">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60" w:lineRule="exact"/>
              <w:ind w:left="0" w:right="0" w:righ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应急保障预案</w:t>
            </w:r>
          </w:p>
        </w:tc>
        <w:tc>
          <w:tcPr>
            <w:tcW w:w="750" w:type="dxa"/>
            <w:vAlign w:val="center"/>
          </w:tcPr>
          <w:p w14:paraId="59B35409">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60" w:lineRule="exact"/>
              <w:ind w:left="0" w:right="0" w:right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5分</w:t>
            </w:r>
          </w:p>
        </w:tc>
        <w:tc>
          <w:tcPr>
            <w:tcW w:w="6800" w:type="dxa"/>
            <w:vAlign w:val="center"/>
          </w:tcPr>
          <w:p w14:paraId="1FDDF536">
            <w:pPr>
              <w:pStyle w:val="13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leftChars="0" w:right="68" w:righ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w:t>
            </w:r>
            <w:r>
              <w:rPr>
                <w:rFonts w:hint="eastAsia" w:cs="宋体"/>
                <w:color w:val="auto"/>
                <w:sz w:val="21"/>
                <w:szCs w:val="21"/>
                <w:highlight w:val="none"/>
                <w:lang w:val="en-US" w:eastAsia="zh-CN"/>
              </w:rPr>
              <w:t>投标人</w:t>
            </w:r>
            <w:r>
              <w:rPr>
                <w:rFonts w:hint="eastAsia" w:ascii="宋体" w:hAnsi="宋体" w:eastAsia="宋体" w:cs="宋体"/>
                <w:color w:val="auto"/>
                <w:sz w:val="21"/>
                <w:szCs w:val="21"/>
                <w:highlight w:val="none"/>
                <w:lang w:val="en-US" w:eastAsia="zh-CN"/>
              </w:rPr>
              <w:t>所提供应急处理预案的完整性、可行性、实用性、针对性，由</w:t>
            </w:r>
            <w:r>
              <w:rPr>
                <w:rFonts w:hint="eastAsia" w:cs="宋体"/>
                <w:color w:val="auto"/>
                <w:sz w:val="21"/>
                <w:szCs w:val="21"/>
                <w:highlight w:val="none"/>
                <w:lang w:val="en-US" w:eastAsia="zh-CN"/>
              </w:rPr>
              <w:t>评标委员会</w:t>
            </w:r>
            <w:r>
              <w:rPr>
                <w:rFonts w:hint="eastAsia" w:ascii="宋体" w:hAnsi="宋体" w:eastAsia="宋体" w:cs="宋体"/>
                <w:color w:val="auto"/>
                <w:sz w:val="21"/>
                <w:szCs w:val="21"/>
                <w:highlight w:val="none"/>
                <w:lang w:val="en-US" w:eastAsia="zh-CN"/>
              </w:rPr>
              <w:t>进行综合评审：</w:t>
            </w:r>
          </w:p>
          <w:p w14:paraId="413E3E72">
            <w:pPr>
              <w:pStyle w:val="133"/>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0" w:beforeAutospacing="0" w:after="0" w:afterAutospacing="0" w:line="440" w:lineRule="exact"/>
              <w:ind w:left="0" w:leftChars="0" w:right="68" w:righ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针对竞赛、医疗、安保、舆情、天气等各类突发事件的预案体系完整。预案具有极强的可操作性，明确了处置流程、责任人和资源调配方式</w:t>
            </w:r>
            <w:r>
              <w:rPr>
                <w:rFonts w:hint="eastAsia" w:cs="宋体"/>
                <w:color w:val="auto"/>
                <w:sz w:val="21"/>
                <w:szCs w:val="21"/>
                <w:highlight w:val="none"/>
                <w:lang w:val="en-US" w:eastAsia="zh-CN"/>
              </w:rPr>
              <w:t>的</w:t>
            </w:r>
            <w:r>
              <w:rPr>
                <w:rFonts w:hint="eastAsia" w:ascii="宋体" w:hAnsi="宋体" w:eastAsia="宋体" w:cs="宋体"/>
                <w:color w:val="auto"/>
                <w:sz w:val="21"/>
                <w:szCs w:val="21"/>
                <w:highlight w:val="none"/>
                <w:lang w:val="en-US" w:eastAsia="zh-CN"/>
              </w:rPr>
              <w:t>得5分；</w:t>
            </w:r>
          </w:p>
          <w:p w14:paraId="5F5F4C29">
            <w:pPr>
              <w:pStyle w:val="133"/>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0" w:beforeAutospacing="0" w:after="0" w:afterAutospacing="0" w:line="440" w:lineRule="exact"/>
              <w:ind w:left="0" w:leftChars="0" w:right="68" w:rightChars="0" w:firstLine="0" w:firstLineChars="0"/>
              <w:textAlignment w:val="auto"/>
              <w:rPr>
                <w:rFonts w:hint="eastAsia"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有基本的应急预案，覆盖了主要风险点的得</w:t>
            </w:r>
            <w:r>
              <w:rPr>
                <w:rFonts w:hint="eastAsia" w:cs="宋体"/>
                <w:color w:val="auto"/>
                <w:sz w:val="21"/>
                <w:szCs w:val="21"/>
                <w:highlight w:val="none"/>
                <w:lang w:val="en-US" w:eastAsia="zh-CN"/>
              </w:rPr>
              <w:t>3分；</w:t>
            </w:r>
          </w:p>
          <w:p w14:paraId="19EFEE0C">
            <w:pPr>
              <w:pStyle w:val="13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leftChars="0" w:right="68" w:rightChars="0"/>
              <w:textAlignment w:val="auto"/>
              <w:rPr>
                <w:rFonts w:hint="eastAsia" w:cs="宋体"/>
                <w:color w:val="auto"/>
                <w:sz w:val="21"/>
                <w:szCs w:val="21"/>
                <w:highlight w:val="none"/>
                <w:lang w:val="en-US" w:eastAsia="zh-CN"/>
              </w:rPr>
            </w:pPr>
            <w:r>
              <w:rPr>
                <w:rFonts w:hint="eastAsia" w:cs="宋体"/>
                <w:color w:val="auto"/>
                <w:sz w:val="21"/>
                <w:szCs w:val="21"/>
                <w:highlight w:val="none"/>
                <w:lang w:val="en-US" w:eastAsia="zh-CN"/>
              </w:rPr>
              <w:t>（3）预案内容笼统，缺乏具体流程和可操作性的得1分；</w:t>
            </w:r>
          </w:p>
          <w:p w14:paraId="56193CE0">
            <w:pPr>
              <w:pStyle w:val="13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leftChars="0" w:right="68" w:rightChars="0"/>
              <w:textAlignment w:val="auto"/>
              <w:rPr>
                <w:rFonts w:hint="eastAsia" w:ascii="宋体" w:hAnsi="宋体" w:eastAsia="宋体" w:cs="宋体"/>
                <w:b/>
                <w:bCs/>
                <w:color w:val="auto"/>
                <w:sz w:val="21"/>
                <w:szCs w:val="21"/>
                <w:highlight w:val="none"/>
              </w:rPr>
            </w:pPr>
            <w:r>
              <w:rPr>
                <w:rFonts w:hint="eastAsia" w:cs="宋体"/>
                <w:color w:val="auto"/>
                <w:sz w:val="21"/>
                <w:szCs w:val="21"/>
                <w:highlight w:val="none"/>
                <w:lang w:val="en-US" w:eastAsia="zh-CN"/>
              </w:rPr>
              <w:t>（4）预案不可行或未提供的得0分。</w:t>
            </w:r>
          </w:p>
          <w:p w14:paraId="109AC176">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60" w:lineRule="exact"/>
              <w:ind w:left="0" w:right="0" w:rightChars="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【技术标中须能充分反映出本评分项内容】</w:t>
            </w:r>
          </w:p>
        </w:tc>
      </w:tr>
      <w:tr w14:paraId="35A2B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97" w:type="dxa"/>
            <w:vAlign w:val="center"/>
          </w:tcPr>
          <w:p w14:paraId="49C80F1F">
            <w:pPr>
              <w:pStyle w:val="1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60" w:lineRule="exact"/>
              <w:ind w:left="0" w:right="0" w:right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9</w:t>
            </w:r>
          </w:p>
        </w:tc>
        <w:tc>
          <w:tcPr>
            <w:tcW w:w="1332" w:type="dxa"/>
            <w:vAlign w:val="center"/>
          </w:tcPr>
          <w:p w14:paraId="348F5D74">
            <w:pPr>
              <w:keepNext w:val="0"/>
              <w:keepLines w:val="0"/>
              <w:pageBreakBefore w:val="0"/>
              <w:widowControl w:val="0"/>
              <w:suppressLineNumbers w:val="0"/>
              <w:shd w:val="clear"/>
              <w:tabs>
                <w:tab w:val="left" w:pos="208"/>
              </w:tabs>
              <w:kinsoku/>
              <w:wordWrap/>
              <w:overflowPunct/>
              <w:topLinePunct w:val="0"/>
              <w:autoSpaceDE/>
              <w:autoSpaceDN/>
              <w:bidi w:val="0"/>
              <w:adjustRightInd/>
              <w:snapToGrid/>
              <w:spacing w:before="0" w:beforeAutospacing="0" w:after="0" w:afterAutospacing="0" w:line="460" w:lineRule="exact"/>
              <w:ind w:left="0" w:right="0" w:rightChars="0"/>
              <w:jc w:val="center"/>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项目可持续</w:t>
            </w:r>
            <w:r>
              <w:rPr>
                <w:rFonts w:hint="eastAsia" w:ascii="宋体" w:hAnsi="宋体" w:eastAsia="宋体" w:cs="宋体"/>
                <w:color w:val="auto"/>
                <w:sz w:val="21"/>
                <w:szCs w:val="21"/>
                <w:highlight w:val="none"/>
                <w:lang w:eastAsia="zh-CN"/>
              </w:rPr>
              <w:t>方案</w:t>
            </w:r>
          </w:p>
        </w:tc>
        <w:tc>
          <w:tcPr>
            <w:tcW w:w="750" w:type="dxa"/>
            <w:vAlign w:val="center"/>
          </w:tcPr>
          <w:p w14:paraId="67F867D1">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60" w:lineRule="exact"/>
              <w:ind w:left="0" w:right="0" w:right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5分</w:t>
            </w:r>
          </w:p>
        </w:tc>
        <w:tc>
          <w:tcPr>
            <w:tcW w:w="6800" w:type="dxa"/>
            <w:vAlign w:val="center"/>
          </w:tcPr>
          <w:p w14:paraId="30F6CFFB">
            <w:pPr>
              <w:pStyle w:val="1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68"/>
              <w:textAlignment w:val="auto"/>
              <w:rPr>
                <w:rFonts w:hint="eastAsia" w:cs="宋体"/>
                <w:color w:val="auto"/>
                <w:sz w:val="21"/>
                <w:szCs w:val="21"/>
                <w:highlight w:val="none"/>
                <w:lang w:val="en-US" w:eastAsia="zh-CN"/>
              </w:rPr>
            </w:pPr>
            <w:r>
              <w:rPr>
                <w:rFonts w:hint="eastAsia" w:cs="宋体"/>
                <w:color w:val="auto"/>
                <w:sz w:val="21"/>
                <w:szCs w:val="21"/>
                <w:highlight w:val="none"/>
                <w:lang w:val="en-US" w:eastAsia="zh-CN"/>
              </w:rPr>
              <w:t>针对本项目在实施地的可持续性发展提出中长期规划，并有具体的落地计划，由评标委员会进行综合评审：</w:t>
            </w:r>
            <w:r>
              <w:rPr>
                <w:rFonts w:hint="eastAsia" w:cs="宋体"/>
                <w:color w:val="auto"/>
                <w:sz w:val="21"/>
                <w:szCs w:val="21"/>
                <w:highlight w:val="none"/>
                <w:lang w:val="en-US" w:eastAsia="zh-CN"/>
              </w:rPr>
              <w:br w:type="textWrapping"/>
            </w:r>
            <w:r>
              <w:rPr>
                <w:rFonts w:hint="eastAsia" w:cs="宋体"/>
                <w:color w:val="auto"/>
                <w:sz w:val="21"/>
                <w:szCs w:val="21"/>
                <w:highlight w:val="none"/>
                <w:lang w:val="en-US" w:eastAsia="zh-CN"/>
              </w:rPr>
              <w:t>（1）中长期规划科学合理，落地计划具体详实，与本地资源结合紧密，可持续性强，得5分；</w:t>
            </w:r>
            <w:r>
              <w:rPr>
                <w:rFonts w:hint="eastAsia" w:cs="宋体"/>
                <w:color w:val="auto"/>
                <w:sz w:val="21"/>
                <w:szCs w:val="21"/>
                <w:highlight w:val="none"/>
                <w:lang w:val="en-US" w:eastAsia="zh-CN"/>
              </w:rPr>
              <w:br w:type="textWrapping"/>
            </w:r>
            <w:r>
              <w:rPr>
                <w:rFonts w:hint="eastAsia" w:cs="宋体"/>
                <w:color w:val="auto"/>
                <w:sz w:val="21"/>
                <w:szCs w:val="21"/>
                <w:highlight w:val="none"/>
                <w:lang w:val="en-US" w:eastAsia="zh-CN"/>
              </w:rPr>
              <w:t>（2）有中长期规划及落地计划，但内容不够具体或可行性一般，得3分；</w:t>
            </w:r>
            <w:r>
              <w:rPr>
                <w:rFonts w:hint="eastAsia" w:cs="宋体"/>
                <w:color w:val="auto"/>
                <w:sz w:val="21"/>
                <w:szCs w:val="21"/>
                <w:highlight w:val="none"/>
                <w:lang w:val="en-US" w:eastAsia="zh-CN"/>
              </w:rPr>
              <w:br w:type="textWrapping"/>
            </w:r>
            <w:r>
              <w:rPr>
                <w:rFonts w:hint="eastAsia" w:cs="宋体"/>
                <w:color w:val="auto"/>
                <w:sz w:val="21"/>
                <w:szCs w:val="21"/>
                <w:highlight w:val="none"/>
                <w:lang w:val="en-US" w:eastAsia="zh-CN"/>
              </w:rPr>
              <w:t>（3）仅有简单的规划思路，缺乏具体的落地计划，得 1分；</w:t>
            </w:r>
            <w:r>
              <w:rPr>
                <w:rFonts w:hint="eastAsia" w:cs="宋体"/>
                <w:color w:val="auto"/>
                <w:sz w:val="21"/>
                <w:szCs w:val="21"/>
                <w:highlight w:val="none"/>
                <w:lang w:val="en-US" w:eastAsia="zh-CN"/>
              </w:rPr>
              <w:br w:type="textWrapping"/>
            </w:r>
            <w:r>
              <w:rPr>
                <w:rFonts w:hint="eastAsia" w:cs="宋体"/>
                <w:color w:val="auto"/>
                <w:sz w:val="21"/>
                <w:szCs w:val="21"/>
                <w:highlight w:val="none"/>
                <w:lang w:val="en-US" w:eastAsia="zh-CN"/>
              </w:rPr>
              <w:t>（4）方案不可行或未提供的得0分。</w:t>
            </w:r>
          </w:p>
          <w:p w14:paraId="14FA41FD">
            <w:pPr>
              <w:pStyle w:val="1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68"/>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【技术标中须能充分反映出本评分项内容】</w:t>
            </w:r>
          </w:p>
        </w:tc>
      </w:tr>
      <w:tr w14:paraId="4B07A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79" w:type="dxa"/>
            <w:gridSpan w:val="4"/>
            <w:vAlign w:val="center"/>
          </w:tcPr>
          <w:p w14:paraId="2C4C933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注：1.各投标人技术标总得分为各评委评分的平均值为最终得分。取两位小数，小数点后第三位四舍五入。</w:t>
            </w:r>
          </w:p>
          <w:p w14:paraId="5662BD9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该项目技术标为暗标横向评审，暗标横向评审技术标不设目录，评审前系统自动对所有投标人的技术标及各评分点分别进行编号；投标企业制作的技术标部分不得出现可能泄露投标人单位及个人信息的文字、图片、图表（技术标部分不得签章）等有关表述，否则该评分点作零分处理。</w:t>
            </w:r>
          </w:p>
          <w:p w14:paraId="2329430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 技术标暗标不设空白页。技术标投标文件封面不出现投标人、法定代表人签章内容，格式以系统设置为准。正文必须按招标文件要求的顺序进行排版；</w:t>
            </w:r>
          </w:p>
          <w:p w14:paraId="21FCAFE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2.2技术标暗标正文文字排版统一使用中文宋体字体，文字为白底黑色，图表采用黑白灰色（不得采用彩色）；文字部分不得插入任何图表（可以用“见附图x”或“见附表x”说明）。所有附图、附表必须依次附在各章对应评分点内容的文末，计算在页数要求内；</w:t>
            </w:r>
          </w:p>
          <w:p w14:paraId="241C104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2.3 正文采用宋体四号常规字，字符间距设为标准值，行距为单倍行距，不勾选“如果定义了文档网格，则对齐到网格”；正文统一设为左对齐，章、节标题、及段落首行缩进2个汉字，段落前后不设空行；正文版面不加页眉、页脚、边框、下划线等标志，正文页码用小五号阿拉伯数字，居中。单位符号中有上下角标要求的，必须在相应位置做角标；</w:t>
            </w:r>
          </w:p>
          <w:p w14:paraId="489DF80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3.技术标暗标文件的格式、制作不符合上述要求的，每一分项扣0.2分。技术标实行暗标的，对技术标（暗标）部分不予澄清、说明或者补正。</w:t>
            </w:r>
          </w:p>
          <w:p w14:paraId="2459598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w:t>
            </w:r>
            <w:r>
              <w:rPr>
                <w:rFonts w:hint="eastAsia" w:ascii="宋体" w:hAnsi="宋体" w:eastAsia="宋体" w:cs="宋体"/>
                <w:b/>
                <w:bCs/>
                <w:color w:val="auto"/>
                <w:kern w:val="0"/>
                <w:sz w:val="21"/>
                <w:szCs w:val="21"/>
                <w:highlight w:val="none"/>
              </w:rPr>
              <w:t>技术标的</w:t>
            </w:r>
            <w:r>
              <w:rPr>
                <w:rFonts w:hint="eastAsia" w:ascii="宋体" w:hAnsi="宋体" w:eastAsia="宋体" w:cs="宋体"/>
                <w:b/>
                <w:bCs/>
                <w:color w:val="auto"/>
                <w:kern w:val="0"/>
                <w:sz w:val="21"/>
                <w:szCs w:val="21"/>
                <w:highlight w:val="none"/>
                <w:lang w:val="en-US" w:eastAsia="zh-CN"/>
              </w:rPr>
              <w:t>每个评分点</w:t>
            </w:r>
            <w:r>
              <w:rPr>
                <w:rFonts w:hint="eastAsia" w:ascii="宋体" w:hAnsi="宋体" w:eastAsia="宋体" w:cs="宋体"/>
                <w:b/>
                <w:bCs/>
                <w:color w:val="auto"/>
                <w:kern w:val="0"/>
                <w:sz w:val="21"/>
                <w:szCs w:val="21"/>
                <w:highlight w:val="none"/>
              </w:rPr>
              <w:t>页数不多于</w:t>
            </w:r>
            <w:r>
              <w:rPr>
                <w:rFonts w:hint="eastAsia" w:ascii="宋体" w:hAnsi="宋体" w:cs="宋体"/>
                <w:b/>
                <w:bCs/>
                <w:color w:val="auto"/>
                <w:kern w:val="0"/>
                <w:sz w:val="21"/>
                <w:szCs w:val="21"/>
                <w:highlight w:val="none"/>
                <w:lang w:val="en-US" w:eastAsia="zh-CN"/>
              </w:rPr>
              <w:t>50</w:t>
            </w:r>
            <w:r>
              <w:rPr>
                <w:rFonts w:hint="eastAsia" w:ascii="宋体" w:hAnsi="宋体" w:eastAsia="宋体" w:cs="宋体"/>
                <w:b/>
                <w:bCs/>
                <w:color w:val="auto"/>
                <w:kern w:val="0"/>
                <w:sz w:val="21"/>
                <w:szCs w:val="21"/>
                <w:highlight w:val="none"/>
              </w:rPr>
              <w:t>页</w:t>
            </w:r>
            <w:r>
              <w:rPr>
                <w:rFonts w:hint="eastAsia" w:ascii="宋体" w:hAnsi="宋体" w:eastAsia="宋体" w:cs="宋体"/>
                <w:b/>
                <w:bCs/>
                <w:color w:val="auto"/>
                <w:kern w:val="0"/>
                <w:sz w:val="21"/>
                <w:szCs w:val="21"/>
                <w:highlight w:val="none"/>
                <w:lang w:eastAsia="zh-CN"/>
              </w:rPr>
              <w:t>（</w:t>
            </w:r>
            <w:r>
              <w:rPr>
                <w:rFonts w:hint="eastAsia" w:ascii="宋体" w:hAnsi="宋体" w:eastAsia="宋体" w:cs="宋体"/>
                <w:b/>
                <w:bCs/>
                <w:color w:val="auto"/>
                <w:kern w:val="0"/>
                <w:sz w:val="21"/>
                <w:szCs w:val="21"/>
                <w:highlight w:val="none"/>
                <w:lang w:val="en-US" w:eastAsia="zh-CN"/>
              </w:rPr>
              <w:t>含附图、附表</w:t>
            </w:r>
            <w:r>
              <w:rPr>
                <w:rFonts w:hint="eastAsia" w:ascii="宋体" w:hAnsi="宋体" w:eastAsia="宋体" w:cs="宋体"/>
                <w:b/>
                <w:bCs/>
                <w:color w:val="auto"/>
                <w:kern w:val="0"/>
                <w:sz w:val="21"/>
                <w:szCs w:val="21"/>
                <w:highlight w:val="none"/>
                <w:lang w:eastAsia="zh-CN"/>
              </w:rPr>
              <w:t>）</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具体篇幅(字数)要求及扣分标准（扣分值为0.</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分）。偏离规定标准的，评标委员会应酌情扣分。</w:t>
            </w:r>
          </w:p>
          <w:p w14:paraId="221A5AB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w:t>
            </w:r>
            <w:r>
              <w:rPr>
                <w:rFonts w:hint="eastAsia" w:ascii="宋体" w:hAnsi="宋体" w:eastAsia="宋体" w:cs="宋体"/>
                <w:color w:val="auto"/>
                <w:sz w:val="21"/>
                <w:szCs w:val="21"/>
                <w:highlight w:val="none"/>
              </w:rPr>
              <w:t>暗标评审仅限评标环节。评标结束后，如出现质疑、投诉、举报等，经认定评标错误的，由评标委员会纠正错误或重新评分，此时不再受暗标评审约束，但在纠正错误或重新评分中发现投标企业技术标出现可能泄露投标人单位及个人信息的文字、图片、图表（技术标不得签章）等有关表述的，对应技术标评分点仍按零分处理。</w:t>
            </w:r>
          </w:p>
          <w:p w14:paraId="1E5566D5">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kern w:val="0"/>
                <w:sz w:val="21"/>
                <w:szCs w:val="21"/>
                <w:highlight w:val="none"/>
              </w:rPr>
              <w:t>6.</w:t>
            </w:r>
            <w:r>
              <w:rPr>
                <w:rFonts w:hint="eastAsia" w:ascii="宋体" w:hAnsi="宋体" w:eastAsia="宋体" w:cs="宋体"/>
                <w:color w:val="auto"/>
                <w:sz w:val="21"/>
                <w:szCs w:val="21"/>
                <w:highlight w:val="none"/>
              </w:rPr>
              <w:t>如所有投标企业技术标都出现能反映企业信息等相关内容的，该项目流标。</w:t>
            </w:r>
          </w:p>
        </w:tc>
      </w:tr>
    </w:tbl>
    <w:p w14:paraId="0F9BB553">
      <w:pPr>
        <w:keepNext w:val="0"/>
        <w:keepLines w:val="0"/>
        <w:pageBreakBefore w:val="0"/>
        <w:widowControl w:val="0"/>
        <w:shd w:val="clear"/>
        <w:kinsoku/>
        <w:wordWrap/>
        <w:overflowPunct/>
        <w:topLinePunct w:val="0"/>
        <w:autoSpaceDE/>
        <w:autoSpaceDN/>
        <w:bidi w:val="0"/>
        <w:adjustRightInd w:val="0"/>
        <w:snapToGrid w:val="0"/>
        <w:spacing w:before="313" w:beforeLines="100" w:after="313" w:afterLines="100" w:line="500" w:lineRule="exact"/>
        <w:jc w:val="left"/>
        <w:textAlignment w:val="auto"/>
        <w:rPr>
          <w:rFonts w:ascii="宋体" w:hAnsi="宋体" w:cs="宋体"/>
          <w:b/>
          <w:bCs/>
          <w:color w:val="auto"/>
          <w:szCs w:val="21"/>
          <w:highlight w:val="none"/>
        </w:rPr>
      </w:pPr>
      <w:r>
        <w:rPr>
          <w:rFonts w:hint="eastAsia" w:ascii="宋体" w:hAnsi="宋体" w:cs="宋体"/>
          <w:b/>
          <w:bCs/>
          <w:color w:val="auto"/>
          <w:szCs w:val="21"/>
          <w:highlight w:val="none"/>
        </w:rPr>
        <w:t>6.3商务标评审细则（</w:t>
      </w:r>
      <w:r>
        <w:rPr>
          <w:rFonts w:hint="eastAsia" w:ascii="宋体" w:hAnsi="宋体" w:cs="宋体"/>
          <w:b/>
          <w:bCs/>
          <w:color w:val="auto"/>
          <w:szCs w:val="21"/>
          <w:highlight w:val="none"/>
          <w:lang w:val="en-US" w:eastAsia="zh-CN"/>
        </w:rPr>
        <w:t>10</w:t>
      </w:r>
      <w:r>
        <w:rPr>
          <w:rFonts w:hint="eastAsia" w:ascii="宋体" w:hAnsi="宋体" w:cs="宋体"/>
          <w:b/>
          <w:bCs/>
          <w:color w:val="auto"/>
          <w:szCs w:val="21"/>
          <w:highlight w:val="none"/>
        </w:rPr>
        <w:t>分）</w:t>
      </w:r>
    </w:p>
    <w:tbl>
      <w:tblPr>
        <w:tblStyle w:val="35"/>
        <w:tblW w:w="9929" w:type="dxa"/>
        <w:tblInd w:w="-1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5"/>
        <w:gridCol w:w="8584"/>
      </w:tblGrid>
      <w:tr w14:paraId="609FB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5" w:type="dxa"/>
            <w:vAlign w:val="center"/>
          </w:tcPr>
          <w:p w14:paraId="42B08E22">
            <w:pPr>
              <w:keepNext w:val="0"/>
              <w:keepLines w:val="0"/>
              <w:suppressLineNumbers w:val="0"/>
              <w:shd w:val="clear"/>
              <w:spacing w:before="0" w:beforeAutospacing="0" w:after="0" w:afterAutospacing="0" w:line="500" w:lineRule="exact"/>
              <w:ind w:left="0" w:right="0"/>
              <w:jc w:val="center"/>
              <w:rPr>
                <w:rFonts w:hint="default" w:ascii="宋体" w:hAnsi="宋体" w:cs="宋体"/>
                <w:b/>
                <w:bCs/>
                <w:color w:val="auto"/>
                <w:highlight w:val="none"/>
              </w:rPr>
            </w:pPr>
            <w:bookmarkStart w:id="90" w:name="_Toc23311"/>
            <w:bookmarkStart w:id="91" w:name="_Toc449028881"/>
            <w:bookmarkStart w:id="92" w:name="_Toc58430321"/>
            <w:r>
              <w:rPr>
                <w:rFonts w:hint="eastAsia" w:ascii="宋体" w:hAnsi="宋体" w:cs="宋体"/>
                <w:b/>
                <w:bCs/>
                <w:color w:val="auto"/>
                <w:highlight w:val="none"/>
              </w:rPr>
              <w:t>评分因素</w:t>
            </w:r>
          </w:p>
        </w:tc>
        <w:tc>
          <w:tcPr>
            <w:tcW w:w="8584" w:type="dxa"/>
            <w:vAlign w:val="center"/>
          </w:tcPr>
          <w:p w14:paraId="65B3C38C">
            <w:pPr>
              <w:keepNext w:val="0"/>
              <w:keepLines w:val="0"/>
              <w:suppressLineNumbers w:val="0"/>
              <w:shd w:val="clear"/>
              <w:spacing w:before="0" w:beforeAutospacing="0" w:after="0" w:afterAutospacing="0" w:line="500" w:lineRule="exact"/>
              <w:ind w:left="0" w:right="0"/>
              <w:jc w:val="center"/>
              <w:rPr>
                <w:rFonts w:hint="default" w:ascii="宋体" w:hAnsi="宋体" w:cs="宋体"/>
                <w:b/>
                <w:bCs/>
                <w:color w:val="auto"/>
                <w:highlight w:val="none"/>
              </w:rPr>
            </w:pPr>
            <w:r>
              <w:rPr>
                <w:rFonts w:hint="eastAsia" w:ascii="宋体" w:hAnsi="宋体" w:cs="宋体"/>
                <w:b/>
                <w:bCs/>
                <w:color w:val="auto"/>
                <w:highlight w:val="none"/>
              </w:rPr>
              <w:t>评审细则</w:t>
            </w:r>
          </w:p>
        </w:tc>
      </w:tr>
      <w:tr w14:paraId="0CC4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345" w:type="dxa"/>
            <w:vAlign w:val="center"/>
          </w:tcPr>
          <w:p w14:paraId="7C699C20">
            <w:pPr>
              <w:keepNext w:val="0"/>
              <w:keepLines w:val="0"/>
              <w:suppressLineNumbers w:val="0"/>
              <w:shd w:val="clear"/>
              <w:spacing w:before="0" w:beforeAutospacing="0" w:after="0" w:afterAutospacing="0" w:line="50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商务标</w:t>
            </w:r>
          </w:p>
          <w:p w14:paraId="5AC233B1">
            <w:pPr>
              <w:keepNext w:val="0"/>
              <w:keepLines w:val="0"/>
              <w:suppressLineNumbers w:val="0"/>
              <w:shd w:val="clear"/>
              <w:spacing w:before="0" w:beforeAutospacing="0" w:after="0" w:afterAutospacing="0" w:line="50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tc>
        <w:tc>
          <w:tcPr>
            <w:tcW w:w="8584" w:type="dxa"/>
          </w:tcPr>
          <w:p w14:paraId="4DA7EAE9">
            <w:pPr>
              <w:keepNext w:val="0"/>
              <w:keepLines w:val="0"/>
              <w:suppressLineNumbers w:val="0"/>
              <w:shd w:val="clear"/>
              <w:tabs>
                <w:tab w:val="left" w:pos="1080"/>
              </w:tabs>
              <w:spacing w:before="0" w:beforeAutospacing="0" w:after="0" w:afterAutospacing="0" w:line="500" w:lineRule="exact"/>
              <w:ind w:left="0" w:right="0" w:firstLine="420" w:firstLineChars="200"/>
              <w:jc w:val="left"/>
              <w:rPr>
                <w:rFonts w:hint="default" w:ascii="宋体" w:hAnsi="宋体" w:cs="宋体"/>
                <w:color w:val="auto"/>
                <w:szCs w:val="21"/>
                <w:highlight w:val="none"/>
              </w:rPr>
            </w:pPr>
            <w:r>
              <w:rPr>
                <w:rFonts w:hint="eastAsia" w:ascii="宋体" w:hAnsi="宋体" w:cs="宋体"/>
                <w:color w:val="auto"/>
                <w:szCs w:val="21"/>
                <w:highlight w:val="none"/>
              </w:rPr>
              <w:t>招标人设置投标报价最高限价，各投标人有效报价不得高于最高限价，否则，其投标文件按无效标处理。</w:t>
            </w:r>
          </w:p>
          <w:p w14:paraId="2B3C4012">
            <w:pPr>
              <w:keepNext w:val="0"/>
              <w:keepLines w:val="0"/>
              <w:suppressLineNumbers w:val="0"/>
              <w:shd w:val="clear"/>
              <w:tabs>
                <w:tab w:val="left" w:pos="1080"/>
              </w:tabs>
              <w:spacing w:before="0" w:beforeAutospacing="0" w:after="0" w:afterAutospacing="0" w:line="500" w:lineRule="exact"/>
              <w:ind w:left="0" w:right="0"/>
              <w:jc w:val="left"/>
              <w:rPr>
                <w:rFonts w:hint="default" w:ascii="宋体" w:hAnsi="宋体" w:cs="宋体"/>
                <w:color w:val="auto"/>
                <w:szCs w:val="21"/>
                <w:highlight w:val="none"/>
              </w:rPr>
            </w:pPr>
            <w:r>
              <w:rPr>
                <w:rFonts w:hint="eastAsia" w:ascii="宋体" w:hAnsi="宋体" w:cs="宋体"/>
                <w:color w:val="auto"/>
                <w:szCs w:val="21"/>
                <w:highlight w:val="none"/>
              </w:rPr>
              <w:t>1、评审基准价=所有有效投标人的最低报价；其得分为满分；</w:t>
            </w:r>
          </w:p>
          <w:p w14:paraId="70D0C48F">
            <w:pPr>
              <w:keepNext w:val="0"/>
              <w:keepLines w:val="0"/>
              <w:suppressLineNumbers w:val="0"/>
              <w:shd w:val="clear"/>
              <w:tabs>
                <w:tab w:val="left" w:pos="1080"/>
              </w:tabs>
              <w:spacing w:before="0" w:beforeAutospacing="0" w:after="0" w:afterAutospacing="0" w:line="500" w:lineRule="exact"/>
              <w:ind w:left="0" w:right="0"/>
              <w:jc w:val="left"/>
              <w:rPr>
                <w:rFonts w:hint="default" w:ascii="宋体" w:hAnsi="宋体" w:cs="宋体"/>
                <w:color w:val="auto"/>
                <w:szCs w:val="21"/>
                <w:highlight w:val="none"/>
              </w:rPr>
            </w:pPr>
            <w:r>
              <w:rPr>
                <w:rFonts w:hint="eastAsia" w:ascii="宋体" w:hAnsi="宋体" w:cs="宋体"/>
                <w:color w:val="auto"/>
                <w:szCs w:val="21"/>
                <w:highlight w:val="none"/>
              </w:rPr>
              <w:t>2、其它报价得分=评审基准价/投标报价</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 xml:space="preserve"> 10分</w:t>
            </w:r>
            <w:r>
              <w:rPr>
                <w:rFonts w:hint="eastAsia" w:ascii="宋体" w:hAnsi="宋体" w:cs="宋体"/>
                <w:color w:val="auto"/>
                <w:szCs w:val="21"/>
                <w:highlight w:val="none"/>
              </w:rPr>
              <w:t>，小数点后保留两位小数，第三位四舍五入；</w:t>
            </w:r>
          </w:p>
          <w:p w14:paraId="33B79FC5">
            <w:pPr>
              <w:keepNext w:val="0"/>
              <w:keepLines w:val="0"/>
              <w:suppressLineNumbers w:val="0"/>
              <w:shd w:val="clear"/>
              <w:spacing w:before="0" w:beforeAutospacing="0" w:after="0" w:afterAutospacing="0" w:line="500" w:lineRule="exact"/>
              <w:ind w:left="0" w:right="0"/>
              <w:jc w:val="left"/>
              <w:rPr>
                <w:rFonts w:hint="default" w:ascii="宋体" w:hAnsi="宋体" w:cs="宋体"/>
                <w:color w:val="auto"/>
                <w:szCs w:val="21"/>
                <w:highlight w:val="none"/>
              </w:rPr>
            </w:pPr>
            <w:r>
              <w:rPr>
                <w:rFonts w:hint="eastAsia" w:ascii="宋体" w:hAnsi="宋体" w:cs="宋体"/>
                <w:color w:val="auto"/>
                <w:szCs w:val="21"/>
                <w:highlight w:val="none"/>
              </w:rPr>
              <w:t>3、本项分值由评审委员会负责组织计算。</w:t>
            </w:r>
          </w:p>
        </w:tc>
      </w:tr>
    </w:tbl>
    <w:p w14:paraId="6F7E997E">
      <w:pPr>
        <w:shd w:val="clear"/>
        <w:spacing w:beforeLines="50" w:afterLines="50" w:line="500" w:lineRule="exact"/>
        <w:jc w:val="center"/>
        <w:outlineLvl w:val="1"/>
        <w:rPr>
          <w:rFonts w:ascii="宋体" w:hAnsi="宋体" w:cs="宋体"/>
          <w:b/>
          <w:color w:val="auto"/>
          <w:sz w:val="28"/>
          <w:szCs w:val="28"/>
          <w:highlight w:val="none"/>
        </w:rPr>
      </w:pPr>
      <w:bookmarkStart w:id="93" w:name="_Toc28485"/>
      <w:r>
        <w:rPr>
          <w:rFonts w:hint="eastAsia" w:ascii="宋体" w:hAnsi="宋体" w:cs="宋体"/>
          <w:b/>
          <w:color w:val="auto"/>
          <w:sz w:val="28"/>
          <w:szCs w:val="28"/>
          <w:highlight w:val="none"/>
        </w:rPr>
        <w:t>五、推荐中标候选人</w:t>
      </w:r>
      <w:bookmarkEnd w:id="89"/>
      <w:bookmarkEnd w:id="90"/>
      <w:bookmarkEnd w:id="91"/>
      <w:bookmarkEnd w:id="92"/>
      <w:bookmarkEnd w:id="93"/>
    </w:p>
    <w:p w14:paraId="3AB9AD19">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 xml:space="preserve">7.评标委员会按资信、技术及商务三部分得分之和从高到低按顺序，推荐3名中标候选人。 </w:t>
      </w:r>
    </w:p>
    <w:p w14:paraId="06F3F443">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7.1总得分相同的，按报价由低到高顺序排列。总得分且报价相同的并列，由招标人现场采取随机摇号的方式确定中标候选人。</w:t>
      </w:r>
    </w:p>
    <w:p w14:paraId="06ED3934">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hint="eastAsia" w:ascii="宋体" w:hAnsi="宋体" w:cs="宋体"/>
          <w:b/>
          <w:color w:val="auto"/>
          <w:szCs w:val="21"/>
          <w:highlight w:val="none"/>
        </w:rPr>
      </w:pPr>
      <w:r>
        <w:rPr>
          <w:rFonts w:hint="eastAsia" w:ascii="宋体" w:hAnsi="宋体" w:cs="宋体"/>
          <w:color w:val="auto"/>
          <w:szCs w:val="21"/>
          <w:highlight w:val="none"/>
        </w:rPr>
        <w:t>7.2</w:t>
      </w:r>
      <w:r>
        <w:rPr>
          <w:rFonts w:hint="eastAsia" w:ascii="宋体" w:hAnsi="宋体" w:cs="宋体"/>
          <w:b/>
          <w:color w:val="auto"/>
          <w:szCs w:val="21"/>
          <w:highlight w:val="none"/>
        </w:rPr>
        <w:t>根据评标委员会评审初步结论，项目单位（代理机构）对预中标候选人（包括联合体各成员）是否存在招标文件要求查询的失信行为进行网上核查后，提交网站截图等查询记录给评标委员会复核。若核查结果不符合招标文件规定的投标人资格条件信誉要求，由评标委员会取消其预中标候选人资格，并依次替补，再次对替补单位进行核查。如评标现场未发现问题但标后质疑（异议）、投诉发现中标候选人（包括联合体各成员）存在信誉问题，则组织评标委员会重新启动复核程序。核查结果不改变原评标基准价。</w:t>
      </w:r>
    </w:p>
    <w:p w14:paraId="36FAF708">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2" w:firstLineChars="200"/>
        <w:jc w:val="left"/>
        <w:textAlignment w:val="auto"/>
        <w:rPr>
          <w:rFonts w:ascii="宋体" w:hAnsi="宋体" w:cs="宋体"/>
          <w:b/>
          <w:color w:val="auto"/>
          <w:szCs w:val="21"/>
          <w:highlight w:val="none"/>
        </w:rPr>
      </w:pPr>
      <w:r>
        <w:rPr>
          <w:rFonts w:hint="eastAsia" w:ascii="宋体" w:hAnsi="宋体" w:cs="宋体"/>
          <w:b/>
          <w:color w:val="auto"/>
          <w:szCs w:val="21"/>
          <w:highlight w:val="none"/>
        </w:rPr>
        <w:t>8.无效投标条款</w:t>
      </w:r>
    </w:p>
    <w:p w14:paraId="130990FF">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8.1投标文件有下列情形之一的,其投标文件拒收:</w:t>
      </w:r>
    </w:p>
    <w:p w14:paraId="5165CF2A">
      <w:pPr>
        <w:keepNext w:val="0"/>
        <w:keepLines w:val="0"/>
        <w:pageBreakBefore w:val="0"/>
        <w:widowControl w:val="0"/>
        <w:shd w:val="clear"/>
        <w:kinsoku/>
        <w:wordWrap/>
        <w:overflowPunct/>
        <w:topLinePunct w:val="0"/>
        <w:autoSpaceDE/>
        <w:autoSpaceDN/>
        <w:bidi w:val="0"/>
        <w:adjustRightInd/>
        <w:spacing w:line="500" w:lineRule="exact"/>
        <w:ind w:right="0" w:rightChars="0" w:firstLine="420" w:firstLineChars="200"/>
        <w:jc w:val="left"/>
        <w:textAlignment w:val="auto"/>
        <w:rPr>
          <w:rFonts w:ascii="宋体" w:hAnsi="宋体" w:cs="宋体"/>
          <w:bCs/>
          <w:color w:val="auto"/>
          <w:szCs w:val="21"/>
          <w:highlight w:val="none"/>
        </w:rPr>
      </w:pPr>
      <w:r>
        <w:rPr>
          <w:rFonts w:hint="eastAsia" w:ascii="宋体" w:hAnsi="宋体" w:cs="宋体"/>
          <w:bCs/>
          <w:color w:val="auto"/>
          <w:szCs w:val="21"/>
          <w:highlight w:val="none"/>
        </w:rPr>
        <w:t>(1) 未在开标截止时间前通过网上招标投标系统递交有效电子投标文件的，开标系统不予接收，投标将被拒绝。</w:t>
      </w:r>
    </w:p>
    <w:p w14:paraId="0FE6C475">
      <w:pPr>
        <w:keepNext w:val="0"/>
        <w:keepLines w:val="0"/>
        <w:pageBreakBefore w:val="0"/>
        <w:widowControl w:val="0"/>
        <w:shd w:val="clear"/>
        <w:kinsoku/>
        <w:wordWrap/>
        <w:overflowPunct/>
        <w:topLinePunct w:val="0"/>
        <w:autoSpaceDE/>
        <w:autoSpaceDN/>
        <w:bidi w:val="0"/>
        <w:adjustRightInd/>
        <w:spacing w:line="500" w:lineRule="exact"/>
        <w:ind w:right="0" w:rightChars="0" w:firstLine="420" w:firstLineChars="200"/>
        <w:jc w:val="left"/>
        <w:textAlignment w:val="auto"/>
        <w:rPr>
          <w:rFonts w:ascii="宋体" w:hAnsi="宋体" w:cs="宋体"/>
          <w:bCs/>
          <w:color w:val="auto"/>
          <w:szCs w:val="21"/>
          <w:highlight w:val="none"/>
        </w:rPr>
      </w:pPr>
      <w:r>
        <w:rPr>
          <w:rFonts w:hint="eastAsia" w:ascii="宋体" w:hAnsi="宋体" w:cs="宋体"/>
          <w:bCs/>
          <w:color w:val="auto"/>
          <w:szCs w:val="21"/>
          <w:highlight w:val="none"/>
        </w:rPr>
        <w:t>（2）投标企业接到远程解密指令后，须在规定时间内解密。因投标人自身原因导致投标文件在规定时间内未能解密、解密失败或解密超时，投标文件无效；解密时间：从本项目网上招投标系统解密倒计时开始，至完成投标文件解密时间，不得超过60分钟，否则投标文件将被拒绝。</w:t>
      </w:r>
    </w:p>
    <w:p w14:paraId="1A36FF33">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 xml:space="preserve"> 8.2投标人有下列情形之一的,资格审查后其投标作无效投标处理：</w:t>
      </w:r>
    </w:p>
    <w:p w14:paraId="39799C18">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(1)投标人为本项目提供招标代理服务的；</w:t>
      </w:r>
    </w:p>
    <w:p w14:paraId="1FDD74BB">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(2)投标人与在本项目代理机构存在相互任职或工作的；</w:t>
      </w:r>
    </w:p>
    <w:p w14:paraId="28BA206E">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(3)与采购人存在利害关系可能影响采购公正性的法人、其他组织或者个人；</w:t>
      </w:r>
    </w:p>
    <w:p w14:paraId="61D51005">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(4)评标专家无法查看并检验电子投标文件中相关资料的；</w:t>
      </w:r>
    </w:p>
    <w:p w14:paraId="216B7A24">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)联合体投标未提交联合体协议的；</w:t>
      </w:r>
    </w:p>
    <w:p w14:paraId="7B213627">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)责令停产停业的；</w:t>
      </w:r>
    </w:p>
    <w:p w14:paraId="1A090A4E">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)暂停或者取消参与采购项目资格的；</w:t>
      </w:r>
    </w:p>
    <w:p w14:paraId="758E5981">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)投标人单位负责人为同一人或者存在直接控股、管理关系的不同单位的；</w:t>
      </w:r>
    </w:p>
    <w:p w14:paraId="0F77BA24">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)投标人基本资格条件和特定资格条件中有一项及以上不符合要求的；</w:t>
      </w:r>
    </w:p>
    <w:p w14:paraId="150D4456">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32FF374E">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11</w:t>
      </w:r>
      <w:r>
        <w:rPr>
          <w:rFonts w:hint="eastAsia" w:ascii="宋体" w:hAnsi="宋体" w:cs="宋体"/>
          <w:color w:val="auto"/>
          <w:szCs w:val="21"/>
          <w:highlight w:val="none"/>
        </w:rPr>
        <w:t>)其它情形，经评标委员会提出按无效投标处理，并经公共资源交易监督部门核准的；</w:t>
      </w:r>
    </w:p>
    <w:p w14:paraId="11E4CE8D">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)投标人投标MAC地址一致，由评标委员会否决其投标；</w:t>
      </w:r>
    </w:p>
    <w:p w14:paraId="5A821C65">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)投标人单方面出现其他投标人材料的；</w:t>
      </w:r>
    </w:p>
    <w:p w14:paraId="0B1A41C1">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)投标人联系人或联系电话相同的，由评标委员会否决其投标，并报告监管部门作不良行为处理和进一步调查；</w:t>
      </w:r>
    </w:p>
    <w:p w14:paraId="1A156359">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)招标文件规定的其它无效投标情形。</w:t>
      </w:r>
    </w:p>
    <w:p w14:paraId="0570C6F6">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 xml:space="preserve"> 8.3 投标人有下列情形之一的,符合性审查后其投标按无效投标处理：</w:t>
      </w:r>
    </w:p>
    <w:p w14:paraId="4FCDE3E5">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）投标文件签字、盖章不全，经评标委员会一致认定对开评标内容有实质性影响并经公共资源交易监督部门核准的；</w:t>
      </w:r>
    </w:p>
    <w:p w14:paraId="142F0696">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）未按规定的格式填写导致实质性内容不全以及实质上不响应，或者关键字迹模糊、无法辨认； 经公共资源交易监督部门核准的；</w:t>
      </w:r>
    </w:p>
    <w:p w14:paraId="0E724ADA">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）同一投标人提交两个以上不同的投标文件或者投标报价，但招标文件规定提交备选方案的除外；</w:t>
      </w:r>
    </w:p>
    <w:p w14:paraId="13196FBA">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）投标文件没有对招标文件的实质性要求和条件作出响应;</w:t>
      </w:r>
    </w:p>
    <w:p w14:paraId="79EAFA4E">
      <w:pPr>
        <w:keepNext w:val="0"/>
        <w:keepLines w:val="0"/>
        <w:pageBreakBefore w:val="0"/>
        <w:widowControl w:val="0"/>
        <w:shd w:val="clear"/>
        <w:kinsoku/>
        <w:wordWrap/>
        <w:overflowPunct/>
        <w:topLinePunct w:val="0"/>
        <w:autoSpaceDE/>
        <w:autoSpaceDN/>
        <w:bidi w:val="0"/>
        <w:adjustRightInd/>
        <w:spacing w:line="500" w:lineRule="exact"/>
        <w:ind w:right="0" w:rightChars="0" w:firstLine="420" w:firstLineChars="200"/>
        <w:jc w:val="left"/>
        <w:textAlignment w:val="auto"/>
        <w:rPr>
          <w:rFonts w:ascii="宋体" w:hAnsi="宋体" w:cs="宋体"/>
          <w:b/>
          <w:bCs/>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）投标报价超出规定的投标限价或公布的采购预算的或投标人的投标报价各项单价高于招标文件给定的单价最高限价；</w:t>
      </w:r>
    </w:p>
    <w:p w14:paraId="462AFF5D">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）不按评标委员会要求澄清、说明或补正的，或者评标委员会根据招标文件的规定对招标文件的计算错误进行修正后，投标人不接受修正的投标报价的。</w:t>
      </w:r>
    </w:p>
    <w:p w14:paraId="06CAA607">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）其它情形，经评标委员会提出按无效投标处理，并经公共资源交易监督部门核准的；</w:t>
      </w:r>
    </w:p>
    <w:p w14:paraId="45654798">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）投标文件含有招标人不能接受的附加条件的;</w:t>
      </w:r>
    </w:p>
    <w:p w14:paraId="38A03649">
      <w:pPr>
        <w:keepNext w:val="0"/>
        <w:keepLines w:val="0"/>
        <w:pageBreakBefore w:val="0"/>
        <w:widowControl w:val="0"/>
        <w:shd w:val="clear"/>
        <w:tabs>
          <w:tab w:val="left" w:pos="1123"/>
        </w:tabs>
        <w:kinsoku/>
        <w:wordWrap/>
        <w:overflowPunct/>
        <w:topLinePunct w:val="0"/>
        <w:autoSpaceDE/>
        <w:autoSpaceDN/>
        <w:bidi w:val="0"/>
        <w:adjustRightInd/>
        <w:snapToGrid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（9）招标文件规定的其它无效投标情形。</w:t>
      </w:r>
    </w:p>
    <w:p w14:paraId="507D2E54">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8.4 投标人有下列情形之一的, 详细评审后其投标按无效投标处理：</w:t>
      </w:r>
    </w:p>
    <w:p w14:paraId="2297EBF5">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）投标产品不符合必须强制执行的国家标准的；</w:t>
      </w:r>
    </w:p>
    <w:p w14:paraId="5AE41712">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）投标人有串通投标、弄虚作假、行贿等违法行为；</w:t>
      </w:r>
    </w:p>
    <w:p w14:paraId="2563CFBE">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）投标文件含有违反国家法律、法规的内容，或附有招标人不能接受的条件的；</w:t>
      </w:r>
    </w:p>
    <w:p w14:paraId="4E720782">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（4）报价明显低于其他投标人，且不能证明报价合理性的投标无效；</w:t>
      </w:r>
    </w:p>
    <w:p w14:paraId="0FE27F1E">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（5）拒不确认评标委员会评审修正的投标无效；</w:t>
      </w:r>
    </w:p>
    <w:p w14:paraId="2CB56FEA">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（6）其它情形，经评标委员会提出按无效投标处理，并经公共资源交易监督部门核准的；</w:t>
      </w:r>
    </w:p>
    <w:p w14:paraId="14EBBF72">
      <w:pPr>
        <w:keepNext w:val="0"/>
        <w:keepLines w:val="0"/>
        <w:pageBreakBefore w:val="0"/>
        <w:widowControl w:val="0"/>
        <w:shd w:val="clear"/>
        <w:kinsoku/>
        <w:wordWrap/>
        <w:overflowPunct/>
        <w:topLinePunct w:val="0"/>
        <w:autoSpaceDE/>
        <w:autoSpaceDN/>
        <w:bidi w:val="0"/>
        <w:adjustRightInd/>
        <w:snapToGrid w:val="0"/>
        <w:spacing w:line="500" w:lineRule="exact"/>
        <w:ind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）招标文件规定的其它无效投标情形。</w:t>
      </w:r>
    </w:p>
    <w:bookmarkEnd w:id="69"/>
    <w:p w14:paraId="32B9D1CD">
      <w:pPr>
        <w:numPr>
          <w:ilvl w:val="0"/>
          <w:numId w:val="12"/>
        </w:numPr>
        <w:shd w:val="clear"/>
        <w:snapToGrid w:val="0"/>
        <w:spacing w:line="440" w:lineRule="exact"/>
        <w:ind w:left="-10" w:leftChars="-5" w:right="-334" w:rightChars="-159" w:firstLine="14"/>
        <w:jc w:val="both"/>
        <w:outlineLvl w:val="0"/>
        <w:rPr>
          <w:rFonts w:hAnsi="宋体"/>
          <w:b/>
          <w:bCs/>
          <w:color w:val="auto"/>
          <w:sz w:val="32"/>
          <w:szCs w:val="32"/>
          <w:highlight w:val="none"/>
        </w:rPr>
      </w:pPr>
      <w:bookmarkStart w:id="94" w:name="_Toc30417"/>
      <w:bookmarkStart w:id="95" w:name="_Toc449028945"/>
      <w:r>
        <w:rPr>
          <w:rFonts w:hint="eastAsia" w:ascii="宋体"/>
          <w:b/>
          <w:color w:val="auto"/>
          <w:sz w:val="32"/>
          <w:szCs w:val="32"/>
          <w:highlight w:val="none"/>
        </w:rPr>
        <w:br w:type="page"/>
      </w:r>
      <w:bookmarkEnd w:id="94"/>
      <w:bookmarkStart w:id="96" w:name="_Toc11830"/>
      <w:bookmarkEnd w:id="96"/>
    </w:p>
    <w:p w14:paraId="67C41BEB">
      <w:pPr>
        <w:spacing w:before="156" w:beforeLines="50" w:after="156" w:afterLines="50"/>
        <w:jc w:val="center"/>
        <w:outlineLvl w:val="0"/>
        <w:rPr>
          <w:rFonts w:ascii="宋体"/>
          <w:b/>
          <w:color w:val="auto"/>
          <w:sz w:val="32"/>
          <w:szCs w:val="32"/>
          <w:highlight w:val="none"/>
        </w:rPr>
      </w:pPr>
      <w:bookmarkStart w:id="97" w:name="_Toc86071714"/>
      <w:bookmarkStart w:id="98" w:name="_Toc1606"/>
      <w:r>
        <w:rPr>
          <w:rFonts w:hint="eastAsia" w:ascii="宋体"/>
          <w:b/>
          <w:color w:val="auto"/>
          <w:sz w:val="32"/>
          <w:szCs w:val="32"/>
          <w:highlight w:val="none"/>
        </w:rPr>
        <w:t xml:space="preserve">第四章 </w:t>
      </w:r>
      <w:bookmarkEnd w:id="97"/>
      <w:r>
        <w:rPr>
          <w:rFonts w:hint="eastAsia" w:ascii="宋体"/>
          <w:b/>
          <w:color w:val="auto"/>
          <w:sz w:val="32"/>
          <w:szCs w:val="32"/>
          <w:highlight w:val="none"/>
        </w:rPr>
        <w:t>采购内容及服务要求</w:t>
      </w:r>
      <w:bookmarkEnd w:id="98"/>
    </w:p>
    <w:p w14:paraId="09DB1F00">
      <w:pPr>
        <w:keepNext w:val="0"/>
        <w:keepLines w:val="0"/>
        <w:widowControl w:val="0"/>
        <w:suppressLineNumbers w:val="0"/>
        <w:spacing w:before="0" w:beforeAutospacing="0" w:after="0" w:afterAutospacing="0" w:line="440" w:lineRule="exact"/>
        <w:ind w:left="0" w:right="0" w:firstLine="437"/>
        <w:jc w:val="both"/>
        <w:outlineLvl w:val="1"/>
        <w:rPr>
          <w:rFonts w:hint="eastAsia" w:ascii="宋体" w:hAnsi="宋体" w:eastAsia="宋体" w:cs="宋体"/>
          <w:b/>
          <w:bCs w:val="0"/>
          <w:color w:val="auto"/>
          <w:sz w:val="24"/>
          <w:szCs w:val="18"/>
          <w:highlight w:val="none"/>
          <w:lang w:val="en-US"/>
        </w:rPr>
      </w:pPr>
      <w:r>
        <w:rPr>
          <w:rFonts w:hint="eastAsia" w:ascii="宋体" w:hAnsi="宋体" w:eastAsia="宋体" w:cs="@仿宋_GB2312"/>
          <w:b/>
          <w:bCs/>
          <w:color w:val="auto"/>
          <w:sz w:val="24"/>
          <w:highlight w:val="none"/>
        </w:rPr>
        <w:t>一、</w:t>
      </w:r>
      <w:bookmarkStart w:id="99" w:name="_Toc8753"/>
      <w:r>
        <w:rPr>
          <w:rFonts w:hint="eastAsia" w:ascii="宋体" w:hAnsi="宋体" w:eastAsia="宋体" w:cs="宋体"/>
          <w:b/>
          <w:bCs w:val="0"/>
          <w:color w:val="auto"/>
          <w:kern w:val="2"/>
          <w:sz w:val="24"/>
          <w:szCs w:val="18"/>
          <w:highlight w:val="none"/>
          <w:lang w:val="en-US" w:eastAsia="zh-CN" w:bidi="ar"/>
        </w:rPr>
        <w:t>项目概况</w:t>
      </w:r>
      <w:bookmarkEnd w:id="99"/>
    </w:p>
    <w:p w14:paraId="5B76762D">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1.赛事名称：2026年</w:t>
      </w:r>
      <w:r>
        <w:rPr>
          <w:rFonts w:hint="eastAsia" w:ascii="宋体" w:hAnsi="宋体" w:cs="宋体"/>
          <w:color w:val="auto"/>
          <w:kern w:val="2"/>
          <w:sz w:val="21"/>
          <w:szCs w:val="21"/>
          <w:highlight w:val="none"/>
          <w:lang w:val="en-US" w:eastAsia="zh-CN" w:bidi="ar"/>
        </w:rPr>
        <w:t>中国</w:t>
      </w:r>
      <w:r>
        <w:rPr>
          <w:rFonts w:hint="default" w:hAnsi="宋体" w:eastAsia="宋体" w:cs="宋体"/>
          <w:color w:val="auto"/>
          <w:szCs w:val="21"/>
          <w:highlight w:val="none"/>
          <w:lang w:val="en-US" w:eastAsia="zh-CN"/>
        </w:rPr>
        <w:t>国际</w:t>
      </w:r>
      <w:r>
        <w:rPr>
          <w:rFonts w:hint="eastAsia" w:ascii="宋体" w:hAnsi="宋体" w:cs="宋体"/>
          <w:color w:val="auto"/>
          <w:kern w:val="2"/>
          <w:sz w:val="21"/>
          <w:szCs w:val="21"/>
          <w:highlight w:val="none"/>
          <w:lang w:val="en-US" w:eastAsia="zh-CN" w:bidi="ar"/>
        </w:rPr>
        <w:t>皮划艇</w:t>
      </w:r>
      <w:r>
        <w:rPr>
          <w:rFonts w:hint="eastAsia" w:ascii="宋体" w:hAnsi="宋体" w:eastAsia="宋体" w:cs="宋体"/>
          <w:color w:val="auto"/>
          <w:kern w:val="2"/>
          <w:sz w:val="21"/>
          <w:szCs w:val="21"/>
          <w:highlight w:val="none"/>
          <w:lang w:val="en-US" w:eastAsia="zh-CN" w:bidi="ar"/>
        </w:rPr>
        <w:t>马拉松公开赛（安徽·滁州站）赛事服务项目。</w:t>
      </w:r>
    </w:p>
    <w:p w14:paraId="10F10C54">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2.赛事时间：2026年赛事时间：2026年1</w:t>
      </w:r>
      <w:r>
        <w:rPr>
          <w:rFonts w:hint="eastAsia" w:ascii="宋体" w:hAnsi="宋体" w:cs="宋体"/>
          <w:color w:val="auto"/>
          <w:kern w:val="2"/>
          <w:sz w:val="21"/>
          <w:szCs w:val="21"/>
          <w:highlight w:val="none"/>
          <w:lang w:val="en-US" w:eastAsia="zh-CN" w:bidi="ar"/>
        </w:rPr>
        <w:t>0</w:t>
      </w:r>
      <w:r>
        <w:rPr>
          <w:rFonts w:hint="eastAsia" w:ascii="宋体" w:hAnsi="宋体" w:eastAsia="宋体" w:cs="宋体"/>
          <w:color w:val="auto"/>
          <w:kern w:val="2"/>
          <w:sz w:val="21"/>
          <w:szCs w:val="21"/>
          <w:highlight w:val="none"/>
          <w:lang w:val="en-US" w:eastAsia="zh-CN" w:bidi="ar"/>
        </w:rPr>
        <w:t>月</w:t>
      </w:r>
      <w:r>
        <w:rPr>
          <w:rFonts w:hint="eastAsia" w:ascii="宋体" w:hAnsi="宋体" w:cs="宋体"/>
          <w:color w:val="auto"/>
          <w:kern w:val="2"/>
          <w:sz w:val="21"/>
          <w:szCs w:val="21"/>
          <w:highlight w:val="none"/>
          <w:lang w:val="en-US" w:eastAsia="zh-CN" w:bidi="ar"/>
        </w:rPr>
        <w:t>30</w:t>
      </w:r>
      <w:r>
        <w:rPr>
          <w:rFonts w:hint="eastAsia" w:ascii="宋体" w:hAnsi="宋体" w:eastAsia="宋体" w:cs="宋体"/>
          <w:color w:val="auto"/>
          <w:kern w:val="2"/>
          <w:sz w:val="21"/>
          <w:szCs w:val="21"/>
          <w:highlight w:val="none"/>
          <w:lang w:val="en-US" w:eastAsia="zh-CN" w:bidi="ar"/>
        </w:rPr>
        <w:t>日-2026年11月</w:t>
      </w:r>
      <w:r>
        <w:rPr>
          <w:rFonts w:hint="eastAsia" w:ascii="宋体" w:hAnsi="宋体" w:cs="宋体"/>
          <w:color w:val="auto"/>
          <w:kern w:val="2"/>
          <w:sz w:val="21"/>
          <w:szCs w:val="21"/>
          <w:highlight w:val="none"/>
          <w:lang w:val="en-US" w:eastAsia="zh-CN" w:bidi="ar"/>
        </w:rPr>
        <w:t>1</w:t>
      </w:r>
      <w:r>
        <w:rPr>
          <w:rFonts w:hint="eastAsia" w:ascii="宋体" w:hAnsi="宋体" w:eastAsia="宋体" w:cs="宋体"/>
          <w:color w:val="auto"/>
          <w:kern w:val="2"/>
          <w:sz w:val="21"/>
          <w:szCs w:val="21"/>
          <w:highlight w:val="none"/>
          <w:lang w:val="en-US" w:eastAsia="zh-CN" w:bidi="ar"/>
        </w:rPr>
        <w:t>日。赛事具体时间以甲方通知为准。</w:t>
      </w:r>
    </w:p>
    <w:p w14:paraId="5A143D8E">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3.赛事地点：滁州市。</w:t>
      </w:r>
    </w:p>
    <w:p w14:paraId="500DD7D2">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4.组织架构：</w:t>
      </w:r>
    </w:p>
    <w:p w14:paraId="127005D5">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主办单位：国家体育总局水上运动管理中心、中国皮划艇协会、中新苏滁高新区管委会</w:t>
      </w:r>
    </w:p>
    <w:p w14:paraId="4E99C922">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支持单位：安徽省体育局水上运动管理中心</w:t>
      </w:r>
    </w:p>
    <w:p w14:paraId="017D9B66">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承办单位：中新苏滁高新区党政办公室</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滁州市琅狮文旅发展有限公司</w:t>
      </w:r>
    </w:p>
    <w:p w14:paraId="6CDF4CFD">
      <w:pPr>
        <w:keepNext w:val="0"/>
        <w:keepLines w:val="0"/>
        <w:widowControl w:val="0"/>
        <w:suppressLineNumbers w:val="0"/>
        <w:spacing w:before="0" w:beforeAutospacing="0" w:after="0" w:afterAutospacing="0" w:line="440" w:lineRule="exact"/>
        <w:ind w:left="0" w:right="0" w:firstLine="420" w:firstLineChars="200"/>
        <w:jc w:val="both"/>
        <w:rPr>
          <w:rFonts w:hint="default"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执行单位：</w:t>
      </w:r>
      <w:r>
        <w:rPr>
          <w:rFonts w:hint="eastAsia" w:ascii="宋体" w:hAnsi="宋体" w:cs="宋体"/>
          <w:color w:val="auto"/>
          <w:kern w:val="2"/>
          <w:sz w:val="21"/>
          <w:szCs w:val="21"/>
          <w:highlight w:val="none"/>
          <w:lang w:val="en-US" w:eastAsia="zh-CN" w:bidi="ar"/>
        </w:rPr>
        <w:t>中标人</w:t>
      </w:r>
    </w:p>
    <w:p w14:paraId="5B797BF8">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5.赛事项目设置：</w:t>
      </w:r>
    </w:p>
    <w:p w14:paraId="2DA6CBFB">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cs="宋体"/>
          <w:color w:val="auto"/>
          <w:kern w:val="2"/>
          <w:sz w:val="21"/>
          <w:szCs w:val="21"/>
          <w:highlight w:val="none"/>
          <w:lang w:val="en-US" w:eastAsia="zh-CN" w:bidi="ar"/>
        </w:rPr>
        <w:t>一项不低于21公里的长距离，其他项目设置根据实际规划后再确定</w:t>
      </w:r>
      <w:r>
        <w:rPr>
          <w:rFonts w:hint="eastAsia" w:ascii="宋体" w:hAnsi="宋体" w:eastAsia="宋体" w:cs="宋体"/>
          <w:color w:val="auto"/>
          <w:kern w:val="2"/>
          <w:sz w:val="21"/>
          <w:szCs w:val="21"/>
          <w:highlight w:val="none"/>
          <w:lang w:val="en-US" w:eastAsia="zh-CN" w:bidi="ar"/>
        </w:rPr>
        <w:t>。</w:t>
      </w:r>
    </w:p>
    <w:p w14:paraId="20DBFBF8">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6.赛事规模：2026年参赛总人数不低于300人。</w:t>
      </w:r>
    </w:p>
    <w:p w14:paraId="7BF0E920">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7.比赛线路：清流河水域（具体由中标人规划，经招标人确认为准）。</w:t>
      </w:r>
    </w:p>
    <w:p w14:paraId="25B65527">
      <w:pPr>
        <w:keepNext w:val="0"/>
        <w:keepLines w:val="0"/>
        <w:widowControl w:val="0"/>
        <w:suppressLineNumbers w:val="0"/>
        <w:spacing w:before="0" w:beforeAutospacing="0" w:after="0" w:afterAutospacing="0" w:line="440" w:lineRule="exact"/>
        <w:ind w:left="0" w:right="0" w:firstLine="437"/>
        <w:jc w:val="both"/>
        <w:outlineLvl w:val="1"/>
        <w:rPr>
          <w:rFonts w:hint="eastAsia" w:ascii="宋体" w:hAnsi="宋体" w:eastAsia="宋体" w:cs="宋体"/>
          <w:b/>
          <w:bCs w:val="0"/>
          <w:color w:val="auto"/>
          <w:sz w:val="24"/>
          <w:szCs w:val="18"/>
          <w:highlight w:val="none"/>
          <w:lang w:val="en-US"/>
        </w:rPr>
      </w:pPr>
      <w:r>
        <w:rPr>
          <w:rFonts w:hint="eastAsia" w:ascii="宋体" w:hAnsi="宋体" w:eastAsia="宋体" w:cs="宋体"/>
          <w:b/>
          <w:bCs w:val="0"/>
          <w:color w:val="auto"/>
          <w:kern w:val="2"/>
          <w:sz w:val="24"/>
          <w:szCs w:val="18"/>
          <w:highlight w:val="none"/>
          <w:lang w:val="en-US" w:eastAsia="zh-CN" w:bidi="ar"/>
        </w:rPr>
        <w:t>二、项目要求</w:t>
      </w:r>
    </w:p>
    <w:p w14:paraId="34A1F026">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按照中国皮划艇协</w:t>
      </w:r>
      <w:r>
        <w:rPr>
          <w:rFonts w:hint="eastAsia" w:ascii="宋体" w:hAnsi="宋体" w:cs="宋体"/>
          <w:color w:val="auto"/>
          <w:kern w:val="2"/>
          <w:sz w:val="21"/>
          <w:szCs w:val="21"/>
          <w:highlight w:val="none"/>
          <w:lang w:val="en-US" w:eastAsia="zh-CN" w:bidi="ar"/>
        </w:rPr>
        <w:t>全国赛事</w:t>
      </w:r>
      <w:r>
        <w:rPr>
          <w:rFonts w:hint="eastAsia" w:ascii="宋体" w:hAnsi="宋体" w:eastAsia="宋体" w:cs="宋体"/>
          <w:color w:val="auto"/>
          <w:kern w:val="2"/>
          <w:sz w:val="21"/>
          <w:szCs w:val="21"/>
          <w:highlight w:val="none"/>
          <w:lang w:val="en-US" w:eastAsia="zh-CN" w:bidi="ar"/>
        </w:rPr>
        <w:t>标准运营，要求科学严谨、精致人文、系统规范地进行赛事组织确保满足赛事申报要求，努力实现组织工作的提升和创新，确保赛事举办热烈、顺利、安全、圆满。</w:t>
      </w:r>
    </w:p>
    <w:p w14:paraId="1D9B7AF0">
      <w:pPr>
        <w:keepNext w:val="0"/>
        <w:keepLines w:val="0"/>
        <w:widowControl w:val="0"/>
        <w:suppressLineNumbers w:val="0"/>
        <w:spacing w:before="0" w:beforeAutospacing="0" w:after="0" w:afterAutospacing="0" w:line="440" w:lineRule="exact"/>
        <w:ind w:left="0" w:right="0" w:firstLine="437"/>
        <w:jc w:val="both"/>
        <w:outlineLvl w:val="1"/>
        <w:rPr>
          <w:rFonts w:hint="eastAsia" w:ascii="宋体" w:hAnsi="宋体" w:eastAsia="宋体" w:cs="宋体"/>
          <w:b/>
          <w:bCs w:val="0"/>
          <w:color w:val="auto"/>
          <w:sz w:val="24"/>
          <w:szCs w:val="18"/>
          <w:highlight w:val="none"/>
          <w:lang w:val="en-US"/>
        </w:rPr>
      </w:pPr>
      <w:r>
        <w:rPr>
          <w:rFonts w:hint="eastAsia" w:ascii="宋体" w:hAnsi="宋体" w:eastAsia="宋体" w:cs="宋体"/>
          <w:b/>
          <w:bCs w:val="0"/>
          <w:color w:val="auto"/>
          <w:kern w:val="2"/>
          <w:sz w:val="24"/>
          <w:szCs w:val="18"/>
          <w:highlight w:val="none"/>
          <w:lang w:val="en-US" w:eastAsia="zh-CN" w:bidi="ar"/>
        </w:rPr>
        <w:t>三、项目具体服务内容</w:t>
      </w:r>
    </w:p>
    <w:p w14:paraId="342385B3">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中标人负责承担2026年滁州皮划艇的赛事策划、赛事注册认证（含费用）、品牌定位与推广、商务开发、竞赛组织和器材保障、媒体宣传推广、赛事直播、赛道和场地布置、赛事奖金、志愿者招募管理、后勤接待保障、各类资料印制、赛事保险、医疗救援、安全保卫、电力、通信保障等赛事核定执行内容的一切费用，包括赛事不可预见的其他工作及支出，具体要求：</w:t>
      </w:r>
    </w:p>
    <w:p w14:paraId="2440D5FD">
      <w:pPr>
        <w:keepNext w:val="0"/>
        <w:keepLines w:val="0"/>
        <w:widowControl w:val="0"/>
        <w:suppressLineNumbers w:val="0"/>
        <w:spacing w:before="0" w:beforeAutospacing="0" w:after="0" w:afterAutospacing="0" w:line="440" w:lineRule="exact"/>
        <w:ind w:left="0" w:right="0" w:firstLine="422"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b/>
          <w:bCs/>
          <w:color w:val="auto"/>
          <w:kern w:val="2"/>
          <w:sz w:val="21"/>
          <w:szCs w:val="21"/>
          <w:highlight w:val="none"/>
          <w:lang w:val="en-US" w:eastAsia="zh-CN" w:bidi="ar"/>
        </w:rPr>
        <w:t>1.赛事总体思路策划方案。</w:t>
      </w:r>
      <w:r>
        <w:rPr>
          <w:rFonts w:hint="eastAsia" w:ascii="宋体" w:hAnsi="宋体" w:eastAsia="宋体" w:cs="宋体"/>
          <w:color w:val="auto"/>
          <w:kern w:val="2"/>
          <w:sz w:val="21"/>
          <w:szCs w:val="21"/>
          <w:highlight w:val="none"/>
          <w:lang w:val="en-US" w:eastAsia="zh-CN" w:bidi="ar"/>
        </w:rPr>
        <w:t>完成中国皮划艇协会</w:t>
      </w:r>
      <w:r>
        <w:rPr>
          <w:rFonts w:hint="eastAsia" w:ascii="宋体" w:hAnsi="宋体" w:cs="宋体"/>
          <w:color w:val="auto"/>
          <w:kern w:val="2"/>
          <w:sz w:val="21"/>
          <w:szCs w:val="21"/>
          <w:highlight w:val="none"/>
          <w:lang w:val="en-US" w:eastAsia="zh-CN" w:bidi="ar"/>
        </w:rPr>
        <w:t>全国赛事</w:t>
      </w:r>
      <w:r>
        <w:rPr>
          <w:rFonts w:hint="eastAsia" w:ascii="宋体" w:hAnsi="宋体" w:eastAsia="宋体" w:cs="宋体"/>
          <w:color w:val="auto"/>
          <w:kern w:val="2"/>
          <w:sz w:val="21"/>
          <w:szCs w:val="21"/>
          <w:highlight w:val="none"/>
          <w:lang w:val="en-US" w:eastAsia="zh-CN" w:bidi="ar"/>
        </w:rPr>
        <w:t>认证。包括但不限于赛事主题口号、通过赛事举办所要达到的目标及其实施路径、赛事形象设计（包含主视觉</w:t>
      </w:r>
      <w:r>
        <w:rPr>
          <w:rFonts w:hint="eastAsia" w:ascii="宋体" w:hAnsi="宋体" w:cs="宋体"/>
          <w:color w:val="auto"/>
          <w:kern w:val="2"/>
          <w:sz w:val="21"/>
          <w:szCs w:val="21"/>
          <w:highlight w:val="none"/>
          <w:lang w:val="en-US" w:eastAsia="zh-CN" w:bidi="ar"/>
        </w:rPr>
        <w:t>周边</w:t>
      </w:r>
      <w:r>
        <w:rPr>
          <w:rFonts w:hint="eastAsia" w:ascii="宋体" w:hAnsi="宋体" w:eastAsia="宋体" w:cs="宋体"/>
          <w:color w:val="auto"/>
          <w:kern w:val="2"/>
          <w:sz w:val="21"/>
          <w:szCs w:val="21"/>
          <w:highlight w:val="none"/>
          <w:lang w:val="en-US" w:eastAsia="zh-CN" w:bidi="ar"/>
        </w:rPr>
        <w:t>等）、完赛纪念牌设计、本次赛事线路特征描述等，要求能充分展现赛事特点、滁州特色、促进文化旅游发展、易于传播。</w:t>
      </w:r>
    </w:p>
    <w:p w14:paraId="3B0034B2">
      <w:pPr>
        <w:keepNext w:val="0"/>
        <w:keepLines w:val="0"/>
        <w:widowControl w:val="0"/>
        <w:suppressLineNumbers w:val="0"/>
        <w:spacing w:before="0" w:beforeAutospacing="0" w:after="0" w:afterAutospacing="0" w:line="440" w:lineRule="exact"/>
        <w:ind w:left="0" w:right="0" w:firstLine="422"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b/>
          <w:bCs/>
          <w:color w:val="auto"/>
          <w:kern w:val="2"/>
          <w:sz w:val="21"/>
          <w:szCs w:val="21"/>
          <w:highlight w:val="none"/>
          <w:lang w:val="en-US" w:eastAsia="zh-CN" w:bidi="ar"/>
        </w:rPr>
        <w:t>2.竞赛和器材保障方案。</w:t>
      </w:r>
      <w:r>
        <w:rPr>
          <w:rFonts w:hint="eastAsia" w:ascii="宋体" w:hAnsi="宋体" w:eastAsia="宋体" w:cs="宋体"/>
          <w:color w:val="auto"/>
          <w:kern w:val="2"/>
          <w:sz w:val="21"/>
          <w:szCs w:val="21"/>
          <w:highlight w:val="none"/>
          <w:lang w:val="en-US" w:eastAsia="zh-CN" w:bidi="ar"/>
        </w:rPr>
        <w:t>整个赛事的竞赛工作由赛事技术代表、技术官员、裁判员负责。</w:t>
      </w:r>
      <w:r>
        <w:rPr>
          <w:rFonts w:hint="eastAsia" w:ascii="宋体" w:hAnsi="宋体" w:cs="宋体"/>
          <w:color w:val="auto"/>
          <w:kern w:val="2"/>
          <w:sz w:val="21"/>
          <w:szCs w:val="21"/>
          <w:highlight w:val="none"/>
          <w:lang w:val="en-US" w:eastAsia="zh-CN" w:bidi="ar"/>
        </w:rPr>
        <w:t>中标人</w:t>
      </w:r>
      <w:r>
        <w:rPr>
          <w:rFonts w:hint="eastAsia" w:ascii="宋体" w:hAnsi="宋体" w:eastAsia="宋体" w:cs="宋体"/>
          <w:color w:val="auto"/>
          <w:kern w:val="2"/>
          <w:sz w:val="21"/>
          <w:szCs w:val="21"/>
          <w:highlight w:val="none"/>
          <w:lang w:val="en-US" w:eastAsia="zh-CN" w:bidi="ar"/>
        </w:rPr>
        <w:t>负责按照竞赛需求提供各类保障，具体包括但不限于：</w:t>
      </w:r>
    </w:p>
    <w:p w14:paraId="663F5C22">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2.1组建竞赛团队，包括技术总监、技术官员、总裁判长、裁判长、裁判员、比赛监督、工作人员等，裁判员含国家级裁判不低于2人、一级裁判不低于10人；</w:t>
      </w:r>
    </w:p>
    <w:p w14:paraId="1150835C">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2.2邀请外籍选手不少于</w:t>
      </w:r>
      <w:r>
        <w:rPr>
          <w:rFonts w:hint="eastAsia" w:ascii="宋体" w:hAnsi="宋体" w:cs="宋体"/>
          <w:color w:val="auto"/>
          <w:kern w:val="2"/>
          <w:sz w:val="21"/>
          <w:szCs w:val="21"/>
          <w:highlight w:val="none"/>
          <w:lang w:val="en-US" w:eastAsia="zh-CN" w:bidi="ar"/>
        </w:rPr>
        <w:t>10</w:t>
      </w:r>
      <w:r>
        <w:rPr>
          <w:rFonts w:hint="eastAsia" w:ascii="宋体" w:hAnsi="宋体" w:eastAsia="宋体" w:cs="宋体"/>
          <w:color w:val="auto"/>
          <w:kern w:val="2"/>
          <w:sz w:val="21"/>
          <w:szCs w:val="21"/>
          <w:highlight w:val="none"/>
          <w:lang w:val="en-US" w:eastAsia="zh-CN" w:bidi="ar"/>
        </w:rPr>
        <w:t>人。</w:t>
      </w:r>
    </w:p>
    <w:p w14:paraId="56354A9D">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2.3制定赛事竞赛规程、线路说明、报名须知等赛事对外公布的通告、通知；</w:t>
      </w:r>
    </w:p>
    <w:p w14:paraId="2F0250E4">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2.4负责赛事</w:t>
      </w:r>
      <w:r>
        <w:rPr>
          <w:rFonts w:hint="eastAsia" w:ascii="宋体" w:hAnsi="宋体" w:cs="宋体"/>
          <w:color w:val="auto"/>
          <w:kern w:val="2"/>
          <w:sz w:val="21"/>
          <w:szCs w:val="21"/>
          <w:highlight w:val="none"/>
          <w:lang w:val="en-US" w:eastAsia="zh-CN" w:bidi="ar"/>
        </w:rPr>
        <w:t>提供及管理</w:t>
      </w:r>
      <w:r>
        <w:rPr>
          <w:rFonts w:hint="eastAsia" w:ascii="宋体" w:hAnsi="宋体" w:eastAsia="宋体" w:cs="宋体"/>
          <w:color w:val="auto"/>
          <w:kern w:val="2"/>
          <w:sz w:val="21"/>
          <w:szCs w:val="21"/>
          <w:highlight w:val="none"/>
          <w:lang w:val="en-US" w:eastAsia="zh-CN" w:bidi="ar"/>
        </w:rPr>
        <w:t>报名系统平台；</w:t>
      </w:r>
    </w:p>
    <w:p w14:paraId="0C034063">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2.5承担赛事技术代表、技术官员、裁判员比赛期间的差旅费、劳务费、在滁期间的食宿接待，差旅费和劳务费按同类赛事相关标准执行；</w:t>
      </w:r>
    </w:p>
    <w:p w14:paraId="3933E790">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2.6根据采购人需求承担赛道丈量专业人员往返滁州差旅费、在滁州期间的食宿费等。承担赛事技术代表、技术官员、裁判员比赛期间的差旅费、劳务费、在滁期间的食宿接待，差旅费和劳务费等全部费用。承担赛前裁判员培训、技术会议、察看线路等工作的会场租赁费等全部费用；</w:t>
      </w:r>
    </w:p>
    <w:p w14:paraId="2A9F3A40">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2.7提供参赛选手号码布300张、完赛纪念牌300个、存放衣物袋300个、参赛纪念衫300件、一次性雨衣1000件、完赛包300个等其他必备的选手参赛和完赛物资；</w:t>
      </w:r>
    </w:p>
    <w:p w14:paraId="2D7CFB73">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2.8负责提供符合比赛要求的感应计时系统和芯片。提供满足比赛要求的裁判员、后勤保障人员、医疗救护人员的无线通讯系统和设备。提供裁判所需的电脑、打印机和相应耗材。提供比赛所需的录像设备；</w:t>
      </w:r>
    </w:p>
    <w:p w14:paraId="1F2E4413">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2.9为所有参赛选手、赛事技术代表、技术官员、裁判员、工作人员投保人身意外险（含突发性死亡保险赔付）；为赛事购买赛事公众责任险（公众责任险最低赔付金额不低于人民币100万元）；</w:t>
      </w:r>
    </w:p>
    <w:p w14:paraId="7B8D07EF">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2.10设计制作提供各类证件、印刷资料，包括但不限于车辆通行证、安保人员证、媒体记者证、工作人员证、秩序册、参赛指南等；</w:t>
      </w:r>
      <w:r>
        <w:rPr>
          <w:rFonts w:hint="eastAsia" w:ascii="宋体" w:hAnsi="宋体" w:cs="宋体"/>
          <w:color w:val="auto"/>
          <w:kern w:val="2"/>
          <w:sz w:val="21"/>
          <w:szCs w:val="21"/>
          <w:highlight w:val="none"/>
          <w:lang w:val="en-US" w:eastAsia="zh-CN" w:bidi="ar"/>
        </w:rPr>
        <w:t>中标人</w:t>
      </w:r>
      <w:r>
        <w:rPr>
          <w:rFonts w:hint="eastAsia" w:ascii="宋体" w:hAnsi="宋体" w:eastAsia="宋体" w:cs="宋体"/>
          <w:color w:val="auto"/>
          <w:kern w:val="2"/>
          <w:sz w:val="21"/>
          <w:szCs w:val="21"/>
          <w:highlight w:val="none"/>
          <w:lang w:val="en-US" w:eastAsia="zh-CN" w:bidi="ar"/>
        </w:rPr>
        <w:t>需制订满足上述需求（不低于上述需求）的竞赛和器材保障方案，并要求方案中要根据比赛时间节点明确倒计时实施进度计划，以及相应的工作人员配备情况。</w:t>
      </w:r>
    </w:p>
    <w:p w14:paraId="5DD8183F">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2.11负责赛事安全评估报告、赛事社会稳定风险评估和赛后评估报告。</w:t>
      </w:r>
    </w:p>
    <w:p w14:paraId="2F3FA64A">
      <w:pPr>
        <w:keepNext w:val="0"/>
        <w:keepLines w:val="0"/>
        <w:widowControl w:val="0"/>
        <w:suppressLineNumbers w:val="0"/>
        <w:spacing w:before="0" w:beforeAutospacing="0" w:after="0" w:afterAutospacing="0" w:line="440" w:lineRule="exact"/>
        <w:ind w:left="0" w:right="0" w:firstLine="422"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b/>
          <w:bCs/>
          <w:color w:val="auto"/>
          <w:kern w:val="2"/>
          <w:sz w:val="21"/>
          <w:szCs w:val="21"/>
          <w:highlight w:val="none"/>
          <w:lang w:val="en-US" w:eastAsia="zh-CN" w:bidi="ar"/>
        </w:rPr>
        <w:t>3.医疗救援工作方案</w:t>
      </w:r>
      <w:r>
        <w:rPr>
          <w:rFonts w:hint="eastAsia" w:ascii="宋体" w:hAnsi="宋体" w:eastAsia="宋体" w:cs="宋体"/>
          <w:color w:val="auto"/>
          <w:kern w:val="2"/>
          <w:sz w:val="21"/>
          <w:szCs w:val="21"/>
          <w:highlight w:val="none"/>
          <w:lang w:val="en-US" w:eastAsia="zh-CN" w:bidi="ar"/>
        </w:rPr>
        <w:t>。医疗救援需求，包括但不限于：</w:t>
      </w:r>
    </w:p>
    <w:p w14:paraId="022A2142">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3.1制定赛事医疗救援工作方案，详细列出比赛中医疗点的位置和其提供的医疗服务（急救、健康护理、救护车服务、电话联络等）；</w:t>
      </w:r>
    </w:p>
    <w:p w14:paraId="6AF1E8BC">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3.2配备具有专业人员的医疗救援队，配备专业医疗救护设备进行医疗救护；配备医疗救援服务志愿者，具体要求为接受专业培训的医学专业人员。</w:t>
      </w:r>
    </w:p>
    <w:p w14:paraId="1A5DD462">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3.3根据赛事要求规划设立医疗救护点(每2.5公里1个)，配备医疗急救点的急救包（含药品）；</w:t>
      </w:r>
    </w:p>
    <w:p w14:paraId="4093D898">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3.4根据赛事要求设立流动救护摩托艇（</w:t>
      </w:r>
      <w:r>
        <w:rPr>
          <w:rFonts w:hint="eastAsia" w:ascii="宋体" w:hAnsi="宋体" w:cs="宋体"/>
          <w:color w:val="auto"/>
          <w:kern w:val="2"/>
          <w:sz w:val="21"/>
          <w:szCs w:val="21"/>
          <w:highlight w:val="none"/>
          <w:lang w:val="en-US" w:eastAsia="zh-CN" w:bidi="ar"/>
        </w:rPr>
        <w:t>不低于</w:t>
      </w:r>
      <w:r>
        <w:rPr>
          <w:rFonts w:hint="eastAsia" w:ascii="宋体" w:hAnsi="宋体" w:eastAsia="宋体" w:cs="宋体"/>
          <w:color w:val="auto"/>
          <w:kern w:val="2"/>
          <w:sz w:val="21"/>
          <w:szCs w:val="21"/>
          <w:highlight w:val="none"/>
          <w:lang w:val="en-US" w:eastAsia="zh-CN" w:bidi="ar"/>
        </w:rPr>
        <w:t>每7公里一个），并配备专业救护人员及急救包（含药品）、体外除颤设备（AED）；</w:t>
      </w:r>
    </w:p>
    <w:p w14:paraId="2D621B35">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3.</w:t>
      </w:r>
      <w:r>
        <w:rPr>
          <w:rFonts w:hint="eastAsia" w:ascii="宋体" w:hAnsi="宋体" w:cs="宋体"/>
          <w:color w:val="auto"/>
          <w:kern w:val="2"/>
          <w:sz w:val="21"/>
          <w:szCs w:val="21"/>
          <w:highlight w:val="none"/>
          <w:lang w:val="en-US" w:eastAsia="zh-CN" w:bidi="ar"/>
        </w:rPr>
        <w:t>5</w:t>
      </w:r>
      <w:r>
        <w:rPr>
          <w:rFonts w:hint="eastAsia" w:ascii="宋体" w:hAnsi="宋体" w:eastAsia="宋体" w:cs="宋体"/>
          <w:color w:val="auto"/>
          <w:kern w:val="2"/>
          <w:sz w:val="21"/>
          <w:szCs w:val="21"/>
          <w:highlight w:val="none"/>
          <w:lang w:val="en-US" w:eastAsia="zh-CN" w:bidi="ar"/>
        </w:rPr>
        <w:t>负责承担医疗救援队在赛事期间的差旅费、劳务费和食宿接待；承担医疗救援队所需救援包、药品、体外除颤设备（AED）等设备设施购置或租赁费用，以及医务人员、医疗志愿者培训等全部费用；</w:t>
      </w:r>
    </w:p>
    <w:p w14:paraId="16A04FA4">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3.</w:t>
      </w:r>
      <w:r>
        <w:rPr>
          <w:rFonts w:hint="eastAsia" w:ascii="宋体" w:hAnsi="宋体" w:cs="宋体"/>
          <w:color w:val="auto"/>
          <w:kern w:val="2"/>
          <w:sz w:val="21"/>
          <w:szCs w:val="21"/>
          <w:highlight w:val="none"/>
          <w:lang w:val="en-US" w:eastAsia="zh-CN" w:bidi="ar"/>
        </w:rPr>
        <w:t>6</w:t>
      </w:r>
      <w:r>
        <w:rPr>
          <w:rFonts w:hint="eastAsia" w:ascii="宋体" w:hAnsi="宋体" w:eastAsia="宋体" w:cs="宋体"/>
          <w:color w:val="auto"/>
          <w:kern w:val="2"/>
          <w:sz w:val="21"/>
          <w:szCs w:val="21"/>
          <w:highlight w:val="none"/>
          <w:lang w:val="en-US" w:eastAsia="zh-CN" w:bidi="ar"/>
        </w:rPr>
        <w:t>负责医疗保障单位的后勤保障费用，其中包括救护车租赁费、医疗人员摆渡、食宿费等费用。</w:t>
      </w:r>
    </w:p>
    <w:p w14:paraId="40A0BC3E">
      <w:pPr>
        <w:keepNext w:val="0"/>
        <w:keepLines w:val="0"/>
        <w:widowControl w:val="0"/>
        <w:suppressLineNumbers w:val="0"/>
        <w:spacing w:before="0" w:beforeAutospacing="0" w:after="0" w:afterAutospacing="0" w:line="440" w:lineRule="exact"/>
        <w:ind w:left="0" w:right="0" w:firstLine="422" w:firstLineChars="200"/>
        <w:jc w:val="both"/>
        <w:rPr>
          <w:rFonts w:hint="eastAsia" w:ascii="宋体" w:hAnsi="宋体" w:eastAsia="宋体" w:cs="宋体"/>
          <w:b/>
          <w:bCs/>
          <w:color w:val="auto"/>
          <w:sz w:val="21"/>
          <w:szCs w:val="21"/>
          <w:highlight w:val="none"/>
          <w:lang w:val="en-US"/>
        </w:rPr>
      </w:pPr>
      <w:r>
        <w:rPr>
          <w:rFonts w:hint="eastAsia" w:ascii="宋体" w:hAnsi="宋体" w:eastAsia="宋体" w:cs="宋体"/>
          <w:b/>
          <w:bCs/>
          <w:color w:val="auto"/>
          <w:kern w:val="2"/>
          <w:sz w:val="21"/>
          <w:szCs w:val="21"/>
          <w:highlight w:val="none"/>
          <w:lang w:val="en-US" w:eastAsia="zh-CN" w:bidi="ar"/>
        </w:rPr>
        <w:t>4.赛事安保工作方案。</w:t>
      </w:r>
    </w:p>
    <w:p w14:paraId="30ED36BD">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制定赛事安保工作方案、应急处置工作方案和交通管制工作方案，并提交至公安部门审定。负责竞赛路线的隔离，负责保安的聘用以及餐饮，安检门以及铁马、锥形筒、隔离带、隔离指示牌等相关隔离设施、设备的购置或租赁费用；负责安保保障单位的后勤保障，其中包括公安民警的餐饮费等全部费用。</w:t>
      </w:r>
    </w:p>
    <w:p w14:paraId="48079A8D">
      <w:pPr>
        <w:keepNext w:val="0"/>
        <w:keepLines w:val="0"/>
        <w:widowControl w:val="0"/>
        <w:suppressLineNumbers w:val="0"/>
        <w:spacing w:before="0" w:beforeAutospacing="0" w:after="0" w:afterAutospacing="0" w:line="440" w:lineRule="exact"/>
        <w:ind w:left="0" w:right="0" w:firstLine="422"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b/>
          <w:bCs/>
          <w:color w:val="auto"/>
          <w:kern w:val="2"/>
          <w:sz w:val="21"/>
          <w:szCs w:val="21"/>
          <w:highlight w:val="none"/>
          <w:lang w:val="en-US" w:eastAsia="zh-CN" w:bidi="ar"/>
        </w:rPr>
        <w:t>5.媒体宣传推广方案。</w:t>
      </w:r>
      <w:r>
        <w:rPr>
          <w:rFonts w:hint="eastAsia" w:ascii="宋体" w:hAnsi="宋体" w:eastAsia="宋体" w:cs="宋体"/>
          <w:color w:val="auto"/>
          <w:kern w:val="2"/>
          <w:sz w:val="21"/>
          <w:szCs w:val="21"/>
          <w:highlight w:val="none"/>
          <w:lang w:val="en-US" w:eastAsia="zh-CN" w:bidi="ar"/>
        </w:rPr>
        <w:t>方案要求明确宣传推广总体思路，按照报名前、赛前、赛中、赛后在本地媒体、省级媒体、全国性媒体、社会类实体广告的具体宣传推广计划（各级平面、电视、广播、网络媒体的名称要确定），新闻发布会的次数和具体计划安排，要求拍摄宣传视频和比赛视频，以及负责媒体宣传推广的人员配备情况。</w:t>
      </w:r>
    </w:p>
    <w:p w14:paraId="1F65267E">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5.1中标人负责赛事直播工作，并承担相关工作及全部费用，包括但不限于</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赛前考察、信号测试、直播演练、现场拍摄、器材设备、转播车辆、直播制作、机位架设、信号接入及传输以及相关的交通食宿接待工作及人员劳务费用；</w:t>
      </w:r>
    </w:p>
    <w:p w14:paraId="2F3C9D69">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5.2负责赛事直播的支持协助工作，包括但不限于</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市无线电管委会协调、电力保障、光纤保障、微波通信、公安安保、宣传部门的配合等并承担相关费用；</w:t>
      </w:r>
    </w:p>
    <w:p w14:paraId="58C2C5A1">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 xml:space="preserve">5.3中标人负责通过网络在线直播。 </w:t>
      </w:r>
    </w:p>
    <w:p w14:paraId="3ACCAB17">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5.</w:t>
      </w:r>
      <w:r>
        <w:rPr>
          <w:rFonts w:hint="eastAsia" w:ascii="宋体" w:hAnsi="宋体" w:cs="宋体"/>
          <w:color w:val="auto"/>
          <w:kern w:val="2"/>
          <w:sz w:val="21"/>
          <w:szCs w:val="21"/>
          <w:highlight w:val="none"/>
          <w:lang w:val="en-US" w:eastAsia="zh-CN" w:bidi="ar"/>
        </w:rPr>
        <w:t>4</w:t>
      </w:r>
      <w:r>
        <w:rPr>
          <w:rFonts w:hint="eastAsia" w:ascii="宋体" w:hAnsi="宋体" w:eastAsia="宋体" w:cs="宋体"/>
          <w:color w:val="auto"/>
          <w:kern w:val="2"/>
          <w:sz w:val="21"/>
          <w:szCs w:val="21"/>
          <w:highlight w:val="none"/>
          <w:lang w:val="en-US" w:eastAsia="zh-CN" w:bidi="ar"/>
        </w:rPr>
        <w:t>负责相关媒体来滁报道的食宿、交通、劳务等费用</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并完成</w:t>
      </w:r>
      <w:r>
        <w:rPr>
          <w:rFonts w:hint="eastAsia" w:ascii="宋体" w:hAnsi="宋体" w:cs="宋体"/>
          <w:color w:val="auto"/>
          <w:kern w:val="2"/>
          <w:sz w:val="21"/>
          <w:szCs w:val="21"/>
          <w:highlight w:val="none"/>
          <w:lang w:val="en-US" w:eastAsia="zh-CN" w:bidi="ar"/>
        </w:rPr>
        <w:t>赛事前、中、后期</w:t>
      </w:r>
      <w:r>
        <w:rPr>
          <w:rFonts w:hint="eastAsia" w:ascii="宋体" w:hAnsi="宋体" w:eastAsia="宋体" w:cs="宋体"/>
          <w:color w:val="auto"/>
          <w:kern w:val="2"/>
          <w:sz w:val="21"/>
          <w:szCs w:val="21"/>
          <w:highlight w:val="none"/>
          <w:lang w:val="en-US" w:eastAsia="zh-CN" w:bidi="ar"/>
        </w:rPr>
        <w:t>总体宣传报道总数不低于</w:t>
      </w:r>
      <w:r>
        <w:rPr>
          <w:rFonts w:hint="eastAsia" w:ascii="宋体" w:hAnsi="宋体" w:cs="宋体"/>
          <w:color w:val="auto"/>
          <w:kern w:val="2"/>
          <w:sz w:val="21"/>
          <w:szCs w:val="21"/>
          <w:highlight w:val="none"/>
          <w:lang w:val="en-US" w:eastAsia="zh-CN" w:bidi="ar"/>
        </w:rPr>
        <w:t>50</w:t>
      </w:r>
      <w:r>
        <w:rPr>
          <w:rFonts w:hint="eastAsia" w:ascii="宋体" w:hAnsi="宋体" w:eastAsia="宋体" w:cs="宋体"/>
          <w:color w:val="auto"/>
          <w:kern w:val="2"/>
          <w:sz w:val="21"/>
          <w:szCs w:val="21"/>
          <w:highlight w:val="none"/>
          <w:lang w:val="en-US" w:eastAsia="zh-CN" w:bidi="ar"/>
        </w:rPr>
        <w:t>条；</w:t>
      </w:r>
    </w:p>
    <w:p w14:paraId="3D698763">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5.6负责邀请5位</w:t>
      </w:r>
      <w:r>
        <w:rPr>
          <w:rFonts w:hint="eastAsia" w:ascii="宋体" w:hAnsi="宋体" w:cs="宋体"/>
          <w:color w:val="auto"/>
          <w:kern w:val="2"/>
          <w:sz w:val="21"/>
          <w:szCs w:val="21"/>
          <w:highlight w:val="none"/>
          <w:lang w:val="en-US" w:eastAsia="zh-CN" w:bidi="ar"/>
        </w:rPr>
        <w:t>以上</w:t>
      </w:r>
      <w:r>
        <w:rPr>
          <w:rFonts w:hint="eastAsia" w:ascii="宋体" w:hAnsi="宋体" w:eastAsia="宋体" w:cs="宋体"/>
          <w:color w:val="auto"/>
          <w:kern w:val="2"/>
          <w:sz w:val="21"/>
          <w:szCs w:val="21"/>
          <w:highlight w:val="none"/>
          <w:lang w:val="en-US" w:eastAsia="zh-CN" w:bidi="ar"/>
        </w:rPr>
        <w:t>网红大V对赛事进行网络自媒体直播，负责其交通、食宿、劳务等费用；</w:t>
      </w:r>
    </w:p>
    <w:p w14:paraId="7C529AFC">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5.7负责制作赛事探路视频、宣传片、奖牌动画等重要视频拍摄、剪辑和发布工作；</w:t>
      </w:r>
    </w:p>
    <w:p w14:paraId="1E3BF8F1">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5.8负责赛事选手照片拍摄和摄影摩托车的安排组织工作，保证皮划艇参赛选手在赛后能够获取6张以上的个人参赛照片；</w:t>
      </w:r>
    </w:p>
    <w:p w14:paraId="6B91CD40">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5.9负责城区内重点节点氛围营造工作，并在城管执法局的报备允许下，承担灯杆旗500杆、建筑围挡不低于3000平米、广告桁架（5m*3m）5块、市内大屏高炮</w:t>
      </w:r>
      <w:r>
        <w:rPr>
          <w:rFonts w:hint="eastAsia" w:ascii="宋体" w:hAnsi="宋体" w:cs="宋体"/>
          <w:color w:val="auto"/>
          <w:kern w:val="2"/>
          <w:sz w:val="21"/>
          <w:szCs w:val="21"/>
          <w:highlight w:val="none"/>
          <w:lang w:val="en-US" w:eastAsia="zh-CN" w:bidi="ar"/>
        </w:rPr>
        <w:t>2</w:t>
      </w:r>
      <w:r>
        <w:rPr>
          <w:rFonts w:hint="eastAsia" w:ascii="宋体" w:hAnsi="宋体" w:eastAsia="宋体" w:cs="宋体"/>
          <w:color w:val="auto"/>
          <w:kern w:val="2"/>
          <w:sz w:val="21"/>
          <w:szCs w:val="21"/>
          <w:highlight w:val="none"/>
          <w:lang w:val="en-US" w:eastAsia="zh-CN" w:bidi="ar"/>
        </w:rPr>
        <w:t>处（广告位由其主管单位协调）、公交站台20处的宣传布置。</w:t>
      </w:r>
    </w:p>
    <w:p w14:paraId="02331E5F">
      <w:pPr>
        <w:keepNext w:val="0"/>
        <w:keepLines w:val="0"/>
        <w:widowControl w:val="0"/>
        <w:suppressLineNumbers w:val="0"/>
        <w:spacing w:before="0" w:beforeAutospacing="0" w:after="0" w:afterAutospacing="0" w:line="440" w:lineRule="exact"/>
        <w:ind w:left="0" w:right="0" w:firstLine="422" w:firstLineChars="200"/>
        <w:jc w:val="both"/>
        <w:rPr>
          <w:rFonts w:hint="eastAsia" w:ascii="宋体" w:hAnsi="宋体" w:eastAsia="宋体" w:cs="宋体"/>
          <w:color w:val="auto"/>
          <w:sz w:val="21"/>
          <w:szCs w:val="21"/>
          <w:highlight w:val="none"/>
          <w:lang w:val="en-US"/>
        </w:rPr>
      </w:pPr>
      <w:r>
        <w:rPr>
          <w:rFonts w:hint="eastAsia" w:ascii="宋体" w:hAnsi="宋体" w:cs="宋体"/>
          <w:b/>
          <w:bCs/>
          <w:color w:val="auto"/>
          <w:kern w:val="2"/>
          <w:sz w:val="21"/>
          <w:szCs w:val="21"/>
          <w:highlight w:val="none"/>
          <w:lang w:val="en-US" w:eastAsia="zh-CN" w:bidi="ar"/>
        </w:rPr>
        <w:t>6</w:t>
      </w:r>
      <w:r>
        <w:rPr>
          <w:rFonts w:hint="eastAsia" w:ascii="宋体" w:hAnsi="宋体" w:eastAsia="宋体" w:cs="宋体"/>
          <w:b/>
          <w:bCs/>
          <w:color w:val="auto"/>
          <w:kern w:val="2"/>
          <w:sz w:val="21"/>
          <w:szCs w:val="21"/>
          <w:highlight w:val="none"/>
          <w:lang w:val="en-US" w:eastAsia="zh-CN" w:bidi="ar"/>
        </w:rPr>
        <w:t>.志愿者招募管理方案。</w:t>
      </w:r>
      <w:r>
        <w:rPr>
          <w:rFonts w:hint="eastAsia" w:ascii="宋体" w:hAnsi="宋体" w:eastAsia="宋体" w:cs="宋体"/>
          <w:color w:val="auto"/>
          <w:kern w:val="2"/>
          <w:sz w:val="21"/>
          <w:szCs w:val="21"/>
          <w:highlight w:val="none"/>
          <w:lang w:val="en-US" w:eastAsia="zh-CN" w:bidi="ar"/>
        </w:rPr>
        <w:t>赛事需要志愿者总人数约</w:t>
      </w:r>
      <w:r>
        <w:rPr>
          <w:rFonts w:hint="eastAsia" w:ascii="宋体" w:hAnsi="宋体" w:cs="宋体"/>
          <w:color w:val="auto"/>
          <w:kern w:val="2"/>
          <w:sz w:val="21"/>
          <w:szCs w:val="21"/>
          <w:highlight w:val="none"/>
          <w:lang w:val="en-US" w:eastAsia="zh-CN" w:bidi="ar"/>
        </w:rPr>
        <w:t>30</w:t>
      </w:r>
      <w:r>
        <w:rPr>
          <w:rFonts w:hint="eastAsia" w:ascii="宋体" w:hAnsi="宋体" w:eastAsia="宋体" w:cs="宋体"/>
          <w:color w:val="auto"/>
          <w:kern w:val="2"/>
          <w:sz w:val="21"/>
          <w:szCs w:val="21"/>
          <w:highlight w:val="none"/>
          <w:lang w:val="en-US" w:eastAsia="zh-CN" w:bidi="ar"/>
        </w:rPr>
        <w:t>名。</w:t>
      </w:r>
      <w:r>
        <w:rPr>
          <w:rFonts w:hint="eastAsia" w:ascii="宋体" w:hAnsi="宋体" w:cs="宋体"/>
          <w:color w:val="auto"/>
          <w:kern w:val="2"/>
          <w:sz w:val="21"/>
          <w:szCs w:val="21"/>
          <w:highlight w:val="none"/>
          <w:lang w:val="en-US" w:eastAsia="zh-CN" w:bidi="ar"/>
        </w:rPr>
        <w:t>中标人</w:t>
      </w:r>
      <w:r>
        <w:rPr>
          <w:rFonts w:hint="eastAsia" w:ascii="宋体" w:hAnsi="宋体" w:eastAsia="宋体" w:cs="宋体"/>
          <w:color w:val="auto"/>
          <w:kern w:val="2"/>
          <w:sz w:val="21"/>
          <w:szCs w:val="21"/>
          <w:highlight w:val="none"/>
          <w:lang w:val="en-US" w:eastAsia="zh-CN" w:bidi="ar"/>
        </w:rPr>
        <w:t>负责志愿者的证书、用餐、车辆接送安排，根据裁判组的要求做好志愿者的培训、岗位分配和比赛期间的集结投放，为每名志愿者提供必要的装备和人身意外险。</w:t>
      </w:r>
      <w:r>
        <w:rPr>
          <w:rFonts w:hint="eastAsia" w:ascii="宋体" w:hAnsi="宋体" w:cs="宋体"/>
          <w:color w:val="auto"/>
          <w:kern w:val="2"/>
          <w:sz w:val="21"/>
          <w:szCs w:val="21"/>
          <w:highlight w:val="none"/>
          <w:lang w:val="en-US" w:eastAsia="zh-CN" w:bidi="ar"/>
        </w:rPr>
        <w:t>中标人</w:t>
      </w:r>
      <w:r>
        <w:rPr>
          <w:rFonts w:hint="eastAsia" w:ascii="宋体" w:hAnsi="宋体" w:eastAsia="宋体" w:cs="宋体"/>
          <w:color w:val="auto"/>
          <w:kern w:val="2"/>
          <w:sz w:val="21"/>
          <w:szCs w:val="21"/>
          <w:highlight w:val="none"/>
          <w:lang w:val="en-US" w:eastAsia="zh-CN" w:bidi="ar"/>
        </w:rPr>
        <w:t>需按照上述需求（不低于上述需求）制订志愿者招募管理方案，并要求方案中要根据比赛时间节点明确倒计时实施进度计划，以及相应的工作人员配备情况。负责承担志愿者的保险购买、证书制作、餐饮保障、车辆摆渡等全部费用。</w:t>
      </w:r>
    </w:p>
    <w:p w14:paraId="535ED638">
      <w:pPr>
        <w:keepNext w:val="0"/>
        <w:keepLines w:val="0"/>
        <w:widowControl w:val="0"/>
        <w:suppressLineNumbers w:val="0"/>
        <w:spacing w:before="0" w:beforeAutospacing="0" w:after="0" w:afterAutospacing="0" w:line="440" w:lineRule="exact"/>
        <w:ind w:left="0" w:right="0" w:firstLine="422" w:firstLineChars="200"/>
        <w:jc w:val="both"/>
        <w:rPr>
          <w:rFonts w:hint="eastAsia" w:ascii="宋体" w:hAnsi="宋体" w:eastAsia="宋体" w:cs="宋体"/>
          <w:color w:val="auto"/>
          <w:sz w:val="21"/>
          <w:szCs w:val="21"/>
          <w:highlight w:val="none"/>
          <w:lang w:val="en-US"/>
        </w:rPr>
      </w:pPr>
      <w:r>
        <w:rPr>
          <w:rFonts w:hint="eastAsia" w:ascii="宋体" w:hAnsi="宋体" w:cs="宋体"/>
          <w:b/>
          <w:bCs/>
          <w:color w:val="auto"/>
          <w:kern w:val="2"/>
          <w:sz w:val="21"/>
          <w:szCs w:val="21"/>
          <w:highlight w:val="none"/>
          <w:lang w:val="en-US" w:eastAsia="zh-CN" w:bidi="ar"/>
        </w:rPr>
        <w:t>7</w:t>
      </w:r>
      <w:r>
        <w:rPr>
          <w:rFonts w:hint="eastAsia" w:ascii="宋体" w:hAnsi="宋体" w:eastAsia="宋体" w:cs="宋体"/>
          <w:b/>
          <w:bCs/>
          <w:color w:val="auto"/>
          <w:kern w:val="2"/>
          <w:sz w:val="21"/>
          <w:szCs w:val="21"/>
          <w:highlight w:val="none"/>
          <w:lang w:val="en-US" w:eastAsia="zh-CN" w:bidi="ar"/>
        </w:rPr>
        <w:t>.后勤保障方案。</w:t>
      </w:r>
      <w:r>
        <w:rPr>
          <w:rFonts w:hint="eastAsia" w:ascii="宋体" w:hAnsi="宋体" w:eastAsia="宋体" w:cs="宋体"/>
          <w:color w:val="auto"/>
          <w:kern w:val="2"/>
          <w:sz w:val="21"/>
          <w:szCs w:val="21"/>
          <w:highlight w:val="none"/>
          <w:lang w:val="en-US" w:eastAsia="zh-CN" w:bidi="ar"/>
        </w:rPr>
        <w:t>后勤保障需求，包括但不限于：</w:t>
      </w:r>
    </w:p>
    <w:p w14:paraId="3F5BAC2D">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cs="宋体"/>
          <w:color w:val="auto"/>
          <w:kern w:val="2"/>
          <w:sz w:val="21"/>
          <w:szCs w:val="21"/>
          <w:highlight w:val="none"/>
          <w:lang w:val="en-US" w:eastAsia="zh-CN" w:bidi="ar"/>
        </w:rPr>
        <w:t>7</w:t>
      </w:r>
      <w:r>
        <w:rPr>
          <w:rFonts w:hint="eastAsia" w:ascii="宋体" w:hAnsi="宋体" w:eastAsia="宋体" w:cs="宋体"/>
          <w:color w:val="auto"/>
          <w:kern w:val="2"/>
          <w:sz w:val="21"/>
          <w:szCs w:val="21"/>
          <w:highlight w:val="none"/>
          <w:lang w:val="en-US" w:eastAsia="zh-CN" w:bidi="ar"/>
        </w:rPr>
        <w:t>.1承担嘉宾接待工作及其费用；</w:t>
      </w:r>
    </w:p>
    <w:p w14:paraId="19D02612">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cs="宋体"/>
          <w:color w:val="auto"/>
          <w:kern w:val="2"/>
          <w:sz w:val="21"/>
          <w:szCs w:val="21"/>
          <w:highlight w:val="none"/>
          <w:lang w:val="en-US" w:eastAsia="zh-CN" w:bidi="ar"/>
        </w:rPr>
        <w:t>7</w:t>
      </w:r>
      <w:r>
        <w:rPr>
          <w:rFonts w:hint="eastAsia" w:ascii="宋体" w:hAnsi="宋体" w:eastAsia="宋体" w:cs="宋体"/>
          <w:color w:val="auto"/>
          <w:kern w:val="2"/>
          <w:sz w:val="21"/>
          <w:szCs w:val="21"/>
          <w:highlight w:val="none"/>
          <w:lang w:val="en-US" w:eastAsia="zh-CN" w:bidi="ar"/>
        </w:rPr>
        <w:t>.2提供饮用水、功能饮料、一次性杯子、运动员补给食品（面包、香蕉等）等必备后勤保障物资，提供比赛前一天和当天的志愿者、裁判员、工作人员午餐；</w:t>
      </w:r>
    </w:p>
    <w:p w14:paraId="3EEBAC20">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cs="宋体"/>
          <w:color w:val="auto"/>
          <w:kern w:val="2"/>
          <w:sz w:val="21"/>
          <w:szCs w:val="21"/>
          <w:highlight w:val="none"/>
          <w:lang w:val="en-US" w:eastAsia="zh-CN" w:bidi="ar"/>
        </w:rPr>
        <w:t>7</w:t>
      </w:r>
      <w:r>
        <w:rPr>
          <w:rFonts w:hint="eastAsia" w:ascii="宋体" w:hAnsi="宋体" w:eastAsia="宋体" w:cs="宋体"/>
          <w:color w:val="auto"/>
          <w:kern w:val="2"/>
          <w:sz w:val="21"/>
          <w:szCs w:val="21"/>
          <w:highlight w:val="none"/>
          <w:lang w:val="en-US" w:eastAsia="zh-CN" w:bidi="ar"/>
        </w:rPr>
        <w:t>.3提供车辆负责接送运动员、裁判员；</w:t>
      </w:r>
    </w:p>
    <w:p w14:paraId="02463581">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cs="宋体"/>
          <w:color w:val="auto"/>
          <w:kern w:val="2"/>
          <w:sz w:val="21"/>
          <w:szCs w:val="21"/>
          <w:highlight w:val="none"/>
          <w:lang w:val="en-US" w:eastAsia="zh-CN" w:bidi="ar"/>
        </w:rPr>
        <w:t>7</w:t>
      </w:r>
      <w:r>
        <w:rPr>
          <w:rFonts w:hint="eastAsia" w:ascii="宋体" w:hAnsi="宋体" w:eastAsia="宋体" w:cs="宋体"/>
          <w:color w:val="auto"/>
          <w:kern w:val="2"/>
          <w:sz w:val="21"/>
          <w:szCs w:val="21"/>
          <w:highlight w:val="none"/>
          <w:lang w:val="en-US" w:eastAsia="zh-CN" w:bidi="ar"/>
        </w:rPr>
        <w:t>.4提供移动公厕不少于2个。根据场地需求提供不少于</w:t>
      </w:r>
      <w:r>
        <w:rPr>
          <w:rFonts w:hint="eastAsia" w:ascii="宋体" w:hAnsi="宋体" w:cs="宋体"/>
          <w:color w:val="auto"/>
          <w:kern w:val="2"/>
          <w:sz w:val="21"/>
          <w:szCs w:val="21"/>
          <w:highlight w:val="none"/>
          <w:lang w:val="en-US" w:eastAsia="zh-CN" w:bidi="ar"/>
        </w:rPr>
        <w:t>30</w:t>
      </w:r>
      <w:r>
        <w:rPr>
          <w:rFonts w:hint="eastAsia" w:ascii="宋体" w:hAnsi="宋体" w:eastAsia="宋体" w:cs="宋体"/>
          <w:color w:val="auto"/>
          <w:kern w:val="2"/>
          <w:sz w:val="21"/>
          <w:szCs w:val="21"/>
          <w:highlight w:val="none"/>
          <w:lang w:val="en-US" w:eastAsia="zh-CN" w:bidi="ar"/>
        </w:rPr>
        <w:t>个帐篷；</w:t>
      </w:r>
    </w:p>
    <w:p w14:paraId="4185E3E3">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7</w:t>
      </w:r>
      <w:r>
        <w:rPr>
          <w:rFonts w:hint="eastAsia" w:ascii="宋体" w:hAnsi="宋体" w:eastAsia="宋体" w:cs="宋体"/>
          <w:color w:val="auto"/>
          <w:kern w:val="2"/>
          <w:sz w:val="21"/>
          <w:szCs w:val="21"/>
          <w:highlight w:val="none"/>
          <w:lang w:val="en-US" w:eastAsia="zh-CN" w:bidi="ar"/>
        </w:rPr>
        <w:t>.5负责制定参赛选手参赛和赛后摆渡方案，并提供车辆进行选手摆渡工作。</w:t>
      </w:r>
    </w:p>
    <w:p w14:paraId="04C994A9">
      <w:pPr>
        <w:keepNext w:val="0"/>
        <w:keepLines w:val="0"/>
        <w:widowControl w:val="0"/>
        <w:suppressLineNumbers w:val="0"/>
        <w:spacing w:before="0" w:beforeAutospacing="0" w:after="0" w:afterAutospacing="0" w:line="440" w:lineRule="exact"/>
        <w:ind w:left="0" w:right="0" w:firstLine="422" w:firstLineChars="200"/>
        <w:jc w:val="both"/>
        <w:rPr>
          <w:rFonts w:hint="default" w:ascii="宋体" w:hAnsi="宋体" w:eastAsia="宋体" w:cs="宋体"/>
          <w:b/>
          <w:bCs/>
          <w:color w:val="auto"/>
          <w:kern w:val="2"/>
          <w:sz w:val="21"/>
          <w:szCs w:val="21"/>
          <w:highlight w:val="none"/>
          <w:lang w:val="en-US" w:eastAsia="zh-CN" w:bidi="ar"/>
        </w:rPr>
      </w:pPr>
      <w:r>
        <w:rPr>
          <w:rFonts w:hint="eastAsia" w:ascii="宋体" w:hAnsi="宋体" w:cs="宋体"/>
          <w:b/>
          <w:bCs/>
          <w:color w:val="auto"/>
          <w:kern w:val="2"/>
          <w:sz w:val="21"/>
          <w:szCs w:val="21"/>
          <w:highlight w:val="none"/>
          <w:lang w:val="en-US" w:eastAsia="zh-CN" w:bidi="ar"/>
        </w:rPr>
        <w:t>7.6负责在赛事地点区域内提供场地建设或租赁赛艇架放置赛艇工作。</w:t>
      </w:r>
    </w:p>
    <w:p w14:paraId="2DEA4336">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cs="宋体"/>
          <w:color w:val="auto"/>
          <w:kern w:val="2"/>
          <w:sz w:val="21"/>
          <w:szCs w:val="21"/>
          <w:highlight w:val="none"/>
          <w:lang w:val="en-US" w:eastAsia="zh-CN" w:bidi="ar"/>
        </w:rPr>
        <w:t>中标人</w:t>
      </w:r>
      <w:r>
        <w:rPr>
          <w:rFonts w:hint="eastAsia" w:ascii="宋体" w:hAnsi="宋体" w:eastAsia="宋体" w:cs="宋体"/>
          <w:color w:val="auto"/>
          <w:kern w:val="2"/>
          <w:sz w:val="21"/>
          <w:szCs w:val="21"/>
          <w:highlight w:val="none"/>
          <w:lang w:val="en-US" w:eastAsia="zh-CN" w:bidi="ar"/>
        </w:rPr>
        <w:t>需按照上述需求（不低于上述需求）制订后勤保障方案，并要求方案中要根据比赛时间节点明确倒计时实施进度计划，以及相应的工作人员配备情况。</w:t>
      </w:r>
    </w:p>
    <w:p w14:paraId="5057D62F">
      <w:pPr>
        <w:keepNext w:val="0"/>
        <w:keepLines w:val="0"/>
        <w:widowControl w:val="0"/>
        <w:suppressLineNumbers w:val="0"/>
        <w:spacing w:before="0" w:beforeAutospacing="0" w:after="0" w:afterAutospacing="0" w:line="440" w:lineRule="exact"/>
        <w:ind w:left="0" w:right="0" w:firstLine="422"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b/>
          <w:bCs/>
          <w:color w:val="auto"/>
          <w:kern w:val="2"/>
          <w:sz w:val="21"/>
          <w:szCs w:val="21"/>
          <w:highlight w:val="none"/>
          <w:lang w:val="en-US" w:eastAsia="zh-CN" w:bidi="ar"/>
        </w:rPr>
        <w:t>9.赛道和场地布置方案。</w:t>
      </w:r>
    </w:p>
    <w:p w14:paraId="7436D189">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要按照比赛的标准要求进行赛道和场地布置设计，需体现赛事核心价值，融入本地特色，突出赛事亮点，设计元素时尚有创意。具体包括但不限于主背景墙、起终点拱门、主席台和颁奖台、音响、起点检录区、终点物品发放区、里程提示牌、补给提示牌、导引提示牌、地贴指示、沿线饮用水和饮料食品补给站、隔离带、A字牌、冲刺带、活动桌椅、各类宣传广告牌和道旗、注水旗等。赛道和场地布置方案要包含形象设计、起终点平面布置图和3D效果图、开幕式主席台3D效果图、终点颁奖台3D效果图、饮用水补给站布置图等，以及各类物品的数量和总体施工计划安排。</w:t>
      </w:r>
    </w:p>
    <w:p w14:paraId="770AEEFE">
      <w:pPr>
        <w:keepNext w:val="0"/>
        <w:keepLines w:val="0"/>
        <w:widowControl w:val="0"/>
        <w:suppressLineNumbers w:val="0"/>
        <w:spacing w:before="0" w:beforeAutospacing="0" w:after="0" w:afterAutospacing="0" w:line="440" w:lineRule="exact"/>
        <w:ind w:left="0" w:right="0" w:firstLine="422" w:firstLineChars="200"/>
        <w:jc w:val="both"/>
        <w:rPr>
          <w:rFonts w:hint="eastAsia" w:ascii="宋体" w:hAnsi="宋体" w:eastAsia="宋体" w:cs="宋体"/>
          <w:b/>
          <w:bCs/>
          <w:color w:val="auto"/>
          <w:sz w:val="21"/>
          <w:szCs w:val="21"/>
          <w:highlight w:val="none"/>
          <w:lang w:val="en-US"/>
        </w:rPr>
      </w:pPr>
      <w:r>
        <w:rPr>
          <w:rFonts w:hint="eastAsia" w:ascii="宋体" w:hAnsi="宋体" w:eastAsia="宋体" w:cs="宋体"/>
          <w:b/>
          <w:bCs/>
          <w:color w:val="auto"/>
          <w:kern w:val="2"/>
          <w:sz w:val="21"/>
          <w:szCs w:val="21"/>
          <w:highlight w:val="none"/>
          <w:lang w:val="en-US" w:eastAsia="zh-CN" w:bidi="ar"/>
        </w:rPr>
        <w:t>10.商务开发方案。</w:t>
      </w:r>
    </w:p>
    <w:p w14:paraId="42C8B2A8">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制作赛事商务开发方案，设计赛事商务体系，根据商务体系，对应制作不同层级赛事赞助商招商与权益回报方案。有专业招商团队负责招商，确保足够的赛事经费。中标人拥有赛事所有招商权益，在合作期限内授权中标人独家代理本赛事的全部招商事宜，招商收益接受政府相关部门监督并由中标人全部投入赛事。如中标人市场开发资金不足，运营赛事所需中标人承担的费用由中标人以自有资金弥补。</w:t>
      </w:r>
    </w:p>
    <w:p w14:paraId="5B16D35D">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中标单位在确定赛事冠名赞助商前须征求采购人意见，冠名单位招商权益分配和品牌露出另行补充协议确定。</w:t>
      </w:r>
    </w:p>
    <w:p w14:paraId="006BC9BE">
      <w:pPr>
        <w:keepNext w:val="0"/>
        <w:keepLines w:val="0"/>
        <w:widowControl w:val="0"/>
        <w:suppressLineNumbers w:val="0"/>
        <w:spacing w:before="0" w:beforeAutospacing="0" w:after="0" w:afterAutospacing="0" w:line="440" w:lineRule="exact"/>
        <w:ind w:left="0" w:right="0" w:firstLine="422"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b/>
          <w:bCs/>
          <w:color w:val="auto"/>
          <w:kern w:val="2"/>
          <w:sz w:val="21"/>
          <w:szCs w:val="21"/>
          <w:highlight w:val="none"/>
          <w:lang w:val="en-US" w:eastAsia="zh-CN" w:bidi="ar"/>
        </w:rPr>
        <w:t>11.运动员服务方案。服务需求，包括但不限于：</w:t>
      </w:r>
    </w:p>
    <w:p w14:paraId="56615872">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11.1负责运动员报名、审核、通知、答疑；</w:t>
      </w:r>
    </w:p>
    <w:p w14:paraId="2E984988">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11.2负责运动员签到、审核、免责申明签署、号码簿与芯片发放、参赛包发放；</w:t>
      </w:r>
    </w:p>
    <w:p w14:paraId="74750DD2">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11.3负责招募不低于30名外籍选手，要求选手具有一定的国内外知名度，扩大滁州皮划艇影响力；负责外籍运动员接待、语言服务；</w:t>
      </w:r>
    </w:p>
    <w:p w14:paraId="616C5F05">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11.4负责比赛起点、赛道、终点等区域运动员饮水、引导等服务；</w:t>
      </w:r>
    </w:p>
    <w:p w14:paraId="7F314B49">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11.5负责比赛终点运动员物资发放；引导获奖运动员参加颁奖仪式；</w:t>
      </w:r>
    </w:p>
    <w:p w14:paraId="47A60C1C">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11.6负责运动员转运服务；</w:t>
      </w:r>
    </w:p>
    <w:p w14:paraId="780C2FBF">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11.7负责向运动员提供旅游产品和旅游推介服务；</w:t>
      </w:r>
    </w:p>
    <w:p w14:paraId="55141F39">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11.8负责运动员完赛奖牌、完赛证书等完赛物资的设计与采购。</w:t>
      </w:r>
    </w:p>
    <w:p w14:paraId="7E7CC7C3">
      <w:pPr>
        <w:keepNext w:val="0"/>
        <w:keepLines w:val="0"/>
        <w:widowControl w:val="0"/>
        <w:suppressLineNumbers w:val="0"/>
        <w:spacing w:before="0" w:beforeAutospacing="0" w:after="0" w:afterAutospacing="0" w:line="440" w:lineRule="exact"/>
        <w:ind w:left="0" w:right="0" w:firstLine="422"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b/>
          <w:bCs/>
          <w:color w:val="auto"/>
          <w:kern w:val="2"/>
          <w:sz w:val="21"/>
          <w:szCs w:val="21"/>
          <w:highlight w:val="none"/>
          <w:lang w:val="en-US" w:eastAsia="zh-CN" w:bidi="ar"/>
        </w:rPr>
        <w:t>12.应急预案。</w:t>
      </w:r>
      <w:r>
        <w:rPr>
          <w:rFonts w:hint="eastAsia" w:ascii="宋体" w:hAnsi="宋体" w:cs="宋体"/>
          <w:color w:val="auto"/>
          <w:kern w:val="2"/>
          <w:sz w:val="21"/>
          <w:szCs w:val="21"/>
          <w:highlight w:val="none"/>
          <w:lang w:val="en-US" w:eastAsia="zh-CN" w:bidi="ar"/>
        </w:rPr>
        <w:t>中标人</w:t>
      </w:r>
      <w:r>
        <w:rPr>
          <w:rFonts w:hint="eastAsia" w:ascii="宋体" w:hAnsi="宋体" w:eastAsia="宋体" w:cs="宋体"/>
          <w:color w:val="auto"/>
          <w:kern w:val="2"/>
          <w:sz w:val="21"/>
          <w:szCs w:val="21"/>
          <w:highlight w:val="none"/>
          <w:lang w:val="en-US" w:eastAsia="zh-CN" w:bidi="ar"/>
        </w:rPr>
        <w:t>需针对竞赛和器材保障、志愿者招募管理、媒体宣传推广、后勤保障、赛道和场地布置、医疗救援、赛事安保等工作可能遇到的突发性情况制订应急预案。</w:t>
      </w:r>
    </w:p>
    <w:p w14:paraId="049F8618">
      <w:pPr>
        <w:keepNext w:val="0"/>
        <w:keepLines w:val="0"/>
        <w:widowControl w:val="0"/>
        <w:suppressLineNumbers w:val="0"/>
        <w:spacing w:before="0" w:beforeAutospacing="0" w:after="0" w:afterAutospacing="0" w:line="440" w:lineRule="exact"/>
        <w:ind w:left="0" w:right="0" w:firstLine="422" w:firstLineChars="200"/>
        <w:jc w:val="both"/>
        <w:rPr>
          <w:rFonts w:hint="eastAsia" w:ascii="宋体" w:hAnsi="宋体" w:eastAsia="宋体" w:cs="宋体"/>
          <w:b/>
          <w:bCs/>
          <w:color w:val="auto"/>
          <w:sz w:val="21"/>
          <w:szCs w:val="21"/>
          <w:highlight w:val="none"/>
          <w:lang w:val="en-US"/>
        </w:rPr>
      </w:pPr>
      <w:r>
        <w:rPr>
          <w:rFonts w:hint="eastAsia" w:ascii="宋体" w:hAnsi="宋体" w:eastAsia="宋体" w:cs="宋体"/>
          <w:b/>
          <w:bCs/>
          <w:color w:val="auto"/>
          <w:kern w:val="2"/>
          <w:sz w:val="21"/>
          <w:szCs w:val="21"/>
          <w:highlight w:val="none"/>
          <w:lang w:val="en-US" w:eastAsia="zh-CN" w:bidi="ar"/>
        </w:rPr>
        <w:t>13.奖金发放工作方案。</w:t>
      </w:r>
    </w:p>
    <w:p w14:paraId="5218D49E">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根据中国皮划艇协会制定的赛事奖金相关规定制定奖金发放的详细方案，承担赛事全部奖金，赛事奖金总额不低于人民币</w:t>
      </w:r>
      <w:r>
        <w:rPr>
          <w:rFonts w:hint="eastAsia" w:ascii="宋体" w:hAnsi="宋体" w:cs="宋体"/>
          <w:color w:val="auto"/>
          <w:kern w:val="2"/>
          <w:sz w:val="21"/>
          <w:szCs w:val="21"/>
          <w:highlight w:val="none"/>
          <w:lang w:val="en-US" w:eastAsia="zh-CN" w:bidi="ar"/>
        </w:rPr>
        <w:t>10</w:t>
      </w:r>
      <w:r>
        <w:rPr>
          <w:rFonts w:hint="eastAsia" w:ascii="宋体" w:hAnsi="宋体" w:eastAsia="宋体" w:cs="宋体"/>
          <w:color w:val="auto"/>
          <w:kern w:val="2"/>
          <w:sz w:val="21"/>
          <w:szCs w:val="21"/>
          <w:highlight w:val="none"/>
          <w:lang w:val="en-US" w:eastAsia="zh-CN" w:bidi="ar"/>
        </w:rPr>
        <w:t>万元；方案中需体现针对</w:t>
      </w:r>
      <w:r>
        <w:rPr>
          <w:rFonts w:hint="eastAsia" w:ascii="宋体" w:hAnsi="宋体" w:cs="宋体"/>
          <w:color w:val="auto"/>
          <w:kern w:val="2"/>
          <w:sz w:val="21"/>
          <w:szCs w:val="21"/>
          <w:highlight w:val="none"/>
          <w:lang w:val="en-US" w:eastAsia="zh-CN" w:bidi="ar"/>
        </w:rPr>
        <w:t>外国</w:t>
      </w:r>
      <w:r>
        <w:rPr>
          <w:rFonts w:hint="eastAsia" w:ascii="宋体" w:hAnsi="宋体" w:eastAsia="宋体" w:cs="宋体"/>
          <w:color w:val="auto"/>
          <w:kern w:val="2"/>
          <w:sz w:val="21"/>
          <w:szCs w:val="21"/>
          <w:highlight w:val="none"/>
          <w:lang w:val="en-US" w:eastAsia="zh-CN" w:bidi="ar"/>
        </w:rPr>
        <w:t>籍参赛选手和滁州籍参赛选手的单独奖励政策，最终发放方案需经采购人认可。</w:t>
      </w:r>
    </w:p>
    <w:p w14:paraId="02292362">
      <w:pPr>
        <w:keepNext w:val="0"/>
        <w:keepLines w:val="0"/>
        <w:widowControl w:val="0"/>
        <w:suppressLineNumbers w:val="0"/>
        <w:spacing w:before="0" w:beforeAutospacing="0" w:after="0" w:afterAutospacing="0" w:line="440" w:lineRule="exact"/>
        <w:ind w:left="0" w:right="0" w:firstLine="437"/>
        <w:jc w:val="both"/>
        <w:outlineLvl w:val="1"/>
        <w:rPr>
          <w:rFonts w:hint="eastAsia" w:ascii="宋体" w:hAnsi="宋体" w:eastAsia="宋体" w:cs="宋体"/>
          <w:b/>
          <w:bCs w:val="0"/>
          <w:color w:val="auto"/>
          <w:sz w:val="24"/>
          <w:szCs w:val="18"/>
          <w:highlight w:val="none"/>
          <w:lang w:val="en-US"/>
        </w:rPr>
      </w:pPr>
      <w:r>
        <w:rPr>
          <w:rFonts w:hint="eastAsia" w:ascii="宋体" w:hAnsi="宋体" w:eastAsia="宋体" w:cs="宋体"/>
          <w:b/>
          <w:bCs w:val="0"/>
          <w:color w:val="auto"/>
          <w:kern w:val="2"/>
          <w:sz w:val="24"/>
          <w:szCs w:val="18"/>
          <w:highlight w:val="none"/>
          <w:lang w:val="en-US" w:eastAsia="zh-CN" w:bidi="ar"/>
        </w:rPr>
        <w:t>四、知识产权要求</w:t>
      </w:r>
    </w:p>
    <w:p w14:paraId="65DCB01E">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1.本次采购的成交</w:t>
      </w:r>
      <w:r>
        <w:rPr>
          <w:rFonts w:hint="eastAsia" w:ascii="宋体" w:hAnsi="宋体" w:cs="宋体"/>
          <w:color w:val="auto"/>
          <w:kern w:val="2"/>
          <w:sz w:val="21"/>
          <w:szCs w:val="21"/>
          <w:highlight w:val="none"/>
          <w:lang w:val="en-US" w:eastAsia="zh-CN" w:bidi="ar"/>
        </w:rPr>
        <w:t>中标人</w:t>
      </w:r>
      <w:r>
        <w:rPr>
          <w:rFonts w:hint="eastAsia" w:ascii="宋体" w:hAnsi="宋体" w:eastAsia="宋体" w:cs="宋体"/>
          <w:color w:val="auto"/>
          <w:kern w:val="2"/>
          <w:sz w:val="21"/>
          <w:szCs w:val="21"/>
          <w:highlight w:val="none"/>
          <w:lang w:val="en-US" w:eastAsia="zh-CN" w:bidi="ar"/>
        </w:rPr>
        <w:t>提供的有关设计方案的署名权归中标人所有，著作权、版权、专利权和使用权归采购人所有（署名权除外）</w:t>
      </w:r>
      <w:r>
        <w:rPr>
          <w:rFonts w:hint="eastAsia" w:ascii="宋体" w:hAnsi="宋体" w:cs="宋体"/>
          <w:color w:val="auto"/>
          <w:kern w:val="2"/>
          <w:sz w:val="21"/>
          <w:szCs w:val="21"/>
          <w:highlight w:val="none"/>
          <w:lang w:val="en-US" w:eastAsia="zh-CN" w:bidi="ar"/>
        </w:rPr>
        <w:t>，中标人有使用权归</w:t>
      </w:r>
      <w:r>
        <w:rPr>
          <w:rFonts w:hint="eastAsia" w:ascii="宋体" w:hAnsi="宋体" w:eastAsia="宋体" w:cs="宋体"/>
          <w:color w:val="auto"/>
          <w:kern w:val="2"/>
          <w:sz w:val="21"/>
          <w:szCs w:val="21"/>
          <w:highlight w:val="none"/>
          <w:lang w:val="en-US" w:eastAsia="zh-CN" w:bidi="ar"/>
        </w:rPr>
        <w:t>。</w:t>
      </w:r>
    </w:p>
    <w:p w14:paraId="0B7F8602">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2.</w:t>
      </w:r>
      <w:r>
        <w:rPr>
          <w:rFonts w:hint="eastAsia" w:ascii="宋体" w:hAnsi="宋体" w:cs="宋体"/>
          <w:color w:val="auto"/>
          <w:kern w:val="2"/>
          <w:sz w:val="21"/>
          <w:szCs w:val="21"/>
          <w:highlight w:val="none"/>
          <w:lang w:val="en-US" w:eastAsia="zh-CN" w:bidi="ar"/>
        </w:rPr>
        <w:t>中标人</w:t>
      </w:r>
      <w:r>
        <w:rPr>
          <w:rFonts w:hint="eastAsia" w:ascii="宋体" w:hAnsi="宋体" w:eastAsia="宋体" w:cs="宋体"/>
          <w:color w:val="auto"/>
          <w:kern w:val="2"/>
          <w:sz w:val="21"/>
          <w:szCs w:val="21"/>
          <w:highlight w:val="none"/>
          <w:lang w:val="en-US" w:eastAsia="zh-CN" w:bidi="ar"/>
        </w:rPr>
        <w:t>须保证投标文件及资料均未侵犯他人的知识产权，否则必须承担全部责任。（提供承诺函加盖投标单位公章，格式自拟）</w:t>
      </w:r>
    </w:p>
    <w:p w14:paraId="4CF4FAFF">
      <w:pPr>
        <w:keepNext w:val="0"/>
        <w:keepLines w:val="0"/>
        <w:widowControl w:val="0"/>
        <w:suppressLineNumbers w:val="0"/>
        <w:spacing w:before="0" w:beforeAutospacing="0" w:after="0" w:afterAutospacing="0" w:line="440" w:lineRule="exact"/>
        <w:ind w:left="437" w:right="0"/>
        <w:jc w:val="both"/>
        <w:outlineLvl w:val="1"/>
        <w:rPr>
          <w:rFonts w:hint="eastAsia" w:ascii="宋体" w:hAnsi="宋体" w:eastAsia="宋体" w:cs="宋体"/>
          <w:b/>
          <w:bCs w:val="0"/>
          <w:color w:val="auto"/>
          <w:sz w:val="24"/>
          <w:szCs w:val="18"/>
          <w:highlight w:val="none"/>
          <w:lang w:val="en-US"/>
        </w:rPr>
      </w:pPr>
      <w:r>
        <w:rPr>
          <w:rFonts w:hint="eastAsia" w:ascii="宋体" w:hAnsi="宋体" w:eastAsia="宋体" w:cs="宋体"/>
          <w:b/>
          <w:bCs w:val="0"/>
          <w:color w:val="auto"/>
          <w:kern w:val="2"/>
          <w:sz w:val="24"/>
          <w:szCs w:val="18"/>
          <w:highlight w:val="none"/>
          <w:lang w:val="en-US" w:eastAsia="zh-CN" w:bidi="ar"/>
        </w:rPr>
        <w:t>五、工作组要求</w:t>
      </w:r>
    </w:p>
    <w:p w14:paraId="3DCA4B2B">
      <w:pPr>
        <w:pStyle w:val="141"/>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b w:val="0"/>
          <w:bCs w:val="0"/>
          <w:color w:val="auto"/>
          <w:kern w:val="2"/>
          <w:sz w:val="21"/>
          <w:szCs w:val="21"/>
          <w:highlight w:val="none"/>
          <w:lang w:val="en-US"/>
        </w:rPr>
      </w:pPr>
      <w:bookmarkStart w:id="100" w:name="_Toc20717"/>
      <w:bookmarkStart w:id="101" w:name="_Toc16414"/>
      <w:r>
        <w:rPr>
          <w:rFonts w:hint="eastAsia" w:ascii="宋体" w:hAnsi="宋体" w:eastAsia="宋体" w:cs="宋体"/>
          <w:b w:val="0"/>
          <w:bCs w:val="0"/>
          <w:color w:val="auto"/>
          <w:kern w:val="2"/>
          <w:sz w:val="21"/>
          <w:szCs w:val="21"/>
          <w:highlight w:val="none"/>
          <w:lang w:val="en-US"/>
        </w:rPr>
        <w:t>1.</w:t>
      </w:r>
      <w:r>
        <w:rPr>
          <w:rFonts w:hint="eastAsia" w:ascii="宋体" w:hAnsi="宋体" w:eastAsia="宋体" w:cs="宋体"/>
          <w:b w:val="0"/>
          <w:bCs w:val="0"/>
          <w:color w:val="auto"/>
          <w:kern w:val="2"/>
          <w:sz w:val="21"/>
          <w:szCs w:val="21"/>
          <w:highlight w:val="none"/>
          <w:lang w:eastAsia="zh-CN"/>
        </w:rPr>
        <w:t>根据《体育赛事活动管理办法》等相关法律法规和规范性文件。</w:t>
      </w:r>
    </w:p>
    <w:p w14:paraId="5D6D02BD">
      <w:pPr>
        <w:pStyle w:val="141"/>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b w:val="0"/>
          <w:bCs w:val="0"/>
          <w:color w:val="auto"/>
          <w:kern w:val="2"/>
          <w:sz w:val="21"/>
          <w:szCs w:val="21"/>
          <w:highlight w:val="none"/>
          <w:lang w:val="en-US"/>
        </w:rPr>
      </w:pPr>
      <w:r>
        <w:rPr>
          <w:rFonts w:hint="eastAsia" w:ascii="宋体" w:hAnsi="宋体" w:eastAsia="宋体" w:cs="宋体"/>
          <w:b w:val="0"/>
          <w:bCs w:val="0"/>
          <w:color w:val="auto"/>
          <w:kern w:val="2"/>
          <w:sz w:val="21"/>
          <w:szCs w:val="21"/>
          <w:highlight w:val="none"/>
          <w:lang w:val="en-US"/>
        </w:rPr>
        <w:t>2.</w:t>
      </w:r>
      <w:r>
        <w:rPr>
          <w:rFonts w:hint="eastAsia" w:ascii="宋体" w:hAnsi="宋体" w:eastAsia="宋体" w:cs="宋体"/>
          <w:b w:val="0"/>
          <w:bCs w:val="0"/>
          <w:color w:val="auto"/>
          <w:kern w:val="2"/>
          <w:sz w:val="21"/>
          <w:szCs w:val="21"/>
          <w:highlight w:val="none"/>
          <w:lang w:eastAsia="zh-CN"/>
        </w:rPr>
        <w:t>为确保本项目顺利、有序进行，服务团队需配置相应工作人员，成立相对应工作小组。</w:t>
      </w:r>
    </w:p>
    <w:bookmarkEnd w:id="100"/>
    <w:bookmarkEnd w:id="101"/>
    <w:p w14:paraId="70ED51DF">
      <w:pPr>
        <w:keepNext w:val="0"/>
        <w:keepLines w:val="0"/>
        <w:widowControl w:val="0"/>
        <w:suppressLineNumbers w:val="0"/>
        <w:spacing w:before="0" w:beforeAutospacing="0" w:after="0" w:afterAutospacing="0" w:line="440" w:lineRule="exact"/>
        <w:ind w:left="0" w:right="0" w:firstLine="437"/>
        <w:jc w:val="both"/>
        <w:outlineLvl w:val="1"/>
        <w:rPr>
          <w:rFonts w:hint="eastAsia" w:ascii="宋体" w:hAnsi="宋体" w:eastAsia="宋体" w:cs="宋体"/>
          <w:b/>
          <w:bCs w:val="0"/>
          <w:color w:val="auto"/>
          <w:sz w:val="24"/>
          <w:szCs w:val="18"/>
          <w:highlight w:val="none"/>
          <w:lang w:val="en-US"/>
        </w:rPr>
      </w:pPr>
      <w:r>
        <w:rPr>
          <w:rFonts w:hint="eastAsia" w:ascii="宋体" w:hAnsi="宋体" w:eastAsia="宋体" w:cs="宋体"/>
          <w:b/>
          <w:bCs w:val="0"/>
          <w:color w:val="auto"/>
          <w:kern w:val="2"/>
          <w:sz w:val="24"/>
          <w:szCs w:val="18"/>
          <w:highlight w:val="none"/>
          <w:lang w:val="en-US" w:eastAsia="zh-CN" w:bidi="ar"/>
        </w:rPr>
        <w:t>六、其它要求</w:t>
      </w:r>
    </w:p>
    <w:p w14:paraId="3E27EECA">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1.项目服务期限：自本合同签署生效之日起至中标单位所承担的赛事全部工作结束止。</w:t>
      </w:r>
    </w:p>
    <w:p w14:paraId="69047C2A">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2.项目合同签署：本项目服务期自合同签订之日起至赛事圆满落幕，具体时间节点以招标人安排为准。</w:t>
      </w:r>
    </w:p>
    <w:p w14:paraId="40B8C4DC">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3.项目资金要求：所得费用必须用于赛事运营工作，费用所涉及采购需求义务范围内不足部分由赛事运营公司承担。</w:t>
      </w:r>
    </w:p>
    <w:p w14:paraId="5ED3D292">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4.服务成果要求：</w:t>
      </w:r>
    </w:p>
    <w:p w14:paraId="52AA21EC">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赛事规模需达到本年度要求，赛事举办热烈、平稳、安全；赛事获得中国皮划艇协会认证认可，成为中国皮划艇协会认证的</w:t>
      </w:r>
      <w:r>
        <w:rPr>
          <w:rFonts w:hint="eastAsia" w:ascii="宋体" w:hAnsi="宋体" w:cs="宋体"/>
          <w:color w:val="auto"/>
          <w:kern w:val="2"/>
          <w:sz w:val="21"/>
          <w:szCs w:val="21"/>
          <w:highlight w:val="none"/>
          <w:lang w:val="en-US" w:eastAsia="zh-CN" w:bidi="ar"/>
        </w:rPr>
        <w:t>全国赛事</w:t>
      </w:r>
      <w:r>
        <w:rPr>
          <w:rFonts w:hint="eastAsia" w:ascii="宋体" w:hAnsi="宋体" w:eastAsia="宋体" w:cs="宋体"/>
          <w:color w:val="auto"/>
          <w:kern w:val="2"/>
          <w:sz w:val="21"/>
          <w:szCs w:val="21"/>
          <w:highlight w:val="none"/>
          <w:lang w:val="en-US" w:eastAsia="zh-CN" w:bidi="ar"/>
        </w:rPr>
        <w:t>，如因中标单位人员、资质等原因造成没有完成</w:t>
      </w:r>
      <w:r>
        <w:rPr>
          <w:rFonts w:hint="eastAsia" w:ascii="宋体" w:hAnsi="宋体" w:cs="宋体"/>
          <w:color w:val="auto"/>
          <w:kern w:val="2"/>
          <w:sz w:val="21"/>
          <w:szCs w:val="21"/>
          <w:highlight w:val="none"/>
          <w:lang w:val="en-US" w:eastAsia="zh-CN" w:bidi="ar"/>
        </w:rPr>
        <w:t>全国赛事</w:t>
      </w:r>
      <w:r>
        <w:rPr>
          <w:rFonts w:hint="eastAsia" w:ascii="宋体" w:hAnsi="宋体" w:eastAsia="宋体" w:cs="宋体"/>
          <w:color w:val="auto"/>
          <w:kern w:val="2"/>
          <w:sz w:val="21"/>
          <w:szCs w:val="21"/>
          <w:highlight w:val="none"/>
          <w:lang w:val="en-US" w:eastAsia="zh-CN" w:bidi="ar"/>
        </w:rPr>
        <w:t>认证采购人有权追究其违约责任。</w:t>
      </w:r>
    </w:p>
    <w:p w14:paraId="354D9B81">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需对赛事进行总结报告，重点对赛事的竞赛组织、新闻宣传、赛事服务、赛事后续发展、赛事经费预决算、赛事存在问题和改进措施等方面进行书面总结报告；并按照市级档案部门要求提供赛事存档资料一式5份（含赛事宣传、视频、音频资料）予以存档。</w:t>
      </w:r>
    </w:p>
    <w:p w14:paraId="3AEE9104">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5.质量检验标准：赛事结束后由采购人组织专家对赛事举办进行专项评估,评估达不到标准的，采购单位有权对其进行经济处罚。</w:t>
      </w:r>
    </w:p>
    <w:p w14:paraId="40AFACFD">
      <w:pPr>
        <w:keepNext w:val="0"/>
        <w:keepLines w:val="0"/>
        <w:pageBreakBefore w:val="0"/>
        <w:widowControl w:val="0"/>
        <w:kinsoku/>
        <w:wordWrap/>
        <w:overflowPunct/>
        <w:topLinePunct w:val="0"/>
        <w:autoSpaceDE/>
        <w:autoSpaceDN/>
        <w:bidi w:val="0"/>
        <w:adjustRightInd/>
        <w:snapToGrid/>
        <w:spacing w:line="480" w:lineRule="exact"/>
        <w:ind w:left="0" w:right="0" w:firstLine="420" w:firstLineChars="200"/>
        <w:textAlignment w:val="auto"/>
        <w:rPr>
          <w:rFonts w:hint="eastAsia" w:ascii="宋体" w:hAnsi="宋体" w:eastAsia="宋体" w:cs="@仿宋_GB2312"/>
          <w:b w:val="0"/>
          <w:bCs/>
          <w:color w:val="auto"/>
          <w:sz w:val="21"/>
          <w:szCs w:val="21"/>
          <w:highlight w:val="none"/>
          <w:lang w:val="en-US" w:eastAsia="zh-CN"/>
        </w:rPr>
      </w:pPr>
    </w:p>
    <w:p w14:paraId="65643B81">
      <w:pPr>
        <w:shd w:val="clear"/>
        <w:spacing w:line="440" w:lineRule="exact"/>
        <w:jc w:val="center"/>
        <w:rPr>
          <w:rFonts w:hint="eastAsia" w:ascii="宋体"/>
          <w:b/>
          <w:bCs/>
          <w:color w:val="auto"/>
          <w:sz w:val="36"/>
          <w:szCs w:val="52"/>
          <w:highlight w:val="none"/>
        </w:rPr>
      </w:pPr>
    </w:p>
    <w:p w14:paraId="1F922DB9">
      <w:pPr>
        <w:shd w:val="clear"/>
        <w:spacing w:line="440" w:lineRule="exact"/>
        <w:jc w:val="center"/>
        <w:rPr>
          <w:rFonts w:hint="eastAsia" w:ascii="宋体"/>
          <w:b/>
          <w:bCs/>
          <w:color w:val="auto"/>
          <w:sz w:val="36"/>
          <w:szCs w:val="52"/>
          <w:highlight w:val="none"/>
        </w:rPr>
      </w:pPr>
    </w:p>
    <w:p w14:paraId="7CF47405">
      <w:pPr>
        <w:shd w:val="clear"/>
        <w:spacing w:line="440" w:lineRule="exact"/>
        <w:jc w:val="center"/>
        <w:rPr>
          <w:rFonts w:hint="eastAsia" w:ascii="宋体"/>
          <w:b/>
          <w:bCs/>
          <w:color w:val="auto"/>
          <w:sz w:val="36"/>
          <w:szCs w:val="52"/>
          <w:highlight w:val="none"/>
        </w:rPr>
      </w:pPr>
    </w:p>
    <w:p w14:paraId="46D501F1">
      <w:pPr>
        <w:shd w:val="clear"/>
        <w:spacing w:line="440" w:lineRule="exact"/>
        <w:jc w:val="center"/>
        <w:rPr>
          <w:rFonts w:hint="eastAsia" w:ascii="宋体"/>
          <w:b/>
          <w:bCs/>
          <w:color w:val="auto"/>
          <w:sz w:val="36"/>
          <w:szCs w:val="52"/>
          <w:highlight w:val="none"/>
        </w:rPr>
      </w:pPr>
    </w:p>
    <w:p w14:paraId="0D0B56B2">
      <w:pPr>
        <w:shd w:val="clear"/>
        <w:spacing w:line="440" w:lineRule="exact"/>
        <w:jc w:val="center"/>
        <w:rPr>
          <w:rFonts w:hint="eastAsia" w:ascii="宋体"/>
          <w:b/>
          <w:bCs/>
          <w:color w:val="auto"/>
          <w:sz w:val="36"/>
          <w:szCs w:val="52"/>
          <w:highlight w:val="none"/>
        </w:rPr>
      </w:pPr>
    </w:p>
    <w:p w14:paraId="68B8B9C6">
      <w:pPr>
        <w:shd w:val="clear"/>
        <w:spacing w:line="440" w:lineRule="exact"/>
        <w:jc w:val="center"/>
        <w:rPr>
          <w:rFonts w:hint="eastAsia" w:ascii="宋体"/>
          <w:b/>
          <w:bCs/>
          <w:color w:val="auto"/>
          <w:sz w:val="36"/>
          <w:szCs w:val="52"/>
          <w:highlight w:val="none"/>
        </w:rPr>
      </w:pPr>
    </w:p>
    <w:p w14:paraId="69B2D823">
      <w:pPr>
        <w:shd w:val="clear"/>
        <w:spacing w:line="440" w:lineRule="exact"/>
        <w:jc w:val="center"/>
        <w:rPr>
          <w:rFonts w:hint="eastAsia" w:ascii="宋体"/>
          <w:b/>
          <w:bCs/>
          <w:color w:val="auto"/>
          <w:sz w:val="36"/>
          <w:szCs w:val="52"/>
          <w:highlight w:val="none"/>
        </w:rPr>
      </w:pPr>
    </w:p>
    <w:p w14:paraId="72446BD8">
      <w:pPr>
        <w:shd w:val="clear"/>
        <w:spacing w:line="440" w:lineRule="exact"/>
        <w:jc w:val="center"/>
        <w:rPr>
          <w:rFonts w:hint="eastAsia" w:ascii="宋体"/>
          <w:b/>
          <w:bCs/>
          <w:color w:val="auto"/>
          <w:sz w:val="36"/>
          <w:szCs w:val="52"/>
          <w:highlight w:val="none"/>
        </w:rPr>
      </w:pPr>
    </w:p>
    <w:p w14:paraId="7994FA03">
      <w:pPr>
        <w:shd w:val="clear"/>
        <w:spacing w:line="440" w:lineRule="exact"/>
        <w:jc w:val="center"/>
        <w:rPr>
          <w:rFonts w:ascii="宋体"/>
          <w:color w:val="auto"/>
          <w:szCs w:val="32"/>
          <w:highlight w:val="none"/>
        </w:rPr>
      </w:pPr>
      <w:r>
        <w:rPr>
          <w:rFonts w:hint="eastAsia" w:ascii="宋体"/>
          <w:b/>
          <w:bCs/>
          <w:color w:val="auto"/>
          <w:sz w:val="36"/>
          <w:szCs w:val="52"/>
          <w:highlight w:val="none"/>
        </w:rPr>
        <w:t>第五章  合同条款及格式</w:t>
      </w:r>
      <w:bookmarkEnd w:id="95"/>
    </w:p>
    <w:p w14:paraId="5EDF352E">
      <w:pPr>
        <w:spacing w:line="360" w:lineRule="auto"/>
        <w:rPr>
          <w:rFonts w:hint="eastAsia" w:ascii="仿宋" w:hAnsi="仿宋" w:eastAsia="仿宋" w:cs="仿宋"/>
          <w:color w:val="auto"/>
          <w:sz w:val="28"/>
          <w:szCs w:val="28"/>
          <w:highlight w:val="none"/>
        </w:rPr>
      </w:pPr>
      <w:bookmarkStart w:id="102" w:name="_Toc449028948"/>
    </w:p>
    <w:p w14:paraId="690327BD">
      <w:pPr>
        <w:spacing w:line="360" w:lineRule="auto"/>
        <w:rPr>
          <w:rFonts w:hint="eastAsia" w:ascii="仿宋" w:hAnsi="仿宋" w:eastAsia="仿宋" w:cs="仿宋"/>
          <w:color w:val="auto"/>
          <w:sz w:val="28"/>
          <w:szCs w:val="28"/>
          <w:highlight w:val="none"/>
        </w:rPr>
      </w:pPr>
    </w:p>
    <w:p w14:paraId="32C8D389">
      <w:pPr>
        <w:spacing w:line="480" w:lineRule="auto"/>
        <w:jc w:val="center"/>
        <w:rPr>
          <w:rFonts w:cs="Times New Roman" w:asciiTheme="minorEastAsia" w:hAnsiTheme="minorEastAsia" w:eastAsiaTheme="minorEastAsia"/>
          <w:b/>
          <w:color w:val="auto"/>
          <w:sz w:val="24"/>
          <w:szCs w:val="24"/>
          <w:highlight w:val="none"/>
        </w:rPr>
      </w:pPr>
    </w:p>
    <w:p w14:paraId="755F7A64">
      <w:pPr>
        <w:spacing w:line="480" w:lineRule="auto"/>
        <w:jc w:val="center"/>
        <w:rPr>
          <w:rFonts w:cs="Times New Roman" w:asciiTheme="minorEastAsia" w:hAnsiTheme="minorEastAsia" w:eastAsiaTheme="minorEastAsia"/>
          <w:b/>
          <w:color w:val="auto"/>
          <w:sz w:val="24"/>
          <w:szCs w:val="24"/>
          <w:highlight w:val="none"/>
        </w:rPr>
      </w:pPr>
    </w:p>
    <w:p w14:paraId="73470B3C">
      <w:pPr>
        <w:spacing w:line="480" w:lineRule="auto"/>
        <w:jc w:val="center"/>
        <w:rPr>
          <w:rFonts w:cs="Times New Roman" w:asciiTheme="minorEastAsia" w:hAnsiTheme="minorEastAsia" w:eastAsiaTheme="minorEastAsia"/>
          <w:b/>
          <w:color w:val="auto"/>
          <w:sz w:val="24"/>
          <w:szCs w:val="24"/>
          <w:highlight w:val="none"/>
        </w:rPr>
      </w:pPr>
    </w:p>
    <w:p w14:paraId="281989A3">
      <w:pPr>
        <w:spacing w:line="360" w:lineRule="auto"/>
        <w:jc w:val="center"/>
        <w:outlineLvl w:val="1"/>
        <w:rPr>
          <w:rFonts w:asciiTheme="minorEastAsia" w:hAnsiTheme="minorEastAsia" w:eastAsiaTheme="minorEastAsia"/>
          <w:b/>
          <w:color w:val="auto"/>
          <w:sz w:val="24"/>
          <w:highlight w:val="none"/>
        </w:rPr>
      </w:pPr>
      <w:bookmarkStart w:id="103" w:name="_Toc2449"/>
      <w:r>
        <w:rPr>
          <w:rFonts w:hint="eastAsia" w:asciiTheme="minorEastAsia" w:hAnsiTheme="minorEastAsia" w:eastAsiaTheme="minorEastAsia"/>
          <w:b/>
          <w:color w:val="auto"/>
          <w:sz w:val="24"/>
          <w:highlight w:val="none"/>
        </w:rPr>
        <w:t>第一部分 合同书</w:t>
      </w:r>
      <w:bookmarkEnd w:id="103"/>
    </w:p>
    <w:p w14:paraId="581A1772">
      <w:pPr>
        <w:spacing w:line="480" w:lineRule="auto"/>
        <w:jc w:val="center"/>
        <w:rPr>
          <w:rFonts w:cs="Times New Roman" w:asciiTheme="minorEastAsia" w:hAnsiTheme="minorEastAsia" w:eastAsiaTheme="minorEastAsia"/>
          <w:b/>
          <w:color w:val="auto"/>
          <w:sz w:val="24"/>
          <w:szCs w:val="24"/>
          <w:highlight w:val="none"/>
        </w:rPr>
      </w:pPr>
    </w:p>
    <w:p w14:paraId="3FFCF771">
      <w:pPr>
        <w:spacing w:line="480" w:lineRule="auto"/>
        <w:jc w:val="center"/>
        <w:rPr>
          <w:rFonts w:cs="Times New Roman" w:asciiTheme="minorEastAsia" w:hAnsiTheme="minorEastAsia" w:eastAsiaTheme="minorEastAsia"/>
          <w:b/>
          <w:color w:val="auto"/>
          <w:sz w:val="24"/>
          <w:szCs w:val="24"/>
          <w:highlight w:val="none"/>
        </w:rPr>
      </w:pPr>
    </w:p>
    <w:p w14:paraId="22549194">
      <w:pPr>
        <w:pStyle w:val="14"/>
        <w:rPr>
          <w:color w:val="auto"/>
          <w:highlight w:val="none"/>
        </w:rPr>
      </w:pPr>
    </w:p>
    <w:p w14:paraId="2BB0AC9B">
      <w:pPr>
        <w:pStyle w:val="14"/>
        <w:rPr>
          <w:color w:val="auto"/>
          <w:highlight w:val="none"/>
        </w:rPr>
      </w:pPr>
    </w:p>
    <w:p w14:paraId="678BE9FE">
      <w:pPr>
        <w:spacing w:before="120" w:line="480" w:lineRule="auto"/>
        <w:ind w:left="960"/>
        <w:rPr>
          <w:rFonts w:hint="eastAsia" w:cs="Times New Roman" w:asciiTheme="minorEastAsia" w:hAnsiTheme="minorEastAsia" w:eastAsiaTheme="minorEastAsia"/>
          <w:color w:val="auto"/>
          <w:sz w:val="24"/>
          <w:szCs w:val="24"/>
          <w:highlight w:val="none"/>
          <w:u w:val="single"/>
          <w:lang w:eastAsia="zh-CN"/>
        </w:rPr>
      </w:pPr>
      <w:r>
        <w:rPr>
          <w:rFonts w:hint="eastAsia" w:cs="Times New Roman" w:asciiTheme="minorEastAsia" w:hAnsiTheme="minorEastAsia" w:eastAsiaTheme="minorEastAsia"/>
          <w:color w:val="auto"/>
          <w:sz w:val="24"/>
          <w:szCs w:val="24"/>
          <w:highlight w:val="none"/>
        </w:rPr>
        <w:t>项目名称：</w:t>
      </w:r>
      <w:r>
        <w:rPr>
          <w:rFonts w:hint="eastAsia" w:cs="Times New Roman" w:asciiTheme="minorEastAsia" w:hAnsiTheme="minorEastAsia" w:eastAsiaTheme="minorEastAsia"/>
          <w:color w:val="auto"/>
          <w:sz w:val="24"/>
          <w:szCs w:val="24"/>
          <w:highlight w:val="none"/>
          <w:u w:val="single"/>
          <w:lang w:val="en-US" w:eastAsia="zh-CN"/>
        </w:rPr>
        <w:t xml:space="preserve"> </w:t>
      </w:r>
    </w:p>
    <w:p w14:paraId="3A5D8294">
      <w:pPr>
        <w:spacing w:before="120" w:line="480" w:lineRule="auto"/>
        <w:ind w:left="960"/>
        <w:rPr>
          <w:rFonts w:hint="default" w:cs="Times New Roman" w:asciiTheme="minorEastAsia" w:hAnsiTheme="minorEastAsia" w:eastAsiaTheme="minorEastAsia"/>
          <w:color w:val="auto"/>
          <w:sz w:val="24"/>
          <w:szCs w:val="24"/>
          <w:highlight w:val="none"/>
          <w:lang w:val="en-US" w:eastAsia="zh-CN"/>
        </w:rPr>
      </w:pPr>
      <w:r>
        <w:rPr>
          <w:rFonts w:hint="eastAsia" w:cs="Times New Roman" w:asciiTheme="minorEastAsia" w:hAnsiTheme="minorEastAsia" w:eastAsiaTheme="minorEastAsia"/>
          <w:color w:val="auto"/>
          <w:sz w:val="24"/>
          <w:szCs w:val="24"/>
          <w:highlight w:val="none"/>
        </w:rPr>
        <w:t>项目编号：</w:t>
      </w:r>
      <w:r>
        <w:rPr>
          <w:rFonts w:hint="eastAsia" w:cs="Times New Roman" w:asciiTheme="minorEastAsia" w:hAnsiTheme="minorEastAsia" w:eastAsiaTheme="minorEastAsia"/>
          <w:color w:val="auto"/>
          <w:sz w:val="24"/>
          <w:szCs w:val="24"/>
          <w:highlight w:val="none"/>
          <w:u w:val="single"/>
          <w:lang w:val="en-US" w:eastAsia="zh-CN"/>
        </w:rPr>
        <w:t xml:space="preserve">                 </w:t>
      </w:r>
    </w:p>
    <w:p w14:paraId="02E0CDCF">
      <w:pPr>
        <w:spacing w:before="120" w:line="480" w:lineRule="auto"/>
        <w:ind w:left="960"/>
        <w:rPr>
          <w:rFonts w:hint="eastAsia" w:cs="Times New Roman" w:asciiTheme="minorEastAsia" w:hAnsiTheme="minorEastAsia" w:eastAsiaTheme="minorEastAsia"/>
          <w:color w:val="auto"/>
          <w:sz w:val="24"/>
          <w:szCs w:val="24"/>
          <w:highlight w:val="none"/>
          <w:u w:val="single"/>
          <w:lang w:eastAsia="zh-CN"/>
        </w:rPr>
      </w:pPr>
      <w:r>
        <w:rPr>
          <w:rFonts w:hint="eastAsia" w:cs="Times New Roman" w:asciiTheme="minorEastAsia" w:hAnsiTheme="minorEastAsia" w:eastAsiaTheme="minorEastAsia"/>
          <w:color w:val="auto"/>
          <w:sz w:val="24"/>
          <w:szCs w:val="24"/>
          <w:highlight w:val="none"/>
        </w:rPr>
        <w:t>甲方（采购人）：</w:t>
      </w:r>
      <w:r>
        <w:rPr>
          <w:rFonts w:hint="eastAsia" w:cs="Times New Roman" w:asciiTheme="minorEastAsia" w:hAnsiTheme="minorEastAsia" w:eastAsiaTheme="minorEastAsia"/>
          <w:color w:val="auto"/>
          <w:sz w:val="24"/>
          <w:szCs w:val="24"/>
          <w:highlight w:val="none"/>
          <w:u w:val="single"/>
          <w:lang w:val="en-US" w:eastAsia="zh-CN"/>
        </w:rPr>
        <w:t xml:space="preserve"> </w:t>
      </w:r>
    </w:p>
    <w:p w14:paraId="5310807B">
      <w:pPr>
        <w:spacing w:before="120" w:line="480" w:lineRule="auto"/>
        <w:ind w:left="960"/>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乙方（中标人）：</w:t>
      </w:r>
      <w:r>
        <w:rPr>
          <w:rFonts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rPr>
        <w:t xml:space="preserve">                  </w:t>
      </w:r>
    </w:p>
    <w:p w14:paraId="39D913D4">
      <w:pPr>
        <w:spacing w:before="120" w:line="480" w:lineRule="auto"/>
        <w:ind w:firstLine="960" w:firstLineChars="400"/>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签订地：</w:t>
      </w:r>
      <w:r>
        <w:rPr>
          <w:rFonts w:hint="eastAsia" w:cs="Times New Roman" w:asciiTheme="minorEastAsia" w:hAnsiTheme="minorEastAsia" w:eastAsiaTheme="minorEastAsia"/>
          <w:color w:val="auto"/>
          <w:sz w:val="24"/>
          <w:szCs w:val="24"/>
          <w:highlight w:val="none"/>
          <w:u w:val="single"/>
        </w:rPr>
        <w:t xml:space="preserve">                                     </w:t>
      </w:r>
    </w:p>
    <w:p w14:paraId="523861C8">
      <w:pPr>
        <w:spacing w:before="120" w:line="480" w:lineRule="auto"/>
        <w:ind w:firstLine="960" w:firstLineChars="400"/>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签订日期：</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年</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月</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日</w:t>
      </w:r>
    </w:p>
    <w:p w14:paraId="549958E4">
      <w:pPr>
        <w:widowControl/>
        <w:jc w:val="left"/>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br w:type="page"/>
      </w:r>
    </w:p>
    <w:p w14:paraId="5E1E6D9B">
      <w:pPr>
        <w:keepNext w:val="0"/>
        <w:keepLines w:val="0"/>
        <w:pageBreakBefore w:val="0"/>
        <w:widowControl w:val="0"/>
        <w:kinsoku/>
        <w:wordWrap/>
        <w:overflowPunct/>
        <w:topLinePunct w:val="0"/>
        <w:autoSpaceDE/>
        <w:autoSpaceDN/>
        <w:bidi w:val="0"/>
        <w:adjustRightInd/>
        <w:snapToGrid/>
        <w:spacing w:line="520" w:lineRule="exact"/>
        <w:ind w:firstLine="437"/>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u w:val="single"/>
          <w:lang w:val="en-US" w:eastAsia="zh-CN"/>
        </w:rPr>
        <w:t>2026年中国国际皮划艇马拉松公开赛（安徽·滁州站）赛事服务项目</w:t>
      </w:r>
      <w:r>
        <w:rPr>
          <w:rFonts w:hint="eastAsia" w:asciiTheme="minorEastAsia" w:hAnsiTheme="minorEastAsia" w:eastAsiaTheme="minorEastAsia"/>
          <w:color w:val="auto"/>
          <w:sz w:val="21"/>
          <w:szCs w:val="21"/>
          <w:highlight w:val="none"/>
        </w:rPr>
        <w:t>（</w:t>
      </w:r>
      <w:r>
        <w:rPr>
          <w:rFonts w:hint="eastAsia" w:cs="Times New Roman" w:asciiTheme="minorEastAsia" w:hAnsiTheme="minorEastAsia" w:eastAsiaTheme="minorEastAsia"/>
          <w:color w:val="auto"/>
          <w:sz w:val="21"/>
          <w:szCs w:val="21"/>
          <w:highlight w:val="none"/>
          <w:lang w:val="zh-CN"/>
        </w:rPr>
        <w:t>以下简称：甲方</w:t>
      </w:r>
      <w:r>
        <w:rPr>
          <w:rFonts w:hint="eastAsia" w:asciiTheme="minorEastAsia" w:hAnsiTheme="minorEastAsia" w:eastAsiaTheme="minorEastAsia"/>
          <w:color w:val="auto"/>
          <w:sz w:val="21"/>
          <w:szCs w:val="21"/>
          <w:highlight w:val="none"/>
        </w:rPr>
        <w:t>）通过</w:t>
      </w:r>
      <w:r>
        <w:rPr>
          <w:rFonts w:hint="eastAsia" w:asciiTheme="minorEastAsia" w:hAnsiTheme="minorEastAsia" w:eastAsiaTheme="minorEastAsia"/>
          <w:color w:val="auto"/>
          <w:sz w:val="21"/>
          <w:szCs w:val="21"/>
          <w:highlight w:val="none"/>
          <w:u w:val="single"/>
          <w:lang w:val="en-US" w:eastAsia="zh-CN"/>
        </w:rPr>
        <w:t>滁州市城投工程咨询管理有限公司</w:t>
      </w:r>
      <w:r>
        <w:rPr>
          <w:rFonts w:hint="eastAsia" w:asciiTheme="minorEastAsia" w:hAnsiTheme="minorEastAsia" w:eastAsiaTheme="minorEastAsia"/>
          <w:color w:val="auto"/>
          <w:sz w:val="21"/>
          <w:szCs w:val="21"/>
          <w:highlight w:val="none"/>
        </w:rPr>
        <w:t>组织的</w:t>
      </w:r>
      <w:r>
        <w:rPr>
          <w:rFonts w:hint="eastAsia" w:asciiTheme="minorEastAsia" w:hAnsiTheme="minorEastAsia" w:eastAsiaTheme="minorEastAsia"/>
          <w:color w:val="auto"/>
          <w:sz w:val="21"/>
          <w:szCs w:val="21"/>
          <w:highlight w:val="none"/>
          <w:u w:val="single"/>
        </w:rPr>
        <w:t>公开招标</w:t>
      </w:r>
      <w:r>
        <w:rPr>
          <w:rFonts w:hint="eastAsia" w:asciiTheme="minorEastAsia" w:hAnsiTheme="minorEastAsia" w:eastAsiaTheme="minorEastAsia"/>
          <w:color w:val="auto"/>
          <w:sz w:val="21"/>
          <w:szCs w:val="21"/>
          <w:highlight w:val="none"/>
        </w:rPr>
        <w:t>方式采购活动，经</w:t>
      </w:r>
      <w:r>
        <w:rPr>
          <w:rFonts w:hint="eastAsia" w:asciiTheme="minorEastAsia" w:hAnsiTheme="minorEastAsia" w:eastAsiaTheme="minorEastAsia"/>
          <w:color w:val="auto"/>
          <w:sz w:val="21"/>
          <w:szCs w:val="21"/>
          <w:highlight w:val="none"/>
          <w:u w:val="single"/>
        </w:rPr>
        <w:t>评标委员会</w:t>
      </w:r>
      <w:r>
        <w:rPr>
          <w:rFonts w:hint="eastAsia" w:asciiTheme="minorEastAsia" w:hAnsiTheme="minorEastAsia" w:eastAsiaTheme="minorEastAsia"/>
          <w:color w:val="auto"/>
          <w:sz w:val="21"/>
          <w:szCs w:val="21"/>
          <w:highlight w:val="none"/>
        </w:rPr>
        <w:t>评定，</w:t>
      </w:r>
      <w:r>
        <w:rPr>
          <w:rFonts w:hint="eastAsia" w:asciiTheme="minorEastAsia" w:hAnsiTheme="minorEastAsia" w:eastAsiaTheme="minorEastAsia"/>
          <w:color w:val="auto"/>
          <w:sz w:val="21"/>
          <w:szCs w:val="21"/>
          <w:highlight w:val="none"/>
          <w:u w:val="single"/>
          <w:lang w:val="en-US" w:eastAsia="zh-CN"/>
        </w:rPr>
        <w:t xml:space="preserve">          </w:t>
      </w:r>
      <w:r>
        <w:rPr>
          <w:rFonts w:hint="eastAsia" w:asciiTheme="minorEastAsia" w:hAnsiTheme="minorEastAsia" w:eastAsiaTheme="minorEastAsia"/>
          <w:color w:val="auto"/>
          <w:sz w:val="21"/>
          <w:szCs w:val="21"/>
          <w:highlight w:val="none"/>
        </w:rPr>
        <w:t>（</w:t>
      </w:r>
      <w:r>
        <w:rPr>
          <w:rFonts w:hint="eastAsia" w:cs="Times New Roman" w:asciiTheme="minorEastAsia" w:hAnsiTheme="minorEastAsia" w:eastAsiaTheme="minorEastAsia"/>
          <w:color w:val="auto"/>
          <w:sz w:val="21"/>
          <w:szCs w:val="21"/>
          <w:highlight w:val="none"/>
          <w:lang w:val="zh-CN"/>
        </w:rPr>
        <w:t>以下简称：乙方</w:t>
      </w:r>
      <w:r>
        <w:rPr>
          <w:rFonts w:hint="eastAsia" w:asciiTheme="minorEastAsia" w:hAnsiTheme="minorEastAsia" w:eastAsiaTheme="minorEastAsia"/>
          <w:color w:val="auto"/>
          <w:sz w:val="21"/>
          <w:szCs w:val="21"/>
          <w:highlight w:val="none"/>
        </w:rPr>
        <w:t>）为本项目中标人，现</w:t>
      </w:r>
      <w:r>
        <w:rPr>
          <w:rFonts w:hint="eastAsia" w:cs="Times New Roman" w:asciiTheme="minorEastAsia" w:hAnsiTheme="minorEastAsia" w:eastAsiaTheme="minorEastAsia"/>
          <w:color w:val="auto"/>
          <w:sz w:val="21"/>
          <w:szCs w:val="21"/>
          <w:highlight w:val="none"/>
        </w:rPr>
        <w:t>按照</w:t>
      </w:r>
      <w:r>
        <w:rPr>
          <w:rFonts w:hint="eastAsia" w:cs="Times New Roman" w:asciiTheme="minorEastAsia" w:hAnsiTheme="minorEastAsia" w:eastAsiaTheme="minorEastAsia"/>
          <w:color w:val="auto"/>
          <w:sz w:val="21"/>
          <w:szCs w:val="21"/>
          <w:highlight w:val="none"/>
          <w:lang w:val="en-US" w:eastAsia="zh-CN"/>
        </w:rPr>
        <w:t>招标</w:t>
      </w:r>
      <w:r>
        <w:rPr>
          <w:rFonts w:hint="eastAsia" w:cs="Times New Roman" w:asciiTheme="minorEastAsia" w:hAnsiTheme="minorEastAsia" w:eastAsiaTheme="minorEastAsia"/>
          <w:color w:val="auto"/>
          <w:sz w:val="21"/>
          <w:szCs w:val="21"/>
          <w:highlight w:val="none"/>
        </w:rPr>
        <w:t>文件确定的事项签订本合同。</w:t>
      </w:r>
    </w:p>
    <w:p w14:paraId="2FBCF007">
      <w:pPr>
        <w:keepNext w:val="0"/>
        <w:keepLines w:val="0"/>
        <w:pageBreakBefore w:val="0"/>
        <w:widowControl w:val="0"/>
        <w:kinsoku/>
        <w:wordWrap/>
        <w:overflowPunct/>
        <w:topLinePunct w:val="0"/>
        <w:autoSpaceDE/>
        <w:autoSpaceDN/>
        <w:bidi w:val="0"/>
        <w:adjustRightInd/>
        <w:snapToGrid/>
        <w:spacing w:line="520" w:lineRule="exact"/>
        <w:ind w:firstLine="437"/>
        <w:textAlignment w:val="auto"/>
        <w:rPr>
          <w:rFonts w:cs="Times New Roman" w:asciiTheme="minorEastAsia" w:hAnsiTheme="minorEastAsia" w:eastAsiaTheme="minorEastAsia"/>
          <w:color w:val="auto"/>
          <w:sz w:val="21"/>
          <w:szCs w:val="21"/>
          <w:highlight w:val="none"/>
          <w:lang w:val="zh-CN"/>
        </w:rPr>
      </w:pPr>
      <w:r>
        <w:rPr>
          <w:rFonts w:hint="eastAsia" w:asciiTheme="minorEastAsia" w:hAnsiTheme="minorEastAsia" w:eastAsiaTheme="minorEastAsia"/>
          <w:color w:val="auto"/>
          <w:sz w:val="21"/>
          <w:szCs w:val="21"/>
          <w:highlight w:val="none"/>
        </w:rPr>
        <w:t>根据《中华人民共和国民法典》等相关法律法规之规定，按照平等、自愿、公平和诚实信用的原则，经甲方和乙方协商一致，约定以下合同条款，以兹共同遵守、全面履行。</w:t>
      </w:r>
    </w:p>
    <w:p w14:paraId="589DFA4F">
      <w:pPr>
        <w:keepNext w:val="0"/>
        <w:keepLines w:val="0"/>
        <w:pageBreakBefore w:val="0"/>
        <w:kinsoku/>
        <w:wordWrap/>
        <w:overflowPunct/>
        <w:topLinePunct w:val="0"/>
        <w:bidi w:val="0"/>
        <w:snapToGrid/>
        <w:spacing w:line="440" w:lineRule="exact"/>
        <w:ind w:firstLine="437"/>
        <w:textAlignment w:val="auto"/>
        <w:outlineLvl w:val="2"/>
        <w:rPr>
          <w:rFonts w:cs="Times New Roman" w:asciiTheme="minorEastAsia" w:hAnsiTheme="minorEastAsia" w:eastAsiaTheme="minorEastAsia"/>
          <w:b/>
          <w:bCs/>
          <w:color w:val="auto"/>
          <w:sz w:val="21"/>
          <w:szCs w:val="21"/>
          <w:highlight w:val="none"/>
          <w:lang w:val="zh-CN"/>
        </w:rPr>
      </w:pPr>
      <w:bookmarkStart w:id="104" w:name="_Toc3029"/>
      <w:bookmarkStart w:id="105" w:name="_Toc2232"/>
      <w:bookmarkStart w:id="106" w:name="_Toc24059"/>
      <w:r>
        <w:rPr>
          <w:rFonts w:hint="eastAsia" w:cs="Times New Roman" w:asciiTheme="minorEastAsia" w:hAnsiTheme="minorEastAsia" w:eastAsiaTheme="minorEastAsia"/>
          <w:b/>
          <w:bCs/>
          <w:color w:val="auto"/>
          <w:sz w:val="21"/>
          <w:szCs w:val="21"/>
          <w:highlight w:val="none"/>
          <w:lang w:val="zh-CN"/>
        </w:rPr>
        <w:t>1.1</w:t>
      </w:r>
      <w:r>
        <w:rPr>
          <w:rFonts w:cs="Times New Roman" w:asciiTheme="minorEastAsia" w:hAnsiTheme="minorEastAsia" w:eastAsiaTheme="minorEastAsia"/>
          <w:b/>
          <w:bCs/>
          <w:color w:val="auto"/>
          <w:sz w:val="21"/>
          <w:szCs w:val="21"/>
          <w:highlight w:val="none"/>
          <w:lang w:val="zh-CN"/>
        </w:rPr>
        <w:t xml:space="preserve"> </w:t>
      </w:r>
      <w:r>
        <w:rPr>
          <w:rFonts w:hint="eastAsia" w:cs="Times New Roman" w:asciiTheme="minorEastAsia" w:hAnsiTheme="minorEastAsia" w:eastAsiaTheme="minorEastAsia"/>
          <w:b/>
          <w:bCs/>
          <w:color w:val="auto"/>
          <w:sz w:val="21"/>
          <w:szCs w:val="21"/>
          <w:highlight w:val="none"/>
          <w:lang w:val="zh-CN"/>
        </w:rPr>
        <w:t>合同组成部分</w:t>
      </w:r>
      <w:bookmarkEnd w:id="104"/>
      <w:bookmarkEnd w:id="105"/>
      <w:bookmarkEnd w:id="106"/>
    </w:p>
    <w:p w14:paraId="29814FC8">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lang w:val="zh-CN"/>
        </w:rPr>
      </w:pPr>
      <w:r>
        <w:rPr>
          <w:rFonts w:hint="eastAsia" w:cs="Times New Roman" w:asciiTheme="minorEastAsia" w:hAnsiTheme="minorEastAsia" w:eastAsiaTheme="minorEastAsia"/>
          <w:color w:val="auto"/>
          <w:sz w:val="21"/>
          <w:szCs w:val="21"/>
          <w:highlight w:val="none"/>
          <w:lang w:val="zh-CN"/>
        </w:rPr>
        <w:t>下列文件为本合同的组成部分，并构成一个整体，需综合解释、相互补充。如果下列文件内容出现不一致的情形，那么在保证按照</w:t>
      </w:r>
      <w:r>
        <w:rPr>
          <w:rFonts w:hint="eastAsia" w:cs="Times New Roman" w:asciiTheme="minorEastAsia" w:hAnsiTheme="minorEastAsia" w:eastAsiaTheme="minorEastAsia"/>
          <w:color w:val="auto"/>
          <w:sz w:val="21"/>
          <w:szCs w:val="21"/>
          <w:highlight w:val="none"/>
          <w:lang w:val="en-US" w:eastAsia="zh-CN"/>
        </w:rPr>
        <w:t>招标</w:t>
      </w:r>
      <w:r>
        <w:rPr>
          <w:rFonts w:hint="eastAsia" w:cs="Times New Roman" w:asciiTheme="minorEastAsia" w:hAnsiTheme="minorEastAsia" w:eastAsiaTheme="minorEastAsia"/>
          <w:color w:val="auto"/>
          <w:sz w:val="21"/>
          <w:szCs w:val="21"/>
          <w:highlight w:val="none"/>
          <w:lang w:val="zh-CN"/>
        </w:rPr>
        <w:t>文件确定的事项前提下，组成本合同的多个文件的优先适用顺序如下：</w:t>
      </w:r>
    </w:p>
    <w:p w14:paraId="64E40109">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lang w:val="zh-CN"/>
        </w:rPr>
      </w:pPr>
      <w:r>
        <w:rPr>
          <w:rFonts w:hint="eastAsia" w:cs="Times New Roman" w:asciiTheme="minorEastAsia" w:hAnsiTheme="minorEastAsia" w:eastAsiaTheme="minorEastAsia"/>
          <w:color w:val="auto"/>
          <w:sz w:val="21"/>
          <w:szCs w:val="21"/>
          <w:highlight w:val="none"/>
          <w:lang w:val="zh-CN"/>
        </w:rPr>
        <w:t>1.1.1本合同及其补充合同、变更协议；</w:t>
      </w:r>
    </w:p>
    <w:p w14:paraId="002A9A6D">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lang w:val="zh-CN"/>
        </w:rPr>
      </w:pPr>
      <w:r>
        <w:rPr>
          <w:rFonts w:hint="eastAsia" w:cs="Times New Roman" w:asciiTheme="minorEastAsia" w:hAnsiTheme="minorEastAsia" w:eastAsiaTheme="minorEastAsia"/>
          <w:color w:val="auto"/>
          <w:sz w:val="21"/>
          <w:szCs w:val="21"/>
          <w:highlight w:val="none"/>
          <w:lang w:val="zh-CN"/>
        </w:rPr>
        <w:t>1.1.2中标通知书；</w:t>
      </w:r>
    </w:p>
    <w:p w14:paraId="3D5700A4">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lang w:val="zh-CN"/>
        </w:rPr>
      </w:pPr>
      <w:r>
        <w:rPr>
          <w:rFonts w:hint="eastAsia" w:cs="Times New Roman" w:asciiTheme="minorEastAsia" w:hAnsiTheme="minorEastAsia" w:eastAsiaTheme="minorEastAsia"/>
          <w:color w:val="auto"/>
          <w:sz w:val="21"/>
          <w:szCs w:val="21"/>
          <w:highlight w:val="none"/>
          <w:lang w:val="zh-CN"/>
        </w:rPr>
        <w:t>1.1.3投标文件（含澄清或者说明文件）；</w:t>
      </w:r>
    </w:p>
    <w:p w14:paraId="36924C3D">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lang w:val="zh-CN"/>
        </w:rPr>
      </w:pPr>
      <w:r>
        <w:rPr>
          <w:rFonts w:hint="eastAsia" w:cs="Times New Roman" w:asciiTheme="minorEastAsia" w:hAnsiTheme="minorEastAsia" w:eastAsiaTheme="minorEastAsia"/>
          <w:color w:val="auto"/>
          <w:sz w:val="21"/>
          <w:szCs w:val="21"/>
          <w:highlight w:val="none"/>
          <w:lang w:val="zh-CN"/>
        </w:rPr>
        <w:t>1.1.4招标文件（含澄清或者修改文件）；</w:t>
      </w:r>
    </w:p>
    <w:p w14:paraId="16A01495">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lang w:val="zh-CN"/>
        </w:rPr>
      </w:pPr>
      <w:r>
        <w:rPr>
          <w:rFonts w:hint="eastAsia" w:cs="Times New Roman" w:asciiTheme="minorEastAsia" w:hAnsiTheme="minorEastAsia" w:eastAsiaTheme="minorEastAsia"/>
          <w:color w:val="auto"/>
          <w:sz w:val="21"/>
          <w:szCs w:val="21"/>
          <w:highlight w:val="none"/>
          <w:lang w:val="zh-CN"/>
        </w:rPr>
        <w:t>1.1.5其他相关采购文件。</w:t>
      </w:r>
    </w:p>
    <w:p w14:paraId="23C84C59">
      <w:pPr>
        <w:keepNext w:val="0"/>
        <w:keepLines w:val="0"/>
        <w:pageBreakBefore w:val="0"/>
        <w:kinsoku/>
        <w:wordWrap/>
        <w:overflowPunct/>
        <w:topLinePunct w:val="0"/>
        <w:bidi w:val="0"/>
        <w:snapToGrid/>
        <w:spacing w:line="440" w:lineRule="exact"/>
        <w:ind w:firstLine="437"/>
        <w:textAlignment w:val="auto"/>
        <w:outlineLvl w:val="2"/>
        <w:rPr>
          <w:rFonts w:cs="Times New Roman" w:asciiTheme="minorEastAsia" w:hAnsiTheme="minorEastAsia" w:eastAsiaTheme="minorEastAsia"/>
          <w:b/>
          <w:bCs/>
          <w:color w:val="auto"/>
          <w:sz w:val="21"/>
          <w:szCs w:val="21"/>
          <w:highlight w:val="none"/>
          <w:lang w:val="zh-CN"/>
        </w:rPr>
      </w:pPr>
      <w:bookmarkStart w:id="107" w:name="_Toc18585"/>
      <w:bookmarkStart w:id="108" w:name="_Toc22185"/>
      <w:bookmarkStart w:id="109" w:name="_Toc2918"/>
      <w:bookmarkStart w:id="110" w:name="_Toc6773"/>
      <w:bookmarkStart w:id="111" w:name="_Toc6311"/>
      <w:r>
        <w:rPr>
          <w:rFonts w:hint="eastAsia" w:cs="Times New Roman" w:asciiTheme="minorEastAsia" w:hAnsiTheme="minorEastAsia" w:eastAsiaTheme="minorEastAsia"/>
          <w:b/>
          <w:bCs/>
          <w:color w:val="auto"/>
          <w:sz w:val="21"/>
          <w:szCs w:val="21"/>
          <w:highlight w:val="none"/>
          <w:lang w:val="zh-CN"/>
        </w:rPr>
        <w:t xml:space="preserve">1.2 </w:t>
      </w:r>
      <w:bookmarkEnd w:id="107"/>
      <w:bookmarkEnd w:id="108"/>
      <w:bookmarkEnd w:id="109"/>
      <w:bookmarkEnd w:id="110"/>
      <w:bookmarkEnd w:id="111"/>
      <w:r>
        <w:rPr>
          <w:rFonts w:hint="eastAsia" w:cs="Times New Roman" w:asciiTheme="minorEastAsia" w:hAnsiTheme="minorEastAsia" w:eastAsiaTheme="minorEastAsia"/>
          <w:b/>
          <w:bCs/>
          <w:color w:val="auto"/>
          <w:sz w:val="21"/>
          <w:szCs w:val="21"/>
          <w:highlight w:val="none"/>
          <w:lang w:val="zh-CN"/>
        </w:rPr>
        <w:t>服务</w:t>
      </w:r>
    </w:p>
    <w:p w14:paraId="083CDB15">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u w:val="single"/>
        </w:rPr>
      </w:pPr>
      <w:r>
        <w:rPr>
          <w:rFonts w:hint="eastAsia" w:cs="Times New Roman" w:asciiTheme="minorEastAsia" w:hAnsiTheme="minorEastAsia" w:eastAsiaTheme="minorEastAsia"/>
          <w:color w:val="auto"/>
          <w:sz w:val="21"/>
          <w:szCs w:val="21"/>
          <w:highlight w:val="none"/>
        </w:rPr>
        <w:t>1.2.1服务</w:t>
      </w:r>
      <w:r>
        <w:rPr>
          <w:rFonts w:cs="Times New Roman" w:asciiTheme="minorEastAsia" w:hAnsiTheme="minorEastAsia" w:eastAsiaTheme="minorEastAsia"/>
          <w:color w:val="auto"/>
          <w:sz w:val="21"/>
          <w:szCs w:val="21"/>
          <w:highlight w:val="none"/>
        </w:rPr>
        <w:t>名称：</w:t>
      </w:r>
      <w:r>
        <w:rPr>
          <w:rFonts w:hint="eastAsia" w:cs="Times New Roman" w:asciiTheme="minorEastAsia" w:hAnsiTheme="minorEastAsia" w:eastAsiaTheme="minorEastAsia"/>
          <w:color w:val="auto"/>
          <w:sz w:val="21"/>
          <w:szCs w:val="21"/>
          <w:highlight w:val="none"/>
          <w:u w:val="single"/>
          <w:lang w:val="en-US" w:eastAsia="zh-CN"/>
        </w:rPr>
        <w:t>2026年中国国际皮划艇马拉松公开赛（安徽·滁州站）赛事服务项目</w:t>
      </w:r>
      <w:r>
        <w:rPr>
          <w:rFonts w:hint="eastAsia" w:cs="Times New Roman" w:asciiTheme="minorEastAsia" w:hAnsiTheme="minorEastAsia" w:eastAsiaTheme="minorEastAsia"/>
          <w:color w:val="auto"/>
          <w:sz w:val="21"/>
          <w:szCs w:val="21"/>
          <w:highlight w:val="none"/>
        </w:rPr>
        <w:t>；</w:t>
      </w:r>
    </w:p>
    <w:p w14:paraId="25980F00">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u w:val="single"/>
        </w:rPr>
      </w:pPr>
      <w:r>
        <w:rPr>
          <w:rFonts w:hint="eastAsia" w:cs="Times New Roman" w:asciiTheme="minorEastAsia" w:hAnsiTheme="minorEastAsia" w:eastAsiaTheme="minorEastAsia"/>
          <w:color w:val="auto"/>
          <w:sz w:val="21"/>
          <w:szCs w:val="21"/>
          <w:highlight w:val="none"/>
        </w:rPr>
        <w:t>1.2.2服务内容</w:t>
      </w:r>
      <w:r>
        <w:rPr>
          <w:rFonts w:hint="eastAsia" w:asciiTheme="minorEastAsia" w:hAnsiTheme="minorEastAsia" w:eastAsiaTheme="minorEastAsia"/>
          <w:color w:val="auto"/>
          <w:sz w:val="21"/>
          <w:szCs w:val="21"/>
          <w:highlight w:val="none"/>
          <w:u w:val="none"/>
          <w:lang w:val="en-US" w:eastAsia="zh-CN"/>
        </w:rPr>
        <w:t>：</w:t>
      </w:r>
      <w:r>
        <w:rPr>
          <w:rFonts w:hint="eastAsia" w:asciiTheme="minorEastAsia" w:hAnsiTheme="minorEastAsia" w:eastAsiaTheme="minorEastAsia"/>
          <w:color w:val="auto"/>
          <w:sz w:val="21"/>
          <w:szCs w:val="21"/>
          <w:highlight w:val="none"/>
          <w:u w:val="single"/>
          <w:lang w:val="en-US" w:eastAsia="zh-CN"/>
        </w:rPr>
        <w:t>乙方负责承担2026年滁州皮划艇的赛事策划、赛事注册认证（含费用）、品牌定位与推广、商务开发、竞赛组织和器材保障、媒体宣传推广、赛事直播、赛道和场地布置、赛事奖金、志愿者招募管理、后勤接待保障、各类资料印制、赛事保险、医疗救援、安全保卫、电力、通信保障等赛事核定执行内容的一切费用，包括赛事不可预见的其他工作及支出</w:t>
      </w:r>
      <w:r>
        <w:rPr>
          <w:rFonts w:hint="eastAsia" w:cs="Times New Roman" w:asciiTheme="minorEastAsia" w:hAnsiTheme="minorEastAsia" w:eastAsiaTheme="minorEastAsia"/>
          <w:color w:val="auto"/>
          <w:sz w:val="21"/>
          <w:szCs w:val="21"/>
          <w:highlight w:val="none"/>
        </w:rPr>
        <w:t>；</w:t>
      </w:r>
    </w:p>
    <w:p w14:paraId="4762ECD1">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1.2.3服务质量：</w:t>
      </w:r>
      <w:r>
        <w:rPr>
          <w:rFonts w:hint="eastAsia" w:asciiTheme="minorEastAsia" w:hAnsiTheme="minorEastAsia" w:eastAsiaTheme="minorEastAsia"/>
          <w:color w:val="auto"/>
          <w:sz w:val="21"/>
          <w:szCs w:val="21"/>
          <w:highlight w:val="none"/>
          <w:u w:val="single"/>
          <w:lang w:val="en-US" w:eastAsia="zh-CN"/>
        </w:rPr>
        <w:t>赛事规模需达到本年度要求，赛事举办热烈、平稳、安全；赛事获得中国皮划艇协会认证认可，成为中国皮划艇协会认证的国际赛事，打造成国内知名赛事</w:t>
      </w:r>
      <w:r>
        <w:rPr>
          <w:rFonts w:hint="eastAsia" w:cs="Times New Roman" w:asciiTheme="minorEastAsia" w:hAnsiTheme="minorEastAsia" w:eastAsiaTheme="minorEastAsia"/>
          <w:color w:val="auto"/>
          <w:sz w:val="21"/>
          <w:szCs w:val="21"/>
          <w:highlight w:val="none"/>
        </w:rPr>
        <w:t>。</w:t>
      </w:r>
    </w:p>
    <w:p w14:paraId="29D7FA23">
      <w:pPr>
        <w:keepNext w:val="0"/>
        <w:keepLines w:val="0"/>
        <w:pageBreakBefore w:val="0"/>
        <w:kinsoku/>
        <w:wordWrap/>
        <w:overflowPunct/>
        <w:topLinePunct w:val="0"/>
        <w:bidi w:val="0"/>
        <w:snapToGrid/>
        <w:spacing w:line="440" w:lineRule="exact"/>
        <w:ind w:firstLine="437"/>
        <w:textAlignment w:val="auto"/>
        <w:outlineLvl w:val="2"/>
        <w:rPr>
          <w:rFonts w:cs="Times New Roman" w:asciiTheme="minorEastAsia" w:hAnsiTheme="minorEastAsia" w:eastAsiaTheme="minorEastAsia"/>
          <w:b/>
          <w:bCs/>
          <w:color w:val="auto"/>
          <w:sz w:val="21"/>
          <w:szCs w:val="21"/>
          <w:highlight w:val="none"/>
          <w:lang w:val="zh-CN"/>
        </w:rPr>
      </w:pPr>
      <w:bookmarkStart w:id="112" w:name="_Toc21551"/>
      <w:bookmarkStart w:id="113" w:name="_Toc21631"/>
      <w:bookmarkStart w:id="114" w:name="_Toc23292"/>
      <w:r>
        <w:rPr>
          <w:rFonts w:hint="eastAsia" w:cs="Times New Roman" w:asciiTheme="minorEastAsia" w:hAnsiTheme="minorEastAsia" w:eastAsiaTheme="minorEastAsia"/>
          <w:b/>
          <w:bCs/>
          <w:color w:val="auto"/>
          <w:sz w:val="21"/>
          <w:szCs w:val="21"/>
          <w:highlight w:val="none"/>
          <w:lang w:val="zh-CN"/>
        </w:rPr>
        <w:t>1.</w:t>
      </w:r>
      <w:r>
        <w:rPr>
          <w:rFonts w:cs="Times New Roman" w:asciiTheme="minorEastAsia" w:hAnsiTheme="minorEastAsia" w:eastAsiaTheme="minorEastAsia"/>
          <w:b/>
          <w:bCs/>
          <w:color w:val="auto"/>
          <w:sz w:val="21"/>
          <w:szCs w:val="21"/>
          <w:highlight w:val="none"/>
          <w:lang w:val="zh-CN"/>
        </w:rPr>
        <w:t xml:space="preserve">3 </w:t>
      </w:r>
      <w:r>
        <w:rPr>
          <w:rFonts w:hint="eastAsia" w:cs="Times New Roman" w:asciiTheme="minorEastAsia" w:hAnsiTheme="minorEastAsia" w:eastAsiaTheme="minorEastAsia"/>
          <w:b/>
          <w:bCs/>
          <w:color w:val="auto"/>
          <w:sz w:val="21"/>
          <w:szCs w:val="21"/>
          <w:highlight w:val="none"/>
          <w:lang w:val="zh-CN"/>
        </w:rPr>
        <w:t>价款</w:t>
      </w:r>
      <w:bookmarkEnd w:id="112"/>
      <w:bookmarkEnd w:id="113"/>
      <w:bookmarkEnd w:id="114"/>
    </w:p>
    <w:p w14:paraId="43B34186">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cs="Times New Roman" w:asciiTheme="minorEastAsia" w:hAnsiTheme="minorEastAsia" w:eastAsiaTheme="minorEastAsia"/>
          <w:color w:val="auto"/>
          <w:sz w:val="21"/>
          <w:szCs w:val="21"/>
          <w:highlight w:val="none"/>
        </w:rPr>
        <w:t>本合同总价为</w:t>
      </w:r>
      <w:r>
        <w:rPr>
          <w:rFonts w:hint="eastAsia" w:cs="Times New Roman" w:asciiTheme="minorEastAsia" w:hAnsiTheme="minorEastAsia" w:eastAsiaTheme="minorEastAsia"/>
          <w:color w:val="auto"/>
          <w:sz w:val="21"/>
          <w:szCs w:val="21"/>
          <w:highlight w:val="none"/>
        </w:rPr>
        <w:t>：￥</w:t>
      </w:r>
      <w:r>
        <w:rPr>
          <w:rFonts w:hint="eastAsia" w:cs="Times New Roman" w:asciiTheme="minorEastAsia" w:hAnsiTheme="minorEastAsia" w:eastAsiaTheme="minorEastAsia"/>
          <w:color w:val="auto"/>
          <w:sz w:val="21"/>
          <w:szCs w:val="21"/>
          <w:highlight w:val="none"/>
          <w:u w:val="single"/>
        </w:rPr>
        <w:t xml:space="preserve">        </w:t>
      </w:r>
      <w:r>
        <w:rPr>
          <w:rFonts w:hint="eastAsia" w:cs="Times New Roman" w:asciiTheme="minorEastAsia" w:hAnsiTheme="minorEastAsia" w:eastAsiaTheme="minorEastAsia"/>
          <w:color w:val="auto"/>
          <w:sz w:val="21"/>
          <w:szCs w:val="21"/>
          <w:highlight w:val="none"/>
          <w:u w:val="single"/>
          <w:lang w:val="en-US" w:eastAsia="zh-CN"/>
        </w:rPr>
        <w:t xml:space="preserve">    </w:t>
      </w:r>
      <w:r>
        <w:rPr>
          <w:rFonts w:hint="eastAsia" w:cs="Times New Roman" w:asciiTheme="minorEastAsia" w:hAnsiTheme="minorEastAsia" w:eastAsiaTheme="minorEastAsia"/>
          <w:color w:val="auto"/>
          <w:sz w:val="21"/>
          <w:szCs w:val="21"/>
          <w:highlight w:val="none"/>
          <w:u w:val="single"/>
        </w:rPr>
        <w:t xml:space="preserve">   </w:t>
      </w:r>
      <w:r>
        <w:rPr>
          <w:rFonts w:cs="Times New Roman" w:asciiTheme="minorEastAsia" w:hAnsiTheme="minorEastAsia" w:eastAsiaTheme="minorEastAsia"/>
          <w:color w:val="auto"/>
          <w:sz w:val="21"/>
          <w:szCs w:val="21"/>
          <w:highlight w:val="none"/>
        </w:rPr>
        <w:t>元</w:t>
      </w:r>
      <w:r>
        <w:rPr>
          <w:rFonts w:hint="eastAsia" w:cs="Times New Roman" w:asciiTheme="minorEastAsia" w:hAnsiTheme="minorEastAsia" w:eastAsiaTheme="minorEastAsia"/>
          <w:color w:val="auto"/>
          <w:sz w:val="21"/>
          <w:szCs w:val="21"/>
          <w:highlight w:val="none"/>
        </w:rPr>
        <w:t>（大写：人民币</w:t>
      </w:r>
      <w:r>
        <w:rPr>
          <w:rFonts w:hint="eastAsia" w:cs="Times New Roman" w:asciiTheme="minorEastAsia" w:hAnsiTheme="minorEastAsia" w:eastAsiaTheme="minorEastAsia"/>
          <w:color w:val="auto"/>
          <w:sz w:val="21"/>
          <w:szCs w:val="21"/>
          <w:highlight w:val="none"/>
          <w:u w:val="single"/>
        </w:rPr>
        <w:t xml:space="preserve">            </w:t>
      </w:r>
      <w:r>
        <w:rPr>
          <w:rFonts w:hint="eastAsia" w:cs="Times New Roman" w:asciiTheme="minorEastAsia" w:hAnsiTheme="minorEastAsia" w:eastAsiaTheme="minorEastAsia"/>
          <w:color w:val="auto"/>
          <w:sz w:val="21"/>
          <w:szCs w:val="21"/>
          <w:highlight w:val="none"/>
          <w:u w:val="single"/>
          <w:lang w:val="en-US" w:eastAsia="zh-CN"/>
        </w:rPr>
        <w:t xml:space="preserve">     </w:t>
      </w:r>
      <w:r>
        <w:rPr>
          <w:rFonts w:hint="eastAsia" w:cs="Times New Roman" w:asciiTheme="minorEastAsia" w:hAnsiTheme="minorEastAsia" w:eastAsiaTheme="minorEastAsia"/>
          <w:color w:val="auto"/>
          <w:sz w:val="21"/>
          <w:szCs w:val="21"/>
          <w:highlight w:val="none"/>
          <w:u w:val="single"/>
        </w:rPr>
        <w:t xml:space="preserve">     </w:t>
      </w:r>
      <w:r>
        <w:rPr>
          <w:rFonts w:hint="eastAsia" w:cs="Times New Roman" w:asciiTheme="minorEastAsia" w:hAnsiTheme="minorEastAsia" w:eastAsiaTheme="minorEastAsia"/>
          <w:color w:val="auto"/>
          <w:sz w:val="21"/>
          <w:szCs w:val="21"/>
          <w:highlight w:val="none"/>
        </w:rPr>
        <w:t>元）</w:t>
      </w:r>
      <w:r>
        <w:rPr>
          <w:rFonts w:cs="Times New Roman" w:asciiTheme="minorEastAsia" w:hAnsiTheme="minorEastAsia" w:eastAsiaTheme="minorEastAsia"/>
          <w:color w:val="auto"/>
          <w:sz w:val="21"/>
          <w:szCs w:val="21"/>
          <w:highlight w:val="none"/>
        </w:rPr>
        <w:t>。</w:t>
      </w:r>
    </w:p>
    <w:p w14:paraId="53CC2D72">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u w:val="single"/>
        </w:rPr>
      </w:pPr>
      <w:r>
        <w:rPr>
          <w:rFonts w:cs="Times New Roman" w:asciiTheme="minorEastAsia" w:hAnsiTheme="minorEastAsia" w:eastAsiaTheme="minorEastAsia"/>
          <w:color w:val="auto"/>
          <w:sz w:val="21"/>
          <w:szCs w:val="21"/>
          <w:highlight w:val="none"/>
        </w:rPr>
        <w:t>分项价格：</w:t>
      </w:r>
    </w:p>
    <w:tbl>
      <w:tblPr>
        <w:tblStyle w:val="3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16"/>
        <w:gridCol w:w="12"/>
        <w:gridCol w:w="3225"/>
        <w:gridCol w:w="12"/>
      </w:tblGrid>
      <w:tr w14:paraId="4CE01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vAlign w:val="center"/>
          </w:tcPr>
          <w:p w14:paraId="269986D6">
            <w:pPr>
              <w:keepNext w:val="0"/>
              <w:keepLines w:val="0"/>
              <w:pageBreakBefore w:val="0"/>
              <w:suppressLineNumbers w:val="0"/>
              <w:kinsoku/>
              <w:wordWrap/>
              <w:overflowPunct/>
              <w:topLinePunct w:val="0"/>
              <w:bidi w:val="0"/>
              <w:snapToGrid/>
              <w:spacing w:before="0" w:beforeAutospacing="0" w:after="0" w:afterAutospacing="0" w:line="440" w:lineRule="exact"/>
              <w:ind w:left="0" w:right="0"/>
              <w:jc w:val="center"/>
              <w:textAlignment w:val="auto"/>
              <w:rPr>
                <w:rFonts w:hint="default" w:cs="Times New Roman" w:asciiTheme="minorEastAsia" w:hAnsiTheme="minorEastAsia" w:eastAsiaTheme="minorEastAsia"/>
                <w:color w:val="auto"/>
                <w:sz w:val="21"/>
                <w:szCs w:val="21"/>
                <w:highlight w:val="none"/>
                <w:lang w:val="zh-CN"/>
              </w:rPr>
            </w:pPr>
            <w:r>
              <w:rPr>
                <w:rFonts w:hint="default" w:cs="Times New Roman" w:asciiTheme="minorEastAsia" w:hAnsiTheme="minorEastAsia" w:eastAsiaTheme="minorEastAsia"/>
                <w:color w:val="auto"/>
                <w:sz w:val="21"/>
                <w:szCs w:val="21"/>
                <w:highlight w:val="none"/>
                <w:lang w:val="zh-CN"/>
              </w:rPr>
              <w:t>序号</w:t>
            </w:r>
          </w:p>
        </w:tc>
        <w:tc>
          <w:tcPr>
            <w:tcW w:w="4316" w:type="dxa"/>
            <w:vAlign w:val="center"/>
          </w:tcPr>
          <w:p w14:paraId="025131F1">
            <w:pPr>
              <w:keepNext w:val="0"/>
              <w:keepLines w:val="0"/>
              <w:pageBreakBefore w:val="0"/>
              <w:suppressLineNumbers w:val="0"/>
              <w:kinsoku/>
              <w:wordWrap/>
              <w:overflowPunct/>
              <w:topLinePunct w:val="0"/>
              <w:bidi w:val="0"/>
              <w:snapToGrid/>
              <w:spacing w:before="0" w:beforeAutospacing="0" w:after="0" w:afterAutospacing="0" w:line="440" w:lineRule="exact"/>
              <w:ind w:left="0" w:right="0" w:firstLine="200"/>
              <w:jc w:val="center"/>
              <w:textAlignment w:val="auto"/>
              <w:rPr>
                <w:rFonts w:hint="default"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分项名称</w:t>
            </w:r>
          </w:p>
        </w:tc>
        <w:tc>
          <w:tcPr>
            <w:tcW w:w="3237" w:type="dxa"/>
            <w:gridSpan w:val="2"/>
            <w:vAlign w:val="center"/>
          </w:tcPr>
          <w:p w14:paraId="43D96586">
            <w:pPr>
              <w:keepNext w:val="0"/>
              <w:keepLines w:val="0"/>
              <w:pageBreakBefore w:val="0"/>
              <w:suppressLineNumbers w:val="0"/>
              <w:kinsoku/>
              <w:wordWrap/>
              <w:overflowPunct/>
              <w:topLinePunct w:val="0"/>
              <w:bidi w:val="0"/>
              <w:snapToGrid/>
              <w:spacing w:before="0" w:beforeAutospacing="0" w:after="0" w:afterAutospacing="0" w:line="440" w:lineRule="exact"/>
              <w:ind w:left="0" w:right="0"/>
              <w:jc w:val="center"/>
              <w:textAlignment w:val="auto"/>
              <w:rPr>
                <w:rFonts w:hint="default" w:cs="Times New Roman" w:asciiTheme="minorEastAsia" w:hAnsiTheme="minorEastAsia" w:eastAsiaTheme="minorEastAsia"/>
                <w:color w:val="auto"/>
                <w:sz w:val="21"/>
                <w:szCs w:val="21"/>
                <w:highlight w:val="none"/>
              </w:rPr>
            </w:pPr>
            <w:r>
              <w:rPr>
                <w:rFonts w:hint="default" w:cs="Times New Roman" w:asciiTheme="minorEastAsia" w:hAnsiTheme="minorEastAsia" w:eastAsiaTheme="minorEastAsia"/>
                <w:color w:val="auto"/>
                <w:sz w:val="21"/>
                <w:szCs w:val="21"/>
                <w:highlight w:val="none"/>
              </w:rPr>
              <w:t>分项价格</w:t>
            </w:r>
          </w:p>
        </w:tc>
      </w:tr>
      <w:tr w14:paraId="70C58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4673C94D">
            <w:pPr>
              <w:keepNext w:val="0"/>
              <w:keepLines w:val="0"/>
              <w:pageBreakBefore w:val="0"/>
              <w:suppressLineNumbers w:val="0"/>
              <w:kinsoku/>
              <w:wordWrap/>
              <w:overflowPunct/>
              <w:topLinePunct w:val="0"/>
              <w:bidi w:val="0"/>
              <w:snapToGrid/>
              <w:spacing w:before="0" w:beforeAutospacing="0" w:after="0" w:afterAutospacing="0" w:line="440" w:lineRule="exact"/>
              <w:ind w:left="0" w:right="0"/>
              <w:jc w:val="center"/>
              <w:textAlignment w:val="auto"/>
              <w:rPr>
                <w:rFonts w:hint="default" w:cs="Times New Roman" w:asciiTheme="minorEastAsia" w:hAnsiTheme="minorEastAsia" w:eastAsiaTheme="minorEastAsia"/>
                <w:color w:val="auto"/>
                <w:sz w:val="21"/>
                <w:szCs w:val="21"/>
                <w:highlight w:val="none"/>
                <w:lang w:val="zh-CN"/>
              </w:rPr>
            </w:pPr>
            <w:r>
              <w:rPr>
                <w:rFonts w:hint="eastAsia" w:cs="Times New Roman" w:asciiTheme="minorEastAsia" w:hAnsiTheme="minorEastAsia" w:eastAsiaTheme="minorEastAsia"/>
                <w:color w:val="auto"/>
                <w:sz w:val="21"/>
                <w:szCs w:val="21"/>
                <w:highlight w:val="none"/>
                <w:lang w:val="zh-CN"/>
              </w:rPr>
              <w:t>1</w:t>
            </w:r>
          </w:p>
        </w:tc>
        <w:tc>
          <w:tcPr>
            <w:tcW w:w="4316" w:type="dxa"/>
            <w:vAlign w:val="center"/>
          </w:tcPr>
          <w:p w14:paraId="4C85DEDE">
            <w:pPr>
              <w:keepNext w:val="0"/>
              <w:keepLines w:val="0"/>
              <w:pageBreakBefore w:val="0"/>
              <w:suppressLineNumbers w:val="0"/>
              <w:kinsoku/>
              <w:wordWrap/>
              <w:overflowPunct/>
              <w:topLinePunct w:val="0"/>
              <w:bidi w:val="0"/>
              <w:snapToGrid/>
              <w:spacing w:before="0" w:beforeAutospacing="0" w:after="0" w:afterAutospacing="0" w:line="440" w:lineRule="exact"/>
              <w:ind w:left="0" w:right="0" w:firstLine="200"/>
              <w:jc w:val="center"/>
              <w:textAlignment w:val="auto"/>
              <w:rPr>
                <w:rFonts w:hint="default" w:cs="Times New Roman" w:asciiTheme="minorEastAsia" w:hAnsiTheme="minorEastAsia" w:eastAsiaTheme="minorEastAsia"/>
                <w:color w:val="auto"/>
                <w:sz w:val="21"/>
                <w:szCs w:val="21"/>
                <w:highlight w:val="none"/>
              </w:rPr>
            </w:pPr>
          </w:p>
        </w:tc>
        <w:tc>
          <w:tcPr>
            <w:tcW w:w="3237" w:type="dxa"/>
            <w:gridSpan w:val="2"/>
            <w:vAlign w:val="center"/>
          </w:tcPr>
          <w:p w14:paraId="4130CAF2">
            <w:pPr>
              <w:keepNext w:val="0"/>
              <w:keepLines w:val="0"/>
              <w:pageBreakBefore w:val="0"/>
              <w:suppressLineNumbers w:val="0"/>
              <w:kinsoku/>
              <w:wordWrap/>
              <w:overflowPunct/>
              <w:topLinePunct w:val="0"/>
              <w:bidi w:val="0"/>
              <w:snapToGrid/>
              <w:spacing w:before="0" w:beforeAutospacing="0" w:after="0" w:afterAutospacing="0" w:line="440" w:lineRule="exact"/>
              <w:ind w:left="0" w:right="0" w:firstLine="200"/>
              <w:jc w:val="center"/>
              <w:textAlignment w:val="auto"/>
              <w:rPr>
                <w:rFonts w:hint="default" w:cs="Times New Roman" w:asciiTheme="minorEastAsia" w:hAnsiTheme="minorEastAsia" w:eastAsiaTheme="minorEastAsia"/>
                <w:color w:val="auto"/>
                <w:sz w:val="21"/>
                <w:szCs w:val="21"/>
                <w:highlight w:val="none"/>
              </w:rPr>
            </w:pPr>
          </w:p>
        </w:tc>
      </w:tr>
      <w:tr w14:paraId="17DB6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6C3FEAAD">
            <w:pPr>
              <w:keepNext w:val="0"/>
              <w:keepLines w:val="0"/>
              <w:pageBreakBefore w:val="0"/>
              <w:suppressLineNumbers w:val="0"/>
              <w:kinsoku/>
              <w:wordWrap/>
              <w:overflowPunct/>
              <w:topLinePunct w:val="0"/>
              <w:bidi w:val="0"/>
              <w:snapToGrid/>
              <w:spacing w:before="0" w:beforeAutospacing="0" w:after="0" w:afterAutospacing="0" w:line="440" w:lineRule="exact"/>
              <w:ind w:left="0" w:right="0"/>
              <w:jc w:val="center"/>
              <w:textAlignment w:val="auto"/>
              <w:rPr>
                <w:rFonts w:hint="default" w:cs="Times New Roman" w:asciiTheme="minorEastAsia" w:hAnsiTheme="minorEastAsia" w:eastAsiaTheme="minorEastAsia"/>
                <w:color w:val="auto"/>
                <w:sz w:val="21"/>
                <w:szCs w:val="21"/>
                <w:highlight w:val="none"/>
                <w:lang w:val="zh-CN"/>
              </w:rPr>
            </w:pPr>
            <w:r>
              <w:rPr>
                <w:rFonts w:hint="eastAsia" w:cs="Times New Roman" w:asciiTheme="minorEastAsia" w:hAnsiTheme="minorEastAsia" w:eastAsiaTheme="minorEastAsia"/>
                <w:color w:val="auto"/>
                <w:sz w:val="21"/>
                <w:szCs w:val="21"/>
                <w:highlight w:val="none"/>
                <w:lang w:val="zh-CN"/>
              </w:rPr>
              <w:t>2</w:t>
            </w:r>
          </w:p>
        </w:tc>
        <w:tc>
          <w:tcPr>
            <w:tcW w:w="4316" w:type="dxa"/>
            <w:vAlign w:val="center"/>
          </w:tcPr>
          <w:p w14:paraId="0485CEE0">
            <w:pPr>
              <w:keepNext w:val="0"/>
              <w:keepLines w:val="0"/>
              <w:pageBreakBefore w:val="0"/>
              <w:suppressLineNumbers w:val="0"/>
              <w:kinsoku/>
              <w:wordWrap/>
              <w:overflowPunct/>
              <w:topLinePunct w:val="0"/>
              <w:bidi w:val="0"/>
              <w:snapToGrid/>
              <w:spacing w:before="0" w:beforeAutospacing="0" w:after="0" w:afterAutospacing="0" w:line="440" w:lineRule="exact"/>
              <w:ind w:left="0" w:right="0" w:firstLine="200"/>
              <w:jc w:val="center"/>
              <w:textAlignment w:val="auto"/>
              <w:rPr>
                <w:rFonts w:hint="default" w:cs="Times New Roman" w:asciiTheme="minorEastAsia" w:hAnsiTheme="minorEastAsia" w:eastAsiaTheme="minorEastAsia"/>
                <w:color w:val="auto"/>
                <w:sz w:val="21"/>
                <w:szCs w:val="21"/>
                <w:highlight w:val="none"/>
              </w:rPr>
            </w:pPr>
          </w:p>
        </w:tc>
        <w:tc>
          <w:tcPr>
            <w:tcW w:w="3237" w:type="dxa"/>
            <w:gridSpan w:val="2"/>
            <w:vAlign w:val="center"/>
          </w:tcPr>
          <w:p w14:paraId="21B97322">
            <w:pPr>
              <w:keepNext w:val="0"/>
              <w:keepLines w:val="0"/>
              <w:pageBreakBefore w:val="0"/>
              <w:suppressLineNumbers w:val="0"/>
              <w:kinsoku/>
              <w:wordWrap/>
              <w:overflowPunct/>
              <w:topLinePunct w:val="0"/>
              <w:bidi w:val="0"/>
              <w:snapToGrid/>
              <w:spacing w:before="0" w:beforeAutospacing="0" w:after="0" w:afterAutospacing="0" w:line="440" w:lineRule="exact"/>
              <w:ind w:left="0" w:right="0" w:firstLine="200"/>
              <w:jc w:val="center"/>
              <w:textAlignment w:val="auto"/>
              <w:rPr>
                <w:rFonts w:hint="default" w:cs="Times New Roman" w:asciiTheme="minorEastAsia" w:hAnsiTheme="minorEastAsia" w:eastAsiaTheme="minorEastAsia"/>
                <w:color w:val="auto"/>
                <w:sz w:val="21"/>
                <w:szCs w:val="21"/>
                <w:highlight w:val="none"/>
              </w:rPr>
            </w:pPr>
          </w:p>
        </w:tc>
      </w:tr>
      <w:tr w14:paraId="6182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21590DA6">
            <w:pPr>
              <w:keepNext w:val="0"/>
              <w:keepLines w:val="0"/>
              <w:pageBreakBefore w:val="0"/>
              <w:suppressLineNumbers w:val="0"/>
              <w:kinsoku/>
              <w:wordWrap/>
              <w:overflowPunct/>
              <w:topLinePunct w:val="0"/>
              <w:bidi w:val="0"/>
              <w:snapToGrid/>
              <w:spacing w:before="0" w:beforeAutospacing="0" w:after="0" w:afterAutospacing="0" w:line="440" w:lineRule="exact"/>
              <w:ind w:left="0" w:right="0"/>
              <w:jc w:val="center"/>
              <w:textAlignment w:val="auto"/>
              <w:rPr>
                <w:rFonts w:hint="default" w:cs="Times New Roman" w:asciiTheme="minorEastAsia" w:hAnsiTheme="minorEastAsia" w:eastAsiaTheme="minorEastAsia"/>
                <w:color w:val="auto"/>
                <w:sz w:val="21"/>
                <w:szCs w:val="21"/>
                <w:highlight w:val="none"/>
                <w:lang w:val="zh-CN"/>
              </w:rPr>
            </w:pPr>
            <w:r>
              <w:rPr>
                <w:rFonts w:hint="default" w:cs="Times New Roman" w:asciiTheme="minorEastAsia" w:hAnsiTheme="minorEastAsia" w:eastAsiaTheme="minorEastAsia"/>
                <w:color w:val="auto"/>
                <w:sz w:val="21"/>
                <w:szCs w:val="21"/>
                <w:highlight w:val="none"/>
                <w:lang w:val="zh-CN"/>
              </w:rPr>
              <w:t>3</w:t>
            </w:r>
          </w:p>
        </w:tc>
        <w:tc>
          <w:tcPr>
            <w:tcW w:w="4316" w:type="dxa"/>
            <w:vAlign w:val="center"/>
          </w:tcPr>
          <w:p w14:paraId="7015937A">
            <w:pPr>
              <w:keepNext w:val="0"/>
              <w:keepLines w:val="0"/>
              <w:pageBreakBefore w:val="0"/>
              <w:suppressLineNumbers w:val="0"/>
              <w:kinsoku/>
              <w:wordWrap/>
              <w:overflowPunct/>
              <w:topLinePunct w:val="0"/>
              <w:bidi w:val="0"/>
              <w:snapToGrid/>
              <w:spacing w:before="0" w:beforeAutospacing="0" w:after="0" w:afterAutospacing="0" w:line="440" w:lineRule="exact"/>
              <w:ind w:left="0" w:right="0" w:firstLine="200"/>
              <w:jc w:val="center"/>
              <w:textAlignment w:val="auto"/>
              <w:rPr>
                <w:rFonts w:hint="default" w:cs="Times New Roman" w:asciiTheme="minorEastAsia" w:hAnsiTheme="minorEastAsia" w:eastAsiaTheme="minorEastAsia"/>
                <w:color w:val="auto"/>
                <w:sz w:val="21"/>
                <w:szCs w:val="21"/>
                <w:highlight w:val="none"/>
              </w:rPr>
            </w:pPr>
          </w:p>
        </w:tc>
        <w:tc>
          <w:tcPr>
            <w:tcW w:w="3237" w:type="dxa"/>
            <w:gridSpan w:val="2"/>
            <w:vAlign w:val="center"/>
          </w:tcPr>
          <w:p w14:paraId="771723DB">
            <w:pPr>
              <w:keepNext w:val="0"/>
              <w:keepLines w:val="0"/>
              <w:pageBreakBefore w:val="0"/>
              <w:suppressLineNumbers w:val="0"/>
              <w:kinsoku/>
              <w:wordWrap/>
              <w:overflowPunct/>
              <w:topLinePunct w:val="0"/>
              <w:bidi w:val="0"/>
              <w:snapToGrid/>
              <w:spacing w:before="0" w:beforeAutospacing="0" w:after="0" w:afterAutospacing="0" w:line="440" w:lineRule="exact"/>
              <w:ind w:left="0" w:right="0" w:firstLine="200"/>
              <w:jc w:val="center"/>
              <w:textAlignment w:val="auto"/>
              <w:rPr>
                <w:rFonts w:hint="default" w:cs="Times New Roman" w:asciiTheme="minorEastAsia" w:hAnsiTheme="minorEastAsia" w:eastAsiaTheme="minorEastAsia"/>
                <w:color w:val="auto"/>
                <w:sz w:val="21"/>
                <w:szCs w:val="21"/>
                <w:highlight w:val="none"/>
              </w:rPr>
            </w:pPr>
          </w:p>
        </w:tc>
      </w:tr>
      <w:tr w14:paraId="1B565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533F0034">
            <w:pPr>
              <w:keepNext w:val="0"/>
              <w:keepLines w:val="0"/>
              <w:pageBreakBefore w:val="0"/>
              <w:suppressLineNumbers w:val="0"/>
              <w:kinsoku/>
              <w:wordWrap/>
              <w:overflowPunct/>
              <w:topLinePunct w:val="0"/>
              <w:bidi w:val="0"/>
              <w:snapToGrid/>
              <w:spacing w:before="0" w:beforeAutospacing="0" w:after="0" w:afterAutospacing="0" w:line="440" w:lineRule="exact"/>
              <w:ind w:left="0" w:right="0"/>
              <w:jc w:val="center"/>
              <w:textAlignment w:val="auto"/>
              <w:rPr>
                <w:rFonts w:hint="default" w:cs="Times New Roman" w:asciiTheme="minorEastAsia" w:hAnsiTheme="minorEastAsia" w:eastAsiaTheme="minorEastAsia"/>
                <w:color w:val="auto"/>
                <w:sz w:val="21"/>
                <w:szCs w:val="21"/>
                <w:highlight w:val="none"/>
                <w:lang w:val="zh-CN"/>
              </w:rPr>
            </w:pPr>
            <w:r>
              <w:rPr>
                <w:rFonts w:hint="eastAsia" w:cs="Times New Roman" w:asciiTheme="minorEastAsia" w:hAnsiTheme="minorEastAsia" w:eastAsiaTheme="minorEastAsia"/>
                <w:color w:val="auto"/>
                <w:sz w:val="21"/>
                <w:szCs w:val="21"/>
                <w:highlight w:val="none"/>
                <w:lang w:val="zh-CN"/>
              </w:rPr>
              <w:t>……</w:t>
            </w:r>
          </w:p>
        </w:tc>
        <w:tc>
          <w:tcPr>
            <w:tcW w:w="4316" w:type="dxa"/>
            <w:vAlign w:val="center"/>
          </w:tcPr>
          <w:p w14:paraId="147C8593">
            <w:pPr>
              <w:keepNext w:val="0"/>
              <w:keepLines w:val="0"/>
              <w:pageBreakBefore w:val="0"/>
              <w:suppressLineNumbers w:val="0"/>
              <w:kinsoku/>
              <w:wordWrap/>
              <w:overflowPunct/>
              <w:topLinePunct w:val="0"/>
              <w:bidi w:val="0"/>
              <w:snapToGrid/>
              <w:spacing w:before="0" w:beforeAutospacing="0" w:after="0" w:afterAutospacing="0" w:line="440" w:lineRule="exact"/>
              <w:ind w:left="0" w:right="0" w:firstLine="200"/>
              <w:jc w:val="center"/>
              <w:textAlignment w:val="auto"/>
              <w:rPr>
                <w:rFonts w:hint="default" w:cs="Times New Roman" w:asciiTheme="minorEastAsia" w:hAnsiTheme="minorEastAsia" w:eastAsiaTheme="minorEastAsia"/>
                <w:color w:val="auto"/>
                <w:sz w:val="21"/>
                <w:szCs w:val="21"/>
                <w:highlight w:val="none"/>
              </w:rPr>
            </w:pPr>
          </w:p>
        </w:tc>
        <w:tc>
          <w:tcPr>
            <w:tcW w:w="3237" w:type="dxa"/>
            <w:gridSpan w:val="2"/>
            <w:vAlign w:val="center"/>
          </w:tcPr>
          <w:p w14:paraId="0561EB20">
            <w:pPr>
              <w:keepNext w:val="0"/>
              <w:keepLines w:val="0"/>
              <w:pageBreakBefore w:val="0"/>
              <w:suppressLineNumbers w:val="0"/>
              <w:kinsoku/>
              <w:wordWrap/>
              <w:overflowPunct/>
              <w:topLinePunct w:val="0"/>
              <w:bidi w:val="0"/>
              <w:snapToGrid/>
              <w:spacing w:before="0" w:beforeAutospacing="0" w:after="0" w:afterAutospacing="0" w:line="440" w:lineRule="exact"/>
              <w:ind w:left="0" w:right="0" w:firstLine="200"/>
              <w:jc w:val="center"/>
              <w:textAlignment w:val="auto"/>
              <w:rPr>
                <w:rFonts w:hint="default" w:cs="Times New Roman" w:asciiTheme="minorEastAsia" w:hAnsiTheme="minorEastAsia" w:eastAsiaTheme="minorEastAsia"/>
                <w:color w:val="auto"/>
                <w:sz w:val="21"/>
                <w:szCs w:val="21"/>
                <w:highlight w:val="none"/>
              </w:rPr>
            </w:pPr>
          </w:p>
        </w:tc>
      </w:tr>
      <w:tr w14:paraId="28796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vAlign w:val="center"/>
          </w:tcPr>
          <w:p w14:paraId="2E06C754">
            <w:pPr>
              <w:keepNext w:val="0"/>
              <w:keepLines w:val="0"/>
              <w:pageBreakBefore w:val="0"/>
              <w:suppressLineNumbers w:val="0"/>
              <w:kinsoku/>
              <w:wordWrap/>
              <w:overflowPunct/>
              <w:topLinePunct w:val="0"/>
              <w:bidi w:val="0"/>
              <w:snapToGrid/>
              <w:spacing w:before="0" w:beforeAutospacing="0" w:after="0" w:afterAutospacing="0" w:line="440" w:lineRule="exact"/>
              <w:ind w:left="0" w:right="0" w:firstLine="200"/>
              <w:jc w:val="center"/>
              <w:textAlignment w:val="auto"/>
              <w:rPr>
                <w:rFonts w:hint="default"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总价</w:t>
            </w:r>
          </w:p>
        </w:tc>
        <w:tc>
          <w:tcPr>
            <w:tcW w:w="3237" w:type="dxa"/>
            <w:gridSpan w:val="2"/>
            <w:vAlign w:val="center"/>
          </w:tcPr>
          <w:p w14:paraId="7C2C3B43">
            <w:pPr>
              <w:keepNext w:val="0"/>
              <w:keepLines w:val="0"/>
              <w:pageBreakBefore w:val="0"/>
              <w:suppressLineNumbers w:val="0"/>
              <w:kinsoku/>
              <w:wordWrap/>
              <w:overflowPunct/>
              <w:topLinePunct w:val="0"/>
              <w:bidi w:val="0"/>
              <w:snapToGrid/>
              <w:spacing w:before="0" w:beforeAutospacing="0" w:after="0" w:afterAutospacing="0" w:line="440" w:lineRule="exact"/>
              <w:ind w:left="0" w:right="0" w:firstLine="200"/>
              <w:jc w:val="center"/>
              <w:textAlignment w:val="auto"/>
              <w:rPr>
                <w:rFonts w:hint="default" w:cs="Times New Roman" w:asciiTheme="minorEastAsia" w:hAnsiTheme="minorEastAsia" w:eastAsiaTheme="minorEastAsia"/>
                <w:color w:val="auto"/>
                <w:sz w:val="21"/>
                <w:szCs w:val="21"/>
                <w:highlight w:val="none"/>
              </w:rPr>
            </w:pPr>
          </w:p>
        </w:tc>
      </w:tr>
    </w:tbl>
    <w:p w14:paraId="5B366058">
      <w:pPr>
        <w:keepNext w:val="0"/>
        <w:keepLines w:val="0"/>
        <w:pageBreakBefore w:val="0"/>
        <w:kinsoku/>
        <w:wordWrap/>
        <w:overflowPunct/>
        <w:topLinePunct w:val="0"/>
        <w:bidi w:val="0"/>
        <w:snapToGrid/>
        <w:spacing w:line="440" w:lineRule="exact"/>
        <w:ind w:firstLine="437"/>
        <w:textAlignment w:val="auto"/>
        <w:outlineLvl w:val="2"/>
        <w:rPr>
          <w:rFonts w:cs="Times New Roman" w:asciiTheme="minorEastAsia" w:hAnsiTheme="minorEastAsia" w:eastAsiaTheme="minorEastAsia"/>
          <w:b/>
          <w:bCs/>
          <w:color w:val="auto"/>
          <w:sz w:val="21"/>
          <w:szCs w:val="21"/>
          <w:highlight w:val="none"/>
          <w:lang w:val="zh-CN"/>
        </w:rPr>
      </w:pPr>
      <w:bookmarkStart w:id="115" w:name="_Toc22618"/>
      <w:bookmarkStart w:id="116" w:name="_Toc1814"/>
      <w:bookmarkStart w:id="117" w:name="_Toc10340"/>
      <w:r>
        <w:rPr>
          <w:rFonts w:hint="eastAsia" w:cs="Times New Roman" w:asciiTheme="minorEastAsia" w:hAnsiTheme="minorEastAsia" w:eastAsiaTheme="minorEastAsia"/>
          <w:b/>
          <w:bCs/>
          <w:color w:val="auto"/>
          <w:sz w:val="21"/>
          <w:szCs w:val="21"/>
          <w:highlight w:val="none"/>
          <w:lang w:val="zh-CN"/>
        </w:rPr>
        <w:t>1.</w:t>
      </w:r>
      <w:r>
        <w:rPr>
          <w:rFonts w:cs="Times New Roman" w:asciiTheme="minorEastAsia" w:hAnsiTheme="minorEastAsia" w:eastAsiaTheme="minorEastAsia"/>
          <w:b/>
          <w:bCs/>
          <w:color w:val="auto"/>
          <w:sz w:val="21"/>
          <w:szCs w:val="21"/>
          <w:highlight w:val="none"/>
          <w:lang w:val="zh-CN"/>
        </w:rPr>
        <w:t>4 付款方式和发票开具方式</w:t>
      </w:r>
      <w:bookmarkEnd w:id="115"/>
      <w:bookmarkEnd w:id="116"/>
      <w:bookmarkEnd w:id="117"/>
    </w:p>
    <w:p w14:paraId="598BC8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left"/>
        <w:textAlignment w:val="auto"/>
        <w:rPr>
          <w:rFonts w:hint="eastAsia" w:ascii="宋体" w:hAnsi="宋体" w:eastAsia="宋体" w:cs="宋体"/>
          <w:b/>
          <w:bCs/>
          <w:color w:val="auto"/>
          <w:kern w:val="2"/>
          <w:sz w:val="21"/>
          <w:szCs w:val="21"/>
          <w:highlight w:val="none"/>
          <w:lang w:bidi="ar"/>
        </w:rPr>
      </w:pPr>
      <w:r>
        <w:rPr>
          <w:rFonts w:hint="eastAsia" w:cs="Times New Roman" w:asciiTheme="minorEastAsia" w:hAnsiTheme="minorEastAsia" w:eastAsiaTheme="minorEastAsia"/>
          <w:color w:val="auto"/>
          <w:sz w:val="21"/>
          <w:szCs w:val="21"/>
          <w:highlight w:val="none"/>
        </w:rPr>
        <w:t>1.4.1</w:t>
      </w:r>
      <w:r>
        <w:rPr>
          <w:rFonts w:cs="Times New Roman" w:asciiTheme="minorEastAsia" w:hAnsiTheme="minorEastAsia" w:eastAsiaTheme="minorEastAsia"/>
          <w:color w:val="auto"/>
          <w:sz w:val="21"/>
          <w:szCs w:val="21"/>
          <w:highlight w:val="none"/>
        </w:rPr>
        <w:t>付款方式：</w:t>
      </w:r>
      <w:r>
        <w:rPr>
          <w:rFonts w:hint="eastAsia" w:ascii="宋体" w:hAnsi="宋体" w:cs="宋体"/>
          <w:b/>
          <w:bCs/>
          <w:color w:val="auto"/>
          <w:kern w:val="2"/>
          <w:sz w:val="21"/>
          <w:szCs w:val="21"/>
          <w:highlight w:val="none"/>
          <w:lang w:val="en-US" w:eastAsia="zh-CN" w:bidi="ar"/>
        </w:rPr>
        <w:t>1、</w:t>
      </w:r>
      <w:r>
        <w:rPr>
          <w:rFonts w:hint="eastAsia" w:ascii="宋体" w:hAnsi="宋体" w:eastAsia="宋体" w:cs="宋体"/>
          <w:b/>
          <w:bCs/>
          <w:color w:val="auto"/>
          <w:kern w:val="2"/>
          <w:sz w:val="21"/>
          <w:szCs w:val="21"/>
          <w:highlight w:val="none"/>
          <w:lang w:bidi="ar"/>
        </w:rPr>
        <w:t>合同签订后</w:t>
      </w:r>
      <w:r>
        <w:rPr>
          <w:rFonts w:hint="eastAsia" w:ascii="宋体" w:hAnsi="宋体" w:cs="宋体"/>
          <w:b/>
          <w:bCs/>
          <w:color w:val="auto"/>
          <w:kern w:val="2"/>
          <w:sz w:val="21"/>
          <w:szCs w:val="21"/>
          <w:highlight w:val="none"/>
          <w:lang w:val="en-US" w:eastAsia="zh-CN" w:bidi="ar"/>
        </w:rPr>
        <w:t>30</w:t>
      </w:r>
      <w:r>
        <w:rPr>
          <w:rFonts w:hint="eastAsia" w:ascii="宋体" w:hAnsi="宋体" w:eastAsia="宋体" w:cs="宋体"/>
          <w:b/>
          <w:bCs/>
          <w:color w:val="auto"/>
          <w:kern w:val="2"/>
          <w:sz w:val="21"/>
          <w:szCs w:val="21"/>
          <w:highlight w:val="none"/>
          <w:lang w:bidi="ar"/>
        </w:rPr>
        <w:t>个工作日内，甲方向乙方支付合同总价款的</w:t>
      </w:r>
      <w:r>
        <w:rPr>
          <w:rFonts w:hint="eastAsia" w:ascii="宋体" w:hAnsi="宋体" w:cs="宋体"/>
          <w:b/>
          <w:bCs/>
          <w:color w:val="auto"/>
          <w:kern w:val="2"/>
          <w:sz w:val="21"/>
          <w:szCs w:val="21"/>
          <w:highlight w:val="none"/>
          <w:lang w:val="en-US" w:eastAsia="zh-CN" w:bidi="ar"/>
        </w:rPr>
        <w:t>4</w:t>
      </w:r>
      <w:r>
        <w:rPr>
          <w:rFonts w:hint="eastAsia" w:ascii="宋体" w:hAnsi="宋体" w:eastAsia="宋体" w:cs="宋体"/>
          <w:b/>
          <w:bCs/>
          <w:color w:val="auto"/>
          <w:kern w:val="2"/>
          <w:sz w:val="21"/>
          <w:szCs w:val="21"/>
          <w:highlight w:val="none"/>
          <w:lang w:bidi="ar"/>
        </w:rPr>
        <w:t>0%作为预付款；</w:t>
      </w:r>
    </w:p>
    <w:p w14:paraId="7F7B1B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left"/>
        <w:textAlignment w:val="auto"/>
        <w:rPr>
          <w:rFonts w:hint="eastAsia" w:ascii="宋体" w:hAnsi="宋体" w:eastAsia="宋体" w:cs="宋体"/>
          <w:b/>
          <w:bCs/>
          <w:color w:val="auto"/>
          <w:kern w:val="2"/>
          <w:sz w:val="21"/>
          <w:szCs w:val="21"/>
          <w:highlight w:val="none"/>
          <w:lang w:bidi="ar"/>
        </w:rPr>
      </w:pPr>
      <w:r>
        <w:rPr>
          <w:rFonts w:hint="eastAsia" w:ascii="宋体" w:hAnsi="宋体" w:cs="宋体"/>
          <w:b/>
          <w:bCs/>
          <w:color w:val="auto"/>
          <w:kern w:val="2"/>
          <w:sz w:val="21"/>
          <w:szCs w:val="21"/>
          <w:highlight w:val="none"/>
          <w:lang w:val="en-US" w:eastAsia="zh-CN" w:bidi="ar"/>
        </w:rPr>
        <w:t>2、</w:t>
      </w:r>
      <w:r>
        <w:rPr>
          <w:rFonts w:hint="eastAsia" w:ascii="宋体" w:hAnsi="宋体" w:eastAsia="宋体" w:cs="宋体"/>
          <w:b/>
          <w:bCs/>
          <w:color w:val="auto"/>
          <w:kern w:val="2"/>
          <w:sz w:val="21"/>
          <w:szCs w:val="21"/>
          <w:highlight w:val="none"/>
          <w:lang w:bidi="ar"/>
        </w:rPr>
        <w:t>赛事开幕前7个工作日内，甲方向乙方支付合同总价款的</w:t>
      </w:r>
      <w:r>
        <w:rPr>
          <w:rFonts w:hint="eastAsia" w:ascii="宋体" w:hAnsi="宋体" w:cs="宋体"/>
          <w:b/>
          <w:bCs/>
          <w:color w:val="auto"/>
          <w:kern w:val="2"/>
          <w:sz w:val="21"/>
          <w:szCs w:val="21"/>
          <w:highlight w:val="none"/>
          <w:lang w:val="en-US" w:eastAsia="zh-CN" w:bidi="ar"/>
        </w:rPr>
        <w:t>3</w:t>
      </w:r>
      <w:r>
        <w:rPr>
          <w:rFonts w:hint="eastAsia" w:ascii="宋体" w:hAnsi="宋体" w:eastAsia="宋体" w:cs="宋体"/>
          <w:b/>
          <w:bCs/>
          <w:color w:val="auto"/>
          <w:kern w:val="2"/>
          <w:sz w:val="21"/>
          <w:szCs w:val="21"/>
          <w:highlight w:val="none"/>
          <w:lang w:bidi="ar"/>
        </w:rPr>
        <w:t>0%；</w:t>
      </w:r>
    </w:p>
    <w:p w14:paraId="5EC3DF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left"/>
        <w:textAlignment w:val="auto"/>
        <w:rPr>
          <w:rFonts w:hint="eastAsia" w:ascii="宋体" w:hAnsi="宋体" w:eastAsia="宋体" w:cs="宋体"/>
          <w:b/>
          <w:bCs/>
          <w:color w:val="auto"/>
          <w:kern w:val="2"/>
          <w:sz w:val="21"/>
          <w:szCs w:val="21"/>
          <w:highlight w:val="none"/>
          <w:lang w:bidi="ar"/>
        </w:rPr>
      </w:pPr>
      <w:r>
        <w:rPr>
          <w:rFonts w:hint="eastAsia" w:ascii="宋体" w:hAnsi="宋体" w:cs="宋体"/>
          <w:b/>
          <w:bCs/>
          <w:color w:val="auto"/>
          <w:kern w:val="2"/>
          <w:sz w:val="21"/>
          <w:szCs w:val="21"/>
          <w:highlight w:val="none"/>
          <w:lang w:val="en-US" w:eastAsia="zh-CN" w:bidi="ar"/>
        </w:rPr>
        <w:t>3、</w:t>
      </w:r>
      <w:r>
        <w:rPr>
          <w:rFonts w:hint="eastAsia" w:ascii="宋体" w:hAnsi="宋体" w:eastAsia="宋体" w:cs="宋体"/>
          <w:b/>
          <w:bCs/>
          <w:color w:val="auto"/>
          <w:kern w:val="2"/>
          <w:sz w:val="21"/>
          <w:szCs w:val="21"/>
          <w:highlight w:val="none"/>
          <w:lang w:bidi="ar"/>
        </w:rPr>
        <w:t>赛事结束</w:t>
      </w:r>
      <w:r>
        <w:rPr>
          <w:rFonts w:hint="eastAsia" w:ascii="宋体" w:hAnsi="宋体" w:cs="宋体"/>
          <w:b/>
          <w:bCs/>
          <w:color w:val="auto"/>
          <w:kern w:val="2"/>
          <w:sz w:val="21"/>
          <w:szCs w:val="21"/>
          <w:highlight w:val="none"/>
          <w:lang w:val="en-US" w:eastAsia="zh-CN" w:bidi="ar"/>
        </w:rPr>
        <w:t>经甲方验收</w:t>
      </w:r>
      <w:r>
        <w:rPr>
          <w:rFonts w:hint="eastAsia" w:ascii="宋体" w:hAnsi="宋体" w:eastAsia="宋体" w:cs="宋体"/>
          <w:b/>
          <w:bCs/>
          <w:color w:val="auto"/>
          <w:kern w:val="2"/>
          <w:sz w:val="21"/>
          <w:szCs w:val="21"/>
          <w:highlight w:val="none"/>
          <w:lang w:bidi="ar"/>
        </w:rPr>
        <w:t>后</w:t>
      </w:r>
      <w:r>
        <w:rPr>
          <w:rFonts w:hint="eastAsia" w:ascii="宋体" w:hAnsi="宋体" w:cs="宋体"/>
          <w:b/>
          <w:bCs/>
          <w:color w:val="auto"/>
          <w:kern w:val="2"/>
          <w:sz w:val="21"/>
          <w:szCs w:val="21"/>
          <w:highlight w:val="none"/>
          <w:lang w:val="en-US" w:eastAsia="zh-CN" w:bidi="ar"/>
        </w:rPr>
        <w:t>30</w:t>
      </w:r>
      <w:r>
        <w:rPr>
          <w:rFonts w:hint="eastAsia" w:ascii="宋体" w:hAnsi="宋体" w:eastAsia="宋体" w:cs="宋体"/>
          <w:b/>
          <w:bCs/>
          <w:color w:val="auto"/>
          <w:kern w:val="2"/>
          <w:sz w:val="21"/>
          <w:szCs w:val="21"/>
          <w:highlight w:val="none"/>
          <w:lang w:bidi="ar"/>
        </w:rPr>
        <w:t>个工作日内，甲方向乙方支付合同总价款的30%（剩余款项）。</w:t>
      </w:r>
    </w:p>
    <w:p w14:paraId="14A7EFC9">
      <w:pPr>
        <w:keepNext w:val="0"/>
        <w:keepLines w:val="0"/>
        <w:pageBreakBefore w:val="0"/>
        <w:kinsoku/>
        <w:wordWrap/>
        <w:overflowPunct/>
        <w:topLinePunct w:val="0"/>
        <w:bidi w:val="0"/>
        <w:snapToGrid/>
        <w:spacing w:line="440" w:lineRule="exact"/>
        <w:ind w:firstLine="435"/>
        <w:textAlignment w:val="auto"/>
        <w:rPr>
          <w:rFonts w:hint="eastAsia" w:eastAsia="宋体" w:cs="Times New Roman" w:asciiTheme="minorEastAsia" w:hAnsiTheme="minorEastAsia"/>
          <w:b/>
          <w:bCs/>
          <w:color w:val="auto"/>
          <w:sz w:val="21"/>
          <w:szCs w:val="21"/>
          <w:highlight w:val="none"/>
          <w:lang w:eastAsia="zh-CN"/>
        </w:rPr>
      </w:pPr>
      <w:r>
        <w:rPr>
          <w:rFonts w:hint="eastAsia" w:ascii="宋体" w:hAnsi="宋体" w:eastAsia="宋体" w:cs="宋体"/>
          <w:b/>
          <w:bCs/>
          <w:color w:val="auto"/>
          <w:kern w:val="2"/>
          <w:sz w:val="21"/>
          <w:szCs w:val="21"/>
          <w:highlight w:val="none"/>
          <w:lang w:bidi="ar"/>
        </w:rPr>
        <w:t>注：每次付款前，乙方须向甲方提供等额合规的增值税专用发票</w:t>
      </w:r>
      <w:r>
        <w:rPr>
          <w:rFonts w:hint="eastAsia" w:ascii="宋体" w:hAnsi="宋体" w:cs="宋体"/>
          <w:b/>
          <w:bCs/>
          <w:color w:val="auto"/>
          <w:kern w:val="2"/>
          <w:sz w:val="21"/>
          <w:szCs w:val="21"/>
          <w:highlight w:val="none"/>
          <w:lang w:eastAsia="zh-CN" w:bidi="ar"/>
        </w:rPr>
        <w:t>。</w:t>
      </w:r>
    </w:p>
    <w:p w14:paraId="618F399A">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1.4.2发票开具方式：</w:t>
      </w:r>
      <w:r>
        <w:rPr>
          <w:rFonts w:hint="eastAsia" w:cs="Times New Roman" w:asciiTheme="minorEastAsia" w:hAnsiTheme="minorEastAsia" w:eastAsiaTheme="minorEastAsia"/>
          <w:color w:val="auto"/>
          <w:sz w:val="21"/>
          <w:szCs w:val="21"/>
          <w:highlight w:val="none"/>
          <w:u w:val="single"/>
          <w:lang w:val="en-US" w:eastAsia="zh-CN"/>
        </w:rPr>
        <w:t>开具符合要求的增值税专用发票</w:t>
      </w:r>
      <w:r>
        <w:rPr>
          <w:rFonts w:hint="eastAsia" w:cs="Times New Roman" w:asciiTheme="minorEastAsia" w:hAnsiTheme="minorEastAsia" w:eastAsiaTheme="minorEastAsia"/>
          <w:color w:val="auto"/>
          <w:sz w:val="21"/>
          <w:szCs w:val="21"/>
          <w:highlight w:val="none"/>
        </w:rPr>
        <w:t>。</w:t>
      </w:r>
    </w:p>
    <w:p w14:paraId="403763AA">
      <w:pPr>
        <w:keepNext w:val="0"/>
        <w:keepLines w:val="0"/>
        <w:pageBreakBefore w:val="0"/>
        <w:kinsoku/>
        <w:wordWrap/>
        <w:overflowPunct/>
        <w:topLinePunct w:val="0"/>
        <w:bidi w:val="0"/>
        <w:snapToGrid/>
        <w:spacing w:line="440" w:lineRule="exact"/>
        <w:ind w:firstLine="437"/>
        <w:textAlignment w:val="auto"/>
        <w:outlineLvl w:val="2"/>
        <w:rPr>
          <w:rFonts w:cs="Times New Roman" w:asciiTheme="minorEastAsia" w:hAnsiTheme="minorEastAsia" w:eastAsiaTheme="minorEastAsia"/>
          <w:b/>
          <w:bCs/>
          <w:color w:val="auto"/>
          <w:sz w:val="21"/>
          <w:szCs w:val="21"/>
          <w:highlight w:val="none"/>
          <w:lang w:val="zh-CN"/>
        </w:rPr>
      </w:pPr>
      <w:bookmarkStart w:id="118" w:name="_Toc2846"/>
      <w:bookmarkStart w:id="119" w:name="_Toc19304"/>
      <w:bookmarkStart w:id="120" w:name="_Toc32071"/>
      <w:r>
        <w:rPr>
          <w:rFonts w:hint="eastAsia" w:cs="Times New Roman" w:asciiTheme="minorEastAsia" w:hAnsiTheme="minorEastAsia" w:eastAsiaTheme="minorEastAsia"/>
          <w:b/>
          <w:bCs/>
          <w:color w:val="auto"/>
          <w:sz w:val="21"/>
          <w:szCs w:val="21"/>
          <w:highlight w:val="none"/>
          <w:lang w:val="zh-CN"/>
        </w:rPr>
        <w:t>1.</w:t>
      </w:r>
      <w:r>
        <w:rPr>
          <w:rFonts w:cs="Times New Roman" w:asciiTheme="minorEastAsia" w:hAnsiTheme="minorEastAsia" w:eastAsiaTheme="minorEastAsia"/>
          <w:b/>
          <w:bCs/>
          <w:color w:val="auto"/>
          <w:sz w:val="21"/>
          <w:szCs w:val="21"/>
          <w:highlight w:val="none"/>
          <w:lang w:val="zh-CN"/>
        </w:rPr>
        <w:t xml:space="preserve">5 </w:t>
      </w:r>
      <w:r>
        <w:rPr>
          <w:rFonts w:hint="eastAsia" w:cs="Times New Roman" w:asciiTheme="minorEastAsia" w:hAnsiTheme="minorEastAsia" w:eastAsiaTheme="minorEastAsia"/>
          <w:b/>
          <w:bCs/>
          <w:color w:val="auto"/>
          <w:sz w:val="21"/>
          <w:szCs w:val="21"/>
          <w:highlight w:val="none"/>
          <w:lang w:val="zh-CN"/>
        </w:rPr>
        <w:t>服务</w:t>
      </w:r>
      <w:r>
        <w:rPr>
          <w:rFonts w:cs="Times New Roman" w:asciiTheme="minorEastAsia" w:hAnsiTheme="minorEastAsia" w:eastAsiaTheme="minorEastAsia"/>
          <w:b/>
          <w:bCs/>
          <w:color w:val="auto"/>
          <w:sz w:val="21"/>
          <w:szCs w:val="21"/>
          <w:highlight w:val="none"/>
          <w:lang w:val="zh-CN"/>
        </w:rPr>
        <w:t>期限</w:t>
      </w:r>
      <w:r>
        <w:rPr>
          <w:rFonts w:hint="eastAsia" w:cs="Times New Roman" w:asciiTheme="minorEastAsia" w:hAnsiTheme="minorEastAsia" w:eastAsiaTheme="minorEastAsia"/>
          <w:b/>
          <w:bCs/>
          <w:color w:val="auto"/>
          <w:sz w:val="21"/>
          <w:szCs w:val="21"/>
          <w:highlight w:val="none"/>
          <w:lang w:val="zh-CN"/>
        </w:rPr>
        <w:t>、地点和方式</w:t>
      </w:r>
      <w:bookmarkEnd w:id="118"/>
      <w:bookmarkEnd w:id="119"/>
      <w:bookmarkEnd w:id="120"/>
    </w:p>
    <w:p w14:paraId="464E41C6">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u w:val="single"/>
        </w:rPr>
      </w:pPr>
      <w:r>
        <w:rPr>
          <w:rFonts w:hint="eastAsia" w:cs="Times New Roman" w:asciiTheme="minorEastAsia" w:hAnsiTheme="minorEastAsia" w:eastAsiaTheme="minorEastAsia"/>
          <w:color w:val="auto"/>
          <w:sz w:val="21"/>
          <w:szCs w:val="21"/>
          <w:highlight w:val="none"/>
        </w:rPr>
        <w:t>1.5.1服务期限</w:t>
      </w:r>
      <w:r>
        <w:rPr>
          <w:rFonts w:cs="Times New Roman" w:asciiTheme="minorEastAsia" w:hAnsiTheme="minorEastAsia" w:eastAsiaTheme="minorEastAsia"/>
          <w:color w:val="auto"/>
          <w:sz w:val="21"/>
          <w:szCs w:val="21"/>
          <w:highlight w:val="none"/>
        </w:rPr>
        <w:t>：</w:t>
      </w:r>
      <w:r>
        <w:rPr>
          <w:rFonts w:hint="eastAsia" w:ascii="宋体" w:hAnsi="宋体" w:eastAsia="宋体" w:cs="宋体"/>
          <w:b w:val="0"/>
          <w:bCs w:val="0"/>
          <w:color w:val="auto"/>
          <w:kern w:val="2"/>
          <w:sz w:val="21"/>
          <w:szCs w:val="21"/>
          <w:highlight w:val="none"/>
          <w:lang w:val="en-US" w:eastAsia="zh-CN" w:bidi="ar-SA"/>
        </w:rPr>
        <w:t>自本合同签署生效之日起至中标单位所承担的赛事全部工作结束止</w:t>
      </w:r>
      <w:r>
        <w:rPr>
          <w:rFonts w:hint="eastAsia" w:cs="Times New Roman" w:asciiTheme="minorEastAsia" w:hAnsiTheme="minorEastAsia" w:eastAsiaTheme="minorEastAsia"/>
          <w:color w:val="auto"/>
          <w:sz w:val="21"/>
          <w:szCs w:val="21"/>
          <w:highlight w:val="none"/>
        </w:rPr>
        <w:t>；</w:t>
      </w:r>
    </w:p>
    <w:p w14:paraId="5300D594">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1.5.2服务地点</w:t>
      </w:r>
      <w:r>
        <w:rPr>
          <w:rFonts w:cs="Times New Roman" w:asciiTheme="minorEastAsia" w:hAnsiTheme="minorEastAsia" w:eastAsiaTheme="minorEastAsia"/>
          <w:color w:val="auto"/>
          <w:sz w:val="21"/>
          <w:szCs w:val="21"/>
          <w:highlight w:val="none"/>
        </w:rPr>
        <w:t>：</w:t>
      </w:r>
      <w:r>
        <w:rPr>
          <w:rFonts w:hint="eastAsia" w:cs="Times New Roman" w:asciiTheme="minorEastAsia" w:hAnsiTheme="minorEastAsia" w:eastAsiaTheme="minorEastAsia"/>
          <w:color w:val="auto"/>
          <w:sz w:val="21"/>
          <w:szCs w:val="21"/>
          <w:highlight w:val="none"/>
          <w:u w:val="single"/>
          <w:lang w:val="en-US" w:eastAsia="zh-CN"/>
        </w:rPr>
        <w:t>指定地点</w:t>
      </w:r>
      <w:r>
        <w:rPr>
          <w:rFonts w:hint="eastAsia" w:cs="Times New Roman" w:asciiTheme="minorEastAsia" w:hAnsiTheme="minorEastAsia" w:eastAsiaTheme="minorEastAsia"/>
          <w:color w:val="auto"/>
          <w:sz w:val="21"/>
          <w:szCs w:val="21"/>
          <w:highlight w:val="none"/>
        </w:rPr>
        <w:t>；</w:t>
      </w:r>
    </w:p>
    <w:p w14:paraId="5FD64D07">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1.5.3服务方式：</w:t>
      </w:r>
      <w:r>
        <w:rPr>
          <w:rFonts w:hint="eastAsia" w:cs="Times New Roman" w:asciiTheme="minorEastAsia" w:hAnsiTheme="minorEastAsia" w:eastAsiaTheme="minorEastAsia"/>
          <w:color w:val="auto"/>
          <w:sz w:val="21"/>
          <w:szCs w:val="21"/>
          <w:highlight w:val="none"/>
          <w:u w:val="single"/>
        </w:rPr>
        <w:t xml:space="preserve">                                                </w:t>
      </w:r>
      <w:r>
        <w:rPr>
          <w:rFonts w:hint="eastAsia" w:cs="Times New Roman" w:asciiTheme="minorEastAsia" w:hAnsiTheme="minorEastAsia" w:eastAsiaTheme="minorEastAsia"/>
          <w:color w:val="auto"/>
          <w:sz w:val="21"/>
          <w:szCs w:val="21"/>
          <w:highlight w:val="none"/>
        </w:rPr>
        <w:t>。</w:t>
      </w:r>
    </w:p>
    <w:p w14:paraId="3545B9DE">
      <w:pPr>
        <w:keepNext w:val="0"/>
        <w:keepLines w:val="0"/>
        <w:pageBreakBefore w:val="0"/>
        <w:kinsoku/>
        <w:wordWrap/>
        <w:overflowPunct/>
        <w:topLinePunct w:val="0"/>
        <w:bidi w:val="0"/>
        <w:snapToGrid/>
        <w:spacing w:line="440" w:lineRule="exact"/>
        <w:ind w:firstLine="437"/>
        <w:textAlignment w:val="auto"/>
        <w:outlineLvl w:val="2"/>
        <w:rPr>
          <w:rFonts w:cs="Times New Roman" w:asciiTheme="minorEastAsia" w:hAnsiTheme="minorEastAsia" w:eastAsiaTheme="minorEastAsia"/>
          <w:b/>
          <w:bCs/>
          <w:color w:val="auto"/>
          <w:sz w:val="21"/>
          <w:szCs w:val="21"/>
          <w:highlight w:val="none"/>
          <w:lang w:val="zh-CN"/>
        </w:rPr>
      </w:pPr>
      <w:bookmarkStart w:id="121" w:name="_Toc19554"/>
      <w:bookmarkStart w:id="122" w:name="_Toc27250"/>
      <w:bookmarkStart w:id="123" w:name="_Toc21423"/>
      <w:r>
        <w:rPr>
          <w:rFonts w:hint="eastAsia" w:cs="Times New Roman" w:asciiTheme="minorEastAsia" w:hAnsiTheme="minorEastAsia" w:eastAsiaTheme="minorEastAsia"/>
          <w:b/>
          <w:bCs/>
          <w:color w:val="auto"/>
          <w:sz w:val="21"/>
          <w:szCs w:val="21"/>
          <w:highlight w:val="none"/>
          <w:lang w:val="zh-CN"/>
        </w:rPr>
        <w:t>1.6 违约责任</w:t>
      </w:r>
      <w:bookmarkEnd w:id="121"/>
      <w:bookmarkEnd w:id="122"/>
      <w:bookmarkEnd w:id="123"/>
    </w:p>
    <w:p w14:paraId="5BBDBBBF">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1.6.1</w:t>
      </w:r>
      <w:r>
        <w:rPr>
          <w:rFonts w:cs="Times New Roman" w:asciiTheme="minorEastAsia" w:hAnsiTheme="minorEastAsia" w:eastAsiaTheme="minorEastAsia"/>
          <w:color w:val="auto"/>
          <w:sz w:val="21"/>
          <w:szCs w:val="21"/>
          <w:highlight w:val="none"/>
        </w:rPr>
        <w:t>除不可抗力外，如果乙方没有按照本合同约定的期限</w:t>
      </w:r>
      <w:r>
        <w:rPr>
          <w:rFonts w:hint="eastAsia" w:cs="Times New Roman" w:asciiTheme="minorEastAsia" w:hAnsiTheme="minorEastAsia" w:eastAsiaTheme="minorEastAsia"/>
          <w:color w:val="auto"/>
          <w:sz w:val="21"/>
          <w:szCs w:val="21"/>
          <w:highlight w:val="none"/>
        </w:rPr>
        <w:t>、</w:t>
      </w:r>
      <w:r>
        <w:rPr>
          <w:rFonts w:cs="Times New Roman" w:asciiTheme="minorEastAsia" w:hAnsiTheme="minorEastAsia" w:eastAsiaTheme="minorEastAsia"/>
          <w:color w:val="auto"/>
          <w:sz w:val="21"/>
          <w:szCs w:val="21"/>
          <w:highlight w:val="none"/>
        </w:rPr>
        <w:t>地点和方式</w:t>
      </w:r>
      <w:r>
        <w:rPr>
          <w:rFonts w:hint="eastAsia" w:cs="Times New Roman" w:asciiTheme="minorEastAsia" w:hAnsiTheme="minorEastAsia" w:eastAsiaTheme="minorEastAsia"/>
          <w:color w:val="auto"/>
          <w:sz w:val="21"/>
          <w:szCs w:val="21"/>
          <w:highlight w:val="none"/>
        </w:rPr>
        <w:t>履行</w:t>
      </w:r>
      <w:r>
        <w:rPr>
          <w:rFonts w:cs="Times New Roman" w:asciiTheme="minorEastAsia" w:hAnsiTheme="minorEastAsia" w:eastAsiaTheme="minorEastAsia"/>
          <w:color w:val="auto"/>
          <w:sz w:val="21"/>
          <w:szCs w:val="21"/>
          <w:highlight w:val="none"/>
        </w:rPr>
        <w:t>，那么甲方可要求乙方支付违约金</w:t>
      </w:r>
      <w:r>
        <w:rPr>
          <w:rFonts w:hint="eastAsia" w:cs="Times New Roman" w:asciiTheme="minorEastAsia" w:hAnsiTheme="minorEastAsia" w:eastAsiaTheme="minorEastAsia"/>
          <w:color w:val="auto"/>
          <w:sz w:val="21"/>
          <w:szCs w:val="21"/>
          <w:highlight w:val="none"/>
        </w:rPr>
        <w:t>，</w:t>
      </w:r>
      <w:r>
        <w:rPr>
          <w:rFonts w:cs="Times New Roman" w:asciiTheme="minorEastAsia" w:hAnsiTheme="minorEastAsia" w:eastAsiaTheme="minorEastAsia"/>
          <w:color w:val="auto"/>
          <w:sz w:val="21"/>
          <w:szCs w:val="21"/>
          <w:highlight w:val="none"/>
        </w:rPr>
        <w:t>违约金按每迟延</w:t>
      </w:r>
      <w:r>
        <w:rPr>
          <w:rFonts w:hint="eastAsia" w:cs="Times New Roman" w:asciiTheme="minorEastAsia" w:hAnsiTheme="minorEastAsia" w:eastAsiaTheme="minorEastAsia"/>
          <w:color w:val="auto"/>
          <w:sz w:val="21"/>
          <w:szCs w:val="21"/>
          <w:highlight w:val="none"/>
        </w:rPr>
        <w:t>履行</w:t>
      </w:r>
      <w:r>
        <w:rPr>
          <w:rFonts w:cs="Times New Roman" w:asciiTheme="minorEastAsia" w:hAnsiTheme="minorEastAsia" w:eastAsiaTheme="minorEastAsia"/>
          <w:color w:val="auto"/>
          <w:sz w:val="21"/>
          <w:szCs w:val="21"/>
          <w:highlight w:val="none"/>
        </w:rPr>
        <w:t>一日的应提供而未</w:t>
      </w:r>
      <w:r>
        <w:rPr>
          <w:rFonts w:hint="eastAsia" w:cs="Times New Roman" w:asciiTheme="minorEastAsia" w:hAnsiTheme="minorEastAsia" w:eastAsiaTheme="minorEastAsia"/>
          <w:color w:val="auto"/>
          <w:sz w:val="21"/>
          <w:szCs w:val="21"/>
          <w:highlight w:val="none"/>
        </w:rPr>
        <w:t>提供</w:t>
      </w:r>
      <w:r>
        <w:rPr>
          <w:rFonts w:cs="Times New Roman" w:asciiTheme="minorEastAsia" w:hAnsiTheme="minorEastAsia" w:eastAsiaTheme="minorEastAsia"/>
          <w:color w:val="auto"/>
          <w:sz w:val="21"/>
          <w:szCs w:val="21"/>
          <w:highlight w:val="none"/>
        </w:rPr>
        <w:t>服务价格的</w:t>
      </w:r>
      <w:r>
        <w:rPr>
          <w:rFonts w:hint="eastAsia" w:cs="Times New Roman" w:asciiTheme="minorEastAsia" w:hAnsiTheme="minorEastAsia" w:eastAsiaTheme="minorEastAsia"/>
          <w:color w:val="auto"/>
          <w:sz w:val="21"/>
          <w:szCs w:val="21"/>
          <w:highlight w:val="none"/>
          <w:u w:val="single"/>
          <w:lang w:val="en-US" w:eastAsia="zh-CN"/>
        </w:rPr>
        <w:t>0.5</w:t>
      </w:r>
      <w:r>
        <w:rPr>
          <w:rFonts w:cs="Times New Roman" w:asciiTheme="minorEastAsia" w:hAnsiTheme="minorEastAsia" w:eastAsiaTheme="minorEastAsia"/>
          <w:color w:val="auto"/>
          <w:sz w:val="21"/>
          <w:szCs w:val="21"/>
          <w:highlight w:val="none"/>
        </w:rPr>
        <w:t>%计算</w:t>
      </w:r>
      <w:r>
        <w:rPr>
          <w:rFonts w:hint="eastAsia" w:cs="Times New Roman" w:asciiTheme="minorEastAsia" w:hAnsiTheme="minorEastAsia" w:eastAsiaTheme="minorEastAsia"/>
          <w:color w:val="auto"/>
          <w:sz w:val="21"/>
          <w:szCs w:val="21"/>
          <w:highlight w:val="none"/>
        </w:rPr>
        <w:t>，</w:t>
      </w:r>
      <w:r>
        <w:rPr>
          <w:rFonts w:cs="Times New Roman" w:asciiTheme="minorEastAsia" w:hAnsiTheme="minorEastAsia" w:eastAsiaTheme="minorEastAsia"/>
          <w:color w:val="auto"/>
          <w:sz w:val="21"/>
          <w:szCs w:val="21"/>
          <w:highlight w:val="none"/>
        </w:rPr>
        <w:t>最高限额为</w:t>
      </w:r>
      <w:r>
        <w:rPr>
          <w:rFonts w:hint="eastAsia" w:cs="Times New Roman" w:asciiTheme="minorEastAsia" w:hAnsiTheme="minorEastAsia" w:eastAsiaTheme="minorEastAsia"/>
          <w:color w:val="auto"/>
          <w:sz w:val="21"/>
          <w:szCs w:val="21"/>
          <w:highlight w:val="none"/>
        </w:rPr>
        <w:t>本</w:t>
      </w:r>
      <w:r>
        <w:rPr>
          <w:rFonts w:cs="Times New Roman" w:asciiTheme="minorEastAsia" w:hAnsiTheme="minorEastAsia" w:eastAsiaTheme="minorEastAsia"/>
          <w:color w:val="auto"/>
          <w:sz w:val="21"/>
          <w:szCs w:val="21"/>
          <w:highlight w:val="none"/>
        </w:rPr>
        <w:t>合同总价的</w:t>
      </w:r>
      <w:r>
        <w:rPr>
          <w:rFonts w:hint="eastAsia" w:cs="Times New Roman" w:asciiTheme="minorEastAsia" w:hAnsiTheme="minorEastAsia" w:eastAsiaTheme="minorEastAsia"/>
          <w:color w:val="auto"/>
          <w:sz w:val="21"/>
          <w:szCs w:val="21"/>
          <w:highlight w:val="none"/>
          <w:u w:val="single"/>
          <w:lang w:val="en-US" w:eastAsia="zh-CN"/>
        </w:rPr>
        <w:t>10</w:t>
      </w:r>
      <w:r>
        <w:rPr>
          <w:rFonts w:cs="Times New Roman" w:asciiTheme="minorEastAsia" w:hAnsiTheme="minorEastAsia" w:eastAsiaTheme="minorEastAsia"/>
          <w:color w:val="auto"/>
          <w:sz w:val="21"/>
          <w:szCs w:val="21"/>
          <w:highlight w:val="none"/>
        </w:rPr>
        <w:t>%</w:t>
      </w:r>
      <w:r>
        <w:rPr>
          <w:rFonts w:hint="eastAsia" w:cs="Times New Roman" w:asciiTheme="minorEastAsia" w:hAnsiTheme="minorEastAsia" w:eastAsiaTheme="minorEastAsia"/>
          <w:color w:val="auto"/>
          <w:sz w:val="21"/>
          <w:szCs w:val="21"/>
          <w:highlight w:val="none"/>
        </w:rPr>
        <w:t>；</w:t>
      </w:r>
      <w:r>
        <w:rPr>
          <w:rFonts w:cs="Times New Roman" w:asciiTheme="minorEastAsia" w:hAnsiTheme="minorEastAsia" w:eastAsiaTheme="minorEastAsia"/>
          <w:color w:val="auto"/>
          <w:sz w:val="21"/>
          <w:szCs w:val="21"/>
          <w:highlight w:val="none"/>
        </w:rPr>
        <w:t>迟延</w:t>
      </w:r>
      <w:r>
        <w:rPr>
          <w:rFonts w:hint="eastAsia" w:cs="Times New Roman" w:asciiTheme="minorEastAsia" w:hAnsiTheme="minorEastAsia" w:eastAsiaTheme="minorEastAsia"/>
          <w:color w:val="auto"/>
          <w:sz w:val="21"/>
          <w:szCs w:val="21"/>
          <w:highlight w:val="none"/>
        </w:rPr>
        <w:t>履行</w:t>
      </w:r>
      <w:r>
        <w:rPr>
          <w:rFonts w:cs="Times New Roman" w:asciiTheme="minorEastAsia" w:hAnsiTheme="minorEastAsia" w:eastAsiaTheme="minorEastAsia"/>
          <w:color w:val="auto"/>
          <w:sz w:val="21"/>
          <w:szCs w:val="21"/>
          <w:highlight w:val="none"/>
        </w:rPr>
        <w:t>的违约金计算数额达到前述最高限额之日起</w:t>
      </w:r>
      <w:r>
        <w:rPr>
          <w:rFonts w:hint="eastAsia" w:cs="Times New Roman" w:asciiTheme="minorEastAsia" w:hAnsiTheme="minorEastAsia" w:eastAsiaTheme="minorEastAsia"/>
          <w:color w:val="auto"/>
          <w:sz w:val="21"/>
          <w:szCs w:val="21"/>
          <w:highlight w:val="none"/>
        </w:rPr>
        <w:t>，</w:t>
      </w:r>
      <w:r>
        <w:rPr>
          <w:rFonts w:cs="Times New Roman" w:asciiTheme="minorEastAsia" w:hAnsiTheme="minorEastAsia" w:eastAsiaTheme="minorEastAsia"/>
          <w:color w:val="auto"/>
          <w:sz w:val="21"/>
          <w:szCs w:val="21"/>
          <w:highlight w:val="none"/>
        </w:rPr>
        <w:t>甲方有权在要求乙方支付违约金的同时</w:t>
      </w:r>
      <w:r>
        <w:rPr>
          <w:rFonts w:hint="eastAsia" w:cs="Times New Roman" w:asciiTheme="minorEastAsia" w:hAnsiTheme="minorEastAsia" w:eastAsiaTheme="minorEastAsia"/>
          <w:color w:val="auto"/>
          <w:sz w:val="21"/>
          <w:szCs w:val="21"/>
          <w:highlight w:val="none"/>
        </w:rPr>
        <w:t>，书面通知乙方</w:t>
      </w:r>
      <w:r>
        <w:rPr>
          <w:rFonts w:cs="Times New Roman" w:asciiTheme="minorEastAsia" w:hAnsiTheme="minorEastAsia" w:eastAsiaTheme="minorEastAsia"/>
          <w:color w:val="auto"/>
          <w:sz w:val="21"/>
          <w:szCs w:val="21"/>
          <w:highlight w:val="none"/>
        </w:rPr>
        <w:t>解除本合同</w:t>
      </w:r>
      <w:r>
        <w:rPr>
          <w:rFonts w:hint="eastAsia" w:cs="Times New Roman" w:asciiTheme="minorEastAsia" w:hAnsiTheme="minorEastAsia" w:eastAsiaTheme="minorEastAsia"/>
          <w:color w:val="auto"/>
          <w:sz w:val="21"/>
          <w:szCs w:val="21"/>
          <w:highlight w:val="none"/>
        </w:rPr>
        <w:t>；</w:t>
      </w:r>
    </w:p>
    <w:p w14:paraId="5CD2E210">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1.6.2</w:t>
      </w:r>
      <w:r>
        <w:rPr>
          <w:rFonts w:cs="Times New Roman" w:asciiTheme="minorEastAsia" w:hAnsiTheme="minorEastAsia" w:eastAsiaTheme="minorEastAsia"/>
          <w:color w:val="auto"/>
          <w:sz w:val="21"/>
          <w:szCs w:val="21"/>
          <w:highlight w:val="none"/>
        </w:rPr>
        <w:t>除不可抗力外，如果甲方没有按照本合同约定的付款方式付款，那么乙方可要求甲方支付违约金</w:t>
      </w:r>
      <w:r>
        <w:rPr>
          <w:rFonts w:hint="eastAsia" w:cs="Times New Roman" w:asciiTheme="minorEastAsia" w:hAnsiTheme="minorEastAsia" w:eastAsiaTheme="minorEastAsia"/>
          <w:color w:val="auto"/>
          <w:sz w:val="21"/>
          <w:szCs w:val="21"/>
          <w:highlight w:val="none"/>
        </w:rPr>
        <w:t>，</w:t>
      </w:r>
      <w:r>
        <w:rPr>
          <w:rFonts w:cs="Times New Roman" w:asciiTheme="minorEastAsia" w:hAnsiTheme="minorEastAsia" w:eastAsiaTheme="minorEastAsia"/>
          <w:color w:val="auto"/>
          <w:sz w:val="21"/>
          <w:szCs w:val="21"/>
          <w:highlight w:val="none"/>
        </w:rPr>
        <w:t>违约金按每迟延</w:t>
      </w:r>
      <w:r>
        <w:rPr>
          <w:rFonts w:hint="eastAsia" w:cs="Times New Roman" w:asciiTheme="minorEastAsia" w:hAnsiTheme="minorEastAsia" w:eastAsiaTheme="minorEastAsia"/>
          <w:color w:val="auto"/>
          <w:sz w:val="21"/>
          <w:szCs w:val="21"/>
          <w:highlight w:val="none"/>
        </w:rPr>
        <w:t>付款</w:t>
      </w:r>
      <w:r>
        <w:rPr>
          <w:rFonts w:cs="Times New Roman" w:asciiTheme="minorEastAsia" w:hAnsiTheme="minorEastAsia" w:eastAsiaTheme="minorEastAsia"/>
          <w:color w:val="auto"/>
          <w:sz w:val="21"/>
          <w:szCs w:val="21"/>
          <w:highlight w:val="none"/>
        </w:rPr>
        <w:t>一日的应付而未付款的</w:t>
      </w:r>
      <w:r>
        <w:rPr>
          <w:rFonts w:hint="eastAsia" w:cs="Times New Roman" w:asciiTheme="minorEastAsia" w:hAnsiTheme="minorEastAsia" w:eastAsiaTheme="minorEastAsia"/>
          <w:color w:val="auto"/>
          <w:sz w:val="21"/>
          <w:szCs w:val="21"/>
          <w:highlight w:val="none"/>
          <w:u w:val="single"/>
          <w:lang w:val="en-US" w:eastAsia="zh-CN"/>
        </w:rPr>
        <w:t>0.05</w:t>
      </w:r>
      <w:r>
        <w:rPr>
          <w:rFonts w:cs="Times New Roman" w:asciiTheme="minorEastAsia" w:hAnsiTheme="minorEastAsia" w:eastAsiaTheme="minorEastAsia"/>
          <w:color w:val="auto"/>
          <w:sz w:val="21"/>
          <w:szCs w:val="21"/>
          <w:highlight w:val="none"/>
        </w:rPr>
        <w:t>%计算</w:t>
      </w:r>
      <w:r>
        <w:rPr>
          <w:rFonts w:hint="eastAsia" w:cs="Times New Roman" w:asciiTheme="minorEastAsia" w:hAnsiTheme="minorEastAsia" w:eastAsiaTheme="minorEastAsia"/>
          <w:color w:val="auto"/>
          <w:sz w:val="21"/>
          <w:szCs w:val="21"/>
          <w:highlight w:val="none"/>
        </w:rPr>
        <w:t>，</w:t>
      </w:r>
      <w:r>
        <w:rPr>
          <w:rFonts w:cs="Times New Roman" w:asciiTheme="minorEastAsia" w:hAnsiTheme="minorEastAsia" w:eastAsiaTheme="minorEastAsia"/>
          <w:color w:val="auto"/>
          <w:sz w:val="21"/>
          <w:szCs w:val="21"/>
          <w:highlight w:val="none"/>
        </w:rPr>
        <w:t>最高限额为</w:t>
      </w:r>
      <w:r>
        <w:rPr>
          <w:rFonts w:hint="eastAsia" w:cs="Times New Roman" w:asciiTheme="minorEastAsia" w:hAnsiTheme="minorEastAsia" w:eastAsiaTheme="minorEastAsia"/>
          <w:color w:val="auto"/>
          <w:sz w:val="21"/>
          <w:szCs w:val="21"/>
          <w:highlight w:val="none"/>
        </w:rPr>
        <w:t>本</w:t>
      </w:r>
      <w:r>
        <w:rPr>
          <w:rFonts w:cs="Times New Roman" w:asciiTheme="minorEastAsia" w:hAnsiTheme="minorEastAsia" w:eastAsiaTheme="minorEastAsia"/>
          <w:color w:val="auto"/>
          <w:sz w:val="21"/>
          <w:szCs w:val="21"/>
          <w:highlight w:val="none"/>
        </w:rPr>
        <w:t>合同总价的</w:t>
      </w:r>
      <w:r>
        <w:rPr>
          <w:rFonts w:hint="eastAsia" w:cs="Times New Roman" w:asciiTheme="minorEastAsia" w:hAnsiTheme="minorEastAsia" w:eastAsiaTheme="minorEastAsia"/>
          <w:color w:val="auto"/>
          <w:sz w:val="21"/>
          <w:szCs w:val="21"/>
          <w:highlight w:val="none"/>
          <w:u w:val="single"/>
          <w:lang w:val="en-US" w:eastAsia="zh-CN"/>
        </w:rPr>
        <w:t>0.5</w:t>
      </w:r>
      <w:r>
        <w:rPr>
          <w:rFonts w:cs="Times New Roman" w:asciiTheme="minorEastAsia" w:hAnsiTheme="minorEastAsia" w:eastAsiaTheme="minorEastAsia"/>
          <w:color w:val="auto"/>
          <w:sz w:val="21"/>
          <w:szCs w:val="21"/>
          <w:highlight w:val="none"/>
        </w:rPr>
        <w:t>%</w:t>
      </w:r>
      <w:r>
        <w:rPr>
          <w:rFonts w:hint="eastAsia" w:cs="Times New Roman" w:asciiTheme="minorEastAsia" w:hAnsiTheme="minorEastAsia" w:eastAsiaTheme="minorEastAsia"/>
          <w:color w:val="auto"/>
          <w:sz w:val="21"/>
          <w:szCs w:val="21"/>
          <w:highlight w:val="none"/>
        </w:rPr>
        <w:t>；</w:t>
      </w:r>
      <w:r>
        <w:rPr>
          <w:rFonts w:cs="Times New Roman" w:asciiTheme="minorEastAsia" w:hAnsiTheme="minorEastAsia" w:eastAsiaTheme="minorEastAsia"/>
          <w:color w:val="auto"/>
          <w:sz w:val="21"/>
          <w:szCs w:val="21"/>
          <w:highlight w:val="none"/>
        </w:rPr>
        <w:t>迟延</w:t>
      </w:r>
      <w:r>
        <w:rPr>
          <w:rFonts w:hint="eastAsia" w:cs="Times New Roman" w:asciiTheme="minorEastAsia" w:hAnsiTheme="minorEastAsia" w:eastAsiaTheme="minorEastAsia"/>
          <w:color w:val="auto"/>
          <w:sz w:val="21"/>
          <w:szCs w:val="21"/>
          <w:highlight w:val="none"/>
        </w:rPr>
        <w:t>付款</w:t>
      </w:r>
      <w:r>
        <w:rPr>
          <w:rFonts w:cs="Times New Roman" w:asciiTheme="minorEastAsia" w:hAnsiTheme="minorEastAsia" w:eastAsiaTheme="minorEastAsia"/>
          <w:color w:val="auto"/>
          <w:sz w:val="21"/>
          <w:szCs w:val="21"/>
          <w:highlight w:val="none"/>
        </w:rPr>
        <w:t>的违约金计算数额达到前述最高限额之日起</w:t>
      </w:r>
      <w:r>
        <w:rPr>
          <w:rFonts w:hint="eastAsia" w:cs="Times New Roman" w:asciiTheme="minorEastAsia" w:hAnsiTheme="minorEastAsia" w:eastAsiaTheme="minorEastAsia"/>
          <w:color w:val="auto"/>
          <w:sz w:val="21"/>
          <w:szCs w:val="21"/>
          <w:highlight w:val="none"/>
        </w:rPr>
        <w:t>，乙</w:t>
      </w:r>
      <w:r>
        <w:rPr>
          <w:rFonts w:cs="Times New Roman" w:asciiTheme="minorEastAsia" w:hAnsiTheme="minorEastAsia" w:eastAsiaTheme="minorEastAsia"/>
          <w:color w:val="auto"/>
          <w:sz w:val="21"/>
          <w:szCs w:val="21"/>
          <w:highlight w:val="none"/>
        </w:rPr>
        <w:t>方有权在要求甲方支付违约金的同时</w:t>
      </w:r>
      <w:r>
        <w:rPr>
          <w:rFonts w:hint="eastAsia" w:cs="Times New Roman" w:asciiTheme="minorEastAsia" w:hAnsiTheme="minorEastAsia" w:eastAsiaTheme="minorEastAsia"/>
          <w:color w:val="auto"/>
          <w:sz w:val="21"/>
          <w:szCs w:val="21"/>
          <w:highlight w:val="none"/>
        </w:rPr>
        <w:t>，书面通知甲方</w:t>
      </w:r>
      <w:r>
        <w:rPr>
          <w:rFonts w:cs="Times New Roman" w:asciiTheme="minorEastAsia" w:hAnsiTheme="minorEastAsia" w:eastAsiaTheme="minorEastAsia"/>
          <w:color w:val="auto"/>
          <w:sz w:val="21"/>
          <w:szCs w:val="21"/>
          <w:highlight w:val="none"/>
        </w:rPr>
        <w:t>解除本合同</w:t>
      </w:r>
      <w:r>
        <w:rPr>
          <w:rFonts w:hint="eastAsia" w:cs="Times New Roman" w:asciiTheme="minorEastAsia" w:hAnsiTheme="minorEastAsia" w:eastAsiaTheme="minorEastAsia"/>
          <w:color w:val="auto"/>
          <w:sz w:val="21"/>
          <w:szCs w:val="21"/>
          <w:highlight w:val="none"/>
        </w:rPr>
        <w:t>；</w:t>
      </w:r>
    </w:p>
    <w:p w14:paraId="75C8730B">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370D3520">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7DE9A3EE">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5E9FDC3E">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1.6.6如果出现政府采购监督管理部门在处理投诉事项期间，书面通知甲方暂停采购活动的情形，或者询问或质疑事项可能影响中标结果的，导致甲方中止履行合同的情形，均不视为甲方违约。</w:t>
      </w:r>
    </w:p>
    <w:p w14:paraId="610F10A0">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cs="Times New Roman" w:asciiTheme="minorEastAsia" w:hAnsiTheme="minorEastAsia" w:eastAsiaTheme="minorEastAsia"/>
          <w:color w:val="auto"/>
          <w:sz w:val="21"/>
          <w:szCs w:val="21"/>
          <w:highlight w:val="none"/>
        </w:rPr>
        <w:t>1.6.7因甲方未按合同约定支付价款、未按合同约定受领标的物、擅自解除合同</w:t>
      </w:r>
      <w:r>
        <w:rPr>
          <w:rFonts w:hint="eastAsia" w:cs="Times New Roman" w:asciiTheme="minorEastAsia" w:hAnsiTheme="minorEastAsia" w:eastAsiaTheme="minorEastAsia"/>
          <w:color w:val="auto"/>
          <w:sz w:val="21"/>
          <w:szCs w:val="21"/>
          <w:highlight w:val="none"/>
          <w:lang w:eastAsia="zh-CN"/>
        </w:rPr>
        <w:t>、</w:t>
      </w:r>
      <w:r>
        <w:rPr>
          <w:rFonts w:hint="eastAsia" w:cs="Times New Roman" w:asciiTheme="minorEastAsia" w:hAnsiTheme="minorEastAsia" w:eastAsiaTheme="minorEastAsia"/>
          <w:color w:val="auto"/>
          <w:sz w:val="21"/>
          <w:szCs w:val="21"/>
          <w:highlight w:val="none"/>
        </w:rPr>
        <w:t>逾期退还履约保证金</w:t>
      </w:r>
      <w:r>
        <w:rPr>
          <w:rFonts w:cs="Times New Roman" w:asciiTheme="minorEastAsia" w:hAnsiTheme="minorEastAsia" w:eastAsiaTheme="minorEastAsia"/>
          <w:color w:val="auto"/>
          <w:sz w:val="21"/>
          <w:szCs w:val="21"/>
          <w:highlight w:val="none"/>
        </w:rPr>
        <w:t>导致乙方遭受的直接损失，乙方可向甲方申请赔偿，赔偿金额由双方协商一致；</w:t>
      </w:r>
      <w:r>
        <w:rPr>
          <w:rFonts w:hint="eastAsia" w:cs="Times New Roman" w:asciiTheme="minorEastAsia" w:hAnsiTheme="minorEastAsia" w:eastAsiaTheme="minorEastAsia"/>
          <w:color w:val="auto"/>
          <w:sz w:val="21"/>
          <w:szCs w:val="21"/>
          <w:highlight w:val="none"/>
        </w:rPr>
        <w:t>针对因政策变化等原因不能签订合同或解除合同时，造成乙方合法利益受损的情形，可以给予乙方合理补偿，补偿金额不得超过乙方的直接损失。</w:t>
      </w:r>
    </w:p>
    <w:p w14:paraId="09340E6A">
      <w:pPr>
        <w:keepNext w:val="0"/>
        <w:keepLines w:val="0"/>
        <w:pageBreakBefore w:val="0"/>
        <w:kinsoku/>
        <w:wordWrap/>
        <w:overflowPunct/>
        <w:topLinePunct w:val="0"/>
        <w:bidi w:val="0"/>
        <w:snapToGrid/>
        <w:spacing w:line="440" w:lineRule="exact"/>
        <w:ind w:firstLine="437"/>
        <w:textAlignment w:val="auto"/>
        <w:outlineLvl w:val="2"/>
        <w:rPr>
          <w:rFonts w:cs="Times New Roman" w:asciiTheme="minorEastAsia" w:hAnsiTheme="minorEastAsia" w:eastAsiaTheme="minorEastAsia"/>
          <w:b/>
          <w:bCs/>
          <w:color w:val="auto"/>
          <w:sz w:val="21"/>
          <w:szCs w:val="21"/>
          <w:highlight w:val="none"/>
          <w:lang w:val="zh-CN"/>
        </w:rPr>
      </w:pPr>
      <w:bookmarkStart w:id="124" w:name="_Toc28375"/>
      <w:bookmarkStart w:id="125" w:name="_Toc15583"/>
      <w:bookmarkStart w:id="126" w:name="_Toc16021"/>
      <w:r>
        <w:rPr>
          <w:rFonts w:hint="eastAsia" w:cs="Times New Roman" w:asciiTheme="minorEastAsia" w:hAnsiTheme="minorEastAsia" w:eastAsiaTheme="minorEastAsia"/>
          <w:b/>
          <w:bCs/>
          <w:color w:val="auto"/>
          <w:sz w:val="21"/>
          <w:szCs w:val="21"/>
          <w:highlight w:val="none"/>
          <w:lang w:val="zh-CN"/>
        </w:rPr>
        <w:t>1.7</w:t>
      </w:r>
      <w:r>
        <w:rPr>
          <w:rFonts w:cs="Times New Roman" w:asciiTheme="minorEastAsia" w:hAnsiTheme="minorEastAsia" w:eastAsiaTheme="minorEastAsia"/>
          <w:b/>
          <w:bCs/>
          <w:color w:val="auto"/>
          <w:sz w:val="21"/>
          <w:szCs w:val="21"/>
          <w:highlight w:val="none"/>
          <w:lang w:val="zh-CN"/>
        </w:rPr>
        <w:t xml:space="preserve"> </w:t>
      </w:r>
      <w:r>
        <w:rPr>
          <w:rFonts w:hint="eastAsia" w:cs="Times New Roman" w:asciiTheme="minorEastAsia" w:hAnsiTheme="minorEastAsia" w:eastAsiaTheme="minorEastAsia"/>
          <w:b/>
          <w:bCs/>
          <w:color w:val="auto"/>
          <w:sz w:val="21"/>
          <w:szCs w:val="21"/>
          <w:highlight w:val="none"/>
          <w:lang w:val="zh-CN"/>
        </w:rPr>
        <w:t>合同</w:t>
      </w:r>
      <w:r>
        <w:rPr>
          <w:rFonts w:cs="Times New Roman" w:asciiTheme="minorEastAsia" w:hAnsiTheme="minorEastAsia" w:eastAsiaTheme="minorEastAsia"/>
          <w:b/>
          <w:bCs/>
          <w:color w:val="auto"/>
          <w:sz w:val="21"/>
          <w:szCs w:val="21"/>
          <w:highlight w:val="none"/>
          <w:lang w:val="zh-CN"/>
        </w:rPr>
        <w:t>争议的解决</w:t>
      </w:r>
      <w:bookmarkEnd w:id="124"/>
      <w:bookmarkEnd w:id="125"/>
      <w:bookmarkEnd w:id="126"/>
    </w:p>
    <w:p w14:paraId="55A8291A">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本合</w:t>
      </w:r>
      <w:r>
        <w:rPr>
          <w:rFonts w:cs="Times New Roman" w:asciiTheme="minorEastAsia" w:hAnsiTheme="minorEastAsia" w:eastAsiaTheme="minorEastAsia"/>
          <w:color w:val="auto"/>
          <w:sz w:val="21"/>
          <w:szCs w:val="21"/>
          <w:highlight w:val="none"/>
        </w:rPr>
        <w:t>同履行过程中发生的任何争议，双方当事人均可</w:t>
      </w:r>
      <w:r>
        <w:rPr>
          <w:rFonts w:hint="eastAsia" w:cs="Times New Roman" w:asciiTheme="minorEastAsia" w:hAnsiTheme="minorEastAsia" w:eastAsiaTheme="minorEastAsia"/>
          <w:color w:val="auto"/>
          <w:sz w:val="21"/>
          <w:szCs w:val="21"/>
          <w:highlight w:val="none"/>
        </w:rPr>
        <w:t>通过和解或者调解解决；不愿和解、调解或者和解、调解不成的，可以选择下列第</w:t>
      </w:r>
      <w:r>
        <w:rPr>
          <w:rFonts w:hint="eastAsia" w:cs="Times New Roman" w:asciiTheme="minorEastAsia" w:hAnsiTheme="minorEastAsia" w:eastAsiaTheme="minorEastAsia"/>
          <w:color w:val="auto"/>
          <w:sz w:val="21"/>
          <w:szCs w:val="21"/>
          <w:highlight w:val="none"/>
          <w:u w:val="single"/>
        </w:rPr>
        <w:t xml:space="preserve"> </w:t>
      </w:r>
      <w:r>
        <w:rPr>
          <w:rFonts w:hint="eastAsia" w:cs="Times New Roman" w:asciiTheme="minorEastAsia" w:hAnsiTheme="minorEastAsia" w:eastAsiaTheme="minorEastAsia"/>
          <w:color w:val="auto"/>
          <w:sz w:val="21"/>
          <w:szCs w:val="21"/>
          <w:highlight w:val="none"/>
          <w:u w:val="single"/>
          <w:lang w:val="en-US" w:eastAsia="zh-CN"/>
        </w:rPr>
        <w:t xml:space="preserve">2 </w:t>
      </w:r>
      <w:r>
        <w:rPr>
          <w:rFonts w:hint="eastAsia" w:cs="Times New Roman" w:asciiTheme="minorEastAsia" w:hAnsiTheme="minorEastAsia" w:eastAsiaTheme="minorEastAsia"/>
          <w:color w:val="auto"/>
          <w:sz w:val="21"/>
          <w:szCs w:val="21"/>
          <w:highlight w:val="none"/>
        </w:rPr>
        <w:t>种方式解决：</w:t>
      </w:r>
    </w:p>
    <w:p w14:paraId="52AC8821">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1.7.1将争议提交</w:t>
      </w:r>
      <w:r>
        <w:rPr>
          <w:rFonts w:hint="eastAsia" w:cs="Times New Roman" w:asciiTheme="minorEastAsia" w:hAnsiTheme="minorEastAsia" w:eastAsiaTheme="minorEastAsia"/>
          <w:color w:val="auto"/>
          <w:sz w:val="21"/>
          <w:szCs w:val="21"/>
          <w:highlight w:val="none"/>
          <w:u w:val="single"/>
        </w:rPr>
        <w:t xml:space="preserve">  </w:t>
      </w:r>
      <w:r>
        <w:rPr>
          <w:rFonts w:hint="eastAsia" w:cs="Times New Roman" w:asciiTheme="minorEastAsia" w:hAnsiTheme="minorEastAsia" w:eastAsiaTheme="minorEastAsia"/>
          <w:color w:val="auto"/>
          <w:sz w:val="21"/>
          <w:szCs w:val="21"/>
          <w:highlight w:val="none"/>
          <w:u w:val="single"/>
          <w:lang w:val="en-US" w:eastAsia="zh-CN"/>
        </w:rPr>
        <w:t>/</w:t>
      </w:r>
      <w:r>
        <w:rPr>
          <w:rFonts w:hint="eastAsia" w:cs="Times New Roman" w:asciiTheme="minorEastAsia" w:hAnsiTheme="minorEastAsia" w:eastAsiaTheme="minorEastAsia"/>
          <w:color w:val="auto"/>
          <w:sz w:val="21"/>
          <w:szCs w:val="21"/>
          <w:highlight w:val="none"/>
          <w:u w:val="single"/>
        </w:rPr>
        <w:t xml:space="preserve">  </w:t>
      </w:r>
      <w:r>
        <w:rPr>
          <w:rFonts w:hint="eastAsia" w:cs="Times New Roman" w:asciiTheme="minorEastAsia" w:hAnsiTheme="minorEastAsia" w:eastAsiaTheme="minorEastAsia"/>
          <w:color w:val="auto"/>
          <w:sz w:val="21"/>
          <w:szCs w:val="21"/>
          <w:highlight w:val="none"/>
        </w:rPr>
        <w:t>仲裁委员会依申请仲裁时其现行有效的仲裁规则裁决；</w:t>
      </w:r>
    </w:p>
    <w:p w14:paraId="5C46E829">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1.7.2向</w:t>
      </w:r>
      <w:r>
        <w:rPr>
          <w:rFonts w:hint="eastAsia" w:cs="Times New Roman" w:asciiTheme="minorEastAsia" w:hAnsiTheme="minorEastAsia" w:eastAsiaTheme="minorEastAsia"/>
          <w:color w:val="auto"/>
          <w:sz w:val="21"/>
          <w:szCs w:val="21"/>
          <w:highlight w:val="none"/>
          <w:u w:val="single"/>
          <w:lang w:val="en-US" w:eastAsia="zh-CN"/>
        </w:rPr>
        <w:t>项目所在地</w:t>
      </w:r>
      <w:r>
        <w:rPr>
          <w:rFonts w:hint="eastAsia" w:cs="Times New Roman" w:asciiTheme="minorEastAsia" w:hAnsiTheme="minorEastAsia" w:eastAsiaTheme="minorEastAsia"/>
          <w:color w:val="auto"/>
          <w:sz w:val="21"/>
          <w:szCs w:val="21"/>
          <w:highlight w:val="none"/>
        </w:rPr>
        <w:t>人民法院起诉。</w:t>
      </w:r>
    </w:p>
    <w:p w14:paraId="64271BA7">
      <w:pPr>
        <w:keepNext w:val="0"/>
        <w:keepLines w:val="0"/>
        <w:pageBreakBefore w:val="0"/>
        <w:kinsoku/>
        <w:wordWrap/>
        <w:overflowPunct/>
        <w:topLinePunct w:val="0"/>
        <w:bidi w:val="0"/>
        <w:snapToGrid/>
        <w:spacing w:line="440" w:lineRule="exact"/>
        <w:ind w:firstLine="437"/>
        <w:textAlignment w:val="auto"/>
        <w:outlineLvl w:val="2"/>
        <w:rPr>
          <w:rFonts w:cs="Times New Roman" w:asciiTheme="minorEastAsia" w:hAnsiTheme="minorEastAsia" w:eastAsiaTheme="minorEastAsia"/>
          <w:b/>
          <w:bCs/>
          <w:color w:val="auto"/>
          <w:sz w:val="21"/>
          <w:szCs w:val="21"/>
          <w:highlight w:val="none"/>
          <w:lang w:val="zh-CN"/>
        </w:rPr>
      </w:pPr>
      <w:bookmarkStart w:id="127" w:name="_Toc15322"/>
      <w:bookmarkStart w:id="128" w:name="_Toc7245"/>
      <w:bookmarkStart w:id="129" w:name="_Toc11173"/>
      <w:r>
        <w:rPr>
          <w:rFonts w:hint="eastAsia" w:cs="Times New Roman" w:asciiTheme="minorEastAsia" w:hAnsiTheme="minorEastAsia" w:eastAsiaTheme="minorEastAsia"/>
          <w:b/>
          <w:bCs/>
          <w:color w:val="auto"/>
          <w:sz w:val="21"/>
          <w:szCs w:val="21"/>
          <w:highlight w:val="none"/>
          <w:lang w:val="zh-CN"/>
        </w:rPr>
        <w:t>1.8</w:t>
      </w:r>
      <w:r>
        <w:rPr>
          <w:rFonts w:cs="Times New Roman" w:asciiTheme="minorEastAsia" w:hAnsiTheme="minorEastAsia" w:eastAsiaTheme="minorEastAsia"/>
          <w:b/>
          <w:bCs/>
          <w:color w:val="auto"/>
          <w:sz w:val="21"/>
          <w:szCs w:val="21"/>
          <w:highlight w:val="none"/>
          <w:lang w:val="zh-CN"/>
        </w:rPr>
        <w:t xml:space="preserve"> 合同生效</w:t>
      </w:r>
      <w:bookmarkEnd w:id="127"/>
      <w:bookmarkEnd w:id="128"/>
      <w:bookmarkEnd w:id="129"/>
    </w:p>
    <w:p w14:paraId="1ABB3E00">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cs="Times New Roman" w:asciiTheme="minorEastAsia" w:hAnsiTheme="minorEastAsia" w:eastAsiaTheme="minorEastAsia"/>
          <w:color w:val="auto"/>
          <w:sz w:val="21"/>
          <w:szCs w:val="21"/>
          <w:highlight w:val="none"/>
        </w:rPr>
        <w:t>本合同自</w:t>
      </w:r>
      <w:r>
        <w:rPr>
          <w:rFonts w:hint="eastAsia" w:cs="Times New Roman" w:asciiTheme="minorEastAsia" w:hAnsiTheme="minorEastAsia" w:eastAsiaTheme="minorEastAsia"/>
          <w:color w:val="auto"/>
          <w:sz w:val="21"/>
          <w:szCs w:val="21"/>
          <w:highlight w:val="none"/>
        </w:rPr>
        <w:t>双方当事人盖章时</w:t>
      </w:r>
      <w:r>
        <w:rPr>
          <w:rFonts w:cs="Times New Roman" w:asciiTheme="minorEastAsia" w:hAnsiTheme="minorEastAsia" w:eastAsiaTheme="minorEastAsia"/>
          <w:color w:val="auto"/>
          <w:sz w:val="21"/>
          <w:szCs w:val="21"/>
          <w:highlight w:val="none"/>
        </w:rPr>
        <w:t>生效。</w:t>
      </w:r>
    </w:p>
    <w:p w14:paraId="7A0EB8B2">
      <w:pPr>
        <w:keepNext w:val="0"/>
        <w:keepLines w:val="0"/>
        <w:pageBreakBefore w:val="0"/>
        <w:kinsoku/>
        <w:wordWrap/>
        <w:overflowPunct/>
        <w:topLinePunct w:val="0"/>
        <w:autoSpaceDE w:val="0"/>
        <w:autoSpaceDN w:val="0"/>
        <w:bidi w:val="0"/>
        <w:adjustRightInd w:val="0"/>
        <w:snapToGrid/>
        <w:spacing w:line="440" w:lineRule="exact"/>
        <w:textAlignment w:val="auto"/>
        <w:rPr>
          <w:rFonts w:cs="Times New Roman" w:asciiTheme="minorEastAsia" w:hAnsiTheme="minorEastAsia" w:eastAsiaTheme="minorEastAsia"/>
          <w:color w:val="auto"/>
          <w:sz w:val="21"/>
          <w:szCs w:val="21"/>
          <w:highlight w:val="none"/>
          <w:lang w:val="zh-CN"/>
        </w:rPr>
      </w:pPr>
    </w:p>
    <w:p w14:paraId="76F292C4">
      <w:pPr>
        <w:keepNext w:val="0"/>
        <w:keepLines w:val="0"/>
        <w:pageBreakBefore w:val="0"/>
        <w:kinsoku/>
        <w:wordWrap/>
        <w:overflowPunct/>
        <w:topLinePunct w:val="0"/>
        <w:autoSpaceDE w:val="0"/>
        <w:autoSpaceDN w:val="0"/>
        <w:bidi w:val="0"/>
        <w:adjustRightInd w:val="0"/>
        <w:snapToGrid/>
        <w:spacing w:line="440" w:lineRule="exact"/>
        <w:textAlignment w:val="auto"/>
        <w:rPr>
          <w:rFonts w:cs="Times New Roman" w:asciiTheme="minorEastAsia" w:hAnsiTheme="minorEastAsia" w:eastAsiaTheme="minorEastAsia"/>
          <w:color w:val="auto"/>
          <w:sz w:val="21"/>
          <w:szCs w:val="21"/>
          <w:highlight w:val="none"/>
          <w:lang w:val="zh-CN"/>
        </w:rPr>
      </w:pPr>
    </w:p>
    <w:p w14:paraId="051C5902">
      <w:pPr>
        <w:keepNext w:val="0"/>
        <w:keepLines w:val="0"/>
        <w:pageBreakBefore w:val="0"/>
        <w:kinsoku/>
        <w:wordWrap/>
        <w:overflowPunct/>
        <w:topLinePunct w:val="0"/>
        <w:autoSpaceDE w:val="0"/>
        <w:autoSpaceDN w:val="0"/>
        <w:bidi w:val="0"/>
        <w:adjustRightInd w:val="0"/>
        <w:snapToGrid/>
        <w:spacing w:line="440" w:lineRule="exact"/>
        <w:textAlignment w:val="auto"/>
        <w:rPr>
          <w:rFonts w:cs="Times New Roman" w:asciiTheme="minorEastAsia" w:hAnsiTheme="minorEastAsia" w:eastAsiaTheme="minorEastAsia"/>
          <w:bCs/>
          <w:color w:val="auto"/>
          <w:sz w:val="21"/>
          <w:szCs w:val="21"/>
          <w:highlight w:val="none"/>
          <w:lang w:val="zh-CN"/>
        </w:rPr>
      </w:pPr>
      <w:r>
        <w:rPr>
          <w:rFonts w:hint="eastAsia" w:cs="Times New Roman" w:asciiTheme="minorEastAsia" w:hAnsiTheme="minorEastAsia" w:eastAsiaTheme="minorEastAsia"/>
          <w:bCs/>
          <w:color w:val="auto"/>
          <w:sz w:val="21"/>
          <w:szCs w:val="21"/>
          <w:highlight w:val="none"/>
          <w:lang w:val="zh-CN"/>
        </w:rPr>
        <w:t xml:space="preserve">甲 </w:t>
      </w:r>
      <w:r>
        <w:rPr>
          <w:rFonts w:cs="Times New Roman" w:asciiTheme="minorEastAsia" w:hAnsiTheme="minorEastAsia" w:eastAsiaTheme="minorEastAsia"/>
          <w:bCs/>
          <w:color w:val="auto"/>
          <w:sz w:val="21"/>
          <w:szCs w:val="21"/>
          <w:highlight w:val="none"/>
          <w:lang w:val="zh-CN"/>
        </w:rPr>
        <w:t xml:space="preserve">   </w:t>
      </w:r>
      <w:r>
        <w:rPr>
          <w:rFonts w:hint="eastAsia" w:cs="Times New Roman" w:asciiTheme="minorEastAsia" w:hAnsiTheme="minorEastAsia" w:eastAsiaTheme="minorEastAsia"/>
          <w:bCs/>
          <w:color w:val="auto"/>
          <w:sz w:val="21"/>
          <w:szCs w:val="21"/>
          <w:highlight w:val="none"/>
          <w:lang w:val="zh-CN"/>
        </w:rPr>
        <w:t>方：</w:t>
      </w:r>
      <w:r>
        <w:rPr>
          <w:rFonts w:hint="eastAsia" w:cs="Times New Roman" w:asciiTheme="minorEastAsia" w:hAnsiTheme="minorEastAsia" w:eastAsiaTheme="minorEastAsia"/>
          <w:bCs/>
          <w:color w:val="auto"/>
          <w:sz w:val="21"/>
          <w:szCs w:val="21"/>
          <w:highlight w:val="none"/>
          <w:u w:val="single"/>
          <w:lang w:val="zh-CN"/>
        </w:rPr>
        <w:t xml:space="preserve">    （单位盖章）     </w:t>
      </w:r>
      <w:r>
        <w:rPr>
          <w:rFonts w:hint="eastAsia" w:cs="Times New Roman" w:asciiTheme="minorEastAsia" w:hAnsiTheme="minorEastAsia" w:eastAsiaTheme="minorEastAsia"/>
          <w:bCs/>
          <w:color w:val="auto"/>
          <w:sz w:val="21"/>
          <w:szCs w:val="21"/>
          <w:highlight w:val="none"/>
          <w:lang w:val="zh-CN"/>
        </w:rPr>
        <w:t xml:space="preserve">          乙方：</w:t>
      </w:r>
      <w:r>
        <w:rPr>
          <w:rFonts w:hint="eastAsia" w:cs="Times New Roman" w:asciiTheme="minorEastAsia" w:hAnsiTheme="minorEastAsia" w:eastAsiaTheme="minorEastAsia"/>
          <w:bCs/>
          <w:color w:val="auto"/>
          <w:sz w:val="21"/>
          <w:szCs w:val="21"/>
          <w:highlight w:val="none"/>
          <w:u w:val="single"/>
          <w:lang w:val="zh-CN"/>
        </w:rPr>
        <w:t xml:space="preserve">    （单位盖章）     </w:t>
      </w:r>
    </w:p>
    <w:p w14:paraId="4B378D70">
      <w:pPr>
        <w:keepNext w:val="0"/>
        <w:keepLines w:val="0"/>
        <w:pageBreakBefore w:val="0"/>
        <w:kinsoku/>
        <w:wordWrap/>
        <w:overflowPunct/>
        <w:topLinePunct w:val="0"/>
        <w:autoSpaceDE w:val="0"/>
        <w:autoSpaceDN w:val="0"/>
        <w:bidi w:val="0"/>
        <w:adjustRightInd w:val="0"/>
        <w:snapToGrid/>
        <w:spacing w:line="440" w:lineRule="exact"/>
        <w:textAlignment w:val="auto"/>
        <w:rPr>
          <w:rFonts w:cs="Times New Roman" w:asciiTheme="minorEastAsia" w:hAnsiTheme="minorEastAsia" w:eastAsiaTheme="minorEastAsia"/>
          <w:color w:val="auto"/>
          <w:sz w:val="21"/>
          <w:szCs w:val="21"/>
          <w:highlight w:val="none"/>
          <w:lang w:val="zh-CN"/>
        </w:rPr>
      </w:pPr>
      <w:r>
        <w:rPr>
          <w:rFonts w:hint="eastAsia" w:cs="Times New Roman" w:asciiTheme="minorEastAsia" w:hAnsiTheme="minorEastAsia" w:eastAsiaTheme="minorEastAsia"/>
          <w:color w:val="auto"/>
          <w:sz w:val="21"/>
          <w:szCs w:val="21"/>
          <w:highlight w:val="none"/>
          <w:lang w:val="zh-CN"/>
        </w:rPr>
        <w:t xml:space="preserve">法定代表人                             </w:t>
      </w:r>
      <w:r>
        <w:rPr>
          <w:rFonts w:cs="Times New Roman" w:asciiTheme="minorEastAsia" w:hAnsiTheme="minorEastAsia" w:eastAsiaTheme="minorEastAsia"/>
          <w:color w:val="auto"/>
          <w:sz w:val="21"/>
          <w:szCs w:val="21"/>
          <w:highlight w:val="none"/>
          <w:lang w:val="zh-CN"/>
        </w:rPr>
        <w:t xml:space="preserve">  </w:t>
      </w:r>
      <w:r>
        <w:rPr>
          <w:rFonts w:hint="eastAsia" w:cs="Times New Roman" w:asciiTheme="minorEastAsia" w:hAnsiTheme="minorEastAsia" w:eastAsiaTheme="minorEastAsia"/>
          <w:color w:val="auto"/>
          <w:sz w:val="21"/>
          <w:szCs w:val="21"/>
          <w:highlight w:val="none"/>
          <w:lang w:val="zh-CN"/>
        </w:rPr>
        <w:t>法定代表人</w:t>
      </w:r>
    </w:p>
    <w:p w14:paraId="0C1B2909">
      <w:pPr>
        <w:keepNext w:val="0"/>
        <w:keepLines w:val="0"/>
        <w:pageBreakBefore w:val="0"/>
        <w:kinsoku/>
        <w:wordWrap/>
        <w:overflowPunct/>
        <w:topLinePunct w:val="0"/>
        <w:autoSpaceDE w:val="0"/>
        <w:autoSpaceDN w:val="0"/>
        <w:bidi w:val="0"/>
        <w:adjustRightInd w:val="0"/>
        <w:snapToGrid/>
        <w:spacing w:line="440" w:lineRule="exact"/>
        <w:textAlignment w:val="auto"/>
        <w:rPr>
          <w:rFonts w:cs="Times New Roman" w:asciiTheme="minorEastAsia" w:hAnsiTheme="minorEastAsia" w:eastAsiaTheme="minorEastAsia"/>
          <w:color w:val="auto"/>
          <w:sz w:val="21"/>
          <w:szCs w:val="21"/>
          <w:highlight w:val="none"/>
          <w:lang w:val="zh-CN"/>
        </w:rPr>
      </w:pPr>
      <w:r>
        <w:rPr>
          <w:rFonts w:hint="eastAsia" w:cs="Times New Roman" w:asciiTheme="minorEastAsia" w:hAnsiTheme="minorEastAsia" w:eastAsiaTheme="minorEastAsia"/>
          <w:color w:val="auto"/>
          <w:sz w:val="21"/>
          <w:szCs w:val="21"/>
          <w:highlight w:val="none"/>
          <w:lang w:val="zh-CN"/>
        </w:rPr>
        <w:t>或授权代表（签字）：                      或授权代表（签字）：</w:t>
      </w:r>
    </w:p>
    <w:p w14:paraId="65CEEE9F">
      <w:pPr>
        <w:keepNext w:val="0"/>
        <w:keepLines w:val="0"/>
        <w:pageBreakBefore w:val="0"/>
        <w:widowControl/>
        <w:kinsoku/>
        <w:wordWrap/>
        <w:overflowPunct/>
        <w:topLinePunct w:val="0"/>
        <w:bidi w:val="0"/>
        <w:snapToGrid/>
        <w:spacing w:line="440" w:lineRule="exact"/>
        <w:jc w:val="left"/>
        <w:textAlignment w:val="auto"/>
        <w:rPr>
          <w:rFonts w:cs="Times New Roman" w:asciiTheme="minorEastAsia" w:hAnsiTheme="minorEastAsia" w:eastAsiaTheme="minorEastAsia"/>
          <w:bCs/>
          <w:color w:val="auto"/>
          <w:sz w:val="21"/>
          <w:szCs w:val="21"/>
          <w:highlight w:val="none"/>
        </w:rPr>
      </w:pPr>
      <w:bookmarkStart w:id="130" w:name="_Toc331685783"/>
      <w:r>
        <w:rPr>
          <w:rFonts w:hint="eastAsia" w:cs="Times New Roman" w:asciiTheme="minorEastAsia" w:hAnsiTheme="minorEastAsia" w:eastAsiaTheme="minorEastAsia"/>
          <w:bCs/>
          <w:color w:val="auto"/>
          <w:sz w:val="21"/>
          <w:szCs w:val="21"/>
          <w:highlight w:val="none"/>
        </w:rPr>
        <w:t>时间：</w:t>
      </w:r>
      <w:r>
        <w:rPr>
          <w:rFonts w:hint="eastAsia" w:cs="Times New Roman" w:asciiTheme="minorEastAsia" w:hAnsiTheme="minorEastAsia" w:eastAsiaTheme="minorEastAsia"/>
          <w:bCs/>
          <w:color w:val="auto"/>
          <w:sz w:val="21"/>
          <w:szCs w:val="21"/>
          <w:highlight w:val="none"/>
          <w:u w:val="single"/>
        </w:rPr>
        <w:t xml:space="preserve">  </w:t>
      </w:r>
      <w:r>
        <w:rPr>
          <w:rFonts w:cs="Times New Roman" w:asciiTheme="minorEastAsia" w:hAnsiTheme="minorEastAsia" w:eastAsiaTheme="minorEastAsia"/>
          <w:bCs/>
          <w:color w:val="auto"/>
          <w:sz w:val="21"/>
          <w:szCs w:val="21"/>
          <w:highlight w:val="none"/>
          <w:u w:val="single"/>
        </w:rPr>
        <w:t xml:space="preserve">  </w:t>
      </w:r>
      <w:r>
        <w:rPr>
          <w:rFonts w:hint="eastAsia" w:cs="Times New Roman" w:asciiTheme="minorEastAsia" w:hAnsiTheme="minorEastAsia" w:eastAsiaTheme="minorEastAsia"/>
          <w:bCs/>
          <w:color w:val="auto"/>
          <w:sz w:val="21"/>
          <w:szCs w:val="21"/>
          <w:highlight w:val="none"/>
          <w:u w:val="single"/>
        </w:rPr>
        <w:t xml:space="preserve">  </w:t>
      </w:r>
      <w:r>
        <w:rPr>
          <w:rFonts w:hint="eastAsia" w:cs="Times New Roman" w:asciiTheme="minorEastAsia" w:hAnsiTheme="minorEastAsia" w:eastAsiaTheme="minorEastAsia"/>
          <w:bCs/>
          <w:color w:val="auto"/>
          <w:sz w:val="21"/>
          <w:szCs w:val="21"/>
          <w:highlight w:val="none"/>
        </w:rPr>
        <w:t>年</w:t>
      </w:r>
      <w:r>
        <w:rPr>
          <w:rFonts w:hint="eastAsia" w:cs="Times New Roman" w:asciiTheme="minorEastAsia" w:hAnsiTheme="minorEastAsia" w:eastAsiaTheme="minorEastAsia"/>
          <w:bCs/>
          <w:color w:val="auto"/>
          <w:sz w:val="21"/>
          <w:szCs w:val="21"/>
          <w:highlight w:val="none"/>
          <w:u w:val="single"/>
        </w:rPr>
        <w:t xml:space="preserve">  </w:t>
      </w:r>
      <w:r>
        <w:rPr>
          <w:rFonts w:cs="Times New Roman" w:asciiTheme="minorEastAsia" w:hAnsiTheme="minorEastAsia" w:eastAsiaTheme="minorEastAsia"/>
          <w:bCs/>
          <w:color w:val="auto"/>
          <w:sz w:val="21"/>
          <w:szCs w:val="21"/>
          <w:highlight w:val="none"/>
          <w:u w:val="single"/>
        </w:rPr>
        <w:t xml:space="preserve"> </w:t>
      </w:r>
      <w:r>
        <w:rPr>
          <w:rFonts w:hint="eastAsia" w:cs="Times New Roman" w:asciiTheme="minorEastAsia" w:hAnsiTheme="minorEastAsia" w:eastAsiaTheme="minorEastAsia"/>
          <w:bCs/>
          <w:color w:val="auto"/>
          <w:sz w:val="21"/>
          <w:szCs w:val="21"/>
          <w:highlight w:val="none"/>
          <w:u w:val="single"/>
        </w:rPr>
        <w:t xml:space="preserve"> </w:t>
      </w:r>
      <w:r>
        <w:rPr>
          <w:rFonts w:hint="eastAsia" w:cs="Times New Roman" w:asciiTheme="minorEastAsia" w:hAnsiTheme="minorEastAsia" w:eastAsiaTheme="minorEastAsia"/>
          <w:bCs/>
          <w:color w:val="auto"/>
          <w:sz w:val="21"/>
          <w:szCs w:val="21"/>
          <w:highlight w:val="none"/>
        </w:rPr>
        <w:t>月</w:t>
      </w:r>
      <w:r>
        <w:rPr>
          <w:rFonts w:hint="eastAsia" w:cs="Times New Roman" w:asciiTheme="minorEastAsia" w:hAnsiTheme="minorEastAsia" w:eastAsiaTheme="minorEastAsia"/>
          <w:bCs/>
          <w:color w:val="auto"/>
          <w:sz w:val="21"/>
          <w:szCs w:val="21"/>
          <w:highlight w:val="none"/>
          <w:u w:val="single"/>
        </w:rPr>
        <w:t xml:space="preserve">  </w:t>
      </w:r>
      <w:r>
        <w:rPr>
          <w:rFonts w:cs="Times New Roman" w:asciiTheme="minorEastAsia" w:hAnsiTheme="minorEastAsia" w:eastAsiaTheme="minorEastAsia"/>
          <w:bCs/>
          <w:color w:val="auto"/>
          <w:sz w:val="21"/>
          <w:szCs w:val="21"/>
          <w:highlight w:val="none"/>
          <w:u w:val="single"/>
        </w:rPr>
        <w:t xml:space="preserve"> </w:t>
      </w:r>
      <w:r>
        <w:rPr>
          <w:rFonts w:hint="eastAsia" w:cs="Times New Roman" w:asciiTheme="minorEastAsia" w:hAnsiTheme="minorEastAsia" w:eastAsiaTheme="minorEastAsia"/>
          <w:bCs/>
          <w:color w:val="auto"/>
          <w:sz w:val="21"/>
          <w:szCs w:val="21"/>
          <w:highlight w:val="none"/>
          <w:u w:val="single"/>
        </w:rPr>
        <w:t xml:space="preserve"> </w:t>
      </w:r>
      <w:r>
        <w:rPr>
          <w:rFonts w:hint="eastAsia" w:cs="Times New Roman" w:asciiTheme="minorEastAsia" w:hAnsiTheme="minorEastAsia" w:eastAsiaTheme="minorEastAsia"/>
          <w:bCs/>
          <w:color w:val="auto"/>
          <w:sz w:val="21"/>
          <w:szCs w:val="21"/>
          <w:highlight w:val="none"/>
        </w:rPr>
        <w:t>日               时间：</w:t>
      </w:r>
      <w:r>
        <w:rPr>
          <w:rFonts w:hint="eastAsia" w:cs="Times New Roman" w:asciiTheme="minorEastAsia" w:hAnsiTheme="minorEastAsia" w:eastAsiaTheme="minorEastAsia"/>
          <w:bCs/>
          <w:color w:val="auto"/>
          <w:sz w:val="21"/>
          <w:szCs w:val="21"/>
          <w:highlight w:val="none"/>
          <w:u w:val="single"/>
        </w:rPr>
        <w:t xml:space="preserve">  </w:t>
      </w:r>
      <w:r>
        <w:rPr>
          <w:rFonts w:cs="Times New Roman" w:asciiTheme="minorEastAsia" w:hAnsiTheme="minorEastAsia" w:eastAsiaTheme="minorEastAsia"/>
          <w:bCs/>
          <w:color w:val="auto"/>
          <w:sz w:val="21"/>
          <w:szCs w:val="21"/>
          <w:highlight w:val="none"/>
          <w:u w:val="single"/>
        </w:rPr>
        <w:t xml:space="preserve">  </w:t>
      </w:r>
      <w:r>
        <w:rPr>
          <w:rFonts w:hint="eastAsia" w:cs="Times New Roman" w:asciiTheme="minorEastAsia" w:hAnsiTheme="minorEastAsia" w:eastAsiaTheme="minorEastAsia"/>
          <w:bCs/>
          <w:color w:val="auto"/>
          <w:sz w:val="21"/>
          <w:szCs w:val="21"/>
          <w:highlight w:val="none"/>
          <w:u w:val="single"/>
        </w:rPr>
        <w:t xml:space="preserve">  </w:t>
      </w:r>
      <w:r>
        <w:rPr>
          <w:rFonts w:hint="eastAsia" w:cs="Times New Roman" w:asciiTheme="minorEastAsia" w:hAnsiTheme="minorEastAsia" w:eastAsiaTheme="minorEastAsia"/>
          <w:bCs/>
          <w:color w:val="auto"/>
          <w:sz w:val="21"/>
          <w:szCs w:val="21"/>
          <w:highlight w:val="none"/>
        </w:rPr>
        <w:t>年</w:t>
      </w:r>
      <w:r>
        <w:rPr>
          <w:rFonts w:hint="eastAsia" w:cs="Times New Roman" w:asciiTheme="minorEastAsia" w:hAnsiTheme="minorEastAsia" w:eastAsiaTheme="minorEastAsia"/>
          <w:bCs/>
          <w:color w:val="auto"/>
          <w:sz w:val="21"/>
          <w:szCs w:val="21"/>
          <w:highlight w:val="none"/>
          <w:u w:val="single"/>
        </w:rPr>
        <w:t xml:space="preserve">  </w:t>
      </w:r>
      <w:r>
        <w:rPr>
          <w:rFonts w:cs="Times New Roman" w:asciiTheme="minorEastAsia" w:hAnsiTheme="minorEastAsia" w:eastAsiaTheme="minorEastAsia"/>
          <w:bCs/>
          <w:color w:val="auto"/>
          <w:sz w:val="21"/>
          <w:szCs w:val="21"/>
          <w:highlight w:val="none"/>
          <w:u w:val="single"/>
        </w:rPr>
        <w:t xml:space="preserve"> </w:t>
      </w:r>
      <w:r>
        <w:rPr>
          <w:rFonts w:hint="eastAsia" w:cs="Times New Roman" w:asciiTheme="minorEastAsia" w:hAnsiTheme="minorEastAsia" w:eastAsiaTheme="minorEastAsia"/>
          <w:bCs/>
          <w:color w:val="auto"/>
          <w:sz w:val="21"/>
          <w:szCs w:val="21"/>
          <w:highlight w:val="none"/>
          <w:u w:val="single"/>
        </w:rPr>
        <w:t xml:space="preserve"> </w:t>
      </w:r>
      <w:r>
        <w:rPr>
          <w:rFonts w:hint="eastAsia" w:cs="Times New Roman" w:asciiTheme="minorEastAsia" w:hAnsiTheme="minorEastAsia" w:eastAsiaTheme="minorEastAsia"/>
          <w:bCs/>
          <w:color w:val="auto"/>
          <w:sz w:val="21"/>
          <w:szCs w:val="21"/>
          <w:highlight w:val="none"/>
        </w:rPr>
        <w:t>月</w:t>
      </w:r>
      <w:r>
        <w:rPr>
          <w:rFonts w:hint="eastAsia" w:cs="Times New Roman" w:asciiTheme="minorEastAsia" w:hAnsiTheme="minorEastAsia" w:eastAsiaTheme="minorEastAsia"/>
          <w:bCs/>
          <w:color w:val="auto"/>
          <w:sz w:val="21"/>
          <w:szCs w:val="21"/>
          <w:highlight w:val="none"/>
          <w:u w:val="single"/>
        </w:rPr>
        <w:t xml:space="preserve"> </w:t>
      </w:r>
      <w:r>
        <w:rPr>
          <w:rFonts w:cs="Times New Roman" w:asciiTheme="minorEastAsia" w:hAnsiTheme="minorEastAsia" w:eastAsiaTheme="minorEastAsia"/>
          <w:bCs/>
          <w:color w:val="auto"/>
          <w:sz w:val="21"/>
          <w:szCs w:val="21"/>
          <w:highlight w:val="none"/>
          <w:u w:val="single"/>
        </w:rPr>
        <w:t xml:space="preserve"> </w:t>
      </w:r>
      <w:r>
        <w:rPr>
          <w:rFonts w:hint="eastAsia" w:cs="Times New Roman" w:asciiTheme="minorEastAsia" w:hAnsiTheme="minorEastAsia" w:eastAsiaTheme="minorEastAsia"/>
          <w:bCs/>
          <w:color w:val="auto"/>
          <w:sz w:val="21"/>
          <w:szCs w:val="21"/>
          <w:highlight w:val="none"/>
          <w:u w:val="single"/>
        </w:rPr>
        <w:t xml:space="preserve">  </w:t>
      </w:r>
      <w:r>
        <w:rPr>
          <w:rFonts w:hint="eastAsia" w:cs="Times New Roman" w:asciiTheme="minorEastAsia" w:hAnsiTheme="minorEastAsia" w:eastAsiaTheme="minorEastAsia"/>
          <w:bCs/>
          <w:color w:val="auto"/>
          <w:sz w:val="21"/>
          <w:szCs w:val="21"/>
          <w:highlight w:val="none"/>
        </w:rPr>
        <w:t>日</w:t>
      </w:r>
    </w:p>
    <w:p w14:paraId="322DBC2C">
      <w:pPr>
        <w:keepNext w:val="0"/>
        <w:keepLines w:val="0"/>
        <w:pageBreakBefore w:val="0"/>
        <w:kinsoku/>
        <w:wordWrap/>
        <w:overflowPunct/>
        <w:topLinePunct w:val="0"/>
        <w:bidi w:val="0"/>
        <w:snapToGrid/>
        <w:spacing w:line="440" w:lineRule="exact"/>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                          </w:t>
      </w:r>
      <w:r>
        <w:rPr>
          <w:rFonts w:ascii="宋体" w:hAnsi="宋体" w:eastAsia="宋体"/>
          <w:color w:val="auto"/>
          <w:sz w:val="21"/>
          <w:szCs w:val="21"/>
          <w:highlight w:val="none"/>
        </w:rPr>
        <w:t xml:space="preserve">              </w:t>
      </w:r>
      <w:r>
        <w:rPr>
          <w:rFonts w:hint="eastAsia" w:ascii="宋体" w:hAnsi="宋体" w:eastAsia="宋体"/>
          <w:color w:val="auto"/>
          <w:sz w:val="21"/>
          <w:szCs w:val="21"/>
          <w:highlight w:val="none"/>
        </w:rPr>
        <w:t xml:space="preserve"> </w:t>
      </w:r>
      <w:bookmarkStart w:id="131" w:name="_Hlk110099149"/>
      <w:r>
        <w:rPr>
          <w:rFonts w:hint="eastAsia" w:ascii="宋体" w:hAnsi="宋体" w:eastAsia="宋体"/>
          <w:color w:val="auto"/>
          <w:sz w:val="21"/>
          <w:szCs w:val="21"/>
          <w:highlight w:val="none"/>
        </w:rPr>
        <w:t>乙方账户信息</w:t>
      </w:r>
    </w:p>
    <w:p w14:paraId="70D69A62">
      <w:pPr>
        <w:keepNext w:val="0"/>
        <w:keepLines w:val="0"/>
        <w:pageBreakBefore w:val="0"/>
        <w:kinsoku/>
        <w:wordWrap/>
        <w:overflowPunct/>
        <w:topLinePunct w:val="0"/>
        <w:bidi w:val="0"/>
        <w:snapToGrid/>
        <w:spacing w:line="440" w:lineRule="exact"/>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                          </w:t>
      </w:r>
      <w:r>
        <w:rPr>
          <w:rFonts w:ascii="宋体" w:hAnsi="宋体" w:eastAsia="宋体"/>
          <w:color w:val="auto"/>
          <w:sz w:val="21"/>
          <w:szCs w:val="21"/>
          <w:highlight w:val="none"/>
        </w:rPr>
        <w:t xml:space="preserve">              </w:t>
      </w:r>
      <w:r>
        <w:rPr>
          <w:rFonts w:hint="eastAsia" w:ascii="宋体" w:hAnsi="宋体" w:eastAsia="宋体"/>
          <w:color w:val="auto"/>
          <w:sz w:val="21"/>
          <w:szCs w:val="21"/>
          <w:highlight w:val="none"/>
        </w:rPr>
        <w:t xml:space="preserve"> 户名：</w:t>
      </w:r>
      <w:r>
        <w:rPr>
          <w:rFonts w:hint="eastAsia" w:ascii="宋体" w:hAnsi="宋体" w:eastAsia="宋体"/>
          <w:color w:val="auto"/>
          <w:sz w:val="21"/>
          <w:szCs w:val="21"/>
          <w:highlight w:val="none"/>
          <w:u w:val="single"/>
        </w:rPr>
        <w:t xml:space="preserve">            </w:t>
      </w:r>
    </w:p>
    <w:p w14:paraId="67FD976D">
      <w:pPr>
        <w:keepNext w:val="0"/>
        <w:keepLines w:val="0"/>
        <w:pageBreakBefore w:val="0"/>
        <w:kinsoku/>
        <w:wordWrap/>
        <w:overflowPunct/>
        <w:topLinePunct w:val="0"/>
        <w:bidi w:val="0"/>
        <w:snapToGrid/>
        <w:spacing w:line="440" w:lineRule="exact"/>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                                         账号：</w:t>
      </w:r>
      <w:r>
        <w:rPr>
          <w:rFonts w:hint="eastAsia" w:ascii="宋体" w:hAnsi="宋体" w:eastAsia="宋体"/>
          <w:color w:val="auto"/>
          <w:sz w:val="21"/>
          <w:szCs w:val="21"/>
          <w:highlight w:val="none"/>
          <w:u w:val="single"/>
        </w:rPr>
        <w:t xml:space="preserve">            </w:t>
      </w:r>
    </w:p>
    <w:p w14:paraId="4F96A6AA">
      <w:pPr>
        <w:keepNext w:val="0"/>
        <w:keepLines w:val="0"/>
        <w:pageBreakBefore w:val="0"/>
        <w:kinsoku/>
        <w:wordWrap/>
        <w:overflowPunct/>
        <w:topLinePunct w:val="0"/>
        <w:bidi w:val="0"/>
        <w:snapToGrid/>
        <w:spacing w:line="440" w:lineRule="exact"/>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                           </w:t>
      </w:r>
      <w:r>
        <w:rPr>
          <w:rFonts w:ascii="宋体" w:hAnsi="宋体" w:eastAsia="宋体"/>
          <w:color w:val="auto"/>
          <w:sz w:val="21"/>
          <w:szCs w:val="21"/>
          <w:highlight w:val="none"/>
        </w:rPr>
        <w:t xml:space="preserve">              </w:t>
      </w:r>
      <w:r>
        <w:rPr>
          <w:rFonts w:hint="eastAsia" w:ascii="宋体" w:hAnsi="宋体" w:eastAsia="宋体"/>
          <w:color w:val="auto"/>
          <w:sz w:val="21"/>
          <w:szCs w:val="21"/>
          <w:highlight w:val="none"/>
        </w:rPr>
        <w:t>开户银行：</w:t>
      </w:r>
      <w:r>
        <w:rPr>
          <w:rFonts w:hint="eastAsia" w:ascii="宋体" w:hAnsi="宋体" w:eastAsia="宋体"/>
          <w:color w:val="auto"/>
          <w:sz w:val="21"/>
          <w:szCs w:val="21"/>
          <w:highlight w:val="none"/>
          <w:u w:val="single"/>
        </w:rPr>
        <w:t xml:space="preserve">        </w:t>
      </w:r>
    </w:p>
    <w:bookmarkEnd w:id="131"/>
    <w:p w14:paraId="537B45D8">
      <w:pPr>
        <w:keepNext w:val="0"/>
        <w:keepLines w:val="0"/>
        <w:pageBreakBefore w:val="0"/>
        <w:widowControl/>
        <w:kinsoku/>
        <w:wordWrap/>
        <w:overflowPunct/>
        <w:topLinePunct w:val="0"/>
        <w:bidi w:val="0"/>
        <w:snapToGrid/>
        <w:spacing w:line="440" w:lineRule="exact"/>
        <w:jc w:val="left"/>
        <w:textAlignment w:val="auto"/>
        <w:rPr>
          <w:rFonts w:cs="Times New Roman" w:asciiTheme="minorEastAsia" w:hAnsiTheme="minorEastAsia" w:eastAsiaTheme="minorEastAsia"/>
          <w:b/>
          <w:color w:val="auto"/>
          <w:sz w:val="21"/>
          <w:szCs w:val="21"/>
          <w:highlight w:val="none"/>
        </w:rPr>
      </w:pPr>
      <w:r>
        <w:rPr>
          <w:rFonts w:cs="Times New Roman" w:asciiTheme="minorEastAsia" w:hAnsiTheme="minorEastAsia" w:eastAsiaTheme="minorEastAsia"/>
          <w:b/>
          <w:color w:val="auto"/>
          <w:sz w:val="21"/>
          <w:szCs w:val="21"/>
          <w:highlight w:val="none"/>
        </w:rPr>
        <w:br w:type="page"/>
      </w:r>
    </w:p>
    <w:p w14:paraId="1BE37CF3">
      <w:pPr>
        <w:keepNext w:val="0"/>
        <w:keepLines w:val="0"/>
        <w:pageBreakBefore w:val="0"/>
        <w:kinsoku/>
        <w:wordWrap/>
        <w:overflowPunct/>
        <w:topLinePunct w:val="0"/>
        <w:bidi w:val="0"/>
        <w:snapToGrid/>
        <w:spacing w:line="440" w:lineRule="exact"/>
        <w:jc w:val="center"/>
        <w:textAlignment w:val="auto"/>
        <w:outlineLvl w:val="1"/>
        <w:rPr>
          <w:rFonts w:asciiTheme="minorEastAsia" w:hAnsiTheme="minorEastAsia" w:eastAsiaTheme="minorEastAsia"/>
          <w:b/>
          <w:color w:val="auto"/>
          <w:sz w:val="21"/>
          <w:szCs w:val="21"/>
          <w:highlight w:val="none"/>
        </w:rPr>
      </w:pPr>
      <w:bookmarkStart w:id="132" w:name="_Toc415"/>
      <w:r>
        <w:rPr>
          <w:rFonts w:hint="eastAsia" w:asciiTheme="minorEastAsia" w:hAnsiTheme="minorEastAsia" w:eastAsiaTheme="minorEastAsia"/>
          <w:b/>
          <w:color w:val="auto"/>
          <w:sz w:val="21"/>
          <w:szCs w:val="21"/>
          <w:highlight w:val="none"/>
        </w:rPr>
        <w:t>第二部分</w:t>
      </w:r>
      <w:r>
        <w:rPr>
          <w:rFonts w:asciiTheme="minorEastAsia" w:hAnsiTheme="minorEastAsia" w:eastAsiaTheme="minorEastAsia"/>
          <w:b/>
          <w:color w:val="auto"/>
          <w:sz w:val="21"/>
          <w:szCs w:val="21"/>
          <w:highlight w:val="none"/>
        </w:rPr>
        <w:t xml:space="preserve"> </w:t>
      </w:r>
      <w:r>
        <w:rPr>
          <w:rFonts w:hint="eastAsia" w:asciiTheme="minorEastAsia" w:hAnsiTheme="minorEastAsia" w:eastAsiaTheme="minorEastAsia"/>
          <w:b/>
          <w:color w:val="auto"/>
          <w:sz w:val="21"/>
          <w:szCs w:val="21"/>
          <w:highlight w:val="none"/>
        </w:rPr>
        <w:t>合同一般条款</w:t>
      </w:r>
      <w:bookmarkEnd w:id="130"/>
      <w:bookmarkEnd w:id="132"/>
    </w:p>
    <w:p w14:paraId="13BA3A12">
      <w:pPr>
        <w:keepNext w:val="0"/>
        <w:keepLines w:val="0"/>
        <w:pageBreakBefore w:val="0"/>
        <w:kinsoku/>
        <w:wordWrap/>
        <w:overflowPunct/>
        <w:topLinePunct w:val="0"/>
        <w:bidi w:val="0"/>
        <w:snapToGrid/>
        <w:spacing w:line="440" w:lineRule="exact"/>
        <w:ind w:firstLine="437"/>
        <w:textAlignment w:val="auto"/>
        <w:outlineLvl w:val="2"/>
        <w:rPr>
          <w:rFonts w:cs="Times New Roman" w:asciiTheme="minorEastAsia" w:hAnsiTheme="minorEastAsia" w:eastAsiaTheme="minorEastAsia"/>
          <w:b/>
          <w:bCs/>
          <w:color w:val="auto"/>
          <w:sz w:val="21"/>
          <w:szCs w:val="21"/>
          <w:highlight w:val="none"/>
          <w:lang w:val="zh-CN"/>
        </w:rPr>
      </w:pPr>
      <w:bookmarkStart w:id="133" w:name="_Ref467378499"/>
      <w:bookmarkStart w:id="134" w:name="_Toc19614"/>
      <w:bookmarkStart w:id="135" w:name="_Toc487900349"/>
      <w:bookmarkStart w:id="136" w:name="_Toc279701240"/>
      <w:bookmarkStart w:id="137" w:name="_Ref467379225"/>
      <w:bookmarkStart w:id="138" w:name="_Toc16917"/>
      <w:bookmarkStart w:id="139" w:name="_Ref467379205"/>
      <w:bookmarkStart w:id="140" w:name="_Ref467379195"/>
      <w:bookmarkStart w:id="141" w:name="_Ref467379094"/>
      <w:bookmarkStart w:id="142" w:name="_Ref467378404"/>
      <w:bookmarkStart w:id="143" w:name="_Ref467379109"/>
      <w:bookmarkStart w:id="144" w:name="_Toc259093669"/>
      <w:bookmarkStart w:id="145" w:name="_Toc28763"/>
      <w:bookmarkStart w:id="146" w:name="_Ref467379214"/>
      <w:bookmarkStart w:id="147" w:name="_Ref467378463"/>
      <w:bookmarkStart w:id="148" w:name="_Ref467379101"/>
      <w:r>
        <w:rPr>
          <w:rFonts w:hint="eastAsia" w:cs="Times New Roman" w:asciiTheme="minorEastAsia" w:hAnsiTheme="minorEastAsia" w:eastAsiaTheme="minorEastAsia"/>
          <w:b/>
          <w:bCs/>
          <w:color w:val="auto"/>
          <w:sz w:val="21"/>
          <w:szCs w:val="21"/>
          <w:highlight w:val="none"/>
          <w:lang w:val="zh-CN"/>
        </w:rPr>
        <w:t>2.1</w:t>
      </w:r>
      <w:r>
        <w:rPr>
          <w:rFonts w:cs="Times New Roman" w:asciiTheme="minorEastAsia" w:hAnsiTheme="minorEastAsia" w:eastAsiaTheme="minorEastAsia"/>
          <w:b/>
          <w:bCs/>
          <w:color w:val="auto"/>
          <w:sz w:val="21"/>
          <w:szCs w:val="21"/>
          <w:highlight w:val="none"/>
          <w:lang w:val="zh-CN"/>
        </w:rPr>
        <w:t xml:space="preserve"> 定义</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14:paraId="68FB189E">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cs="Times New Roman" w:asciiTheme="minorEastAsia" w:hAnsiTheme="minorEastAsia" w:eastAsiaTheme="minorEastAsia"/>
          <w:color w:val="auto"/>
          <w:sz w:val="21"/>
          <w:szCs w:val="21"/>
          <w:highlight w:val="none"/>
        </w:rPr>
        <w:t>本合同中的下列</w:t>
      </w:r>
      <w:r>
        <w:rPr>
          <w:rFonts w:hint="eastAsia" w:cs="Times New Roman" w:asciiTheme="minorEastAsia" w:hAnsiTheme="minorEastAsia" w:eastAsiaTheme="minorEastAsia"/>
          <w:color w:val="auto"/>
          <w:sz w:val="21"/>
          <w:szCs w:val="21"/>
          <w:highlight w:val="none"/>
        </w:rPr>
        <w:t>词</w:t>
      </w:r>
      <w:r>
        <w:rPr>
          <w:rFonts w:cs="Times New Roman" w:asciiTheme="minorEastAsia" w:hAnsiTheme="minorEastAsia" w:eastAsiaTheme="minorEastAsia"/>
          <w:color w:val="auto"/>
          <w:sz w:val="21"/>
          <w:szCs w:val="21"/>
          <w:highlight w:val="none"/>
        </w:rPr>
        <w:t>语应</w:t>
      </w:r>
      <w:r>
        <w:rPr>
          <w:rFonts w:hint="eastAsia" w:cs="Times New Roman" w:asciiTheme="minorEastAsia" w:hAnsiTheme="minorEastAsia" w:eastAsiaTheme="minorEastAsia"/>
          <w:color w:val="auto"/>
          <w:sz w:val="21"/>
          <w:szCs w:val="21"/>
          <w:highlight w:val="none"/>
        </w:rPr>
        <w:t>按以下内容进行</w:t>
      </w:r>
      <w:r>
        <w:rPr>
          <w:rFonts w:cs="Times New Roman" w:asciiTheme="minorEastAsia" w:hAnsiTheme="minorEastAsia" w:eastAsiaTheme="minorEastAsia"/>
          <w:color w:val="auto"/>
          <w:sz w:val="21"/>
          <w:szCs w:val="21"/>
          <w:highlight w:val="none"/>
        </w:rPr>
        <w:t>解释：</w:t>
      </w:r>
    </w:p>
    <w:p w14:paraId="3BC50AC1">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2</w:t>
      </w:r>
      <w:r>
        <w:rPr>
          <w:rFonts w:cs="Times New Roman" w:asciiTheme="minorEastAsia" w:hAnsiTheme="minorEastAsia" w:eastAsiaTheme="minorEastAsia"/>
          <w:color w:val="auto"/>
          <w:sz w:val="21"/>
          <w:szCs w:val="21"/>
          <w:highlight w:val="none"/>
        </w:rPr>
        <w:t>.1</w:t>
      </w:r>
      <w:r>
        <w:rPr>
          <w:rFonts w:hint="eastAsia" w:cs="Times New Roman" w:asciiTheme="minorEastAsia" w:hAnsiTheme="minorEastAsia" w:eastAsiaTheme="minorEastAsia"/>
          <w:color w:val="auto"/>
          <w:sz w:val="21"/>
          <w:szCs w:val="21"/>
          <w:highlight w:val="none"/>
        </w:rPr>
        <w:t>.1</w:t>
      </w:r>
      <w:r>
        <w:rPr>
          <w:rFonts w:cs="Times New Roman" w:asciiTheme="minorEastAsia" w:hAnsiTheme="minorEastAsia" w:eastAsiaTheme="minorEastAsia"/>
          <w:color w:val="auto"/>
          <w:sz w:val="21"/>
          <w:szCs w:val="21"/>
          <w:highlight w:val="none"/>
        </w:rPr>
        <w:t>“合同”系指采购人和中标人签订的载明双方当事人所达成的协议，并包括所有的附件、附录和构成合同的其他文件。</w:t>
      </w:r>
    </w:p>
    <w:p w14:paraId="3A69D2CA">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2.</w:t>
      </w:r>
      <w:r>
        <w:rPr>
          <w:rFonts w:cs="Times New Roman" w:asciiTheme="minorEastAsia" w:hAnsiTheme="minorEastAsia" w:eastAsiaTheme="minorEastAsia"/>
          <w:color w:val="auto"/>
          <w:sz w:val="21"/>
          <w:szCs w:val="21"/>
          <w:highlight w:val="none"/>
        </w:rPr>
        <w:t>1.2“合同价”系指根据合同约定，中标人在完全履行合同义务后</w:t>
      </w:r>
      <w:r>
        <w:rPr>
          <w:rFonts w:hint="eastAsia" w:cs="Times New Roman" w:asciiTheme="minorEastAsia" w:hAnsiTheme="minorEastAsia" w:eastAsiaTheme="minorEastAsia"/>
          <w:color w:val="auto"/>
          <w:sz w:val="21"/>
          <w:szCs w:val="21"/>
          <w:highlight w:val="none"/>
        </w:rPr>
        <w:t>，</w:t>
      </w:r>
      <w:r>
        <w:rPr>
          <w:rFonts w:cs="Times New Roman" w:asciiTheme="minorEastAsia" w:hAnsiTheme="minorEastAsia" w:eastAsiaTheme="minorEastAsia"/>
          <w:color w:val="auto"/>
          <w:sz w:val="21"/>
          <w:szCs w:val="21"/>
          <w:highlight w:val="none"/>
        </w:rPr>
        <w:t>采购人应支付给中标人的价格。</w:t>
      </w:r>
    </w:p>
    <w:p w14:paraId="6DFA13AC">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2.</w:t>
      </w:r>
      <w:r>
        <w:rPr>
          <w:rFonts w:cs="Times New Roman" w:asciiTheme="minorEastAsia" w:hAnsiTheme="minorEastAsia" w:eastAsiaTheme="minorEastAsia"/>
          <w:color w:val="auto"/>
          <w:sz w:val="21"/>
          <w:szCs w:val="21"/>
          <w:highlight w:val="none"/>
        </w:rPr>
        <w:t>1.3“</w:t>
      </w:r>
      <w:r>
        <w:rPr>
          <w:rFonts w:hint="eastAsia" w:cs="Times New Roman" w:asciiTheme="minorEastAsia" w:hAnsiTheme="minorEastAsia" w:eastAsiaTheme="minorEastAsia"/>
          <w:color w:val="auto"/>
          <w:sz w:val="21"/>
          <w:szCs w:val="21"/>
          <w:highlight w:val="none"/>
        </w:rPr>
        <w:t>服务</w:t>
      </w:r>
      <w:r>
        <w:rPr>
          <w:rFonts w:cs="Times New Roman" w:asciiTheme="minorEastAsia" w:hAnsiTheme="minorEastAsia" w:eastAsiaTheme="minorEastAsia"/>
          <w:color w:val="auto"/>
          <w:sz w:val="21"/>
          <w:szCs w:val="21"/>
          <w:highlight w:val="none"/>
        </w:rPr>
        <w:t>”系指</w:t>
      </w:r>
      <w:r>
        <w:rPr>
          <w:rFonts w:hint="eastAsia" w:cs="Times New Roman" w:asciiTheme="minorEastAsia" w:hAnsiTheme="minorEastAsia" w:eastAsiaTheme="minorEastAsia"/>
          <w:color w:val="auto"/>
          <w:sz w:val="21"/>
          <w:szCs w:val="21"/>
          <w:highlight w:val="none"/>
        </w:rPr>
        <w:t>中标人</w:t>
      </w:r>
      <w:r>
        <w:rPr>
          <w:rFonts w:cs="Times New Roman" w:asciiTheme="minorEastAsia" w:hAnsiTheme="minorEastAsia" w:eastAsiaTheme="minorEastAsia"/>
          <w:color w:val="auto"/>
          <w:sz w:val="21"/>
          <w:szCs w:val="21"/>
          <w:highlight w:val="none"/>
        </w:rPr>
        <w:t>根据合同约定应向采购人</w:t>
      </w:r>
      <w:r>
        <w:rPr>
          <w:rFonts w:hint="eastAsia" w:cs="Times New Roman" w:asciiTheme="minorEastAsia" w:hAnsiTheme="minorEastAsia" w:eastAsiaTheme="minorEastAsia"/>
          <w:color w:val="auto"/>
          <w:sz w:val="21"/>
          <w:szCs w:val="21"/>
          <w:highlight w:val="none"/>
        </w:rPr>
        <w:t>履行</w:t>
      </w:r>
      <w:r>
        <w:rPr>
          <w:rFonts w:cs="Times New Roman" w:asciiTheme="minorEastAsia" w:hAnsiTheme="minorEastAsia" w:eastAsiaTheme="minorEastAsia"/>
          <w:color w:val="auto"/>
          <w:sz w:val="21"/>
          <w:szCs w:val="21"/>
          <w:highlight w:val="none"/>
        </w:rPr>
        <w:t>的</w:t>
      </w:r>
      <w:r>
        <w:rPr>
          <w:rFonts w:hint="eastAsia" w:cs="Times New Roman" w:asciiTheme="minorEastAsia" w:hAnsiTheme="minorEastAsia" w:eastAsiaTheme="minorEastAsia"/>
          <w:color w:val="auto"/>
          <w:sz w:val="21"/>
          <w:szCs w:val="21"/>
          <w:highlight w:val="none"/>
        </w:rPr>
        <w:t>除货物和工程以外的其他政府采购对象，包括采购人自身需要的服务和向社会公众提供的公共服务。</w:t>
      </w:r>
    </w:p>
    <w:p w14:paraId="20EF4903">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bookmarkStart w:id="149" w:name="_Ref467378840"/>
      <w:r>
        <w:rPr>
          <w:rFonts w:hint="eastAsia" w:cs="Times New Roman" w:asciiTheme="minorEastAsia" w:hAnsiTheme="minorEastAsia" w:eastAsiaTheme="minorEastAsia"/>
          <w:color w:val="auto"/>
          <w:sz w:val="21"/>
          <w:szCs w:val="21"/>
          <w:highlight w:val="none"/>
        </w:rPr>
        <w:t>2.</w:t>
      </w:r>
      <w:r>
        <w:rPr>
          <w:rFonts w:cs="Times New Roman" w:asciiTheme="minorEastAsia" w:hAnsiTheme="minorEastAsia" w:eastAsiaTheme="minorEastAsia"/>
          <w:color w:val="auto"/>
          <w:sz w:val="21"/>
          <w:szCs w:val="21"/>
          <w:highlight w:val="none"/>
        </w:rPr>
        <w:t>1.</w:t>
      </w:r>
      <w:r>
        <w:rPr>
          <w:rFonts w:hint="eastAsia" w:cs="Times New Roman" w:asciiTheme="minorEastAsia" w:hAnsiTheme="minorEastAsia" w:eastAsiaTheme="minorEastAsia"/>
          <w:color w:val="auto"/>
          <w:sz w:val="21"/>
          <w:szCs w:val="21"/>
          <w:highlight w:val="none"/>
        </w:rPr>
        <w:t>4</w:t>
      </w:r>
      <w:r>
        <w:rPr>
          <w:rFonts w:cs="Times New Roman" w:asciiTheme="minorEastAsia" w:hAnsiTheme="minorEastAsia" w:eastAsiaTheme="minorEastAsia"/>
          <w:color w:val="auto"/>
          <w:sz w:val="21"/>
          <w:szCs w:val="21"/>
          <w:highlight w:val="none"/>
        </w:rPr>
        <w:t>“</w:t>
      </w:r>
      <w:r>
        <w:rPr>
          <w:rFonts w:hint="eastAsia" w:cs="Times New Roman" w:asciiTheme="minorEastAsia" w:hAnsiTheme="minorEastAsia" w:eastAsiaTheme="minorEastAsia"/>
          <w:color w:val="auto"/>
          <w:sz w:val="21"/>
          <w:szCs w:val="21"/>
          <w:highlight w:val="none"/>
        </w:rPr>
        <w:t>甲方</w:t>
      </w:r>
      <w:r>
        <w:rPr>
          <w:rFonts w:cs="Times New Roman" w:asciiTheme="minorEastAsia" w:hAnsiTheme="minorEastAsia" w:eastAsiaTheme="minorEastAsia"/>
          <w:color w:val="auto"/>
          <w:sz w:val="21"/>
          <w:szCs w:val="21"/>
          <w:highlight w:val="none"/>
        </w:rPr>
        <w:t>”系指与</w:t>
      </w:r>
      <w:r>
        <w:rPr>
          <w:rFonts w:hint="eastAsia" w:cs="Times New Roman" w:asciiTheme="minorEastAsia" w:hAnsiTheme="minorEastAsia" w:eastAsiaTheme="minorEastAsia"/>
          <w:color w:val="auto"/>
          <w:sz w:val="21"/>
          <w:szCs w:val="21"/>
          <w:highlight w:val="none"/>
        </w:rPr>
        <w:t>中标人</w:t>
      </w:r>
      <w:r>
        <w:rPr>
          <w:rFonts w:cs="Times New Roman" w:asciiTheme="minorEastAsia" w:hAnsiTheme="minorEastAsia" w:eastAsiaTheme="minorEastAsia"/>
          <w:color w:val="auto"/>
          <w:sz w:val="21"/>
          <w:szCs w:val="21"/>
          <w:highlight w:val="none"/>
        </w:rPr>
        <w:t>签署合同的采购人</w:t>
      </w:r>
      <w:bookmarkEnd w:id="149"/>
      <w:r>
        <w:rPr>
          <w:rFonts w:hint="eastAsia" w:cs="Times New Roman" w:asciiTheme="minorEastAsia" w:hAnsiTheme="minorEastAsia" w:eastAsiaTheme="minorEastAsia"/>
          <w:color w:val="auto"/>
          <w:sz w:val="21"/>
          <w:szCs w:val="21"/>
          <w:highlight w:val="none"/>
        </w:rPr>
        <w:t>；采购人委托采购代理机构代表其与乙方签订合同的，采购人的授权委托书作为合同附件。</w:t>
      </w:r>
    </w:p>
    <w:p w14:paraId="3409F853">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bookmarkStart w:id="150" w:name="_Ref467379400"/>
      <w:r>
        <w:rPr>
          <w:rFonts w:hint="eastAsia" w:cs="Times New Roman" w:asciiTheme="minorEastAsia" w:hAnsiTheme="minorEastAsia" w:eastAsiaTheme="minorEastAsia"/>
          <w:color w:val="auto"/>
          <w:sz w:val="21"/>
          <w:szCs w:val="21"/>
          <w:highlight w:val="none"/>
        </w:rPr>
        <w:t>2.</w:t>
      </w:r>
      <w:r>
        <w:rPr>
          <w:rFonts w:cs="Times New Roman" w:asciiTheme="minorEastAsia" w:hAnsiTheme="minorEastAsia" w:eastAsiaTheme="minorEastAsia"/>
          <w:color w:val="auto"/>
          <w:sz w:val="21"/>
          <w:szCs w:val="21"/>
          <w:highlight w:val="none"/>
        </w:rPr>
        <w:t>1.</w:t>
      </w:r>
      <w:r>
        <w:rPr>
          <w:rFonts w:hint="eastAsia" w:cs="Times New Roman" w:asciiTheme="minorEastAsia" w:hAnsiTheme="minorEastAsia" w:eastAsiaTheme="minorEastAsia"/>
          <w:color w:val="auto"/>
          <w:sz w:val="21"/>
          <w:szCs w:val="21"/>
          <w:highlight w:val="none"/>
        </w:rPr>
        <w:t>5</w:t>
      </w:r>
      <w:r>
        <w:rPr>
          <w:rFonts w:cs="Times New Roman" w:asciiTheme="minorEastAsia" w:hAnsiTheme="minorEastAsia" w:eastAsiaTheme="minorEastAsia"/>
          <w:color w:val="auto"/>
          <w:sz w:val="21"/>
          <w:szCs w:val="21"/>
          <w:highlight w:val="none"/>
        </w:rPr>
        <w:t>“乙方”系指根据合同约定</w:t>
      </w:r>
      <w:r>
        <w:rPr>
          <w:rFonts w:hint="eastAsia" w:cs="Times New Roman" w:asciiTheme="minorEastAsia" w:hAnsiTheme="minorEastAsia" w:eastAsiaTheme="minorEastAsia"/>
          <w:color w:val="auto"/>
          <w:sz w:val="21"/>
          <w:szCs w:val="21"/>
          <w:highlight w:val="none"/>
        </w:rPr>
        <w:t>提供服务</w:t>
      </w:r>
      <w:r>
        <w:rPr>
          <w:rFonts w:cs="Times New Roman" w:asciiTheme="minorEastAsia" w:hAnsiTheme="minorEastAsia" w:eastAsiaTheme="minorEastAsia"/>
          <w:color w:val="auto"/>
          <w:sz w:val="21"/>
          <w:szCs w:val="21"/>
          <w:highlight w:val="none"/>
        </w:rPr>
        <w:t>的中标人</w:t>
      </w:r>
      <w:bookmarkEnd w:id="150"/>
      <w:r>
        <w:rPr>
          <w:rFonts w:hint="eastAsia" w:cs="Times New Roman" w:asciiTheme="minorEastAsia" w:hAnsiTheme="minorEastAsia" w:eastAsiaTheme="minorEastAsia"/>
          <w:color w:val="auto"/>
          <w:sz w:val="21"/>
          <w:szCs w:val="21"/>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5D82911B">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bookmarkStart w:id="151" w:name="_Ref467379436"/>
      <w:r>
        <w:rPr>
          <w:rFonts w:hint="eastAsia" w:cs="Times New Roman" w:asciiTheme="minorEastAsia" w:hAnsiTheme="minorEastAsia" w:eastAsiaTheme="minorEastAsia"/>
          <w:color w:val="auto"/>
          <w:sz w:val="21"/>
          <w:szCs w:val="21"/>
          <w:highlight w:val="none"/>
        </w:rPr>
        <w:t>2.</w:t>
      </w:r>
      <w:r>
        <w:rPr>
          <w:rFonts w:cs="Times New Roman" w:asciiTheme="minorEastAsia" w:hAnsiTheme="minorEastAsia" w:eastAsiaTheme="minorEastAsia"/>
          <w:color w:val="auto"/>
          <w:sz w:val="21"/>
          <w:szCs w:val="21"/>
          <w:highlight w:val="none"/>
        </w:rPr>
        <w:t>1.</w:t>
      </w:r>
      <w:r>
        <w:rPr>
          <w:rFonts w:hint="eastAsia" w:cs="Times New Roman" w:asciiTheme="minorEastAsia" w:hAnsiTheme="minorEastAsia" w:eastAsiaTheme="minorEastAsia"/>
          <w:color w:val="auto"/>
          <w:sz w:val="21"/>
          <w:szCs w:val="21"/>
          <w:highlight w:val="none"/>
        </w:rPr>
        <w:t>6</w:t>
      </w:r>
      <w:r>
        <w:rPr>
          <w:rFonts w:cs="Times New Roman" w:asciiTheme="minorEastAsia" w:hAnsiTheme="minorEastAsia" w:eastAsiaTheme="minorEastAsia"/>
          <w:color w:val="auto"/>
          <w:sz w:val="21"/>
          <w:szCs w:val="21"/>
          <w:highlight w:val="none"/>
        </w:rPr>
        <w:t>“现场”系指合同约定</w:t>
      </w:r>
      <w:r>
        <w:rPr>
          <w:rFonts w:hint="eastAsia" w:cs="Times New Roman" w:asciiTheme="minorEastAsia" w:hAnsiTheme="minorEastAsia" w:eastAsiaTheme="minorEastAsia"/>
          <w:color w:val="auto"/>
          <w:sz w:val="21"/>
          <w:szCs w:val="21"/>
          <w:highlight w:val="none"/>
        </w:rPr>
        <w:t>提供服务</w:t>
      </w:r>
      <w:r>
        <w:rPr>
          <w:rFonts w:cs="Times New Roman" w:asciiTheme="minorEastAsia" w:hAnsiTheme="minorEastAsia" w:eastAsiaTheme="minorEastAsia"/>
          <w:color w:val="auto"/>
          <w:sz w:val="21"/>
          <w:szCs w:val="21"/>
          <w:highlight w:val="none"/>
        </w:rPr>
        <w:t>的地点。</w:t>
      </w:r>
      <w:bookmarkEnd w:id="151"/>
    </w:p>
    <w:p w14:paraId="2C0D76B6">
      <w:pPr>
        <w:keepNext w:val="0"/>
        <w:keepLines w:val="0"/>
        <w:pageBreakBefore w:val="0"/>
        <w:kinsoku/>
        <w:wordWrap/>
        <w:overflowPunct/>
        <w:topLinePunct w:val="0"/>
        <w:bidi w:val="0"/>
        <w:snapToGrid/>
        <w:spacing w:line="440" w:lineRule="exact"/>
        <w:ind w:firstLine="437"/>
        <w:textAlignment w:val="auto"/>
        <w:outlineLvl w:val="2"/>
        <w:rPr>
          <w:rFonts w:cs="Times New Roman" w:asciiTheme="minorEastAsia" w:hAnsiTheme="minorEastAsia" w:eastAsiaTheme="minorEastAsia"/>
          <w:b/>
          <w:bCs/>
          <w:color w:val="auto"/>
          <w:sz w:val="21"/>
          <w:szCs w:val="21"/>
          <w:highlight w:val="none"/>
          <w:lang w:val="zh-CN"/>
        </w:rPr>
      </w:pPr>
      <w:bookmarkStart w:id="152" w:name="_Toc13336"/>
      <w:bookmarkStart w:id="153" w:name="_Toc279701241"/>
      <w:bookmarkStart w:id="154" w:name="_Toc27635"/>
      <w:bookmarkStart w:id="155" w:name="_Toc259093670"/>
      <w:bookmarkStart w:id="156" w:name="_Toc32504"/>
      <w:bookmarkStart w:id="157" w:name="_Toc487900350"/>
      <w:r>
        <w:rPr>
          <w:rFonts w:hint="eastAsia" w:cs="Times New Roman" w:asciiTheme="minorEastAsia" w:hAnsiTheme="minorEastAsia" w:eastAsiaTheme="minorEastAsia"/>
          <w:b/>
          <w:bCs/>
          <w:color w:val="auto"/>
          <w:sz w:val="21"/>
          <w:szCs w:val="21"/>
          <w:highlight w:val="none"/>
          <w:lang w:val="zh-CN"/>
        </w:rPr>
        <w:t>2.</w:t>
      </w:r>
      <w:r>
        <w:rPr>
          <w:rFonts w:cs="Times New Roman" w:asciiTheme="minorEastAsia" w:hAnsiTheme="minorEastAsia" w:eastAsiaTheme="minorEastAsia"/>
          <w:b/>
          <w:bCs/>
          <w:color w:val="auto"/>
          <w:sz w:val="21"/>
          <w:szCs w:val="21"/>
          <w:highlight w:val="none"/>
          <w:lang w:val="zh-CN"/>
        </w:rPr>
        <w:t>2 技术规范</w:t>
      </w:r>
      <w:bookmarkEnd w:id="152"/>
      <w:bookmarkEnd w:id="153"/>
      <w:bookmarkEnd w:id="154"/>
      <w:bookmarkEnd w:id="155"/>
      <w:bookmarkEnd w:id="156"/>
      <w:bookmarkEnd w:id="157"/>
    </w:p>
    <w:p w14:paraId="49282F92">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cs="Times New Roman" w:asciiTheme="minorEastAsia" w:hAnsiTheme="minorEastAsia" w:eastAsiaTheme="minorEastAsia"/>
          <w:color w:val="auto"/>
          <w:sz w:val="21"/>
          <w:szCs w:val="21"/>
          <w:highlight w:val="none"/>
        </w:rPr>
        <w:t>货物所应遵守的技术规范应与采购文件规定的技术规范和技术规范附件(如果有的话)及其技术规范偏差表(如果被甲方接受的话)相一致</w:t>
      </w:r>
      <w:r>
        <w:rPr>
          <w:rFonts w:hint="eastAsia" w:cs="Times New Roman" w:asciiTheme="minorEastAsia" w:hAnsiTheme="minorEastAsia" w:eastAsiaTheme="minorEastAsia"/>
          <w:color w:val="auto"/>
          <w:sz w:val="21"/>
          <w:szCs w:val="21"/>
          <w:highlight w:val="none"/>
        </w:rPr>
        <w:t>；</w:t>
      </w:r>
      <w:r>
        <w:rPr>
          <w:rFonts w:cs="Times New Roman" w:asciiTheme="minorEastAsia" w:hAnsiTheme="minorEastAsia" w:eastAsiaTheme="minorEastAsia"/>
          <w:color w:val="auto"/>
          <w:sz w:val="21"/>
          <w:szCs w:val="21"/>
          <w:highlight w:val="none"/>
        </w:rPr>
        <w:t>如果采购文件中没有技术规范的相应说明，那么应以国家有关部门最新颁布的相应标准</w:t>
      </w:r>
      <w:r>
        <w:rPr>
          <w:rFonts w:hint="eastAsia" w:cs="Times New Roman" w:asciiTheme="minorEastAsia" w:hAnsiTheme="minorEastAsia" w:eastAsiaTheme="minorEastAsia"/>
          <w:color w:val="auto"/>
          <w:sz w:val="21"/>
          <w:szCs w:val="21"/>
          <w:highlight w:val="none"/>
        </w:rPr>
        <w:t>和</w:t>
      </w:r>
      <w:r>
        <w:rPr>
          <w:rFonts w:cs="Times New Roman" w:asciiTheme="minorEastAsia" w:hAnsiTheme="minorEastAsia" w:eastAsiaTheme="minorEastAsia"/>
          <w:color w:val="auto"/>
          <w:sz w:val="21"/>
          <w:szCs w:val="21"/>
          <w:highlight w:val="none"/>
        </w:rPr>
        <w:t>规范为准。</w:t>
      </w:r>
    </w:p>
    <w:p w14:paraId="6A725426">
      <w:pPr>
        <w:keepNext w:val="0"/>
        <w:keepLines w:val="0"/>
        <w:pageBreakBefore w:val="0"/>
        <w:kinsoku/>
        <w:wordWrap/>
        <w:overflowPunct/>
        <w:topLinePunct w:val="0"/>
        <w:bidi w:val="0"/>
        <w:snapToGrid/>
        <w:spacing w:line="440" w:lineRule="exact"/>
        <w:ind w:firstLine="437"/>
        <w:textAlignment w:val="auto"/>
        <w:outlineLvl w:val="2"/>
        <w:rPr>
          <w:rFonts w:cs="Times New Roman" w:asciiTheme="minorEastAsia" w:hAnsiTheme="minorEastAsia" w:eastAsiaTheme="minorEastAsia"/>
          <w:b/>
          <w:bCs/>
          <w:color w:val="auto"/>
          <w:sz w:val="21"/>
          <w:szCs w:val="21"/>
          <w:highlight w:val="none"/>
          <w:lang w:val="zh-CN"/>
        </w:rPr>
      </w:pPr>
      <w:bookmarkStart w:id="158" w:name="_Toc487900351"/>
      <w:bookmarkStart w:id="159" w:name="_Toc9829"/>
      <w:bookmarkStart w:id="160" w:name="_Toc259093671"/>
      <w:bookmarkStart w:id="161" w:name="_Toc27853"/>
      <w:bookmarkStart w:id="162" w:name="_Toc279701242"/>
      <w:bookmarkStart w:id="163" w:name="_Toc31634"/>
      <w:r>
        <w:rPr>
          <w:rFonts w:hint="eastAsia" w:cs="Times New Roman" w:asciiTheme="minorEastAsia" w:hAnsiTheme="minorEastAsia" w:eastAsiaTheme="minorEastAsia"/>
          <w:b/>
          <w:bCs/>
          <w:color w:val="auto"/>
          <w:sz w:val="21"/>
          <w:szCs w:val="21"/>
          <w:highlight w:val="none"/>
          <w:lang w:val="zh-CN"/>
        </w:rPr>
        <w:t>2.</w:t>
      </w:r>
      <w:r>
        <w:rPr>
          <w:rFonts w:cs="Times New Roman" w:asciiTheme="minorEastAsia" w:hAnsiTheme="minorEastAsia" w:eastAsiaTheme="minorEastAsia"/>
          <w:b/>
          <w:bCs/>
          <w:color w:val="auto"/>
          <w:sz w:val="21"/>
          <w:szCs w:val="21"/>
          <w:highlight w:val="none"/>
          <w:lang w:val="zh-CN"/>
        </w:rPr>
        <w:t>3 知识产权</w:t>
      </w:r>
      <w:bookmarkEnd w:id="158"/>
      <w:bookmarkEnd w:id="159"/>
      <w:bookmarkEnd w:id="160"/>
      <w:bookmarkEnd w:id="161"/>
      <w:bookmarkEnd w:id="162"/>
      <w:bookmarkEnd w:id="163"/>
    </w:p>
    <w:p w14:paraId="14CBB044">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2.3.1乙</w:t>
      </w:r>
      <w:r>
        <w:rPr>
          <w:rFonts w:cs="Times New Roman" w:asciiTheme="minorEastAsia" w:hAnsiTheme="minorEastAsia" w:eastAsiaTheme="minorEastAsia"/>
          <w:color w:val="auto"/>
          <w:sz w:val="21"/>
          <w:szCs w:val="21"/>
          <w:highlight w:val="none"/>
        </w:rPr>
        <w:t>方应保证</w:t>
      </w:r>
      <w:r>
        <w:rPr>
          <w:rFonts w:hint="eastAsia" w:cs="Times New Roman" w:asciiTheme="minorEastAsia" w:hAnsiTheme="minorEastAsia" w:eastAsiaTheme="minorEastAsia"/>
          <w:color w:val="auto"/>
          <w:sz w:val="21"/>
          <w:szCs w:val="21"/>
          <w:highlight w:val="none"/>
        </w:rPr>
        <w:t>其提供的服务</w:t>
      </w:r>
      <w:r>
        <w:rPr>
          <w:rFonts w:cs="Times New Roman" w:asciiTheme="minorEastAsia" w:hAnsiTheme="minorEastAsia" w:eastAsiaTheme="minorEastAsia"/>
          <w:color w:val="auto"/>
          <w:sz w:val="21"/>
          <w:szCs w:val="21"/>
          <w:highlight w:val="none"/>
        </w:rPr>
        <w:t>不受任何第三方提出的侵犯其著作权、商标权、专利权等知识产权方面的起诉</w:t>
      </w:r>
      <w:r>
        <w:rPr>
          <w:rFonts w:hint="eastAsia" w:cs="Times New Roman" w:asciiTheme="minorEastAsia" w:hAnsiTheme="minorEastAsia" w:eastAsiaTheme="minorEastAsia"/>
          <w:color w:val="auto"/>
          <w:sz w:val="21"/>
          <w:szCs w:val="21"/>
          <w:highlight w:val="none"/>
        </w:rPr>
        <w:t>；</w:t>
      </w:r>
      <w:r>
        <w:rPr>
          <w:rFonts w:cs="Times New Roman" w:asciiTheme="minorEastAsia" w:hAnsiTheme="minorEastAsia" w:eastAsiaTheme="minorEastAsia"/>
          <w:color w:val="auto"/>
          <w:sz w:val="21"/>
          <w:szCs w:val="21"/>
          <w:highlight w:val="none"/>
        </w:rPr>
        <w:t>如果任何第三方提出侵权</w:t>
      </w:r>
      <w:r>
        <w:rPr>
          <w:rFonts w:hint="eastAsia" w:cs="Times New Roman" w:asciiTheme="minorEastAsia" w:hAnsiTheme="minorEastAsia" w:eastAsiaTheme="minorEastAsia"/>
          <w:color w:val="auto"/>
          <w:sz w:val="21"/>
          <w:szCs w:val="21"/>
          <w:highlight w:val="none"/>
        </w:rPr>
        <w:t>指控</w:t>
      </w:r>
      <w:r>
        <w:rPr>
          <w:rFonts w:cs="Times New Roman" w:asciiTheme="minorEastAsia" w:hAnsiTheme="minorEastAsia" w:eastAsiaTheme="minorEastAsia"/>
          <w:color w:val="auto"/>
          <w:sz w:val="21"/>
          <w:szCs w:val="21"/>
          <w:highlight w:val="none"/>
        </w:rPr>
        <w:t>，那么乙方须与该第三方交涉并承担由此发生的一切责任、费用和赔偿</w:t>
      </w:r>
      <w:r>
        <w:rPr>
          <w:rFonts w:hint="eastAsia" w:cs="Times New Roman" w:asciiTheme="minorEastAsia" w:hAnsiTheme="minorEastAsia" w:eastAsiaTheme="minorEastAsia"/>
          <w:color w:val="auto"/>
          <w:sz w:val="21"/>
          <w:szCs w:val="21"/>
          <w:highlight w:val="none"/>
        </w:rPr>
        <w:t>；</w:t>
      </w:r>
    </w:p>
    <w:p w14:paraId="04748537">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2.3.2具有知识产权的计算机软件等货物的知识产权归属，</w:t>
      </w:r>
      <w:r>
        <w:rPr>
          <w:rFonts w:cs="Times New Roman" w:asciiTheme="minorEastAsia" w:hAnsiTheme="minorEastAsia" w:eastAsiaTheme="minorEastAsia"/>
          <w:color w:val="auto"/>
          <w:sz w:val="21"/>
          <w:szCs w:val="21"/>
          <w:highlight w:val="none"/>
        </w:rPr>
        <w:t>详见</w:t>
      </w:r>
      <w:r>
        <w:rPr>
          <w:rFonts w:cs="Times New Roman" w:asciiTheme="minorEastAsia" w:hAnsiTheme="minorEastAsia" w:eastAsiaTheme="minorEastAsia"/>
          <w:b/>
          <w:i/>
          <w:color w:val="auto"/>
          <w:sz w:val="21"/>
          <w:szCs w:val="21"/>
          <w:highlight w:val="none"/>
          <w:u w:val="single"/>
        </w:rPr>
        <w:t>合同专用条款</w:t>
      </w:r>
      <w:r>
        <w:rPr>
          <w:rFonts w:cs="Times New Roman" w:asciiTheme="minorEastAsia" w:hAnsiTheme="minorEastAsia" w:eastAsiaTheme="minorEastAsia"/>
          <w:color w:val="auto"/>
          <w:sz w:val="21"/>
          <w:szCs w:val="21"/>
          <w:highlight w:val="none"/>
        </w:rPr>
        <w:t>。</w:t>
      </w:r>
    </w:p>
    <w:p w14:paraId="2E41A9EB">
      <w:pPr>
        <w:keepNext w:val="0"/>
        <w:keepLines w:val="0"/>
        <w:pageBreakBefore w:val="0"/>
        <w:kinsoku/>
        <w:wordWrap/>
        <w:overflowPunct/>
        <w:topLinePunct w:val="0"/>
        <w:bidi w:val="0"/>
        <w:snapToGrid/>
        <w:spacing w:line="440" w:lineRule="exact"/>
        <w:ind w:firstLine="437"/>
        <w:textAlignment w:val="auto"/>
        <w:outlineLvl w:val="2"/>
        <w:rPr>
          <w:rFonts w:cs="Times New Roman" w:asciiTheme="minorEastAsia" w:hAnsiTheme="minorEastAsia" w:eastAsiaTheme="minorEastAsia"/>
          <w:b/>
          <w:bCs/>
          <w:color w:val="auto"/>
          <w:sz w:val="21"/>
          <w:szCs w:val="21"/>
          <w:highlight w:val="none"/>
          <w:lang w:val="zh-CN"/>
        </w:rPr>
      </w:pPr>
      <w:bookmarkStart w:id="164" w:name="_Toc279701245"/>
      <w:bookmarkStart w:id="165" w:name="_Ref467379527"/>
      <w:bookmarkStart w:id="166" w:name="_Ref467379536"/>
      <w:bookmarkStart w:id="167" w:name="_Toc259093674"/>
      <w:bookmarkStart w:id="168" w:name="_Ref467378591"/>
      <w:bookmarkStart w:id="169" w:name="_Ref467378541"/>
      <w:bookmarkStart w:id="170" w:name="_Ref467379542"/>
      <w:bookmarkStart w:id="171" w:name="_Toc487900354"/>
      <w:bookmarkStart w:id="172" w:name="_Toc19074"/>
      <w:bookmarkStart w:id="173" w:name="_Toc30272"/>
      <w:bookmarkStart w:id="174" w:name="_Toc26182"/>
      <w:r>
        <w:rPr>
          <w:rFonts w:hint="eastAsia" w:cs="Times New Roman" w:asciiTheme="minorEastAsia" w:hAnsiTheme="minorEastAsia" w:eastAsiaTheme="minorEastAsia"/>
          <w:b/>
          <w:bCs/>
          <w:color w:val="auto"/>
          <w:sz w:val="21"/>
          <w:szCs w:val="21"/>
          <w:highlight w:val="none"/>
          <w:lang w:val="zh-CN"/>
        </w:rPr>
        <w:t>2.</w:t>
      </w:r>
      <w:bookmarkEnd w:id="164"/>
      <w:bookmarkEnd w:id="165"/>
      <w:bookmarkEnd w:id="166"/>
      <w:bookmarkEnd w:id="167"/>
      <w:bookmarkEnd w:id="168"/>
      <w:bookmarkEnd w:id="169"/>
      <w:bookmarkEnd w:id="170"/>
      <w:bookmarkEnd w:id="171"/>
      <w:r>
        <w:rPr>
          <w:rFonts w:cs="Times New Roman" w:asciiTheme="minorEastAsia" w:hAnsiTheme="minorEastAsia" w:eastAsiaTheme="minorEastAsia"/>
          <w:b/>
          <w:bCs/>
          <w:color w:val="auto"/>
          <w:sz w:val="21"/>
          <w:szCs w:val="21"/>
          <w:highlight w:val="none"/>
          <w:lang w:val="zh-CN"/>
        </w:rPr>
        <w:t xml:space="preserve">4 </w:t>
      </w:r>
      <w:r>
        <w:rPr>
          <w:rFonts w:hint="eastAsia" w:cs="Times New Roman" w:asciiTheme="minorEastAsia" w:hAnsiTheme="minorEastAsia" w:eastAsiaTheme="minorEastAsia"/>
          <w:b/>
          <w:bCs/>
          <w:color w:val="auto"/>
          <w:sz w:val="21"/>
          <w:szCs w:val="21"/>
          <w:highlight w:val="none"/>
          <w:lang w:val="zh-CN"/>
        </w:rPr>
        <w:t>履约检查和问题反馈</w:t>
      </w:r>
      <w:bookmarkEnd w:id="172"/>
      <w:bookmarkEnd w:id="173"/>
      <w:bookmarkEnd w:id="174"/>
    </w:p>
    <w:p w14:paraId="65A09BBD">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bookmarkStart w:id="175" w:name="_Toc186431854"/>
      <w:bookmarkStart w:id="176" w:name="_Ref467379807"/>
      <w:bookmarkStart w:id="177" w:name="_Toc279701247"/>
      <w:bookmarkStart w:id="178" w:name="_Toc259093676"/>
      <w:bookmarkStart w:id="179" w:name="_Ref467379793"/>
      <w:bookmarkStart w:id="180" w:name="_Toc487900357"/>
      <w:r>
        <w:rPr>
          <w:rFonts w:hint="eastAsia" w:cs="Times New Roman" w:asciiTheme="minorEastAsia" w:hAnsiTheme="minorEastAsia" w:eastAsiaTheme="minorEastAsia"/>
          <w:color w:val="auto"/>
          <w:sz w:val="21"/>
          <w:szCs w:val="21"/>
          <w:highlight w:val="none"/>
        </w:rPr>
        <w:t>2.4</w:t>
      </w:r>
      <w:r>
        <w:rPr>
          <w:rFonts w:cs="Times New Roman" w:asciiTheme="minorEastAsia" w:hAnsiTheme="minorEastAsia" w:eastAsiaTheme="minorEastAsia"/>
          <w:color w:val="auto"/>
          <w:sz w:val="21"/>
          <w:szCs w:val="21"/>
          <w:highlight w:val="none"/>
        </w:rPr>
        <w:t>.1甲方</w:t>
      </w:r>
      <w:r>
        <w:rPr>
          <w:rFonts w:hint="eastAsia" w:cs="Times New Roman" w:asciiTheme="minorEastAsia" w:hAnsiTheme="minorEastAsia" w:eastAsiaTheme="minorEastAsia"/>
          <w:color w:val="auto"/>
          <w:sz w:val="21"/>
          <w:szCs w:val="21"/>
          <w:highlight w:val="none"/>
        </w:rPr>
        <w:t>有权</w:t>
      </w:r>
      <w:r>
        <w:rPr>
          <w:rFonts w:cs="Times New Roman" w:asciiTheme="minorEastAsia" w:hAnsiTheme="minorEastAsia" w:eastAsiaTheme="minorEastAsia"/>
          <w:color w:val="auto"/>
          <w:sz w:val="21"/>
          <w:szCs w:val="21"/>
          <w:highlight w:val="none"/>
        </w:rPr>
        <w:t>在其认为必要时</w:t>
      </w:r>
      <w:r>
        <w:rPr>
          <w:rFonts w:hint="eastAsia" w:cs="Times New Roman" w:asciiTheme="minorEastAsia" w:hAnsiTheme="minorEastAsia" w:eastAsiaTheme="minorEastAsia"/>
          <w:color w:val="auto"/>
          <w:sz w:val="21"/>
          <w:szCs w:val="21"/>
          <w:highlight w:val="none"/>
        </w:rPr>
        <w:t>，对乙方是否能够按照合同约定提供服务进行履约检查，以确保乙方所提供的服务能够依约满足甲方项目需求，但不得因履约检查妨碍乙方的正常工作，乙方应予积极配合；</w:t>
      </w:r>
    </w:p>
    <w:p w14:paraId="3CBE3097">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2.</w:t>
      </w:r>
      <w:r>
        <w:rPr>
          <w:rFonts w:cs="Times New Roman" w:asciiTheme="minorEastAsia" w:hAnsiTheme="minorEastAsia" w:eastAsiaTheme="minorEastAsia"/>
          <w:color w:val="auto"/>
          <w:sz w:val="21"/>
          <w:szCs w:val="21"/>
          <w:highlight w:val="none"/>
        </w:rPr>
        <w:t>4</w:t>
      </w:r>
      <w:r>
        <w:rPr>
          <w:rFonts w:hint="eastAsia" w:cs="Times New Roman" w:asciiTheme="minorEastAsia" w:hAnsiTheme="minorEastAsia" w:eastAsiaTheme="minorEastAsia"/>
          <w:color w:val="auto"/>
          <w:sz w:val="21"/>
          <w:szCs w:val="21"/>
          <w:highlight w:val="none"/>
        </w:rPr>
        <w:t>.2合同履行期间，甲方有权将履行过程中出现的问题反馈给乙方，双方当事人应以书面形式约定需要完善和改进的内容</w:t>
      </w:r>
      <w:bookmarkEnd w:id="175"/>
      <w:bookmarkStart w:id="181" w:name="_Toc186431855"/>
      <w:r>
        <w:rPr>
          <w:rFonts w:hint="eastAsia" w:cs="Times New Roman" w:asciiTheme="minorEastAsia" w:hAnsiTheme="minorEastAsia" w:eastAsiaTheme="minorEastAsia"/>
          <w:color w:val="auto"/>
          <w:sz w:val="21"/>
          <w:szCs w:val="21"/>
          <w:highlight w:val="none"/>
        </w:rPr>
        <w:t>。</w:t>
      </w:r>
    </w:p>
    <w:bookmarkEnd w:id="181"/>
    <w:p w14:paraId="69CA18A8">
      <w:pPr>
        <w:keepNext w:val="0"/>
        <w:keepLines w:val="0"/>
        <w:pageBreakBefore w:val="0"/>
        <w:kinsoku/>
        <w:wordWrap/>
        <w:overflowPunct/>
        <w:topLinePunct w:val="0"/>
        <w:bidi w:val="0"/>
        <w:snapToGrid/>
        <w:spacing w:line="440" w:lineRule="exact"/>
        <w:ind w:firstLine="437"/>
        <w:textAlignment w:val="auto"/>
        <w:outlineLvl w:val="2"/>
        <w:rPr>
          <w:rFonts w:cs="Times New Roman" w:asciiTheme="minorEastAsia" w:hAnsiTheme="minorEastAsia" w:eastAsiaTheme="minorEastAsia"/>
          <w:b/>
          <w:bCs/>
          <w:color w:val="auto"/>
          <w:sz w:val="21"/>
          <w:szCs w:val="21"/>
          <w:highlight w:val="none"/>
          <w:lang w:val="zh-CN"/>
        </w:rPr>
      </w:pPr>
      <w:bookmarkStart w:id="182" w:name="_Toc7836"/>
      <w:bookmarkStart w:id="183" w:name="_Toc19219"/>
      <w:bookmarkStart w:id="184" w:name="_Toc28451"/>
      <w:r>
        <w:rPr>
          <w:rFonts w:hint="eastAsia" w:cs="Times New Roman" w:asciiTheme="minorEastAsia" w:hAnsiTheme="minorEastAsia" w:eastAsiaTheme="minorEastAsia"/>
          <w:b/>
          <w:bCs/>
          <w:color w:val="auto"/>
          <w:sz w:val="21"/>
          <w:szCs w:val="21"/>
          <w:highlight w:val="none"/>
          <w:lang w:val="zh-CN"/>
        </w:rPr>
        <w:t>2.</w:t>
      </w:r>
      <w:r>
        <w:rPr>
          <w:rFonts w:cs="Times New Roman" w:asciiTheme="minorEastAsia" w:hAnsiTheme="minorEastAsia" w:eastAsiaTheme="minorEastAsia"/>
          <w:b/>
          <w:bCs/>
          <w:color w:val="auto"/>
          <w:sz w:val="21"/>
          <w:szCs w:val="21"/>
          <w:highlight w:val="none"/>
          <w:lang w:val="zh-CN"/>
        </w:rPr>
        <w:t>5</w:t>
      </w:r>
      <w:r>
        <w:rPr>
          <w:rFonts w:hint="eastAsia" w:cs="Times New Roman" w:asciiTheme="minorEastAsia" w:hAnsiTheme="minorEastAsia" w:eastAsiaTheme="minorEastAsia"/>
          <w:b/>
          <w:bCs/>
          <w:color w:val="auto"/>
          <w:sz w:val="21"/>
          <w:szCs w:val="21"/>
          <w:highlight w:val="none"/>
          <w:lang w:val="zh-CN"/>
        </w:rPr>
        <w:t xml:space="preserve"> </w:t>
      </w:r>
      <w:r>
        <w:rPr>
          <w:rFonts w:cs="Times New Roman" w:asciiTheme="minorEastAsia" w:hAnsiTheme="minorEastAsia" w:eastAsiaTheme="minorEastAsia"/>
          <w:b/>
          <w:bCs/>
          <w:color w:val="auto"/>
          <w:sz w:val="21"/>
          <w:szCs w:val="21"/>
          <w:highlight w:val="none"/>
          <w:lang w:val="zh-CN"/>
        </w:rPr>
        <w:t>结算方式和付款条件</w:t>
      </w:r>
      <w:bookmarkEnd w:id="176"/>
      <w:bookmarkEnd w:id="177"/>
      <w:bookmarkEnd w:id="178"/>
      <w:bookmarkEnd w:id="179"/>
      <w:bookmarkEnd w:id="180"/>
      <w:bookmarkEnd w:id="182"/>
      <w:bookmarkEnd w:id="183"/>
      <w:bookmarkEnd w:id="184"/>
    </w:p>
    <w:p w14:paraId="6B35A06A">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cs="Times New Roman" w:asciiTheme="minorEastAsia" w:hAnsiTheme="minorEastAsia" w:eastAsiaTheme="minorEastAsia"/>
          <w:color w:val="auto"/>
          <w:sz w:val="21"/>
          <w:szCs w:val="21"/>
          <w:highlight w:val="none"/>
        </w:rPr>
        <w:t>详见</w:t>
      </w:r>
      <w:r>
        <w:rPr>
          <w:rFonts w:cs="Times New Roman" w:asciiTheme="minorEastAsia" w:hAnsiTheme="minorEastAsia" w:eastAsiaTheme="minorEastAsia"/>
          <w:b/>
          <w:i/>
          <w:color w:val="auto"/>
          <w:sz w:val="21"/>
          <w:szCs w:val="21"/>
          <w:highlight w:val="none"/>
          <w:u w:val="single"/>
        </w:rPr>
        <w:t>合同专用条款</w:t>
      </w:r>
      <w:r>
        <w:rPr>
          <w:rFonts w:cs="Times New Roman" w:asciiTheme="minorEastAsia" w:hAnsiTheme="minorEastAsia" w:eastAsiaTheme="minorEastAsia"/>
          <w:color w:val="auto"/>
          <w:sz w:val="21"/>
          <w:szCs w:val="21"/>
          <w:highlight w:val="none"/>
        </w:rPr>
        <w:t>。</w:t>
      </w:r>
    </w:p>
    <w:p w14:paraId="0697380D">
      <w:pPr>
        <w:keepNext w:val="0"/>
        <w:keepLines w:val="0"/>
        <w:pageBreakBefore w:val="0"/>
        <w:kinsoku/>
        <w:wordWrap/>
        <w:overflowPunct/>
        <w:topLinePunct w:val="0"/>
        <w:bidi w:val="0"/>
        <w:snapToGrid/>
        <w:spacing w:line="440" w:lineRule="exact"/>
        <w:ind w:firstLine="437"/>
        <w:textAlignment w:val="auto"/>
        <w:outlineLvl w:val="2"/>
        <w:rPr>
          <w:rFonts w:cs="Times New Roman" w:asciiTheme="minorEastAsia" w:hAnsiTheme="minorEastAsia" w:eastAsiaTheme="minorEastAsia"/>
          <w:b/>
          <w:bCs/>
          <w:color w:val="auto"/>
          <w:sz w:val="21"/>
          <w:szCs w:val="21"/>
          <w:highlight w:val="none"/>
          <w:lang w:val="zh-CN"/>
        </w:rPr>
      </w:pPr>
      <w:bookmarkStart w:id="185" w:name="_Ref467379852"/>
      <w:bookmarkStart w:id="186" w:name="_Ref467379863"/>
      <w:bookmarkStart w:id="187" w:name="_Toc487900358"/>
      <w:bookmarkStart w:id="188" w:name="_Toc259093677"/>
      <w:bookmarkStart w:id="189" w:name="_Ref467379923"/>
      <w:bookmarkStart w:id="190" w:name="_Toc279701248"/>
      <w:bookmarkStart w:id="191" w:name="_Toc774"/>
      <w:bookmarkStart w:id="192" w:name="_Toc3225"/>
      <w:bookmarkStart w:id="193" w:name="_Toc16110"/>
      <w:r>
        <w:rPr>
          <w:rFonts w:hint="eastAsia" w:cs="Times New Roman" w:asciiTheme="minorEastAsia" w:hAnsiTheme="minorEastAsia" w:eastAsiaTheme="minorEastAsia"/>
          <w:b/>
          <w:bCs/>
          <w:color w:val="auto"/>
          <w:sz w:val="21"/>
          <w:szCs w:val="21"/>
          <w:highlight w:val="none"/>
          <w:lang w:val="zh-CN"/>
        </w:rPr>
        <w:t>2.</w:t>
      </w:r>
      <w:r>
        <w:rPr>
          <w:rFonts w:cs="Times New Roman" w:asciiTheme="minorEastAsia" w:hAnsiTheme="minorEastAsia" w:eastAsiaTheme="minorEastAsia"/>
          <w:b/>
          <w:bCs/>
          <w:color w:val="auto"/>
          <w:sz w:val="21"/>
          <w:szCs w:val="21"/>
          <w:highlight w:val="none"/>
          <w:lang w:val="zh-CN"/>
        </w:rPr>
        <w:t>6</w:t>
      </w:r>
      <w:r>
        <w:rPr>
          <w:rFonts w:hint="eastAsia" w:cs="Times New Roman" w:asciiTheme="minorEastAsia" w:hAnsiTheme="minorEastAsia" w:eastAsiaTheme="minorEastAsia"/>
          <w:b/>
          <w:bCs/>
          <w:color w:val="auto"/>
          <w:sz w:val="21"/>
          <w:szCs w:val="21"/>
          <w:highlight w:val="none"/>
          <w:lang w:val="zh-CN"/>
        </w:rPr>
        <w:t xml:space="preserve"> </w:t>
      </w:r>
      <w:r>
        <w:rPr>
          <w:rFonts w:cs="Times New Roman" w:asciiTheme="minorEastAsia" w:hAnsiTheme="minorEastAsia" w:eastAsiaTheme="minorEastAsia"/>
          <w:b/>
          <w:bCs/>
          <w:color w:val="auto"/>
          <w:sz w:val="21"/>
          <w:szCs w:val="21"/>
          <w:highlight w:val="none"/>
          <w:lang w:val="zh-CN"/>
        </w:rPr>
        <w:t>技术资料</w:t>
      </w:r>
      <w:bookmarkEnd w:id="185"/>
      <w:bookmarkEnd w:id="186"/>
      <w:bookmarkEnd w:id="187"/>
      <w:bookmarkEnd w:id="188"/>
      <w:bookmarkEnd w:id="189"/>
      <w:bookmarkEnd w:id="190"/>
      <w:r>
        <w:rPr>
          <w:rFonts w:cs="Times New Roman" w:asciiTheme="minorEastAsia" w:hAnsiTheme="minorEastAsia" w:eastAsiaTheme="minorEastAsia"/>
          <w:b/>
          <w:bCs/>
          <w:color w:val="auto"/>
          <w:sz w:val="21"/>
          <w:szCs w:val="21"/>
          <w:highlight w:val="none"/>
          <w:lang w:val="zh-CN"/>
        </w:rPr>
        <w:t>和保密义务</w:t>
      </w:r>
      <w:bookmarkEnd w:id="191"/>
      <w:bookmarkEnd w:id="192"/>
      <w:bookmarkEnd w:id="193"/>
    </w:p>
    <w:p w14:paraId="1BAA8375">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2.</w:t>
      </w:r>
      <w:r>
        <w:rPr>
          <w:rFonts w:cs="Times New Roman" w:asciiTheme="minorEastAsia" w:hAnsiTheme="minorEastAsia" w:eastAsiaTheme="minorEastAsia"/>
          <w:color w:val="auto"/>
          <w:sz w:val="21"/>
          <w:szCs w:val="21"/>
          <w:highlight w:val="none"/>
        </w:rPr>
        <w:t>6.1</w:t>
      </w:r>
      <w:r>
        <w:rPr>
          <w:rFonts w:hint="eastAsia" w:cs="Times New Roman" w:asciiTheme="minorEastAsia" w:hAnsiTheme="minorEastAsia" w:eastAsiaTheme="minorEastAsia"/>
          <w:color w:val="auto"/>
          <w:sz w:val="21"/>
          <w:szCs w:val="21"/>
          <w:highlight w:val="none"/>
        </w:rPr>
        <w:t>乙方有权依据合同约定和项目需要，向甲方了解有关情况，调阅有关资料等，甲方应予积极配合；</w:t>
      </w:r>
    </w:p>
    <w:p w14:paraId="244FA856">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2.</w:t>
      </w:r>
      <w:r>
        <w:rPr>
          <w:rFonts w:cs="Times New Roman" w:asciiTheme="minorEastAsia" w:hAnsiTheme="minorEastAsia" w:eastAsiaTheme="minorEastAsia"/>
          <w:color w:val="auto"/>
          <w:sz w:val="21"/>
          <w:szCs w:val="21"/>
          <w:highlight w:val="none"/>
        </w:rPr>
        <w:t>6</w:t>
      </w:r>
      <w:r>
        <w:rPr>
          <w:rFonts w:hint="eastAsia" w:cs="Times New Roman" w:asciiTheme="minorEastAsia" w:hAnsiTheme="minorEastAsia" w:eastAsiaTheme="minorEastAsia"/>
          <w:color w:val="auto"/>
          <w:sz w:val="21"/>
          <w:szCs w:val="21"/>
          <w:highlight w:val="none"/>
        </w:rPr>
        <w:t>.2乙方有义务妥善保管和保护由甲方提供的前款信息和资料等；</w:t>
      </w:r>
    </w:p>
    <w:p w14:paraId="6DF3FC68">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2.</w:t>
      </w:r>
      <w:r>
        <w:rPr>
          <w:rFonts w:cs="Times New Roman" w:asciiTheme="minorEastAsia" w:hAnsiTheme="minorEastAsia" w:eastAsiaTheme="minorEastAsia"/>
          <w:color w:val="auto"/>
          <w:sz w:val="21"/>
          <w:szCs w:val="21"/>
          <w:highlight w:val="none"/>
        </w:rPr>
        <w:t>6.</w:t>
      </w:r>
      <w:r>
        <w:rPr>
          <w:rFonts w:hint="eastAsia" w:cs="Times New Roman" w:asciiTheme="minorEastAsia" w:hAnsiTheme="minorEastAsia" w:eastAsiaTheme="minorEastAsia"/>
          <w:color w:val="auto"/>
          <w:sz w:val="21"/>
          <w:szCs w:val="21"/>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cs="Times New Roman" w:asciiTheme="minorEastAsia" w:hAnsiTheme="minorEastAsia" w:eastAsiaTheme="minorEastAsia"/>
          <w:color w:val="auto"/>
          <w:sz w:val="21"/>
          <w:szCs w:val="21"/>
          <w:highlight w:val="none"/>
        </w:rPr>
        <w:t>技术情报</w:t>
      </w:r>
      <w:r>
        <w:rPr>
          <w:rFonts w:hint="eastAsia" w:cs="Times New Roman" w:asciiTheme="minorEastAsia" w:hAnsiTheme="minorEastAsia" w:eastAsiaTheme="minorEastAsia"/>
          <w:color w:val="auto"/>
          <w:sz w:val="21"/>
          <w:szCs w:val="21"/>
          <w:highlight w:val="none"/>
        </w:rPr>
        <w:t>、</w:t>
      </w:r>
      <w:r>
        <w:rPr>
          <w:rFonts w:cs="Times New Roman" w:asciiTheme="minorEastAsia" w:hAnsiTheme="minorEastAsia" w:eastAsiaTheme="minorEastAsia"/>
          <w:color w:val="auto"/>
          <w:sz w:val="21"/>
          <w:szCs w:val="21"/>
          <w:highlight w:val="none"/>
        </w:rPr>
        <w:t>技术资料</w:t>
      </w:r>
      <w:r>
        <w:rPr>
          <w:rFonts w:hint="eastAsia" w:cs="Times New Roman" w:asciiTheme="minorEastAsia" w:hAnsiTheme="minorEastAsia" w:eastAsiaTheme="minorEastAsia"/>
          <w:color w:val="auto"/>
          <w:sz w:val="21"/>
          <w:szCs w:val="21"/>
          <w:highlight w:val="none"/>
        </w:rPr>
        <w:t>、商业秘密和商业信息等，并采取一切合理和必要措施和方式防止任何第三方接触到对方当事人的上述保密信息和资料。</w:t>
      </w:r>
    </w:p>
    <w:p w14:paraId="5B756D83">
      <w:pPr>
        <w:keepNext w:val="0"/>
        <w:keepLines w:val="0"/>
        <w:pageBreakBefore w:val="0"/>
        <w:kinsoku/>
        <w:wordWrap/>
        <w:overflowPunct/>
        <w:topLinePunct w:val="0"/>
        <w:bidi w:val="0"/>
        <w:snapToGrid/>
        <w:spacing w:line="440" w:lineRule="exact"/>
        <w:ind w:firstLine="437"/>
        <w:textAlignment w:val="auto"/>
        <w:outlineLvl w:val="2"/>
        <w:rPr>
          <w:rFonts w:cs="Times New Roman" w:asciiTheme="minorEastAsia" w:hAnsiTheme="minorEastAsia" w:eastAsiaTheme="minorEastAsia"/>
          <w:b/>
          <w:bCs/>
          <w:color w:val="auto"/>
          <w:sz w:val="21"/>
          <w:szCs w:val="21"/>
          <w:highlight w:val="none"/>
          <w:lang w:val="zh-CN"/>
        </w:rPr>
      </w:pPr>
      <w:bookmarkStart w:id="194" w:name="_Toc7860"/>
      <w:r>
        <w:rPr>
          <w:rFonts w:cs="Times New Roman" w:asciiTheme="minorEastAsia" w:hAnsiTheme="minorEastAsia" w:eastAsiaTheme="minorEastAsia"/>
          <w:b/>
          <w:bCs/>
          <w:color w:val="auto"/>
          <w:sz w:val="21"/>
          <w:szCs w:val="21"/>
          <w:highlight w:val="none"/>
          <w:lang w:val="zh-CN"/>
        </w:rPr>
        <w:t>2.7 质量保证</w:t>
      </w:r>
      <w:bookmarkEnd w:id="194"/>
    </w:p>
    <w:p w14:paraId="5D662D0C">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2.</w:t>
      </w:r>
      <w:r>
        <w:rPr>
          <w:rFonts w:cs="Times New Roman" w:asciiTheme="minorEastAsia" w:hAnsiTheme="minorEastAsia" w:eastAsiaTheme="minorEastAsia"/>
          <w:color w:val="auto"/>
          <w:sz w:val="21"/>
          <w:szCs w:val="21"/>
          <w:highlight w:val="none"/>
        </w:rPr>
        <w:t>7</w:t>
      </w:r>
      <w:r>
        <w:rPr>
          <w:rFonts w:hint="eastAsia" w:cs="Times New Roman" w:asciiTheme="minorEastAsia" w:hAnsiTheme="minorEastAsia" w:eastAsiaTheme="minorEastAsia"/>
          <w:color w:val="auto"/>
          <w:sz w:val="21"/>
          <w:szCs w:val="21"/>
          <w:highlight w:val="none"/>
        </w:rPr>
        <w:t>.1乙方应建立和完善履行合同的内部质量保证体系，并提供相关内部规章制度给甲方，以便甲方进行监督检查；</w:t>
      </w:r>
    </w:p>
    <w:p w14:paraId="2EB08778">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2.</w:t>
      </w:r>
      <w:r>
        <w:rPr>
          <w:rFonts w:cs="Times New Roman" w:asciiTheme="minorEastAsia" w:hAnsiTheme="minorEastAsia" w:eastAsiaTheme="minorEastAsia"/>
          <w:color w:val="auto"/>
          <w:sz w:val="21"/>
          <w:szCs w:val="21"/>
          <w:highlight w:val="none"/>
        </w:rPr>
        <w:t>7</w:t>
      </w:r>
      <w:r>
        <w:rPr>
          <w:rFonts w:hint="eastAsia" w:cs="Times New Roman" w:asciiTheme="minorEastAsia" w:hAnsiTheme="minorEastAsia" w:eastAsiaTheme="minorEastAsia"/>
          <w:color w:val="auto"/>
          <w:sz w:val="21"/>
          <w:szCs w:val="21"/>
          <w:highlight w:val="none"/>
        </w:rPr>
        <w:t>.2乙方应保证履行合同的人员数量和素质、软件和硬件设备的配置、场地、环境和设施等满足全面履行合同的要求，并应接受甲方的监督检查。</w:t>
      </w:r>
    </w:p>
    <w:p w14:paraId="2A18961F">
      <w:pPr>
        <w:keepNext w:val="0"/>
        <w:keepLines w:val="0"/>
        <w:pageBreakBefore w:val="0"/>
        <w:kinsoku/>
        <w:wordWrap/>
        <w:overflowPunct/>
        <w:topLinePunct w:val="0"/>
        <w:bidi w:val="0"/>
        <w:snapToGrid/>
        <w:spacing w:line="440" w:lineRule="exact"/>
        <w:ind w:firstLine="437"/>
        <w:textAlignment w:val="auto"/>
        <w:outlineLvl w:val="2"/>
        <w:rPr>
          <w:rFonts w:cs="Times New Roman" w:asciiTheme="minorEastAsia" w:hAnsiTheme="minorEastAsia" w:eastAsiaTheme="minorEastAsia"/>
          <w:b/>
          <w:color w:val="auto"/>
          <w:sz w:val="21"/>
          <w:szCs w:val="21"/>
          <w:highlight w:val="none"/>
        </w:rPr>
      </w:pPr>
      <w:bookmarkStart w:id="195" w:name="_Toc22267"/>
      <w:r>
        <w:rPr>
          <w:rFonts w:hint="eastAsia" w:cs="Times New Roman" w:asciiTheme="minorEastAsia" w:hAnsiTheme="minorEastAsia" w:eastAsiaTheme="minorEastAsia"/>
          <w:b/>
          <w:color w:val="auto"/>
          <w:sz w:val="21"/>
          <w:szCs w:val="21"/>
          <w:highlight w:val="none"/>
        </w:rPr>
        <w:t>2.8 延迟履行</w:t>
      </w:r>
      <w:bookmarkEnd w:id="195"/>
    </w:p>
    <w:p w14:paraId="3AF1ACC0">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cs="Times New Roman" w:asciiTheme="minorEastAsia" w:hAnsiTheme="minorEastAsia" w:eastAsiaTheme="minorEastAsia"/>
          <w:color w:val="auto"/>
          <w:sz w:val="21"/>
          <w:szCs w:val="21"/>
          <w:highlight w:val="none"/>
        </w:rPr>
        <w:t>在合同履行过程中，如果乙方遇到不能按时</w:t>
      </w:r>
      <w:r>
        <w:rPr>
          <w:rFonts w:hint="eastAsia" w:cs="Times New Roman" w:asciiTheme="minorEastAsia" w:hAnsiTheme="minorEastAsia" w:eastAsiaTheme="minorEastAsia"/>
          <w:color w:val="auto"/>
          <w:sz w:val="21"/>
          <w:szCs w:val="21"/>
          <w:highlight w:val="none"/>
        </w:rPr>
        <w:t>提供服务</w:t>
      </w:r>
      <w:r>
        <w:rPr>
          <w:rFonts w:cs="Times New Roman" w:asciiTheme="minorEastAsia" w:hAnsiTheme="minorEastAsia" w:eastAsiaTheme="minorEastAsia"/>
          <w:color w:val="auto"/>
          <w:sz w:val="21"/>
          <w:szCs w:val="21"/>
          <w:highlight w:val="none"/>
        </w:rPr>
        <w:t>的情况，应及时以书面形式将不能按时</w:t>
      </w:r>
      <w:r>
        <w:rPr>
          <w:rFonts w:hint="eastAsia" w:cs="Times New Roman" w:asciiTheme="minorEastAsia" w:hAnsiTheme="minorEastAsia" w:eastAsiaTheme="minorEastAsia"/>
          <w:color w:val="auto"/>
          <w:sz w:val="21"/>
          <w:szCs w:val="21"/>
          <w:highlight w:val="none"/>
        </w:rPr>
        <w:t>提供服务</w:t>
      </w:r>
      <w:r>
        <w:rPr>
          <w:rFonts w:cs="Times New Roman" w:asciiTheme="minorEastAsia" w:hAnsiTheme="minorEastAsia" w:eastAsiaTheme="minorEastAsia"/>
          <w:color w:val="auto"/>
          <w:sz w:val="21"/>
          <w:szCs w:val="21"/>
          <w:highlight w:val="none"/>
        </w:rPr>
        <w:t>的理由、预期延误时间通知甲方</w:t>
      </w:r>
      <w:r>
        <w:rPr>
          <w:rFonts w:hint="eastAsia" w:cs="Times New Roman" w:asciiTheme="minorEastAsia" w:hAnsiTheme="minorEastAsia" w:eastAsiaTheme="minorEastAsia"/>
          <w:color w:val="auto"/>
          <w:sz w:val="21"/>
          <w:szCs w:val="21"/>
          <w:highlight w:val="none"/>
        </w:rPr>
        <w:t>；甲</w:t>
      </w:r>
      <w:r>
        <w:rPr>
          <w:rFonts w:cs="Times New Roman" w:asciiTheme="minorEastAsia" w:hAnsiTheme="minorEastAsia" w:eastAsiaTheme="minorEastAsia"/>
          <w:color w:val="auto"/>
          <w:sz w:val="21"/>
          <w:szCs w:val="21"/>
          <w:highlight w:val="none"/>
        </w:rPr>
        <w:t>方收到乙方通知后，认为其理由正当的，可以书面形式酌情同意乙方可以延长</w:t>
      </w:r>
      <w:r>
        <w:rPr>
          <w:rFonts w:hint="eastAsia" w:cs="Times New Roman" w:asciiTheme="minorEastAsia" w:hAnsiTheme="minorEastAsia" w:eastAsiaTheme="minorEastAsia"/>
          <w:color w:val="auto"/>
          <w:sz w:val="21"/>
          <w:szCs w:val="21"/>
          <w:highlight w:val="none"/>
        </w:rPr>
        <w:t>履行</w:t>
      </w:r>
      <w:r>
        <w:rPr>
          <w:rFonts w:cs="Times New Roman" w:asciiTheme="minorEastAsia" w:hAnsiTheme="minorEastAsia" w:eastAsiaTheme="minorEastAsia"/>
          <w:color w:val="auto"/>
          <w:sz w:val="21"/>
          <w:szCs w:val="21"/>
          <w:highlight w:val="none"/>
        </w:rPr>
        <w:t>的具体时间。</w:t>
      </w:r>
    </w:p>
    <w:p w14:paraId="1DABC3C3">
      <w:pPr>
        <w:keepNext w:val="0"/>
        <w:keepLines w:val="0"/>
        <w:pageBreakBefore w:val="0"/>
        <w:kinsoku/>
        <w:wordWrap/>
        <w:overflowPunct/>
        <w:topLinePunct w:val="0"/>
        <w:bidi w:val="0"/>
        <w:snapToGrid/>
        <w:spacing w:line="440" w:lineRule="exact"/>
        <w:ind w:firstLine="437"/>
        <w:textAlignment w:val="auto"/>
        <w:outlineLvl w:val="2"/>
        <w:rPr>
          <w:rFonts w:cs="Times New Roman" w:asciiTheme="minorEastAsia" w:hAnsiTheme="minorEastAsia" w:eastAsiaTheme="minorEastAsia"/>
          <w:b/>
          <w:bCs/>
          <w:color w:val="auto"/>
          <w:sz w:val="21"/>
          <w:szCs w:val="21"/>
          <w:highlight w:val="none"/>
          <w:lang w:val="zh-CN"/>
        </w:rPr>
      </w:pPr>
      <w:bookmarkStart w:id="196" w:name="_Toc7502"/>
      <w:bookmarkStart w:id="197" w:name="_Toc279701254"/>
      <w:bookmarkStart w:id="198" w:name="_Toc487900364"/>
      <w:bookmarkStart w:id="199" w:name="_Ref467378121"/>
      <w:bookmarkStart w:id="200" w:name="_Toc259093683"/>
      <w:r>
        <w:rPr>
          <w:rFonts w:cs="Times New Roman" w:asciiTheme="minorEastAsia" w:hAnsiTheme="minorEastAsia" w:eastAsiaTheme="minorEastAsia"/>
          <w:b/>
          <w:bCs/>
          <w:color w:val="auto"/>
          <w:sz w:val="21"/>
          <w:szCs w:val="21"/>
          <w:highlight w:val="none"/>
          <w:lang w:val="zh-CN"/>
        </w:rPr>
        <w:t>2.9 合同变更</w:t>
      </w:r>
      <w:bookmarkEnd w:id="196"/>
    </w:p>
    <w:p w14:paraId="3F7F8FB1">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2.</w:t>
      </w:r>
      <w:r>
        <w:rPr>
          <w:rFonts w:cs="Times New Roman" w:asciiTheme="minorEastAsia" w:hAnsiTheme="minorEastAsia" w:eastAsiaTheme="minorEastAsia"/>
          <w:color w:val="auto"/>
          <w:sz w:val="21"/>
          <w:szCs w:val="21"/>
          <w:highlight w:val="none"/>
        </w:rPr>
        <w:t>9</w:t>
      </w:r>
      <w:r>
        <w:rPr>
          <w:rFonts w:hint="eastAsia" w:cs="Times New Roman" w:asciiTheme="minorEastAsia" w:hAnsiTheme="minorEastAsia" w:eastAsiaTheme="minorEastAsia"/>
          <w:color w:val="auto"/>
          <w:sz w:val="21"/>
          <w:szCs w:val="21"/>
          <w:highlight w:val="none"/>
        </w:rPr>
        <w:t>.1双方当事人协商一致，可以签订书面补充合同的形式变更合同，但不得违背采购文件确定的事项；</w:t>
      </w:r>
    </w:p>
    <w:p w14:paraId="2F40499A">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2.</w:t>
      </w:r>
      <w:r>
        <w:rPr>
          <w:rFonts w:cs="Times New Roman" w:asciiTheme="minorEastAsia" w:hAnsiTheme="minorEastAsia" w:eastAsiaTheme="minorEastAsia"/>
          <w:color w:val="auto"/>
          <w:sz w:val="21"/>
          <w:szCs w:val="21"/>
          <w:highlight w:val="none"/>
        </w:rPr>
        <w:t>9</w:t>
      </w:r>
      <w:r>
        <w:rPr>
          <w:rFonts w:hint="eastAsia" w:cs="Times New Roman" w:asciiTheme="minorEastAsia" w:hAnsiTheme="minorEastAsia" w:eastAsiaTheme="minorEastAsia"/>
          <w:color w:val="auto"/>
          <w:sz w:val="21"/>
          <w:szCs w:val="21"/>
          <w:highlight w:val="none"/>
        </w:rPr>
        <w:t>.2合同继续履行将损害国家利益和社会公共利益的，双方当事人应当以书面形式变更合同。有过错的一方应当承担赔偿责任，双方当事人都有过错的，各自承担相应的责任。</w:t>
      </w:r>
      <w:bookmarkStart w:id="201" w:name="_Toc259093688"/>
      <w:bookmarkStart w:id="202" w:name="_Toc487900369"/>
      <w:bookmarkStart w:id="203" w:name="_Toc279701259"/>
    </w:p>
    <w:p w14:paraId="7F4CE7D1">
      <w:pPr>
        <w:keepNext w:val="0"/>
        <w:keepLines w:val="0"/>
        <w:pageBreakBefore w:val="0"/>
        <w:kinsoku/>
        <w:wordWrap/>
        <w:overflowPunct/>
        <w:topLinePunct w:val="0"/>
        <w:bidi w:val="0"/>
        <w:snapToGrid/>
        <w:spacing w:line="440" w:lineRule="exact"/>
        <w:ind w:firstLine="437"/>
        <w:textAlignment w:val="auto"/>
        <w:outlineLvl w:val="2"/>
        <w:rPr>
          <w:rFonts w:cs="Times New Roman" w:asciiTheme="minorEastAsia" w:hAnsiTheme="minorEastAsia" w:eastAsiaTheme="minorEastAsia"/>
          <w:b/>
          <w:bCs/>
          <w:color w:val="auto"/>
          <w:sz w:val="21"/>
          <w:szCs w:val="21"/>
          <w:highlight w:val="none"/>
          <w:lang w:val="zh-CN"/>
        </w:rPr>
      </w:pPr>
      <w:bookmarkStart w:id="204" w:name="_Toc10366"/>
      <w:bookmarkStart w:id="205" w:name="_Toc22955"/>
      <w:bookmarkStart w:id="206" w:name="_Toc15237"/>
      <w:r>
        <w:rPr>
          <w:rFonts w:hint="eastAsia" w:cs="Times New Roman" w:asciiTheme="minorEastAsia" w:hAnsiTheme="minorEastAsia" w:eastAsiaTheme="minorEastAsia"/>
          <w:b/>
          <w:bCs/>
          <w:color w:val="auto"/>
          <w:sz w:val="21"/>
          <w:szCs w:val="21"/>
          <w:highlight w:val="none"/>
          <w:lang w:val="zh-CN"/>
        </w:rPr>
        <w:t>2.1</w:t>
      </w:r>
      <w:r>
        <w:rPr>
          <w:rFonts w:cs="Times New Roman" w:asciiTheme="minorEastAsia" w:hAnsiTheme="minorEastAsia" w:eastAsiaTheme="minorEastAsia"/>
          <w:b/>
          <w:bCs/>
          <w:color w:val="auto"/>
          <w:sz w:val="21"/>
          <w:szCs w:val="21"/>
          <w:highlight w:val="none"/>
          <w:lang w:val="zh-CN"/>
        </w:rPr>
        <w:t>0</w:t>
      </w:r>
      <w:r>
        <w:rPr>
          <w:rFonts w:hint="eastAsia" w:cs="Times New Roman" w:asciiTheme="minorEastAsia" w:hAnsiTheme="minorEastAsia" w:eastAsiaTheme="minorEastAsia"/>
          <w:b/>
          <w:bCs/>
          <w:color w:val="auto"/>
          <w:sz w:val="21"/>
          <w:szCs w:val="21"/>
          <w:highlight w:val="none"/>
          <w:lang w:val="zh-CN"/>
        </w:rPr>
        <w:t xml:space="preserve"> </w:t>
      </w:r>
      <w:r>
        <w:rPr>
          <w:rFonts w:cs="Times New Roman" w:asciiTheme="minorEastAsia" w:hAnsiTheme="minorEastAsia" w:eastAsiaTheme="minorEastAsia"/>
          <w:b/>
          <w:bCs/>
          <w:color w:val="auto"/>
          <w:sz w:val="21"/>
          <w:szCs w:val="21"/>
          <w:highlight w:val="none"/>
          <w:lang w:val="zh-CN"/>
        </w:rPr>
        <w:t>合同转让</w:t>
      </w:r>
      <w:bookmarkEnd w:id="201"/>
      <w:bookmarkEnd w:id="202"/>
      <w:bookmarkEnd w:id="203"/>
      <w:r>
        <w:rPr>
          <w:rFonts w:cs="Times New Roman" w:asciiTheme="minorEastAsia" w:hAnsiTheme="minorEastAsia" w:eastAsiaTheme="minorEastAsia"/>
          <w:b/>
          <w:bCs/>
          <w:color w:val="auto"/>
          <w:sz w:val="21"/>
          <w:szCs w:val="21"/>
          <w:highlight w:val="none"/>
          <w:lang w:val="zh-CN"/>
        </w:rPr>
        <w:t>和分包</w:t>
      </w:r>
      <w:bookmarkEnd w:id="204"/>
      <w:bookmarkEnd w:id="205"/>
      <w:bookmarkEnd w:id="206"/>
    </w:p>
    <w:p w14:paraId="0F114787">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cs="Times New Roman" w:asciiTheme="minorEastAsia" w:hAnsiTheme="minorEastAsia" w:eastAsiaTheme="minorEastAsia"/>
          <w:color w:val="auto"/>
          <w:sz w:val="21"/>
          <w:szCs w:val="21"/>
          <w:highlight w:val="none"/>
        </w:rPr>
        <w:t>合同的权利义务依法不</w:t>
      </w:r>
      <w:r>
        <w:rPr>
          <w:rFonts w:hint="eastAsia" w:cs="Times New Roman" w:asciiTheme="minorEastAsia" w:hAnsiTheme="minorEastAsia" w:eastAsiaTheme="minorEastAsia"/>
          <w:color w:val="auto"/>
          <w:sz w:val="21"/>
          <w:szCs w:val="21"/>
          <w:highlight w:val="none"/>
        </w:rPr>
        <w:t>得</w:t>
      </w:r>
      <w:r>
        <w:rPr>
          <w:rFonts w:cs="Times New Roman" w:asciiTheme="minorEastAsia" w:hAnsiTheme="minorEastAsia" w:eastAsiaTheme="minorEastAsia"/>
          <w:color w:val="auto"/>
          <w:sz w:val="21"/>
          <w:szCs w:val="21"/>
          <w:highlight w:val="none"/>
        </w:rPr>
        <w:t>转让</w:t>
      </w:r>
      <w:r>
        <w:rPr>
          <w:rFonts w:hint="eastAsia" w:cs="Times New Roman" w:asciiTheme="minorEastAsia" w:hAnsiTheme="minorEastAsia" w:eastAsiaTheme="minorEastAsia"/>
          <w:color w:val="auto"/>
          <w:sz w:val="21"/>
          <w:szCs w:val="21"/>
          <w:highlight w:val="none"/>
        </w:rPr>
        <w:t>，</w:t>
      </w:r>
      <w:r>
        <w:rPr>
          <w:rFonts w:cs="Times New Roman" w:asciiTheme="minorEastAsia" w:hAnsiTheme="minorEastAsia" w:eastAsiaTheme="minorEastAsia"/>
          <w:color w:val="auto"/>
          <w:sz w:val="21"/>
          <w:szCs w:val="21"/>
          <w:highlight w:val="none"/>
        </w:rPr>
        <w:t>但经甲方</w:t>
      </w:r>
      <w:r>
        <w:rPr>
          <w:rFonts w:hint="eastAsia" w:cs="Times New Roman" w:asciiTheme="minorEastAsia" w:hAnsiTheme="minorEastAsia" w:eastAsiaTheme="minorEastAsia"/>
          <w:color w:val="auto"/>
          <w:sz w:val="21"/>
          <w:szCs w:val="21"/>
          <w:highlight w:val="none"/>
        </w:rPr>
        <w:t>同意，乙方可以依法采取分包方式履行合同，即：依法可以</w:t>
      </w:r>
      <w:r>
        <w:rPr>
          <w:rFonts w:cs="Times New Roman" w:asciiTheme="minorEastAsia" w:hAnsiTheme="minorEastAsia" w:eastAsiaTheme="minorEastAsia"/>
          <w:color w:val="auto"/>
          <w:sz w:val="21"/>
          <w:szCs w:val="21"/>
          <w:highlight w:val="none"/>
        </w:rPr>
        <w:t>将合同项下的部分非主体、非关键性工作分包给他人完成</w:t>
      </w:r>
      <w:r>
        <w:rPr>
          <w:rFonts w:hint="eastAsia" w:cs="Times New Roman" w:asciiTheme="minorEastAsia" w:hAnsiTheme="minorEastAsia" w:eastAsiaTheme="minorEastAsia"/>
          <w:color w:val="auto"/>
          <w:sz w:val="21"/>
          <w:szCs w:val="21"/>
          <w:highlight w:val="none"/>
        </w:rPr>
        <w:t>，</w:t>
      </w:r>
      <w:r>
        <w:rPr>
          <w:rFonts w:cs="Times New Roman" w:asciiTheme="minorEastAsia" w:hAnsiTheme="minorEastAsia" w:eastAsiaTheme="minorEastAsia"/>
          <w:color w:val="auto"/>
          <w:sz w:val="21"/>
          <w:szCs w:val="21"/>
          <w:highlight w:val="none"/>
        </w:rPr>
        <w:t>接受分包的人应当具备相应的资格条件，并不得再次分包</w:t>
      </w:r>
      <w:r>
        <w:rPr>
          <w:rFonts w:hint="eastAsia" w:cs="Times New Roman" w:asciiTheme="minorEastAsia" w:hAnsiTheme="minorEastAsia" w:eastAsiaTheme="minorEastAsia"/>
          <w:color w:val="auto"/>
          <w:sz w:val="21"/>
          <w:szCs w:val="21"/>
          <w:highlight w:val="none"/>
        </w:rPr>
        <w:t>，</w:t>
      </w:r>
      <w:r>
        <w:rPr>
          <w:rFonts w:cs="Times New Roman" w:asciiTheme="minorEastAsia" w:hAnsiTheme="minorEastAsia" w:eastAsiaTheme="minorEastAsia"/>
          <w:color w:val="auto"/>
          <w:sz w:val="21"/>
          <w:szCs w:val="21"/>
          <w:highlight w:val="none"/>
        </w:rPr>
        <w:t>且乙方应就分包项目向甲方负责</w:t>
      </w:r>
      <w:r>
        <w:rPr>
          <w:rFonts w:hint="eastAsia" w:cs="Times New Roman" w:asciiTheme="minorEastAsia" w:hAnsiTheme="minorEastAsia" w:eastAsiaTheme="minorEastAsia"/>
          <w:color w:val="auto"/>
          <w:sz w:val="21"/>
          <w:szCs w:val="21"/>
          <w:highlight w:val="none"/>
        </w:rPr>
        <w:t>，</w:t>
      </w:r>
      <w:r>
        <w:rPr>
          <w:rFonts w:cs="Times New Roman" w:asciiTheme="minorEastAsia" w:hAnsiTheme="minorEastAsia" w:eastAsiaTheme="minorEastAsia"/>
          <w:color w:val="auto"/>
          <w:sz w:val="21"/>
          <w:szCs w:val="21"/>
          <w:highlight w:val="none"/>
        </w:rPr>
        <w:t>并</w:t>
      </w:r>
      <w:r>
        <w:rPr>
          <w:rFonts w:hint="eastAsia" w:cs="Times New Roman" w:asciiTheme="minorEastAsia" w:hAnsiTheme="minorEastAsia" w:eastAsiaTheme="minorEastAsia"/>
          <w:color w:val="auto"/>
          <w:sz w:val="21"/>
          <w:szCs w:val="21"/>
          <w:highlight w:val="none"/>
        </w:rPr>
        <w:t>与分包供应商就分包项目向甲方承担连带责任。</w:t>
      </w:r>
    </w:p>
    <w:p w14:paraId="1A7C02D9">
      <w:pPr>
        <w:keepNext w:val="0"/>
        <w:keepLines w:val="0"/>
        <w:pageBreakBefore w:val="0"/>
        <w:kinsoku/>
        <w:wordWrap/>
        <w:overflowPunct/>
        <w:topLinePunct w:val="0"/>
        <w:bidi w:val="0"/>
        <w:snapToGrid/>
        <w:spacing w:line="440" w:lineRule="exact"/>
        <w:ind w:firstLine="437"/>
        <w:textAlignment w:val="auto"/>
        <w:outlineLvl w:val="2"/>
        <w:rPr>
          <w:rFonts w:cs="Times New Roman" w:asciiTheme="minorEastAsia" w:hAnsiTheme="minorEastAsia" w:eastAsiaTheme="minorEastAsia"/>
          <w:b/>
          <w:bCs/>
          <w:color w:val="auto"/>
          <w:sz w:val="21"/>
          <w:szCs w:val="21"/>
          <w:highlight w:val="none"/>
          <w:lang w:val="zh-CN"/>
        </w:rPr>
      </w:pPr>
      <w:bookmarkStart w:id="207" w:name="_Toc13566"/>
      <w:bookmarkStart w:id="208" w:name="_Toc16508"/>
      <w:bookmarkStart w:id="209" w:name="_Toc14066"/>
      <w:r>
        <w:rPr>
          <w:rFonts w:hint="eastAsia" w:cs="Times New Roman" w:asciiTheme="minorEastAsia" w:hAnsiTheme="minorEastAsia" w:eastAsiaTheme="minorEastAsia"/>
          <w:b/>
          <w:bCs/>
          <w:color w:val="auto"/>
          <w:sz w:val="21"/>
          <w:szCs w:val="21"/>
          <w:highlight w:val="none"/>
          <w:lang w:val="zh-CN"/>
        </w:rPr>
        <w:t>2.1</w:t>
      </w:r>
      <w:r>
        <w:rPr>
          <w:rFonts w:cs="Times New Roman" w:asciiTheme="minorEastAsia" w:hAnsiTheme="minorEastAsia" w:eastAsiaTheme="minorEastAsia"/>
          <w:b/>
          <w:bCs/>
          <w:color w:val="auto"/>
          <w:sz w:val="21"/>
          <w:szCs w:val="21"/>
          <w:highlight w:val="none"/>
          <w:lang w:val="zh-CN"/>
        </w:rPr>
        <w:t>1 不可抗力</w:t>
      </w:r>
      <w:bookmarkEnd w:id="207"/>
      <w:bookmarkEnd w:id="208"/>
      <w:bookmarkEnd w:id="209"/>
    </w:p>
    <w:p w14:paraId="45BE7E0F">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2.1</w:t>
      </w:r>
      <w:r>
        <w:rPr>
          <w:rFonts w:cs="Times New Roman" w:asciiTheme="minorEastAsia" w:hAnsiTheme="minorEastAsia" w:eastAsiaTheme="minorEastAsia"/>
          <w:color w:val="auto"/>
          <w:sz w:val="21"/>
          <w:szCs w:val="21"/>
          <w:highlight w:val="none"/>
        </w:rPr>
        <w:t>1.1如果任何一方遭遇法律规定的不可抗力，致使合同履行受阻时，履行合同的期限应予延长，延长的期限应相当于不可抗力所影响的时间</w:t>
      </w:r>
      <w:r>
        <w:rPr>
          <w:rFonts w:hint="eastAsia" w:cs="Times New Roman" w:asciiTheme="minorEastAsia" w:hAnsiTheme="minorEastAsia" w:eastAsiaTheme="minorEastAsia"/>
          <w:color w:val="auto"/>
          <w:sz w:val="21"/>
          <w:szCs w:val="21"/>
          <w:highlight w:val="none"/>
        </w:rPr>
        <w:t>；</w:t>
      </w:r>
    </w:p>
    <w:p w14:paraId="08E567E1">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2.1</w:t>
      </w:r>
      <w:r>
        <w:rPr>
          <w:rFonts w:cs="Times New Roman" w:asciiTheme="minorEastAsia" w:hAnsiTheme="minorEastAsia" w:eastAsiaTheme="minorEastAsia"/>
          <w:color w:val="auto"/>
          <w:sz w:val="21"/>
          <w:szCs w:val="21"/>
          <w:highlight w:val="none"/>
        </w:rPr>
        <w:t>1</w:t>
      </w:r>
      <w:r>
        <w:rPr>
          <w:rFonts w:hint="eastAsia" w:cs="Times New Roman" w:asciiTheme="minorEastAsia" w:hAnsiTheme="minorEastAsia" w:eastAsiaTheme="minorEastAsia"/>
          <w:color w:val="auto"/>
          <w:sz w:val="21"/>
          <w:szCs w:val="21"/>
          <w:highlight w:val="none"/>
        </w:rPr>
        <w:t>.2因不可抗力致使不能实现合同目的的，当事人可以解除合同；</w:t>
      </w:r>
    </w:p>
    <w:p w14:paraId="000E8FB0">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2.1</w:t>
      </w:r>
      <w:r>
        <w:rPr>
          <w:rFonts w:cs="Times New Roman" w:asciiTheme="minorEastAsia" w:hAnsiTheme="minorEastAsia" w:eastAsiaTheme="minorEastAsia"/>
          <w:color w:val="auto"/>
          <w:sz w:val="21"/>
          <w:szCs w:val="21"/>
          <w:highlight w:val="none"/>
        </w:rPr>
        <w:t>1</w:t>
      </w:r>
      <w:r>
        <w:rPr>
          <w:rFonts w:hint="eastAsia" w:cs="Times New Roman" w:asciiTheme="minorEastAsia" w:hAnsiTheme="minorEastAsia" w:eastAsiaTheme="minorEastAsia"/>
          <w:color w:val="auto"/>
          <w:sz w:val="21"/>
          <w:szCs w:val="21"/>
          <w:highlight w:val="none"/>
        </w:rPr>
        <w:t>.3因</w:t>
      </w:r>
      <w:r>
        <w:rPr>
          <w:rFonts w:cs="Times New Roman" w:asciiTheme="minorEastAsia" w:hAnsiTheme="minorEastAsia" w:eastAsiaTheme="minorEastAsia"/>
          <w:color w:val="auto"/>
          <w:sz w:val="21"/>
          <w:szCs w:val="21"/>
          <w:highlight w:val="none"/>
        </w:rPr>
        <w:t>不可抗力致使合同有变更必要的，双方当事人应在</w:t>
      </w:r>
      <w:r>
        <w:rPr>
          <w:rFonts w:cs="Times New Roman" w:asciiTheme="minorEastAsia" w:hAnsiTheme="minorEastAsia" w:eastAsiaTheme="minorEastAsia"/>
          <w:b/>
          <w:i/>
          <w:color w:val="auto"/>
          <w:sz w:val="21"/>
          <w:szCs w:val="21"/>
          <w:highlight w:val="none"/>
          <w:u w:val="single"/>
        </w:rPr>
        <w:t>合同专用条款</w:t>
      </w:r>
      <w:r>
        <w:rPr>
          <w:rFonts w:cs="Times New Roman" w:asciiTheme="minorEastAsia" w:hAnsiTheme="minorEastAsia" w:eastAsiaTheme="minorEastAsia"/>
          <w:color w:val="auto"/>
          <w:sz w:val="21"/>
          <w:szCs w:val="21"/>
          <w:highlight w:val="none"/>
        </w:rPr>
        <w:t>约定时间内以书面形式变更合同</w:t>
      </w:r>
      <w:r>
        <w:rPr>
          <w:rFonts w:hint="eastAsia" w:cs="Times New Roman" w:asciiTheme="minorEastAsia" w:hAnsiTheme="minorEastAsia" w:eastAsiaTheme="minorEastAsia"/>
          <w:color w:val="auto"/>
          <w:sz w:val="21"/>
          <w:szCs w:val="21"/>
          <w:highlight w:val="none"/>
        </w:rPr>
        <w:t>；</w:t>
      </w:r>
    </w:p>
    <w:p w14:paraId="1972C719">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2.1</w:t>
      </w:r>
      <w:r>
        <w:rPr>
          <w:rFonts w:cs="Times New Roman" w:asciiTheme="minorEastAsia" w:hAnsiTheme="minorEastAsia" w:eastAsiaTheme="minorEastAsia"/>
          <w:color w:val="auto"/>
          <w:sz w:val="21"/>
          <w:szCs w:val="21"/>
          <w:highlight w:val="none"/>
        </w:rPr>
        <w:t>1.</w:t>
      </w:r>
      <w:r>
        <w:rPr>
          <w:rFonts w:hint="eastAsia" w:cs="Times New Roman" w:asciiTheme="minorEastAsia" w:hAnsiTheme="minorEastAsia" w:eastAsiaTheme="minorEastAsia"/>
          <w:color w:val="auto"/>
          <w:sz w:val="21"/>
          <w:szCs w:val="21"/>
          <w:highlight w:val="none"/>
        </w:rPr>
        <w:t>4</w:t>
      </w:r>
      <w:r>
        <w:rPr>
          <w:rFonts w:cs="Times New Roman" w:asciiTheme="minorEastAsia" w:hAnsiTheme="minorEastAsia" w:eastAsiaTheme="minorEastAsia"/>
          <w:color w:val="auto"/>
          <w:sz w:val="21"/>
          <w:szCs w:val="21"/>
          <w:highlight w:val="none"/>
        </w:rPr>
        <w:t>受</w:t>
      </w:r>
      <w:r>
        <w:rPr>
          <w:rFonts w:hint="eastAsia" w:cs="Times New Roman" w:asciiTheme="minorEastAsia" w:hAnsiTheme="minorEastAsia" w:eastAsiaTheme="minorEastAsia"/>
          <w:color w:val="auto"/>
          <w:sz w:val="21"/>
          <w:szCs w:val="21"/>
          <w:highlight w:val="none"/>
        </w:rPr>
        <w:t>不可抗力</w:t>
      </w:r>
      <w:r>
        <w:rPr>
          <w:rFonts w:cs="Times New Roman" w:asciiTheme="minorEastAsia" w:hAnsiTheme="minorEastAsia" w:eastAsiaTheme="minorEastAsia"/>
          <w:color w:val="auto"/>
          <w:sz w:val="21"/>
          <w:szCs w:val="21"/>
          <w:highlight w:val="none"/>
        </w:rPr>
        <w:t>影响的一方在不可抗力发生后</w:t>
      </w:r>
      <w:r>
        <w:rPr>
          <w:rFonts w:hint="eastAsia" w:cs="Times New Roman" w:asciiTheme="minorEastAsia" w:hAnsiTheme="minorEastAsia" w:eastAsiaTheme="minorEastAsia"/>
          <w:color w:val="auto"/>
          <w:sz w:val="21"/>
          <w:szCs w:val="21"/>
          <w:highlight w:val="none"/>
        </w:rPr>
        <w:t>，</w:t>
      </w:r>
      <w:r>
        <w:rPr>
          <w:rFonts w:cs="Times New Roman" w:asciiTheme="minorEastAsia" w:hAnsiTheme="minorEastAsia" w:eastAsiaTheme="minorEastAsia"/>
          <w:color w:val="auto"/>
          <w:sz w:val="21"/>
          <w:szCs w:val="21"/>
          <w:highlight w:val="none"/>
        </w:rPr>
        <w:t>应在</w:t>
      </w:r>
      <w:r>
        <w:rPr>
          <w:rFonts w:cs="Times New Roman" w:asciiTheme="minorEastAsia" w:hAnsiTheme="minorEastAsia" w:eastAsiaTheme="minorEastAsia"/>
          <w:b/>
          <w:i/>
          <w:color w:val="auto"/>
          <w:sz w:val="21"/>
          <w:szCs w:val="21"/>
          <w:highlight w:val="none"/>
          <w:u w:val="single"/>
        </w:rPr>
        <w:t>合同专用条款</w:t>
      </w:r>
      <w:r>
        <w:rPr>
          <w:rFonts w:cs="Times New Roman" w:asciiTheme="minorEastAsia" w:hAnsiTheme="minorEastAsia" w:eastAsiaTheme="minorEastAsia"/>
          <w:color w:val="auto"/>
          <w:sz w:val="21"/>
          <w:szCs w:val="21"/>
          <w:highlight w:val="none"/>
        </w:rPr>
        <w:t>约定时间内以书面形式通知</w:t>
      </w:r>
      <w:r>
        <w:rPr>
          <w:rFonts w:hint="eastAsia" w:cs="Times New Roman" w:asciiTheme="minorEastAsia" w:hAnsiTheme="minorEastAsia" w:eastAsiaTheme="minorEastAsia"/>
          <w:color w:val="auto"/>
          <w:sz w:val="21"/>
          <w:szCs w:val="21"/>
          <w:highlight w:val="none"/>
        </w:rPr>
        <w:t>对</w:t>
      </w:r>
      <w:r>
        <w:rPr>
          <w:rFonts w:cs="Times New Roman" w:asciiTheme="minorEastAsia" w:hAnsiTheme="minorEastAsia" w:eastAsiaTheme="minorEastAsia"/>
          <w:color w:val="auto"/>
          <w:sz w:val="21"/>
          <w:szCs w:val="21"/>
          <w:highlight w:val="none"/>
        </w:rPr>
        <w:t>方当事人，并在</w:t>
      </w:r>
      <w:r>
        <w:rPr>
          <w:rFonts w:cs="Times New Roman" w:asciiTheme="minorEastAsia" w:hAnsiTheme="minorEastAsia" w:eastAsiaTheme="minorEastAsia"/>
          <w:b/>
          <w:i/>
          <w:color w:val="auto"/>
          <w:sz w:val="21"/>
          <w:szCs w:val="21"/>
          <w:highlight w:val="none"/>
          <w:u w:val="single"/>
        </w:rPr>
        <w:t>合同专用条款</w:t>
      </w:r>
      <w:r>
        <w:rPr>
          <w:rFonts w:cs="Times New Roman" w:asciiTheme="minorEastAsia" w:hAnsiTheme="minorEastAsia" w:eastAsiaTheme="minorEastAsia"/>
          <w:color w:val="auto"/>
          <w:sz w:val="21"/>
          <w:szCs w:val="21"/>
          <w:highlight w:val="none"/>
        </w:rPr>
        <w:t>约定时间内，将有关部门出具的证明文件送达</w:t>
      </w:r>
      <w:r>
        <w:rPr>
          <w:rFonts w:hint="eastAsia" w:cs="Times New Roman" w:asciiTheme="minorEastAsia" w:hAnsiTheme="minorEastAsia" w:eastAsiaTheme="minorEastAsia"/>
          <w:color w:val="auto"/>
          <w:sz w:val="21"/>
          <w:szCs w:val="21"/>
          <w:highlight w:val="none"/>
        </w:rPr>
        <w:t>对方当事人</w:t>
      </w:r>
      <w:r>
        <w:rPr>
          <w:rFonts w:cs="Times New Roman" w:asciiTheme="minorEastAsia" w:hAnsiTheme="minorEastAsia" w:eastAsiaTheme="minorEastAsia"/>
          <w:color w:val="auto"/>
          <w:sz w:val="21"/>
          <w:szCs w:val="21"/>
          <w:highlight w:val="none"/>
        </w:rPr>
        <w:t>。</w:t>
      </w:r>
    </w:p>
    <w:p w14:paraId="13036291">
      <w:pPr>
        <w:keepNext w:val="0"/>
        <w:keepLines w:val="0"/>
        <w:pageBreakBefore w:val="0"/>
        <w:kinsoku/>
        <w:wordWrap/>
        <w:overflowPunct/>
        <w:topLinePunct w:val="0"/>
        <w:bidi w:val="0"/>
        <w:snapToGrid/>
        <w:spacing w:line="440" w:lineRule="exact"/>
        <w:ind w:firstLine="437"/>
        <w:textAlignment w:val="auto"/>
        <w:outlineLvl w:val="2"/>
        <w:rPr>
          <w:rFonts w:cs="Times New Roman" w:asciiTheme="minorEastAsia" w:hAnsiTheme="minorEastAsia" w:eastAsiaTheme="minorEastAsia"/>
          <w:b/>
          <w:bCs/>
          <w:color w:val="auto"/>
          <w:sz w:val="21"/>
          <w:szCs w:val="21"/>
          <w:highlight w:val="none"/>
          <w:lang w:val="zh-CN"/>
        </w:rPr>
      </w:pPr>
      <w:bookmarkStart w:id="210" w:name="_Toc487900365"/>
      <w:bookmarkStart w:id="211" w:name="_Toc30676"/>
      <w:bookmarkStart w:id="212" w:name="_Toc689"/>
      <w:bookmarkStart w:id="213" w:name="_Toc259093684"/>
      <w:bookmarkStart w:id="214" w:name="_Toc6969"/>
      <w:bookmarkStart w:id="215" w:name="_Toc279701255"/>
      <w:r>
        <w:rPr>
          <w:rFonts w:hint="eastAsia" w:cs="Times New Roman" w:asciiTheme="minorEastAsia" w:hAnsiTheme="minorEastAsia" w:eastAsiaTheme="minorEastAsia"/>
          <w:b/>
          <w:bCs/>
          <w:color w:val="auto"/>
          <w:sz w:val="21"/>
          <w:szCs w:val="21"/>
          <w:highlight w:val="none"/>
          <w:lang w:val="zh-CN"/>
        </w:rPr>
        <w:t>2.</w:t>
      </w:r>
      <w:r>
        <w:rPr>
          <w:rFonts w:cs="Times New Roman" w:asciiTheme="minorEastAsia" w:hAnsiTheme="minorEastAsia" w:eastAsiaTheme="minorEastAsia"/>
          <w:b/>
          <w:bCs/>
          <w:color w:val="auto"/>
          <w:sz w:val="21"/>
          <w:szCs w:val="21"/>
          <w:highlight w:val="none"/>
          <w:lang w:val="zh-CN"/>
        </w:rPr>
        <w:t>12</w:t>
      </w:r>
      <w:r>
        <w:rPr>
          <w:rFonts w:hint="eastAsia" w:cs="Times New Roman" w:asciiTheme="minorEastAsia" w:hAnsiTheme="minorEastAsia" w:eastAsiaTheme="minorEastAsia"/>
          <w:b/>
          <w:bCs/>
          <w:color w:val="auto"/>
          <w:sz w:val="21"/>
          <w:szCs w:val="21"/>
          <w:highlight w:val="none"/>
          <w:lang w:val="zh-CN"/>
        </w:rPr>
        <w:t xml:space="preserve"> </w:t>
      </w:r>
      <w:r>
        <w:rPr>
          <w:rFonts w:cs="Times New Roman" w:asciiTheme="minorEastAsia" w:hAnsiTheme="minorEastAsia" w:eastAsiaTheme="minorEastAsia"/>
          <w:b/>
          <w:bCs/>
          <w:color w:val="auto"/>
          <w:sz w:val="21"/>
          <w:szCs w:val="21"/>
          <w:highlight w:val="none"/>
          <w:lang w:val="zh-CN"/>
        </w:rPr>
        <w:t>税费</w:t>
      </w:r>
      <w:bookmarkEnd w:id="210"/>
      <w:bookmarkEnd w:id="211"/>
      <w:bookmarkEnd w:id="212"/>
      <w:bookmarkEnd w:id="213"/>
      <w:bookmarkEnd w:id="214"/>
      <w:bookmarkEnd w:id="215"/>
    </w:p>
    <w:p w14:paraId="16C8AC42">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cs="Times New Roman" w:asciiTheme="minorEastAsia" w:hAnsiTheme="minorEastAsia" w:eastAsiaTheme="minorEastAsia"/>
          <w:color w:val="auto"/>
          <w:sz w:val="21"/>
          <w:szCs w:val="21"/>
          <w:highlight w:val="none"/>
        </w:rPr>
        <w:t>与合同有关的一切税费</w:t>
      </w:r>
      <w:r>
        <w:rPr>
          <w:rFonts w:hint="eastAsia" w:cs="Times New Roman" w:asciiTheme="minorEastAsia" w:hAnsiTheme="minorEastAsia" w:eastAsiaTheme="minorEastAsia"/>
          <w:color w:val="auto"/>
          <w:sz w:val="21"/>
          <w:szCs w:val="21"/>
          <w:highlight w:val="none"/>
        </w:rPr>
        <w:t>，</w:t>
      </w:r>
      <w:r>
        <w:rPr>
          <w:rFonts w:cs="Times New Roman" w:asciiTheme="minorEastAsia" w:hAnsiTheme="minorEastAsia" w:eastAsiaTheme="minorEastAsia"/>
          <w:color w:val="auto"/>
          <w:sz w:val="21"/>
          <w:szCs w:val="21"/>
          <w:highlight w:val="none"/>
        </w:rPr>
        <w:t>均按照中华人民共和国法律的相关规定</w:t>
      </w:r>
      <w:r>
        <w:rPr>
          <w:rFonts w:hint="eastAsia" w:cs="Times New Roman" w:asciiTheme="minorEastAsia" w:hAnsiTheme="minorEastAsia" w:eastAsiaTheme="minorEastAsia"/>
          <w:color w:val="auto"/>
          <w:sz w:val="21"/>
          <w:szCs w:val="21"/>
          <w:highlight w:val="none"/>
        </w:rPr>
        <w:t>缴纳</w:t>
      </w:r>
      <w:r>
        <w:rPr>
          <w:rFonts w:cs="Times New Roman" w:asciiTheme="minorEastAsia" w:hAnsiTheme="minorEastAsia" w:eastAsiaTheme="minorEastAsia"/>
          <w:color w:val="auto"/>
          <w:sz w:val="21"/>
          <w:szCs w:val="21"/>
          <w:highlight w:val="none"/>
        </w:rPr>
        <w:t>。</w:t>
      </w:r>
    </w:p>
    <w:p w14:paraId="03BC0877">
      <w:pPr>
        <w:keepNext w:val="0"/>
        <w:keepLines w:val="0"/>
        <w:pageBreakBefore w:val="0"/>
        <w:kinsoku/>
        <w:wordWrap/>
        <w:overflowPunct/>
        <w:topLinePunct w:val="0"/>
        <w:bidi w:val="0"/>
        <w:snapToGrid/>
        <w:spacing w:line="440" w:lineRule="exact"/>
        <w:ind w:firstLine="437"/>
        <w:textAlignment w:val="auto"/>
        <w:outlineLvl w:val="2"/>
        <w:rPr>
          <w:rFonts w:cs="Times New Roman" w:asciiTheme="minorEastAsia" w:hAnsiTheme="minorEastAsia" w:eastAsiaTheme="minorEastAsia"/>
          <w:b/>
          <w:bCs/>
          <w:color w:val="auto"/>
          <w:sz w:val="21"/>
          <w:szCs w:val="21"/>
          <w:highlight w:val="none"/>
          <w:lang w:val="zh-CN"/>
        </w:rPr>
      </w:pPr>
      <w:bookmarkStart w:id="216" w:name="_Toc16959"/>
      <w:bookmarkStart w:id="217" w:name="_Toc279701258"/>
      <w:bookmarkStart w:id="218" w:name="_Toc487900368"/>
      <w:bookmarkStart w:id="219" w:name="_Toc7102"/>
      <w:bookmarkStart w:id="220" w:name="_Toc259093687"/>
      <w:bookmarkStart w:id="221" w:name="_Toc8298"/>
      <w:r>
        <w:rPr>
          <w:rFonts w:hint="eastAsia" w:cs="Times New Roman" w:asciiTheme="minorEastAsia" w:hAnsiTheme="minorEastAsia" w:eastAsiaTheme="minorEastAsia"/>
          <w:b/>
          <w:bCs/>
          <w:color w:val="auto"/>
          <w:sz w:val="21"/>
          <w:szCs w:val="21"/>
          <w:highlight w:val="none"/>
          <w:lang w:val="zh-CN"/>
        </w:rPr>
        <w:t>2.</w:t>
      </w:r>
      <w:r>
        <w:rPr>
          <w:rFonts w:cs="Times New Roman" w:asciiTheme="minorEastAsia" w:hAnsiTheme="minorEastAsia" w:eastAsiaTheme="minorEastAsia"/>
          <w:b/>
          <w:bCs/>
          <w:color w:val="auto"/>
          <w:sz w:val="21"/>
          <w:szCs w:val="21"/>
          <w:highlight w:val="none"/>
          <w:lang w:val="zh-CN"/>
        </w:rPr>
        <w:t>13</w:t>
      </w:r>
      <w:r>
        <w:rPr>
          <w:rFonts w:hint="eastAsia" w:cs="Times New Roman" w:asciiTheme="minorEastAsia" w:hAnsiTheme="minorEastAsia" w:eastAsiaTheme="minorEastAsia"/>
          <w:b/>
          <w:bCs/>
          <w:color w:val="auto"/>
          <w:sz w:val="21"/>
          <w:szCs w:val="21"/>
          <w:highlight w:val="none"/>
          <w:lang w:val="zh-CN"/>
        </w:rPr>
        <w:t xml:space="preserve"> </w:t>
      </w:r>
      <w:r>
        <w:rPr>
          <w:rFonts w:cs="Times New Roman" w:asciiTheme="minorEastAsia" w:hAnsiTheme="minorEastAsia" w:eastAsiaTheme="minorEastAsia"/>
          <w:b/>
          <w:bCs/>
          <w:color w:val="auto"/>
          <w:sz w:val="21"/>
          <w:szCs w:val="21"/>
          <w:highlight w:val="none"/>
          <w:lang w:val="zh-CN"/>
        </w:rPr>
        <w:t>乙方破产</w:t>
      </w:r>
      <w:bookmarkEnd w:id="216"/>
      <w:bookmarkEnd w:id="217"/>
      <w:bookmarkEnd w:id="218"/>
      <w:bookmarkEnd w:id="219"/>
      <w:bookmarkEnd w:id="220"/>
      <w:bookmarkEnd w:id="221"/>
    </w:p>
    <w:p w14:paraId="006CBED2">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cs="Times New Roman" w:asciiTheme="minorEastAsia" w:hAnsiTheme="minorEastAsia" w:eastAsiaTheme="minorEastAsia"/>
          <w:color w:val="auto"/>
          <w:sz w:val="21"/>
          <w:szCs w:val="21"/>
          <w:highlight w:val="none"/>
        </w:rPr>
        <w:t>如果乙方破产导致合同无法履行时，甲方可以书面形式通知乙方终止合同且不给予乙方任何补偿和赔偿</w:t>
      </w:r>
      <w:r>
        <w:rPr>
          <w:rFonts w:hint="eastAsia" w:cs="Times New Roman" w:asciiTheme="minorEastAsia" w:hAnsiTheme="minorEastAsia" w:eastAsiaTheme="minorEastAsia"/>
          <w:color w:val="auto"/>
          <w:sz w:val="21"/>
          <w:szCs w:val="21"/>
          <w:highlight w:val="none"/>
        </w:rPr>
        <w:t>，但合同的</w:t>
      </w:r>
      <w:r>
        <w:rPr>
          <w:rFonts w:cs="Times New Roman" w:asciiTheme="minorEastAsia" w:hAnsiTheme="minorEastAsia" w:eastAsiaTheme="minorEastAsia"/>
          <w:color w:val="auto"/>
          <w:sz w:val="21"/>
          <w:szCs w:val="21"/>
          <w:highlight w:val="none"/>
        </w:rPr>
        <w:t>终止不损害或不影响甲方已经采取或将要采取的任何要求乙方支付违约金</w:t>
      </w:r>
      <w:r>
        <w:rPr>
          <w:rFonts w:hint="eastAsia" w:cs="Times New Roman" w:asciiTheme="minorEastAsia" w:hAnsiTheme="minorEastAsia" w:eastAsiaTheme="minorEastAsia"/>
          <w:color w:val="auto"/>
          <w:sz w:val="21"/>
          <w:szCs w:val="21"/>
          <w:highlight w:val="none"/>
        </w:rPr>
        <w:t>、</w:t>
      </w:r>
      <w:r>
        <w:rPr>
          <w:rFonts w:cs="Times New Roman" w:asciiTheme="minorEastAsia" w:hAnsiTheme="minorEastAsia" w:eastAsiaTheme="minorEastAsia"/>
          <w:color w:val="auto"/>
          <w:sz w:val="21"/>
          <w:szCs w:val="21"/>
          <w:highlight w:val="none"/>
        </w:rPr>
        <w:t>赔偿损失等的行动或补救措施的权利</w:t>
      </w:r>
      <w:r>
        <w:rPr>
          <w:rFonts w:hint="eastAsia" w:cs="Times New Roman" w:asciiTheme="minorEastAsia" w:hAnsiTheme="minorEastAsia" w:eastAsiaTheme="minorEastAsia"/>
          <w:color w:val="auto"/>
          <w:sz w:val="21"/>
          <w:szCs w:val="21"/>
          <w:highlight w:val="none"/>
        </w:rPr>
        <w:t>。</w:t>
      </w:r>
    </w:p>
    <w:p w14:paraId="614E3A73">
      <w:pPr>
        <w:keepNext w:val="0"/>
        <w:keepLines w:val="0"/>
        <w:pageBreakBefore w:val="0"/>
        <w:kinsoku/>
        <w:wordWrap/>
        <w:overflowPunct/>
        <w:topLinePunct w:val="0"/>
        <w:bidi w:val="0"/>
        <w:snapToGrid/>
        <w:spacing w:line="440" w:lineRule="exact"/>
        <w:ind w:firstLine="437"/>
        <w:textAlignment w:val="auto"/>
        <w:outlineLvl w:val="2"/>
        <w:rPr>
          <w:rFonts w:cs="Times New Roman" w:asciiTheme="minorEastAsia" w:hAnsiTheme="minorEastAsia" w:eastAsiaTheme="minorEastAsia"/>
          <w:b/>
          <w:color w:val="auto"/>
          <w:sz w:val="21"/>
          <w:szCs w:val="21"/>
          <w:highlight w:val="none"/>
        </w:rPr>
      </w:pPr>
      <w:bookmarkStart w:id="222" w:name="_Toc6134"/>
      <w:bookmarkStart w:id="223" w:name="_Toc15387"/>
      <w:bookmarkStart w:id="224" w:name="_Toc29333"/>
      <w:r>
        <w:rPr>
          <w:rFonts w:hint="eastAsia" w:cs="Times New Roman" w:asciiTheme="minorEastAsia" w:hAnsiTheme="minorEastAsia" w:eastAsiaTheme="minorEastAsia"/>
          <w:b/>
          <w:bCs/>
          <w:color w:val="auto"/>
          <w:sz w:val="21"/>
          <w:szCs w:val="21"/>
          <w:highlight w:val="none"/>
          <w:lang w:val="zh-CN"/>
        </w:rPr>
        <w:t>2.1</w:t>
      </w:r>
      <w:r>
        <w:rPr>
          <w:rFonts w:cs="Times New Roman" w:asciiTheme="minorEastAsia" w:hAnsiTheme="minorEastAsia" w:eastAsiaTheme="minorEastAsia"/>
          <w:b/>
          <w:bCs/>
          <w:color w:val="auto"/>
          <w:sz w:val="21"/>
          <w:szCs w:val="21"/>
          <w:highlight w:val="none"/>
          <w:lang w:val="zh-CN"/>
        </w:rPr>
        <w:t>4</w:t>
      </w:r>
      <w:r>
        <w:rPr>
          <w:rFonts w:hint="eastAsia" w:cs="Times New Roman" w:asciiTheme="minorEastAsia" w:hAnsiTheme="minorEastAsia" w:eastAsiaTheme="minorEastAsia"/>
          <w:b/>
          <w:bCs/>
          <w:color w:val="auto"/>
          <w:sz w:val="21"/>
          <w:szCs w:val="21"/>
          <w:highlight w:val="none"/>
          <w:lang w:val="zh-CN"/>
        </w:rPr>
        <w:t xml:space="preserve"> 合同中止、终止</w:t>
      </w:r>
      <w:bookmarkEnd w:id="222"/>
      <w:bookmarkEnd w:id="223"/>
      <w:bookmarkEnd w:id="224"/>
    </w:p>
    <w:p w14:paraId="61EB8DEC">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2.1</w:t>
      </w:r>
      <w:r>
        <w:rPr>
          <w:rFonts w:cs="Times New Roman" w:asciiTheme="minorEastAsia" w:hAnsiTheme="minorEastAsia" w:eastAsiaTheme="minorEastAsia"/>
          <w:color w:val="auto"/>
          <w:sz w:val="21"/>
          <w:szCs w:val="21"/>
          <w:highlight w:val="none"/>
        </w:rPr>
        <w:t>4</w:t>
      </w:r>
      <w:r>
        <w:rPr>
          <w:rFonts w:hint="eastAsia" w:cs="Times New Roman" w:asciiTheme="minorEastAsia" w:hAnsiTheme="minorEastAsia" w:eastAsiaTheme="minorEastAsia"/>
          <w:color w:val="auto"/>
          <w:sz w:val="21"/>
          <w:szCs w:val="21"/>
          <w:highlight w:val="none"/>
        </w:rPr>
        <w:t>.1双方当事人不得擅自中止或者终止合同；</w:t>
      </w:r>
    </w:p>
    <w:p w14:paraId="3C1681B7">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2.1</w:t>
      </w:r>
      <w:r>
        <w:rPr>
          <w:rFonts w:cs="Times New Roman" w:asciiTheme="minorEastAsia" w:hAnsiTheme="minorEastAsia" w:eastAsiaTheme="minorEastAsia"/>
          <w:color w:val="auto"/>
          <w:sz w:val="21"/>
          <w:szCs w:val="21"/>
          <w:highlight w:val="none"/>
        </w:rPr>
        <w:t>4</w:t>
      </w:r>
      <w:r>
        <w:rPr>
          <w:rFonts w:hint="eastAsia" w:cs="Times New Roman" w:asciiTheme="minorEastAsia" w:hAnsiTheme="minorEastAsia" w:eastAsiaTheme="minorEastAsia"/>
          <w:color w:val="auto"/>
          <w:sz w:val="21"/>
          <w:szCs w:val="21"/>
          <w:highlight w:val="none"/>
        </w:rPr>
        <w:t>.2合同继续履行将损害国家利益和社会公共利益的，双方当事人应当中止或者终止合同。有过错的一方应当承担赔偿责任，双方当事人都有过错的，各自承担相应的责任。</w:t>
      </w:r>
    </w:p>
    <w:p w14:paraId="404A359D">
      <w:pPr>
        <w:keepNext w:val="0"/>
        <w:keepLines w:val="0"/>
        <w:pageBreakBefore w:val="0"/>
        <w:kinsoku/>
        <w:wordWrap/>
        <w:overflowPunct/>
        <w:topLinePunct w:val="0"/>
        <w:bidi w:val="0"/>
        <w:snapToGrid/>
        <w:spacing w:line="440" w:lineRule="exact"/>
        <w:ind w:firstLine="437"/>
        <w:textAlignment w:val="auto"/>
        <w:outlineLvl w:val="2"/>
        <w:rPr>
          <w:rFonts w:cs="Times New Roman" w:asciiTheme="minorEastAsia" w:hAnsiTheme="minorEastAsia" w:eastAsiaTheme="minorEastAsia"/>
          <w:b/>
          <w:bCs/>
          <w:color w:val="auto"/>
          <w:sz w:val="21"/>
          <w:szCs w:val="21"/>
          <w:highlight w:val="none"/>
          <w:lang w:val="zh-CN"/>
        </w:rPr>
      </w:pPr>
      <w:bookmarkStart w:id="225" w:name="_Toc6596"/>
      <w:bookmarkStart w:id="226" w:name="_Toc14563"/>
      <w:bookmarkStart w:id="227" w:name="_Toc1125"/>
      <w:r>
        <w:rPr>
          <w:rFonts w:hint="eastAsia" w:cs="Times New Roman" w:asciiTheme="minorEastAsia" w:hAnsiTheme="minorEastAsia" w:eastAsiaTheme="minorEastAsia"/>
          <w:b/>
          <w:bCs/>
          <w:color w:val="auto"/>
          <w:sz w:val="21"/>
          <w:szCs w:val="21"/>
          <w:highlight w:val="none"/>
          <w:lang w:val="zh-CN"/>
        </w:rPr>
        <w:t>2.1</w:t>
      </w:r>
      <w:r>
        <w:rPr>
          <w:rFonts w:cs="Times New Roman" w:asciiTheme="minorEastAsia" w:hAnsiTheme="minorEastAsia" w:eastAsiaTheme="minorEastAsia"/>
          <w:b/>
          <w:bCs/>
          <w:color w:val="auto"/>
          <w:sz w:val="21"/>
          <w:szCs w:val="21"/>
          <w:highlight w:val="none"/>
          <w:lang w:val="zh-CN"/>
        </w:rPr>
        <w:t>5</w:t>
      </w:r>
      <w:r>
        <w:rPr>
          <w:rFonts w:hint="eastAsia" w:cs="Times New Roman" w:asciiTheme="minorEastAsia" w:hAnsiTheme="minorEastAsia" w:eastAsiaTheme="minorEastAsia"/>
          <w:b/>
          <w:bCs/>
          <w:color w:val="auto"/>
          <w:sz w:val="21"/>
          <w:szCs w:val="21"/>
          <w:highlight w:val="none"/>
          <w:lang w:val="zh-CN"/>
        </w:rPr>
        <w:t xml:space="preserve"> 检验和验收</w:t>
      </w:r>
      <w:bookmarkEnd w:id="225"/>
      <w:bookmarkEnd w:id="226"/>
      <w:bookmarkEnd w:id="227"/>
    </w:p>
    <w:p w14:paraId="5329C51E">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2.</w:t>
      </w:r>
      <w:r>
        <w:rPr>
          <w:rFonts w:cs="Times New Roman" w:asciiTheme="minorEastAsia" w:hAnsiTheme="minorEastAsia" w:eastAsiaTheme="minorEastAsia"/>
          <w:color w:val="auto"/>
          <w:sz w:val="21"/>
          <w:szCs w:val="21"/>
          <w:highlight w:val="none"/>
        </w:rPr>
        <w:t>1</w:t>
      </w:r>
      <w:r>
        <w:rPr>
          <w:rFonts w:hint="eastAsia" w:cs="Times New Roman" w:asciiTheme="minorEastAsia" w:hAnsiTheme="minorEastAsia" w:eastAsiaTheme="minorEastAsia"/>
          <w:color w:val="auto"/>
          <w:sz w:val="21"/>
          <w:szCs w:val="21"/>
          <w:highlight w:val="none"/>
        </w:rPr>
        <w:t>5</w:t>
      </w:r>
      <w:r>
        <w:rPr>
          <w:rFonts w:cs="Times New Roman" w:asciiTheme="minorEastAsia" w:hAnsiTheme="minorEastAsia" w:eastAsiaTheme="minorEastAsia"/>
          <w:color w:val="auto"/>
          <w:sz w:val="21"/>
          <w:szCs w:val="21"/>
          <w:highlight w:val="none"/>
        </w:rPr>
        <w:t>.</w:t>
      </w:r>
      <w:r>
        <w:rPr>
          <w:rFonts w:hint="eastAsia" w:cs="Times New Roman" w:asciiTheme="minorEastAsia" w:hAnsiTheme="minorEastAsia" w:eastAsiaTheme="minorEastAsia"/>
          <w:color w:val="auto"/>
          <w:sz w:val="21"/>
          <w:szCs w:val="21"/>
          <w:highlight w:val="none"/>
        </w:rPr>
        <w:t>1乙方按照</w:t>
      </w:r>
      <w:r>
        <w:rPr>
          <w:rFonts w:cs="Times New Roman" w:asciiTheme="minorEastAsia" w:hAnsiTheme="minorEastAsia" w:eastAsiaTheme="minorEastAsia"/>
          <w:b/>
          <w:i/>
          <w:color w:val="auto"/>
          <w:sz w:val="21"/>
          <w:szCs w:val="21"/>
          <w:highlight w:val="none"/>
          <w:u w:val="single"/>
        </w:rPr>
        <w:t>合同专用条款</w:t>
      </w:r>
      <w:r>
        <w:rPr>
          <w:rFonts w:cs="Times New Roman" w:asciiTheme="minorEastAsia" w:hAnsiTheme="minorEastAsia" w:eastAsiaTheme="minorEastAsia"/>
          <w:color w:val="auto"/>
          <w:sz w:val="21"/>
          <w:szCs w:val="21"/>
          <w:highlight w:val="none"/>
        </w:rPr>
        <w:t>的约定</w:t>
      </w:r>
      <w:r>
        <w:rPr>
          <w:rFonts w:hint="eastAsia" w:cs="Times New Roman" w:asciiTheme="minorEastAsia" w:hAnsiTheme="minorEastAsia" w:eastAsiaTheme="minorEastAsia"/>
          <w:color w:val="auto"/>
          <w:sz w:val="21"/>
          <w:szCs w:val="21"/>
          <w:highlight w:val="none"/>
        </w:rPr>
        <w:t>，</w:t>
      </w:r>
      <w:r>
        <w:rPr>
          <w:rFonts w:cs="Times New Roman" w:asciiTheme="minorEastAsia" w:hAnsiTheme="minorEastAsia" w:eastAsiaTheme="minorEastAsia"/>
          <w:color w:val="auto"/>
          <w:sz w:val="21"/>
          <w:szCs w:val="21"/>
          <w:highlight w:val="none"/>
        </w:rPr>
        <w:t>定期提交服务报告</w:t>
      </w:r>
      <w:r>
        <w:rPr>
          <w:rFonts w:hint="eastAsia" w:cs="Times New Roman" w:asciiTheme="minorEastAsia" w:hAnsiTheme="minorEastAsia" w:eastAsiaTheme="minorEastAsia"/>
          <w:color w:val="auto"/>
          <w:sz w:val="21"/>
          <w:szCs w:val="21"/>
          <w:highlight w:val="none"/>
        </w:rPr>
        <w:t>，甲方按照</w:t>
      </w:r>
      <w:r>
        <w:rPr>
          <w:rFonts w:cs="Times New Roman" w:asciiTheme="minorEastAsia" w:hAnsiTheme="minorEastAsia" w:eastAsiaTheme="minorEastAsia"/>
          <w:b/>
          <w:i/>
          <w:color w:val="auto"/>
          <w:sz w:val="21"/>
          <w:szCs w:val="21"/>
          <w:highlight w:val="none"/>
          <w:u w:val="single"/>
        </w:rPr>
        <w:t>合同专用条款</w:t>
      </w:r>
      <w:r>
        <w:rPr>
          <w:rFonts w:cs="Times New Roman" w:asciiTheme="minorEastAsia" w:hAnsiTheme="minorEastAsia" w:eastAsiaTheme="minorEastAsia"/>
          <w:color w:val="auto"/>
          <w:sz w:val="21"/>
          <w:szCs w:val="21"/>
          <w:highlight w:val="none"/>
        </w:rPr>
        <w:t>的约定进行定期验收</w:t>
      </w:r>
      <w:r>
        <w:rPr>
          <w:rFonts w:hint="eastAsia" w:cs="Times New Roman" w:asciiTheme="minorEastAsia" w:hAnsiTheme="minorEastAsia" w:eastAsiaTheme="minorEastAsia"/>
          <w:color w:val="auto"/>
          <w:sz w:val="21"/>
          <w:szCs w:val="21"/>
          <w:highlight w:val="none"/>
        </w:rPr>
        <w:t>；</w:t>
      </w:r>
    </w:p>
    <w:p w14:paraId="67F217B1">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08F53442">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2.15.3检验和验收标准、程序等具体内容以及前述验收书的效力详见</w:t>
      </w:r>
      <w:r>
        <w:rPr>
          <w:rFonts w:cs="Times New Roman" w:asciiTheme="minorEastAsia" w:hAnsiTheme="minorEastAsia" w:eastAsiaTheme="minorEastAsia"/>
          <w:b/>
          <w:i/>
          <w:color w:val="auto"/>
          <w:sz w:val="21"/>
          <w:szCs w:val="21"/>
          <w:highlight w:val="none"/>
          <w:u w:val="single"/>
        </w:rPr>
        <w:t>合同专用条款</w:t>
      </w:r>
      <w:r>
        <w:rPr>
          <w:rFonts w:hint="eastAsia" w:cs="Times New Roman" w:asciiTheme="minorEastAsia" w:hAnsiTheme="minorEastAsia" w:eastAsiaTheme="minorEastAsia"/>
          <w:i/>
          <w:color w:val="auto"/>
          <w:sz w:val="21"/>
          <w:szCs w:val="21"/>
          <w:highlight w:val="none"/>
        </w:rPr>
        <w:t>。</w:t>
      </w:r>
    </w:p>
    <w:bookmarkEnd w:id="197"/>
    <w:bookmarkEnd w:id="198"/>
    <w:bookmarkEnd w:id="199"/>
    <w:bookmarkEnd w:id="200"/>
    <w:p w14:paraId="17EFC1DA">
      <w:pPr>
        <w:keepNext w:val="0"/>
        <w:keepLines w:val="0"/>
        <w:pageBreakBefore w:val="0"/>
        <w:kinsoku/>
        <w:wordWrap/>
        <w:overflowPunct/>
        <w:topLinePunct w:val="0"/>
        <w:bidi w:val="0"/>
        <w:snapToGrid/>
        <w:spacing w:line="440" w:lineRule="exact"/>
        <w:ind w:firstLine="437"/>
        <w:textAlignment w:val="auto"/>
        <w:outlineLvl w:val="2"/>
        <w:rPr>
          <w:rFonts w:cs="Times New Roman" w:asciiTheme="minorEastAsia" w:hAnsiTheme="minorEastAsia" w:eastAsiaTheme="minorEastAsia"/>
          <w:b/>
          <w:bCs/>
          <w:color w:val="auto"/>
          <w:sz w:val="21"/>
          <w:szCs w:val="21"/>
          <w:highlight w:val="none"/>
        </w:rPr>
      </w:pPr>
      <w:bookmarkStart w:id="228" w:name="_Toc12773"/>
      <w:bookmarkStart w:id="229" w:name="_Toc10330"/>
      <w:bookmarkStart w:id="230" w:name="_Toc18567"/>
      <w:bookmarkStart w:id="231" w:name="_Toc279701263"/>
      <w:bookmarkStart w:id="232" w:name="_Toc259093692"/>
      <w:bookmarkStart w:id="233" w:name="_Toc487900373"/>
      <w:r>
        <w:rPr>
          <w:rFonts w:hint="eastAsia" w:cs="Times New Roman" w:asciiTheme="minorEastAsia" w:hAnsiTheme="minorEastAsia" w:eastAsiaTheme="minorEastAsia"/>
          <w:b/>
          <w:bCs/>
          <w:color w:val="auto"/>
          <w:sz w:val="21"/>
          <w:szCs w:val="21"/>
          <w:highlight w:val="none"/>
        </w:rPr>
        <w:t>2.</w:t>
      </w:r>
      <w:r>
        <w:rPr>
          <w:rFonts w:cs="Times New Roman" w:asciiTheme="minorEastAsia" w:hAnsiTheme="minorEastAsia" w:eastAsiaTheme="minorEastAsia"/>
          <w:b/>
          <w:bCs/>
          <w:color w:val="auto"/>
          <w:sz w:val="21"/>
          <w:szCs w:val="21"/>
          <w:highlight w:val="none"/>
        </w:rPr>
        <w:t>16</w:t>
      </w:r>
      <w:r>
        <w:rPr>
          <w:rFonts w:hint="eastAsia" w:cs="Times New Roman" w:asciiTheme="minorEastAsia" w:hAnsiTheme="minorEastAsia" w:eastAsiaTheme="minorEastAsia"/>
          <w:b/>
          <w:bCs/>
          <w:color w:val="auto"/>
          <w:sz w:val="21"/>
          <w:szCs w:val="21"/>
          <w:highlight w:val="none"/>
        </w:rPr>
        <w:t xml:space="preserve"> </w:t>
      </w:r>
      <w:r>
        <w:rPr>
          <w:rFonts w:hint="eastAsia" w:cs="Times New Roman" w:asciiTheme="minorEastAsia" w:hAnsiTheme="minorEastAsia" w:eastAsiaTheme="minorEastAsia"/>
          <w:b/>
          <w:bCs/>
          <w:color w:val="auto"/>
          <w:sz w:val="21"/>
          <w:szCs w:val="21"/>
          <w:highlight w:val="none"/>
          <w:lang w:val="zh-CN"/>
        </w:rPr>
        <w:t>合同使用的文字和</w:t>
      </w:r>
      <w:r>
        <w:rPr>
          <w:rFonts w:cs="Times New Roman" w:asciiTheme="minorEastAsia" w:hAnsiTheme="minorEastAsia" w:eastAsiaTheme="minorEastAsia"/>
          <w:b/>
          <w:bCs/>
          <w:color w:val="auto"/>
          <w:sz w:val="21"/>
          <w:szCs w:val="21"/>
          <w:highlight w:val="none"/>
          <w:lang w:val="zh-CN"/>
        </w:rPr>
        <w:t>适用的法律</w:t>
      </w:r>
      <w:bookmarkEnd w:id="228"/>
      <w:bookmarkEnd w:id="229"/>
      <w:bookmarkEnd w:id="230"/>
      <w:bookmarkEnd w:id="231"/>
      <w:bookmarkEnd w:id="232"/>
      <w:bookmarkEnd w:id="233"/>
    </w:p>
    <w:p w14:paraId="6D9F7F7C">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2.</w:t>
      </w:r>
      <w:r>
        <w:rPr>
          <w:rFonts w:cs="Times New Roman" w:asciiTheme="minorEastAsia" w:hAnsiTheme="minorEastAsia" w:eastAsiaTheme="minorEastAsia"/>
          <w:color w:val="auto"/>
          <w:sz w:val="21"/>
          <w:szCs w:val="21"/>
          <w:highlight w:val="none"/>
        </w:rPr>
        <w:t>16.1合同使用汉语书就</w:t>
      </w:r>
      <w:r>
        <w:rPr>
          <w:rFonts w:hint="eastAsia" w:cs="Times New Roman" w:asciiTheme="minorEastAsia" w:hAnsiTheme="minorEastAsia" w:eastAsiaTheme="minorEastAsia"/>
          <w:color w:val="auto"/>
          <w:sz w:val="21"/>
          <w:szCs w:val="21"/>
          <w:highlight w:val="none"/>
        </w:rPr>
        <w:t>、</w:t>
      </w:r>
      <w:r>
        <w:rPr>
          <w:rFonts w:cs="Times New Roman" w:asciiTheme="minorEastAsia" w:hAnsiTheme="minorEastAsia" w:eastAsiaTheme="minorEastAsia"/>
          <w:color w:val="auto"/>
          <w:sz w:val="21"/>
          <w:szCs w:val="21"/>
          <w:highlight w:val="none"/>
        </w:rPr>
        <w:t>变更和解释</w:t>
      </w:r>
      <w:r>
        <w:rPr>
          <w:rFonts w:hint="eastAsia" w:cs="Times New Roman" w:asciiTheme="minorEastAsia" w:hAnsiTheme="minorEastAsia" w:eastAsiaTheme="minorEastAsia"/>
          <w:color w:val="auto"/>
          <w:sz w:val="21"/>
          <w:szCs w:val="21"/>
          <w:highlight w:val="none"/>
        </w:rPr>
        <w:t>；</w:t>
      </w:r>
    </w:p>
    <w:p w14:paraId="10259207">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2.</w:t>
      </w:r>
      <w:r>
        <w:rPr>
          <w:rFonts w:cs="Times New Roman" w:asciiTheme="minorEastAsia" w:hAnsiTheme="minorEastAsia" w:eastAsiaTheme="minorEastAsia"/>
          <w:color w:val="auto"/>
          <w:sz w:val="21"/>
          <w:szCs w:val="21"/>
          <w:highlight w:val="none"/>
        </w:rPr>
        <w:t>16</w:t>
      </w:r>
      <w:r>
        <w:rPr>
          <w:rFonts w:hint="eastAsia" w:cs="Times New Roman" w:asciiTheme="minorEastAsia" w:hAnsiTheme="minorEastAsia" w:eastAsiaTheme="minorEastAsia"/>
          <w:color w:val="auto"/>
          <w:sz w:val="21"/>
          <w:szCs w:val="21"/>
          <w:highlight w:val="none"/>
        </w:rPr>
        <w:t>.2合同适用</w:t>
      </w:r>
      <w:r>
        <w:rPr>
          <w:rFonts w:cs="Times New Roman" w:asciiTheme="minorEastAsia" w:hAnsiTheme="minorEastAsia" w:eastAsiaTheme="minorEastAsia"/>
          <w:color w:val="auto"/>
          <w:sz w:val="21"/>
          <w:szCs w:val="21"/>
          <w:highlight w:val="none"/>
        </w:rPr>
        <w:t>中华人民共和国法律。</w:t>
      </w:r>
    </w:p>
    <w:p w14:paraId="72D20E25">
      <w:pPr>
        <w:keepNext w:val="0"/>
        <w:keepLines w:val="0"/>
        <w:pageBreakBefore w:val="0"/>
        <w:kinsoku/>
        <w:wordWrap/>
        <w:overflowPunct/>
        <w:topLinePunct w:val="0"/>
        <w:bidi w:val="0"/>
        <w:snapToGrid/>
        <w:spacing w:line="440" w:lineRule="exact"/>
        <w:ind w:firstLine="437"/>
        <w:textAlignment w:val="auto"/>
        <w:outlineLvl w:val="2"/>
        <w:rPr>
          <w:rFonts w:cs="Times New Roman" w:asciiTheme="minorEastAsia" w:hAnsiTheme="minorEastAsia" w:eastAsiaTheme="minorEastAsia"/>
          <w:b/>
          <w:color w:val="auto"/>
          <w:sz w:val="21"/>
          <w:szCs w:val="21"/>
          <w:highlight w:val="none"/>
        </w:rPr>
      </w:pPr>
      <w:bookmarkStart w:id="234" w:name="_Toc259093693"/>
      <w:bookmarkStart w:id="235" w:name="_Toc12004"/>
      <w:bookmarkStart w:id="236" w:name="_Toc3148"/>
      <w:bookmarkStart w:id="237" w:name="_Toc16673"/>
      <w:bookmarkStart w:id="238" w:name="_Toc279701264"/>
      <w:bookmarkStart w:id="239" w:name="_Toc487900374"/>
      <w:r>
        <w:rPr>
          <w:rFonts w:hint="eastAsia" w:cs="Times New Roman" w:asciiTheme="minorEastAsia" w:hAnsiTheme="minorEastAsia" w:eastAsiaTheme="minorEastAsia"/>
          <w:b/>
          <w:bCs/>
          <w:color w:val="auto"/>
          <w:sz w:val="21"/>
          <w:szCs w:val="21"/>
          <w:highlight w:val="none"/>
          <w:lang w:val="zh-CN"/>
        </w:rPr>
        <w:t>2.</w:t>
      </w:r>
      <w:r>
        <w:rPr>
          <w:rFonts w:cs="Times New Roman" w:asciiTheme="minorEastAsia" w:hAnsiTheme="minorEastAsia" w:eastAsiaTheme="minorEastAsia"/>
          <w:b/>
          <w:bCs/>
          <w:color w:val="auto"/>
          <w:sz w:val="21"/>
          <w:szCs w:val="21"/>
          <w:highlight w:val="none"/>
          <w:lang w:val="zh-CN"/>
        </w:rPr>
        <w:t>17</w:t>
      </w:r>
      <w:r>
        <w:rPr>
          <w:rFonts w:hint="eastAsia" w:cs="Times New Roman" w:asciiTheme="minorEastAsia" w:hAnsiTheme="minorEastAsia" w:eastAsiaTheme="minorEastAsia"/>
          <w:b/>
          <w:bCs/>
          <w:color w:val="auto"/>
          <w:sz w:val="21"/>
          <w:szCs w:val="21"/>
          <w:highlight w:val="none"/>
          <w:lang w:val="zh-CN"/>
        </w:rPr>
        <w:t xml:space="preserve"> </w:t>
      </w:r>
      <w:r>
        <w:rPr>
          <w:rFonts w:cs="Times New Roman" w:asciiTheme="minorEastAsia" w:hAnsiTheme="minorEastAsia" w:eastAsiaTheme="minorEastAsia"/>
          <w:b/>
          <w:bCs/>
          <w:color w:val="auto"/>
          <w:sz w:val="21"/>
          <w:szCs w:val="21"/>
          <w:highlight w:val="none"/>
          <w:lang w:val="zh-CN"/>
        </w:rPr>
        <w:t>履约保证金</w:t>
      </w:r>
      <w:bookmarkEnd w:id="234"/>
      <w:bookmarkEnd w:id="235"/>
      <w:bookmarkEnd w:id="236"/>
      <w:bookmarkEnd w:id="237"/>
      <w:bookmarkEnd w:id="238"/>
    </w:p>
    <w:p w14:paraId="72FA8688">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2.</w:t>
      </w:r>
      <w:r>
        <w:rPr>
          <w:rFonts w:cs="Times New Roman" w:asciiTheme="minorEastAsia" w:hAnsiTheme="minorEastAsia" w:eastAsiaTheme="minorEastAsia"/>
          <w:color w:val="auto"/>
          <w:sz w:val="21"/>
          <w:szCs w:val="21"/>
          <w:highlight w:val="none"/>
        </w:rPr>
        <w:t>17</w:t>
      </w:r>
      <w:r>
        <w:rPr>
          <w:rFonts w:hint="eastAsia" w:cs="Times New Roman" w:asciiTheme="minorEastAsia" w:hAnsiTheme="minorEastAsia" w:eastAsiaTheme="minorEastAsia"/>
          <w:color w:val="auto"/>
          <w:sz w:val="21"/>
          <w:szCs w:val="21"/>
          <w:highlight w:val="none"/>
        </w:rPr>
        <w:t>.1采购文件要求乙方提交履约保证金的，乙方</w:t>
      </w:r>
      <w:r>
        <w:rPr>
          <w:rFonts w:cs="Times New Roman" w:asciiTheme="minorEastAsia" w:hAnsiTheme="minorEastAsia" w:eastAsiaTheme="minorEastAsia"/>
          <w:color w:val="auto"/>
          <w:sz w:val="21"/>
          <w:szCs w:val="21"/>
          <w:highlight w:val="none"/>
        </w:rPr>
        <w:t>应按</w:t>
      </w:r>
      <w:r>
        <w:rPr>
          <w:rFonts w:cs="Times New Roman" w:asciiTheme="minorEastAsia" w:hAnsiTheme="minorEastAsia" w:eastAsiaTheme="minorEastAsia"/>
          <w:b/>
          <w:i/>
          <w:color w:val="auto"/>
          <w:sz w:val="21"/>
          <w:szCs w:val="21"/>
          <w:highlight w:val="none"/>
          <w:u w:val="single"/>
        </w:rPr>
        <w:t>合同专用条款</w:t>
      </w:r>
      <w:r>
        <w:rPr>
          <w:rFonts w:cs="Times New Roman" w:asciiTheme="minorEastAsia" w:hAnsiTheme="minorEastAsia" w:eastAsiaTheme="minorEastAsia"/>
          <w:color w:val="auto"/>
          <w:sz w:val="21"/>
          <w:szCs w:val="21"/>
          <w:highlight w:val="none"/>
        </w:rPr>
        <w:t>约定的方式</w:t>
      </w:r>
      <w:r>
        <w:rPr>
          <w:rFonts w:hint="eastAsia" w:cs="Times New Roman" w:asciiTheme="minorEastAsia" w:hAnsiTheme="minorEastAsia" w:eastAsiaTheme="minorEastAsia"/>
          <w:color w:val="auto"/>
          <w:sz w:val="21"/>
          <w:szCs w:val="21"/>
          <w:highlight w:val="none"/>
        </w:rPr>
        <w:t>，以支票、汇票、本票或者金融机构、担保机构出具的保函等非现金形式提交；</w:t>
      </w:r>
    </w:p>
    <w:p w14:paraId="112CBAAA">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2.</w:t>
      </w:r>
      <w:r>
        <w:rPr>
          <w:rFonts w:cs="Times New Roman" w:asciiTheme="minorEastAsia" w:hAnsiTheme="minorEastAsia" w:eastAsiaTheme="minorEastAsia"/>
          <w:color w:val="auto"/>
          <w:sz w:val="21"/>
          <w:szCs w:val="21"/>
          <w:highlight w:val="none"/>
        </w:rPr>
        <w:t>17.2履约保证金在</w:t>
      </w:r>
      <w:r>
        <w:rPr>
          <w:rFonts w:cs="Times New Roman" w:asciiTheme="minorEastAsia" w:hAnsiTheme="minorEastAsia" w:eastAsiaTheme="minorEastAsia"/>
          <w:b/>
          <w:i/>
          <w:color w:val="auto"/>
          <w:sz w:val="21"/>
          <w:szCs w:val="21"/>
          <w:highlight w:val="none"/>
          <w:u w:val="single"/>
        </w:rPr>
        <w:t>合同专用条款</w:t>
      </w:r>
      <w:r>
        <w:rPr>
          <w:rFonts w:cs="Times New Roman" w:asciiTheme="minorEastAsia" w:hAnsiTheme="minorEastAsia" w:eastAsiaTheme="minorEastAsia"/>
          <w:color w:val="auto"/>
          <w:sz w:val="21"/>
          <w:szCs w:val="21"/>
          <w:highlight w:val="none"/>
        </w:rPr>
        <w:t>约定期间内不予退还或者应完全有效</w:t>
      </w:r>
      <w:r>
        <w:rPr>
          <w:rFonts w:hint="eastAsia" w:cs="Times New Roman" w:asciiTheme="minorEastAsia" w:hAnsiTheme="minorEastAsia" w:eastAsiaTheme="minorEastAsia"/>
          <w:color w:val="auto"/>
          <w:sz w:val="21"/>
          <w:szCs w:val="21"/>
          <w:highlight w:val="none"/>
        </w:rPr>
        <w:t>，前述约定期间届满</w:t>
      </w:r>
      <w:r>
        <w:rPr>
          <w:rFonts w:cs="Times New Roman" w:asciiTheme="minorEastAsia" w:hAnsiTheme="minorEastAsia" w:eastAsiaTheme="minorEastAsia"/>
          <w:color w:val="auto"/>
          <w:sz w:val="21"/>
          <w:szCs w:val="21"/>
          <w:highlight w:val="none"/>
        </w:rPr>
        <w:t>之日起</w:t>
      </w:r>
      <w:r>
        <w:rPr>
          <w:rFonts w:hint="eastAsia" w:cs="Times New Roman" w:asciiTheme="minorEastAsia" w:hAnsiTheme="minorEastAsia" w:eastAsiaTheme="minorEastAsia"/>
          <w:color w:val="auto"/>
          <w:sz w:val="21"/>
          <w:szCs w:val="21"/>
          <w:highlight w:val="none"/>
          <w:u w:val="single"/>
        </w:rPr>
        <w:t xml:space="preserve"> </w:t>
      </w:r>
      <w:r>
        <w:rPr>
          <w:rFonts w:cs="Times New Roman" w:asciiTheme="minorEastAsia" w:hAnsiTheme="minorEastAsia" w:eastAsiaTheme="minorEastAsia"/>
          <w:color w:val="auto"/>
          <w:sz w:val="21"/>
          <w:szCs w:val="21"/>
          <w:highlight w:val="none"/>
          <w:u w:val="single"/>
        </w:rPr>
        <w:t xml:space="preserve"> </w:t>
      </w:r>
      <w:r>
        <w:rPr>
          <w:rFonts w:hint="eastAsia" w:cs="Times New Roman" w:asciiTheme="minorEastAsia" w:hAnsiTheme="minorEastAsia" w:eastAsiaTheme="minorEastAsia"/>
          <w:color w:val="auto"/>
          <w:sz w:val="21"/>
          <w:szCs w:val="21"/>
          <w:highlight w:val="none"/>
          <w:u w:val="single"/>
        </w:rPr>
        <w:t xml:space="preserve"> </w:t>
      </w:r>
      <w:r>
        <w:rPr>
          <w:rFonts w:hint="eastAsia" w:cs="Times New Roman" w:asciiTheme="minorEastAsia" w:hAnsiTheme="minorEastAsia" w:eastAsiaTheme="minorEastAsia"/>
          <w:color w:val="auto"/>
          <w:sz w:val="21"/>
          <w:szCs w:val="21"/>
          <w:highlight w:val="none"/>
        </w:rPr>
        <w:t>个</w:t>
      </w:r>
      <w:r>
        <w:rPr>
          <w:rFonts w:cs="Times New Roman" w:asciiTheme="minorEastAsia" w:hAnsiTheme="minorEastAsia" w:eastAsiaTheme="minorEastAsia"/>
          <w:color w:val="auto"/>
          <w:sz w:val="21"/>
          <w:szCs w:val="21"/>
          <w:highlight w:val="none"/>
        </w:rPr>
        <w:t>工作日内，甲方应将履约保证金退还乙方</w:t>
      </w:r>
      <w:r>
        <w:rPr>
          <w:rFonts w:hint="eastAsia" w:cs="Times New Roman" w:asciiTheme="minorEastAsia" w:hAnsiTheme="minorEastAsia" w:eastAsiaTheme="minorEastAsia"/>
          <w:color w:val="auto"/>
          <w:sz w:val="21"/>
          <w:szCs w:val="21"/>
          <w:highlight w:val="none"/>
          <w:lang w:eastAsia="zh-CN"/>
        </w:rPr>
        <w:t>，</w:t>
      </w:r>
      <w:r>
        <w:rPr>
          <w:rFonts w:hint="eastAsia" w:cs="Times New Roman" w:asciiTheme="minorEastAsia" w:hAnsiTheme="minorEastAsia" w:eastAsiaTheme="minorEastAsia"/>
          <w:color w:val="auto"/>
          <w:sz w:val="21"/>
          <w:szCs w:val="21"/>
          <w:highlight w:val="none"/>
          <w:lang w:val="en-US" w:eastAsia="zh-CN"/>
        </w:rPr>
        <w:t>甲方</w:t>
      </w:r>
      <w:r>
        <w:rPr>
          <w:rFonts w:hint="eastAsia" w:cs="Times New Roman" w:asciiTheme="minorEastAsia" w:hAnsiTheme="minorEastAsia" w:eastAsiaTheme="minorEastAsia"/>
          <w:color w:val="auto"/>
          <w:sz w:val="21"/>
          <w:szCs w:val="21"/>
          <w:highlight w:val="none"/>
        </w:rPr>
        <w:t>逾期退还履约保证金</w:t>
      </w:r>
      <w:r>
        <w:rPr>
          <w:rFonts w:hint="eastAsia" w:cs="Times New Roman" w:asciiTheme="minorEastAsia" w:hAnsiTheme="minorEastAsia" w:eastAsiaTheme="minorEastAsia"/>
          <w:color w:val="auto"/>
          <w:sz w:val="21"/>
          <w:szCs w:val="21"/>
          <w:highlight w:val="none"/>
          <w:lang w:val="en-US" w:eastAsia="zh-CN"/>
        </w:rPr>
        <w:t>应承担违约责任。</w:t>
      </w:r>
    </w:p>
    <w:p w14:paraId="697A4423">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2.</w:t>
      </w:r>
      <w:r>
        <w:rPr>
          <w:rFonts w:cs="Times New Roman" w:asciiTheme="minorEastAsia" w:hAnsiTheme="minorEastAsia" w:eastAsiaTheme="minorEastAsia"/>
          <w:color w:val="auto"/>
          <w:sz w:val="21"/>
          <w:szCs w:val="21"/>
          <w:highlight w:val="none"/>
        </w:rPr>
        <w:t>17</w:t>
      </w:r>
      <w:r>
        <w:rPr>
          <w:rFonts w:hint="eastAsia" w:cs="Times New Roman" w:asciiTheme="minorEastAsia" w:hAnsiTheme="minorEastAsia" w:eastAsiaTheme="minorEastAsia"/>
          <w:color w:val="auto"/>
          <w:sz w:val="21"/>
          <w:szCs w:val="21"/>
          <w:highlight w:val="none"/>
        </w:rPr>
        <w:t>.3</w:t>
      </w:r>
      <w:r>
        <w:rPr>
          <w:rFonts w:cs="Times New Roman" w:asciiTheme="minorEastAsia" w:hAnsiTheme="minorEastAsia" w:eastAsiaTheme="minorEastAsia"/>
          <w:color w:val="auto"/>
          <w:sz w:val="21"/>
          <w:szCs w:val="21"/>
          <w:highlight w:val="none"/>
        </w:rPr>
        <w:t>如果乙方不履行合同</w:t>
      </w:r>
      <w:r>
        <w:rPr>
          <w:rFonts w:hint="eastAsia" w:cs="Times New Roman" w:asciiTheme="minorEastAsia" w:hAnsiTheme="minorEastAsia" w:eastAsiaTheme="minorEastAsia"/>
          <w:color w:val="auto"/>
          <w:sz w:val="21"/>
          <w:szCs w:val="21"/>
          <w:highlight w:val="none"/>
        </w:rPr>
        <w:t>，履约保证金不予退还；如果乙方</w:t>
      </w:r>
      <w:r>
        <w:rPr>
          <w:rFonts w:cs="Times New Roman" w:asciiTheme="minorEastAsia" w:hAnsiTheme="minorEastAsia" w:eastAsiaTheme="minorEastAsia"/>
          <w:color w:val="auto"/>
          <w:sz w:val="21"/>
          <w:szCs w:val="21"/>
          <w:highlight w:val="none"/>
        </w:rPr>
        <w:t>未能按合同</w:t>
      </w:r>
      <w:r>
        <w:rPr>
          <w:rFonts w:hint="eastAsia" w:cs="Times New Roman" w:asciiTheme="minorEastAsia" w:hAnsiTheme="minorEastAsia" w:eastAsiaTheme="minorEastAsia"/>
          <w:color w:val="auto"/>
          <w:sz w:val="21"/>
          <w:szCs w:val="21"/>
          <w:highlight w:val="none"/>
        </w:rPr>
        <w:t>约</w:t>
      </w:r>
      <w:r>
        <w:rPr>
          <w:rFonts w:cs="Times New Roman" w:asciiTheme="minorEastAsia" w:hAnsiTheme="minorEastAsia" w:eastAsiaTheme="minorEastAsia"/>
          <w:color w:val="auto"/>
          <w:sz w:val="21"/>
          <w:szCs w:val="21"/>
          <w:highlight w:val="none"/>
        </w:rPr>
        <w:t>定全面履行义务，那么甲方有权从履约保证金中取得补偿或赔偿</w:t>
      </w:r>
      <w:r>
        <w:rPr>
          <w:rFonts w:hint="eastAsia" w:cs="Times New Roman" w:asciiTheme="minorEastAsia" w:hAnsiTheme="minorEastAsia" w:eastAsiaTheme="minorEastAsia"/>
          <w:color w:val="auto"/>
          <w:sz w:val="21"/>
          <w:szCs w:val="21"/>
          <w:highlight w:val="none"/>
        </w:rPr>
        <w:t>，同时不影响甲方要求乙方承担合同约定的超过履约保证金的违约责任的权利。</w:t>
      </w:r>
    </w:p>
    <w:bookmarkEnd w:id="239"/>
    <w:p w14:paraId="00D45174">
      <w:pPr>
        <w:keepNext w:val="0"/>
        <w:keepLines w:val="0"/>
        <w:pageBreakBefore w:val="0"/>
        <w:kinsoku/>
        <w:wordWrap/>
        <w:overflowPunct/>
        <w:topLinePunct w:val="0"/>
        <w:bidi w:val="0"/>
        <w:snapToGrid/>
        <w:spacing w:line="440" w:lineRule="exact"/>
        <w:ind w:firstLine="437"/>
        <w:textAlignment w:val="auto"/>
        <w:outlineLvl w:val="2"/>
        <w:rPr>
          <w:rFonts w:cs="Times New Roman" w:asciiTheme="minorEastAsia" w:hAnsiTheme="minorEastAsia" w:eastAsiaTheme="minorEastAsia"/>
          <w:b/>
          <w:color w:val="auto"/>
          <w:sz w:val="21"/>
          <w:szCs w:val="21"/>
          <w:highlight w:val="none"/>
        </w:rPr>
      </w:pPr>
      <w:bookmarkStart w:id="240" w:name="_Toc14001"/>
      <w:bookmarkStart w:id="241" w:name="_Toc6885"/>
      <w:bookmarkStart w:id="242" w:name="_Toc19890"/>
      <w:r>
        <w:rPr>
          <w:rFonts w:hint="eastAsia" w:cs="Times New Roman" w:asciiTheme="minorEastAsia" w:hAnsiTheme="minorEastAsia" w:eastAsiaTheme="minorEastAsia"/>
          <w:b/>
          <w:bCs/>
          <w:color w:val="auto"/>
          <w:sz w:val="21"/>
          <w:szCs w:val="21"/>
          <w:highlight w:val="none"/>
          <w:lang w:val="zh-CN"/>
        </w:rPr>
        <w:t>2.</w:t>
      </w:r>
      <w:r>
        <w:rPr>
          <w:rFonts w:cs="Times New Roman" w:asciiTheme="minorEastAsia" w:hAnsiTheme="minorEastAsia" w:eastAsiaTheme="minorEastAsia"/>
          <w:b/>
          <w:bCs/>
          <w:color w:val="auto"/>
          <w:sz w:val="21"/>
          <w:szCs w:val="21"/>
          <w:highlight w:val="none"/>
          <w:lang w:val="zh-CN"/>
        </w:rPr>
        <w:t>18</w:t>
      </w:r>
      <w:r>
        <w:rPr>
          <w:rFonts w:hint="eastAsia" w:cs="Times New Roman" w:asciiTheme="minorEastAsia" w:hAnsiTheme="minorEastAsia" w:eastAsiaTheme="minorEastAsia"/>
          <w:b/>
          <w:bCs/>
          <w:color w:val="auto"/>
          <w:sz w:val="21"/>
          <w:szCs w:val="21"/>
          <w:highlight w:val="none"/>
          <w:lang w:val="zh-CN"/>
        </w:rPr>
        <w:t xml:space="preserve"> 合同份数</w:t>
      </w:r>
      <w:bookmarkEnd w:id="240"/>
      <w:bookmarkEnd w:id="241"/>
      <w:bookmarkEnd w:id="242"/>
    </w:p>
    <w:p w14:paraId="2CB59276">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cs="Times New Roman" w:asciiTheme="minorEastAsia" w:hAnsiTheme="minorEastAsia" w:eastAsiaTheme="minorEastAsia"/>
          <w:color w:val="auto"/>
          <w:sz w:val="21"/>
          <w:szCs w:val="21"/>
          <w:highlight w:val="none"/>
        </w:rPr>
        <w:t>合同份数按</w:t>
      </w:r>
      <w:r>
        <w:rPr>
          <w:rFonts w:cs="Times New Roman" w:asciiTheme="minorEastAsia" w:hAnsiTheme="minorEastAsia" w:eastAsiaTheme="minorEastAsia"/>
          <w:b/>
          <w:i/>
          <w:color w:val="auto"/>
          <w:sz w:val="21"/>
          <w:szCs w:val="21"/>
          <w:highlight w:val="none"/>
          <w:u w:val="single"/>
        </w:rPr>
        <w:t>合同专用条款</w:t>
      </w:r>
      <w:r>
        <w:rPr>
          <w:rFonts w:cs="Times New Roman" w:asciiTheme="minorEastAsia" w:hAnsiTheme="minorEastAsia" w:eastAsiaTheme="minorEastAsia"/>
          <w:color w:val="auto"/>
          <w:sz w:val="21"/>
          <w:szCs w:val="21"/>
          <w:highlight w:val="none"/>
        </w:rPr>
        <w:t>规定</w:t>
      </w:r>
      <w:r>
        <w:rPr>
          <w:rFonts w:hint="eastAsia" w:cs="Times New Roman" w:asciiTheme="minorEastAsia" w:hAnsiTheme="minorEastAsia" w:eastAsiaTheme="minorEastAsia"/>
          <w:color w:val="auto"/>
          <w:sz w:val="21"/>
          <w:szCs w:val="21"/>
          <w:highlight w:val="none"/>
        </w:rPr>
        <w:t>，</w:t>
      </w:r>
      <w:r>
        <w:rPr>
          <w:rFonts w:cs="Times New Roman" w:asciiTheme="minorEastAsia" w:hAnsiTheme="minorEastAsia" w:eastAsiaTheme="minorEastAsia"/>
          <w:color w:val="auto"/>
          <w:sz w:val="21"/>
          <w:szCs w:val="21"/>
          <w:highlight w:val="none"/>
        </w:rPr>
        <w:t>每份均具有同等法律效力</w:t>
      </w:r>
      <w:r>
        <w:rPr>
          <w:rFonts w:hint="eastAsia" w:cs="Times New Roman" w:asciiTheme="minorEastAsia" w:hAnsiTheme="minorEastAsia" w:eastAsiaTheme="minorEastAsia"/>
          <w:color w:val="auto"/>
          <w:sz w:val="21"/>
          <w:szCs w:val="21"/>
          <w:highlight w:val="none"/>
        </w:rPr>
        <w:t>。</w:t>
      </w:r>
    </w:p>
    <w:p w14:paraId="7CD48A68">
      <w:pPr>
        <w:keepNext w:val="0"/>
        <w:keepLines w:val="0"/>
        <w:pageBreakBefore w:val="0"/>
        <w:kinsoku/>
        <w:wordWrap/>
        <w:overflowPunct/>
        <w:topLinePunct w:val="0"/>
        <w:bidi w:val="0"/>
        <w:snapToGrid/>
        <w:spacing w:line="440" w:lineRule="exact"/>
        <w:jc w:val="center"/>
        <w:textAlignment w:val="auto"/>
        <w:outlineLvl w:val="1"/>
        <w:rPr>
          <w:rFonts w:asciiTheme="minorEastAsia" w:hAnsiTheme="minorEastAsia" w:eastAsiaTheme="minorEastAsia"/>
          <w:b/>
          <w:color w:val="auto"/>
          <w:sz w:val="24"/>
          <w:highlight w:val="none"/>
        </w:rPr>
      </w:pPr>
      <w:r>
        <w:rPr>
          <w:rFonts w:cs="Times New Roman" w:asciiTheme="minorEastAsia" w:hAnsiTheme="minorEastAsia" w:eastAsiaTheme="minorEastAsia"/>
          <w:color w:val="auto"/>
          <w:sz w:val="24"/>
          <w:szCs w:val="24"/>
          <w:highlight w:val="none"/>
        </w:rPr>
        <w:br w:type="page"/>
      </w:r>
      <w:bookmarkStart w:id="243" w:name="_Toc3736"/>
      <w:r>
        <w:rPr>
          <w:rFonts w:hint="eastAsia" w:asciiTheme="minorEastAsia" w:hAnsiTheme="minorEastAsia" w:eastAsiaTheme="minorEastAsia"/>
          <w:b/>
          <w:color w:val="auto"/>
          <w:sz w:val="24"/>
          <w:highlight w:val="none"/>
        </w:rPr>
        <w:t>第三部分</w:t>
      </w:r>
      <w:r>
        <w:rPr>
          <w:rFonts w:asciiTheme="minorEastAsia" w:hAnsiTheme="minorEastAsia" w:eastAsiaTheme="minorEastAsia"/>
          <w:b/>
          <w:color w:val="auto"/>
          <w:sz w:val="24"/>
          <w:highlight w:val="none"/>
        </w:rPr>
        <w:t xml:space="preserve"> </w:t>
      </w:r>
      <w:r>
        <w:rPr>
          <w:rFonts w:hint="eastAsia" w:asciiTheme="minorEastAsia" w:hAnsiTheme="minorEastAsia" w:eastAsiaTheme="minorEastAsia"/>
          <w:b/>
          <w:color w:val="auto"/>
          <w:sz w:val="24"/>
          <w:highlight w:val="none"/>
        </w:rPr>
        <w:t>合同专用条款</w:t>
      </w:r>
      <w:bookmarkEnd w:id="243"/>
    </w:p>
    <w:p w14:paraId="6C149377">
      <w:pPr>
        <w:keepNext w:val="0"/>
        <w:keepLines w:val="0"/>
        <w:pageBreakBefore w:val="0"/>
        <w:kinsoku/>
        <w:wordWrap/>
        <w:overflowPunct/>
        <w:topLinePunct w:val="0"/>
        <w:bidi w:val="0"/>
        <w:snapToGrid/>
        <w:spacing w:line="440" w:lineRule="exact"/>
        <w:ind w:firstLine="435"/>
        <w:textAlignment w:val="auto"/>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本部分</w:t>
      </w:r>
      <w:r>
        <w:rPr>
          <w:rFonts w:cs="Times New Roman" w:asciiTheme="minorEastAsia" w:hAnsiTheme="minorEastAsia" w:eastAsiaTheme="minorEastAsia"/>
          <w:color w:val="auto"/>
          <w:sz w:val="21"/>
          <w:szCs w:val="21"/>
          <w:highlight w:val="none"/>
        </w:rPr>
        <w:t>是对</w:t>
      </w:r>
      <w:r>
        <w:rPr>
          <w:rFonts w:hint="eastAsia" w:cs="Times New Roman" w:asciiTheme="minorEastAsia" w:hAnsiTheme="minorEastAsia" w:eastAsiaTheme="minorEastAsia"/>
          <w:color w:val="auto"/>
          <w:sz w:val="21"/>
          <w:szCs w:val="21"/>
          <w:highlight w:val="none"/>
        </w:rPr>
        <w:t>前两</w:t>
      </w:r>
      <w:r>
        <w:rPr>
          <w:rFonts w:cs="Times New Roman" w:asciiTheme="minorEastAsia" w:hAnsiTheme="minorEastAsia" w:eastAsiaTheme="minorEastAsia"/>
          <w:color w:val="auto"/>
          <w:sz w:val="21"/>
          <w:szCs w:val="21"/>
          <w:highlight w:val="none"/>
        </w:rPr>
        <w:t>部分的补充和修改</w:t>
      </w:r>
      <w:r>
        <w:rPr>
          <w:rFonts w:hint="eastAsia" w:cs="Times New Roman" w:asciiTheme="minorEastAsia" w:hAnsiTheme="minorEastAsia" w:eastAsiaTheme="minorEastAsia"/>
          <w:color w:val="auto"/>
          <w:sz w:val="21"/>
          <w:szCs w:val="21"/>
          <w:highlight w:val="none"/>
        </w:rPr>
        <w:t>，</w:t>
      </w:r>
      <w:r>
        <w:rPr>
          <w:rFonts w:cs="Times New Roman" w:asciiTheme="minorEastAsia" w:hAnsiTheme="minorEastAsia" w:eastAsiaTheme="minorEastAsia"/>
          <w:color w:val="auto"/>
          <w:sz w:val="21"/>
          <w:szCs w:val="21"/>
          <w:highlight w:val="none"/>
        </w:rPr>
        <w:t>如果</w:t>
      </w:r>
      <w:r>
        <w:rPr>
          <w:rFonts w:hint="eastAsia" w:cs="Times New Roman" w:asciiTheme="minorEastAsia" w:hAnsiTheme="minorEastAsia" w:eastAsiaTheme="minorEastAsia"/>
          <w:color w:val="auto"/>
          <w:sz w:val="21"/>
          <w:szCs w:val="21"/>
          <w:highlight w:val="none"/>
        </w:rPr>
        <w:t>前两</w:t>
      </w:r>
      <w:r>
        <w:rPr>
          <w:rFonts w:cs="Times New Roman" w:asciiTheme="minorEastAsia" w:hAnsiTheme="minorEastAsia" w:eastAsiaTheme="minorEastAsia"/>
          <w:color w:val="auto"/>
          <w:sz w:val="21"/>
          <w:szCs w:val="21"/>
          <w:highlight w:val="none"/>
        </w:rPr>
        <w:t>部分和本部分的约定不一致</w:t>
      </w:r>
      <w:r>
        <w:rPr>
          <w:rFonts w:hint="eastAsia" w:cs="Times New Roman" w:asciiTheme="minorEastAsia" w:hAnsiTheme="minorEastAsia" w:eastAsiaTheme="minorEastAsia"/>
          <w:color w:val="auto"/>
          <w:sz w:val="21"/>
          <w:szCs w:val="21"/>
          <w:highlight w:val="none"/>
        </w:rPr>
        <w:t>，</w:t>
      </w:r>
      <w:r>
        <w:rPr>
          <w:rFonts w:cs="Times New Roman" w:asciiTheme="minorEastAsia" w:hAnsiTheme="minorEastAsia" w:eastAsiaTheme="minorEastAsia"/>
          <w:color w:val="auto"/>
          <w:sz w:val="21"/>
          <w:szCs w:val="21"/>
          <w:highlight w:val="none"/>
        </w:rPr>
        <w:t>应以本部分的约定为准</w:t>
      </w:r>
      <w:r>
        <w:rPr>
          <w:rFonts w:hint="eastAsia" w:cs="Times New Roman" w:asciiTheme="minorEastAsia" w:hAnsiTheme="minorEastAsia" w:eastAsiaTheme="minorEastAsia"/>
          <w:color w:val="auto"/>
          <w:sz w:val="21"/>
          <w:szCs w:val="21"/>
          <w:highlight w:val="none"/>
        </w:rPr>
        <w:t>。</w:t>
      </w:r>
      <w:r>
        <w:rPr>
          <w:rFonts w:cs="Times New Roman" w:asciiTheme="minorEastAsia" w:hAnsiTheme="minorEastAsia" w:eastAsiaTheme="minorEastAsia"/>
          <w:color w:val="auto"/>
          <w:sz w:val="21"/>
          <w:szCs w:val="21"/>
          <w:highlight w:val="none"/>
        </w:rPr>
        <w:t>本部分的条款号应与</w:t>
      </w:r>
      <w:r>
        <w:rPr>
          <w:rFonts w:hint="eastAsia" w:cs="Times New Roman" w:asciiTheme="minorEastAsia" w:hAnsiTheme="minorEastAsia" w:eastAsiaTheme="minorEastAsia"/>
          <w:color w:val="auto"/>
          <w:sz w:val="21"/>
          <w:szCs w:val="21"/>
          <w:highlight w:val="none"/>
        </w:rPr>
        <w:t>前两部分</w:t>
      </w:r>
      <w:r>
        <w:rPr>
          <w:rFonts w:cs="Times New Roman" w:asciiTheme="minorEastAsia" w:hAnsiTheme="minorEastAsia" w:eastAsiaTheme="minorEastAsia"/>
          <w:color w:val="auto"/>
          <w:sz w:val="21"/>
          <w:szCs w:val="21"/>
          <w:highlight w:val="none"/>
        </w:rPr>
        <w:t>的条款号保持对应</w:t>
      </w:r>
      <w:r>
        <w:rPr>
          <w:rFonts w:hint="eastAsia" w:cs="Times New Roman" w:asciiTheme="minorEastAsia" w:hAnsiTheme="minorEastAsia" w:eastAsiaTheme="minorEastAsia"/>
          <w:color w:val="auto"/>
          <w:sz w:val="21"/>
          <w:szCs w:val="21"/>
          <w:highlight w:val="none"/>
        </w:rPr>
        <w:t>；与前两部分</w:t>
      </w:r>
      <w:r>
        <w:rPr>
          <w:rFonts w:cs="Times New Roman" w:asciiTheme="minorEastAsia" w:hAnsiTheme="minorEastAsia" w:eastAsiaTheme="minorEastAsia"/>
          <w:color w:val="auto"/>
          <w:sz w:val="21"/>
          <w:szCs w:val="21"/>
          <w:highlight w:val="none"/>
        </w:rPr>
        <w:t>无对应关系的内容可另行编制条款号</w:t>
      </w:r>
      <w:r>
        <w:rPr>
          <w:rFonts w:hint="eastAsia" w:cs="Times New Roman" w:asciiTheme="minorEastAsia" w:hAnsiTheme="minorEastAsia" w:eastAsiaTheme="minorEastAsia"/>
          <w:color w:val="auto"/>
          <w:sz w:val="21"/>
          <w:szCs w:val="21"/>
          <w:highlight w:val="none"/>
        </w:rPr>
        <w:t>。</w:t>
      </w:r>
    </w:p>
    <w:tbl>
      <w:tblPr>
        <w:tblStyle w:val="35"/>
        <w:tblW w:w="921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4"/>
        <w:gridCol w:w="8422"/>
      </w:tblGrid>
      <w:tr w14:paraId="20E7B6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4" w:type="dxa"/>
            <w:tcBorders>
              <w:left w:val="single" w:color="auto" w:sz="4" w:space="0"/>
            </w:tcBorders>
            <w:vAlign w:val="center"/>
          </w:tcPr>
          <w:p w14:paraId="6AC1CB28">
            <w:pPr>
              <w:keepNext w:val="0"/>
              <w:keepLines w:val="0"/>
              <w:pageBreakBefore w:val="0"/>
              <w:suppressLineNumbers w:val="0"/>
              <w:kinsoku/>
              <w:wordWrap/>
              <w:overflowPunct/>
              <w:topLinePunct w:val="0"/>
              <w:bidi w:val="0"/>
              <w:snapToGrid/>
              <w:spacing w:before="0" w:beforeAutospacing="0" w:after="0" w:afterAutospacing="0" w:line="440" w:lineRule="exact"/>
              <w:ind w:left="0" w:right="0"/>
              <w:jc w:val="center"/>
              <w:textAlignment w:val="auto"/>
              <w:rPr>
                <w:rFonts w:hint="default" w:cs="Times New Roman" w:asciiTheme="minorEastAsia" w:hAnsiTheme="minorEastAsia" w:eastAsiaTheme="minorEastAsia"/>
                <w:b/>
                <w:color w:val="auto"/>
                <w:sz w:val="21"/>
                <w:szCs w:val="21"/>
                <w:highlight w:val="none"/>
              </w:rPr>
            </w:pPr>
            <w:r>
              <w:rPr>
                <w:rFonts w:hint="default" w:cs="Times New Roman" w:asciiTheme="minorEastAsia" w:hAnsiTheme="minorEastAsia" w:eastAsiaTheme="minorEastAsia"/>
                <w:b/>
                <w:color w:val="auto"/>
                <w:sz w:val="21"/>
                <w:szCs w:val="21"/>
                <w:highlight w:val="none"/>
              </w:rPr>
              <w:t>条款号</w:t>
            </w:r>
          </w:p>
        </w:tc>
        <w:tc>
          <w:tcPr>
            <w:tcW w:w="8422" w:type="dxa"/>
            <w:vAlign w:val="center"/>
          </w:tcPr>
          <w:p w14:paraId="0D073F24">
            <w:pPr>
              <w:keepNext w:val="0"/>
              <w:keepLines w:val="0"/>
              <w:pageBreakBefore w:val="0"/>
              <w:suppressLineNumbers w:val="0"/>
              <w:kinsoku/>
              <w:wordWrap/>
              <w:overflowPunct/>
              <w:topLinePunct w:val="0"/>
              <w:bidi w:val="0"/>
              <w:snapToGrid/>
              <w:spacing w:before="0" w:beforeAutospacing="0" w:after="0" w:afterAutospacing="0" w:line="440" w:lineRule="exact"/>
              <w:ind w:left="0" w:right="0"/>
              <w:jc w:val="center"/>
              <w:textAlignment w:val="auto"/>
              <w:rPr>
                <w:rFonts w:hint="default" w:cs="Times New Roman" w:asciiTheme="minorEastAsia" w:hAnsiTheme="minorEastAsia" w:eastAsiaTheme="minorEastAsia"/>
                <w:b/>
                <w:color w:val="auto"/>
                <w:sz w:val="21"/>
                <w:szCs w:val="21"/>
                <w:highlight w:val="none"/>
              </w:rPr>
            </w:pPr>
            <w:r>
              <w:rPr>
                <w:rFonts w:hint="default" w:cs="Times New Roman" w:asciiTheme="minorEastAsia" w:hAnsiTheme="minorEastAsia" w:eastAsiaTheme="minorEastAsia"/>
                <w:b/>
                <w:color w:val="auto"/>
                <w:sz w:val="21"/>
                <w:szCs w:val="21"/>
                <w:highlight w:val="none"/>
              </w:rPr>
              <w:t>约定内容</w:t>
            </w:r>
          </w:p>
        </w:tc>
      </w:tr>
      <w:tr w14:paraId="78B770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4" w:type="dxa"/>
            <w:tcBorders>
              <w:left w:val="single" w:color="auto" w:sz="4" w:space="0"/>
            </w:tcBorders>
            <w:vAlign w:val="center"/>
          </w:tcPr>
          <w:p w14:paraId="584D9C80">
            <w:pPr>
              <w:keepNext w:val="0"/>
              <w:keepLines w:val="0"/>
              <w:pageBreakBefore w:val="0"/>
              <w:suppressLineNumbers w:val="0"/>
              <w:kinsoku/>
              <w:wordWrap/>
              <w:overflowPunct/>
              <w:topLinePunct w:val="0"/>
              <w:bidi w:val="0"/>
              <w:snapToGrid/>
              <w:spacing w:before="0" w:beforeAutospacing="0" w:after="0" w:afterAutospacing="0" w:line="440" w:lineRule="exact"/>
              <w:ind w:left="0" w:right="0"/>
              <w:jc w:val="center"/>
              <w:textAlignment w:val="auto"/>
              <w:rPr>
                <w:rFonts w:hint="default" w:cs="Times New Roman" w:asciiTheme="minorEastAsia" w:hAnsiTheme="minorEastAsia" w:eastAsiaTheme="minorEastAsia"/>
                <w:color w:val="auto"/>
                <w:sz w:val="21"/>
                <w:szCs w:val="21"/>
                <w:highlight w:val="none"/>
                <w:lang w:val="en-US" w:eastAsia="zh-CN"/>
              </w:rPr>
            </w:pPr>
            <w:r>
              <w:rPr>
                <w:rFonts w:hint="eastAsia" w:cs="Times New Roman" w:asciiTheme="minorEastAsia" w:hAnsiTheme="minorEastAsia" w:eastAsiaTheme="minorEastAsia"/>
                <w:color w:val="auto"/>
                <w:sz w:val="21"/>
                <w:szCs w:val="21"/>
                <w:highlight w:val="none"/>
                <w:lang w:val="en-US" w:eastAsia="zh-CN"/>
              </w:rPr>
              <w:t>2.3.2</w:t>
            </w:r>
          </w:p>
        </w:tc>
        <w:tc>
          <w:tcPr>
            <w:tcW w:w="8422" w:type="dxa"/>
            <w:vAlign w:val="center"/>
          </w:tcPr>
          <w:p w14:paraId="6ACC9A10">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default" w:cs="Times New Roman" w:asciiTheme="minorEastAsia" w:hAnsiTheme="minorEastAsia" w:eastAsiaTheme="minorEastAsia"/>
                <w:color w:val="auto"/>
                <w:sz w:val="21"/>
                <w:szCs w:val="21"/>
                <w:highlight w:val="none"/>
                <w:lang w:val="en-US" w:eastAsia="zh-CN"/>
              </w:rPr>
            </w:pPr>
            <w:r>
              <w:rPr>
                <w:rFonts w:hint="eastAsia" w:cs="Times New Roman" w:asciiTheme="minorEastAsia" w:hAnsiTheme="minorEastAsia" w:eastAsiaTheme="minorEastAsia"/>
                <w:color w:val="auto"/>
                <w:sz w:val="21"/>
                <w:szCs w:val="21"/>
                <w:highlight w:val="none"/>
              </w:rPr>
              <w:t>知识产权归属</w:t>
            </w:r>
            <w:r>
              <w:rPr>
                <w:rFonts w:hint="eastAsia" w:cs="Times New Roman" w:asciiTheme="minorEastAsia" w:hAnsiTheme="minorEastAsia" w:eastAsiaTheme="minorEastAsia"/>
                <w:color w:val="auto"/>
                <w:sz w:val="21"/>
                <w:szCs w:val="21"/>
                <w:highlight w:val="none"/>
                <w:lang w:val="en-US" w:eastAsia="zh-CN"/>
              </w:rPr>
              <w:t>引起的纠纷与甲方无关</w:t>
            </w:r>
          </w:p>
        </w:tc>
      </w:tr>
      <w:tr w14:paraId="5BFD35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7A047C51">
            <w:pPr>
              <w:keepNext w:val="0"/>
              <w:keepLines w:val="0"/>
              <w:pageBreakBefore w:val="0"/>
              <w:suppressLineNumbers w:val="0"/>
              <w:kinsoku/>
              <w:wordWrap/>
              <w:overflowPunct/>
              <w:topLinePunct w:val="0"/>
              <w:bidi w:val="0"/>
              <w:snapToGrid/>
              <w:spacing w:before="0" w:beforeAutospacing="0" w:after="0" w:afterAutospacing="0" w:line="440" w:lineRule="exact"/>
              <w:ind w:left="0" w:right="0"/>
              <w:jc w:val="center"/>
              <w:textAlignment w:val="auto"/>
              <w:rPr>
                <w:rFonts w:hint="default" w:cs="Times New Roman" w:asciiTheme="minorEastAsia" w:hAnsiTheme="minorEastAsia" w:eastAsiaTheme="minorEastAsia"/>
                <w:color w:val="auto"/>
                <w:kern w:val="2"/>
                <w:sz w:val="21"/>
                <w:szCs w:val="21"/>
                <w:highlight w:val="none"/>
                <w:lang w:val="en-US" w:eastAsia="zh-CN" w:bidi="ar-SA"/>
              </w:rPr>
            </w:pPr>
            <w:r>
              <w:rPr>
                <w:rFonts w:hint="eastAsia" w:cs="Times New Roman" w:asciiTheme="minorEastAsia" w:hAnsiTheme="minorEastAsia" w:eastAsiaTheme="minorEastAsia"/>
                <w:color w:val="auto"/>
                <w:sz w:val="21"/>
                <w:szCs w:val="21"/>
                <w:highlight w:val="none"/>
                <w:lang w:val="en-US" w:eastAsia="zh-CN"/>
              </w:rPr>
              <w:t>2.11.3</w:t>
            </w:r>
          </w:p>
        </w:tc>
        <w:tc>
          <w:tcPr>
            <w:tcW w:w="8422" w:type="dxa"/>
            <w:vAlign w:val="center"/>
          </w:tcPr>
          <w:p w14:paraId="0F60F954">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default" w:cs="Times New Roman" w:asciiTheme="minorEastAsia" w:hAnsiTheme="minorEastAsia" w:eastAsiaTheme="minorEastAsia"/>
                <w:color w:val="auto"/>
                <w:kern w:val="2"/>
                <w:sz w:val="21"/>
                <w:szCs w:val="21"/>
                <w:highlight w:val="none"/>
                <w:lang w:val="en-US" w:eastAsia="zh-CN" w:bidi="ar-SA"/>
              </w:rPr>
            </w:pPr>
            <w:r>
              <w:rPr>
                <w:rFonts w:hint="eastAsia" w:cs="Times New Roman" w:asciiTheme="minorEastAsia" w:hAnsiTheme="minorEastAsia" w:eastAsiaTheme="minorEastAsia"/>
                <w:color w:val="auto"/>
                <w:sz w:val="21"/>
                <w:szCs w:val="21"/>
                <w:highlight w:val="none"/>
              </w:rPr>
              <w:t>因不可抗力致使合同有变更必要的，双方当事人应在不可抗力发生的3个工作日内以书面形式变更合同</w:t>
            </w:r>
          </w:p>
        </w:tc>
      </w:tr>
      <w:tr w14:paraId="41DD6A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28CE7F5F">
            <w:pPr>
              <w:keepNext w:val="0"/>
              <w:keepLines w:val="0"/>
              <w:pageBreakBefore w:val="0"/>
              <w:suppressLineNumbers w:val="0"/>
              <w:kinsoku/>
              <w:wordWrap/>
              <w:overflowPunct/>
              <w:topLinePunct w:val="0"/>
              <w:bidi w:val="0"/>
              <w:snapToGrid/>
              <w:spacing w:before="0" w:beforeAutospacing="0" w:after="0" w:afterAutospacing="0" w:line="440" w:lineRule="exact"/>
              <w:ind w:left="0" w:right="0"/>
              <w:jc w:val="center"/>
              <w:textAlignment w:val="auto"/>
              <w:rPr>
                <w:rFonts w:hint="default" w:cs="Times New Roman" w:asciiTheme="minorEastAsia" w:hAnsiTheme="minorEastAsia" w:eastAsiaTheme="minorEastAsia"/>
                <w:color w:val="auto"/>
                <w:kern w:val="2"/>
                <w:sz w:val="21"/>
                <w:szCs w:val="21"/>
                <w:highlight w:val="none"/>
                <w:lang w:val="en-US" w:eastAsia="zh-CN" w:bidi="ar-SA"/>
              </w:rPr>
            </w:pPr>
            <w:r>
              <w:rPr>
                <w:rFonts w:hint="eastAsia" w:cs="Times New Roman" w:asciiTheme="minorEastAsia" w:hAnsiTheme="minorEastAsia" w:eastAsiaTheme="minorEastAsia"/>
                <w:color w:val="auto"/>
                <w:sz w:val="21"/>
                <w:szCs w:val="21"/>
                <w:highlight w:val="none"/>
                <w:lang w:val="en-US" w:eastAsia="zh-CN"/>
              </w:rPr>
              <w:t>2.11.4</w:t>
            </w:r>
          </w:p>
        </w:tc>
        <w:tc>
          <w:tcPr>
            <w:tcW w:w="8422" w:type="dxa"/>
            <w:vAlign w:val="center"/>
          </w:tcPr>
          <w:p w14:paraId="1AEE32DB">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default" w:cs="Times New Roman" w:asciiTheme="minorEastAsia" w:hAnsiTheme="minorEastAsia" w:eastAsiaTheme="minorEastAsia"/>
                <w:color w:val="auto"/>
                <w:kern w:val="2"/>
                <w:sz w:val="21"/>
                <w:szCs w:val="21"/>
                <w:highlight w:val="none"/>
                <w:lang w:val="en-US" w:eastAsia="zh-CN" w:bidi="ar-SA"/>
              </w:rPr>
            </w:pPr>
            <w:r>
              <w:rPr>
                <w:rFonts w:hint="eastAsia" w:cs="Times New Roman" w:asciiTheme="minorEastAsia" w:hAnsiTheme="minorEastAsia" w:eastAsiaTheme="minorEastAsia"/>
                <w:color w:val="auto"/>
                <w:sz w:val="21"/>
                <w:szCs w:val="21"/>
                <w:highlight w:val="none"/>
              </w:rPr>
              <w:t>受不可抗力影响的一方在不可抗力发生后，应在不可抗力发生的1个工作日内以书面形式通知对方当事人，并在1个工作日内，将有关部门出具的证明文件送达对方当事人</w:t>
            </w:r>
          </w:p>
        </w:tc>
      </w:tr>
      <w:tr w14:paraId="7BFD43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06DB3F07">
            <w:pPr>
              <w:keepNext w:val="0"/>
              <w:keepLines w:val="0"/>
              <w:pageBreakBefore w:val="0"/>
              <w:suppressLineNumbers w:val="0"/>
              <w:kinsoku/>
              <w:wordWrap/>
              <w:overflowPunct/>
              <w:topLinePunct w:val="0"/>
              <w:bidi w:val="0"/>
              <w:snapToGrid/>
              <w:spacing w:before="0" w:beforeAutospacing="0" w:after="0" w:afterAutospacing="0" w:line="440" w:lineRule="exact"/>
              <w:ind w:left="0" w:right="0"/>
              <w:jc w:val="center"/>
              <w:textAlignment w:val="auto"/>
              <w:rPr>
                <w:rFonts w:hint="default" w:cs="Times New Roman" w:asciiTheme="minorEastAsia" w:hAnsiTheme="minorEastAsia" w:eastAsiaTheme="minorEastAsia"/>
                <w:color w:val="auto"/>
                <w:kern w:val="2"/>
                <w:sz w:val="21"/>
                <w:szCs w:val="21"/>
                <w:highlight w:val="none"/>
                <w:lang w:val="en-US" w:eastAsia="zh-CN" w:bidi="ar-SA"/>
              </w:rPr>
            </w:pPr>
            <w:r>
              <w:rPr>
                <w:rFonts w:hint="eastAsia" w:cs="Times New Roman" w:asciiTheme="minorEastAsia" w:hAnsiTheme="minorEastAsia" w:eastAsiaTheme="minorEastAsia"/>
                <w:color w:val="auto"/>
                <w:sz w:val="21"/>
                <w:szCs w:val="21"/>
                <w:highlight w:val="none"/>
                <w:lang w:val="en-US" w:eastAsia="zh-CN"/>
              </w:rPr>
              <w:t>2.15</w:t>
            </w:r>
          </w:p>
        </w:tc>
        <w:tc>
          <w:tcPr>
            <w:tcW w:w="8422" w:type="dxa"/>
            <w:vAlign w:val="center"/>
          </w:tcPr>
          <w:p w14:paraId="0FCFE89F">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2.15.1乙方按照</w:t>
            </w:r>
            <w:r>
              <w:rPr>
                <w:rFonts w:hint="eastAsia" w:cs="Times New Roman" w:asciiTheme="minorEastAsia" w:hAnsiTheme="minorEastAsia" w:eastAsiaTheme="minorEastAsia"/>
                <w:color w:val="auto"/>
                <w:sz w:val="21"/>
                <w:szCs w:val="21"/>
                <w:highlight w:val="none"/>
                <w:lang w:val="en-US" w:eastAsia="zh-CN"/>
              </w:rPr>
              <w:t>甲方要求提交验收报告</w:t>
            </w:r>
            <w:r>
              <w:rPr>
                <w:rFonts w:hint="eastAsia" w:cs="Times New Roman" w:asciiTheme="minorEastAsia" w:hAnsiTheme="minorEastAsia" w:eastAsiaTheme="minorEastAsia"/>
                <w:color w:val="auto"/>
                <w:sz w:val="21"/>
                <w:szCs w:val="21"/>
                <w:highlight w:val="none"/>
              </w:rPr>
              <w:t>，甲方按照在收到报告后，</w:t>
            </w:r>
            <w:r>
              <w:rPr>
                <w:rFonts w:hint="eastAsia" w:ascii="宋体" w:hAnsi="宋体" w:eastAsia="宋体" w:cs="宋体"/>
                <w:b w:val="0"/>
                <w:bCs w:val="0"/>
                <w:color w:val="auto"/>
                <w:kern w:val="2"/>
                <w:sz w:val="21"/>
                <w:szCs w:val="21"/>
                <w:highlight w:val="none"/>
                <w:lang w:val="en-US" w:eastAsia="zh-CN" w:bidi="ar-SA"/>
              </w:rPr>
              <w:t>赛事结束后由采购人组织专家对赛事举办进行专项评估,评估达不到标准的，追究其法律和经济责任</w:t>
            </w:r>
            <w:r>
              <w:rPr>
                <w:rFonts w:hint="eastAsia" w:cs="Times New Roman" w:asciiTheme="minorEastAsia" w:hAnsiTheme="minorEastAsia" w:eastAsiaTheme="minorEastAsia"/>
                <w:color w:val="auto"/>
                <w:sz w:val="21"/>
                <w:szCs w:val="21"/>
                <w:highlight w:val="none"/>
              </w:rPr>
              <w:t>；</w:t>
            </w:r>
          </w:p>
          <w:p w14:paraId="5846B38A">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default" w:cs="Times New Roman" w:asciiTheme="minorEastAsia" w:hAnsiTheme="minorEastAsia" w:eastAsiaTheme="minorEastAsia"/>
                <w:color w:val="auto"/>
                <w:kern w:val="2"/>
                <w:sz w:val="21"/>
                <w:szCs w:val="21"/>
                <w:highlight w:val="none"/>
                <w:lang w:val="en-US" w:eastAsia="zh-CN" w:bidi="ar-SA"/>
              </w:rPr>
            </w:pPr>
            <w:r>
              <w:rPr>
                <w:rFonts w:hint="eastAsia" w:cs="Times New Roman" w:asciiTheme="minorEastAsia" w:hAnsiTheme="minorEastAsia" w:eastAsiaTheme="minorEastAsia"/>
                <w:color w:val="auto"/>
                <w:sz w:val="21"/>
                <w:szCs w:val="21"/>
                <w:highlight w:val="none"/>
              </w:rPr>
              <w:t>2.15.3检验和验收标准、程序等具体内容以及前述验收书的效力：验收书的内容以检验和验收标准、程序结合项目具体内容出具，以验收书作为结算依据</w:t>
            </w:r>
          </w:p>
        </w:tc>
      </w:tr>
      <w:tr w14:paraId="03A933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58" w:hRule="atLeast"/>
          <w:jc w:val="center"/>
        </w:trPr>
        <w:tc>
          <w:tcPr>
            <w:tcW w:w="794" w:type="dxa"/>
            <w:tcBorders>
              <w:left w:val="single" w:color="auto" w:sz="4" w:space="0"/>
            </w:tcBorders>
            <w:vAlign w:val="center"/>
          </w:tcPr>
          <w:p w14:paraId="1F880CA6">
            <w:pPr>
              <w:keepNext w:val="0"/>
              <w:keepLines w:val="0"/>
              <w:pageBreakBefore w:val="0"/>
              <w:suppressLineNumbers w:val="0"/>
              <w:kinsoku/>
              <w:wordWrap/>
              <w:overflowPunct/>
              <w:topLinePunct w:val="0"/>
              <w:bidi w:val="0"/>
              <w:snapToGrid/>
              <w:spacing w:before="0" w:beforeAutospacing="0" w:after="0" w:afterAutospacing="0" w:line="440" w:lineRule="exact"/>
              <w:ind w:left="0" w:right="0"/>
              <w:jc w:val="center"/>
              <w:textAlignment w:val="auto"/>
              <w:rPr>
                <w:rFonts w:hint="default" w:cs="Times New Roman" w:asciiTheme="minorEastAsia" w:hAnsiTheme="minorEastAsia" w:eastAsiaTheme="minorEastAsia"/>
                <w:color w:val="auto"/>
                <w:kern w:val="2"/>
                <w:sz w:val="21"/>
                <w:szCs w:val="21"/>
                <w:highlight w:val="none"/>
                <w:lang w:val="en-US" w:eastAsia="zh-CN" w:bidi="ar-SA"/>
              </w:rPr>
            </w:pPr>
            <w:r>
              <w:rPr>
                <w:rFonts w:hint="eastAsia" w:cs="Times New Roman" w:asciiTheme="minorEastAsia" w:hAnsiTheme="minorEastAsia" w:eastAsiaTheme="minorEastAsia"/>
                <w:color w:val="auto"/>
                <w:kern w:val="2"/>
                <w:sz w:val="21"/>
                <w:szCs w:val="21"/>
                <w:highlight w:val="none"/>
                <w:lang w:val="en-US" w:eastAsia="zh-CN" w:bidi="ar-SA"/>
              </w:rPr>
              <w:t>2.17</w:t>
            </w:r>
          </w:p>
        </w:tc>
        <w:tc>
          <w:tcPr>
            <w:tcW w:w="8422" w:type="dxa"/>
            <w:vAlign w:val="center"/>
          </w:tcPr>
          <w:p w14:paraId="70722235">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default" w:cs="Times New Roman" w:asciiTheme="minorEastAsia" w:hAnsiTheme="minorEastAsia" w:eastAsiaTheme="minorEastAsia"/>
                <w:color w:val="auto"/>
                <w:kern w:val="2"/>
                <w:sz w:val="21"/>
                <w:szCs w:val="21"/>
                <w:highlight w:val="none"/>
                <w:u w:val="single"/>
                <w:lang w:val="en-US" w:eastAsia="zh-CN" w:bidi="ar-SA"/>
              </w:rPr>
            </w:pPr>
            <w:r>
              <w:rPr>
                <w:rFonts w:hint="eastAsia" w:cs="Times New Roman" w:asciiTheme="minorEastAsia" w:hAnsiTheme="minorEastAsia" w:eastAsiaTheme="minorEastAsia"/>
                <w:color w:val="auto"/>
                <w:kern w:val="2"/>
                <w:sz w:val="21"/>
                <w:szCs w:val="21"/>
                <w:highlight w:val="none"/>
                <w:u w:val="single"/>
                <w:lang w:val="en-US" w:eastAsia="zh-CN" w:bidi="ar-SA"/>
              </w:rPr>
              <w:t>无履约保证金</w:t>
            </w:r>
          </w:p>
        </w:tc>
      </w:tr>
      <w:tr w14:paraId="5F99ED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1" w:hRule="atLeast"/>
          <w:jc w:val="center"/>
        </w:trPr>
        <w:tc>
          <w:tcPr>
            <w:tcW w:w="794" w:type="dxa"/>
            <w:tcBorders>
              <w:left w:val="single" w:color="auto" w:sz="4" w:space="0"/>
            </w:tcBorders>
            <w:vAlign w:val="center"/>
          </w:tcPr>
          <w:p w14:paraId="5CC32044">
            <w:pPr>
              <w:keepNext w:val="0"/>
              <w:keepLines w:val="0"/>
              <w:pageBreakBefore w:val="0"/>
              <w:suppressLineNumbers w:val="0"/>
              <w:kinsoku/>
              <w:wordWrap/>
              <w:overflowPunct/>
              <w:topLinePunct w:val="0"/>
              <w:bidi w:val="0"/>
              <w:snapToGrid/>
              <w:spacing w:before="0" w:beforeAutospacing="0" w:after="0" w:afterAutospacing="0" w:line="440" w:lineRule="exact"/>
              <w:ind w:left="0" w:right="0"/>
              <w:jc w:val="center"/>
              <w:textAlignment w:val="auto"/>
              <w:rPr>
                <w:rFonts w:hint="default" w:cs="Times New Roman" w:asciiTheme="minorEastAsia" w:hAnsiTheme="minorEastAsia" w:eastAsiaTheme="minorEastAsia"/>
                <w:color w:val="auto"/>
                <w:kern w:val="2"/>
                <w:sz w:val="21"/>
                <w:szCs w:val="21"/>
                <w:highlight w:val="none"/>
                <w:lang w:val="en-US" w:eastAsia="zh-CN" w:bidi="ar-SA"/>
              </w:rPr>
            </w:pPr>
            <w:r>
              <w:rPr>
                <w:rFonts w:hint="eastAsia" w:cs="Times New Roman" w:asciiTheme="minorEastAsia" w:hAnsiTheme="minorEastAsia" w:eastAsiaTheme="minorEastAsia"/>
                <w:color w:val="auto"/>
                <w:sz w:val="21"/>
                <w:szCs w:val="21"/>
                <w:highlight w:val="none"/>
                <w:lang w:val="en-US" w:eastAsia="zh-CN"/>
              </w:rPr>
              <w:t>2.18</w:t>
            </w:r>
          </w:p>
        </w:tc>
        <w:tc>
          <w:tcPr>
            <w:tcW w:w="8422" w:type="dxa"/>
            <w:vAlign w:val="center"/>
          </w:tcPr>
          <w:p w14:paraId="51A00944">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default" w:cs="Times New Roman" w:asciiTheme="minorEastAsia" w:hAnsiTheme="minorEastAsia" w:eastAsiaTheme="minorEastAsia"/>
                <w:color w:val="auto"/>
                <w:kern w:val="2"/>
                <w:sz w:val="21"/>
                <w:szCs w:val="21"/>
                <w:highlight w:val="none"/>
                <w:lang w:val="en-US" w:eastAsia="zh-CN" w:bidi="ar-SA"/>
              </w:rPr>
            </w:pPr>
            <w:r>
              <w:rPr>
                <w:rFonts w:hint="eastAsia" w:cs="Times New Roman" w:asciiTheme="minorEastAsia" w:hAnsiTheme="minorEastAsia" w:eastAsiaTheme="minorEastAsia"/>
                <w:color w:val="auto"/>
                <w:sz w:val="21"/>
                <w:szCs w:val="21"/>
                <w:highlight w:val="none"/>
                <w:u w:val="single"/>
              </w:rPr>
              <w:t>合同一式捌份，甲乙双方各执四份。</w:t>
            </w:r>
          </w:p>
        </w:tc>
      </w:tr>
      <w:tr w14:paraId="036F41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60C858BB">
            <w:pPr>
              <w:keepNext w:val="0"/>
              <w:keepLines w:val="0"/>
              <w:pageBreakBefore w:val="0"/>
              <w:suppressLineNumbers w:val="0"/>
              <w:kinsoku/>
              <w:wordWrap/>
              <w:overflowPunct/>
              <w:topLinePunct w:val="0"/>
              <w:bidi w:val="0"/>
              <w:snapToGrid/>
              <w:spacing w:before="0" w:beforeAutospacing="0" w:after="0" w:afterAutospacing="0" w:line="440" w:lineRule="exact"/>
              <w:ind w:left="0" w:right="0"/>
              <w:jc w:val="center"/>
              <w:textAlignment w:val="auto"/>
              <w:rPr>
                <w:rFonts w:hint="default" w:cs="Times New Roman" w:asciiTheme="minorEastAsia" w:hAnsiTheme="minorEastAsia" w:eastAsiaTheme="minorEastAsia"/>
                <w:color w:val="auto"/>
                <w:sz w:val="21"/>
                <w:szCs w:val="21"/>
                <w:highlight w:val="none"/>
                <w:lang w:val="en-US" w:eastAsia="zh-CN"/>
              </w:rPr>
            </w:pPr>
            <w:r>
              <w:rPr>
                <w:rFonts w:hint="eastAsia" w:cs="Times New Roman" w:asciiTheme="minorEastAsia" w:hAnsiTheme="minorEastAsia" w:eastAsiaTheme="minorEastAsia"/>
                <w:color w:val="auto"/>
                <w:sz w:val="21"/>
                <w:szCs w:val="21"/>
                <w:highlight w:val="none"/>
                <w:lang w:val="en-US" w:eastAsia="zh-CN"/>
              </w:rPr>
              <w:t>2.19</w:t>
            </w:r>
          </w:p>
        </w:tc>
        <w:tc>
          <w:tcPr>
            <w:tcW w:w="8422" w:type="dxa"/>
            <w:vAlign w:val="center"/>
          </w:tcPr>
          <w:p w14:paraId="543E8BFF">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cs="Times New Roman" w:asciiTheme="minorEastAsia" w:hAnsiTheme="minorEastAsia" w:eastAsiaTheme="minorEastAsia"/>
                <w:color w:val="auto"/>
                <w:sz w:val="21"/>
                <w:szCs w:val="21"/>
                <w:highlight w:val="none"/>
                <w:lang w:val="en-US" w:eastAsia="zh-CN"/>
              </w:rPr>
            </w:pPr>
            <w:r>
              <w:rPr>
                <w:rFonts w:hint="eastAsia" w:cs="Times New Roman" w:asciiTheme="minorEastAsia" w:hAnsiTheme="minorEastAsia" w:eastAsiaTheme="minorEastAsia"/>
                <w:color w:val="auto"/>
                <w:sz w:val="21"/>
                <w:szCs w:val="21"/>
                <w:highlight w:val="none"/>
                <w:lang w:val="en-US" w:eastAsia="zh-CN"/>
              </w:rPr>
              <w:t>合同补充内容</w:t>
            </w:r>
          </w:p>
          <w:p w14:paraId="1360B537">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cs="Times New Roman" w:asciiTheme="minorEastAsia" w:hAnsiTheme="minorEastAsia" w:eastAsiaTheme="minorEastAsia"/>
                <w:color w:val="auto"/>
                <w:sz w:val="21"/>
                <w:szCs w:val="21"/>
                <w:highlight w:val="none"/>
                <w:lang w:val="en-US" w:eastAsia="zh-CN"/>
              </w:rPr>
            </w:pPr>
            <w:r>
              <w:rPr>
                <w:rFonts w:hint="eastAsia" w:cs="Times New Roman" w:asciiTheme="minorEastAsia" w:hAnsiTheme="minorEastAsia" w:eastAsiaTheme="minorEastAsia"/>
                <w:color w:val="auto"/>
                <w:sz w:val="21"/>
                <w:szCs w:val="21"/>
                <w:highlight w:val="none"/>
                <w:lang w:val="en-US" w:eastAsia="zh-CN"/>
              </w:rPr>
              <w:t>1.甲方权利与义务</w:t>
            </w:r>
          </w:p>
          <w:p w14:paraId="4A83F16D">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cs="Times New Roman" w:asciiTheme="minorEastAsia" w:hAnsiTheme="minorEastAsia" w:eastAsiaTheme="minorEastAsia"/>
                <w:color w:val="auto"/>
                <w:sz w:val="21"/>
                <w:szCs w:val="21"/>
                <w:highlight w:val="none"/>
                <w:lang w:val="en-US" w:eastAsia="zh-CN"/>
              </w:rPr>
            </w:pPr>
            <w:r>
              <w:rPr>
                <w:rFonts w:hint="eastAsia" w:cs="Times New Roman" w:asciiTheme="minorEastAsia" w:hAnsiTheme="minorEastAsia" w:eastAsiaTheme="minorEastAsia"/>
                <w:color w:val="auto"/>
                <w:sz w:val="21"/>
                <w:szCs w:val="21"/>
                <w:highlight w:val="none"/>
                <w:lang w:val="en-US" w:eastAsia="zh-CN"/>
              </w:rPr>
              <w:t>1.1 甲方有权要求乙方全面、高效、优质的履行合同规定的要求（包括招标文件的要求及履约过程中甲方交待的事项）以及乙方承诺的义务（包括投标文件的承诺）。乙方未能如期达到本合同要求，甲方有权解除本合同，乙方应赔偿甲方相应的损失。</w:t>
            </w:r>
          </w:p>
          <w:p w14:paraId="57C68E1E">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cs="Times New Roman" w:asciiTheme="minorEastAsia" w:hAnsiTheme="minorEastAsia" w:eastAsiaTheme="minorEastAsia"/>
                <w:color w:val="auto"/>
                <w:sz w:val="21"/>
                <w:szCs w:val="21"/>
                <w:highlight w:val="none"/>
                <w:lang w:val="en-US" w:eastAsia="zh-CN"/>
              </w:rPr>
            </w:pPr>
            <w:r>
              <w:rPr>
                <w:rFonts w:hint="eastAsia" w:cs="Times New Roman" w:asciiTheme="minorEastAsia" w:hAnsiTheme="minorEastAsia" w:eastAsiaTheme="minorEastAsia"/>
                <w:color w:val="auto"/>
                <w:sz w:val="21"/>
                <w:szCs w:val="21"/>
                <w:highlight w:val="none"/>
                <w:lang w:val="en-US" w:eastAsia="zh-CN"/>
              </w:rPr>
              <w:t>1.2 甲方有权对乙方的合同履约和实施情况、质量、效果进行全面的技术指导、检查、管理和监督，对发现的问题及时向乙方提出书面或口头改进意见，并限期予以整改。</w:t>
            </w:r>
          </w:p>
          <w:p w14:paraId="17D6D99F">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cs="Times New Roman" w:asciiTheme="minorEastAsia" w:hAnsiTheme="minorEastAsia" w:eastAsiaTheme="minorEastAsia"/>
                <w:color w:val="auto"/>
                <w:sz w:val="21"/>
                <w:szCs w:val="21"/>
                <w:highlight w:val="none"/>
                <w:lang w:val="en-US" w:eastAsia="zh-CN"/>
              </w:rPr>
            </w:pPr>
            <w:r>
              <w:rPr>
                <w:rFonts w:hint="eastAsia" w:cs="Times New Roman" w:asciiTheme="minorEastAsia" w:hAnsiTheme="minorEastAsia" w:eastAsiaTheme="minorEastAsia"/>
                <w:color w:val="auto"/>
                <w:sz w:val="21"/>
                <w:szCs w:val="21"/>
                <w:highlight w:val="none"/>
                <w:lang w:val="en-US" w:eastAsia="zh-CN"/>
              </w:rPr>
              <w:t>1.3甲方有权对乙方不履行合同义务及其投标承诺的行为进行合同款项扣罚及经济处罚。</w:t>
            </w:r>
          </w:p>
          <w:p w14:paraId="440F45B1">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cs="Times New Roman" w:asciiTheme="minorEastAsia" w:hAnsiTheme="minorEastAsia" w:eastAsiaTheme="minorEastAsia"/>
                <w:color w:val="auto"/>
                <w:sz w:val="21"/>
                <w:szCs w:val="21"/>
                <w:highlight w:val="none"/>
                <w:lang w:val="en-US" w:eastAsia="zh-CN"/>
              </w:rPr>
            </w:pPr>
            <w:r>
              <w:rPr>
                <w:rFonts w:hint="eastAsia" w:cs="Times New Roman" w:asciiTheme="minorEastAsia" w:hAnsiTheme="minorEastAsia" w:eastAsiaTheme="minorEastAsia"/>
                <w:color w:val="auto"/>
                <w:sz w:val="21"/>
                <w:szCs w:val="21"/>
                <w:highlight w:val="none"/>
                <w:lang w:val="en-US" w:eastAsia="zh-CN"/>
              </w:rPr>
              <w:t>1.4 甲方应按时向乙方支付合同款项，如出现有合同款项扣罚或经济处罚的情况，将在扣罚相关金额后进行余额的支付。</w:t>
            </w:r>
          </w:p>
          <w:p w14:paraId="36F1DDCA">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cs="Times New Roman" w:asciiTheme="minorEastAsia" w:hAnsiTheme="minorEastAsia" w:eastAsiaTheme="minorEastAsia"/>
                <w:color w:val="auto"/>
                <w:sz w:val="21"/>
                <w:szCs w:val="21"/>
                <w:highlight w:val="none"/>
                <w:lang w:val="en-US" w:eastAsia="zh-CN"/>
              </w:rPr>
            </w:pPr>
            <w:r>
              <w:rPr>
                <w:rFonts w:hint="eastAsia" w:cs="Times New Roman" w:asciiTheme="minorEastAsia" w:hAnsiTheme="minorEastAsia" w:eastAsiaTheme="minorEastAsia"/>
                <w:color w:val="auto"/>
                <w:sz w:val="21"/>
                <w:szCs w:val="21"/>
                <w:highlight w:val="none"/>
                <w:lang w:val="en-US" w:eastAsia="zh-CN"/>
              </w:rPr>
              <w:t>1.5 甲方需积极协助配合乙方开展相关工作，协助乙方解决问题、使之顺利开展工作。</w:t>
            </w:r>
          </w:p>
          <w:p w14:paraId="7359B16E">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cs="Times New Roman" w:asciiTheme="minorEastAsia" w:hAnsiTheme="minorEastAsia" w:eastAsiaTheme="minorEastAsia"/>
                <w:color w:val="auto"/>
                <w:sz w:val="21"/>
                <w:szCs w:val="21"/>
                <w:highlight w:val="none"/>
                <w:lang w:val="en-US" w:eastAsia="zh-CN"/>
              </w:rPr>
            </w:pPr>
            <w:r>
              <w:rPr>
                <w:rFonts w:hint="eastAsia" w:cs="Times New Roman" w:asciiTheme="minorEastAsia" w:hAnsiTheme="minorEastAsia" w:eastAsiaTheme="minorEastAsia"/>
                <w:color w:val="auto"/>
                <w:sz w:val="21"/>
                <w:szCs w:val="21"/>
                <w:highlight w:val="none"/>
                <w:lang w:val="en-US" w:eastAsia="zh-CN"/>
              </w:rPr>
              <w:t>1.6 甲方可要求乙方调整不合格项目组成员及员工，并在要求的时间内及时调整到位。</w:t>
            </w:r>
          </w:p>
          <w:p w14:paraId="5AFF0967">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cs="Times New Roman" w:asciiTheme="minorEastAsia" w:hAnsiTheme="minorEastAsia" w:eastAsiaTheme="minorEastAsia"/>
                <w:color w:val="auto"/>
                <w:sz w:val="21"/>
                <w:szCs w:val="21"/>
                <w:highlight w:val="none"/>
                <w:lang w:val="en-US" w:eastAsia="zh-CN"/>
              </w:rPr>
            </w:pPr>
            <w:r>
              <w:rPr>
                <w:rFonts w:hint="eastAsia" w:cs="Times New Roman" w:asciiTheme="minorEastAsia" w:hAnsiTheme="minorEastAsia" w:eastAsiaTheme="minorEastAsia"/>
                <w:color w:val="auto"/>
                <w:sz w:val="21"/>
                <w:szCs w:val="21"/>
                <w:highlight w:val="none"/>
                <w:lang w:val="en-US" w:eastAsia="zh-CN"/>
              </w:rPr>
              <w:t>2.乙方权利和义务</w:t>
            </w:r>
          </w:p>
          <w:p w14:paraId="2493D3E7">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cs="Times New Roman" w:asciiTheme="minorEastAsia" w:hAnsiTheme="minorEastAsia" w:eastAsiaTheme="minorEastAsia"/>
                <w:color w:val="auto"/>
                <w:sz w:val="21"/>
                <w:szCs w:val="21"/>
                <w:highlight w:val="none"/>
                <w:lang w:val="en-US" w:eastAsia="zh-CN"/>
              </w:rPr>
            </w:pPr>
            <w:r>
              <w:rPr>
                <w:rFonts w:hint="eastAsia" w:cs="Times New Roman" w:asciiTheme="minorEastAsia" w:hAnsiTheme="minorEastAsia" w:eastAsiaTheme="minorEastAsia"/>
                <w:color w:val="auto"/>
                <w:sz w:val="21"/>
                <w:szCs w:val="21"/>
                <w:highlight w:val="none"/>
                <w:lang w:val="en-US" w:eastAsia="zh-CN"/>
              </w:rPr>
              <w:t>2.1乙方有权根据本合同约定获得合同款项、赛事商业运作和市场开发收益、赛事报名费。</w:t>
            </w:r>
          </w:p>
          <w:p w14:paraId="483CA8FA">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cs="Times New Roman" w:asciiTheme="minorEastAsia" w:hAnsiTheme="minorEastAsia" w:eastAsiaTheme="minorEastAsia"/>
                <w:color w:val="auto"/>
                <w:sz w:val="21"/>
                <w:szCs w:val="21"/>
                <w:highlight w:val="none"/>
                <w:lang w:val="en-US" w:eastAsia="zh-CN"/>
              </w:rPr>
            </w:pPr>
            <w:r>
              <w:rPr>
                <w:rFonts w:hint="eastAsia" w:cs="Times New Roman" w:asciiTheme="minorEastAsia" w:hAnsiTheme="minorEastAsia" w:eastAsiaTheme="minorEastAsia"/>
                <w:color w:val="auto"/>
                <w:sz w:val="21"/>
                <w:szCs w:val="21"/>
                <w:highlight w:val="none"/>
                <w:lang w:val="en-US" w:eastAsia="zh-CN"/>
              </w:rPr>
              <w:t>2.2 乙方应全面、高效、优质的履行合同约定的各项要求（包括招标文件的要求及履约过程中甲方交待的事项）以及己方承诺的义务（包括投标文件的承诺）。</w:t>
            </w:r>
          </w:p>
          <w:p w14:paraId="2A9591F0">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cs="Times New Roman" w:asciiTheme="minorEastAsia" w:hAnsiTheme="minorEastAsia" w:eastAsiaTheme="minorEastAsia"/>
                <w:color w:val="auto"/>
                <w:sz w:val="21"/>
                <w:szCs w:val="21"/>
                <w:highlight w:val="none"/>
                <w:lang w:val="en-US" w:eastAsia="zh-CN"/>
              </w:rPr>
            </w:pPr>
            <w:r>
              <w:rPr>
                <w:rFonts w:hint="eastAsia" w:cs="Times New Roman" w:asciiTheme="minorEastAsia" w:hAnsiTheme="minorEastAsia" w:eastAsiaTheme="minorEastAsia"/>
                <w:color w:val="auto"/>
                <w:sz w:val="21"/>
                <w:szCs w:val="21"/>
                <w:highlight w:val="none"/>
                <w:lang w:val="en-US" w:eastAsia="zh-CN"/>
              </w:rPr>
              <w:t>2.3 乙方应按甲方和赛事组委会的要求开展工作，如在合同履约过程中出现计划或方案变更情况时，应及时向甲方提出，并在征得甲方的同意后方可实施。</w:t>
            </w:r>
          </w:p>
          <w:p w14:paraId="41171F97">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cs="Times New Roman" w:asciiTheme="minorEastAsia" w:hAnsiTheme="minorEastAsia" w:eastAsiaTheme="minorEastAsia"/>
                <w:color w:val="auto"/>
                <w:sz w:val="21"/>
                <w:szCs w:val="21"/>
                <w:highlight w:val="none"/>
                <w:lang w:val="en-US" w:eastAsia="zh-CN"/>
              </w:rPr>
            </w:pPr>
            <w:r>
              <w:rPr>
                <w:rFonts w:hint="eastAsia" w:cs="Times New Roman" w:asciiTheme="minorEastAsia" w:hAnsiTheme="minorEastAsia" w:eastAsiaTheme="minorEastAsia"/>
                <w:color w:val="auto"/>
                <w:sz w:val="21"/>
                <w:szCs w:val="21"/>
                <w:highlight w:val="none"/>
                <w:lang w:val="en-US" w:eastAsia="zh-CN"/>
              </w:rPr>
              <w:t>2.4 乙方应按照赛事组委会办公室要求设立响应的项目组，每个项目组应的相对独立的，应合理确定各项目组的工作人员，全程参与组委会各工作机构的工作，积极配合赛事保障工作有关职能部门，做好赛事的各项筹备和保障工作，确保赛事安全、成功举办。</w:t>
            </w:r>
          </w:p>
          <w:p w14:paraId="1AEFB85C">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cs="Times New Roman" w:asciiTheme="minorEastAsia" w:hAnsiTheme="minorEastAsia" w:eastAsiaTheme="minorEastAsia"/>
                <w:color w:val="auto"/>
                <w:sz w:val="21"/>
                <w:szCs w:val="21"/>
                <w:highlight w:val="none"/>
                <w:lang w:val="en-US" w:eastAsia="zh-CN"/>
              </w:rPr>
            </w:pPr>
            <w:r>
              <w:rPr>
                <w:rFonts w:hint="eastAsia" w:cs="Times New Roman" w:asciiTheme="minorEastAsia" w:hAnsiTheme="minorEastAsia" w:eastAsiaTheme="minorEastAsia"/>
                <w:color w:val="auto"/>
                <w:sz w:val="21"/>
                <w:szCs w:val="21"/>
                <w:highlight w:val="none"/>
                <w:lang w:val="en-US" w:eastAsia="zh-CN"/>
              </w:rPr>
              <w:t>2.5 乙方应接受甲方的管理、监督、检查及指导，在项目实施过程中出现问题应及时的纠正并向甲方进行通报。</w:t>
            </w:r>
          </w:p>
          <w:p w14:paraId="5BE66E33">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cs="Times New Roman" w:asciiTheme="minorEastAsia" w:hAnsiTheme="minorEastAsia" w:eastAsiaTheme="minorEastAsia"/>
                <w:color w:val="auto"/>
                <w:sz w:val="21"/>
                <w:szCs w:val="21"/>
                <w:highlight w:val="none"/>
                <w:lang w:val="en-US" w:eastAsia="zh-CN"/>
              </w:rPr>
            </w:pPr>
            <w:r>
              <w:rPr>
                <w:rFonts w:hint="eastAsia" w:cs="Times New Roman" w:asciiTheme="minorEastAsia" w:hAnsiTheme="minorEastAsia" w:eastAsiaTheme="minorEastAsia"/>
                <w:color w:val="auto"/>
                <w:sz w:val="21"/>
                <w:szCs w:val="21"/>
                <w:highlight w:val="none"/>
                <w:lang w:val="en-US" w:eastAsia="zh-CN"/>
              </w:rPr>
              <w:t>2.6 乙方应维护赛事组委会及甲方的声誉和利益，服从甲方的统一安排。</w:t>
            </w:r>
          </w:p>
          <w:p w14:paraId="3269BB7A">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cs="Times New Roman" w:asciiTheme="minorEastAsia" w:hAnsiTheme="minorEastAsia" w:eastAsiaTheme="minorEastAsia"/>
                <w:color w:val="auto"/>
                <w:sz w:val="21"/>
                <w:szCs w:val="21"/>
                <w:highlight w:val="none"/>
                <w:lang w:val="en-US" w:eastAsia="zh-CN"/>
              </w:rPr>
            </w:pPr>
            <w:r>
              <w:rPr>
                <w:rFonts w:hint="eastAsia" w:cs="Times New Roman" w:asciiTheme="minorEastAsia" w:hAnsiTheme="minorEastAsia" w:eastAsiaTheme="minorEastAsia"/>
                <w:color w:val="auto"/>
                <w:sz w:val="21"/>
                <w:szCs w:val="21"/>
                <w:highlight w:val="none"/>
                <w:lang w:val="en-US" w:eastAsia="zh-CN"/>
              </w:rPr>
              <w:t>2.7 甲方不承担乙方在合同履行过程中因其责任引起的一切事故、法律纠纷和经济责任，乙方须自行负责并处理合同履行过程中与第三方发生的所有事故、法律纠纷及一切费用。</w:t>
            </w:r>
          </w:p>
          <w:p w14:paraId="7725197B">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cs="Times New Roman" w:asciiTheme="minorEastAsia" w:hAnsiTheme="minorEastAsia" w:eastAsiaTheme="minorEastAsia"/>
                <w:color w:val="auto"/>
                <w:sz w:val="21"/>
                <w:szCs w:val="21"/>
                <w:highlight w:val="none"/>
                <w:lang w:val="en-US" w:eastAsia="zh-CN"/>
              </w:rPr>
            </w:pPr>
            <w:r>
              <w:rPr>
                <w:rFonts w:hint="eastAsia" w:cs="Times New Roman" w:asciiTheme="minorEastAsia" w:hAnsiTheme="minorEastAsia" w:eastAsiaTheme="minorEastAsia"/>
                <w:color w:val="auto"/>
                <w:sz w:val="21"/>
                <w:szCs w:val="21"/>
                <w:highlight w:val="none"/>
                <w:lang w:val="en-US" w:eastAsia="zh-CN"/>
              </w:rPr>
              <w:t>2.8 乙方应严格遵守国家有关法律、法规，若有违反，由此造成的一切后果由乙方承担。乙方如因上述原因使合同性质发生改变，甲方不负赔偿责任。</w:t>
            </w:r>
          </w:p>
          <w:p w14:paraId="0D93543E">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cs="Times New Roman" w:asciiTheme="minorEastAsia" w:hAnsiTheme="minorEastAsia" w:eastAsiaTheme="minorEastAsia"/>
                <w:color w:val="auto"/>
                <w:sz w:val="21"/>
                <w:szCs w:val="21"/>
                <w:highlight w:val="none"/>
                <w:lang w:val="en-US" w:eastAsia="zh-CN"/>
              </w:rPr>
            </w:pPr>
            <w:r>
              <w:rPr>
                <w:rFonts w:hint="eastAsia" w:cs="Times New Roman" w:asciiTheme="minorEastAsia" w:hAnsiTheme="minorEastAsia" w:eastAsiaTheme="minorEastAsia"/>
                <w:color w:val="auto"/>
                <w:sz w:val="21"/>
                <w:szCs w:val="21"/>
                <w:highlight w:val="none"/>
                <w:lang w:val="en-US" w:eastAsia="zh-CN"/>
              </w:rPr>
              <w:t>2.9 乙方在制作、运输及安装施工过程中，应严格按照国家有关操作规程和施工规范进行作业。任何由乙方的原因造成的事故及赔偿均由乙方负责承担。</w:t>
            </w:r>
          </w:p>
          <w:p w14:paraId="6B465FB7">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eastAsia" w:cs="Times New Roman" w:asciiTheme="minorEastAsia" w:hAnsiTheme="minorEastAsia" w:eastAsiaTheme="minorEastAsia"/>
                <w:color w:val="auto"/>
                <w:sz w:val="21"/>
                <w:szCs w:val="21"/>
                <w:highlight w:val="none"/>
                <w:lang w:val="en-US" w:eastAsia="zh-CN"/>
              </w:rPr>
            </w:pPr>
            <w:r>
              <w:rPr>
                <w:rFonts w:hint="eastAsia" w:cs="Times New Roman" w:asciiTheme="minorEastAsia" w:hAnsiTheme="minorEastAsia" w:eastAsiaTheme="minorEastAsia"/>
                <w:color w:val="auto"/>
                <w:sz w:val="21"/>
                <w:szCs w:val="21"/>
                <w:highlight w:val="none"/>
                <w:lang w:val="en-US" w:eastAsia="zh-CN"/>
              </w:rPr>
              <w:t>2.10 乙方应做好赛事的各类文书资料的收集整理工作，赛事结束后统一移交给甲方立卷、归档。</w:t>
            </w:r>
          </w:p>
          <w:p w14:paraId="78752A79">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default" w:cs="Times New Roman" w:asciiTheme="minorEastAsia" w:hAnsiTheme="minorEastAsia" w:eastAsiaTheme="minorEastAsia"/>
                <w:color w:val="auto"/>
                <w:sz w:val="21"/>
                <w:szCs w:val="21"/>
                <w:highlight w:val="none"/>
                <w:lang w:val="en-US" w:eastAsia="zh-CN"/>
              </w:rPr>
            </w:pPr>
            <w:r>
              <w:rPr>
                <w:rFonts w:hint="eastAsia" w:cs="Times New Roman" w:asciiTheme="minorEastAsia" w:hAnsiTheme="minorEastAsia" w:eastAsiaTheme="minorEastAsia"/>
                <w:color w:val="auto"/>
                <w:sz w:val="21"/>
                <w:szCs w:val="21"/>
                <w:highlight w:val="none"/>
                <w:lang w:val="en-US" w:eastAsia="zh-CN"/>
              </w:rPr>
              <w:t>2.11 本合同执行中相关的一切税费均由乙方负担。</w:t>
            </w:r>
          </w:p>
        </w:tc>
      </w:tr>
      <w:tr w14:paraId="6D0896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6DA2FD36">
            <w:pPr>
              <w:keepNext w:val="0"/>
              <w:keepLines w:val="0"/>
              <w:pageBreakBefore w:val="0"/>
              <w:suppressLineNumbers w:val="0"/>
              <w:kinsoku/>
              <w:wordWrap/>
              <w:overflowPunct/>
              <w:topLinePunct w:val="0"/>
              <w:bidi w:val="0"/>
              <w:snapToGrid/>
              <w:spacing w:before="0" w:beforeAutospacing="0" w:after="0" w:afterAutospacing="0" w:line="440" w:lineRule="exact"/>
              <w:ind w:left="0" w:right="0"/>
              <w:jc w:val="center"/>
              <w:textAlignment w:val="auto"/>
              <w:rPr>
                <w:rFonts w:hint="default" w:cs="Times New Roman" w:asciiTheme="minorEastAsia" w:hAnsiTheme="minorEastAsia" w:eastAsiaTheme="minorEastAsia"/>
                <w:color w:val="auto"/>
                <w:sz w:val="21"/>
                <w:szCs w:val="21"/>
                <w:highlight w:val="none"/>
              </w:rPr>
            </w:pPr>
          </w:p>
        </w:tc>
        <w:tc>
          <w:tcPr>
            <w:tcW w:w="8422" w:type="dxa"/>
            <w:vAlign w:val="center"/>
          </w:tcPr>
          <w:p w14:paraId="545488A9">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default" w:cs="Times New Roman" w:asciiTheme="minorEastAsia" w:hAnsiTheme="minorEastAsia" w:eastAsiaTheme="minorEastAsia"/>
                <w:color w:val="auto"/>
                <w:sz w:val="21"/>
                <w:szCs w:val="21"/>
                <w:highlight w:val="none"/>
              </w:rPr>
            </w:pPr>
          </w:p>
        </w:tc>
      </w:tr>
      <w:tr w14:paraId="46FCB7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6FCEEB6E">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default" w:cs="Times New Roman" w:asciiTheme="minorEastAsia" w:hAnsiTheme="minorEastAsia" w:eastAsiaTheme="minorEastAsia"/>
                <w:color w:val="auto"/>
                <w:sz w:val="21"/>
                <w:szCs w:val="21"/>
                <w:highlight w:val="none"/>
              </w:rPr>
            </w:pPr>
          </w:p>
        </w:tc>
        <w:tc>
          <w:tcPr>
            <w:tcW w:w="8422" w:type="dxa"/>
            <w:vAlign w:val="center"/>
          </w:tcPr>
          <w:p w14:paraId="1BA4F505">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default" w:cs="Times New Roman" w:asciiTheme="minorEastAsia" w:hAnsiTheme="minorEastAsia" w:eastAsiaTheme="minorEastAsia"/>
                <w:color w:val="auto"/>
                <w:sz w:val="21"/>
                <w:szCs w:val="21"/>
                <w:highlight w:val="none"/>
              </w:rPr>
            </w:pPr>
          </w:p>
        </w:tc>
      </w:tr>
      <w:tr w14:paraId="2585AB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03916D56">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default" w:cs="Times New Roman" w:asciiTheme="minorEastAsia" w:hAnsiTheme="minorEastAsia" w:eastAsiaTheme="minorEastAsia"/>
                <w:color w:val="auto"/>
                <w:sz w:val="21"/>
                <w:szCs w:val="21"/>
                <w:highlight w:val="none"/>
              </w:rPr>
            </w:pPr>
          </w:p>
        </w:tc>
        <w:tc>
          <w:tcPr>
            <w:tcW w:w="8422" w:type="dxa"/>
            <w:tcBorders>
              <w:top w:val="single" w:color="auto" w:sz="6" w:space="0"/>
              <w:left w:val="single" w:color="auto" w:sz="6" w:space="0"/>
              <w:bottom w:val="single" w:color="auto" w:sz="6" w:space="0"/>
              <w:right w:val="single" w:color="auto" w:sz="6" w:space="0"/>
            </w:tcBorders>
            <w:vAlign w:val="center"/>
          </w:tcPr>
          <w:p w14:paraId="39CF5084">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default" w:cs="Times New Roman" w:asciiTheme="minorEastAsia" w:hAnsiTheme="minorEastAsia" w:eastAsiaTheme="minorEastAsia"/>
                <w:color w:val="auto"/>
                <w:sz w:val="21"/>
                <w:szCs w:val="21"/>
                <w:highlight w:val="none"/>
              </w:rPr>
            </w:pPr>
          </w:p>
        </w:tc>
      </w:tr>
      <w:tr w14:paraId="432523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5094F4ED">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default" w:cs="Times New Roman" w:asciiTheme="minorEastAsia" w:hAnsiTheme="minorEastAsia" w:eastAsiaTheme="minorEastAsia"/>
                <w:color w:val="auto"/>
                <w:sz w:val="21"/>
                <w:szCs w:val="21"/>
                <w:highlight w:val="none"/>
              </w:rPr>
            </w:pPr>
          </w:p>
        </w:tc>
        <w:tc>
          <w:tcPr>
            <w:tcW w:w="8422" w:type="dxa"/>
            <w:tcBorders>
              <w:top w:val="single" w:color="auto" w:sz="6" w:space="0"/>
              <w:left w:val="single" w:color="auto" w:sz="6" w:space="0"/>
              <w:bottom w:val="single" w:color="auto" w:sz="6" w:space="0"/>
              <w:right w:val="single" w:color="auto" w:sz="6" w:space="0"/>
            </w:tcBorders>
            <w:vAlign w:val="center"/>
          </w:tcPr>
          <w:p w14:paraId="1A2BED50">
            <w:pPr>
              <w:keepNext w:val="0"/>
              <w:keepLines w:val="0"/>
              <w:pageBreakBefore w:val="0"/>
              <w:suppressLineNumbers w:val="0"/>
              <w:kinsoku/>
              <w:wordWrap/>
              <w:overflowPunct/>
              <w:topLinePunct w:val="0"/>
              <w:bidi w:val="0"/>
              <w:snapToGrid/>
              <w:spacing w:before="0" w:beforeAutospacing="0" w:after="0" w:afterAutospacing="0" w:line="440" w:lineRule="exact"/>
              <w:ind w:left="0" w:right="0"/>
              <w:textAlignment w:val="auto"/>
              <w:rPr>
                <w:rFonts w:hint="default" w:cs="Times New Roman" w:asciiTheme="minorEastAsia" w:hAnsiTheme="minorEastAsia" w:eastAsiaTheme="minorEastAsia"/>
                <w:color w:val="auto"/>
                <w:sz w:val="21"/>
                <w:szCs w:val="21"/>
                <w:highlight w:val="none"/>
              </w:rPr>
            </w:pPr>
          </w:p>
        </w:tc>
      </w:tr>
    </w:tbl>
    <w:p w14:paraId="24A9BAA8">
      <w:pPr>
        <w:spacing w:line="360" w:lineRule="auto"/>
        <w:rPr>
          <w:rFonts w:asciiTheme="minorEastAsia" w:hAnsiTheme="minorEastAsia" w:eastAsiaTheme="minorEastAsia"/>
          <w:color w:val="auto"/>
          <w:sz w:val="21"/>
          <w:szCs w:val="21"/>
          <w:highlight w:val="none"/>
        </w:rPr>
      </w:pPr>
    </w:p>
    <w:p w14:paraId="33FC54AC">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7AA63F60">
      <w:pPr>
        <w:spacing w:line="48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廉政合同书</w:t>
      </w:r>
    </w:p>
    <w:p w14:paraId="591638BC">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为了贯彻落实党中央、国务院《关于实行党风廉政建设责任制的规定》和国家及滁州市有关工程建设、廉政建设的法律法规，加强工程建设中的党风廉政建设，保持廉洁自律的工作</w:t>
      </w:r>
      <w:r>
        <w:rPr>
          <w:rFonts w:hint="eastAsia" w:ascii="宋体" w:hAnsi="宋体" w:cs="宋体"/>
          <w:color w:val="auto"/>
          <w:sz w:val="21"/>
          <w:szCs w:val="21"/>
          <w:highlight w:val="none"/>
          <w:lang w:val="en-US" w:eastAsia="zh-CN"/>
        </w:rPr>
        <w:t>作</w:t>
      </w:r>
      <w:r>
        <w:rPr>
          <w:rFonts w:hint="eastAsia" w:ascii="宋体" w:hAnsi="宋体" w:eastAsia="宋体" w:cs="宋体"/>
          <w:color w:val="auto"/>
          <w:sz w:val="21"/>
          <w:szCs w:val="21"/>
          <w:highlight w:val="none"/>
        </w:rPr>
        <w:t xml:space="preserve">风，防止各种不正当行为的发生，保证工程建设优质高效、健康有序地进行，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 xml:space="preserve">（以下简称甲方），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（以下简 称乙方）订立如下协议：</w:t>
      </w:r>
    </w:p>
    <w:p w14:paraId="4FB5B885">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一、甲乙双方约定 </w:t>
      </w:r>
    </w:p>
    <w:p w14:paraId="489F83F6">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1、甲乙双方应共同遵守国家和省、市以及发包人</w:t>
      </w:r>
      <w:r>
        <w:rPr>
          <w:rFonts w:hint="eastAsia" w:ascii="宋体" w:hAnsi="宋体" w:cs="宋体"/>
          <w:color w:val="auto"/>
          <w:sz w:val="21"/>
          <w:szCs w:val="21"/>
          <w:highlight w:val="none"/>
          <w:lang w:val="en-US" w:eastAsia="zh-CN"/>
        </w:rPr>
        <w:t>行政主</w:t>
      </w:r>
      <w:r>
        <w:rPr>
          <w:rFonts w:hint="eastAsia" w:ascii="宋体" w:hAnsi="宋体" w:eastAsia="宋体" w:cs="宋体"/>
          <w:color w:val="auto"/>
          <w:sz w:val="21"/>
          <w:szCs w:val="21"/>
          <w:highlight w:val="none"/>
        </w:rPr>
        <w:t>管部门关于加强基础设施建设管理以及党风廉政建设的各项规定。</w:t>
      </w:r>
    </w:p>
    <w:p w14:paraId="0EA9B63A">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2、甲乙双方应认真执行约定的合同文件，自觉按合同办事。</w:t>
      </w:r>
    </w:p>
    <w:p w14:paraId="42BF242C">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3、除非法律认定的商业秘密和合同文件另有规定之外，甲乙双方的业务活动应坚持公开、公正、透明的原则，严禁搞损害国家和集体利益、违反工程建设管理规章制度的不正当交易。 </w:t>
      </w:r>
    </w:p>
    <w:p w14:paraId="4C108AAC">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4、甲乙双方应加强对本方人员的廉政监督，建立和健全廉政制度，认真查处本方的违法违纪行为。 </w:t>
      </w:r>
    </w:p>
    <w:p w14:paraId="2970DE81">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5、甲乙双方有对本方人员开展廉政告知、廉政教育和职业道德教育的义务。 </w:t>
      </w:r>
    </w:p>
    <w:p w14:paraId="689A9F88">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6、甲乙双方如发现对方在业务活动中有不廉洁行为，有及时提醒对方并督促其纠正的权利和义务。 </w:t>
      </w:r>
    </w:p>
    <w:p w14:paraId="65D5188A">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二、甲方在廉政建设方面的责任 </w:t>
      </w:r>
    </w:p>
    <w:p w14:paraId="19158EC1">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1、甲方及其工作人员不得以任何形式向乙方索要和收受回扣。 </w:t>
      </w:r>
    </w:p>
    <w:p w14:paraId="23DF577B">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2、甲方及其工作人员不得接受乙方的礼金、有价证券和贵重物品，不得在乙方报销任何应由个人支付的费用。</w:t>
      </w:r>
    </w:p>
    <w:p w14:paraId="04179AA6">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3、甲方工作人员不得参加可能对公正执行公务有影响的宴请和娱乐、旅游活动。 </w:t>
      </w:r>
    </w:p>
    <w:p w14:paraId="73C14DD8">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4、甲方及其工作人员不得要求或者接受乙方为其住房装修、婚丧嫁娶、家属子女的工作安排以及出国等提供方便。</w:t>
      </w:r>
    </w:p>
    <w:p w14:paraId="18B445A4">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5、甲方工作人员不得在家里或宿舍接待乙方有关工程事项的</w:t>
      </w:r>
      <w:r>
        <w:rPr>
          <w:rFonts w:hint="eastAsia" w:ascii="宋体" w:hAnsi="宋体" w:cs="宋体"/>
          <w:color w:val="auto"/>
          <w:sz w:val="21"/>
          <w:szCs w:val="21"/>
          <w:highlight w:val="none"/>
          <w:lang w:val="en-US" w:eastAsia="zh-CN"/>
        </w:rPr>
        <w:t>拜访</w:t>
      </w:r>
      <w:r>
        <w:rPr>
          <w:rFonts w:hint="eastAsia" w:ascii="宋体" w:hAnsi="宋体" w:eastAsia="宋体" w:cs="宋体"/>
          <w:color w:val="auto"/>
          <w:sz w:val="21"/>
          <w:szCs w:val="21"/>
          <w:highlight w:val="none"/>
        </w:rPr>
        <w:t xml:space="preserve">。 </w:t>
      </w:r>
    </w:p>
    <w:p w14:paraId="280336A9">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三、乙方在廉政建设方面的责任 </w:t>
      </w:r>
    </w:p>
    <w:p w14:paraId="715D0CC8">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1、乙方不得以任何理由向甲方工作人员行贿或馈赠礼品。</w:t>
      </w:r>
    </w:p>
    <w:p w14:paraId="31B638D5">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2、乙方不得以任何名义为甲方及其工作人员报支需由其个人支付的任何费用。 </w:t>
      </w:r>
    </w:p>
    <w:p w14:paraId="7F920BDE">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3、乙方不得以任何理由邀请甲方工作人员参加由公款支付的娱乐性活动。 </w:t>
      </w:r>
    </w:p>
    <w:p w14:paraId="27AAC62A">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4、乙方不得为甲方单位和个人购置或提供通信工具、交通工具、家电和高档办公用品。 </w:t>
      </w:r>
    </w:p>
    <w:p w14:paraId="58EB037A">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5、乙方人员不得到甲方人员家里或宿舍里</w:t>
      </w:r>
      <w:r>
        <w:rPr>
          <w:rFonts w:hint="eastAsia" w:ascii="宋体" w:hAnsi="宋体" w:cs="宋体"/>
          <w:color w:val="auto"/>
          <w:sz w:val="21"/>
          <w:szCs w:val="21"/>
          <w:highlight w:val="none"/>
          <w:lang w:val="en-US" w:eastAsia="zh-CN"/>
        </w:rPr>
        <w:t>拜访</w:t>
      </w:r>
      <w:r>
        <w:rPr>
          <w:rFonts w:hint="eastAsia" w:ascii="宋体" w:hAnsi="宋体" w:eastAsia="宋体" w:cs="宋体"/>
          <w:color w:val="auto"/>
          <w:sz w:val="21"/>
          <w:szCs w:val="21"/>
          <w:highlight w:val="none"/>
        </w:rPr>
        <w:t xml:space="preserve">有关工程建设事项。 </w:t>
      </w:r>
    </w:p>
    <w:p w14:paraId="60BB7C0C">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四、违约责任 </w:t>
      </w:r>
    </w:p>
    <w:p w14:paraId="1B78D490">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1、甲方有违反本合同第一条第</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至</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 xml:space="preserve">款和第二条的，除按甲方单位的廉政建设规定和有关行业规定处罚外，另外罚款1000元和5000元；给乙方单位造成损失的，应予以赔偿。 </w:t>
      </w:r>
    </w:p>
    <w:p w14:paraId="1AC8062E">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2、乙方有违反合同第一条第</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至</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 xml:space="preserve">款和第三条的，除按乙方单位的廉政建设规定和有关行业规定处罚外，视情节轻重和造成损失大小分别给予合同价款1%至5%（最高不超过合同价款的5%）的违约罚款或1-3年内不得进入中新苏滁高新技术产业开发区招标市场的处罚。 </w:t>
      </w:r>
    </w:p>
    <w:p w14:paraId="6F18DAB0">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五、检查方式</w:t>
      </w:r>
    </w:p>
    <w:p w14:paraId="2F9E1059">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本协议的履约情况由见证单位主持检查，甲乙双方共同派人参加，检查方式为座谈、问卷调查、查看资料或由各方约定的其他方式等。检查时间、次数、检查结论和处罚意见等由各方协商确定，如无法达成一致的，由见证单位依据事实裁定。 </w:t>
      </w:r>
    </w:p>
    <w:p w14:paraId="087213F3">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六、本协议作为合同的附件，与合同具有同等的法律效力，经协议双方签署后立即生效。 </w:t>
      </w:r>
    </w:p>
    <w:p w14:paraId="0FE6200E">
      <w:pPr>
        <w:spacing w:line="480" w:lineRule="exact"/>
        <w:ind w:firstLine="420" w:firstLineChars="200"/>
        <w:rPr>
          <w:rFonts w:hint="eastAsia" w:ascii="宋体" w:hAnsi="宋体" w:eastAsia="宋体" w:cs="宋体"/>
          <w:color w:val="auto"/>
          <w:sz w:val="21"/>
          <w:szCs w:val="21"/>
          <w:highlight w:val="none"/>
        </w:rPr>
      </w:pPr>
    </w:p>
    <w:p w14:paraId="74903687">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甲方单位：                        乙方单位：</w:t>
      </w:r>
    </w:p>
    <w:p w14:paraId="4DFD0005">
      <w:pPr>
        <w:spacing w:line="480" w:lineRule="exact"/>
        <w:ind w:firstLine="420" w:firstLineChars="200"/>
        <w:rPr>
          <w:rFonts w:hint="eastAsia" w:ascii="宋体" w:hAnsi="宋体" w:eastAsia="宋体" w:cs="宋体"/>
          <w:color w:val="auto"/>
          <w:sz w:val="21"/>
          <w:szCs w:val="21"/>
          <w:highlight w:val="none"/>
        </w:rPr>
      </w:pPr>
    </w:p>
    <w:p w14:paraId="36832220">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法定代表人 （授权人）：           法定代表人 （授权人）： </w:t>
      </w:r>
    </w:p>
    <w:p w14:paraId="66752F5D">
      <w:pPr>
        <w:spacing w:line="480" w:lineRule="exact"/>
        <w:ind w:firstLine="422" w:firstLineChars="200"/>
        <w:jc w:val="center"/>
        <w:rPr>
          <w:rFonts w:hint="eastAsia" w:ascii="宋体" w:hAnsi="宋体" w:eastAsia="宋体" w:cs="宋体"/>
          <w:b/>
          <w:bCs/>
          <w:color w:val="auto"/>
          <w:sz w:val="21"/>
          <w:szCs w:val="21"/>
          <w:highlight w:val="none"/>
        </w:rPr>
      </w:pPr>
    </w:p>
    <w:p w14:paraId="3B99B7F6">
      <w:pPr>
        <w:spacing w:line="480" w:lineRule="exact"/>
        <w:ind w:firstLine="422" w:firstLineChars="200"/>
        <w:jc w:val="center"/>
        <w:rPr>
          <w:rFonts w:hint="eastAsia" w:ascii="宋体" w:hAnsi="宋体" w:eastAsia="宋体" w:cs="宋体"/>
          <w:b/>
          <w:bCs/>
          <w:color w:val="auto"/>
          <w:sz w:val="21"/>
          <w:szCs w:val="21"/>
          <w:highlight w:val="none"/>
        </w:rPr>
      </w:pPr>
    </w:p>
    <w:p w14:paraId="04C55159">
      <w:pPr>
        <w:spacing w:line="48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br w:type="page"/>
      </w:r>
    </w:p>
    <w:p w14:paraId="74E5024E">
      <w:pPr>
        <w:spacing w:line="480" w:lineRule="exact"/>
        <w:ind w:firstLine="422" w:firstLineChars="200"/>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安全目标责任书</w:t>
      </w:r>
    </w:p>
    <w:p w14:paraId="34AB419C">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p w14:paraId="232118A6">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合同编号： </w:t>
      </w:r>
    </w:p>
    <w:p w14:paraId="2749E85D">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w:t>
      </w:r>
    </w:p>
    <w:p w14:paraId="78234F5B">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w:t>
      </w:r>
    </w:p>
    <w:p w14:paraId="2FAECD88">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为贯彻“安全第一、预防为主”的安全生产方针，坚持项目管理“以人为本”原则，确保项目无重大安全责任事故，保障现场作业人员、行人的人身安全及国家财产安全，根据《安全生产法》等相关法律法规，经甲乙双方协商，特制定本项目安全目标责任书。 </w:t>
      </w:r>
    </w:p>
    <w:p w14:paraId="5F94E90F">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一、本项目确定下列人员负责现场安全管理工作： </w:t>
      </w:r>
    </w:p>
    <w:p w14:paraId="21600FB8">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1、服务单位项目负责人： </w:t>
      </w:r>
    </w:p>
    <w:p w14:paraId="4610D59C">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二、本项目服务单位安全目标责任如下：</w:t>
      </w:r>
    </w:p>
    <w:p w14:paraId="412855C4">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1、服务单位项目负责人是本项目安全生产及相关业务活动的第一责任人。服务期间未经甲方批准不得擅离职守。 </w:t>
      </w:r>
    </w:p>
    <w:p w14:paraId="6278F2DC">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服务单位应全面负责服务项目的安全管理工作，保持服务作业现场的基本安全条件和状况符合有关的安全技术标准。服务单位必须落实安全生产管理措施。建立健全安全生产、安全管理组织和安全管理网络，成立安全领导小组，由项目负责人任组长。 </w:t>
      </w:r>
    </w:p>
    <w:p w14:paraId="0C229DE8">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建立和完善以岗位安全生产责任制为核心的安全生产制，明确安全生产目标，每个分解目标必须明确负责人和责任人，并制定具体的保证措施，确保目标实现。安全管理网络及安全工作的目标分解及保证措施必须报甲方审核确认后备案。</w:t>
      </w:r>
    </w:p>
    <w:p w14:paraId="7DF07FBB">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4、服务单位在进行进场准备的同时，必须具备全体服务管理人员、服务作业人员用工合同、社保证明、特种作业证书及以上人员意外伤害保险投保合同。 </w:t>
      </w:r>
    </w:p>
    <w:p w14:paraId="71B9FEDB">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5、服务单位应认真执行“安全生产技术交底制度”：服务作业前由项目现场负责人向服务作业人员进行安全技术交底，对服务作业中机械设备操作、用电等环节要重点交底，交底后由服务作业人员在交底表上签字确认。该交底表应与安全教育培训记录统一保存，备案待查。 </w:t>
      </w:r>
    </w:p>
    <w:p w14:paraId="7B9A9EE8">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服务单位应当建立、健全对服务作业人员的日常安全教育、技术培训和考核制度，严格组织服务作业，不得安排未接受过安全教育和技术培训的服务作业人员上岗作业，尤其是危险性大的机械使用及高空作业。 </w:t>
      </w:r>
    </w:p>
    <w:p w14:paraId="15970938">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7、切实做好“安全三上岗”制度，上岗前由项目现场负责人进行安全技术交底，上岗时班组安全员进行上岗巡回检查并做好上岗记录，每周进行一次总结讲评工作。培训记录必须有被培训对象签字，记录备案等查。 </w:t>
      </w:r>
    </w:p>
    <w:p w14:paraId="0BF2259A">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8、服务单位项目部每月应至少组织一次安全检查，同时根据季节环境和服务情况随时组织有针对性地检查，消除项目及服务中存在的安全隐患，所查问题必须明确整改措施、整改时间及负责人，并以书面的形式报甲方审查。 </w:t>
      </w:r>
    </w:p>
    <w:p w14:paraId="692A9D93">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9、坚持持证上岗制度，特殊工种作业人员必须提供国家、行业主管部门颁发的有效资格证明，具备上岗操作的技能和安全知识，方可上岗操作。对在施工中出现问题的操作人员 应立即停止上岗操作。 </w:t>
      </w:r>
    </w:p>
    <w:p w14:paraId="2726CFA4">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10、进场机械设备的使用必须有符合要求的操作规程，操作人员应持证操作，禁止违规操作使用。发包单位应进行现场的检查监督，对屡教屡犯人员勒令撤离现场，对服务单位</w:t>
      </w:r>
      <w:r>
        <w:rPr>
          <w:rFonts w:hint="eastAsia" w:ascii="宋体" w:hAnsi="宋体" w:cs="宋体"/>
          <w:color w:val="auto"/>
          <w:sz w:val="21"/>
          <w:szCs w:val="21"/>
          <w:highlight w:val="none"/>
          <w:lang w:val="en-US" w:eastAsia="zh-CN"/>
        </w:rPr>
        <w:t>警</w:t>
      </w:r>
      <w:r>
        <w:rPr>
          <w:rFonts w:hint="eastAsia" w:ascii="宋体" w:hAnsi="宋体" w:eastAsia="宋体" w:cs="宋体"/>
          <w:color w:val="auto"/>
          <w:sz w:val="21"/>
          <w:szCs w:val="21"/>
          <w:highlight w:val="none"/>
        </w:rPr>
        <w:t>告或处罚直至勒令停工、清场，严格保障服务作业安全。</w:t>
      </w:r>
    </w:p>
    <w:p w14:paraId="5AC240F6">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11、临时设施（包括临时工棚、临时办公、食堂等设施）的搭建必须书面报告发包单位审批同意，按园区相关部门的规定办理有关用地手续，并符合中新苏滁高新区规划建设局文件规定要求建造，所用材料必须满足防火、防台风、防汛的相关要求。临时设施必须按规 范配备消防器材，并保持完好。临时设施内用电、接线应规范整齐，工棚内严禁私接电水壶、 电饭锅、热得快等大功率电器设备，严禁私接乱拉电线，严禁存放汽油等易燃易爆用品，防止火灾发生。 </w:t>
      </w:r>
    </w:p>
    <w:p w14:paraId="3D624693">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12、服务作业区应设有安全防护措施，并要有围护或隔离措施及警示标志，夜间作业设有明显的安全标志牌和夜间红灯示警。夜间作业须按相关规定到环保部门申报备案，并按要求控制噪声等扰民因素。 </w:t>
      </w:r>
    </w:p>
    <w:p w14:paraId="7825C2F9">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服务单位应成立专业巡视队伍，配置相应的巡视车辆和巡视人员对设施状态及作业行为安全进行检查，主要检查要点有（但不仅限于下述内容）：作业行为安全检查要点：巡视、现场作业人员着装；交通分流、疏导标示标牌设置； 现场作业指示、警示标志设置；现场作业范围围挡设置；夜间施工警示标志（警示灯）设置；防暑降温措施等其他检查要点。</w:t>
      </w:r>
    </w:p>
    <w:p w14:paraId="42952E22">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14、服务单位对巡视发现的安全隐患应及时修复，如无法及时修复应采取围挡、封闭等安全措施并设置明显的警示、指示标志。任何因未及时发现或未及时围挡、修复而造成的任何损失由服务单位承担。</w:t>
      </w:r>
    </w:p>
    <w:p w14:paraId="4D9224E0">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三、本项目发包单位安全目标责任如下： </w:t>
      </w:r>
    </w:p>
    <w:p w14:paraId="03B59E93">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1、建立、健全本单位安全生产责任制 </w:t>
      </w:r>
    </w:p>
    <w:p w14:paraId="0EAAE5F9">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2、组织制定本单位安全生产规章制度和操作规程</w:t>
      </w:r>
    </w:p>
    <w:p w14:paraId="4366A207">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3、保证本单位安全生产投入的有效实施</w:t>
      </w:r>
    </w:p>
    <w:p w14:paraId="5B947900">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4、督促、检查本单位的安全生产工作，及时消除生产安全事故隐患</w:t>
      </w:r>
    </w:p>
    <w:p w14:paraId="7C083199">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5、组织制定并实施本单位的生产安全事故应急救援预案</w:t>
      </w:r>
    </w:p>
    <w:p w14:paraId="4EBBA41D">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6、及时、如实报告生产安全事故 </w:t>
      </w:r>
    </w:p>
    <w:p w14:paraId="20EFFCEA">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7、组织制定并实施本单位安全生产教育和培训计划 </w:t>
      </w:r>
    </w:p>
    <w:p w14:paraId="70A094D4">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8、根据有关规定定期对项目进行抽查，并书面记录。</w:t>
      </w:r>
    </w:p>
    <w:p w14:paraId="0DE1DF8A">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9、发包单位项目管理工程师是履行项目管理职能的现场代表，负责检查、督促作业单位对本项目的安全管理活动。 </w:t>
      </w:r>
    </w:p>
    <w:p w14:paraId="382D25E0">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10、项目进场前，发包单位项目工程师应检查项目服务单位安全教育记录，未经安全教育的服务作业人员不得进驻服务范围现场。</w:t>
      </w:r>
    </w:p>
    <w:p w14:paraId="72BBBE18">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11、项目进场前，发包单位项目工程师应组织相关专业部门对项目服务单位现场负责人、安全管理人员进行服务作业安全交底，内容包括：相关法律法规、服务作业安全注意事项、环境注意事项、项目安全目标责任书相关条款。安全交底要有书面记录，各方保存备查。 </w:t>
      </w:r>
    </w:p>
    <w:p w14:paraId="53733B44">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12、发包单位项目工程师应及时了解服务动态，如发现服务作业及项目现场中存在安全隐患应及时督促服务单位进行整改。 </w:t>
      </w:r>
    </w:p>
    <w:p w14:paraId="1B96AD9E">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13、发包单位管理工程师应按照公司《巡视管理工作制度》、《安全生产管理工作制度》等相关制度要求对辖区内绿地范围进行巡视检查，及时发现和督促服务单位整改。 </w:t>
      </w:r>
    </w:p>
    <w:p w14:paraId="56B291B8">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四、本项目安全隐患的处罚办法： </w:t>
      </w:r>
    </w:p>
    <w:p w14:paraId="77B478D1">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1、服务单位擅自更换项目现场负责人属严重违规，按合同相应条款考核扣款，开具《整改单》并责令限期整改。 </w:t>
      </w:r>
    </w:p>
    <w:p w14:paraId="16565FE7">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2、个人劳动防护用品佩戴不正确或未佩戴，属一般隐患</w:t>
      </w:r>
      <w:r>
        <w:rPr>
          <w:rFonts w:hint="eastAsia" w:ascii="宋体" w:hAnsi="宋体" w:eastAsia="宋体" w:cs="宋体"/>
          <w:color w:val="auto"/>
          <w:sz w:val="21"/>
          <w:szCs w:val="21"/>
          <w:highlight w:val="none"/>
          <w:lang w:val="en-US" w:eastAsia="zh-CN"/>
        </w:rPr>
        <w:t>每</w:t>
      </w:r>
      <w:r>
        <w:rPr>
          <w:rFonts w:hint="eastAsia" w:ascii="宋体" w:hAnsi="宋体" w:eastAsia="宋体" w:cs="宋体"/>
          <w:color w:val="auto"/>
          <w:sz w:val="21"/>
          <w:szCs w:val="21"/>
          <w:highlight w:val="none"/>
        </w:rPr>
        <w:t xml:space="preserve">次罚款100-200元。 </w:t>
      </w:r>
    </w:p>
    <w:p w14:paraId="67D0688D">
      <w:pPr>
        <w:spacing w:line="48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3、服务作业人员酒后作业、抽烟闲聊，发现一次罚款50</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 xml:space="preserve">元。 </w:t>
      </w:r>
    </w:p>
    <w:p w14:paraId="149439A7">
      <w:pPr>
        <w:spacing w:line="48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4、使用不合格设备，设备使用影响交通存在较大隐患的，发现一次罚款1000元。 </w:t>
      </w:r>
    </w:p>
    <w:p w14:paraId="5BF691B2">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 xml:space="preserve">、道路作业未设警示标志、未设交通分流标志，发现一次罚款1000元。 </w:t>
      </w:r>
    </w:p>
    <w:p w14:paraId="7EAD1F1E">
      <w:pPr>
        <w:spacing w:line="48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 xml:space="preserve">、违反文明作业要求，作业环境差，发现一次罚款200-500元 </w:t>
      </w:r>
      <w:r>
        <w:rPr>
          <w:rFonts w:hint="eastAsia" w:ascii="宋体" w:hAnsi="宋体" w:cs="宋体"/>
          <w:color w:val="auto"/>
          <w:sz w:val="21"/>
          <w:szCs w:val="21"/>
          <w:highlight w:val="none"/>
          <w:lang w:eastAsia="zh-CN"/>
        </w:rPr>
        <w:t>。</w:t>
      </w:r>
    </w:p>
    <w:p w14:paraId="3E00405D">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 xml:space="preserve">、上述对服务单位的罚金于服务费用中扣除。 </w:t>
      </w:r>
    </w:p>
    <w:p w14:paraId="7E203881">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五、本项目安全事故的处罚规定：</w:t>
      </w:r>
    </w:p>
    <w:p w14:paraId="743D6E73">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1、对发生安全事故的服务单位按照滁州市和中新苏滁高新区政府的管理办法进行处罚，并将其清退出场。</w:t>
      </w:r>
    </w:p>
    <w:p w14:paraId="53030289">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2、如项目服务作业中出现人员伤亡，发包单位有权代服务单位处理事故，并动用适当比例（视事故大小）服务费用作为事故预处理费用，该费用由服务单位承担。</w:t>
      </w:r>
    </w:p>
    <w:p w14:paraId="0590150B">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3、服务单位因安全事故造成人员死亡的，对项目现场负责人及相关人员立即更换，除按有关规定处理以外，同时取消该服务单位在发包单位自事故处理完结起两年内的投标资格。 </w:t>
      </w:r>
    </w:p>
    <w:p w14:paraId="1FC2BBA3">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六、其他事项 </w:t>
      </w:r>
    </w:p>
    <w:p w14:paraId="61B3253F">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1、本项目安全生产责任书为发包单位、服务单位的双方协议，由双方授权代表签字并加盖公章后生效； </w:t>
      </w:r>
    </w:p>
    <w:p w14:paraId="3147421C">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2、本项目安全生产责任书为发包单位与服务单位签订的服务合同的附件，与服务合同具有同等法律效力。 </w:t>
      </w:r>
    </w:p>
    <w:p w14:paraId="408CD06E">
      <w:pPr>
        <w:spacing w:line="480" w:lineRule="exact"/>
        <w:ind w:firstLine="420" w:firstLineChars="200"/>
        <w:jc w:val="left"/>
        <w:rPr>
          <w:rFonts w:hint="eastAsia" w:ascii="宋体" w:hAnsi="宋体" w:eastAsia="宋体" w:cs="宋体"/>
          <w:color w:val="auto"/>
          <w:sz w:val="21"/>
          <w:szCs w:val="21"/>
          <w:highlight w:val="none"/>
        </w:rPr>
      </w:pPr>
    </w:p>
    <w:p w14:paraId="3B6914D6">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服务单位（盖章）            发包单位（盖章）</w:t>
      </w:r>
    </w:p>
    <w:p w14:paraId="244F5EB1">
      <w:pPr>
        <w:spacing w:line="480" w:lineRule="exact"/>
        <w:ind w:firstLine="420" w:firstLineChars="200"/>
        <w:jc w:val="left"/>
        <w:rPr>
          <w:rFonts w:hint="eastAsia" w:ascii="宋体" w:hAnsi="宋体" w:eastAsia="宋体" w:cs="宋体"/>
          <w:color w:val="auto"/>
          <w:sz w:val="21"/>
          <w:szCs w:val="21"/>
          <w:highlight w:val="none"/>
        </w:rPr>
      </w:pPr>
    </w:p>
    <w:p w14:paraId="6F379FC5">
      <w:pPr>
        <w:spacing w:line="48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项目现场负责人签字：        项目现场负责人签字：</w:t>
      </w:r>
    </w:p>
    <w:p w14:paraId="1C5E81DB">
      <w:pPr>
        <w:spacing w:line="480" w:lineRule="exact"/>
        <w:ind w:firstLine="420" w:firstLineChars="200"/>
        <w:jc w:val="left"/>
        <w:rPr>
          <w:rFonts w:hint="eastAsia" w:ascii="宋体" w:hAnsi="宋体" w:eastAsia="宋体" w:cs="宋体"/>
          <w:color w:val="auto"/>
          <w:sz w:val="21"/>
          <w:szCs w:val="21"/>
          <w:highlight w:val="none"/>
        </w:rPr>
      </w:pPr>
    </w:p>
    <w:p w14:paraId="167BD4B0">
      <w:pPr>
        <w:spacing w:line="480" w:lineRule="exact"/>
        <w:ind w:firstLine="630" w:firstLineChars="300"/>
        <w:jc w:val="left"/>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月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                    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月</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日 </w:t>
      </w:r>
    </w:p>
    <w:p w14:paraId="128613F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p>
    <w:p w14:paraId="1B6BDB8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p>
    <w:p w14:paraId="12FCA03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p>
    <w:p w14:paraId="41D3D85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p>
    <w:p w14:paraId="40351A5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p>
    <w:p w14:paraId="424E5D6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p>
    <w:p w14:paraId="3DF9ABF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p>
    <w:p w14:paraId="60132D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p>
    <w:p w14:paraId="7C1FA91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p>
    <w:p w14:paraId="7EF27DF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p>
    <w:p w14:paraId="50B61DA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p>
    <w:p w14:paraId="65E41CF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p>
    <w:p w14:paraId="48F6F69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p>
    <w:p w14:paraId="79867D4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p>
    <w:p w14:paraId="557646D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p>
    <w:p w14:paraId="6422F4B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p>
    <w:p w14:paraId="56598F0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p>
    <w:p w14:paraId="73E73AF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p>
    <w:p w14:paraId="173C19B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p>
    <w:p w14:paraId="4B8B61E9">
      <w:pPr>
        <w:pStyle w:val="2"/>
        <w:shd w:val="clear"/>
        <w:rPr>
          <w:color w:val="auto"/>
          <w:highlight w:val="none"/>
        </w:rPr>
      </w:pPr>
      <w:bookmarkStart w:id="244" w:name="_Toc20961"/>
      <w:r>
        <w:rPr>
          <w:rFonts w:hint="eastAsia"/>
          <w:color w:val="auto"/>
          <w:highlight w:val="none"/>
        </w:rPr>
        <w:t>第六章  投标文件格式</w:t>
      </w:r>
      <w:bookmarkEnd w:id="102"/>
      <w:bookmarkEnd w:id="244"/>
    </w:p>
    <w:p w14:paraId="2F3ECE03">
      <w:pPr>
        <w:shd w:val="clear"/>
        <w:jc w:val="center"/>
        <w:rPr>
          <w:rFonts w:ascii="宋体" w:hAnsi="宋体"/>
          <w:b/>
          <w:color w:val="auto"/>
          <w:sz w:val="28"/>
          <w:szCs w:val="28"/>
          <w:highlight w:val="none"/>
          <w:bdr w:val="single" w:color="auto" w:sz="4" w:space="0"/>
        </w:rPr>
      </w:pPr>
      <w:r>
        <w:rPr>
          <w:rFonts w:hint="eastAsia" w:ascii="宋体" w:hAnsi="宋体"/>
          <w:b/>
          <w:color w:val="auto"/>
          <w:sz w:val="28"/>
          <w:szCs w:val="28"/>
          <w:highlight w:val="none"/>
        </w:rPr>
        <w:t>一、资信证明格式文件</w:t>
      </w:r>
    </w:p>
    <w:p w14:paraId="3F39163B">
      <w:pPr>
        <w:shd w:val="clear"/>
        <w:jc w:val="center"/>
        <w:rPr>
          <w:rFonts w:eastAsia="黑体"/>
          <w:color w:val="auto"/>
          <w:sz w:val="20"/>
          <w:highlight w:val="none"/>
        </w:rPr>
      </w:pPr>
    </w:p>
    <w:p w14:paraId="0C64D765">
      <w:pPr>
        <w:shd w:val="clear"/>
        <w:rPr>
          <w:rFonts w:eastAsia="黑体"/>
          <w:color w:val="auto"/>
          <w:sz w:val="20"/>
          <w:highlight w:val="none"/>
        </w:rPr>
      </w:pPr>
    </w:p>
    <w:p w14:paraId="47C3C2C8">
      <w:pPr>
        <w:shd w:val="clear"/>
        <w:jc w:val="center"/>
        <w:rPr>
          <w:rFonts w:hint="eastAsia" w:ascii="宋体"/>
          <w:b/>
          <w:color w:val="auto"/>
          <w:sz w:val="44"/>
          <w:szCs w:val="44"/>
          <w:highlight w:val="none"/>
        </w:rPr>
      </w:pPr>
      <w:bookmarkStart w:id="245" w:name="_Toc449028949"/>
      <w:bookmarkStart w:id="246" w:name="_Toc350698753"/>
      <w:r>
        <w:rPr>
          <w:rFonts w:hint="eastAsia" w:ascii="宋体"/>
          <w:b/>
          <w:color w:val="auto"/>
          <w:sz w:val="44"/>
          <w:szCs w:val="44"/>
          <w:highlight w:val="none"/>
        </w:rPr>
        <w:t>资信证明文件</w:t>
      </w:r>
      <w:bookmarkEnd w:id="245"/>
      <w:bookmarkEnd w:id="246"/>
    </w:p>
    <w:p w14:paraId="6888B94F">
      <w:pPr>
        <w:shd w:val="clear"/>
        <w:jc w:val="center"/>
        <w:rPr>
          <w:rFonts w:hint="eastAsia" w:ascii="宋体"/>
          <w:b/>
          <w:color w:val="auto"/>
          <w:sz w:val="44"/>
          <w:szCs w:val="44"/>
          <w:highlight w:val="none"/>
        </w:rPr>
      </w:pPr>
    </w:p>
    <w:p w14:paraId="2B23B304">
      <w:pPr>
        <w:shd w:val="clear"/>
        <w:jc w:val="center"/>
        <w:rPr>
          <w:rFonts w:ascii="宋体"/>
          <w:color w:val="auto"/>
          <w:sz w:val="32"/>
          <w:szCs w:val="32"/>
          <w:highlight w:val="none"/>
        </w:rPr>
      </w:pPr>
      <w:r>
        <w:rPr>
          <w:rFonts w:hint="eastAsia" w:ascii="宋体"/>
          <w:color w:val="auto"/>
          <w:sz w:val="32"/>
          <w:szCs w:val="32"/>
          <w:highlight w:val="none"/>
        </w:rPr>
        <w:t>（投标文件一）</w:t>
      </w:r>
    </w:p>
    <w:p w14:paraId="1F908BE7">
      <w:pPr>
        <w:shd w:val="clear"/>
        <w:jc w:val="center"/>
        <w:rPr>
          <w:rFonts w:eastAsia="黑体"/>
          <w:color w:val="auto"/>
          <w:sz w:val="44"/>
          <w:szCs w:val="44"/>
          <w:highlight w:val="none"/>
        </w:rPr>
      </w:pPr>
    </w:p>
    <w:p w14:paraId="50FA55E3">
      <w:pPr>
        <w:shd w:val="clear"/>
        <w:jc w:val="center"/>
        <w:rPr>
          <w:rFonts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17B1AE7D">
      <w:pPr>
        <w:shd w:val="clear"/>
        <w:jc w:val="center"/>
        <w:rPr>
          <w:rFonts w:hint="eastAsia" w:ascii="宋体"/>
          <w:color w:val="auto"/>
          <w:sz w:val="28"/>
          <w:szCs w:val="28"/>
          <w:highlight w:val="none"/>
        </w:rPr>
      </w:pPr>
    </w:p>
    <w:p w14:paraId="6CEDA27A">
      <w:pPr>
        <w:shd w:val="clear"/>
        <w:jc w:val="center"/>
        <w:rPr>
          <w:rFonts w:ascii="宋体"/>
          <w:color w:val="auto"/>
          <w:sz w:val="44"/>
          <w:szCs w:val="44"/>
          <w:highlight w:val="none"/>
        </w:rPr>
      </w:pPr>
      <w:r>
        <w:rPr>
          <w:rFonts w:hint="eastAsia" w:ascii="宋体"/>
          <w:color w:val="auto"/>
          <w:sz w:val="28"/>
          <w:szCs w:val="28"/>
          <w:highlight w:val="none"/>
        </w:rPr>
        <w:t>项目编号：</w:t>
      </w:r>
      <w:r>
        <w:rPr>
          <w:rFonts w:hint="eastAsia" w:ascii="宋体"/>
          <w:color w:val="auto"/>
          <w:sz w:val="28"/>
          <w:szCs w:val="28"/>
          <w:highlight w:val="none"/>
          <w:u w:val="single"/>
        </w:rPr>
        <w:t xml:space="preserve">     </w:t>
      </w:r>
    </w:p>
    <w:p w14:paraId="352D2CB3">
      <w:pPr>
        <w:shd w:val="clear"/>
        <w:rPr>
          <w:rFonts w:ascii="宋体"/>
          <w:color w:val="auto"/>
          <w:sz w:val="28"/>
          <w:szCs w:val="28"/>
          <w:highlight w:val="none"/>
        </w:rPr>
      </w:pPr>
    </w:p>
    <w:p w14:paraId="4FC5A753">
      <w:pPr>
        <w:shd w:val="clear"/>
        <w:rPr>
          <w:rFonts w:ascii="宋体"/>
          <w:color w:val="auto"/>
          <w:sz w:val="28"/>
          <w:szCs w:val="28"/>
          <w:highlight w:val="none"/>
        </w:rPr>
      </w:pPr>
    </w:p>
    <w:p w14:paraId="1DFA373B">
      <w:pPr>
        <w:shd w:val="clear"/>
        <w:rPr>
          <w:rFonts w:ascii="宋体"/>
          <w:color w:val="auto"/>
          <w:sz w:val="28"/>
          <w:szCs w:val="28"/>
          <w:highlight w:val="none"/>
        </w:rPr>
      </w:pPr>
    </w:p>
    <w:p w14:paraId="16C10DA3">
      <w:pPr>
        <w:shd w:val="clear"/>
        <w:rPr>
          <w:rFonts w:ascii="宋体"/>
          <w:color w:val="auto"/>
          <w:sz w:val="28"/>
          <w:szCs w:val="28"/>
          <w:highlight w:val="none"/>
        </w:rPr>
      </w:pPr>
    </w:p>
    <w:p w14:paraId="503DEA7C">
      <w:pPr>
        <w:shd w:val="clear"/>
        <w:rPr>
          <w:rFonts w:ascii="宋体"/>
          <w:color w:val="auto"/>
          <w:sz w:val="28"/>
          <w:szCs w:val="28"/>
          <w:highlight w:val="none"/>
        </w:rPr>
      </w:pPr>
    </w:p>
    <w:p w14:paraId="26198A86">
      <w:pPr>
        <w:shd w:val="clear"/>
        <w:rPr>
          <w:rFonts w:ascii="宋体"/>
          <w:color w:val="auto"/>
          <w:sz w:val="28"/>
          <w:szCs w:val="28"/>
          <w:highlight w:val="none"/>
        </w:rPr>
      </w:pPr>
    </w:p>
    <w:p w14:paraId="54DD1591">
      <w:pPr>
        <w:shd w:val="clear"/>
        <w:rPr>
          <w:rFonts w:ascii="宋体"/>
          <w:color w:val="auto"/>
          <w:sz w:val="28"/>
          <w:szCs w:val="28"/>
          <w:highlight w:val="none"/>
        </w:rPr>
      </w:pPr>
    </w:p>
    <w:p w14:paraId="2CE33B46">
      <w:pPr>
        <w:shd w:val="clear"/>
        <w:rPr>
          <w:rFonts w:ascii="宋体"/>
          <w:color w:val="auto"/>
          <w:sz w:val="28"/>
          <w:szCs w:val="28"/>
          <w:highlight w:val="none"/>
        </w:rPr>
      </w:pPr>
    </w:p>
    <w:p w14:paraId="562597AD">
      <w:pPr>
        <w:shd w:val="clear"/>
        <w:rPr>
          <w:rFonts w:ascii="宋体"/>
          <w:color w:val="auto"/>
          <w:sz w:val="28"/>
          <w:szCs w:val="28"/>
          <w:highlight w:val="none"/>
        </w:rPr>
      </w:pPr>
    </w:p>
    <w:p w14:paraId="4DF176C3">
      <w:pPr>
        <w:shd w:val="clear"/>
        <w:rPr>
          <w:rFonts w:ascii="宋体"/>
          <w:color w:val="auto"/>
          <w:sz w:val="28"/>
          <w:szCs w:val="28"/>
          <w:highlight w:val="none"/>
        </w:rPr>
      </w:pPr>
    </w:p>
    <w:p w14:paraId="14FE95C4">
      <w:pPr>
        <w:keepNext w:val="0"/>
        <w:keepLines w:val="0"/>
        <w:pageBreakBefore w:val="0"/>
        <w:widowControl w:val="0"/>
        <w:shd w:val="clear"/>
        <w:kinsoku/>
        <w:wordWrap/>
        <w:overflowPunct/>
        <w:topLinePunct w:val="0"/>
        <w:autoSpaceDE/>
        <w:autoSpaceDN/>
        <w:bidi w:val="0"/>
        <w:adjustRightInd/>
        <w:snapToGrid/>
        <w:spacing w:line="700" w:lineRule="exact"/>
        <w:jc w:val="center"/>
        <w:textAlignment w:val="auto"/>
        <w:rPr>
          <w:rFonts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1C42B740">
      <w:pPr>
        <w:keepNext w:val="0"/>
        <w:keepLines w:val="0"/>
        <w:pageBreakBefore w:val="0"/>
        <w:widowControl w:val="0"/>
        <w:shd w:val="clear"/>
        <w:kinsoku/>
        <w:wordWrap/>
        <w:overflowPunct/>
        <w:topLinePunct w:val="0"/>
        <w:autoSpaceDE/>
        <w:autoSpaceDN/>
        <w:bidi w:val="0"/>
        <w:adjustRightInd/>
        <w:snapToGrid/>
        <w:spacing w:line="700" w:lineRule="exact"/>
        <w:jc w:val="center"/>
        <w:textAlignment w:val="auto"/>
        <w:rPr>
          <w:rFonts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14:paraId="794E2F68">
      <w:pPr>
        <w:keepNext w:val="0"/>
        <w:keepLines w:val="0"/>
        <w:pageBreakBefore w:val="0"/>
        <w:widowControl w:val="0"/>
        <w:shd w:val="clear"/>
        <w:kinsoku/>
        <w:wordWrap/>
        <w:overflowPunct/>
        <w:topLinePunct w:val="0"/>
        <w:autoSpaceDE/>
        <w:autoSpaceDN/>
        <w:bidi w:val="0"/>
        <w:adjustRightInd/>
        <w:snapToGrid/>
        <w:spacing w:line="700" w:lineRule="exact"/>
        <w:jc w:val="center"/>
        <w:textAlignment w:val="auto"/>
        <w:rPr>
          <w:rFonts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36053E0B">
      <w:pPr>
        <w:shd w:val="clear"/>
        <w:spacing w:line="720" w:lineRule="auto"/>
        <w:jc w:val="center"/>
        <w:rPr>
          <w:rFonts w:ascii="宋体"/>
          <w:b/>
          <w:color w:val="auto"/>
          <w:sz w:val="36"/>
          <w:szCs w:val="36"/>
          <w:highlight w:val="none"/>
        </w:rPr>
      </w:pPr>
    </w:p>
    <w:p w14:paraId="5DCA0A8E">
      <w:pPr>
        <w:shd w:val="clear"/>
        <w:spacing w:line="400" w:lineRule="exact"/>
        <w:ind w:firstLine="4130" w:firstLineChars="935"/>
        <w:rPr>
          <w:b/>
          <w:color w:val="auto"/>
          <w:sz w:val="44"/>
          <w:szCs w:val="44"/>
          <w:highlight w:val="none"/>
        </w:rPr>
      </w:pPr>
    </w:p>
    <w:p w14:paraId="4D492B39">
      <w:pPr>
        <w:pStyle w:val="33"/>
        <w:shd w:val="clear"/>
        <w:ind w:firstLine="210"/>
        <w:rPr>
          <w:color w:val="auto"/>
          <w:highlight w:val="none"/>
        </w:rPr>
      </w:pPr>
    </w:p>
    <w:p w14:paraId="14071A39">
      <w:pPr>
        <w:pStyle w:val="33"/>
        <w:shd w:val="clear"/>
        <w:ind w:firstLine="210"/>
        <w:rPr>
          <w:color w:val="auto"/>
          <w:highlight w:val="none"/>
        </w:rPr>
      </w:pPr>
    </w:p>
    <w:p w14:paraId="3C32B442">
      <w:pPr>
        <w:pStyle w:val="33"/>
        <w:shd w:val="clear"/>
        <w:ind w:firstLine="210"/>
        <w:rPr>
          <w:color w:val="auto"/>
          <w:highlight w:val="none"/>
        </w:rPr>
      </w:pPr>
    </w:p>
    <w:p w14:paraId="6A168C6C">
      <w:pPr>
        <w:pStyle w:val="33"/>
        <w:shd w:val="clear"/>
        <w:ind w:firstLine="210"/>
        <w:rPr>
          <w:color w:val="auto"/>
          <w:highlight w:val="none"/>
        </w:rPr>
      </w:pPr>
    </w:p>
    <w:p w14:paraId="2E8DA7C7">
      <w:pPr>
        <w:pStyle w:val="33"/>
        <w:shd w:val="clear"/>
        <w:ind w:firstLine="210"/>
        <w:rPr>
          <w:color w:val="auto"/>
          <w:highlight w:val="none"/>
        </w:rPr>
      </w:pPr>
    </w:p>
    <w:p w14:paraId="24B621DC">
      <w:pPr>
        <w:pStyle w:val="33"/>
        <w:shd w:val="clear"/>
        <w:ind w:firstLine="210"/>
        <w:rPr>
          <w:color w:val="auto"/>
          <w:highlight w:val="none"/>
        </w:rPr>
      </w:pPr>
    </w:p>
    <w:p w14:paraId="188F7BCB">
      <w:pPr>
        <w:shd w:val="clear"/>
        <w:jc w:val="center"/>
        <w:rPr>
          <w:b/>
          <w:color w:val="auto"/>
          <w:sz w:val="44"/>
          <w:szCs w:val="44"/>
          <w:highlight w:val="none"/>
        </w:rPr>
      </w:pPr>
      <w:r>
        <w:rPr>
          <w:rFonts w:hint="eastAsia"/>
          <w:b/>
          <w:color w:val="auto"/>
          <w:sz w:val="36"/>
          <w:szCs w:val="36"/>
          <w:highlight w:val="none"/>
        </w:rPr>
        <w:t>目   录</w:t>
      </w:r>
    </w:p>
    <w:p w14:paraId="00773A97">
      <w:pPr>
        <w:shd w:val="clear"/>
        <w:spacing w:line="400" w:lineRule="exact"/>
        <w:ind w:firstLine="562" w:firstLineChars="200"/>
        <w:rPr>
          <w:b/>
          <w:color w:val="auto"/>
          <w:sz w:val="28"/>
          <w:szCs w:val="28"/>
          <w:highlight w:val="none"/>
        </w:rPr>
      </w:pPr>
    </w:p>
    <w:p w14:paraId="7B4CE8D5">
      <w:pPr>
        <w:numPr>
          <w:ilvl w:val="0"/>
          <w:numId w:val="0"/>
        </w:numPr>
        <w:shd w:val="clear"/>
        <w:spacing w:line="440" w:lineRule="exact"/>
        <w:jc w:val="left"/>
        <w:rPr>
          <w:rFonts w:hint="eastAsia" w:ascii="宋体" w:hAnsi="宋体" w:cs="宋体"/>
          <w:bCs/>
          <w:color w:val="auto"/>
          <w:szCs w:val="21"/>
          <w:highlight w:val="none"/>
        </w:rPr>
      </w:pPr>
      <w:r>
        <w:rPr>
          <w:rFonts w:hint="eastAsia" w:ascii="宋体" w:hAnsi="宋体" w:eastAsia="宋体" w:cs="宋体"/>
          <w:bCs/>
          <w:color w:val="auto"/>
          <w:kern w:val="2"/>
          <w:sz w:val="21"/>
          <w:szCs w:val="21"/>
          <w:highlight w:val="none"/>
          <w:lang w:val="en-US" w:eastAsia="zh-CN" w:bidi="ar-SA"/>
        </w:rPr>
        <w:t>（1）</w:t>
      </w:r>
      <w:r>
        <w:rPr>
          <w:rFonts w:hint="eastAsia" w:ascii="宋体" w:hAnsi="宋体" w:cs="宋体"/>
          <w:bCs/>
          <w:color w:val="auto"/>
          <w:szCs w:val="21"/>
          <w:highlight w:val="none"/>
        </w:rPr>
        <w:t>法定代表人身份证明及其有效身份证（或法定代表人授权委托书及其有效身份证）（格式见附件）；</w:t>
      </w:r>
    </w:p>
    <w:p w14:paraId="35DE9742">
      <w:pPr>
        <w:keepNext w:val="0"/>
        <w:keepLines w:val="0"/>
        <w:pageBreakBefore w:val="0"/>
        <w:shd w:val="clear"/>
        <w:kinsoku/>
        <w:wordWrap/>
        <w:overflowPunct/>
        <w:topLinePunct w:val="0"/>
        <w:autoSpaceDE/>
        <w:autoSpaceDN/>
        <w:bidi w:val="0"/>
        <w:adjustRightInd/>
        <w:snapToGrid/>
        <w:spacing w:line="440" w:lineRule="exact"/>
        <w:textAlignment w:val="auto"/>
        <w:rPr>
          <w:rFonts w:hint="eastAsia" w:ascii="宋体" w:hAnsi="宋体" w:cs="宋体"/>
          <w:color w:val="auto"/>
          <w:szCs w:val="21"/>
          <w:highlight w:val="none"/>
        </w:rPr>
      </w:pPr>
      <w:r>
        <w:rPr>
          <w:rFonts w:hint="eastAsia" w:ascii="宋体" w:hAnsi="宋体" w:cs="宋体"/>
          <w:bCs/>
          <w:color w:val="auto"/>
          <w:szCs w:val="21"/>
          <w:highlight w:val="none"/>
        </w:rPr>
        <w:t>（2）</w:t>
      </w:r>
      <w:r>
        <w:rPr>
          <w:rFonts w:hint="eastAsia" w:ascii="宋体" w:hAnsi="宋体" w:cs="宋体"/>
          <w:color w:val="auto"/>
          <w:szCs w:val="21"/>
          <w:highlight w:val="none"/>
        </w:rPr>
        <w:t>投标人</w:t>
      </w:r>
      <w:r>
        <w:rPr>
          <w:rFonts w:hint="eastAsia" w:ascii="宋体" w:hAnsi="宋体" w:cs="宋体"/>
          <w:color w:val="auto"/>
          <w:szCs w:val="21"/>
          <w:highlight w:val="none"/>
          <w:lang w:eastAsia="zh-CN"/>
        </w:rPr>
        <w:t>为企业的，应提供</w:t>
      </w:r>
      <w:r>
        <w:rPr>
          <w:rFonts w:hint="eastAsia" w:ascii="宋体" w:hAnsi="宋体" w:cs="宋体"/>
          <w:color w:val="auto"/>
          <w:szCs w:val="21"/>
          <w:highlight w:val="none"/>
        </w:rPr>
        <w:t>有效的营业执照、税务登记证、组织机构码证（或“三证合一证书”）</w:t>
      </w:r>
    </w:p>
    <w:p w14:paraId="517852B3">
      <w:pPr>
        <w:spacing w:line="420" w:lineRule="exact"/>
        <w:jc w:val="left"/>
        <w:rPr>
          <w:rFonts w:ascii="宋体" w:hAnsi="宋体" w:cs="宋体"/>
          <w:bCs/>
          <w:color w:val="auto"/>
          <w:szCs w:val="21"/>
          <w:highlight w:val="none"/>
        </w:rPr>
      </w:pPr>
      <w:r>
        <w:rPr>
          <w:rFonts w:hint="eastAsia" w:ascii="宋体" w:hAnsi="宋体" w:cs="宋体"/>
          <w:bCs/>
          <w:color w:val="auto"/>
          <w:szCs w:val="21"/>
          <w:highlight w:val="none"/>
          <w:lang w:val="en-US" w:eastAsia="zh-CN"/>
        </w:rPr>
        <w:t>投标人</w:t>
      </w:r>
      <w:r>
        <w:rPr>
          <w:rFonts w:hint="eastAsia" w:ascii="宋体" w:hAnsi="宋体" w:cs="宋体"/>
          <w:bCs/>
          <w:color w:val="auto"/>
          <w:szCs w:val="21"/>
          <w:highlight w:val="none"/>
        </w:rPr>
        <w:t>为事业单位的，应提供有效的“事业单位法人证书”；</w:t>
      </w:r>
    </w:p>
    <w:p w14:paraId="429DC2FB">
      <w:pPr>
        <w:shd w:val="clear"/>
        <w:spacing w:line="440" w:lineRule="exact"/>
        <w:jc w:val="left"/>
        <w:rPr>
          <w:rFonts w:ascii="宋体" w:hAnsi="宋体" w:cs="宋体"/>
          <w:bCs/>
          <w:color w:val="auto"/>
          <w:szCs w:val="21"/>
          <w:highlight w:val="none"/>
        </w:rPr>
      </w:pPr>
      <w:r>
        <w:rPr>
          <w:rFonts w:hint="eastAsia" w:ascii="宋体" w:hAnsi="宋体" w:cs="宋体"/>
          <w:bCs/>
          <w:color w:val="auto"/>
          <w:szCs w:val="21"/>
          <w:highlight w:val="none"/>
        </w:rPr>
        <w:t>（3）</w:t>
      </w:r>
      <w:r>
        <w:rPr>
          <w:rFonts w:hint="eastAsia" w:ascii="宋体" w:hAnsi="宋体" w:cs="宋体"/>
          <w:color w:val="auto"/>
          <w:szCs w:val="21"/>
          <w:highlight w:val="none"/>
        </w:rPr>
        <w:t>诚信投标承诺书或公共信用信息报告（无违法违规证明版或核查版）</w:t>
      </w:r>
      <w:r>
        <w:rPr>
          <w:rFonts w:hint="eastAsia" w:ascii="宋体" w:hAnsi="宋体" w:cs="宋体"/>
          <w:bCs/>
          <w:color w:val="auto"/>
          <w:szCs w:val="21"/>
          <w:highlight w:val="none"/>
        </w:rPr>
        <w:t>；</w:t>
      </w:r>
    </w:p>
    <w:p w14:paraId="658D5A8A">
      <w:pPr>
        <w:shd w:val="clear"/>
        <w:spacing w:line="440" w:lineRule="exact"/>
        <w:jc w:val="left"/>
        <w:rPr>
          <w:rFonts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）服务承诺</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是否响应招标文件要求的书面说明和服务承诺书（格式见附件）</w:t>
      </w:r>
    </w:p>
    <w:p w14:paraId="1052AE67">
      <w:pPr>
        <w:shd w:val="clear"/>
        <w:spacing w:line="440" w:lineRule="exact"/>
        <w:jc w:val="left"/>
        <w:rPr>
          <w:rFonts w:hint="eastAsia" w:ascii="宋体" w:hAnsi="宋体" w:eastAsia="宋体" w:cs="宋体"/>
          <w:bCs/>
          <w:color w:val="auto"/>
          <w:szCs w:val="21"/>
          <w:highlight w:val="none"/>
          <w:lang w:val="en-US" w:eastAsia="zh-CN"/>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5</w:t>
      </w:r>
      <w:r>
        <w:rPr>
          <w:rFonts w:hint="eastAsia" w:ascii="宋体" w:hAnsi="宋体" w:cs="宋体"/>
          <w:bCs/>
          <w:color w:val="auto"/>
          <w:szCs w:val="21"/>
          <w:highlight w:val="none"/>
        </w:rPr>
        <w:t>）招标文件中要求的资信标评审及其他支持资料</w:t>
      </w:r>
      <w:r>
        <w:rPr>
          <w:rFonts w:hint="eastAsia" w:ascii="宋体" w:hAnsi="宋体" w:cs="宋体"/>
          <w:bCs/>
          <w:color w:val="auto"/>
          <w:szCs w:val="21"/>
          <w:highlight w:val="none"/>
          <w:lang w:eastAsia="zh-CN"/>
        </w:rPr>
        <w:t>。</w:t>
      </w:r>
    </w:p>
    <w:p w14:paraId="1A732646">
      <w:pPr>
        <w:shd w:val="clear"/>
        <w:spacing w:line="400" w:lineRule="exact"/>
        <w:ind w:firstLine="562" w:firstLineChars="200"/>
        <w:rPr>
          <w:b/>
          <w:color w:val="auto"/>
          <w:sz w:val="28"/>
          <w:szCs w:val="28"/>
          <w:highlight w:val="none"/>
        </w:rPr>
      </w:pPr>
    </w:p>
    <w:p w14:paraId="1217EE06">
      <w:pPr>
        <w:shd w:val="clear"/>
        <w:spacing w:line="400" w:lineRule="exact"/>
        <w:ind w:firstLine="562" w:firstLineChars="200"/>
        <w:rPr>
          <w:b/>
          <w:color w:val="auto"/>
          <w:sz w:val="28"/>
          <w:szCs w:val="28"/>
          <w:highlight w:val="none"/>
        </w:rPr>
      </w:pPr>
    </w:p>
    <w:p w14:paraId="1AC9D31B">
      <w:pPr>
        <w:shd w:val="clear"/>
        <w:spacing w:line="400" w:lineRule="exact"/>
        <w:ind w:firstLine="562" w:firstLineChars="200"/>
        <w:rPr>
          <w:b/>
          <w:color w:val="auto"/>
          <w:sz w:val="28"/>
          <w:szCs w:val="28"/>
          <w:highlight w:val="none"/>
        </w:rPr>
      </w:pPr>
    </w:p>
    <w:p w14:paraId="7ACC4C61">
      <w:pPr>
        <w:shd w:val="clear"/>
        <w:spacing w:line="400" w:lineRule="exact"/>
        <w:ind w:firstLine="562" w:firstLineChars="200"/>
        <w:rPr>
          <w:b/>
          <w:color w:val="auto"/>
          <w:sz w:val="28"/>
          <w:szCs w:val="28"/>
          <w:highlight w:val="none"/>
        </w:rPr>
      </w:pPr>
    </w:p>
    <w:p w14:paraId="0F1ED68A">
      <w:pPr>
        <w:shd w:val="clear"/>
        <w:spacing w:line="400" w:lineRule="exact"/>
        <w:rPr>
          <w:b/>
          <w:color w:val="auto"/>
          <w:sz w:val="28"/>
          <w:szCs w:val="28"/>
          <w:highlight w:val="none"/>
        </w:rPr>
        <w:sectPr>
          <w:headerReference r:id="rId5" w:type="default"/>
          <w:footerReference r:id="rId6" w:type="default"/>
          <w:pgSz w:w="11905" w:h="16838"/>
          <w:pgMar w:top="1247" w:right="1247" w:bottom="1157" w:left="1247" w:header="0" w:footer="998" w:gutter="0"/>
          <w:pgNumType w:fmt="decimal"/>
          <w:cols w:space="0" w:num="1"/>
          <w:rtlGutter w:val="0"/>
          <w:docGrid w:linePitch="312" w:charSpace="0"/>
        </w:sectPr>
      </w:pPr>
    </w:p>
    <w:p w14:paraId="1CC8963C">
      <w:pPr>
        <w:shd w:val="clear"/>
        <w:spacing w:line="360" w:lineRule="auto"/>
        <w:rPr>
          <w:b/>
          <w:color w:val="auto"/>
          <w:sz w:val="28"/>
          <w:szCs w:val="28"/>
          <w:highlight w:val="none"/>
        </w:rPr>
      </w:pPr>
      <w:r>
        <w:rPr>
          <w:rFonts w:hint="eastAsia"/>
          <w:b/>
          <w:color w:val="auto"/>
          <w:sz w:val="28"/>
          <w:szCs w:val="28"/>
          <w:highlight w:val="none"/>
        </w:rPr>
        <w:t>附件1</w:t>
      </w:r>
    </w:p>
    <w:p w14:paraId="7DE805B1">
      <w:pPr>
        <w:shd w:val="clear"/>
        <w:spacing w:line="360" w:lineRule="auto"/>
        <w:ind w:left="720"/>
        <w:jc w:val="center"/>
        <w:rPr>
          <w:rFonts w:ascii="宋体"/>
          <w:b/>
          <w:color w:val="auto"/>
          <w:sz w:val="28"/>
          <w:szCs w:val="28"/>
          <w:highlight w:val="none"/>
        </w:rPr>
      </w:pPr>
      <w:r>
        <w:rPr>
          <w:rFonts w:hint="eastAsia"/>
          <w:b/>
          <w:color w:val="auto"/>
          <w:sz w:val="28"/>
          <w:szCs w:val="28"/>
          <w:highlight w:val="none"/>
        </w:rPr>
        <w:t>法定代表人身份证明或授权委托书</w:t>
      </w:r>
    </w:p>
    <w:p w14:paraId="40902BE5">
      <w:pPr>
        <w:pStyle w:val="105"/>
        <w:shd w:val="clear"/>
        <w:spacing w:beforeLines="100" w:afterLines="100" w:line="480" w:lineRule="exact"/>
        <w:ind w:firstLine="180" w:firstLineChars="75"/>
        <w:rPr>
          <w:rFonts w:ascii="宋体"/>
          <w:b/>
          <w:color w:val="auto"/>
          <w:sz w:val="24"/>
          <w:szCs w:val="24"/>
          <w:highlight w:val="none"/>
        </w:rPr>
      </w:pPr>
      <w:r>
        <w:rPr>
          <w:rFonts w:hint="eastAsia" w:ascii="宋体"/>
          <w:color w:val="auto"/>
          <w:sz w:val="24"/>
          <w:szCs w:val="24"/>
          <w:highlight w:val="none"/>
        </w:rPr>
        <w:t>1.法定代表人身份证明</w:t>
      </w:r>
    </w:p>
    <w:p w14:paraId="752263EB">
      <w:pPr>
        <w:shd w:val="clear"/>
        <w:spacing w:line="480" w:lineRule="exact"/>
        <w:ind w:firstLine="480" w:firstLineChars="200"/>
        <w:rPr>
          <w:rFonts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2572523A">
      <w:pPr>
        <w:shd w:val="clear"/>
        <w:spacing w:line="480" w:lineRule="exact"/>
        <w:ind w:firstLine="480" w:firstLineChars="200"/>
        <w:rPr>
          <w:rFonts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1482C208">
      <w:pPr>
        <w:shd w:val="clear"/>
        <w:spacing w:line="480" w:lineRule="exact"/>
        <w:ind w:firstLine="480" w:firstLineChars="200"/>
        <w:rPr>
          <w:rFonts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764296D5">
      <w:pPr>
        <w:shd w:val="clear"/>
        <w:spacing w:line="480" w:lineRule="exact"/>
        <w:ind w:firstLine="480" w:firstLineChars="200"/>
        <w:rPr>
          <w:rFonts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52F6D72D">
      <w:pPr>
        <w:shd w:val="clear"/>
        <w:spacing w:line="480" w:lineRule="exact"/>
        <w:ind w:firstLine="480" w:firstLineChars="200"/>
        <w:rPr>
          <w:rFonts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rPr>
        <w:t xml:space="preserve"> </w:t>
      </w:r>
    </w:p>
    <w:p w14:paraId="7F6D6611">
      <w:pPr>
        <w:shd w:val="clear"/>
        <w:spacing w:line="480" w:lineRule="exact"/>
        <w:ind w:firstLine="1440" w:firstLineChars="200"/>
        <w:rPr>
          <w:rFonts w:ascii="宋体"/>
          <w:color w:val="auto"/>
          <w:sz w:val="24"/>
          <w:highlight w:val="non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_</w:t>
      </w:r>
    </w:p>
    <w:p w14:paraId="1DF80ADB">
      <w:pPr>
        <w:shd w:val="clear"/>
        <w:spacing w:line="480" w:lineRule="exact"/>
        <w:ind w:firstLine="480" w:firstLineChars="200"/>
        <w:rPr>
          <w:rFonts w:ascii="宋体"/>
          <w:color w:val="auto"/>
          <w:sz w:val="24"/>
          <w:highlight w:val="none"/>
        </w:rPr>
      </w:pP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（投标人名称）的法定代表人。</w:t>
      </w:r>
    </w:p>
    <w:p w14:paraId="60CE5E9A">
      <w:pPr>
        <w:shd w:val="clear"/>
        <w:spacing w:line="480" w:lineRule="exact"/>
        <w:ind w:firstLine="960" w:firstLineChars="400"/>
        <w:rPr>
          <w:rFonts w:ascii="宋体"/>
          <w:color w:val="auto"/>
          <w:sz w:val="24"/>
          <w:highlight w:val="none"/>
        </w:rPr>
      </w:pPr>
      <w:r>
        <w:rPr>
          <w:rFonts w:hint="eastAsia" w:ascii="宋体"/>
          <w:color w:val="auto"/>
          <w:sz w:val="24"/>
          <w:highlight w:val="none"/>
        </w:rPr>
        <w:t>特此证明。</w:t>
      </w:r>
    </w:p>
    <w:p w14:paraId="5A48FF0D">
      <w:pPr>
        <w:shd w:val="clear"/>
        <w:spacing w:line="360" w:lineRule="auto"/>
        <w:ind w:firstLine="3480" w:firstLineChars="1450"/>
        <w:jc w:val="right"/>
        <w:rPr>
          <w:rFonts w:hint="eastAsia" w:ascii="宋体"/>
          <w:color w:val="auto"/>
          <w:sz w:val="24"/>
          <w:highlight w:val="none"/>
        </w:rPr>
      </w:pPr>
    </w:p>
    <w:p w14:paraId="73C60D79">
      <w:pPr>
        <w:shd w:val="clear"/>
        <w:spacing w:line="360" w:lineRule="auto"/>
        <w:ind w:firstLine="3480" w:firstLineChars="1450"/>
        <w:jc w:val="right"/>
        <w:rPr>
          <w:rFonts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rPr>
        <w:t>（盖单位章）</w:t>
      </w:r>
    </w:p>
    <w:p w14:paraId="29CCF73D">
      <w:pPr>
        <w:shd w:val="clear"/>
        <w:wordWrap w:val="0"/>
        <w:spacing w:line="360" w:lineRule="auto"/>
        <w:jc w:val="right"/>
        <w:rPr>
          <w:color w:val="auto"/>
          <w:highlight w:val="none"/>
        </w:rPr>
      </w:pPr>
      <w:r>
        <w:rPr>
          <w:rFonts w:hint="eastAsia" w:ascii="宋体"/>
          <w:color w:val="auto"/>
          <w:sz w:val="24"/>
          <w:highlight w:val="none"/>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年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  </w:t>
      </w:r>
    </w:p>
    <w:p w14:paraId="4E98EF0F">
      <w:pPr>
        <w:shd w:val="clear"/>
        <w:spacing w:beforeLines="100" w:afterLines="100" w:line="480" w:lineRule="exact"/>
        <w:ind w:firstLine="3654" w:firstLineChars="1305"/>
        <w:rPr>
          <w:rFonts w:ascii="宋体"/>
          <w:color w:val="auto"/>
          <w:sz w:val="28"/>
          <w:szCs w:val="28"/>
          <w:highlight w:val="none"/>
        </w:rPr>
      </w:pPr>
      <w:r>
        <w:rPr>
          <w:rFonts w:hint="eastAsia" w:ascii="宋体"/>
          <w:color w:val="auto"/>
          <w:sz w:val="28"/>
          <w:szCs w:val="28"/>
          <w:highlight w:val="none"/>
        </w:rPr>
        <w:t>2.授权委托书</w:t>
      </w:r>
    </w:p>
    <w:p w14:paraId="0C0D3E2D">
      <w:pPr>
        <w:shd w:val="clear"/>
        <w:spacing w:line="480" w:lineRule="exact"/>
        <w:ind w:firstLine="480" w:firstLineChars="200"/>
        <w:rPr>
          <w:rFonts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”(项目名称、编号）投标文件，全权处理与该项目投标、评审答疑、签订合同以及与合同执行有关的一切事务，其法律后果由我方承担。</w:t>
      </w:r>
    </w:p>
    <w:p w14:paraId="7A554FF7">
      <w:pPr>
        <w:shd w:val="clear"/>
        <w:spacing w:line="480" w:lineRule="exact"/>
        <w:ind w:firstLine="480" w:firstLineChars="200"/>
        <w:rPr>
          <w:rFonts w:ascii="宋体"/>
          <w:color w:val="auto"/>
          <w:sz w:val="24"/>
          <w:highlight w:val="none"/>
          <w:u w:val="single"/>
        </w:rPr>
      </w:pPr>
      <w:r>
        <w:rPr>
          <w:rFonts w:hint="eastAsia" w:ascii="宋体"/>
          <w:color w:val="auto"/>
          <w:sz w:val="24"/>
          <w:highlight w:val="none"/>
        </w:rPr>
        <w:t>委托期限：</w:t>
      </w:r>
      <w:r>
        <w:rPr>
          <w:rFonts w:hint="eastAsia" w:ascii="宋体"/>
          <w:color w:val="auto"/>
          <w:sz w:val="24"/>
          <w:highlight w:val="none"/>
          <w:u w:val="single"/>
          <w:lang w:val="en-US" w:eastAsia="zh-CN"/>
        </w:rPr>
        <w:t>授权之日起至项目服务期结束。</w:t>
      </w:r>
      <w:r>
        <w:rPr>
          <w:rFonts w:hint="eastAsia" w:ascii="宋体"/>
          <w:color w:val="auto"/>
          <w:sz w:val="24"/>
          <w:highlight w:val="none"/>
          <w:u w:val="single"/>
        </w:rPr>
        <w:t xml:space="preserve">   </w:t>
      </w:r>
    </w:p>
    <w:p w14:paraId="6B84D81A">
      <w:pPr>
        <w:shd w:val="clear"/>
        <w:spacing w:line="480" w:lineRule="exact"/>
        <w:ind w:firstLine="480" w:firstLineChars="200"/>
        <w:rPr>
          <w:rFonts w:ascii="宋体"/>
          <w:color w:val="auto"/>
          <w:sz w:val="24"/>
          <w:highlight w:val="none"/>
        </w:rPr>
      </w:pPr>
      <w:r>
        <w:rPr>
          <w:rFonts w:hint="eastAsia" w:ascii="宋体"/>
          <w:color w:val="auto"/>
          <w:sz w:val="24"/>
          <w:highlight w:val="none"/>
        </w:rPr>
        <w:t>代理人无转委托权。</w:t>
      </w:r>
    </w:p>
    <w:p w14:paraId="0238882B">
      <w:pPr>
        <w:shd w:val="clear"/>
        <w:spacing w:line="480" w:lineRule="exact"/>
        <w:ind w:firstLine="480" w:firstLineChars="200"/>
        <w:rPr>
          <w:rFonts w:ascii="宋体"/>
          <w:color w:val="auto"/>
          <w:sz w:val="24"/>
          <w:highlight w:val="none"/>
        </w:rPr>
      </w:pPr>
      <w:r>
        <w:rPr>
          <w:rFonts w:hint="eastAsia" w:ascii="宋体"/>
          <w:color w:val="auto"/>
          <w:sz w:val="24"/>
          <w:highlight w:val="none"/>
        </w:rPr>
        <w:t>附：授权委托人有效身份证及法定代表人有效身份证</w:t>
      </w:r>
    </w:p>
    <w:p w14:paraId="0BF76EAF">
      <w:pPr>
        <w:shd w:val="clear"/>
        <w:spacing w:line="480" w:lineRule="auto"/>
        <w:rPr>
          <w:rFonts w:hint="eastAsia" w:ascii="宋体"/>
          <w:color w:val="auto"/>
          <w:sz w:val="24"/>
          <w:highlight w:val="none"/>
        </w:rPr>
      </w:pPr>
      <w:r>
        <w:rPr>
          <w:rFonts w:hint="eastAsia" w:ascii="宋体"/>
          <w:color w:val="auto"/>
          <w:sz w:val="24"/>
          <w:highlight w:val="none"/>
        </w:rPr>
        <w:t xml:space="preserve">                                     </w:t>
      </w:r>
    </w:p>
    <w:p w14:paraId="38BBE11E">
      <w:pPr>
        <w:shd w:val="clear"/>
        <w:spacing w:line="480" w:lineRule="auto"/>
        <w:jc w:val="right"/>
        <w:rPr>
          <w:rFonts w:ascii="宋体"/>
          <w:color w:val="auto"/>
          <w:sz w:val="24"/>
          <w:highlight w:val="none"/>
        </w:rPr>
      </w:pPr>
      <w:r>
        <w:rPr>
          <w:rFonts w:hint="eastAsia" w:ascii="宋体"/>
          <w:color w:val="auto"/>
          <w:sz w:val="24"/>
          <w:highlight w:val="none"/>
        </w:rPr>
        <w:t>投标人：             （盖单位章）</w:t>
      </w:r>
    </w:p>
    <w:p w14:paraId="0CA3C949">
      <w:pPr>
        <w:shd w:val="clear"/>
        <w:spacing w:line="480" w:lineRule="auto"/>
        <w:jc w:val="right"/>
        <w:rPr>
          <w:rFonts w:ascii="宋体"/>
          <w:color w:val="auto"/>
          <w:sz w:val="24"/>
          <w:highlight w:val="none"/>
        </w:rPr>
      </w:pPr>
      <w:r>
        <w:rPr>
          <w:rFonts w:hint="eastAsia" w:ascii="宋体"/>
          <w:color w:val="auto"/>
          <w:sz w:val="24"/>
          <w:highlight w:val="none"/>
        </w:rPr>
        <w:t>法定代表人（身份证号码）：             （签章）</w:t>
      </w:r>
    </w:p>
    <w:p w14:paraId="07B8A61D">
      <w:pPr>
        <w:shd w:val="clear"/>
        <w:spacing w:line="480" w:lineRule="auto"/>
        <w:ind w:firstLine="2820" w:firstLineChars="1175"/>
        <w:jc w:val="right"/>
        <w:rPr>
          <w:rFonts w:ascii="宋体"/>
          <w:color w:val="auto"/>
          <w:sz w:val="24"/>
          <w:highlight w:val="none"/>
        </w:rPr>
      </w:pPr>
      <w:r>
        <w:rPr>
          <w:rFonts w:hint="eastAsia" w:ascii="宋体"/>
          <w:color w:val="auto"/>
          <w:sz w:val="24"/>
          <w:highlight w:val="none"/>
        </w:rPr>
        <w:t xml:space="preserve">              年    月    日</w:t>
      </w:r>
    </w:p>
    <w:p w14:paraId="0CCAAACC">
      <w:pPr>
        <w:shd w:val="clear"/>
        <w:spacing w:line="360" w:lineRule="exact"/>
        <w:jc w:val="both"/>
        <w:rPr>
          <w:b/>
          <w:color w:val="auto"/>
          <w:sz w:val="28"/>
          <w:szCs w:val="28"/>
          <w:highlight w:val="none"/>
        </w:rPr>
      </w:pPr>
      <w:r>
        <w:rPr>
          <w:rFonts w:hint="eastAsia" w:ascii="宋体"/>
          <w:b/>
          <w:color w:val="auto"/>
          <w:sz w:val="30"/>
          <w:szCs w:val="30"/>
          <w:highlight w:val="none"/>
        </w:rPr>
        <w:t>附件2</w:t>
      </w:r>
      <w:r>
        <w:rPr>
          <w:rFonts w:hint="eastAsia" w:eastAsia="黑体"/>
          <w:b/>
          <w:bCs/>
          <w:color w:val="auto"/>
          <w:sz w:val="30"/>
          <w:highlight w:val="none"/>
          <w:lang w:val="en-US" w:eastAsia="zh-CN"/>
        </w:rPr>
        <w:t xml:space="preserve"> </w:t>
      </w:r>
      <w:bookmarkStart w:id="247" w:name="_Toc440443268"/>
      <w:bookmarkStart w:id="248" w:name="_Toc449028950"/>
      <w:r>
        <w:rPr>
          <w:rFonts w:hint="eastAsia" w:eastAsia="黑体"/>
          <w:b/>
          <w:bCs/>
          <w:color w:val="auto"/>
          <w:sz w:val="30"/>
          <w:highlight w:val="none"/>
          <w:lang w:val="en-US" w:eastAsia="zh-CN"/>
        </w:rPr>
        <w:t xml:space="preserve">                   </w:t>
      </w:r>
      <w:r>
        <w:rPr>
          <w:rFonts w:hint="eastAsia"/>
          <w:b/>
          <w:color w:val="auto"/>
          <w:sz w:val="28"/>
          <w:szCs w:val="28"/>
          <w:highlight w:val="none"/>
        </w:rPr>
        <w:t>诚信投标承诺书</w:t>
      </w:r>
    </w:p>
    <w:p w14:paraId="20738049">
      <w:pPr>
        <w:keepNext w:val="0"/>
        <w:keepLines w:val="0"/>
        <w:pageBreakBefore w:val="0"/>
        <w:widowControl w:val="0"/>
        <w:shd w:val="clear"/>
        <w:kinsoku/>
        <w:wordWrap/>
        <w:overflowPunct/>
        <w:topLinePunct w:val="0"/>
        <w:autoSpaceDE/>
        <w:autoSpaceDN/>
        <w:bidi w:val="0"/>
        <w:adjustRightInd/>
        <w:snapToGrid/>
        <w:spacing w:line="400" w:lineRule="exact"/>
        <w:ind w:left="0" w:leftChars="0" w:right="0" w:rightChars="0" w:firstLine="420" w:firstLineChars="200"/>
        <w:textAlignment w:val="auto"/>
        <w:rPr>
          <w:rFonts w:ascii="宋体" w:hAnsi="宋体"/>
          <w:color w:val="auto"/>
          <w:szCs w:val="21"/>
          <w:highlight w:val="none"/>
        </w:rPr>
      </w:pPr>
      <w:r>
        <w:rPr>
          <w:rFonts w:hint="eastAsia" w:ascii="宋体" w:hAnsi="宋体"/>
          <w:color w:val="auto"/>
          <w:szCs w:val="21"/>
          <w:highlight w:val="none"/>
        </w:rPr>
        <w:t>本人以企业法定代表人的身份郑重承诺：</w:t>
      </w:r>
    </w:p>
    <w:p w14:paraId="240F7DE4">
      <w:pPr>
        <w:keepNext w:val="0"/>
        <w:keepLines w:val="0"/>
        <w:pageBreakBefore w:val="0"/>
        <w:widowControl w:val="0"/>
        <w:shd w:val="clear"/>
        <w:kinsoku/>
        <w:wordWrap/>
        <w:overflowPunct/>
        <w:topLinePunct w:val="0"/>
        <w:autoSpaceDE/>
        <w:autoSpaceDN/>
        <w:bidi w:val="0"/>
        <w:adjustRightInd/>
        <w:snapToGrid/>
        <w:spacing w:line="400" w:lineRule="exact"/>
        <w:ind w:left="0" w:leftChars="0" w:right="0" w:rightChars="0" w:firstLine="420" w:firstLineChars="200"/>
        <w:textAlignment w:val="auto"/>
        <w:rPr>
          <w:rFonts w:ascii="宋体" w:hAnsi="宋体"/>
          <w:color w:val="auto"/>
          <w:szCs w:val="21"/>
          <w:highlight w:val="none"/>
        </w:rPr>
      </w:pPr>
      <w:r>
        <w:rPr>
          <w:rFonts w:hint="eastAsia" w:ascii="宋体" w:hAnsi="宋体"/>
          <w:color w:val="auto"/>
          <w:szCs w:val="21"/>
          <w:highlight w:val="none"/>
        </w:rPr>
        <w:t>一、将遵循公开、公正和诚实信用的原则自愿参加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项目的投标，所提供的一切材料都是真实、有效、合法的；</w:t>
      </w:r>
    </w:p>
    <w:p w14:paraId="2966BA52">
      <w:pPr>
        <w:keepNext w:val="0"/>
        <w:keepLines w:val="0"/>
        <w:pageBreakBefore w:val="0"/>
        <w:widowControl w:val="0"/>
        <w:shd w:val="clear"/>
        <w:kinsoku/>
        <w:wordWrap/>
        <w:overflowPunct/>
        <w:topLinePunct w:val="0"/>
        <w:autoSpaceDE/>
        <w:autoSpaceDN/>
        <w:bidi w:val="0"/>
        <w:adjustRightInd/>
        <w:snapToGrid/>
        <w:spacing w:line="400" w:lineRule="exact"/>
        <w:ind w:left="0" w:leftChars="0" w:right="0" w:rightChars="0" w:firstLine="420" w:firstLineChars="200"/>
        <w:textAlignment w:val="auto"/>
        <w:rPr>
          <w:rFonts w:ascii="宋体" w:hAnsi="宋体"/>
          <w:color w:val="auto"/>
          <w:szCs w:val="21"/>
          <w:highlight w:val="none"/>
        </w:rPr>
      </w:pPr>
      <w:r>
        <w:rPr>
          <w:rFonts w:hint="eastAsia" w:ascii="宋体" w:hAnsi="宋体"/>
          <w:color w:val="auto"/>
          <w:szCs w:val="21"/>
          <w:highlight w:val="none"/>
        </w:rPr>
        <w:t>二、本单位郑重声明，根据《中华人民共和国招标投标法》及《中华人民共和国招标投标法实施条例》的规定，我公司具有良好的商业信誉和健全的财务会计制度，具有履行合同所必需的设备和专业技术能力，有依法缴纳税收和社会保障资金的良好记录；没有因违法经营受到刑事处罚或者责令停产停业、吊销许可证或者执照、较大数额罚款等行政处罚。</w:t>
      </w:r>
    </w:p>
    <w:p w14:paraId="37A1F08B">
      <w:pPr>
        <w:keepNext w:val="0"/>
        <w:keepLines w:val="0"/>
        <w:pageBreakBefore w:val="0"/>
        <w:widowControl w:val="0"/>
        <w:shd w:val="clear"/>
        <w:kinsoku/>
        <w:wordWrap/>
        <w:overflowPunct/>
        <w:topLinePunct w:val="0"/>
        <w:autoSpaceDE/>
        <w:autoSpaceDN/>
        <w:bidi w:val="0"/>
        <w:adjustRightInd/>
        <w:snapToGrid/>
        <w:spacing w:line="400" w:lineRule="exact"/>
        <w:ind w:left="0" w:leftChars="0" w:right="0" w:rightChars="0" w:firstLine="420" w:firstLineChars="200"/>
        <w:textAlignment w:val="auto"/>
        <w:rPr>
          <w:rFonts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49B65B28">
      <w:pPr>
        <w:keepNext w:val="0"/>
        <w:keepLines w:val="0"/>
        <w:pageBreakBefore w:val="0"/>
        <w:widowControl w:val="0"/>
        <w:shd w:val="clear"/>
        <w:kinsoku/>
        <w:wordWrap/>
        <w:overflowPunct/>
        <w:topLinePunct w:val="0"/>
        <w:autoSpaceDE/>
        <w:autoSpaceDN/>
        <w:bidi w:val="0"/>
        <w:adjustRightInd/>
        <w:snapToGrid/>
        <w:spacing w:line="400" w:lineRule="exact"/>
        <w:ind w:left="0" w:leftChars="0" w:right="0" w:rightChars="0" w:firstLine="420" w:firstLineChars="200"/>
        <w:textAlignment w:val="auto"/>
        <w:rPr>
          <w:rFonts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107E5175">
      <w:pPr>
        <w:keepNext w:val="0"/>
        <w:keepLines w:val="0"/>
        <w:pageBreakBefore w:val="0"/>
        <w:widowControl w:val="0"/>
        <w:shd w:val="clear"/>
        <w:kinsoku/>
        <w:wordWrap/>
        <w:overflowPunct/>
        <w:topLinePunct w:val="0"/>
        <w:autoSpaceDE/>
        <w:autoSpaceDN/>
        <w:bidi w:val="0"/>
        <w:adjustRightInd/>
        <w:snapToGrid/>
        <w:spacing w:line="400" w:lineRule="exact"/>
        <w:ind w:left="0" w:leftChars="0" w:right="0" w:rightChars="0" w:firstLine="420" w:firstLineChars="200"/>
        <w:textAlignment w:val="auto"/>
        <w:rPr>
          <w:rFonts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54C3CA83">
      <w:pPr>
        <w:keepNext w:val="0"/>
        <w:keepLines w:val="0"/>
        <w:pageBreakBefore w:val="0"/>
        <w:widowControl w:val="0"/>
        <w:shd w:val="clear"/>
        <w:kinsoku/>
        <w:wordWrap/>
        <w:overflowPunct/>
        <w:topLinePunct w:val="0"/>
        <w:autoSpaceDE/>
        <w:autoSpaceDN/>
        <w:bidi w:val="0"/>
        <w:adjustRightInd/>
        <w:snapToGrid/>
        <w:spacing w:line="400" w:lineRule="exact"/>
        <w:ind w:left="0" w:leftChars="0" w:right="0" w:rightChars="0"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六、</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（企业名称）</w:t>
      </w:r>
      <w:r>
        <w:rPr>
          <w:rFonts w:hint="eastAsia" w:ascii="宋体" w:hAnsi="宋体"/>
          <w:color w:val="auto"/>
          <w:szCs w:val="21"/>
          <w:highlight w:val="none"/>
        </w:rPr>
        <w:t>没有下列情形：</w:t>
      </w:r>
      <w:bookmarkStart w:id="249" w:name="OLE_LINK134"/>
      <w:bookmarkStart w:id="250" w:name="OLE_LINK133"/>
      <w:r>
        <w:rPr>
          <w:rFonts w:hint="eastAsia" w:ascii="宋体" w:hAnsi="宋体"/>
          <w:color w:val="auto"/>
          <w:szCs w:val="21"/>
          <w:highlight w:val="none"/>
        </w:rPr>
        <w:t>①被列入“信用中国”网站（www.creditchina.gov.cn）“失信被执行人”的</w:t>
      </w:r>
      <w:r>
        <w:rPr>
          <w:rFonts w:hint="eastAsia" w:ascii="宋体" w:hAnsi="宋体"/>
          <w:color w:val="auto"/>
          <w:szCs w:val="21"/>
          <w:highlight w:val="none"/>
          <w:lang w:eastAsia="zh-CN"/>
        </w:rPr>
        <w:t>；</w:t>
      </w:r>
      <w:r>
        <w:rPr>
          <w:rFonts w:hint="eastAsia" w:ascii="宋体" w:hAnsi="宋体"/>
          <w:color w:val="auto"/>
          <w:szCs w:val="21"/>
          <w:highlight w:val="none"/>
        </w:rPr>
        <w:t>②被列入“信用中国”网站（www.creditchina.gov.cn）“重大税收违法失信主体”的；③被列入“信用中国”网站（www.creditchina.gov.cn）“拖欠农民工工资失信联合惩戒对象名单”的；④被列入“信用中国”网站（www.creditchina.gov.cn） “</w:t>
      </w:r>
      <w:r>
        <w:rPr>
          <w:rFonts w:hint="eastAsia" w:ascii="宋体" w:hAnsi="宋体"/>
          <w:color w:val="auto"/>
          <w:szCs w:val="21"/>
          <w:highlight w:val="none"/>
          <w:lang w:eastAsia="zh-CN"/>
        </w:rPr>
        <w:t>安全生产严重失信主体名单</w:t>
      </w:r>
      <w:r>
        <w:rPr>
          <w:rFonts w:hint="eastAsia" w:ascii="宋体" w:hAnsi="宋体"/>
          <w:color w:val="auto"/>
          <w:szCs w:val="21"/>
          <w:highlight w:val="none"/>
        </w:rPr>
        <w:t>”的；⑤被列入国家企业信用信息公示系统网站（</w:t>
      </w:r>
      <w:r>
        <w:rPr>
          <w:rFonts w:hint="eastAsia" w:ascii="宋体" w:hAnsi="宋体"/>
          <w:color w:val="auto"/>
          <w:szCs w:val="21"/>
          <w:highlight w:val="none"/>
        </w:rPr>
        <w:fldChar w:fldCharType="begin"/>
      </w:r>
      <w:r>
        <w:rPr>
          <w:rFonts w:hint="eastAsia" w:ascii="宋体" w:hAnsi="宋体"/>
          <w:color w:val="auto"/>
          <w:szCs w:val="21"/>
          <w:highlight w:val="none"/>
        </w:rPr>
        <w:instrText xml:space="preserve"> HYPERLINK "http://www.gsxt.gov.cn）查询" </w:instrText>
      </w:r>
      <w:r>
        <w:rPr>
          <w:rFonts w:hint="eastAsia" w:ascii="宋体" w:hAnsi="宋体"/>
          <w:color w:val="auto"/>
          <w:szCs w:val="21"/>
          <w:highlight w:val="none"/>
        </w:rPr>
        <w:fldChar w:fldCharType="separate"/>
      </w:r>
      <w:r>
        <w:rPr>
          <w:rFonts w:hint="eastAsia" w:ascii="宋体" w:hAnsi="宋体"/>
          <w:color w:val="auto"/>
          <w:szCs w:val="21"/>
          <w:highlight w:val="none"/>
        </w:rPr>
        <w:t>www.gsxt.gov.cn）</w:t>
      </w:r>
      <w:r>
        <w:rPr>
          <w:rFonts w:hint="eastAsia" w:ascii="宋体" w:hAnsi="宋体"/>
          <w:color w:val="auto"/>
          <w:szCs w:val="21"/>
          <w:highlight w:val="none"/>
        </w:rPr>
        <w:fldChar w:fldCharType="end"/>
      </w:r>
      <w:r>
        <w:rPr>
          <w:rFonts w:hint="eastAsia" w:ascii="宋体" w:hAnsi="宋体"/>
          <w:color w:val="auto"/>
          <w:szCs w:val="21"/>
          <w:highlight w:val="none"/>
        </w:rPr>
        <w:t>“严重违法失信名单”的。</w:t>
      </w:r>
      <w:bookmarkEnd w:id="249"/>
      <w:bookmarkEnd w:id="250"/>
    </w:p>
    <w:p w14:paraId="5E494D07">
      <w:pPr>
        <w:keepNext w:val="0"/>
        <w:keepLines w:val="0"/>
        <w:pageBreakBefore w:val="0"/>
        <w:widowControl w:val="0"/>
        <w:shd w:val="clear"/>
        <w:kinsoku/>
        <w:wordWrap/>
        <w:overflowPunct/>
        <w:topLinePunct w:val="0"/>
        <w:autoSpaceDE/>
        <w:autoSpaceDN/>
        <w:bidi w:val="0"/>
        <w:adjustRightInd/>
        <w:snapToGrid/>
        <w:spacing w:line="400" w:lineRule="exact"/>
        <w:ind w:left="0" w:leftChars="0" w:right="0" w:rightChars="0" w:firstLine="420" w:firstLineChars="200"/>
        <w:textAlignment w:val="auto"/>
        <w:rPr>
          <w:rFonts w:ascii="宋体" w:hAnsi="宋体"/>
          <w:color w:val="auto"/>
          <w:szCs w:val="21"/>
          <w:highlight w:val="none"/>
        </w:rPr>
      </w:pPr>
      <w:r>
        <w:rPr>
          <w:rFonts w:hint="eastAsia" w:ascii="宋体" w:hAnsi="宋体"/>
          <w:color w:val="auto"/>
          <w:szCs w:val="21"/>
          <w:highlight w:val="none"/>
        </w:rPr>
        <w:t>七、严格遵守开标现场纪律，服从监管人员管理；</w:t>
      </w:r>
    </w:p>
    <w:p w14:paraId="080166C4">
      <w:pPr>
        <w:keepNext w:val="0"/>
        <w:keepLines w:val="0"/>
        <w:pageBreakBefore w:val="0"/>
        <w:widowControl w:val="0"/>
        <w:shd w:val="clear"/>
        <w:kinsoku/>
        <w:wordWrap/>
        <w:overflowPunct/>
        <w:topLinePunct w:val="0"/>
        <w:autoSpaceDE/>
        <w:autoSpaceDN/>
        <w:bidi w:val="0"/>
        <w:adjustRightInd/>
        <w:snapToGrid/>
        <w:spacing w:line="400" w:lineRule="exact"/>
        <w:ind w:left="0" w:leftChars="0" w:right="0" w:rightChars="0" w:firstLine="420" w:firstLineChars="200"/>
        <w:textAlignment w:val="auto"/>
        <w:rPr>
          <w:rFonts w:ascii="宋体" w:hAnsi="宋体"/>
          <w:color w:val="auto"/>
          <w:szCs w:val="21"/>
          <w:highlight w:val="none"/>
        </w:rPr>
      </w:pPr>
      <w:r>
        <w:rPr>
          <w:rFonts w:hint="eastAsia" w:ascii="宋体" w:hAnsi="宋体"/>
          <w:color w:val="auto"/>
          <w:szCs w:val="21"/>
          <w:highlight w:val="none"/>
        </w:rPr>
        <w:t>八、保证中标后不转包，若有分包征得招标人同意；</w:t>
      </w:r>
    </w:p>
    <w:p w14:paraId="0A0D6067">
      <w:pPr>
        <w:keepNext w:val="0"/>
        <w:keepLines w:val="0"/>
        <w:pageBreakBefore w:val="0"/>
        <w:widowControl w:val="0"/>
        <w:shd w:val="clear"/>
        <w:kinsoku/>
        <w:wordWrap/>
        <w:overflowPunct/>
        <w:topLinePunct w:val="0"/>
        <w:autoSpaceDE/>
        <w:autoSpaceDN/>
        <w:bidi w:val="0"/>
        <w:adjustRightInd/>
        <w:snapToGrid/>
        <w:spacing w:line="400" w:lineRule="exact"/>
        <w:ind w:left="0" w:leftChars="0" w:right="0" w:rightChars="0" w:firstLine="420" w:firstLineChars="200"/>
        <w:textAlignment w:val="auto"/>
        <w:rPr>
          <w:rFonts w:ascii="宋体" w:hAnsi="宋体"/>
          <w:color w:val="auto"/>
          <w:szCs w:val="21"/>
          <w:highlight w:val="none"/>
        </w:rPr>
      </w:pPr>
      <w:r>
        <w:rPr>
          <w:rFonts w:hint="eastAsia" w:ascii="宋体" w:hAnsi="宋体"/>
          <w:color w:val="auto"/>
          <w:szCs w:val="21"/>
          <w:highlight w:val="none"/>
        </w:rPr>
        <w:t>九、保证中标之后，按照投标文件要求提供相关后续服务；</w:t>
      </w:r>
    </w:p>
    <w:p w14:paraId="390C5D2E">
      <w:pPr>
        <w:keepNext w:val="0"/>
        <w:keepLines w:val="0"/>
        <w:pageBreakBefore w:val="0"/>
        <w:widowControl w:val="0"/>
        <w:shd w:val="clear"/>
        <w:kinsoku/>
        <w:wordWrap/>
        <w:overflowPunct/>
        <w:topLinePunct w:val="0"/>
        <w:autoSpaceDE/>
        <w:autoSpaceDN/>
        <w:bidi w:val="0"/>
        <w:adjustRightInd/>
        <w:snapToGrid/>
        <w:spacing w:line="400" w:lineRule="exact"/>
        <w:ind w:left="0" w:leftChars="0" w:right="0" w:rightChars="0" w:firstLine="420" w:firstLineChars="200"/>
        <w:textAlignment w:val="auto"/>
        <w:rPr>
          <w:rFonts w:ascii="宋体" w:hAnsi="宋体"/>
          <w:color w:val="auto"/>
          <w:szCs w:val="21"/>
          <w:highlight w:val="none"/>
        </w:rPr>
      </w:pPr>
      <w:r>
        <w:rPr>
          <w:rFonts w:hint="eastAsia" w:ascii="宋体" w:hAnsi="宋体"/>
          <w:color w:val="auto"/>
          <w:szCs w:val="21"/>
          <w:highlight w:val="none"/>
        </w:rPr>
        <w:t>十、保证企业及所属相关人员在本次投标中无行贿等犯罪行为；</w:t>
      </w:r>
    </w:p>
    <w:p w14:paraId="793CF68F">
      <w:pPr>
        <w:keepNext w:val="0"/>
        <w:keepLines w:val="0"/>
        <w:pageBreakBefore w:val="0"/>
        <w:widowControl w:val="0"/>
        <w:shd w:val="clear"/>
        <w:kinsoku/>
        <w:wordWrap/>
        <w:overflowPunct/>
        <w:topLinePunct w:val="0"/>
        <w:autoSpaceDE/>
        <w:autoSpaceDN/>
        <w:bidi w:val="0"/>
        <w:adjustRightInd/>
        <w:snapToGrid/>
        <w:spacing w:line="400" w:lineRule="exact"/>
        <w:ind w:left="0" w:leftChars="0" w:right="0" w:rightChars="0" w:firstLine="420" w:firstLineChars="200"/>
        <w:textAlignment w:val="auto"/>
        <w:rPr>
          <w:rFonts w:ascii="宋体" w:hAnsi="宋体"/>
          <w:color w:val="auto"/>
          <w:szCs w:val="21"/>
          <w:highlight w:val="none"/>
        </w:rPr>
      </w:pPr>
      <w:r>
        <w:rPr>
          <w:rFonts w:hint="eastAsia" w:ascii="宋体" w:hAnsi="宋体"/>
          <w:color w:val="auto"/>
          <w:szCs w:val="21"/>
          <w:highlight w:val="none"/>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729DD537">
      <w:pPr>
        <w:keepNext w:val="0"/>
        <w:keepLines w:val="0"/>
        <w:pageBreakBefore w:val="0"/>
        <w:widowControl w:val="0"/>
        <w:shd w:val="clear"/>
        <w:kinsoku/>
        <w:wordWrap/>
        <w:overflowPunct/>
        <w:topLinePunct w:val="0"/>
        <w:autoSpaceDE/>
        <w:autoSpaceDN/>
        <w:bidi w:val="0"/>
        <w:adjustRightInd/>
        <w:snapToGrid/>
        <w:spacing w:line="400" w:lineRule="exact"/>
        <w:ind w:left="0" w:leftChars="0" w:right="0" w:rightChars="0" w:firstLine="420" w:firstLineChars="200"/>
        <w:textAlignment w:val="auto"/>
        <w:rPr>
          <w:rFonts w:ascii="宋体" w:hAnsi="宋体"/>
          <w:color w:val="auto"/>
          <w:szCs w:val="21"/>
          <w:highlight w:val="none"/>
        </w:rPr>
      </w:pPr>
      <w:r>
        <w:rPr>
          <w:rFonts w:hint="eastAsia" w:ascii="宋体" w:hAnsi="宋体"/>
          <w:color w:val="auto"/>
          <w:szCs w:val="21"/>
          <w:highlight w:val="none"/>
        </w:rPr>
        <w:t>以上内容我已仔细阅读，本公司若有违反承诺内容的行为，自愿接受取消投标或者中标资格、记入不良行为记录、投标保证金不予退还等有关处理，愿意承担法律责任，给招标人造成损失的，依法承担赔偿责任。 </w:t>
      </w:r>
    </w:p>
    <w:p w14:paraId="064BD06A">
      <w:pPr>
        <w:keepNext w:val="0"/>
        <w:keepLines w:val="0"/>
        <w:pageBreakBefore w:val="0"/>
        <w:widowControl w:val="0"/>
        <w:shd w:val="clear"/>
        <w:kinsoku/>
        <w:wordWrap/>
        <w:overflowPunct/>
        <w:topLinePunct w:val="0"/>
        <w:autoSpaceDE/>
        <w:autoSpaceDN/>
        <w:bidi w:val="0"/>
        <w:adjustRightInd/>
        <w:snapToGrid/>
        <w:spacing w:line="400" w:lineRule="exact"/>
        <w:ind w:left="0" w:leftChars="0" w:right="0" w:rightChars="0" w:firstLine="420" w:firstLineChars="200"/>
        <w:textAlignment w:val="auto"/>
        <w:rPr>
          <w:rFonts w:hint="eastAsia" w:ascii="宋体" w:hAnsi="宋体"/>
          <w:color w:val="auto"/>
          <w:szCs w:val="21"/>
          <w:highlight w:val="none"/>
        </w:rPr>
      </w:pPr>
    </w:p>
    <w:p w14:paraId="263164E5">
      <w:pPr>
        <w:keepNext w:val="0"/>
        <w:keepLines w:val="0"/>
        <w:pageBreakBefore w:val="0"/>
        <w:widowControl w:val="0"/>
        <w:shd w:val="clear"/>
        <w:kinsoku/>
        <w:wordWrap/>
        <w:overflowPunct/>
        <w:topLinePunct w:val="0"/>
        <w:autoSpaceDE/>
        <w:autoSpaceDN/>
        <w:bidi w:val="0"/>
        <w:adjustRightInd/>
        <w:snapToGrid/>
        <w:spacing w:line="400" w:lineRule="exact"/>
        <w:ind w:left="0" w:leftChars="0" w:right="0" w:rightChars="0" w:firstLine="420" w:firstLineChars="200"/>
        <w:textAlignment w:val="auto"/>
        <w:rPr>
          <w:rFonts w:ascii="宋体" w:hAnsi="宋体"/>
          <w:color w:val="auto"/>
          <w:szCs w:val="21"/>
          <w:highlight w:val="none"/>
        </w:rPr>
      </w:pPr>
      <w:r>
        <w:rPr>
          <w:rFonts w:hint="eastAsia" w:ascii="宋体" w:hAnsi="宋体"/>
          <w:color w:val="auto"/>
          <w:szCs w:val="21"/>
          <w:highlight w:val="none"/>
        </w:rPr>
        <w:t>开户银行：                          基本账户：</w:t>
      </w:r>
    </w:p>
    <w:p w14:paraId="2901B344">
      <w:pPr>
        <w:keepNext w:val="0"/>
        <w:keepLines w:val="0"/>
        <w:pageBreakBefore w:val="0"/>
        <w:widowControl w:val="0"/>
        <w:shd w:val="clear"/>
        <w:kinsoku/>
        <w:wordWrap/>
        <w:overflowPunct/>
        <w:topLinePunct w:val="0"/>
        <w:autoSpaceDE/>
        <w:autoSpaceDN/>
        <w:bidi w:val="0"/>
        <w:adjustRightInd/>
        <w:snapToGrid/>
        <w:spacing w:line="400" w:lineRule="exact"/>
        <w:ind w:left="0" w:leftChars="0" w:right="0" w:rightChars="0" w:firstLine="420" w:firstLineChars="200"/>
        <w:textAlignment w:val="auto"/>
        <w:rPr>
          <w:rFonts w:ascii="宋体" w:hAnsi="宋体"/>
          <w:color w:val="auto"/>
          <w:szCs w:val="21"/>
          <w:highlight w:val="none"/>
        </w:rPr>
      </w:pPr>
      <w:r>
        <w:rPr>
          <w:rFonts w:hint="eastAsia" w:ascii="宋体" w:hAnsi="宋体"/>
          <w:color w:val="auto"/>
          <w:szCs w:val="21"/>
          <w:highlight w:val="none"/>
        </w:rPr>
        <w:t>投标单位（签章或盖章）：          法定代表人（签章）：</w:t>
      </w:r>
    </w:p>
    <w:p w14:paraId="430514BB">
      <w:pPr>
        <w:keepNext w:val="0"/>
        <w:keepLines w:val="0"/>
        <w:pageBreakBefore w:val="0"/>
        <w:widowControl w:val="0"/>
        <w:shd w:val="clear"/>
        <w:kinsoku/>
        <w:wordWrap/>
        <w:overflowPunct/>
        <w:topLinePunct w:val="0"/>
        <w:autoSpaceDE/>
        <w:autoSpaceDN/>
        <w:bidi w:val="0"/>
        <w:adjustRightInd/>
        <w:snapToGrid/>
        <w:spacing w:line="400" w:lineRule="exact"/>
        <w:ind w:left="0" w:leftChars="0" w:right="0" w:rightChars="0" w:firstLine="420" w:firstLineChars="200"/>
        <w:textAlignment w:val="auto"/>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1D9717E1">
      <w:pPr>
        <w:shd w:val="clear"/>
        <w:rPr>
          <w:rFonts w:ascii="宋体" w:hAnsi="宋体"/>
          <w:color w:val="auto"/>
          <w:szCs w:val="21"/>
          <w:highlight w:val="none"/>
        </w:rPr>
      </w:pPr>
    </w:p>
    <w:p w14:paraId="3590403F">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ascii="宋体" w:hAnsi="宋体"/>
          <w:color w:val="auto"/>
          <w:szCs w:val="21"/>
          <w:highlight w:val="none"/>
        </w:rPr>
      </w:pPr>
    </w:p>
    <w:p w14:paraId="3E82995B">
      <w:pPr>
        <w:keepNext w:val="0"/>
        <w:keepLines w:val="0"/>
        <w:pageBreakBefore w:val="0"/>
        <w:widowControl w:val="0"/>
        <w:shd w:val="clear"/>
        <w:kinsoku/>
        <w:wordWrap/>
        <w:overflowPunct/>
        <w:topLinePunct w:val="0"/>
        <w:autoSpaceDE/>
        <w:autoSpaceDN/>
        <w:bidi w:val="0"/>
        <w:adjustRightInd/>
        <w:snapToGrid/>
        <w:spacing w:line="480" w:lineRule="exact"/>
        <w:ind w:right="-512" w:rightChars="-244"/>
        <w:jc w:val="center"/>
        <w:textAlignment w:val="auto"/>
        <w:rPr>
          <w:b/>
          <w:color w:val="auto"/>
          <w:sz w:val="28"/>
          <w:szCs w:val="28"/>
          <w:highlight w:val="none"/>
        </w:rPr>
      </w:pPr>
      <w:r>
        <w:rPr>
          <w:rFonts w:hint="eastAsia"/>
          <w:b/>
          <w:color w:val="auto"/>
          <w:sz w:val="28"/>
          <w:szCs w:val="28"/>
          <w:highlight w:val="none"/>
        </w:rPr>
        <w:t>或公共信用信息报告（无违法违规证明版或核查版）</w:t>
      </w:r>
    </w:p>
    <w:p w14:paraId="5D9119F5">
      <w:pPr>
        <w:keepNext w:val="0"/>
        <w:keepLines w:val="0"/>
        <w:pageBreakBefore w:val="0"/>
        <w:widowControl w:val="0"/>
        <w:shd w:val="clear"/>
        <w:kinsoku/>
        <w:wordWrap w:val="0"/>
        <w:overflowPunct/>
        <w:topLinePunct w:val="0"/>
        <w:autoSpaceDE/>
        <w:autoSpaceDN/>
        <w:bidi w:val="0"/>
        <w:adjustRightInd/>
        <w:snapToGrid/>
        <w:spacing w:line="480" w:lineRule="exact"/>
        <w:ind w:firstLine="480" w:firstLineChars="200"/>
        <w:textAlignment w:val="auto"/>
        <w:rPr>
          <w:rFonts w:ascii="宋体" w:hAnsi="宋体"/>
          <w:b/>
          <w:color w:val="auto"/>
          <w:sz w:val="24"/>
          <w:highlight w:val="none"/>
        </w:rPr>
      </w:pPr>
      <w:r>
        <w:rPr>
          <w:rFonts w:hint="eastAsia" w:ascii="宋体" w:hAnsi="宋体"/>
          <w:color w:val="auto"/>
          <w:sz w:val="24"/>
          <w:szCs w:val="24"/>
          <w:highlight w:val="none"/>
        </w:rPr>
        <w:t>符合条件的投标人可在信用中国（安徽）网站（网址</w:t>
      </w:r>
      <w:r>
        <w:rPr>
          <w:color w:val="auto"/>
          <w:sz w:val="24"/>
          <w:szCs w:val="24"/>
          <w:highlight w:val="none"/>
        </w:rPr>
        <w:fldChar w:fldCharType="begin"/>
      </w:r>
      <w:r>
        <w:rPr>
          <w:color w:val="auto"/>
          <w:sz w:val="24"/>
          <w:szCs w:val="24"/>
          <w:highlight w:val="none"/>
        </w:rPr>
        <w:instrText xml:space="preserve"> HYPERLINK "https://credit.ah.gov.cn/xinyongfuwu/index.html" </w:instrText>
      </w:r>
      <w:r>
        <w:rPr>
          <w:color w:val="auto"/>
          <w:sz w:val="24"/>
          <w:szCs w:val="24"/>
          <w:highlight w:val="none"/>
        </w:rPr>
        <w:fldChar w:fldCharType="separate"/>
      </w:r>
      <w:r>
        <w:rPr>
          <w:rFonts w:hint="eastAsia" w:ascii="宋体" w:hAnsi="宋体"/>
          <w:color w:val="auto"/>
          <w:sz w:val="24"/>
          <w:szCs w:val="24"/>
          <w:highlight w:val="none"/>
        </w:rPr>
        <w:t>https://credit.ah.gov.cn/xinyongfuwu/index.html</w:t>
      </w:r>
      <w:r>
        <w:rPr>
          <w:rFonts w:hint="eastAsia" w:ascii="宋体" w:hAnsi="宋体"/>
          <w:color w:val="auto"/>
          <w:sz w:val="24"/>
          <w:szCs w:val="24"/>
          <w:highlight w:val="none"/>
        </w:rPr>
        <w:fldChar w:fldCharType="end"/>
      </w:r>
      <w:r>
        <w:rPr>
          <w:rFonts w:hint="eastAsia" w:ascii="宋体" w:hAnsi="宋体"/>
          <w:color w:val="auto"/>
          <w:sz w:val="24"/>
          <w:szCs w:val="24"/>
          <w:highlight w:val="none"/>
        </w:rPr>
        <w:t>），获取信用报告（无违法违规证明版或核查版）并上传至投标文件中。</w:t>
      </w:r>
      <w:r>
        <w:rPr>
          <w:rFonts w:hint="eastAsia" w:ascii="宋体" w:hAnsi="宋体"/>
          <w:b/>
          <w:color w:val="auto"/>
          <w:sz w:val="24"/>
          <w:highlight w:val="none"/>
        </w:rPr>
        <w:br w:type="page"/>
      </w:r>
    </w:p>
    <w:p w14:paraId="2725BB87">
      <w:pPr>
        <w:shd w:val="clear"/>
        <w:spacing w:line="360" w:lineRule="auto"/>
        <w:rPr>
          <w:rFonts w:hint="eastAsia" w:eastAsia="宋体"/>
          <w:b/>
          <w:color w:val="auto"/>
          <w:sz w:val="28"/>
          <w:szCs w:val="28"/>
          <w:highlight w:val="none"/>
          <w:lang w:eastAsia="zh-CN"/>
        </w:rPr>
      </w:pPr>
      <w:r>
        <w:rPr>
          <w:rFonts w:hint="eastAsia" w:ascii="宋体" w:hAnsi="宋体"/>
          <w:b/>
          <w:color w:val="auto"/>
          <w:sz w:val="24"/>
          <w:highlight w:val="none"/>
        </w:rPr>
        <w:t>附件</w:t>
      </w:r>
      <w:r>
        <w:rPr>
          <w:rFonts w:hint="eastAsia" w:ascii="宋体" w:hAnsi="宋体"/>
          <w:b/>
          <w:color w:val="auto"/>
          <w:sz w:val="24"/>
          <w:highlight w:val="none"/>
          <w:lang w:val="en-US" w:eastAsia="zh-CN"/>
        </w:rPr>
        <w:t>3</w:t>
      </w:r>
    </w:p>
    <w:p w14:paraId="2EF1F0FE">
      <w:pPr>
        <w:shd w:val="clear"/>
        <w:spacing w:line="400" w:lineRule="exact"/>
        <w:ind w:firstLine="562" w:firstLineChars="200"/>
        <w:rPr>
          <w:b/>
          <w:color w:val="auto"/>
          <w:sz w:val="28"/>
          <w:szCs w:val="28"/>
          <w:highlight w:val="none"/>
        </w:rPr>
      </w:pPr>
    </w:p>
    <w:p w14:paraId="7B682A37">
      <w:pPr>
        <w:shd w:val="clear"/>
        <w:jc w:val="center"/>
        <w:rPr>
          <w:rFonts w:ascii="宋体"/>
          <w:b/>
          <w:color w:val="auto"/>
          <w:sz w:val="30"/>
          <w:szCs w:val="30"/>
          <w:highlight w:val="none"/>
        </w:rPr>
      </w:pPr>
      <w:r>
        <w:rPr>
          <w:rFonts w:hint="eastAsia" w:ascii="宋体"/>
          <w:b/>
          <w:color w:val="auto"/>
          <w:sz w:val="30"/>
          <w:szCs w:val="30"/>
          <w:highlight w:val="none"/>
        </w:rPr>
        <w:t>服务承诺书</w:t>
      </w:r>
    </w:p>
    <w:p w14:paraId="667F27BD">
      <w:pPr>
        <w:shd w:val="clear"/>
        <w:ind w:firstLine="480" w:firstLineChars="200"/>
        <w:rPr>
          <w:rFonts w:ascii="宋体"/>
          <w:color w:val="auto"/>
          <w:sz w:val="24"/>
          <w:highlight w:val="none"/>
        </w:rPr>
      </w:pPr>
    </w:p>
    <w:p w14:paraId="6EB9788A">
      <w:pPr>
        <w:shd w:val="clear"/>
        <w:rPr>
          <w:rFonts w:ascii="宋体"/>
          <w:b/>
          <w:color w:val="auto"/>
          <w:sz w:val="24"/>
          <w:highlight w:val="none"/>
        </w:rPr>
      </w:pPr>
      <w:r>
        <w:rPr>
          <w:rFonts w:hint="eastAsia" w:ascii="宋体"/>
          <w:color w:val="auto"/>
          <w:sz w:val="24"/>
          <w:highlight w:val="none"/>
        </w:rPr>
        <w:t>致：</w:t>
      </w:r>
      <w:r>
        <w:rPr>
          <w:rFonts w:hint="eastAsia" w:ascii="宋体"/>
          <w:color w:val="auto"/>
          <w:sz w:val="24"/>
          <w:highlight w:val="none"/>
          <w:u w:val="single"/>
        </w:rPr>
        <w:t xml:space="preserve">           （采购人）</w:t>
      </w:r>
      <w:r>
        <w:rPr>
          <w:rFonts w:hint="eastAsia" w:ascii="宋体"/>
          <w:color w:val="auto"/>
          <w:sz w:val="24"/>
          <w:highlight w:val="none"/>
        </w:rPr>
        <w:t>：</w:t>
      </w:r>
    </w:p>
    <w:p w14:paraId="588C8BA2">
      <w:pPr>
        <w:shd w:val="clear"/>
        <w:spacing w:line="800" w:lineRule="exact"/>
        <w:ind w:firstLine="480" w:firstLineChars="200"/>
        <w:rPr>
          <w:rFonts w:hint="default" w:ascii="宋体" w:eastAsia="宋体"/>
          <w:b/>
          <w:bCs/>
          <w:color w:val="auto"/>
          <w:sz w:val="24"/>
          <w:highlight w:val="none"/>
          <w:lang w:val="en-US" w:eastAsia="zh-CN"/>
        </w:rPr>
      </w:pPr>
      <w:r>
        <w:rPr>
          <w:rFonts w:hint="eastAsia" w:ascii="宋体"/>
          <w:color w:val="auto"/>
          <w:sz w:val="24"/>
          <w:highlight w:val="none"/>
        </w:rPr>
        <w:t>本承诺声明：</w:t>
      </w:r>
      <w:r>
        <w:rPr>
          <w:rFonts w:hint="eastAsia" w:ascii="宋体"/>
          <w:color w:val="auto"/>
          <w:sz w:val="24"/>
          <w:highlight w:val="none"/>
          <w:u w:val="single"/>
        </w:rPr>
        <w:t xml:space="preserve">                   </w:t>
      </w:r>
      <w:r>
        <w:rPr>
          <w:rFonts w:hint="eastAsia" w:ascii="宋体"/>
          <w:color w:val="auto"/>
          <w:sz w:val="24"/>
          <w:highlight w:val="none"/>
        </w:rPr>
        <w:t>（投标人名称）对本招标文件的相关要求完全响应。若有幸中标将严格按照以上承诺进行服务</w:t>
      </w:r>
      <w:r>
        <w:rPr>
          <w:rFonts w:hint="eastAsia" w:ascii="宋体"/>
          <w:b/>
          <w:bCs/>
          <w:color w:val="auto"/>
          <w:sz w:val="24"/>
          <w:highlight w:val="none"/>
          <w:lang w:val="en-US" w:eastAsia="zh-CN"/>
        </w:rPr>
        <w:t>。</w:t>
      </w:r>
    </w:p>
    <w:p w14:paraId="59418CE0">
      <w:pPr>
        <w:shd w:val="clear"/>
        <w:spacing w:line="800" w:lineRule="exact"/>
        <w:ind w:firstLine="480" w:firstLineChars="200"/>
        <w:rPr>
          <w:rFonts w:ascii="宋体"/>
          <w:color w:val="auto"/>
          <w:sz w:val="24"/>
          <w:highlight w:val="none"/>
        </w:rPr>
      </w:pPr>
      <w:r>
        <w:rPr>
          <w:rFonts w:hint="eastAsia" w:ascii="宋体"/>
          <w:color w:val="auto"/>
          <w:sz w:val="24"/>
          <w:highlight w:val="none"/>
        </w:rPr>
        <w:t>特此声明。</w:t>
      </w:r>
    </w:p>
    <w:p w14:paraId="0400FCA5">
      <w:pPr>
        <w:shd w:val="clear"/>
        <w:spacing w:line="600" w:lineRule="exact"/>
        <w:rPr>
          <w:rFonts w:ascii="宋体"/>
          <w:color w:val="auto"/>
          <w:sz w:val="24"/>
          <w:highlight w:val="none"/>
        </w:rPr>
      </w:pPr>
      <w:r>
        <w:rPr>
          <w:rFonts w:hint="eastAsia" w:ascii="宋体"/>
          <w:color w:val="auto"/>
          <w:sz w:val="24"/>
          <w:highlight w:val="none"/>
        </w:rPr>
        <w:t> </w:t>
      </w:r>
    </w:p>
    <w:p w14:paraId="0FD6EFD1">
      <w:pPr>
        <w:shd w:val="clear"/>
        <w:spacing w:line="480" w:lineRule="auto"/>
        <w:ind w:firstLine="480" w:firstLineChars="200"/>
        <w:jc w:val="right"/>
        <w:rPr>
          <w:rFonts w:ascii="宋体" w:hAnsi="宋体"/>
          <w:color w:val="auto"/>
          <w:sz w:val="24"/>
          <w:szCs w:val="21"/>
          <w:highlight w:val="none"/>
        </w:rPr>
      </w:pPr>
      <w:r>
        <w:rPr>
          <w:rFonts w:hint="eastAsia" w:ascii="宋体"/>
          <w:color w:val="auto"/>
          <w:sz w:val="24"/>
          <w:highlight w:val="none"/>
        </w:rPr>
        <w:t xml:space="preserve">                </w:t>
      </w:r>
      <w:r>
        <w:rPr>
          <w:rFonts w:hint="eastAsia" w:ascii="宋体"/>
          <w:color w:val="auto"/>
          <w:sz w:val="24"/>
          <w:highlight w:val="none"/>
          <w:lang w:val="en-US" w:eastAsia="zh-CN"/>
        </w:rPr>
        <w:t xml:space="preserve"> </w:t>
      </w:r>
      <w:r>
        <w:rPr>
          <w:rFonts w:hint="eastAsia" w:ascii="宋体" w:hAnsi="宋体"/>
          <w:color w:val="auto"/>
          <w:sz w:val="24"/>
          <w:szCs w:val="21"/>
          <w:highlight w:val="none"/>
        </w:rPr>
        <w:t>投标人名称：</w:t>
      </w:r>
      <w:r>
        <w:rPr>
          <w:rFonts w:ascii="宋体" w:hAnsi="宋体"/>
          <w:color w:val="auto"/>
          <w:sz w:val="24"/>
          <w:szCs w:val="21"/>
          <w:highlight w:val="none"/>
          <w:u w:val="single"/>
        </w:rPr>
        <w:t xml:space="preserve">      </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（盖单位章）</w:t>
      </w:r>
    </w:p>
    <w:p w14:paraId="1E9C35C5">
      <w:pPr>
        <w:shd w:val="clear"/>
        <w:spacing w:line="480" w:lineRule="auto"/>
        <w:ind w:firstLine="480" w:firstLineChars="200"/>
        <w:jc w:val="right"/>
        <w:rPr>
          <w:rFonts w:ascii="宋体" w:hAnsi="宋体"/>
          <w:color w:val="auto"/>
          <w:sz w:val="24"/>
          <w:szCs w:val="21"/>
          <w:highlight w:val="none"/>
        </w:rPr>
      </w:pPr>
      <w:r>
        <w:rPr>
          <w:rFonts w:hint="eastAsia" w:ascii="宋体" w:hAnsi="宋体"/>
          <w:color w:val="auto"/>
          <w:sz w:val="24"/>
          <w:szCs w:val="21"/>
          <w:highlight w:val="none"/>
        </w:rPr>
        <w:t>法定代表人：</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(签章)</w:t>
      </w:r>
    </w:p>
    <w:p w14:paraId="486951BC">
      <w:pPr>
        <w:shd w:val="clear"/>
        <w:spacing w:line="480" w:lineRule="auto"/>
        <w:jc w:val="right"/>
        <w:rPr>
          <w:b/>
          <w:color w:val="auto"/>
          <w:sz w:val="36"/>
          <w:szCs w:val="28"/>
          <w:highlight w:val="none"/>
        </w:rPr>
      </w:pPr>
      <w:r>
        <w:rPr>
          <w:rFonts w:hint="eastAsia" w:ascii="宋体" w:hAnsi="宋体"/>
          <w:color w:val="auto"/>
          <w:sz w:val="24"/>
          <w:szCs w:val="21"/>
          <w:highlight w:val="none"/>
        </w:rPr>
        <w:t xml:space="preserve">                                  日    期：</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年</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月</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日</w:t>
      </w:r>
    </w:p>
    <w:p w14:paraId="1869C128">
      <w:pPr>
        <w:pStyle w:val="34"/>
        <w:shd w:val="clear"/>
        <w:ind w:firstLine="400"/>
        <w:rPr>
          <w:color w:val="auto"/>
          <w:highlight w:val="none"/>
        </w:rPr>
      </w:pPr>
    </w:p>
    <w:bookmarkEnd w:id="247"/>
    <w:bookmarkEnd w:id="248"/>
    <w:p w14:paraId="167F3766">
      <w:pPr>
        <w:shd w:val="clear"/>
        <w:wordWrap w:val="0"/>
        <w:spacing w:before="100" w:beforeAutospacing="1" w:after="100" w:afterAutospacing="1"/>
        <w:jc w:val="center"/>
        <w:rPr>
          <w:rFonts w:ascii="宋体" w:hAnsi="宋体"/>
          <w:b/>
          <w:color w:val="auto"/>
          <w:sz w:val="28"/>
          <w:szCs w:val="28"/>
          <w:highlight w:val="none"/>
          <w:bdr w:val="single" w:color="auto" w:sz="4" w:space="0"/>
        </w:rPr>
      </w:pPr>
      <w:r>
        <w:rPr>
          <w:rFonts w:hint="eastAsia" w:ascii="宋体" w:hAnsi="宋体"/>
          <w:b/>
          <w:color w:val="auto"/>
          <w:sz w:val="28"/>
          <w:szCs w:val="28"/>
          <w:highlight w:val="none"/>
        </w:rPr>
        <w:br w:type="page"/>
      </w:r>
      <w:r>
        <w:rPr>
          <w:rFonts w:hint="eastAsia" w:ascii="宋体" w:hAnsi="宋体"/>
          <w:b/>
          <w:color w:val="auto"/>
          <w:sz w:val="28"/>
          <w:szCs w:val="28"/>
          <w:highlight w:val="none"/>
        </w:rPr>
        <w:t>二、技术标格式文件</w:t>
      </w:r>
    </w:p>
    <w:p w14:paraId="789FAD68">
      <w:pPr>
        <w:shd w:val="clear"/>
        <w:jc w:val="center"/>
        <w:rPr>
          <w:rFonts w:ascii="宋体"/>
          <w:b/>
          <w:color w:val="auto"/>
          <w:sz w:val="44"/>
          <w:szCs w:val="44"/>
          <w:highlight w:val="none"/>
        </w:rPr>
      </w:pPr>
      <w:bookmarkStart w:id="251" w:name="_Toc387149626"/>
      <w:bookmarkStart w:id="252" w:name="_Toc449028953"/>
    </w:p>
    <w:p w14:paraId="786A638C">
      <w:pPr>
        <w:shd w:val="clear"/>
        <w:jc w:val="center"/>
        <w:rPr>
          <w:rFonts w:ascii="宋体"/>
          <w:b/>
          <w:color w:val="auto"/>
          <w:sz w:val="44"/>
          <w:szCs w:val="44"/>
          <w:highlight w:val="none"/>
        </w:rPr>
      </w:pPr>
      <w:r>
        <w:rPr>
          <w:rFonts w:hint="eastAsia" w:ascii="宋体"/>
          <w:b/>
          <w:color w:val="auto"/>
          <w:sz w:val="44"/>
          <w:szCs w:val="44"/>
          <w:highlight w:val="none"/>
        </w:rPr>
        <w:t>技术标</w:t>
      </w:r>
      <w:bookmarkEnd w:id="251"/>
      <w:bookmarkEnd w:id="252"/>
    </w:p>
    <w:p w14:paraId="321FBAF2">
      <w:pPr>
        <w:shd w:val="clear"/>
        <w:jc w:val="center"/>
        <w:rPr>
          <w:rFonts w:ascii="宋体"/>
          <w:color w:val="auto"/>
          <w:sz w:val="32"/>
          <w:szCs w:val="32"/>
          <w:highlight w:val="none"/>
        </w:rPr>
      </w:pPr>
      <w:r>
        <w:rPr>
          <w:rFonts w:hint="eastAsia" w:ascii="宋体"/>
          <w:color w:val="auto"/>
          <w:sz w:val="32"/>
          <w:szCs w:val="32"/>
          <w:highlight w:val="none"/>
        </w:rPr>
        <w:t>（投标文件二）</w:t>
      </w:r>
    </w:p>
    <w:p w14:paraId="26DEFF3B">
      <w:pPr>
        <w:shd w:val="clear"/>
        <w:jc w:val="center"/>
        <w:rPr>
          <w:rFonts w:eastAsia="黑体"/>
          <w:color w:val="auto"/>
          <w:sz w:val="44"/>
          <w:szCs w:val="44"/>
          <w:highlight w:val="none"/>
        </w:rPr>
      </w:pPr>
    </w:p>
    <w:p w14:paraId="3BDFAFB6">
      <w:pPr>
        <w:shd w:val="clear"/>
        <w:jc w:val="center"/>
        <w:rPr>
          <w:rFonts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09687B9B">
      <w:pPr>
        <w:shd w:val="clear"/>
        <w:jc w:val="center"/>
        <w:rPr>
          <w:rFonts w:hint="eastAsia" w:ascii="宋体"/>
          <w:color w:val="auto"/>
          <w:sz w:val="28"/>
          <w:szCs w:val="28"/>
          <w:highlight w:val="none"/>
        </w:rPr>
      </w:pPr>
    </w:p>
    <w:p w14:paraId="76C38264">
      <w:pPr>
        <w:shd w:val="clear"/>
        <w:jc w:val="center"/>
        <w:rPr>
          <w:rFonts w:hint="eastAsia" w:ascii="宋体"/>
          <w:color w:val="auto"/>
          <w:sz w:val="28"/>
          <w:szCs w:val="28"/>
          <w:highlight w:val="none"/>
        </w:rPr>
      </w:pPr>
    </w:p>
    <w:p w14:paraId="3AF3B866">
      <w:pPr>
        <w:shd w:val="clear"/>
        <w:jc w:val="center"/>
        <w:rPr>
          <w:rFonts w:ascii="宋体"/>
          <w:color w:val="auto"/>
          <w:sz w:val="44"/>
          <w:szCs w:val="44"/>
          <w:highlight w:val="none"/>
        </w:rPr>
      </w:pPr>
      <w:r>
        <w:rPr>
          <w:rFonts w:hint="eastAsia" w:ascii="宋体"/>
          <w:color w:val="auto"/>
          <w:sz w:val="28"/>
          <w:szCs w:val="28"/>
          <w:highlight w:val="none"/>
        </w:rPr>
        <w:t>项目编号</w:t>
      </w:r>
      <w:r>
        <w:rPr>
          <w:rFonts w:hint="eastAsia" w:ascii="宋体"/>
          <w:color w:val="auto"/>
          <w:sz w:val="28"/>
          <w:szCs w:val="28"/>
          <w:highlight w:val="none"/>
          <w:u w:val="single"/>
        </w:rPr>
        <w:t xml:space="preserve">      </w:t>
      </w:r>
    </w:p>
    <w:p w14:paraId="17175D11">
      <w:pPr>
        <w:shd w:val="clear"/>
        <w:rPr>
          <w:rFonts w:ascii="宋体"/>
          <w:color w:val="auto"/>
          <w:sz w:val="28"/>
          <w:szCs w:val="28"/>
          <w:highlight w:val="none"/>
        </w:rPr>
      </w:pPr>
    </w:p>
    <w:p w14:paraId="367101F7">
      <w:pPr>
        <w:shd w:val="clear"/>
        <w:rPr>
          <w:rFonts w:ascii="宋体"/>
          <w:color w:val="auto"/>
          <w:sz w:val="28"/>
          <w:szCs w:val="28"/>
          <w:highlight w:val="none"/>
        </w:rPr>
      </w:pPr>
    </w:p>
    <w:p w14:paraId="59DB17C1">
      <w:pPr>
        <w:shd w:val="clear"/>
        <w:rPr>
          <w:rFonts w:ascii="宋体"/>
          <w:color w:val="auto"/>
          <w:sz w:val="28"/>
          <w:szCs w:val="28"/>
          <w:highlight w:val="none"/>
        </w:rPr>
      </w:pPr>
    </w:p>
    <w:p w14:paraId="2E0A58D5">
      <w:pPr>
        <w:shd w:val="clear"/>
        <w:rPr>
          <w:rFonts w:ascii="宋体"/>
          <w:color w:val="auto"/>
          <w:sz w:val="28"/>
          <w:szCs w:val="28"/>
          <w:highlight w:val="none"/>
        </w:rPr>
      </w:pPr>
    </w:p>
    <w:p w14:paraId="334DD21E">
      <w:pPr>
        <w:shd w:val="clear"/>
        <w:rPr>
          <w:rFonts w:ascii="宋体"/>
          <w:color w:val="auto"/>
          <w:sz w:val="28"/>
          <w:szCs w:val="28"/>
          <w:highlight w:val="none"/>
        </w:rPr>
      </w:pPr>
    </w:p>
    <w:p w14:paraId="09B38B5E">
      <w:pPr>
        <w:shd w:val="clear"/>
        <w:rPr>
          <w:rFonts w:ascii="宋体"/>
          <w:color w:val="auto"/>
          <w:sz w:val="28"/>
          <w:szCs w:val="28"/>
          <w:highlight w:val="none"/>
        </w:rPr>
      </w:pPr>
    </w:p>
    <w:p w14:paraId="5442DAD2">
      <w:pPr>
        <w:shd w:val="clear"/>
        <w:rPr>
          <w:rFonts w:ascii="宋体"/>
          <w:color w:val="auto"/>
          <w:sz w:val="28"/>
          <w:szCs w:val="28"/>
          <w:highlight w:val="none"/>
        </w:rPr>
      </w:pPr>
    </w:p>
    <w:p w14:paraId="0A11A18D">
      <w:pPr>
        <w:shd w:val="clear"/>
        <w:rPr>
          <w:rFonts w:ascii="宋体"/>
          <w:color w:val="auto"/>
          <w:sz w:val="28"/>
          <w:szCs w:val="28"/>
          <w:highlight w:val="none"/>
        </w:rPr>
      </w:pPr>
    </w:p>
    <w:p w14:paraId="1A9C30F5">
      <w:pPr>
        <w:shd w:val="clear"/>
        <w:rPr>
          <w:rFonts w:ascii="宋体"/>
          <w:color w:val="auto"/>
          <w:sz w:val="28"/>
          <w:szCs w:val="28"/>
          <w:highlight w:val="none"/>
        </w:rPr>
      </w:pPr>
    </w:p>
    <w:p w14:paraId="0CEB744C">
      <w:pPr>
        <w:shd w:val="clear"/>
        <w:spacing w:line="700" w:lineRule="exact"/>
        <w:jc w:val="left"/>
        <w:rPr>
          <w:color w:val="auto"/>
          <w:sz w:val="24"/>
          <w:szCs w:val="32"/>
          <w:highlight w:val="none"/>
        </w:rPr>
      </w:pPr>
      <w:r>
        <w:rPr>
          <w:rFonts w:ascii="宋体"/>
          <w:color w:val="auto"/>
          <w:sz w:val="28"/>
          <w:szCs w:val="28"/>
          <w:highlight w:val="none"/>
        </w:rPr>
        <w:tab/>
      </w:r>
      <w:r>
        <w:rPr>
          <w:rFonts w:hint="eastAsia" w:ascii="宋体" w:hAnsi="宋体" w:cs="宋体"/>
          <w:b/>
          <w:bCs/>
          <w:color w:val="auto"/>
          <w:sz w:val="24"/>
          <w:highlight w:val="none"/>
        </w:rPr>
        <w:t>【该项目技术标为暗标横向评审，暗标横向评审技术标不设目录，评审前系统自动对所有投标人的技术标及各评分点分别进行编号；投标企业制作的技术标部分不得出现可能泄露投标人单位及个人信息的文字、图片、图表（技术标部分不得签章）等有关表述，否则</w:t>
      </w:r>
      <w:r>
        <w:rPr>
          <w:rFonts w:hint="eastAsia" w:ascii="宋体" w:hAnsi="宋体" w:cs="宋体"/>
          <w:b/>
          <w:bCs/>
          <w:color w:val="auto"/>
          <w:sz w:val="24"/>
          <w:highlight w:val="none"/>
          <w:lang w:val="en-US" w:eastAsia="zh-CN"/>
        </w:rPr>
        <w:t>对应</w:t>
      </w:r>
      <w:r>
        <w:rPr>
          <w:rFonts w:hint="eastAsia" w:ascii="宋体" w:hAnsi="宋体" w:cs="宋体"/>
          <w:b/>
          <w:bCs/>
          <w:color w:val="auto"/>
          <w:sz w:val="24"/>
          <w:highlight w:val="none"/>
        </w:rPr>
        <w:t>评分点作零分处理。】</w:t>
      </w:r>
    </w:p>
    <w:p w14:paraId="6A65964B">
      <w:pPr>
        <w:pStyle w:val="34"/>
        <w:shd w:val="clear"/>
        <w:ind w:firstLine="560"/>
        <w:rPr>
          <w:rFonts w:ascii="宋体"/>
          <w:color w:val="auto"/>
          <w:sz w:val="28"/>
          <w:szCs w:val="28"/>
          <w:highlight w:val="none"/>
        </w:rPr>
      </w:pPr>
      <w:r>
        <w:rPr>
          <w:rFonts w:hint="eastAsia" w:ascii="宋体"/>
          <w:color w:val="auto"/>
          <w:sz w:val="28"/>
          <w:szCs w:val="28"/>
          <w:highlight w:val="none"/>
        </w:rPr>
        <w:br w:type="page"/>
      </w:r>
    </w:p>
    <w:p w14:paraId="3ABA617A">
      <w:pPr>
        <w:shd w:val="clear"/>
        <w:rPr>
          <w:rFonts w:ascii="宋体"/>
          <w:color w:val="auto"/>
          <w:sz w:val="28"/>
          <w:szCs w:val="28"/>
          <w:highlight w:val="none"/>
        </w:rPr>
      </w:pPr>
    </w:p>
    <w:p w14:paraId="718DD351">
      <w:pPr>
        <w:pStyle w:val="34"/>
        <w:shd w:val="clear"/>
        <w:ind w:firstLine="400"/>
        <w:rPr>
          <w:color w:val="auto"/>
          <w:highlight w:val="none"/>
        </w:rPr>
      </w:pPr>
    </w:p>
    <w:p w14:paraId="296FA476">
      <w:pPr>
        <w:shd w:val="clear"/>
        <w:spacing w:line="400" w:lineRule="exact"/>
        <w:rPr>
          <w:b/>
          <w:color w:val="auto"/>
          <w:sz w:val="36"/>
          <w:szCs w:val="36"/>
          <w:highlight w:val="none"/>
        </w:rPr>
      </w:pPr>
    </w:p>
    <w:p w14:paraId="40D71DA9">
      <w:pPr>
        <w:shd w:val="clear"/>
        <w:spacing w:line="400" w:lineRule="exact"/>
        <w:jc w:val="center"/>
        <w:rPr>
          <w:rFonts w:hint="eastAsia"/>
          <w:b/>
          <w:color w:val="auto"/>
          <w:sz w:val="36"/>
          <w:szCs w:val="36"/>
          <w:highlight w:val="none"/>
        </w:rPr>
      </w:pPr>
      <w:r>
        <w:rPr>
          <w:rFonts w:hint="eastAsia"/>
          <w:b/>
          <w:color w:val="auto"/>
          <w:sz w:val="36"/>
          <w:szCs w:val="36"/>
          <w:highlight w:val="none"/>
        </w:rPr>
        <w:t>目   录</w:t>
      </w:r>
    </w:p>
    <w:p w14:paraId="07ADBFC8">
      <w:pPr>
        <w:shd w:val="clear"/>
        <w:adjustRightInd w:val="0"/>
        <w:snapToGrid w:val="0"/>
        <w:spacing w:line="560" w:lineRule="exact"/>
        <w:rPr>
          <w:rFonts w:hint="eastAsia" w:ascii="宋体" w:hAnsi="宋体"/>
          <w:b w:val="0"/>
          <w:bCs w:val="0"/>
          <w:color w:val="auto"/>
          <w:sz w:val="24"/>
          <w:highlight w:val="none"/>
        </w:rPr>
      </w:pPr>
      <w:r>
        <w:rPr>
          <w:rFonts w:hint="eastAsia" w:ascii="宋体" w:hAnsi="宋体"/>
          <w:b w:val="0"/>
          <w:bCs w:val="0"/>
          <w:color w:val="auto"/>
          <w:sz w:val="24"/>
          <w:highlight w:val="none"/>
          <w:lang w:val="en-US" w:eastAsia="zh-CN"/>
        </w:rPr>
        <w:t>1.</w:t>
      </w:r>
      <w:r>
        <w:rPr>
          <w:rFonts w:hint="eastAsia" w:ascii="宋体" w:hAnsi="宋体"/>
          <w:b w:val="0"/>
          <w:bCs w:val="0"/>
          <w:color w:val="auto"/>
          <w:sz w:val="24"/>
          <w:highlight w:val="none"/>
        </w:rPr>
        <w:t>总体策划服务方案</w:t>
      </w:r>
    </w:p>
    <w:p w14:paraId="78A0FD85">
      <w:pPr>
        <w:shd w:val="clear"/>
        <w:adjustRightInd w:val="0"/>
        <w:snapToGrid w:val="0"/>
        <w:spacing w:line="560" w:lineRule="exact"/>
        <w:rPr>
          <w:rFonts w:hint="eastAsia" w:ascii="宋体" w:hAnsi="宋体"/>
          <w:b w:val="0"/>
          <w:bCs w:val="0"/>
          <w:color w:val="auto"/>
          <w:sz w:val="24"/>
          <w:highlight w:val="none"/>
        </w:rPr>
      </w:pPr>
      <w:r>
        <w:rPr>
          <w:rFonts w:hint="eastAsia" w:ascii="宋体" w:hAnsi="宋体"/>
          <w:b w:val="0"/>
          <w:bCs w:val="0"/>
          <w:color w:val="auto"/>
          <w:sz w:val="24"/>
          <w:highlight w:val="none"/>
          <w:lang w:val="en-US" w:eastAsia="zh-CN"/>
        </w:rPr>
        <w:t>2.</w:t>
      </w:r>
      <w:r>
        <w:rPr>
          <w:rFonts w:hint="eastAsia" w:ascii="宋体" w:hAnsi="宋体"/>
          <w:b w:val="0"/>
          <w:bCs w:val="0"/>
          <w:color w:val="auto"/>
          <w:sz w:val="24"/>
          <w:highlight w:val="none"/>
        </w:rPr>
        <w:t>现场布置方案</w:t>
      </w:r>
    </w:p>
    <w:p w14:paraId="6AF0F3FC">
      <w:pPr>
        <w:shd w:val="clear"/>
        <w:adjustRightInd w:val="0"/>
        <w:snapToGrid w:val="0"/>
        <w:spacing w:line="560" w:lineRule="exact"/>
        <w:rPr>
          <w:rFonts w:hint="eastAsia" w:ascii="宋体" w:hAnsi="宋体"/>
          <w:b w:val="0"/>
          <w:bCs w:val="0"/>
          <w:color w:val="auto"/>
          <w:sz w:val="24"/>
          <w:highlight w:val="none"/>
        </w:rPr>
      </w:pPr>
      <w:r>
        <w:rPr>
          <w:rFonts w:hint="eastAsia" w:ascii="宋体" w:hAnsi="宋体"/>
          <w:b w:val="0"/>
          <w:bCs w:val="0"/>
          <w:color w:val="auto"/>
          <w:sz w:val="24"/>
          <w:highlight w:val="none"/>
          <w:lang w:val="en-US" w:eastAsia="zh-CN"/>
        </w:rPr>
        <w:t>3.</w:t>
      </w:r>
      <w:r>
        <w:rPr>
          <w:rFonts w:hint="eastAsia" w:ascii="宋体" w:hAnsi="宋体"/>
          <w:b w:val="0"/>
          <w:bCs w:val="0"/>
          <w:color w:val="auto"/>
          <w:sz w:val="24"/>
          <w:highlight w:val="none"/>
        </w:rPr>
        <w:t>媒体宣传方案</w:t>
      </w:r>
    </w:p>
    <w:p w14:paraId="6DB16DAA">
      <w:pPr>
        <w:shd w:val="clear"/>
        <w:adjustRightInd w:val="0"/>
        <w:snapToGrid w:val="0"/>
        <w:spacing w:line="560" w:lineRule="exact"/>
        <w:rPr>
          <w:rFonts w:hint="eastAsia" w:ascii="宋体" w:hAnsi="宋体"/>
          <w:b w:val="0"/>
          <w:bCs w:val="0"/>
          <w:color w:val="auto"/>
          <w:sz w:val="24"/>
          <w:highlight w:val="none"/>
        </w:rPr>
      </w:pPr>
      <w:r>
        <w:rPr>
          <w:rFonts w:hint="eastAsia" w:ascii="宋体" w:hAnsi="宋体"/>
          <w:b w:val="0"/>
          <w:bCs w:val="0"/>
          <w:color w:val="auto"/>
          <w:sz w:val="24"/>
          <w:highlight w:val="none"/>
          <w:lang w:val="en-US" w:eastAsia="zh-CN"/>
        </w:rPr>
        <w:t>4.</w:t>
      </w:r>
      <w:r>
        <w:rPr>
          <w:rFonts w:hint="eastAsia" w:ascii="宋体" w:hAnsi="宋体"/>
          <w:b w:val="0"/>
          <w:bCs w:val="0"/>
          <w:color w:val="auto"/>
          <w:sz w:val="24"/>
          <w:highlight w:val="none"/>
        </w:rPr>
        <w:t>志愿者招募方案</w:t>
      </w:r>
    </w:p>
    <w:p w14:paraId="7CB82CCE">
      <w:pPr>
        <w:shd w:val="clear"/>
        <w:adjustRightInd w:val="0"/>
        <w:snapToGrid w:val="0"/>
        <w:spacing w:line="560" w:lineRule="exact"/>
        <w:rPr>
          <w:rFonts w:hint="eastAsia" w:ascii="宋体" w:hAnsi="宋体"/>
          <w:b w:val="0"/>
          <w:bCs w:val="0"/>
          <w:color w:val="auto"/>
          <w:sz w:val="24"/>
          <w:highlight w:val="none"/>
        </w:rPr>
      </w:pPr>
      <w:r>
        <w:rPr>
          <w:rFonts w:hint="eastAsia" w:ascii="宋体" w:hAnsi="宋体"/>
          <w:b w:val="0"/>
          <w:bCs w:val="0"/>
          <w:color w:val="auto"/>
          <w:sz w:val="24"/>
          <w:highlight w:val="none"/>
          <w:lang w:val="en-US" w:eastAsia="zh-CN"/>
        </w:rPr>
        <w:t>5.</w:t>
      </w:r>
      <w:r>
        <w:rPr>
          <w:rFonts w:hint="eastAsia" w:ascii="宋体" w:hAnsi="宋体"/>
          <w:b w:val="0"/>
          <w:bCs w:val="0"/>
          <w:color w:val="auto"/>
          <w:sz w:val="24"/>
          <w:highlight w:val="none"/>
        </w:rPr>
        <w:t>后勤保障方案</w:t>
      </w:r>
    </w:p>
    <w:p w14:paraId="152F798D">
      <w:pPr>
        <w:shd w:val="clear"/>
        <w:adjustRightInd w:val="0"/>
        <w:snapToGrid w:val="0"/>
        <w:spacing w:line="560" w:lineRule="exact"/>
        <w:rPr>
          <w:rFonts w:hint="eastAsia" w:ascii="宋体" w:hAnsi="宋体"/>
          <w:b w:val="0"/>
          <w:bCs w:val="0"/>
          <w:color w:val="auto"/>
          <w:sz w:val="24"/>
          <w:highlight w:val="none"/>
        </w:rPr>
      </w:pPr>
      <w:r>
        <w:rPr>
          <w:rFonts w:hint="eastAsia" w:ascii="宋体" w:hAnsi="宋体"/>
          <w:b w:val="0"/>
          <w:bCs w:val="0"/>
          <w:color w:val="auto"/>
          <w:sz w:val="24"/>
          <w:highlight w:val="none"/>
          <w:lang w:val="en-US" w:eastAsia="zh-CN"/>
        </w:rPr>
        <w:t>6.</w:t>
      </w:r>
      <w:r>
        <w:rPr>
          <w:rFonts w:hint="eastAsia" w:ascii="宋体" w:hAnsi="宋体"/>
          <w:b w:val="0"/>
          <w:bCs w:val="0"/>
          <w:color w:val="auto"/>
          <w:sz w:val="24"/>
          <w:highlight w:val="none"/>
        </w:rPr>
        <w:t>医疗保障方案</w:t>
      </w:r>
    </w:p>
    <w:p w14:paraId="2240B25E">
      <w:pPr>
        <w:shd w:val="clear"/>
        <w:adjustRightInd w:val="0"/>
        <w:snapToGrid w:val="0"/>
        <w:spacing w:line="560" w:lineRule="exact"/>
        <w:rPr>
          <w:rFonts w:hint="eastAsia" w:ascii="宋体" w:hAnsi="宋体"/>
          <w:b w:val="0"/>
          <w:bCs w:val="0"/>
          <w:color w:val="auto"/>
          <w:sz w:val="24"/>
          <w:highlight w:val="none"/>
        </w:rPr>
      </w:pPr>
      <w:r>
        <w:rPr>
          <w:rFonts w:hint="eastAsia" w:ascii="宋体" w:hAnsi="宋体"/>
          <w:b w:val="0"/>
          <w:bCs w:val="0"/>
          <w:color w:val="auto"/>
          <w:sz w:val="24"/>
          <w:highlight w:val="none"/>
          <w:lang w:val="en-US" w:eastAsia="zh-CN"/>
        </w:rPr>
        <w:t>7.</w:t>
      </w:r>
      <w:r>
        <w:rPr>
          <w:rFonts w:hint="eastAsia" w:ascii="宋体" w:hAnsi="宋体"/>
          <w:b w:val="0"/>
          <w:bCs w:val="0"/>
          <w:color w:val="auto"/>
          <w:sz w:val="24"/>
          <w:highlight w:val="none"/>
        </w:rPr>
        <w:t>安全保障方案</w:t>
      </w:r>
    </w:p>
    <w:p w14:paraId="39350B40">
      <w:pPr>
        <w:shd w:val="clear"/>
        <w:adjustRightInd w:val="0"/>
        <w:snapToGrid w:val="0"/>
        <w:spacing w:line="560" w:lineRule="exact"/>
        <w:rPr>
          <w:rFonts w:hint="eastAsia" w:ascii="宋体" w:hAnsi="宋体"/>
          <w:b w:val="0"/>
          <w:bCs w:val="0"/>
          <w:color w:val="auto"/>
          <w:sz w:val="24"/>
          <w:highlight w:val="none"/>
        </w:rPr>
      </w:pPr>
      <w:r>
        <w:rPr>
          <w:rFonts w:hint="eastAsia" w:ascii="宋体" w:hAnsi="宋体"/>
          <w:b w:val="0"/>
          <w:bCs w:val="0"/>
          <w:color w:val="auto"/>
          <w:sz w:val="24"/>
          <w:highlight w:val="none"/>
          <w:lang w:val="en-US" w:eastAsia="zh-CN"/>
        </w:rPr>
        <w:t>8.</w:t>
      </w:r>
      <w:r>
        <w:rPr>
          <w:rFonts w:hint="eastAsia" w:ascii="宋体" w:hAnsi="宋体"/>
          <w:b w:val="0"/>
          <w:bCs w:val="0"/>
          <w:color w:val="auto"/>
          <w:sz w:val="24"/>
          <w:highlight w:val="none"/>
        </w:rPr>
        <w:t>应急保障预案</w:t>
      </w:r>
    </w:p>
    <w:p w14:paraId="2FCBEAF4">
      <w:pPr>
        <w:shd w:val="clear"/>
        <w:adjustRightInd w:val="0"/>
        <w:snapToGrid w:val="0"/>
        <w:spacing w:line="560" w:lineRule="exact"/>
        <w:rPr>
          <w:rFonts w:hint="default"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9.项目可持续</w:t>
      </w:r>
      <w:r>
        <w:rPr>
          <w:rFonts w:hint="eastAsia" w:ascii="宋体" w:hAnsi="宋体"/>
          <w:b w:val="0"/>
          <w:bCs w:val="0"/>
          <w:color w:val="auto"/>
          <w:sz w:val="24"/>
          <w:highlight w:val="none"/>
          <w:lang w:eastAsia="zh-CN"/>
        </w:rPr>
        <w:t>方案</w:t>
      </w:r>
    </w:p>
    <w:p w14:paraId="190FD297">
      <w:pPr>
        <w:shd w:val="clear"/>
        <w:adjustRightInd w:val="0"/>
        <w:snapToGrid w:val="0"/>
        <w:spacing w:line="560" w:lineRule="exact"/>
        <w:rPr>
          <w:rFonts w:ascii="宋体" w:hAnsi="宋体"/>
          <w:b/>
          <w:bCs/>
          <w:color w:val="auto"/>
          <w:sz w:val="24"/>
          <w:highlight w:val="none"/>
        </w:rPr>
      </w:pPr>
    </w:p>
    <w:p w14:paraId="2FFDDCBD">
      <w:pPr>
        <w:shd w:val="clear"/>
        <w:adjustRightInd w:val="0"/>
        <w:snapToGrid w:val="0"/>
        <w:spacing w:line="560" w:lineRule="exact"/>
        <w:rPr>
          <w:rFonts w:ascii="宋体" w:hAnsi="宋体"/>
          <w:b/>
          <w:bCs/>
          <w:color w:val="auto"/>
          <w:sz w:val="24"/>
          <w:highlight w:val="none"/>
        </w:rPr>
      </w:pPr>
    </w:p>
    <w:p w14:paraId="2E36CBE6">
      <w:pPr>
        <w:shd w:val="clear"/>
        <w:adjustRightInd w:val="0"/>
        <w:snapToGrid w:val="0"/>
        <w:spacing w:line="560" w:lineRule="exact"/>
        <w:rPr>
          <w:rFonts w:ascii="宋体" w:hAnsi="宋体"/>
          <w:b/>
          <w:bCs/>
          <w:color w:val="auto"/>
          <w:sz w:val="24"/>
          <w:highlight w:val="none"/>
        </w:rPr>
      </w:pPr>
    </w:p>
    <w:p w14:paraId="17489F54">
      <w:pPr>
        <w:shd w:val="clear"/>
        <w:adjustRightInd w:val="0"/>
        <w:snapToGrid w:val="0"/>
        <w:spacing w:line="560" w:lineRule="exact"/>
        <w:rPr>
          <w:rFonts w:ascii="宋体" w:hAnsi="宋体"/>
          <w:b/>
          <w:bCs/>
          <w:color w:val="auto"/>
          <w:sz w:val="24"/>
          <w:highlight w:val="none"/>
        </w:rPr>
      </w:pPr>
      <w:r>
        <w:rPr>
          <w:rFonts w:hint="eastAsia" w:ascii="宋体" w:hAnsi="宋体"/>
          <w:b/>
          <w:bCs/>
          <w:color w:val="auto"/>
          <w:sz w:val="24"/>
          <w:highlight w:val="none"/>
        </w:rPr>
        <w:t>注：本项目采用横向暗标评审，请投标人结合技术标评审细则和系统内容在对应模块上传技术标评审内容。</w:t>
      </w:r>
    </w:p>
    <w:p w14:paraId="0D235BCF">
      <w:pPr>
        <w:pStyle w:val="14"/>
        <w:shd w:val="clear"/>
        <w:rPr>
          <w:color w:val="auto"/>
          <w:highlight w:val="none"/>
        </w:rPr>
      </w:pPr>
    </w:p>
    <w:p w14:paraId="56A1AE96">
      <w:pPr>
        <w:shd w:val="clear"/>
        <w:spacing w:line="400" w:lineRule="exact"/>
        <w:ind w:firstLine="562" w:firstLineChars="200"/>
        <w:rPr>
          <w:b/>
          <w:color w:val="auto"/>
          <w:sz w:val="28"/>
          <w:szCs w:val="28"/>
          <w:highlight w:val="none"/>
        </w:rPr>
      </w:pPr>
    </w:p>
    <w:p w14:paraId="4BD87A00">
      <w:pPr>
        <w:shd w:val="clear"/>
        <w:spacing w:line="400" w:lineRule="exact"/>
        <w:ind w:firstLine="562" w:firstLineChars="200"/>
        <w:rPr>
          <w:b/>
          <w:color w:val="auto"/>
          <w:sz w:val="28"/>
          <w:szCs w:val="28"/>
          <w:highlight w:val="none"/>
        </w:rPr>
      </w:pPr>
    </w:p>
    <w:p w14:paraId="0E8C2E9F">
      <w:pPr>
        <w:shd w:val="clear"/>
        <w:spacing w:line="400" w:lineRule="exact"/>
        <w:ind w:firstLine="562" w:firstLineChars="200"/>
        <w:rPr>
          <w:b/>
          <w:color w:val="auto"/>
          <w:sz w:val="28"/>
          <w:szCs w:val="28"/>
          <w:highlight w:val="none"/>
        </w:rPr>
      </w:pPr>
    </w:p>
    <w:p w14:paraId="2A8BCAA0">
      <w:pPr>
        <w:shd w:val="clear"/>
        <w:spacing w:line="480" w:lineRule="auto"/>
        <w:rPr>
          <w:b/>
          <w:color w:val="auto"/>
          <w:sz w:val="28"/>
          <w:szCs w:val="28"/>
          <w:highlight w:val="none"/>
        </w:rPr>
      </w:pPr>
      <w:r>
        <w:rPr>
          <w:rFonts w:hint="eastAsia"/>
          <w:b/>
          <w:color w:val="auto"/>
          <w:sz w:val="28"/>
          <w:szCs w:val="28"/>
          <w:highlight w:val="none"/>
        </w:rPr>
        <w:br w:type="page"/>
      </w:r>
    </w:p>
    <w:p w14:paraId="3935DF22">
      <w:pPr>
        <w:shd w:val="clear"/>
        <w:spacing w:line="300" w:lineRule="exact"/>
        <w:rPr>
          <w:rFonts w:ascii="宋体"/>
          <w:color w:val="auto"/>
          <w:sz w:val="24"/>
          <w:highlight w:val="none"/>
          <w:u w:val="single"/>
        </w:rPr>
      </w:pPr>
      <w:r>
        <w:rPr>
          <w:rFonts w:hint="eastAsia" w:ascii="宋体"/>
          <w:color w:val="auto"/>
          <w:sz w:val="24"/>
          <w:highlight w:val="none"/>
          <w:u w:val="single"/>
        </w:rPr>
        <w:t xml:space="preserve">      </w:t>
      </w:r>
    </w:p>
    <w:p w14:paraId="76C49421">
      <w:pPr>
        <w:shd w:val="clear"/>
        <w:jc w:val="center"/>
        <w:rPr>
          <w:rFonts w:ascii="宋体"/>
          <w:color w:val="auto"/>
          <w:sz w:val="24"/>
          <w:highlight w:val="none"/>
        </w:rPr>
      </w:pPr>
      <w:r>
        <w:rPr>
          <w:rFonts w:hint="eastAsia" w:ascii="宋体" w:hAnsi="宋体"/>
          <w:b/>
          <w:color w:val="auto"/>
          <w:sz w:val="28"/>
          <w:szCs w:val="28"/>
          <w:highlight w:val="none"/>
        </w:rPr>
        <w:t>三、商务标格式文件</w:t>
      </w:r>
    </w:p>
    <w:p w14:paraId="591FED18">
      <w:pPr>
        <w:shd w:val="clear"/>
        <w:jc w:val="center"/>
        <w:rPr>
          <w:rFonts w:eastAsia="黑体"/>
          <w:color w:val="auto"/>
          <w:sz w:val="20"/>
          <w:highlight w:val="none"/>
        </w:rPr>
      </w:pPr>
    </w:p>
    <w:p w14:paraId="57F7E33F">
      <w:pPr>
        <w:shd w:val="clear"/>
        <w:rPr>
          <w:rFonts w:ascii="宋体"/>
          <w:color w:val="auto"/>
          <w:sz w:val="20"/>
          <w:highlight w:val="none"/>
        </w:rPr>
      </w:pPr>
    </w:p>
    <w:p w14:paraId="2678EE22">
      <w:pPr>
        <w:pStyle w:val="34"/>
        <w:shd w:val="clear"/>
        <w:ind w:firstLine="400"/>
        <w:rPr>
          <w:color w:val="auto"/>
          <w:highlight w:val="none"/>
        </w:rPr>
      </w:pPr>
    </w:p>
    <w:p w14:paraId="5882AD4B">
      <w:pPr>
        <w:shd w:val="clear"/>
        <w:jc w:val="center"/>
        <w:rPr>
          <w:rFonts w:ascii="宋体"/>
          <w:b/>
          <w:color w:val="auto"/>
          <w:sz w:val="44"/>
          <w:szCs w:val="44"/>
          <w:highlight w:val="none"/>
        </w:rPr>
      </w:pPr>
      <w:bookmarkStart w:id="253" w:name="_Toc449028954"/>
      <w:r>
        <w:rPr>
          <w:rFonts w:hint="eastAsia" w:ascii="宋体"/>
          <w:b/>
          <w:color w:val="auto"/>
          <w:sz w:val="44"/>
          <w:szCs w:val="44"/>
          <w:highlight w:val="none"/>
        </w:rPr>
        <w:t>商务标</w:t>
      </w:r>
      <w:bookmarkEnd w:id="253"/>
    </w:p>
    <w:p w14:paraId="684EFE7B">
      <w:pPr>
        <w:shd w:val="clear"/>
        <w:jc w:val="center"/>
        <w:rPr>
          <w:rFonts w:ascii="宋体"/>
          <w:color w:val="auto"/>
          <w:sz w:val="36"/>
          <w:szCs w:val="36"/>
          <w:highlight w:val="none"/>
        </w:rPr>
      </w:pPr>
      <w:r>
        <w:rPr>
          <w:rFonts w:hint="eastAsia" w:ascii="宋体"/>
          <w:color w:val="auto"/>
          <w:sz w:val="44"/>
          <w:szCs w:val="44"/>
          <w:highlight w:val="none"/>
        </w:rPr>
        <w:t>（</w:t>
      </w:r>
      <w:r>
        <w:rPr>
          <w:rFonts w:hint="eastAsia" w:ascii="宋体"/>
          <w:color w:val="auto"/>
          <w:sz w:val="36"/>
          <w:szCs w:val="36"/>
          <w:highlight w:val="none"/>
        </w:rPr>
        <w:t>投标文件三）</w:t>
      </w:r>
    </w:p>
    <w:p w14:paraId="1213EB3C">
      <w:pPr>
        <w:keepNext w:val="0"/>
        <w:keepLines w:val="0"/>
        <w:pageBreakBefore w:val="0"/>
        <w:widowControl w:val="0"/>
        <w:shd w:val="clear"/>
        <w:kinsoku/>
        <w:wordWrap/>
        <w:overflowPunct/>
        <w:topLinePunct w:val="0"/>
        <w:autoSpaceDE/>
        <w:autoSpaceDN/>
        <w:bidi w:val="0"/>
        <w:adjustRightInd/>
        <w:snapToGrid/>
        <w:spacing w:line="640" w:lineRule="exact"/>
        <w:jc w:val="center"/>
        <w:textAlignment w:val="auto"/>
        <w:rPr>
          <w:rFonts w:ascii="宋体"/>
          <w:color w:val="auto"/>
          <w:sz w:val="36"/>
          <w:szCs w:val="36"/>
          <w:highlight w:val="none"/>
        </w:rPr>
      </w:pPr>
    </w:p>
    <w:p w14:paraId="26E83962">
      <w:pPr>
        <w:keepNext w:val="0"/>
        <w:keepLines w:val="0"/>
        <w:pageBreakBefore w:val="0"/>
        <w:widowControl w:val="0"/>
        <w:shd w:val="clear"/>
        <w:kinsoku/>
        <w:wordWrap/>
        <w:overflowPunct/>
        <w:topLinePunct w:val="0"/>
        <w:autoSpaceDE/>
        <w:autoSpaceDN/>
        <w:bidi w:val="0"/>
        <w:adjustRightInd/>
        <w:snapToGrid/>
        <w:spacing w:line="640" w:lineRule="exact"/>
        <w:jc w:val="center"/>
        <w:textAlignment w:val="auto"/>
        <w:rPr>
          <w:rFonts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342F2E18">
      <w:pPr>
        <w:keepNext w:val="0"/>
        <w:keepLines w:val="0"/>
        <w:pageBreakBefore w:val="0"/>
        <w:widowControl w:val="0"/>
        <w:shd w:val="clear"/>
        <w:kinsoku/>
        <w:wordWrap/>
        <w:overflowPunct/>
        <w:topLinePunct w:val="0"/>
        <w:autoSpaceDE/>
        <w:autoSpaceDN/>
        <w:bidi w:val="0"/>
        <w:adjustRightInd/>
        <w:snapToGrid/>
        <w:spacing w:line="640" w:lineRule="exact"/>
        <w:jc w:val="center"/>
        <w:textAlignment w:val="auto"/>
        <w:rPr>
          <w:rFonts w:ascii="宋体"/>
          <w:color w:val="auto"/>
          <w:sz w:val="44"/>
          <w:szCs w:val="44"/>
          <w:highlight w:val="none"/>
        </w:rPr>
      </w:pPr>
      <w:r>
        <w:rPr>
          <w:rFonts w:hint="eastAsia" w:ascii="宋体"/>
          <w:color w:val="auto"/>
          <w:sz w:val="28"/>
          <w:szCs w:val="28"/>
          <w:highlight w:val="none"/>
        </w:rPr>
        <w:t>项目编号</w:t>
      </w:r>
      <w:r>
        <w:rPr>
          <w:rFonts w:hint="eastAsia" w:ascii="宋体"/>
          <w:color w:val="auto"/>
          <w:sz w:val="28"/>
          <w:szCs w:val="28"/>
          <w:highlight w:val="none"/>
          <w:u w:val="single"/>
        </w:rPr>
        <w:t xml:space="preserve">  </w:t>
      </w:r>
    </w:p>
    <w:p w14:paraId="5396810C">
      <w:pPr>
        <w:keepNext w:val="0"/>
        <w:keepLines w:val="0"/>
        <w:pageBreakBefore w:val="0"/>
        <w:widowControl w:val="0"/>
        <w:shd w:val="clear"/>
        <w:kinsoku/>
        <w:wordWrap/>
        <w:overflowPunct/>
        <w:topLinePunct w:val="0"/>
        <w:autoSpaceDE/>
        <w:autoSpaceDN/>
        <w:bidi w:val="0"/>
        <w:adjustRightInd/>
        <w:snapToGrid/>
        <w:spacing w:line="640" w:lineRule="exact"/>
        <w:textAlignment w:val="auto"/>
        <w:rPr>
          <w:rFonts w:ascii="宋体"/>
          <w:color w:val="auto"/>
          <w:sz w:val="28"/>
          <w:szCs w:val="28"/>
          <w:highlight w:val="none"/>
        </w:rPr>
      </w:pPr>
    </w:p>
    <w:p w14:paraId="12E8E3E0">
      <w:pPr>
        <w:shd w:val="clear"/>
        <w:rPr>
          <w:rFonts w:ascii="宋体"/>
          <w:color w:val="auto"/>
          <w:sz w:val="28"/>
          <w:szCs w:val="28"/>
          <w:highlight w:val="none"/>
        </w:rPr>
      </w:pPr>
    </w:p>
    <w:p w14:paraId="75FFEFE2">
      <w:pPr>
        <w:shd w:val="clear"/>
        <w:rPr>
          <w:rFonts w:ascii="宋体"/>
          <w:color w:val="auto"/>
          <w:sz w:val="28"/>
          <w:szCs w:val="28"/>
          <w:highlight w:val="none"/>
        </w:rPr>
      </w:pPr>
    </w:p>
    <w:p w14:paraId="57C37052">
      <w:pPr>
        <w:shd w:val="clear"/>
        <w:rPr>
          <w:rFonts w:ascii="宋体"/>
          <w:color w:val="auto"/>
          <w:sz w:val="28"/>
          <w:szCs w:val="28"/>
          <w:highlight w:val="none"/>
        </w:rPr>
      </w:pPr>
    </w:p>
    <w:p w14:paraId="65143E18">
      <w:pPr>
        <w:shd w:val="clear"/>
        <w:rPr>
          <w:rFonts w:ascii="宋体"/>
          <w:color w:val="auto"/>
          <w:sz w:val="28"/>
          <w:szCs w:val="28"/>
          <w:highlight w:val="none"/>
        </w:rPr>
      </w:pPr>
    </w:p>
    <w:p w14:paraId="3BFD68F6">
      <w:pPr>
        <w:keepNext w:val="0"/>
        <w:keepLines w:val="0"/>
        <w:pageBreakBefore w:val="0"/>
        <w:widowControl w:val="0"/>
        <w:shd w:val="clear"/>
        <w:kinsoku/>
        <w:wordWrap/>
        <w:overflowPunct/>
        <w:topLinePunct w:val="0"/>
        <w:autoSpaceDE/>
        <w:autoSpaceDN/>
        <w:bidi w:val="0"/>
        <w:adjustRightInd/>
        <w:snapToGrid/>
        <w:spacing w:line="640" w:lineRule="exact"/>
        <w:textAlignment w:val="auto"/>
        <w:rPr>
          <w:rFonts w:ascii="宋体"/>
          <w:color w:val="auto"/>
          <w:sz w:val="28"/>
          <w:szCs w:val="28"/>
          <w:highlight w:val="none"/>
        </w:rPr>
      </w:pPr>
    </w:p>
    <w:p w14:paraId="5FD3A0D5">
      <w:pPr>
        <w:keepNext w:val="0"/>
        <w:keepLines w:val="0"/>
        <w:pageBreakBefore w:val="0"/>
        <w:widowControl w:val="0"/>
        <w:shd w:val="clear"/>
        <w:kinsoku/>
        <w:wordWrap/>
        <w:overflowPunct/>
        <w:topLinePunct w:val="0"/>
        <w:autoSpaceDE/>
        <w:autoSpaceDN/>
        <w:bidi w:val="0"/>
        <w:adjustRightInd/>
        <w:snapToGrid/>
        <w:spacing w:line="640" w:lineRule="exact"/>
        <w:textAlignment w:val="auto"/>
        <w:rPr>
          <w:rFonts w:ascii="宋体"/>
          <w:color w:val="auto"/>
          <w:sz w:val="28"/>
          <w:szCs w:val="28"/>
          <w:highlight w:val="none"/>
        </w:rPr>
      </w:pPr>
    </w:p>
    <w:p w14:paraId="2DC9B147">
      <w:pPr>
        <w:keepNext w:val="0"/>
        <w:keepLines w:val="0"/>
        <w:pageBreakBefore w:val="0"/>
        <w:widowControl w:val="0"/>
        <w:shd w:val="clear"/>
        <w:kinsoku/>
        <w:wordWrap/>
        <w:overflowPunct/>
        <w:topLinePunct w:val="0"/>
        <w:autoSpaceDE/>
        <w:autoSpaceDN/>
        <w:bidi w:val="0"/>
        <w:adjustRightInd/>
        <w:snapToGrid/>
        <w:spacing w:line="640" w:lineRule="exact"/>
        <w:jc w:val="center"/>
        <w:textAlignment w:val="auto"/>
        <w:rPr>
          <w:rFonts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2C9A3FE9">
      <w:pPr>
        <w:keepNext w:val="0"/>
        <w:keepLines w:val="0"/>
        <w:pageBreakBefore w:val="0"/>
        <w:widowControl w:val="0"/>
        <w:shd w:val="clear"/>
        <w:kinsoku/>
        <w:wordWrap/>
        <w:overflowPunct/>
        <w:topLinePunct w:val="0"/>
        <w:autoSpaceDE/>
        <w:autoSpaceDN/>
        <w:bidi w:val="0"/>
        <w:adjustRightInd/>
        <w:snapToGrid/>
        <w:spacing w:line="640" w:lineRule="exact"/>
        <w:jc w:val="center"/>
        <w:textAlignment w:val="auto"/>
        <w:rPr>
          <w:rFonts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14:paraId="491F0BFF">
      <w:pPr>
        <w:keepNext w:val="0"/>
        <w:keepLines w:val="0"/>
        <w:pageBreakBefore w:val="0"/>
        <w:widowControl w:val="0"/>
        <w:shd w:val="clear"/>
        <w:kinsoku/>
        <w:wordWrap/>
        <w:overflowPunct/>
        <w:topLinePunct w:val="0"/>
        <w:autoSpaceDE/>
        <w:autoSpaceDN/>
        <w:bidi w:val="0"/>
        <w:adjustRightInd/>
        <w:snapToGrid/>
        <w:spacing w:line="640" w:lineRule="exact"/>
        <w:jc w:val="center"/>
        <w:textAlignment w:val="auto"/>
        <w:rPr>
          <w:rFonts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2DD041EE">
      <w:pPr>
        <w:keepNext w:val="0"/>
        <w:keepLines w:val="0"/>
        <w:pageBreakBefore w:val="0"/>
        <w:widowControl w:val="0"/>
        <w:shd w:val="clear"/>
        <w:kinsoku/>
        <w:wordWrap/>
        <w:overflowPunct/>
        <w:topLinePunct w:val="0"/>
        <w:autoSpaceDE/>
        <w:autoSpaceDN/>
        <w:bidi w:val="0"/>
        <w:adjustRightInd/>
        <w:snapToGrid/>
        <w:spacing w:line="640" w:lineRule="exact"/>
        <w:jc w:val="center"/>
        <w:textAlignment w:val="auto"/>
        <w:rPr>
          <w:rFonts w:ascii="宋体"/>
          <w:b/>
          <w:color w:val="auto"/>
          <w:sz w:val="36"/>
          <w:szCs w:val="36"/>
          <w:highlight w:val="none"/>
        </w:rPr>
      </w:pPr>
    </w:p>
    <w:p w14:paraId="178E0D49">
      <w:pPr>
        <w:keepNext w:val="0"/>
        <w:keepLines w:val="0"/>
        <w:pageBreakBefore w:val="0"/>
        <w:widowControl w:val="0"/>
        <w:shd w:val="clear"/>
        <w:kinsoku/>
        <w:wordWrap/>
        <w:overflowPunct/>
        <w:topLinePunct w:val="0"/>
        <w:autoSpaceDE/>
        <w:autoSpaceDN/>
        <w:bidi w:val="0"/>
        <w:adjustRightInd/>
        <w:snapToGrid/>
        <w:spacing w:line="640" w:lineRule="exact"/>
        <w:ind w:firstLine="562" w:firstLineChars="200"/>
        <w:textAlignment w:val="auto"/>
        <w:rPr>
          <w:b/>
          <w:color w:val="auto"/>
          <w:sz w:val="28"/>
          <w:szCs w:val="28"/>
          <w:highlight w:val="none"/>
        </w:rPr>
      </w:pPr>
    </w:p>
    <w:p w14:paraId="0593D1E6">
      <w:pPr>
        <w:shd w:val="clear"/>
        <w:spacing w:line="400" w:lineRule="exact"/>
        <w:jc w:val="center"/>
        <w:rPr>
          <w:b/>
          <w:color w:val="auto"/>
          <w:sz w:val="36"/>
          <w:szCs w:val="36"/>
          <w:highlight w:val="none"/>
        </w:rPr>
      </w:pPr>
      <w:r>
        <w:rPr>
          <w:b/>
          <w:color w:val="auto"/>
          <w:sz w:val="36"/>
          <w:szCs w:val="36"/>
          <w:highlight w:val="none"/>
        </w:rPr>
        <w:br w:type="page"/>
      </w:r>
      <w:r>
        <w:rPr>
          <w:rFonts w:hint="eastAsia"/>
          <w:b/>
          <w:color w:val="auto"/>
          <w:sz w:val="36"/>
          <w:szCs w:val="36"/>
          <w:highlight w:val="none"/>
        </w:rPr>
        <w:t>目   录</w:t>
      </w:r>
    </w:p>
    <w:p w14:paraId="6D771665">
      <w:pPr>
        <w:shd w:val="clear"/>
        <w:spacing w:line="400" w:lineRule="exact"/>
        <w:ind w:firstLine="4130" w:firstLineChars="935"/>
        <w:rPr>
          <w:b/>
          <w:color w:val="auto"/>
          <w:sz w:val="44"/>
          <w:szCs w:val="44"/>
          <w:highlight w:val="none"/>
        </w:rPr>
      </w:pPr>
    </w:p>
    <w:p w14:paraId="247393D4">
      <w:pPr>
        <w:shd w:val="clear"/>
        <w:spacing w:line="440" w:lineRule="exact"/>
        <w:ind w:left="420"/>
        <w:jc w:val="left"/>
        <w:rPr>
          <w:rFonts w:ascii="宋体"/>
          <w:color w:val="auto"/>
          <w:szCs w:val="21"/>
          <w:highlight w:val="none"/>
        </w:rPr>
      </w:pPr>
      <w:r>
        <w:rPr>
          <w:rFonts w:hint="eastAsia" w:ascii="宋体"/>
          <w:color w:val="auto"/>
          <w:szCs w:val="21"/>
          <w:highlight w:val="none"/>
        </w:rPr>
        <w:t>（1）开标一览表（格式见附件）；</w:t>
      </w:r>
    </w:p>
    <w:p w14:paraId="19682603">
      <w:pPr>
        <w:shd w:val="clear"/>
        <w:spacing w:line="440" w:lineRule="exact"/>
        <w:ind w:left="420"/>
        <w:jc w:val="left"/>
        <w:rPr>
          <w:rFonts w:ascii="宋体"/>
          <w:color w:val="auto"/>
          <w:szCs w:val="21"/>
          <w:highlight w:val="none"/>
        </w:rPr>
      </w:pPr>
      <w:r>
        <w:rPr>
          <w:rFonts w:hint="eastAsia" w:ascii="宋体"/>
          <w:color w:val="auto"/>
          <w:szCs w:val="21"/>
          <w:highlight w:val="none"/>
        </w:rPr>
        <w:t>（2）投标函（格式见附件）；</w:t>
      </w:r>
    </w:p>
    <w:p w14:paraId="0ADAEC21">
      <w:pPr>
        <w:shd w:val="clear"/>
        <w:spacing w:line="440" w:lineRule="exact"/>
        <w:ind w:firstLine="424" w:firstLineChars="202"/>
        <w:jc w:val="left"/>
        <w:rPr>
          <w:rFonts w:ascii="宋体"/>
          <w:color w:val="auto"/>
          <w:szCs w:val="21"/>
          <w:highlight w:val="none"/>
        </w:rPr>
      </w:pPr>
      <w:r>
        <w:rPr>
          <w:rFonts w:hint="eastAsia" w:ascii="宋体"/>
          <w:color w:val="auto"/>
          <w:szCs w:val="21"/>
          <w:highlight w:val="none"/>
        </w:rPr>
        <w:t>（3）投标人认为需要提供的其他材料。</w:t>
      </w:r>
    </w:p>
    <w:p w14:paraId="51EC1FEF">
      <w:pPr>
        <w:shd w:val="clear"/>
        <w:jc w:val="center"/>
        <w:rPr>
          <w:rFonts w:ascii="宋体"/>
          <w:b/>
          <w:color w:val="auto"/>
          <w:sz w:val="28"/>
          <w:szCs w:val="28"/>
          <w:highlight w:val="none"/>
        </w:rPr>
      </w:pPr>
    </w:p>
    <w:p w14:paraId="3E0ADEAF">
      <w:pPr>
        <w:shd w:val="clear"/>
        <w:snapToGrid w:val="0"/>
        <w:spacing w:line="460" w:lineRule="exact"/>
        <w:ind w:left="2940" w:leftChars="1400" w:firstLine="964" w:firstLineChars="300"/>
        <w:rPr>
          <w:rFonts w:ascii="宋体"/>
          <w:b/>
          <w:color w:val="auto"/>
          <w:sz w:val="32"/>
          <w:szCs w:val="32"/>
          <w:highlight w:val="none"/>
        </w:rPr>
      </w:pPr>
    </w:p>
    <w:p w14:paraId="29A4BACB">
      <w:pPr>
        <w:shd w:val="clear"/>
        <w:snapToGrid w:val="0"/>
        <w:spacing w:line="460" w:lineRule="exact"/>
        <w:ind w:left="2940" w:leftChars="1400" w:firstLine="964" w:firstLineChars="300"/>
        <w:rPr>
          <w:rFonts w:ascii="宋体"/>
          <w:b/>
          <w:color w:val="auto"/>
          <w:sz w:val="32"/>
          <w:szCs w:val="32"/>
          <w:highlight w:val="none"/>
        </w:rPr>
      </w:pPr>
    </w:p>
    <w:p w14:paraId="5608A55D">
      <w:pPr>
        <w:shd w:val="clear"/>
        <w:snapToGrid w:val="0"/>
        <w:spacing w:line="460" w:lineRule="exact"/>
        <w:ind w:left="2940" w:leftChars="1400" w:firstLine="964" w:firstLineChars="300"/>
        <w:rPr>
          <w:rFonts w:ascii="宋体"/>
          <w:b/>
          <w:color w:val="auto"/>
          <w:sz w:val="32"/>
          <w:szCs w:val="32"/>
          <w:highlight w:val="none"/>
        </w:rPr>
      </w:pPr>
    </w:p>
    <w:p w14:paraId="79E44AFE">
      <w:pPr>
        <w:shd w:val="clear"/>
        <w:snapToGrid w:val="0"/>
        <w:spacing w:line="460" w:lineRule="exact"/>
        <w:ind w:left="2940" w:leftChars="1400" w:firstLine="964" w:firstLineChars="300"/>
        <w:rPr>
          <w:rFonts w:ascii="宋体"/>
          <w:b/>
          <w:color w:val="auto"/>
          <w:sz w:val="32"/>
          <w:szCs w:val="32"/>
          <w:highlight w:val="none"/>
        </w:rPr>
      </w:pPr>
    </w:p>
    <w:p w14:paraId="55E53FA2">
      <w:pPr>
        <w:shd w:val="clear"/>
        <w:snapToGrid w:val="0"/>
        <w:spacing w:line="460" w:lineRule="exact"/>
        <w:ind w:left="2940" w:leftChars="1400" w:firstLine="964" w:firstLineChars="300"/>
        <w:rPr>
          <w:rFonts w:ascii="宋体"/>
          <w:b/>
          <w:color w:val="auto"/>
          <w:sz w:val="32"/>
          <w:szCs w:val="32"/>
          <w:highlight w:val="none"/>
        </w:rPr>
      </w:pPr>
    </w:p>
    <w:p w14:paraId="2D661747">
      <w:pPr>
        <w:shd w:val="clear"/>
        <w:snapToGrid w:val="0"/>
        <w:spacing w:line="460" w:lineRule="exact"/>
        <w:ind w:left="2940" w:leftChars="1400" w:firstLine="964" w:firstLineChars="300"/>
        <w:rPr>
          <w:rFonts w:ascii="宋体"/>
          <w:b/>
          <w:color w:val="auto"/>
          <w:sz w:val="32"/>
          <w:szCs w:val="32"/>
          <w:highlight w:val="none"/>
        </w:rPr>
      </w:pPr>
    </w:p>
    <w:p w14:paraId="3F1D5D27">
      <w:pPr>
        <w:shd w:val="clear"/>
        <w:spacing w:line="360" w:lineRule="exact"/>
        <w:rPr>
          <w:rFonts w:ascii="宋体" w:hAnsi="宋体"/>
          <w:b/>
          <w:color w:val="auto"/>
          <w:sz w:val="30"/>
          <w:szCs w:val="30"/>
          <w:highlight w:val="none"/>
        </w:rPr>
      </w:pPr>
      <w:r>
        <w:rPr>
          <w:rFonts w:ascii="宋体" w:hAnsi="宋体"/>
          <w:b/>
          <w:color w:val="auto"/>
          <w:sz w:val="30"/>
          <w:szCs w:val="30"/>
          <w:highlight w:val="none"/>
        </w:rPr>
        <w:br w:type="page"/>
      </w:r>
      <w:r>
        <w:rPr>
          <w:rFonts w:hint="eastAsia" w:ascii="宋体" w:hAnsi="宋体"/>
          <w:b/>
          <w:color w:val="auto"/>
          <w:sz w:val="30"/>
          <w:szCs w:val="30"/>
          <w:highlight w:val="none"/>
        </w:rPr>
        <w:t>附件1</w:t>
      </w:r>
    </w:p>
    <w:p w14:paraId="6E6DC666">
      <w:pPr>
        <w:shd w:val="clear"/>
        <w:spacing w:line="360" w:lineRule="exact"/>
        <w:ind w:firstLine="472" w:firstLineChars="147"/>
        <w:jc w:val="center"/>
        <w:rPr>
          <w:rFonts w:ascii="宋体"/>
          <w:b/>
          <w:color w:val="auto"/>
          <w:sz w:val="32"/>
          <w:szCs w:val="32"/>
          <w:highlight w:val="none"/>
        </w:rPr>
      </w:pPr>
    </w:p>
    <w:p w14:paraId="2265E0F5">
      <w:pPr>
        <w:shd w:val="clear"/>
        <w:spacing w:line="360" w:lineRule="exact"/>
        <w:ind w:firstLine="531" w:firstLineChars="147"/>
        <w:jc w:val="center"/>
        <w:rPr>
          <w:rFonts w:ascii="宋体"/>
          <w:b/>
          <w:color w:val="auto"/>
          <w:sz w:val="36"/>
          <w:szCs w:val="36"/>
          <w:highlight w:val="none"/>
        </w:rPr>
      </w:pPr>
      <w:r>
        <w:rPr>
          <w:rFonts w:hint="eastAsia" w:ascii="宋体"/>
          <w:b/>
          <w:color w:val="auto"/>
          <w:sz w:val="36"/>
          <w:szCs w:val="36"/>
          <w:highlight w:val="none"/>
        </w:rPr>
        <w:t>开标一览表</w:t>
      </w:r>
    </w:p>
    <w:p w14:paraId="6B64D90A">
      <w:pPr>
        <w:shd w:val="clear"/>
        <w:spacing w:line="360" w:lineRule="exact"/>
        <w:ind w:firstLine="354" w:firstLineChars="147"/>
        <w:rPr>
          <w:rFonts w:ascii="宋体"/>
          <w:b/>
          <w:color w:val="auto"/>
          <w:sz w:val="24"/>
          <w:highlight w:val="none"/>
        </w:rPr>
      </w:pPr>
    </w:p>
    <w:tbl>
      <w:tblPr>
        <w:tblStyle w:val="35"/>
        <w:tblW w:w="972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7924"/>
      </w:tblGrid>
      <w:tr w14:paraId="40C006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50" w:hRule="exact"/>
        </w:trPr>
        <w:tc>
          <w:tcPr>
            <w:tcW w:w="1803" w:type="dxa"/>
            <w:tcBorders>
              <w:top w:val="single" w:color="auto" w:sz="12" w:space="0"/>
              <w:bottom w:val="single" w:color="auto" w:sz="12" w:space="0"/>
              <w:right w:val="single" w:color="auto" w:sz="12" w:space="0"/>
            </w:tcBorders>
            <w:vAlign w:val="center"/>
          </w:tcPr>
          <w:p w14:paraId="0EF4FFE9">
            <w:pPr>
              <w:keepNext w:val="0"/>
              <w:keepLines w:val="0"/>
              <w:suppressLineNumbers w:val="0"/>
              <w:shd w:val="clear"/>
              <w:spacing w:before="0" w:beforeAutospacing="0" w:after="0" w:afterAutospacing="0" w:line="700" w:lineRule="exact"/>
              <w:ind w:left="0" w:right="0"/>
              <w:jc w:val="center"/>
              <w:rPr>
                <w:rFonts w:hint="default" w:ascii="宋体"/>
                <w:color w:val="auto"/>
                <w:sz w:val="24"/>
                <w:highlight w:val="none"/>
              </w:rPr>
            </w:pPr>
            <w:r>
              <w:rPr>
                <w:rFonts w:hint="eastAsia" w:ascii="宋体"/>
                <w:color w:val="auto"/>
                <w:sz w:val="24"/>
                <w:highlight w:val="none"/>
              </w:rPr>
              <w:t>项目名称</w:t>
            </w:r>
          </w:p>
        </w:tc>
        <w:tc>
          <w:tcPr>
            <w:tcW w:w="7924" w:type="dxa"/>
            <w:tcBorders>
              <w:top w:val="single" w:color="auto" w:sz="12" w:space="0"/>
              <w:left w:val="single" w:color="auto" w:sz="12" w:space="0"/>
              <w:bottom w:val="single" w:color="auto" w:sz="12" w:space="0"/>
            </w:tcBorders>
            <w:vAlign w:val="center"/>
          </w:tcPr>
          <w:p w14:paraId="69D304A3">
            <w:pPr>
              <w:keepNext w:val="0"/>
              <w:keepLines w:val="0"/>
              <w:suppressLineNumbers w:val="0"/>
              <w:shd w:val="clear"/>
              <w:spacing w:before="0" w:beforeAutospacing="0" w:after="0" w:afterAutospacing="0" w:line="700" w:lineRule="exact"/>
              <w:ind w:left="0" w:right="0"/>
              <w:jc w:val="left"/>
              <w:rPr>
                <w:rFonts w:hint="default"/>
                <w:color w:val="auto"/>
                <w:sz w:val="24"/>
                <w:highlight w:val="none"/>
              </w:rPr>
            </w:pPr>
            <w:r>
              <w:rPr>
                <w:rFonts w:hint="eastAsia"/>
                <w:color w:val="auto"/>
                <w:sz w:val="24"/>
                <w:highlight w:val="none"/>
              </w:rPr>
              <w:t xml:space="preserve">         </w:t>
            </w:r>
          </w:p>
        </w:tc>
      </w:tr>
      <w:tr w14:paraId="6312AD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22" w:hRule="exact"/>
        </w:trPr>
        <w:tc>
          <w:tcPr>
            <w:tcW w:w="1803" w:type="dxa"/>
            <w:tcBorders>
              <w:top w:val="single" w:color="auto" w:sz="12" w:space="0"/>
              <w:right w:val="single" w:color="auto" w:sz="12" w:space="0"/>
            </w:tcBorders>
            <w:vAlign w:val="center"/>
          </w:tcPr>
          <w:p w14:paraId="7C04D232">
            <w:pPr>
              <w:keepNext w:val="0"/>
              <w:keepLines w:val="0"/>
              <w:suppressLineNumbers w:val="0"/>
              <w:shd w:val="clear"/>
              <w:spacing w:before="0" w:beforeAutospacing="0" w:after="0" w:afterAutospacing="0" w:line="700" w:lineRule="exact"/>
              <w:ind w:left="0" w:right="0"/>
              <w:jc w:val="center"/>
              <w:rPr>
                <w:rFonts w:hint="default" w:ascii="宋体"/>
                <w:color w:val="auto"/>
                <w:sz w:val="24"/>
                <w:highlight w:val="none"/>
              </w:rPr>
            </w:pPr>
            <w:r>
              <w:rPr>
                <w:rFonts w:hint="eastAsia" w:ascii="宋体"/>
                <w:color w:val="auto"/>
                <w:sz w:val="24"/>
                <w:highlight w:val="none"/>
              </w:rPr>
              <w:t>项目编号</w:t>
            </w:r>
          </w:p>
        </w:tc>
        <w:tc>
          <w:tcPr>
            <w:tcW w:w="7924" w:type="dxa"/>
            <w:tcBorders>
              <w:top w:val="single" w:color="auto" w:sz="12" w:space="0"/>
              <w:left w:val="single" w:color="auto" w:sz="12" w:space="0"/>
            </w:tcBorders>
            <w:vAlign w:val="center"/>
          </w:tcPr>
          <w:p w14:paraId="1FB14744">
            <w:pPr>
              <w:keepNext w:val="0"/>
              <w:keepLines w:val="0"/>
              <w:suppressLineNumbers w:val="0"/>
              <w:shd w:val="clear"/>
              <w:spacing w:before="0" w:beforeAutospacing="0" w:after="0" w:afterAutospacing="0" w:line="700" w:lineRule="exact"/>
              <w:ind w:left="0" w:right="0"/>
              <w:rPr>
                <w:rFonts w:hint="default" w:ascii="宋体"/>
                <w:color w:val="auto"/>
                <w:sz w:val="24"/>
                <w:highlight w:val="none"/>
              </w:rPr>
            </w:pPr>
          </w:p>
        </w:tc>
      </w:tr>
      <w:tr w14:paraId="7878D6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18" w:hRule="exact"/>
        </w:trPr>
        <w:tc>
          <w:tcPr>
            <w:tcW w:w="1803" w:type="dxa"/>
            <w:tcBorders>
              <w:right w:val="single" w:color="auto" w:sz="12" w:space="0"/>
            </w:tcBorders>
            <w:vAlign w:val="center"/>
          </w:tcPr>
          <w:p w14:paraId="47628928">
            <w:pPr>
              <w:keepNext w:val="0"/>
              <w:keepLines w:val="0"/>
              <w:suppressLineNumbers w:val="0"/>
              <w:shd w:val="clear"/>
              <w:spacing w:before="0" w:beforeAutospacing="0" w:after="0" w:afterAutospacing="0" w:line="700" w:lineRule="exact"/>
              <w:ind w:left="0" w:right="0" w:firstLine="120" w:firstLineChars="50"/>
              <w:rPr>
                <w:rFonts w:hint="default" w:ascii="宋体"/>
                <w:color w:val="auto"/>
                <w:sz w:val="24"/>
                <w:highlight w:val="none"/>
              </w:rPr>
            </w:pPr>
            <w:r>
              <w:rPr>
                <w:rFonts w:hint="eastAsia" w:ascii="宋体"/>
                <w:color w:val="auto"/>
                <w:sz w:val="24"/>
                <w:highlight w:val="none"/>
              </w:rPr>
              <w:t>投标人名称</w:t>
            </w:r>
          </w:p>
        </w:tc>
        <w:tc>
          <w:tcPr>
            <w:tcW w:w="7924" w:type="dxa"/>
            <w:tcBorders>
              <w:left w:val="single" w:color="auto" w:sz="12" w:space="0"/>
            </w:tcBorders>
          </w:tcPr>
          <w:p w14:paraId="463BC20D">
            <w:pPr>
              <w:pStyle w:val="15"/>
              <w:keepNext w:val="0"/>
              <w:keepLines w:val="0"/>
              <w:suppressLineNumbers w:val="0"/>
              <w:shd w:val="clear"/>
              <w:spacing w:before="0" w:beforeAutospacing="0" w:after="0" w:afterAutospacing="0" w:line="700" w:lineRule="exact"/>
              <w:ind w:left="86" w:leftChars="41" w:right="0"/>
              <w:rPr>
                <w:rFonts w:hint="default" w:ascii="宋体" w:eastAsia="宋体"/>
                <w:color w:val="auto"/>
                <w:sz w:val="24"/>
                <w:szCs w:val="24"/>
                <w:highlight w:val="none"/>
              </w:rPr>
            </w:pPr>
          </w:p>
        </w:tc>
      </w:tr>
      <w:tr w14:paraId="1C7910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486" w:hRule="exact"/>
        </w:trPr>
        <w:tc>
          <w:tcPr>
            <w:tcW w:w="1803" w:type="dxa"/>
            <w:tcBorders>
              <w:right w:val="single" w:color="auto" w:sz="12" w:space="0"/>
            </w:tcBorders>
            <w:vAlign w:val="center"/>
          </w:tcPr>
          <w:p w14:paraId="047967E9">
            <w:pPr>
              <w:keepNext w:val="0"/>
              <w:keepLines w:val="0"/>
              <w:suppressLineNumbers w:val="0"/>
              <w:shd w:val="clear"/>
              <w:spacing w:before="0" w:beforeAutospacing="0" w:after="0" w:afterAutospacing="0" w:line="360" w:lineRule="auto"/>
              <w:ind w:left="0" w:right="0"/>
              <w:jc w:val="center"/>
              <w:rPr>
                <w:rFonts w:hint="default" w:ascii="宋体"/>
                <w:color w:val="auto"/>
                <w:sz w:val="24"/>
                <w:highlight w:val="none"/>
              </w:rPr>
            </w:pPr>
            <w:r>
              <w:rPr>
                <w:rFonts w:hint="eastAsia" w:ascii="宋体" w:hAnsi="宋体"/>
                <w:color w:val="auto"/>
                <w:sz w:val="24"/>
                <w:highlight w:val="none"/>
              </w:rPr>
              <w:t>投标报价\合同履行期限</w:t>
            </w:r>
          </w:p>
        </w:tc>
        <w:tc>
          <w:tcPr>
            <w:tcW w:w="7924" w:type="dxa"/>
            <w:tcBorders>
              <w:left w:val="single" w:color="auto" w:sz="12" w:space="0"/>
            </w:tcBorders>
            <w:vAlign w:val="center"/>
          </w:tcPr>
          <w:p w14:paraId="65996552">
            <w:pPr>
              <w:keepNext w:val="0"/>
              <w:keepLines w:val="0"/>
              <w:suppressLineNumbers w:val="0"/>
              <w:shd w:val="clear"/>
              <w:spacing w:before="0" w:beforeAutospacing="0" w:after="0" w:afterAutospacing="0" w:line="360" w:lineRule="auto"/>
              <w:ind w:left="0" w:right="0"/>
              <w:jc w:val="left"/>
              <w:rPr>
                <w:rFonts w:hint="default" w:ascii="宋体" w:hAnsi="宋体"/>
                <w:color w:val="auto"/>
                <w:sz w:val="24"/>
                <w:highlight w:val="none"/>
              </w:rPr>
            </w:pPr>
            <w:r>
              <w:rPr>
                <w:rFonts w:hint="eastAsia" w:ascii="宋体" w:hAnsi="宋体"/>
                <w:color w:val="auto"/>
                <w:sz w:val="24"/>
                <w:highlight w:val="none"/>
              </w:rPr>
              <w:t>投标报价 ：（大写）：</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41F3C1E5">
            <w:pPr>
              <w:keepNext w:val="0"/>
              <w:keepLines w:val="0"/>
              <w:suppressLineNumbers w:val="0"/>
              <w:shd w:val="clear"/>
              <w:spacing w:before="0" w:beforeAutospacing="0" w:after="0" w:afterAutospacing="0" w:line="360" w:lineRule="auto"/>
              <w:ind w:left="0" w:right="0"/>
              <w:jc w:val="left"/>
              <w:rPr>
                <w:rFonts w:hint="default" w:ascii="宋体" w:hAnsi="宋体"/>
                <w:color w:val="auto"/>
                <w:sz w:val="24"/>
                <w:highlight w:val="none"/>
              </w:rPr>
            </w:pPr>
            <w:r>
              <w:rPr>
                <w:rFonts w:hint="eastAsia" w:ascii="宋体" w:hAnsi="宋体"/>
                <w:color w:val="auto"/>
                <w:sz w:val="24"/>
                <w:highlight w:val="none"/>
              </w:rPr>
              <w:t>(小写) ：</w:t>
            </w:r>
            <w:r>
              <w:rPr>
                <w:rFonts w:hint="eastAsia" w:ascii="宋体" w:hAnsi="宋体"/>
                <w:color w:val="auto"/>
                <w:sz w:val="24"/>
                <w:highlight w:val="none"/>
                <w:u w:val="single"/>
              </w:rPr>
              <w:t xml:space="preserve">                      </w:t>
            </w:r>
            <w:r>
              <w:rPr>
                <w:rFonts w:hint="eastAsia" w:ascii="宋体" w:hAnsi="宋体"/>
                <w:color w:val="auto"/>
                <w:sz w:val="24"/>
                <w:highlight w:val="none"/>
              </w:rPr>
              <w:t>。</w:t>
            </w:r>
            <w:r>
              <w:rPr>
                <w:rFonts w:hint="eastAsia" w:ascii="宋体" w:hAnsi="宋体"/>
                <w:color w:val="auto"/>
                <w:sz w:val="24"/>
                <w:highlight w:val="none"/>
              </w:rPr>
              <w:br w:type="textWrapping"/>
            </w:r>
            <w:r>
              <w:rPr>
                <w:rFonts w:hint="eastAsia" w:ascii="宋体" w:hAnsi="宋体"/>
                <w:color w:val="auto"/>
                <w:sz w:val="24"/>
                <w:highlight w:val="none"/>
              </w:rPr>
              <w:t xml:space="preserve">          </w:t>
            </w:r>
          </w:p>
          <w:p w14:paraId="42BEB455">
            <w:pPr>
              <w:keepNext w:val="0"/>
              <w:keepLines w:val="0"/>
              <w:suppressLineNumbers w:val="0"/>
              <w:shd w:val="clear"/>
              <w:spacing w:before="0" w:beforeAutospacing="0" w:after="0" w:afterAutospacing="0" w:line="360" w:lineRule="auto"/>
              <w:ind w:left="0" w:right="0"/>
              <w:rPr>
                <w:rFonts w:hint="default"/>
                <w:color w:val="auto"/>
                <w:sz w:val="24"/>
                <w:highlight w:val="none"/>
              </w:rPr>
            </w:pPr>
            <w:r>
              <w:rPr>
                <w:rFonts w:hint="eastAsia"/>
                <w:color w:val="auto"/>
                <w:sz w:val="24"/>
                <w:highlight w:val="none"/>
              </w:rPr>
              <w:t>合同履行期限：</w:t>
            </w:r>
            <w:r>
              <w:rPr>
                <w:rFonts w:hint="eastAsia"/>
                <w:color w:val="auto"/>
                <w:sz w:val="24"/>
                <w:highlight w:val="none"/>
                <w:u w:val="single"/>
                <w:lang w:val="en-US" w:eastAsia="zh-CN"/>
              </w:rPr>
              <w:t xml:space="preserve">                   </w:t>
            </w:r>
            <w:r>
              <w:rPr>
                <w:rFonts w:hint="eastAsia"/>
                <w:color w:val="auto"/>
                <w:sz w:val="24"/>
                <w:highlight w:val="none"/>
              </w:rPr>
              <w:t xml:space="preserve">。 </w:t>
            </w:r>
          </w:p>
        </w:tc>
      </w:tr>
    </w:tbl>
    <w:p w14:paraId="25DED567">
      <w:pPr>
        <w:shd w:val="clear"/>
        <w:snapToGrid w:val="0"/>
        <w:spacing w:line="460" w:lineRule="exact"/>
        <w:ind w:left="2940" w:leftChars="1400" w:firstLine="723" w:firstLineChars="300"/>
        <w:rPr>
          <w:rFonts w:ascii="宋体"/>
          <w:b/>
          <w:color w:val="auto"/>
          <w:sz w:val="24"/>
          <w:highlight w:val="none"/>
        </w:rPr>
      </w:pPr>
    </w:p>
    <w:p w14:paraId="1CF2A232">
      <w:pPr>
        <w:shd w:val="clear"/>
        <w:rPr>
          <w:rFonts w:ascii="宋体"/>
          <w:color w:val="auto"/>
          <w:sz w:val="24"/>
          <w:highlight w:val="none"/>
        </w:rPr>
      </w:pPr>
      <w:r>
        <w:rPr>
          <w:rFonts w:hint="eastAsia" w:ascii="宋体"/>
          <w:color w:val="auto"/>
          <w:sz w:val="24"/>
          <w:highlight w:val="none"/>
        </w:rPr>
        <w:t>法定代表人（签章）：         投标人（盖单位章）：</w:t>
      </w:r>
    </w:p>
    <w:p w14:paraId="0A645260">
      <w:pPr>
        <w:shd w:val="clear"/>
        <w:snapToGrid w:val="0"/>
        <w:spacing w:beforeLines="100" w:afterLines="100" w:line="360" w:lineRule="auto"/>
        <w:jc w:val="center"/>
        <w:rPr>
          <w:rFonts w:cs="Arial"/>
          <w:b/>
          <w:bCs/>
          <w:color w:val="auto"/>
          <w:sz w:val="30"/>
          <w:szCs w:val="30"/>
          <w:highlight w:val="none"/>
        </w:rPr>
        <w:sectPr>
          <w:pgSz w:w="11905" w:h="16838"/>
          <w:pgMar w:top="1247" w:right="1247" w:bottom="1157" w:left="1247" w:header="0" w:footer="998" w:gutter="0"/>
          <w:pgNumType w:fmt="decimal"/>
          <w:cols w:space="0" w:num="1"/>
          <w:rtlGutter w:val="0"/>
          <w:docGrid w:linePitch="312" w:charSpace="0"/>
        </w:sectPr>
      </w:pPr>
      <w:r>
        <w:rPr>
          <w:rFonts w:hint="eastAsia" w:ascii="宋体"/>
          <w:color w:val="auto"/>
          <w:sz w:val="24"/>
          <w:highlight w:val="none"/>
        </w:rPr>
        <w:t xml:space="preserve">                                      日  期：</w:t>
      </w:r>
      <w:r>
        <w:rPr>
          <w:rFonts w:hint="eastAsia" w:ascii="宋体" w:hAnsi="宋体"/>
          <w:color w:val="auto"/>
          <w:sz w:val="24"/>
          <w:highlight w:val="none"/>
          <w:u w:val="single"/>
        </w:rPr>
        <w:t xml:space="preserve">      </w:t>
      </w:r>
      <w:r>
        <w:rPr>
          <w:rFonts w:hint="eastAsia" w:ascii="宋体"/>
          <w:color w:val="auto"/>
          <w:sz w:val="24"/>
          <w:highlight w:val="none"/>
        </w:rPr>
        <w:t>年</w:t>
      </w:r>
      <w:r>
        <w:rPr>
          <w:rFonts w:hint="eastAsia" w:ascii="宋体" w:hAnsi="宋体"/>
          <w:color w:val="auto"/>
          <w:sz w:val="24"/>
          <w:highlight w:val="none"/>
          <w:u w:val="single"/>
        </w:rPr>
        <w:t xml:space="preserve">   </w:t>
      </w:r>
      <w:r>
        <w:rPr>
          <w:rFonts w:hint="eastAsia" w:ascii="宋体"/>
          <w:color w:val="auto"/>
          <w:sz w:val="24"/>
          <w:highlight w:val="none"/>
        </w:rPr>
        <w:t>月</w:t>
      </w:r>
      <w:r>
        <w:rPr>
          <w:rFonts w:hint="eastAsia" w:ascii="宋体" w:hAnsi="宋体"/>
          <w:color w:val="auto"/>
          <w:sz w:val="24"/>
          <w:highlight w:val="none"/>
          <w:u w:val="single"/>
        </w:rPr>
        <w:t xml:space="preserve">   </w:t>
      </w:r>
      <w:r>
        <w:rPr>
          <w:rFonts w:hint="eastAsia" w:ascii="宋体"/>
          <w:color w:val="auto"/>
          <w:sz w:val="24"/>
          <w:highlight w:val="none"/>
        </w:rPr>
        <w:t xml:space="preserve">日 </w:t>
      </w:r>
    </w:p>
    <w:p w14:paraId="66360FD0">
      <w:pPr>
        <w:shd w:val="clear"/>
        <w:spacing w:line="360" w:lineRule="exact"/>
        <w:rPr>
          <w:rFonts w:ascii="宋体" w:hAnsi="宋体"/>
          <w:b/>
          <w:color w:val="auto"/>
          <w:sz w:val="30"/>
          <w:szCs w:val="30"/>
          <w:highlight w:val="none"/>
        </w:rPr>
      </w:pPr>
      <w:r>
        <w:rPr>
          <w:rFonts w:hint="eastAsia" w:ascii="宋体" w:hAnsi="宋体"/>
          <w:b/>
          <w:color w:val="auto"/>
          <w:sz w:val="30"/>
          <w:szCs w:val="30"/>
          <w:highlight w:val="none"/>
        </w:rPr>
        <w:t>附件2</w:t>
      </w:r>
    </w:p>
    <w:p w14:paraId="5242FD0C">
      <w:pPr>
        <w:shd w:val="clear"/>
        <w:spacing w:line="360" w:lineRule="exact"/>
        <w:ind w:firstLine="531" w:firstLineChars="147"/>
        <w:jc w:val="center"/>
        <w:rPr>
          <w:rFonts w:ascii="宋体"/>
          <w:b/>
          <w:color w:val="auto"/>
          <w:sz w:val="36"/>
          <w:szCs w:val="36"/>
          <w:highlight w:val="none"/>
        </w:rPr>
      </w:pPr>
      <w:r>
        <w:rPr>
          <w:rFonts w:hint="eastAsia" w:ascii="宋体"/>
          <w:b/>
          <w:color w:val="auto"/>
          <w:sz w:val="36"/>
          <w:szCs w:val="36"/>
          <w:highlight w:val="none"/>
        </w:rPr>
        <w:t>投  标  函</w:t>
      </w:r>
    </w:p>
    <w:p w14:paraId="7971AFAA">
      <w:pPr>
        <w:shd w:val="clear"/>
        <w:spacing w:line="440" w:lineRule="exact"/>
        <w:rPr>
          <w:rFonts w:ascii="宋体"/>
          <w:color w:val="auto"/>
          <w:sz w:val="24"/>
          <w:highlight w:val="none"/>
        </w:rPr>
      </w:pPr>
    </w:p>
    <w:p w14:paraId="2ABDF1C8">
      <w:pPr>
        <w:shd w:val="clear"/>
        <w:spacing w:line="500" w:lineRule="exact"/>
        <w:jc w:val="left"/>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(招标人)       </w:t>
      </w:r>
      <w:r>
        <w:rPr>
          <w:rFonts w:hint="eastAsia" w:ascii="宋体" w:hAnsi="宋体" w:cs="宋体"/>
          <w:color w:val="auto"/>
          <w:sz w:val="24"/>
          <w:highlight w:val="none"/>
        </w:rPr>
        <w:t xml:space="preserve"> </w:t>
      </w:r>
    </w:p>
    <w:p w14:paraId="2B1236FA">
      <w:pPr>
        <w:shd w:val="clear"/>
        <w:spacing w:line="50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1、我们决定参加贵单位组织的“</w:t>
      </w:r>
      <w:r>
        <w:rPr>
          <w:rFonts w:hint="eastAsia" w:ascii="宋体" w:hAnsi="宋体" w:cs="宋体"/>
          <w:color w:val="auto"/>
          <w:sz w:val="24"/>
          <w:highlight w:val="none"/>
          <w:u w:val="single"/>
        </w:rPr>
        <w:t xml:space="preserve"> （项目名称）    </w:t>
      </w:r>
      <w:r>
        <w:rPr>
          <w:rFonts w:hint="eastAsia" w:ascii="宋体" w:hAnsi="宋体" w:cs="宋体"/>
          <w:color w:val="auto"/>
          <w:sz w:val="24"/>
          <w:highlight w:val="none"/>
        </w:rPr>
        <w:t>（编号：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）”的采购。我方授权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(姓名和职务)代表我方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（投标人的名称）全权处理本项目投标的有关事宜。</w:t>
      </w:r>
    </w:p>
    <w:p w14:paraId="006C1336">
      <w:pPr>
        <w:shd w:val="clear"/>
        <w:spacing w:line="50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highlight w:val="none"/>
        </w:rPr>
        <w:t>2、我方愿意按照招标文件规定的各项要求，向招标人提供“</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w:t>
      </w:r>
      <w:r>
        <w:rPr>
          <w:rFonts w:hint="eastAsia" w:ascii="宋体" w:hAnsi="宋体" w:cs="宋体"/>
          <w:color w:val="auto"/>
          <w:sz w:val="24"/>
          <w:szCs w:val="24"/>
          <w:highlight w:val="none"/>
        </w:rPr>
        <w:t>项目的服务，投标报价为</w:t>
      </w:r>
      <w:r>
        <w:rPr>
          <w:rFonts w:hint="eastAsia" w:ascii="宋体" w:hAnsi="宋体" w:cs="宋体"/>
          <w:color w:val="auto"/>
          <w:sz w:val="24"/>
          <w:szCs w:val="24"/>
          <w:highlight w:val="none"/>
          <w:u w:val="single"/>
        </w:rPr>
        <w:t>（大写）</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（小写）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06C55C07">
      <w:pPr>
        <w:shd w:val="clear"/>
        <w:spacing w:line="500" w:lineRule="exact"/>
        <w:ind w:firstLine="480" w:firstLineChars="200"/>
        <w:jc w:val="left"/>
        <w:rPr>
          <w:rFonts w:hint="eastAsia" w:ascii="宋体" w:hAnsi="宋体" w:cs="宋体"/>
          <w:color w:val="auto"/>
          <w:sz w:val="24"/>
          <w:szCs w:val="24"/>
          <w:highlight w:val="none"/>
        </w:rPr>
      </w:pPr>
      <w:r>
        <w:rPr>
          <w:rFonts w:hint="eastAsia"/>
          <w:color w:val="auto"/>
          <w:sz w:val="24"/>
          <w:szCs w:val="24"/>
          <w:highlight w:val="none"/>
          <w:lang w:val="en-US" w:eastAsia="zh-CN"/>
        </w:rPr>
        <w:t>3、拟派项目负责人姓名：</w:t>
      </w:r>
      <w:r>
        <w:rPr>
          <w:rFonts w:hint="eastAsia"/>
          <w:color w:val="auto"/>
          <w:sz w:val="24"/>
          <w:szCs w:val="24"/>
          <w:highlight w:val="none"/>
          <w:u w:val="single"/>
          <w:lang w:val="en-US" w:eastAsia="zh-CN"/>
        </w:rPr>
        <w:t xml:space="preserve">          </w:t>
      </w:r>
      <w:r>
        <w:rPr>
          <w:rFonts w:hint="eastAsia"/>
          <w:color w:val="auto"/>
          <w:sz w:val="24"/>
          <w:szCs w:val="24"/>
          <w:highlight w:val="none"/>
          <w:lang w:val="en-US" w:eastAsia="zh-CN"/>
        </w:rPr>
        <w:t>，职称：</w:t>
      </w:r>
      <w:r>
        <w:rPr>
          <w:rFonts w:hint="eastAsia"/>
          <w:color w:val="auto"/>
          <w:sz w:val="24"/>
          <w:szCs w:val="24"/>
          <w:highlight w:val="none"/>
          <w:u w:val="single"/>
          <w:lang w:val="en-US" w:eastAsia="zh-CN"/>
        </w:rPr>
        <w:t xml:space="preserve">         </w:t>
      </w:r>
      <w:r>
        <w:rPr>
          <w:rFonts w:hint="eastAsia"/>
          <w:color w:val="auto"/>
          <w:sz w:val="24"/>
          <w:szCs w:val="24"/>
          <w:highlight w:val="none"/>
          <w:u w:val="none"/>
          <w:lang w:val="en-US" w:eastAsia="zh-CN"/>
        </w:rPr>
        <w:t>，联系电话：</w:t>
      </w:r>
      <w:r>
        <w:rPr>
          <w:rFonts w:hint="eastAsia"/>
          <w:color w:val="auto"/>
          <w:sz w:val="24"/>
          <w:szCs w:val="24"/>
          <w:highlight w:val="none"/>
          <w:u w:val="single"/>
          <w:lang w:val="en-US" w:eastAsia="zh-CN"/>
        </w:rPr>
        <w:t xml:space="preserve">                 </w:t>
      </w:r>
      <w:r>
        <w:rPr>
          <w:rFonts w:hint="eastAsia"/>
          <w:color w:val="auto"/>
          <w:sz w:val="24"/>
          <w:szCs w:val="24"/>
          <w:highlight w:val="none"/>
          <w:u w:val="none"/>
          <w:lang w:val="en-US" w:eastAsia="zh-CN"/>
        </w:rPr>
        <w:t>。</w:t>
      </w:r>
      <w:r>
        <w:rPr>
          <w:rFonts w:hint="eastAsia"/>
          <w:color w:val="auto"/>
          <w:sz w:val="24"/>
          <w:szCs w:val="24"/>
          <w:highlight w:val="none"/>
          <w:u w:val="single"/>
          <w:lang w:val="en-US" w:eastAsia="zh-CN"/>
        </w:rPr>
        <w:t xml:space="preserve"> </w:t>
      </w:r>
    </w:p>
    <w:p w14:paraId="5996518F">
      <w:pPr>
        <w:shd w:val="clear"/>
        <w:spacing w:line="50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、一旦我方成为合同签字人，我方将严格履行合同规定的责任和义务。</w:t>
      </w:r>
    </w:p>
    <w:p w14:paraId="12C416D8">
      <w:pPr>
        <w:shd w:val="clear"/>
        <w:spacing w:line="50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、若我方中标，愿意为本项目提交的纸质投标文件一式三份，其中正本一份、副本二份。</w:t>
      </w:r>
    </w:p>
    <w:p w14:paraId="39DDD6F6">
      <w:pPr>
        <w:shd w:val="clear"/>
        <w:spacing w:line="500" w:lineRule="exact"/>
        <w:ind w:firstLine="480" w:firstLineChars="200"/>
        <w:jc w:val="left"/>
        <w:rPr>
          <w:rFonts w:ascii="宋体" w:hAnsi="宋体" w:cs="宋体"/>
          <w:color w:val="auto"/>
          <w:sz w:val="24"/>
          <w:highlight w:val="none"/>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、我方愿意提供可能另外要求的、与采购投标有关的文件资料，并保证我方已</w:t>
      </w:r>
      <w:r>
        <w:rPr>
          <w:rFonts w:hint="eastAsia" w:ascii="宋体" w:hAnsi="宋体" w:cs="宋体"/>
          <w:color w:val="auto"/>
          <w:sz w:val="24"/>
          <w:highlight w:val="none"/>
        </w:rPr>
        <w:t>提供和将要提供的文件是真实的、准确的。</w:t>
      </w:r>
    </w:p>
    <w:p w14:paraId="4E0884C8">
      <w:pPr>
        <w:pStyle w:val="34"/>
        <w:shd w:val="clear"/>
        <w:spacing w:after="0" w:line="500" w:lineRule="exact"/>
        <w:ind w:left="0" w:leftChars="0" w:firstLine="480"/>
        <w:jc w:val="left"/>
        <w:rPr>
          <w:rFonts w:ascii="宋体" w:hAnsi="宋体" w:cs="宋体"/>
          <w:color w:val="auto"/>
          <w:sz w:val="24"/>
          <w:highlight w:val="none"/>
        </w:rPr>
      </w:pPr>
      <w:r>
        <w:rPr>
          <w:rFonts w:hint="eastAsia" w:ascii="宋体" w:hAnsi="宋体" w:cs="宋体"/>
          <w:color w:val="auto"/>
          <w:sz w:val="24"/>
          <w:highlight w:val="none"/>
          <w:lang w:val="en-US" w:eastAsia="zh-CN"/>
        </w:rPr>
        <w:t>7</w:t>
      </w:r>
      <w:r>
        <w:rPr>
          <w:rFonts w:hint="eastAsia" w:ascii="宋体" w:hAnsi="宋体" w:cs="宋体"/>
          <w:color w:val="auto"/>
          <w:sz w:val="24"/>
          <w:highlight w:val="none"/>
          <w:lang w:eastAsia="zh-CN"/>
        </w:rPr>
        <w:t>、</w:t>
      </w:r>
      <w:r>
        <w:rPr>
          <w:rFonts w:hint="eastAsia" w:ascii="宋体" w:hAnsi="宋体" w:cs="宋体"/>
          <w:color w:val="auto"/>
          <w:sz w:val="24"/>
          <w:highlight w:val="none"/>
        </w:rPr>
        <w:t>投标有效期为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90  </w:t>
      </w:r>
      <w:r>
        <w:rPr>
          <w:rFonts w:hint="eastAsia" w:ascii="宋体" w:hAnsi="宋体" w:cs="宋体"/>
          <w:color w:val="auto"/>
          <w:sz w:val="24"/>
          <w:highlight w:val="none"/>
        </w:rPr>
        <w:t>日历天（从投标截止之日算起）。</w:t>
      </w:r>
    </w:p>
    <w:p w14:paraId="6C8BFA62">
      <w:pPr>
        <w:shd w:val="clear"/>
        <w:spacing w:line="50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lang w:val="en-US" w:eastAsia="zh-CN"/>
        </w:rPr>
        <w:t>8</w:t>
      </w:r>
      <w:r>
        <w:rPr>
          <w:rFonts w:hint="eastAsia" w:ascii="宋体" w:hAnsi="宋体" w:cs="宋体"/>
          <w:color w:val="auto"/>
          <w:sz w:val="24"/>
          <w:highlight w:val="none"/>
        </w:rPr>
        <w:t xml:space="preserve">、我单位提供如下通讯地址：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电子邮箱（地址），确认本项目相关法律文书均通过提供的以上地址送达，相关文书只要发送至以上电子邮箱（地址）即视为送达，投标人愿意承担一切法律后果。</w:t>
      </w:r>
    </w:p>
    <w:p w14:paraId="3069DCB7">
      <w:pPr>
        <w:shd w:val="clear"/>
        <w:spacing w:line="500" w:lineRule="exact"/>
        <w:jc w:val="left"/>
        <w:rPr>
          <w:rFonts w:ascii="宋体" w:hAnsi="宋体" w:cs="宋体"/>
          <w:color w:val="auto"/>
          <w:sz w:val="24"/>
          <w:highlight w:val="none"/>
        </w:rPr>
      </w:pPr>
      <w:r>
        <w:rPr>
          <w:rFonts w:hint="eastAsia" w:ascii="宋体" w:hAnsi="宋体" w:cs="宋体"/>
          <w:color w:val="auto"/>
          <w:sz w:val="24"/>
          <w:highlight w:val="none"/>
        </w:rPr>
        <w:t> </w:t>
      </w:r>
    </w:p>
    <w:p w14:paraId="1A78D7F1">
      <w:pPr>
        <w:shd w:val="clear"/>
        <w:spacing w:line="500" w:lineRule="exact"/>
        <w:jc w:val="left"/>
        <w:rPr>
          <w:rFonts w:ascii="宋体" w:hAnsi="宋体" w:cs="宋体"/>
          <w:color w:val="auto"/>
          <w:sz w:val="24"/>
          <w:highlight w:val="none"/>
        </w:rPr>
      </w:pPr>
      <w:r>
        <w:rPr>
          <w:rFonts w:hint="eastAsia" w:ascii="宋体" w:hAnsi="宋体" w:cs="宋体"/>
          <w:color w:val="auto"/>
          <w:sz w:val="24"/>
          <w:highlight w:val="none"/>
        </w:rPr>
        <w:t>投标人名称：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（盖单位章）</w:t>
      </w:r>
    </w:p>
    <w:p w14:paraId="4C297112">
      <w:pPr>
        <w:shd w:val="clear"/>
        <w:spacing w:line="500" w:lineRule="exact"/>
        <w:jc w:val="left"/>
        <w:rPr>
          <w:rFonts w:ascii="宋体" w:hAnsi="宋体" w:cs="宋体"/>
          <w:color w:val="auto"/>
          <w:sz w:val="24"/>
          <w:highlight w:val="none"/>
        </w:rPr>
      </w:pPr>
      <w:r>
        <w:rPr>
          <w:rFonts w:hint="eastAsia" w:ascii="宋体" w:hAnsi="宋体" w:cs="宋体"/>
          <w:color w:val="auto"/>
          <w:sz w:val="24"/>
          <w:highlight w:val="none"/>
        </w:rPr>
        <w:t>投标人法定代表人：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（签章）</w:t>
      </w:r>
    </w:p>
    <w:p w14:paraId="696F0459">
      <w:pPr>
        <w:shd w:val="clear"/>
        <w:spacing w:line="500" w:lineRule="exact"/>
        <w:ind w:firstLine="3360" w:firstLineChars="1400"/>
        <w:jc w:val="left"/>
        <w:rPr>
          <w:rFonts w:hint="eastAsia" w:ascii="宋体" w:hAnsi="宋体" w:cs="宋体"/>
          <w:color w:val="auto"/>
          <w:sz w:val="24"/>
          <w:highlight w:val="none"/>
        </w:rPr>
      </w:pPr>
    </w:p>
    <w:p w14:paraId="5AF09567">
      <w:pPr>
        <w:shd w:val="clear"/>
        <w:spacing w:line="500" w:lineRule="exact"/>
        <w:ind w:firstLine="5760" w:firstLineChars="2400"/>
        <w:jc w:val="left"/>
        <w:rPr>
          <w:rFonts w:hint="eastAsia" w:ascii="宋体" w:hAnsi="宋体" w:cs="宋体"/>
          <w:color w:val="auto"/>
          <w:sz w:val="24"/>
          <w:highlight w:val="none"/>
        </w:rPr>
      </w:pPr>
      <w:r>
        <w:rPr>
          <w:rFonts w:hint="eastAsia" w:ascii="宋体" w:hAnsi="宋体" w:cs="宋体"/>
          <w:color w:val="auto"/>
          <w:sz w:val="24"/>
          <w:highlight w:val="none"/>
        </w:rPr>
        <w:t>日期：</w:t>
      </w:r>
    </w:p>
    <w:p w14:paraId="1628BE12">
      <w:pPr>
        <w:shd w:val="clear"/>
        <w:spacing w:line="500" w:lineRule="exact"/>
        <w:ind w:firstLine="5760" w:firstLineChars="2400"/>
        <w:jc w:val="left"/>
        <w:rPr>
          <w:rFonts w:ascii="宋体" w:hAnsi="宋体" w:cs="宋体"/>
          <w:color w:val="auto"/>
          <w:sz w:val="24"/>
          <w:highlight w:val="none"/>
        </w:rPr>
      </w:pPr>
      <w:r>
        <w:rPr>
          <w:rFonts w:hint="eastAsia" w:ascii="宋体" w:hAnsi="宋体" w:cs="宋体"/>
          <w:color w:val="auto"/>
          <w:sz w:val="24"/>
          <w:highlight w:val="none"/>
        </w:rPr>
        <w:t>通讯地址：</w:t>
      </w:r>
    </w:p>
    <w:p w14:paraId="4869801F">
      <w:pPr>
        <w:shd w:val="clear"/>
        <w:spacing w:line="500" w:lineRule="exact"/>
        <w:ind w:firstLine="5760" w:firstLineChars="2400"/>
        <w:jc w:val="left"/>
        <w:rPr>
          <w:rFonts w:ascii="宋体" w:hAnsi="宋体" w:cs="宋体"/>
          <w:color w:val="auto"/>
          <w:sz w:val="24"/>
          <w:highlight w:val="none"/>
        </w:rPr>
      </w:pPr>
      <w:r>
        <w:rPr>
          <w:rFonts w:hint="eastAsia" w:ascii="宋体" w:hAnsi="宋体" w:cs="宋体"/>
          <w:color w:val="auto"/>
          <w:sz w:val="24"/>
          <w:highlight w:val="none"/>
        </w:rPr>
        <w:t>电话：</w:t>
      </w:r>
    </w:p>
    <w:p w14:paraId="6235627A">
      <w:pPr>
        <w:shd w:val="clear"/>
        <w:spacing w:line="500" w:lineRule="exact"/>
        <w:ind w:right="-178" w:rightChars="-85" w:firstLine="5760" w:firstLineChars="2400"/>
        <w:jc w:val="left"/>
        <w:rPr>
          <w:rFonts w:ascii="宋体"/>
          <w:b/>
          <w:color w:val="auto"/>
          <w:sz w:val="28"/>
          <w:szCs w:val="28"/>
          <w:highlight w:val="none"/>
        </w:rPr>
      </w:pPr>
      <w:r>
        <w:rPr>
          <w:rFonts w:hint="eastAsia" w:ascii="宋体" w:hAnsi="宋体" w:cs="宋体"/>
          <w:color w:val="auto"/>
          <w:sz w:val="24"/>
          <w:highlight w:val="none"/>
        </w:rPr>
        <w:t>传真：</w:t>
      </w:r>
    </w:p>
    <w:p w14:paraId="5E042D83">
      <w:pPr>
        <w:shd w:val="clear"/>
        <w:rPr>
          <w:rFonts w:ascii="宋体" w:hAnsi="宋体"/>
          <w:b/>
          <w:color w:val="auto"/>
          <w:sz w:val="30"/>
          <w:szCs w:val="30"/>
          <w:highlight w:val="none"/>
        </w:rPr>
      </w:pPr>
    </w:p>
    <w:p w14:paraId="6A96735F">
      <w:pPr>
        <w:shd w:val="clear"/>
        <w:rPr>
          <w:rFonts w:hint="eastAsia" w:ascii="宋体" w:hAnsi="宋体"/>
          <w:b/>
          <w:color w:val="auto"/>
          <w:sz w:val="30"/>
          <w:szCs w:val="30"/>
          <w:highlight w:val="none"/>
        </w:rPr>
      </w:pPr>
    </w:p>
    <w:p w14:paraId="7D2D8624">
      <w:pPr>
        <w:shd w:val="clear"/>
        <w:rPr>
          <w:rFonts w:hint="eastAsia" w:ascii="宋体" w:hAnsi="宋体"/>
          <w:b/>
          <w:color w:val="auto"/>
          <w:sz w:val="30"/>
          <w:szCs w:val="30"/>
          <w:highlight w:val="none"/>
        </w:rPr>
      </w:pPr>
    </w:p>
    <w:p w14:paraId="474B3648">
      <w:pPr>
        <w:shd w:val="clear"/>
        <w:spacing w:line="380" w:lineRule="exact"/>
        <w:rPr>
          <w:rFonts w:hint="eastAsia" w:ascii="宋体" w:hAnsi="宋体"/>
          <w:b/>
          <w:color w:val="auto"/>
          <w:sz w:val="30"/>
          <w:szCs w:val="30"/>
          <w:highlight w:val="none"/>
          <w:lang w:val="en-US" w:eastAsia="zh-CN"/>
        </w:rPr>
      </w:pP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3</w:t>
      </w:r>
    </w:p>
    <w:p w14:paraId="11506C2A">
      <w:pPr>
        <w:shd w:val="clear"/>
        <w:spacing w:line="380" w:lineRule="exact"/>
        <w:ind w:firstLine="568" w:firstLineChars="202"/>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投标人认为需要提供的其他材料（如有）。</w:t>
      </w:r>
    </w:p>
    <w:p w14:paraId="7B86369D">
      <w:pPr>
        <w:shd w:val="clear"/>
        <w:spacing w:line="380" w:lineRule="exact"/>
        <w:ind w:firstLine="568" w:firstLineChars="202"/>
        <w:rPr>
          <w:rFonts w:hint="eastAsia" w:ascii="宋体" w:hAnsi="宋体" w:eastAsia="宋体" w:cs="宋体"/>
          <w:b/>
          <w:bCs/>
          <w:color w:val="auto"/>
          <w:sz w:val="28"/>
          <w:szCs w:val="28"/>
          <w:highlight w:val="none"/>
          <w:lang w:eastAsia="zh-CN"/>
        </w:rPr>
      </w:pPr>
    </w:p>
    <w:p w14:paraId="0F5755ED">
      <w:pPr>
        <w:pStyle w:val="2"/>
        <w:keepNext/>
        <w:keepLines/>
        <w:pageBreakBefore w:val="0"/>
        <w:widowControl w:val="0"/>
        <w:shd w:val="clear"/>
        <w:kinsoku/>
        <w:wordWrap/>
        <w:overflowPunct/>
        <w:topLinePunct w:val="0"/>
        <w:autoSpaceDE/>
        <w:autoSpaceDN/>
        <w:bidi w:val="0"/>
        <w:adjustRightInd/>
        <w:snapToGrid/>
        <w:spacing w:after="0" w:line="579" w:lineRule="auto"/>
        <w:textAlignment w:val="auto"/>
        <w:rPr>
          <w:rFonts w:ascii="宋体"/>
          <w:b w:val="0"/>
          <w:color w:val="auto"/>
          <w:szCs w:val="32"/>
          <w:highlight w:val="none"/>
        </w:rPr>
      </w:pPr>
      <w:r>
        <w:rPr>
          <w:rFonts w:hint="eastAsia"/>
          <w:color w:val="auto"/>
          <w:highlight w:val="none"/>
        </w:rPr>
        <w:br w:type="page"/>
      </w:r>
      <w:bookmarkStart w:id="254" w:name="_Toc449028957"/>
      <w:bookmarkStart w:id="255" w:name="_Toc31457"/>
      <w:bookmarkStart w:id="256" w:name="_Toc58430333"/>
      <w:r>
        <w:rPr>
          <w:rFonts w:hint="eastAsia" w:ascii="宋体"/>
          <w:color w:val="auto"/>
          <w:szCs w:val="32"/>
          <w:highlight w:val="none"/>
        </w:rPr>
        <w:t xml:space="preserve">第七章 </w:t>
      </w:r>
      <w:r>
        <w:rPr>
          <w:rFonts w:hint="eastAsia" w:ascii="宋体"/>
          <w:bCs w:val="0"/>
          <w:color w:val="auto"/>
          <w:szCs w:val="32"/>
          <w:highlight w:val="none"/>
        </w:rPr>
        <w:t>招标人、采购代理机构对本招标文件的确认</w:t>
      </w:r>
      <w:bookmarkEnd w:id="254"/>
      <w:bookmarkEnd w:id="255"/>
      <w:bookmarkEnd w:id="256"/>
    </w:p>
    <w:bookmarkEnd w:id="0"/>
    <w:tbl>
      <w:tblPr>
        <w:tblStyle w:val="35"/>
        <w:tblW w:w="0" w:type="auto"/>
        <w:jc w:val="center"/>
        <w:tblLayout w:type="fixed"/>
        <w:tblCellMar>
          <w:top w:w="0" w:type="dxa"/>
          <w:left w:w="108" w:type="dxa"/>
          <w:bottom w:w="0" w:type="dxa"/>
          <w:right w:w="108" w:type="dxa"/>
        </w:tblCellMar>
      </w:tblPr>
      <w:tblGrid>
        <w:gridCol w:w="9460"/>
      </w:tblGrid>
      <w:tr w14:paraId="60950CED">
        <w:tblPrEx>
          <w:tblCellMar>
            <w:top w:w="0" w:type="dxa"/>
            <w:left w:w="108" w:type="dxa"/>
            <w:bottom w:w="0" w:type="dxa"/>
            <w:right w:w="108" w:type="dxa"/>
          </w:tblCellMar>
        </w:tblPrEx>
        <w:trPr>
          <w:trHeight w:val="5962" w:hRule="atLeast"/>
          <w:jc w:val="center"/>
        </w:trPr>
        <w:tc>
          <w:tcPr>
            <w:tcW w:w="9460" w:type="dxa"/>
            <w:tcBorders>
              <w:top w:val="single" w:color="auto" w:sz="4" w:space="0"/>
              <w:left w:val="single" w:color="auto" w:sz="4" w:space="0"/>
              <w:bottom w:val="single" w:color="auto" w:sz="4" w:space="0"/>
              <w:right w:val="single" w:color="auto" w:sz="4" w:space="0"/>
            </w:tcBorders>
          </w:tcPr>
          <w:p w14:paraId="0F2AD7A3">
            <w:pPr>
              <w:keepNext w:val="0"/>
              <w:keepLines w:val="0"/>
              <w:suppressLineNumbers w:val="0"/>
              <w:shd w:val="clear"/>
              <w:spacing w:before="0" w:beforeAutospacing="0" w:after="0" w:afterAutospacing="0" w:line="440" w:lineRule="exact"/>
              <w:ind w:left="0" w:right="0" w:firstLine="560" w:firstLineChars="200"/>
              <w:rPr>
                <w:rFonts w:hint="default" w:ascii="宋体" w:cs="宋体"/>
                <w:color w:val="auto"/>
                <w:sz w:val="28"/>
                <w:szCs w:val="28"/>
                <w:highlight w:val="none"/>
              </w:rPr>
            </w:pPr>
          </w:p>
          <w:p w14:paraId="50D25ADE">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textAlignment w:val="auto"/>
              <w:rPr>
                <w:rFonts w:hint="default" w:ascii="宋体" w:cs="宋体"/>
                <w:color w:val="auto"/>
                <w:sz w:val="28"/>
                <w:szCs w:val="28"/>
                <w:highlight w:val="none"/>
              </w:rPr>
            </w:pPr>
            <w:r>
              <w:rPr>
                <w:rFonts w:hint="eastAsia" w:ascii="宋体" w:cs="宋体"/>
                <w:color w:val="auto"/>
                <w:sz w:val="28"/>
                <w:szCs w:val="28"/>
                <w:highlight w:val="none"/>
              </w:rPr>
              <w:t xml:space="preserve">  我单位对</w:t>
            </w:r>
            <w:r>
              <w:rPr>
                <w:rFonts w:hint="eastAsia" w:ascii="宋体" w:cs="宋体"/>
                <w:color w:val="auto"/>
                <w:sz w:val="28"/>
                <w:szCs w:val="28"/>
                <w:highlight w:val="none"/>
                <w:u w:val="single"/>
              </w:rPr>
              <w:t xml:space="preserve"> </w:t>
            </w:r>
            <w:r>
              <w:rPr>
                <w:rFonts w:hint="eastAsia" w:ascii="宋体" w:cs="宋体"/>
                <w:color w:val="auto"/>
                <w:sz w:val="28"/>
                <w:szCs w:val="28"/>
                <w:highlight w:val="none"/>
                <w:u w:val="single"/>
                <w:lang w:val="en-US" w:eastAsia="zh-CN"/>
              </w:rPr>
              <w:t>2026年中国国际皮划艇马拉松公开赛（安徽·滁州站）赛事服务项目</w:t>
            </w:r>
            <w:r>
              <w:rPr>
                <w:rFonts w:hint="eastAsia" w:ascii="宋体" w:cs="宋体"/>
                <w:color w:val="auto"/>
                <w:sz w:val="28"/>
                <w:szCs w:val="28"/>
                <w:highlight w:val="none"/>
                <w:u w:val="single"/>
              </w:rPr>
              <w:t xml:space="preserve"> </w:t>
            </w:r>
            <w:r>
              <w:rPr>
                <w:rFonts w:hint="eastAsia" w:ascii="宋体" w:cs="宋体"/>
                <w:color w:val="auto"/>
                <w:sz w:val="28"/>
                <w:szCs w:val="28"/>
                <w:highlight w:val="none"/>
              </w:rPr>
              <w:t>的招标文件进行确认。</w:t>
            </w:r>
          </w:p>
          <w:p w14:paraId="6506FE6B">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560" w:firstLineChars="200"/>
              <w:textAlignment w:val="auto"/>
              <w:rPr>
                <w:rFonts w:hint="eastAsia" w:ascii="宋体" w:eastAsia="宋体" w:cs="宋体"/>
                <w:color w:val="auto"/>
                <w:sz w:val="28"/>
                <w:szCs w:val="28"/>
                <w:highlight w:val="none"/>
                <w:lang w:eastAsia="zh-CN"/>
              </w:rPr>
            </w:pPr>
            <w:r>
              <w:rPr>
                <w:rFonts w:hint="eastAsia" w:ascii="宋体" w:cs="宋体"/>
                <w:color w:val="auto"/>
                <w:sz w:val="28"/>
                <w:szCs w:val="28"/>
                <w:highlight w:val="none"/>
              </w:rPr>
              <w:t>招标单位：</w:t>
            </w:r>
            <w:r>
              <w:rPr>
                <w:rFonts w:hint="eastAsia" w:ascii="宋体" w:cs="宋体"/>
                <w:color w:val="auto"/>
                <w:sz w:val="28"/>
                <w:szCs w:val="28"/>
                <w:highlight w:val="none"/>
                <w:lang w:val="en-US" w:eastAsia="zh-CN"/>
              </w:rPr>
              <w:t>滁州市琅狮文旅发展有限公司</w:t>
            </w:r>
          </w:p>
          <w:p w14:paraId="5C77EA09">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560" w:firstLineChars="200"/>
              <w:textAlignment w:val="auto"/>
              <w:rPr>
                <w:rFonts w:hint="eastAsia" w:ascii="宋体" w:eastAsia="宋体" w:cs="宋体"/>
                <w:color w:val="auto"/>
                <w:sz w:val="28"/>
                <w:szCs w:val="28"/>
                <w:highlight w:val="none"/>
                <w:lang w:eastAsia="zh-CN"/>
              </w:rPr>
            </w:pPr>
            <w:r>
              <w:rPr>
                <w:rFonts w:hint="eastAsia" w:ascii="宋体" w:cs="宋体"/>
                <w:color w:val="auto"/>
                <w:sz w:val="28"/>
                <w:szCs w:val="28"/>
                <w:highlight w:val="none"/>
              </w:rPr>
              <w:t>委托代理人：</w:t>
            </w:r>
            <w:r>
              <w:rPr>
                <w:rFonts w:hint="eastAsia" w:ascii="宋体" w:cs="宋体"/>
                <w:color w:val="auto"/>
                <w:sz w:val="28"/>
                <w:szCs w:val="28"/>
                <w:highlight w:val="none"/>
                <w:lang w:val="en-US" w:eastAsia="zh-CN"/>
              </w:rPr>
              <w:t>李传旭</w:t>
            </w:r>
          </w:p>
          <w:p w14:paraId="62E711A2">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560" w:firstLineChars="200"/>
              <w:textAlignment w:val="auto"/>
              <w:rPr>
                <w:rFonts w:hint="default" w:ascii="宋体" w:eastAsia="宋体" w:cs="宋体"/>
                <w:color w:val="auto"/>
                <w:sz w:val="28"/>
                <w:szCs w:val="28"/>
                <w:highlight w:val="none"/>
                <w:lang w:val="en-US" w:eastAsia="zh-CN"/>
              </w:rPr>
            </w:pPr>
            <w:r>
              <w:rPr>
                <w:rFonts w:hint="eastAsia" w:ascii="宋体" w:cs="宋体"/>
                <w:color w:val="auto"/>
                <w:sz w:val="28"/>
                <w:szCs w:val="28"/>
                <w:highlight w:val="none"/>
              </w:rPr>
              <w:t>联系电话：0550-</w:t>
            </w:r>
            <w:r>
              <w:rPr>
                <w:rFonts w:hint="eastAsia" w:ascii="宋体" w:cs="宋体"/>
                <w:color w:val="auto"/>
                <w:sz w:val="28"/>
                <w:szCs w:val="28"/>
                <w:highlight w:val="none"/>
                <w:lang w:val="en-US" w:eastAsia="zh-CN"/>
              </w:rPr>
              <w:t>2201367</w:t>
            </w:r>
          </w:p>
          <w:p w14:paraId="146F6F4B">
            <w:pPr>
              <w:keepNext w:val="0"/>
              <w:keepLines w:val="0"/>
              <w:suppressLineNumbers w:val="0"/>
              <w:shd w:val="clear"/>
              <w:spacing w:before="0" w:beforeAutospacing="0" w:after="0" w:afterAutospacing="0" w:line="540" w:lineRule="exact"/>
              <w:ind w:left="0" w:right="0" w:firstLine="7140" w:firstLineChars="2550"/>
              <w:rPr>
                <w:rFonts w:hint="default" w:ascii="宋体" w:cs="宋体"/>
                <w:color w:val="auto"/>
                <w:sz w:val="28"/>
                <w:szCs w:val="28"/>
                <w:highlight w:val="none"/>
              </w:rPr>
            </w:pPr>
          </w:p>
          <w:p w14:paraId="5F895AA1">
            <w:pPr>
              <w:keepNext w:val="0"/>
              <w:keepLines w:val="0"/>
              <w:suppressLineNumbers w:val="0"/>
              <w:shd w:val="clear"/>
              <w:spacing w:before="0" w:beforeAutospacing="0" w:after="0" w:afterAutospacing="0" w:line="540" w:lineRule="exact"/>
              <w:ind w:left="0" w:right="0" w:firstLine="7140" w:firstLineChars="2550"/>
              <w:rPr>
                <w:rFonts w:hint="default" w:ascii="宋体" w:cs="宋体"/>
                <w:color w:val="auto"/>
                <w:sz w:val="28"/>
                <w:szCs w:val="28"/>
                <w:highlight w:val="none"/>
              </w:rPr>
            </w:pPr>
            <w:r>
              <w:rPr>
                <w:rFonts w:hint="eastAsia" w:ascii="宋体" w:cs="宋体"/>
                <w:color w:val="auto"/>
                <w:sz w:val="28"/>
                <w:szCs w:val="28"/>
                <w:highlight w:val="none"/>
              </w:rPr>
              <w:t>（盖单位章）</w:t>
            </w:r>
          </w:p>
          <w:p w14:paraId="4D72797C">
            <w:pPr>
              <w:keepNext w:val="0"/>
              <w:keepLines w:val="0"/>
              <w:suppressLineNumbers w:val="0"/>
              <w:shd w:val="clear"/>
              <w:spacing w:before="0" w:beforeAutospacing="0" w:after="0" w:afterAutospacing="0" w:line="540" w:lineRule="exact"/>
              <w:ind w:left="0" w:right="0"/>
              <w:jc w:val="right"/>
              <w:rPr>
                <w:rFonts w:hint="default" w:ascii="宋体" w:cs="宋体"/>
                <w:color w:val="auto"/>
                <w:sz w:val="28"/>
                <w:szCs w:val="28"/>
                <w:highlight w:val="none"/>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8</w:t>
            </w:r>
            <w:r>
              <w:rPr>
                <w:rFonts w:hint="eastAsia" w:ascii="宋体" w:cs="宋体"/>
                <w:color w:val="auto"/>
                <w:sz w:val="28"/>
                <w:szCs w:val="28"/>
                <w:highlight w:val="none"/>
              </w:rPr>
              <w:t>月</w:t>
            </w:r>
          </w:p>
        </w:tc>
      </w:tr>
      <w:tr w14:paraId="07E8ABDE">
        <w:tblPrEx>
          <w:tblCellMar>
            <w:top w:w="0" w:type="dxa"/>
            <w:left w:w="108" w:type="dxa"/>
            <w:bottom w:w="0" w:type="dxa"/>
            <w:right w:w="108" w:type="dxa"/>
          </w:tblCellMar>
        </w:tblPrEx>
        <w:trPr>
          <w:trHeight w:val="5471" w:hRule="atLeast"/>
          <w:jc w:val="center"/>
        </w:trPr>
        <w:tc>
          <w:tcPr>
            <w:tcW w:w="9460" w:type="dxa"/>
            <w:tcBorders>
              <w:top w:val="single" w:color="auto" w:sz="4" w:space="0"/>
              <w:left w:val="single" w:color="auto" w:sz="4" w:space="0"/>
              <w:bottom w:val="single" w:color="auto" w:sz="4" w:space="0"/>
              <w:right w:val="single" w:color="auto" w:sz="4" w:space="0"/>
            </w:tcBorders>
          </w:tcPr>
          <w:p w14:paraId="237B8E9E">
            <w:pPr>
              <w:keepNext w:val="0"/>
              <w:keepLines w:val="0"/>
              <w:suppressLineNumbers w:val="0"/>
              <w:shd w:val="clear"/>
              <w:spacing w:before="0" w:beforeAutospacing="0" w:after="0" w:afterAutospacing="0" w:line="440" w:lineRule="exact"/>
              <w:ind w:left="0" w:right="0"/>
              <w:rPr>
                <w:rFonts w:hint="default" w:ascii="宋体" w:cs="宋体"/>
                <w:color w:val="auto"/>
                <w:sz w:val="28"/>
                <w:szCs w:val="28"/>
                <w:highlight w:val="none"/>
              </w:rPr>
            </w:pPr>
          </w:p>
          <w:p w14:paraId="0C68BBF1">
            <w:pPr>
              <w:keepNext w:val="0"/>
              <w:keepLines w:val="0"/>
              <w:suppressLineNumbers w:val="0"/>
              <w:shd w:val="clear"/>
              <w:spacing w:before="0" w:beforeAutospacing="0" w:after="0" w:afterAutospacing="0" w:line="520" w:lineRule="exact"/>
              <w:ind w:left="0" w:right="0" w:firstLine="560" w:firstLineChars="200"/>
              <w:rPr>
                <w:rFonts w:hint="default" w:ascii="宋体" w:cs="宋体"/>
                <w:color w:val="auto"/>
                <w:sz w:val="28"/>
                <w:szCs w:val="28"/>
                <w:highlight w:val="none"/>
              </w:rPr>
            </w:pPr>
            <w:r>
              <w:rPr>
                <w:rFonts w:hint="eastAsia" w:ascii="宋体" w:cs="宋体"/>
                <w:color w:val="auto"/>
                <w:sz w:val="28"/>
                <w:szCs w:val="28"/>
                <w:highlight w:val="none"/>
              </w:rPr>
              <w:t>招标代理机构：滁州市城投工程咨询管理有限公司</w:t>
            </w:r>
          </w:p>
          <w:p w14:paraId="056CA4B2">
            <w:pPr>
              <w:keepNext w:val="0"/>
              <w:keepLines w:val="0"/>
              <w:suppressLineNumbers w:val="0"/>
              <w:shd w:val="clear"/>
              <w:spacing w:before="0" w:beforeAutospacing="0" w:after="0" w:afterAutospacing="0" w:line="520" w:lineRule="exact"/>
              <w:ind w:left="0" w:right="0"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经办人：</w:t>
            </w:r>
            <w:r>
              <w:rPr>
                <w:rFonts w:hint="eastAsia" w:ascii="宋体" w:cs="宋体"/>
                <w:color w:val="auto"/>
                <w:sz w:val="28"/>
                <w:szCs w:val="28"/>
                <w:highlight w:val="none"/>
                <w:lang w:val="en-US" w:eastAsia="zh-CN"/>
              </w:rPr>
              <w:t>关勤勤</w:t>
            </w:r>
          </w:p>
          <w:p w14:paraId="446A1FAB">
            <w:pPr>
              <w:keepNext w:val="0"/>
              <w:keepLines w:val="0"/>
              <w:suppressLineNumbers w:val="0"/>
              <w:shd w:val="clear"/>
              <w:spacing w:before="0" w:beforeAutospacing="0" w:after="0" w:afterAutospacing="0" w:line="520" w:lineRule="exact"/>
              <w:ind w:left="0" w:right="0" w:firstLine="560" w:firstLineChars="200"/>
              <w:rPr>
                <w:rFonts w:hint="default" w:ascii="宋体" w:eastAsia="宋体" w:cs="宋体"/>
                <w:color w:val="auto"/>
                <w:sz w:val="28"/>
                <w:szCs w:val="28"/>
                <w:highlight w:val="none"/>
                <w:lang w:val="en-US" w:eastAsia="zh-CN"/>
              </w:rPr>
            </w:pPr>
            <w:r>
              <w:rPr>
                <w:rFonts w:hint="eastAsia" w:ascii="宋体" w:cs="宋体"/>
                <w:color w:val="auto"/>
                <w:sz w:val="28"/>
                <w:szCs w:val="28"/>
                <w:highlight w:val="none"/>
              </w:rPr>
              <w:t>电  话：0550-3519590、</w:t>
            </w:r>
            <w:r>
              <w:rPr>
                <w:rFonts w:hint="eastAsia" w:ascii="宋体" w:cs="宋体"/>
                <w:color w:val="auto"/>
                <w:sz w:val="28"/>
                <w:szCs w:val="28"/>
                <w:highlight w:val="none"/>
                <w:lang w:val="en-US" w:eastAsia="zh-CN"/>
              </w:rPr>
              <w:t>18909605753</w:t>
            </w:r>
          </w:p>
          <w:p w14:paraId="4C985C29">
            <w:pPr>
              <w:keepNext w:val="0"/>
              <w:keepLines w:val="0"/>
              <w:suppressLineNumbers w:val="0"/>
              <w:shd w:val="clear"/>
              <w:spacing w:before="0" w:beforeAutospacing="0" w:after="0" w:afterAutospacing="0" w:line="520" w:lineRule="exact"/>
              <w:ind w:left="0" w:right="0" w:firstLine="6300" w:firstLineChars="2250"/>
              <w:rPr>
                <w:rFonts w:hint="default" w:ascii="宋体" w:cs="宋体"/>
                <w:color w:val="auto"/>
                <w:sz w:val="28"/>
                <w:szCs w:val="28"/>
                <w:highlight w:val="none"/>
              </w:rPr>
            </w:pPr>
          </w:p>
          <w:p w14:paraId="40122368">
            <w:pPr>
              <w:pStyle w:val="34"/>
              <w:keepNext w:val="0"/>
              <w:keepLines w:val="0"/>
              <w:suppressLineNumbers w:val="0"/>
              <w:shd w:val="clear"/>
              <w:spacing w:before="0" w:beforeAutospacing="0" w:afterAutospacing="0"/>
              <w:ind w:right="0"/>
              <w:rPr>
                <w:rFonts w:hint="default"/>
                <w:color w:val="auto"/>
                <w:kern w:val="2"/>
                <w:sz w:val="21"/>
                <w:szCs w:val="24"/>
                <w:highlight w:val="none"/>
              </w:rPr>
            </w:pPr>
          </w:p>
          <w:p w14:paraId="28BFEEE4">
            <w:pPr>
              <w:keepNext w:val="0"/>
              <w:keepLines w:val="0"/>
              <w:suppressLineNumbers w:val="0"/>
              <w:shd w:val="clear"/>
              <w:spacing w:before="0" w:beforeAutospacing="0" w:after="0" w:afterAutospacing="0" w:line="520" w:lineRule="exact"/>
              <w:ind w:left="0" w:right="0" w:firstLine="6580" w:firstLineChars="2350"/>
              <w:rPr>
                <w:rFonts w:hint="default" w:ascii="宋体" w:cs="宋体"/>
                <w:color w:val="auto"/>
                <w:sz w:val="28"/>
                <w:szCs w:val="28"/>
                <w:highlight w:val="none"/>
              </w:rPr>
            </w:pPr>
          </w:p>
          <w:p w14:paraId="759C71E3">
            <w:pPr>
              <w:keepNext w:val="0"/>
              <w:keepLines w:val="0"/>
              <w:suppressLineNumbers w:val="0"/>
              <w:shd w:val="clear"/>
              <w:spacing w:before="0" w:beforeAutospacing="0" w:after="0" w:afterAutospacing="0" w:line="520" w:lineRule="exact"/>
              <w:ind w:left="0" w:right="0" w:firstLine="7140" w:firstLineChars="2550"/>
              <w:rPr>
                <w:rFonts w:hint="default" w:ascii="宋体" w:cs="宋体"/>
                <w:color w:val="auto"/>
                <w:sz w:val="28"/>
                <w:szCs w:val="28"/>
                <w:highlight w:val="none"/>
              </w:rPr>
            </w:pPr>
            <w:r>
              <w:rPr>
                <w:rFonts w:hint="eastAsia" w:ascii="宋体" w:cs="宋体"/>
                <w:color w:val="auto"/>
                <w:sz w:val="28"/>
                <w:szCs w:val="28"/>
                <w:highlight w:val="none"/>
              </w:rPr>
              <w:t>（盖单位章）</w:t>
            </w:r>
          </w:p>
          <w:p w14:paraId="2713D75B">
            <w:pPr>
              <w:keepNext w:val="0"/>
              <w:keepLines w:val="0"/>
              <w:suppressLineNumbers w:val="0"/>
              <w:shd w:val="clear"/>
              <w:spacing w:before="0" w:beforeAutospacing="0" w:after="0" w:afterAutospacing="0" w:line="540" w:lineRule="exact"/>
              <w:ind w:left="0" w:right="0"/>
              <w:jc w:val="right"/>
              <w:rPr>
                <w:rFonts w:hint="default" w:ascii="宋体" w:cs="宋体"/>
                <w:color w:val="auto"/>
                <w:sz w:val="28"/>
                <w:szCs w:val="28"/>
                <w:highlight w:val="none"/>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8</w:t>
            </w:r>
            <w:r>
              <w:rPr>
                <w:rFonts w:hint="eastAsia" w:ascii="宋体" w:cs="宋体"/>
                <w:color w:val="auto"/>
                <w:sz w:val="28"/>
                <w:szCs w:val="28"/>
                <w:highlight w:val="none"/>
              </w:rPr>
              <w:t>月</w:t>
            </w:r>
          </w:p>
        </w:tc>
      </w:tr>
    </w:tbl>
    <w:p w14:paraId="1EBE9764">
      <w:pPr>
        <w:shd w:val="clear"/>
        <w:rPr>
          <w:color w:val="auto"/>
          <w:highlight w:val="none"/>
        </w:rPr>
      </w:pPr>
    </w:p>
    <w:sectPr>
      <w:pgSz w:w="11905" w:h="16838"/>
      <w:pgMar w:top="1247" w:right="1247" w:bottom="1157" w:left="1247" w:header="0" w:footer="998"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Times">
    <w:altName w:val="Times New Roman"/>
    <w:panose1 w:val="02020603050405020304"/>
    <w:charset w:val="00"/>
    <w:family w:val="roman"/>
    <w:pitch w:val="default"/>
    <w:sig w:usb0="00000000" w:usb1="00000000" w:usb2="00000009" w:usb3="00000000" w:csb0="000001FF" w:csb1="00000000"/>
  </w:font>
  <w:font w:name="DokChampa">
    <w:altName w:val="Microsoft Sans Serif"/>
    <w:panose1 w:val="00000000000000000000"/>
    <w:charset w:val="00"/>
    <w:family w:val="swiss"/>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 w:name="MS Sans Serif">
    <w:altName w:val="Segoe Print"/>
    <w:panose1 w:val="020B05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新宋体">
    <w:panose1 w:val="02010609030101010101"/>
    <w:charset w:val="86"/>
    <w:family w:val="modern"/>
    <w:pitch w:val="default"/>
    <w:sig w:usb0="00000283" w:usb1="288F0000" w:usb2="00000006" w:usb3="00000000" w:csb0="00040001" w:csb1="00000000"/>
  </w:font>
  <w:font w:name="方正小标宋简体">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507BB">
    <w:pPr>
      <w:pStyle w:val="22"/>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E7165">
    <w:pPr>
      <w:pStyle w:val="22"/>
      <w:tabs>
        <w:tab w:val="clear" w:pos="4153"/>
        <w:tab w:val="clear" w:pos="8306"/>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C20A7A2">
                          <w:pPr>
                            <w:pStyle w:val="2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pfMzM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yl8zMyQEAAJkDAAAOAAAAAAAAAAEAIAAAAB4BAABkcnMvZTJvRG9j&#10;LnhtbFBLBQYAAAAABgAGAFkBAABZBQAAAAA=&#10;">
              <v:fill on="f" focussize="0,0"/>
              <v:stroke on="f"/>
              <v:imagedata o:title=""/>
              <o:lock v:ext="edit" aspectratio="f"/>
              <v:textbox inset="0mm,0mm,0mm,0mm" style="mso-fit-shape-to-text:t;">
                <w:txbxContent>
                  <w:p w14:paraId="4C20A7A2">
                    <w:pPr>
                      <w:pStyle w:val="2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36D38">
    <w:pPr>
      <w:pStyle w:val="23"/>
      <w:pBdr>
        <w:bottom w:val="none" w:color="auto" w:sz="0" w:space="0"/>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16D74">
    <w:pPr>
      <w:pStyle w:val="23"/>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9C9934"/>
    <w:multiLevelType w:val="singleLevel"/>
    <w:tmpl w:val="8C9C9934"/>
    <w:lvl w:ilvl="0" w:tentative="0">
      <w:start w:val="1"/>
      <w:numFmt w:val="decimal"/>
      <w:suff w:val="nothing"/>
      <w:lvlText w:val="（%1）"/>
      <w:lvlJc w:val="left"/>
    </w:lvl>
  </w:abstractNum>
  <w:abstractNum w:abstractNumId="1">
    <w:nsid w:val="C84ED593"/>
    <w:multiLevelType w:val="singleLevel"/>
    <w:tmpl w:val="C84ED593"/>
    <w:lvl w:ilvl="0" w:tentative="0">
      <w:start w:val="1"/>
      <w:numFmt w:val="decimal"/>
      <w:suff w:val="nothing"/>
      <w:lvlText w:val="（%1）"/>
      <w:lvlJc w:val="left"/>
    </w:lvl>
  </w:abstractNum>
  <w:abstractNum w:abstractNumId="2">
    <w:nsid w:val="F638D22A"/>
    <w:multiLevelType w:val="singleLevel"/>
    <w:tmpl w:val="F638D22A"/>
    <w:lvl w:ilvl="0" w:tentative="0">
      <w:start w:val="4"/>
      <w:numFmt w:val="chineseCounting"/>
      <w:suff w:val="nothing"/>
      <w:lvlText w:val="（%1）"/>
      <w:lvlJc w:val="left"/>
      <w:rPr>
        <w:rFonts w:hint="eastAsia"/>
      </w:rPr>
    </w:lvl>
  </w:abstractNum>
  <w:abstractNum w:abstractNumId="3">
    <w:nsid w:val="00000005"/>
    <w:multiLevelType w:val="multilevel"/>
    <w:tmpl w:val="00000005"/>
    <w:lvl w:ilvl="0" w:tentative="0">
      <w:start w:val="1"/>
      <w:numFmt w:val="chineseCountingThousand"/>
      <w:pStyle w:val="103"/>
      <w:suff w:val="space"/>
      <w:lvlText w:val="%1、"/>
      <w:lvlJc w:val="left"/>
      <w:pPr>
        <w:ind w:left="425" w:hanging="425"/>
      </w:pPr>
      <w:rPr>
        <w:rFonts w:hint="eastAsia"/>
      </w:rPr>
    </w:lvl>
    <w:lvl w:ilvl="1" w:tentative="0">
      <w:start w:val="1"/>
      <w:numFmt w:val="decimal"/>
      <w:suff w:val="space"/>
      <w:lvlText w:val="%2、"/>
      <w:lvlJc w:val="left"/>
      <w:pPr>
        <w:ind w:left="454" w:hanging="454"/>
      </w:pPr>
      <w:rPr>
        <w:rFonts w:hint="eastAsia"/>
      </w:rPr>
    </w:lvl>
    <w:lvl w:ilvl="2" w:tentative="0">
      <w:start w:val="1"/>
      <w:numFmt w:val="decimal"/>
      <w:suff w:val="space"/>
      <w:lvlText w:val="%2.%3"/>
      <w:lvlJc w:val="left"/>
      <w:pPr>
        <w:ind w:left="454" w:hanging="454"/>
      </w:pPr>
      <w:rPr>
        <w:rFonts w:hint="default" w:ascii="Cambria" w:hAnsi="Cambria"/>
      </w:rPr>
    </w:lvl>
    <w:lvl w:ilvl="3" w:tentative="0">
      <w:start w:val="1"/>
      <w:numFmt w:val="decimal"/>
      <w:lvlText w:val="%2.%3.%4"/>
      <w:lvlJc w:val="left"/>
      <w:pPr>
        <w:ind w:left="454" w:hanging="454"/>
      </w:pPr>
      <w:rPr>
        <w:rFonts w:hint="eastAsia"/>
      </w:rPr>
    </w:lvl>
    <w:lvl w:ilvl="4" w:tentative="0">
      <w:start w:val="1"/>
      <w:numFmt w:val="decimal"/>
      <w:lvlText w:val="%2.%3.%4.%5"/>
      <w:lvlJc w:val="left"/>
      <w:pPr>
        <w:ind w:left="454" w:hanging="454"/>
      </w:pPr>
      <w:rPr>
        <w:rFonts w:hint="eastAsia"/>
      </w:rPr>
    </w:lvl>
    <w:lvl w:ilvl="5" w:tentative="0">
      <w:start w:val="1"/>
      <w:numFmt w:val="decimal"/>
      <w:lvlText w:val="%1.%2.%3.%4.%5.%6"/>
      <w:lvlJc w:val="left"/>
      <w:pPr>
        <w:ind w:left="2550" w:hanging="425"/>
      </w:pPr>
      <w:rPr>
        <w:rFonts w:hint="eastAsia"/>
      </w:rPr>
    </w:lvl>
    <w:lvl w:ilvl="6" w:tentative="0">
      <w:start w:val="1"/>
      <w:numFmt w:val="decimal"/>
      <w:lvlText w:val="%1.%2.%3.%4.%5.%6.%7"/>
      <w:lvlJc w:val="left"/>
      <w:pPr>
        <w:ind w:left="2975" w:hanging="425"/>
      </w:pPr>
      <w:rPr>
        <w:rFonts w:hint="eastAsia"/>
      </w:rPr>
    </w:lvl>
    <w:lvl w:ilvl="7" w:tentative="0">
      <w:start w:val="1"/>
      <w:numFmt w:val="decimal"/>
      <w:lvlText w:val="%1.%2.%3.%4.%5.%6.%7.%8"/>
      <w:lvlJc w:val="left"/>
      <w:pPr>
        <w:ind w:left="3400" w:hanging="425"/>
      </w:pPr>
      <w:rPr>
        <w:rFonts w:hint="eastAsia"/>
      </w:rPr>
    </w:lvl>
    <w:lvl w:ilvl="8" w:tentative="0">
      <w:start w:val="1"/>
      <w:numFmt w:val="decimal"/>
      <w:lvlText w:val="%1.%2.%3.%4.%5.%6.%7.%8.%9"/>
      <w:lvlJc w:val="left"/>
      <w:pPr>
        <w:ind w:left="3825" w:hanging="425"/>
      </w:pPr>
      <w:rPr>
        <w:rFonts w:hint="eastAsia"/>
      </w:rPr>
    </w:lvl>
  </w:abstractNum>
  <w:abstractNum w:abstractNumId="4">
    <w:nsid w:val="00000007"/>
    <w:multiLevelType w:val="multilevel"/>
    <w:tmpl w:val="00000007"/>
    <w:lvl w:ilvl="0" w:tentative="0">
      <w:start w:val="1"/>
      <w:numFmt w:val="chineseCountingThousand"/>
      <w:pStyle w:val="31"/>
      <w:lvlText w:val="%1、"/>
      <w:lvlJc w:val="left"/>
      <w:pPr>
        <w:ind w:left="420" w:hanging="420"/>
      </w:pPr>
      <w:rPr>
        <w:rFonts w:ascii="Times New Roman" w:hAnsi="Times New Roman" w:cs="Times New Roman"/>
        <w:b w:val="0"/>
        <w:bCs w:val="0"/>
        <w:i w:val="0"/>
        <w:iCs w:val="0"/>
        <w:caps w:val="0"/>
        <w:smallCaps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0D"/>
    <w:multiLevelType w:val="multilevel"/>
    <w:tmpl w:val="0000000D"/>
    <w:lvl w:ilvl="0" w:tentative="0">
      <w:start w:val="1"/>
      <w:numFmt w:val="decimal"/>
      <w:pStyle w:val="96"/>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0000000F"/>
    <w:multiLevelType w:val="multilevel"/>
    <w:tmpl w:val="0000000F"/>
    <w:lvl w:ilvl="0" w:tentative="0">
      <w:start w:val="1"/>
      <w:numFmt w:val="decimal"/>
      <w:lvlText w:val="%1、"/>
      <w:lvlJc w:val="left"/>
      <w:pPr>
        <w:ind w:left="371" w:hanging="360"/>
      </w:pPr>
      <w:rPr>
        <w:rFonts w:hint="default"/>
      </w:rPr>
    </w:lvl>
    <w:lvl w:ilvl="1" w:tentative="0">
      <w:start w:val="1"/>
      <w:numFmt w:val="lowerLetter"/>
      <w:pStyle w:val="3"/>
      <w:lvlText w:val="%2)"/>
      <w:lvlJc w:val="left"/>
      <w:pPr>
        <w:ind w:left="851" w:hanging="420"/>
      </w:pPr>
    </w:lvl>
    <w:lvl w:ilvl="2" w:tentative="0">
      <w:start w:val="1"/>
      <w:numFmt w:val="lowerRoman"/>
      <w:lvlText w:val="%3."/>
      <w:lvlJc w:val="right"/>
      <w:pPr>
        <w:ind w:left="1271" w:hanging="420"/>
      </w:pPr>
    </w:lvl>
    <w:lvl w:ilvl="3" w:tentative="0">
      <w:start w:val="1"/>
      <w:numFmt w:val="decimal"/>
      <w:lvlText w:val="%4."/>
      <w:lvlJc w:val="left"/>
      <w:pPr>
        <w:ind w:left="1691" w:hanging="420"/>
      </w:pPr>
    </w:lvl>
    <w:lvl w:ilvl="4" w:tentative="0">
      <w:start w:val="1"/>
      <w:numFmt w:val="lowerLetter"/>
      <w:lvlText w:val="%5)"/>
      <w:lvlJc w:val="left"/>
      <w:pPr>
        <w:ind w:left="2111" w:hanging="420"/>
      </w:pPr>
    </w:lvl>
    <w:lvl w:ilvl="5" w:tentative="0">
      <w:start w:val="1"/>
      <w:numFmt w:val="lowerRoman"/>
      <w:lvlText w:val="%6."/>
      <w:lvlJc w:val="right"/>
      <w:pPr>
        <w:ind w:left="2531" w:hanging="420"/>
      </w:pPr>
    </w:lvl>
    <w:lvl w:ilvl="6" w:tentative="0">
      <w:start w:val="1"/>
      <w:numFmt w:val="decimal"/>
      <w:lvlText w:val="%7."/>
      <w:lvlJc w:val="left"/>
      <w:pPr>
        <w:ind w:left="2951" w:hanging="420"/>
      </w:pPr>
    </w:lvl>
    <w:lvl w:ilvl="7" w:tentative="0">
      <w:start w:val="1"/>
      <w:numFmt w:val="lowerLetter"/>
      <w:lvlText w:val="%8)"/>
      <w:lvlJc w:val="left"/>
      <w:pPr>
        <w:ind w:left="3371" w:hanging="420"/>
      </w:pPr>
    </w:lvl>
    <w:lvl w:ilvl="8" w:tentative="0">
      <w:start w:val="1"/>
      <w:numFmt w:val="lowerRoman"/>
      <w:lvlText w:val="%9."/>
      <w:lvlJc w:val="right"/>
      <w:pPr>
        <w:ind w:left="3791" w:hanging="420"/>
      </w:pPr>
    </w:lvl>
  </w:abstractNum>
  <w:abstractNum w:abstractNumId="7">
    <w:nsid w:val="00000010"/>
    <w:multiLevelType w:val="multilevel"/>
    <w:tmpl w:val="00000010"/>
    <w:lvl w:ilvl="0" w:tentative="0">
      <w:start w:val="1"/>
      <w:numFmt w:val="decimal"/>
      <w:pStyle w:val="10"/>
      <w:lvlText w:val="%1"/>
      <w:lvlJc w:val="left"/>
      <w:pPr>
        <w:tabs>
          <w:tab w:val="left" w:pos="425"/>
        </w:tabs>
        <w:ind w:left="425" w:hanging="425"/>
      </w:pPr>
      <w:rPr>
        <w:rFonts w:hint="default" w:ascii="Times New Roman" w:hAnsi="Times New Roman" w:cs="Times New Roman"/>
        <w:b/>
        <w:i w:val="0"/>
        <w:sz w:val="28"/>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lvlText w:val="%1.%2.%3.%4"/>
      <w:lvlJc w:val="left"/>
      <w:pPr>
        <w:tabs>
          <w:tab w:val="left" w:pos="1984"/>
        </w:tabs>
        <w:ind w:left="1984"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8">
    <w:nsid w:val="00000012"/>
    <w:multiLevelType w:val="multilevel"/>
    <w:tmpl w:val="00000012"/>
    <w:lvl w:ilvl="0" w:tentative="0">
      <w:start w:val="1"/>
      <w:numFmt w:val="chineseCountingThousand"/>
      <w:pStyle w:val="119"/>
      <w:lvlText w:val="%1、"/>
      <w:lvlJc w:val="left"/>
      <w:pPr>
        <w:tabs>
          <w:tab w:val="left" w:pos="425"/>
        </w:tabs>
        <w:ind w:left="425" w:hanging="425"/>
      </w:pPr>
      <w:rPr>
        <w:rFonts w:hint="eastAsia" w:cs="Times New Roman"/>
      </w:rPr>
    </w:lvl>
    <w:lvl w:ilvl="1" w:tentative="0">
      <w:start w:val="1"/>
      <w:numFmt w:val="decimal"/>
      <w:isLgl/>
      <w:lvlText w:val="%1.%2"/>
      <w:lvlJc w:val="left"/>
      <w:pPr>
        <w:tabs>
          <w:tab w:val="left" w:pos="567"/>
        </w:tabs>
        <w:ind w:left="567" w:hanging="567"/>
      </w:pPr>
      <w:rPr>
        <w:rFonts w:hint="default" w:ascii="Arial" w:hAnsi="Arial" w:cs="Arial"/>
      </w:rPr>
    </w:lvl>
    <w:lvl w:ilvl="2" w:tentative="0">
      <w:start w:val="1"/>
      <w:numFmt w:val="decimal"/>
      <w:isLgl/>
      <w:lvlText w:val="%1.%2.%3"/>
      <w:lvlJc w:val="left"/>
      <w:pPr>
        <w:tabs>
          <w:tab w:val="left" w:pos="1069"/>
        </w:tabs>
        <w:ind w:left="1069" w:hanging="709"/>
      </w:pPr>
      <w:rPr>
        <w:rFonts w:hint="default" w:ascii="Arial" w:hAnsi="Arial" w:cs="Arial"/>
      </w:rPr>
    </w:lvl>
    <w:lvl w:ilvl="3" w:tentative="0">
      <w:start w:val="1"/>
      <w:numFmt w:val="decimal"/>
      <w:isLgl/>
      <w:lvlText w:val="%1.%2.%3.%4"/>
      <w:lvlJc w:val="left"/>
      <w:pPr>
        <w:tabs>
          <w:tab w:val="left" w:pos="1080"/>
        </w:tabs>
        <w:ind w:left="851" w:hanging="851"/>
      </w:pPr>
      <w:rPr>
        <w:rFonts w:hint="default" w:ascii="Arial" w:hAnsi="Arial" w:cs="Arial"/>
        <w:sz w:val="24"/>
        <w:szCs w:val="24"/>
      </w:rPr>
    </w:lvl>
    <w:lvl w:ilvl="4" w:tentative="0">
      <w:start w:val="1"/>
      <w:numFmt w:val="decimal"/>
      <w:isLgl/>
      <w:lvlText w:val="%1.%2.%3.%4.%5"/>
      <w:lvlJc w:val="left"/>
      <w:pPr>
        <w:tabs>
          <w:tab w:val="left" w:pos="1440"/>
        </w:tabs>
        <w:ind w:left="992" w:hanging="992"/>
      </w:pPr>
      <w:rPr>
        <w:rFonts w:hint="eastAsia" w:cs="Times New Roman"/>
      </w:rPr>
    </w:lvl>
    <w:lvl w:ilvl="5" w:tentative="0">
      <w:start w:val="1"/>
      <w:numFmt w:val="decimal"/>
      <w:isLgl/>
      <w:lvlText w:val="%1.%2.%3.%4.%5.%6"/>
      <w:lvlJc w:val="left"/>
      <w:pPr>
        <w:tabs>
          <w:tab w:val="left" w:pos="1440"/>
        </w:tabs>
        <w:ind w:left="1134" w:hanging="1134"/>
      </w:pPr>
      <w:rPr>
        <w:rFonts w:hint="eastAsia" w:cs="Times New Roman"/>
      </w:rPr>
    </w:lvl>
    <w:lvl w:ilvl="6" w:tentative="0">
      <w:start w:val="1"/>
      <w:numFmt w:val="decimal"/>
      <w:isLgl/>
      <w:lvlText w:val="%1.%2.%3.%4.%5.%6.%7"/>
      <w:lvlJc w:val="left"/>
      <w:pPr>
        <w:tabs>
          <w:tab w:val="left" w:pos="1800"/>
        </w:tabs>
        <w:ind w:left="1276" w:hanging="1276"/>
      </w:pPr>
      <w:rPr>
        <w:rFonts w:hint="eastAsia" w:cs="Times New Roman"/>
      </w:rPr>
    </w:lvl>
    <w:lvl w:ilvl="7" w:tentative="0">
      <w:start w:val="1"/>
      <w:numFmt w:val="decimal"/>
      <w:isLgl/>
      <w:lvlText w:val="%1.%2.%3.%4.%5.%6.%7.%8"/>
      <w:lvlJc w:val="left"/>
      <w:pPr>
        <w:tabs>
          <w:tab w:val="left" w:pos="1800"/>
        </w:tabs>
        <w:ind w:left="1418" w:hanging="1418"/>
      </w:pPr>
      <w:rPr>
        <w:rFonts w:hint="eastAsia" w:cs="Times New Roman"/>
      </w:rPr>
    </w:lvl>
    <w:lvl w:ilvl="8" w:tentative="0">
      <w:start w:val="1"/>
      <w:numFmt w:val="decimal"/>
      <w:isLgl/>
      <w:lvlText w:val="%1.%2.%3.%4.%5.%6.%7.%8.%9"/>
      <w:lvlJc w:val="left"/>
      <w:pPr>
        <w:tabs>
          <w:tab w:val="left" w:pos="2160"/>
        </w:tabs>
        <w:ind w:left="1559" w:hanging="1559"/>
      </w:pPr>
      <w:rPr>
        <w:rFonts w:hint="eastAsia" w:cs="Times New Roman"/>
      </w:rPr>
    </w:lvl>
  </w:abstractNum>
  <w:abstractNum w:abstractNumId="9">
    <w:nsid w:val="00000014"/>
    <w:multiLevelType w:val="multilevel"/>
    <w:tmpl w:val="00000014"/>
    <w:lvl w:ilvl="0" w:tentative="0">
      <w:start w:val="1"/>
      <w:numFmt w:val="decimal"/>
      <w:pStyle w:val="25"/>
      <w:lvlText w:val="%1."/>
      <w:lvlJc w:val="left"/>
      <w:pPr>
        <w:ind w:left="420" w:firstLine="0"/>
      </w:pPr>
      <w:rPr>
        <w:rFonts w:ascii="Times New Roman" w:hAnsi="Times New Roman" w:cs="Times New Roman"/>
        <w:b w:val="0"/>
        <w:bCs w:val="0"/>
        <w:i w:val="0"/>
        <w:iCs w:val="0"/>
        <w:caps w:val="0"/>
        <w:smallCaps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47D26E8E"/>
    <w:multiLevelType w:val="singleLevel"/>
    <w:tmpl w:val="47D26E8E"/>
    <w:lvl w:ilvl="0" w:tentative="0">
      <w:start w:val="1"/>
      <w:numFmt w:val="decimal"/>
      <w:suff w:val="nothing"/>
      <w:lvlText w:val="（%1）"/>
      <w:lvlJc w:val="left"/>
    </w:lvl>
  </w:abstractNum>
  <w:abstractNum w:abstractNumId="11">
    <w:nsid w:val="78460BCF"/>
    <w:multiLevelType w:val="singleLevel"/>
    <w:tmpl w:val="78460BCF"/>
    <w:lvl w:ilvl="0" w:tentative="0">
      <w:start w:val="4"/>
      <w:numFmt w:val="chineseCounting"/>
      <w:suff w:val="space"/>
      <w:lvlText w:val="第%1章"/>
      <w:lvlJc w:val="left"/>
      <w:rPr>
        <w:rFonts w:hint="eastAsia"/>
      </w:rPr>
    </w:lvl>
  </w:abstractNum>
  <w:num w:numId="1">
    <w:abstractNumId w:val="6"/>
  </w:num>
  <w:num w:numId="2">
    <w:abstractNumId w:val="7"/>
  </w:num>
  <w:num w:numId="3">
    <w:abstractNumId w:val="9"/>
  </w:num>
  <w:num w:numId="4">
    <w:abstractNumId w:val="4"/>
  </w:num>
  <w:num w:numId="5">
    <w:abstractNumId w:val="5"/>
  </w:num>
  <w:num w:numId="6">
    <w:abstractNumId w:val="3"/>
  </w:num>
  <w:num w:numId="7">
    <w:abstractNumId w:val="8"/>
  </w:num>
  <w:num w:numId="8">
    <w:abstractNumId w:val="2"/>
  </w:num>
  <w:num w:numId="9">
    <w:abstractNumId w:val="0"/>
  </w:num>
  <w:num w:numId="10">
    <w:abstractNumId w:val="10"/>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hideSpellingErrors/>
  <w:documentProtection w:enforcement="0"/>
  <w:defaultTabStop w:val="420"/>
  <w:drawingGridHorizontalSpacing w:val="210"/>
  <w:drawingGridVerticalSpacing w:val="99999990"/>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4"/>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5MGI3YTdkMjVkZTZjM2ZjZTQ5YjMxYTJjZjRlOWEifQ=="/>
  </w:docVars>
  <w:rsids>
    <w:rsidRoot w:val="00172A27"/>
    <w:rsid w:val="000126F2"/>
    <w:rsid w:val="00086696"/>
    <w:rsid w:val="0009024D"/>
    <w:rsid w:val="000F5645"/>
    <w:rsid w:val="00115C78"/>
    <w:rsid w:val="00153AFF"/>
    <w:rsid w:val="00172A27"/>
    <w:rsid w:val="00186C2B"/>
    <w:rsid w:val="00212728"/>
    <w:rsid w:val="00233C4E"/>
    <w:rsid w:val="00251036"/>
    <w:rsid w:val="002E50F8"/>
    <w:rsid w:val="003225FB"/>
    <w:rsid w:val="00330766"/>
    <w:rsid w:val="003419E5"/>
    <w:rsid w:val="003955F9"/>
    <w:rsid w:val="00395E25"/>
    <w:rsid w:val="003E670B"/>
    <w:rsid w:val="00401F67"/>
    <w:rsid w:val="00403054"/>
    <w:rsid w:val="00466F77"/>
    <w:rsid w:val="004C4A9A"/>
    <w:rsid w:val="004F3A79"/>
    <w:rsid w:val="004F5165"/>
    <w:rsid w:val="00506947"/>
    <w:rsid w:val="00510AFB"/>
    <w:rsid w:val="00533663"/>
    <w:rsid w:val="005868F5"/>
    <w:rsid w:val="005931B7"/>
    <w:rsid w:val="005A3C00"/>
    <w:rsid w:val="005B5679"/>
    <w:rsid w:val="005C1BE9"/>
    <w:rsid w:val="00620A2A"/>
    <w:rsid w:val="00677F31"/>
    <w:rsid w:val="0069368B"/>
    <w:rsid w:val="0074554D"/>
    <w:rsid w:val="007678C6"/>
    <w:rsid w:val="007D541D"/>
    <w:rsid w:val="007F45BE"/>
    <w:rsid w:val="008005F7"/>
    <w:rsid w:val="008201B4"/>
    <w:rsid w:val="00833AB6"/>
    <w:rsid w:val="00853109"/>
    <w:rsid w:val="008766D7"/>
    <w:rsid w:val="008C7661"/>
    <w:rsid w:val="008E0C60"/>
    <w:rsid w:val="009255FE"/>
    <w:rsid w:val="009269A2"/>
    <w:rsid w:val="009343AA"/>
    <w:rsid w:val="00937817"/>
    <w:rsid w:val="009B2C38"/>
    <w:rsid w:val="009D17C8"/>
    <w:rsid w:val="009E196C"/>
    <w:rsid w:val="009F2CCC"/>
    <w:rsid w:val="00A012AB"/>
    <w:rsid w:val="00A54152"/>
    <w:rsid w:val="00A67D58"/>
    <w:rsid w:val="00A975DD"/>
    <w:rsid w:val="00AC5855"/>
    <w:rsid w:val="00AF40A6"/>
    <w:rsid w:val="00AF43B5"/>
    <w:rsid w:val="00B41BDC"/>
    <w:rsid w:val="00B45701"/>
    <w:rsid w:val="00B502D3"/>
    <w:rsid w:val="00B627A9"/>
    <w:rsid w:val="00B77363"/>
    <w:rsid w:val="00B84EF4"/>
    <w:rsid w:val="00B8500A"/>
    <w:rsid w:val="00BF0751"/>
    <w:rsid w:val="00C069E8"/>
    <w:rsid w:val="00C24AE6"/>
    <w:rsid w:val="00C2723E"/>
    <w:rsid w:val="00C57688"/>
    <w:rsid w:val="00C9047B"/>
    <w:rsid w:val="00CD391E"/>
    <w:rsid w:val="00CD4DF4"/>
    <w:rsid w:val="00CF1FFF"/>
    <w:rsid w:val="00D24FF0"/>
    <w:rsid w:val="00D25ACB"/>
    <w:rsid w:val="00D46C3D"/>
    <w:rsid w:val="00D50329"/>
    <w:rsid w:val="00D651BA"/>
    <w:rsid w:val="00DD6A62"/>
    <w:rsid w:val="00DD75A2"/>
    <w:rsid w:val="00E4156B"/>
    <w:rsid w:val="00E6284A"/>
    <w:rsid w:val="00E700A9"/>
    <w:rsid w:val="00E70847"/>
    <w:rsid w:val="00E87AA3"/>
    <w:rsid w:val="00F13E63"/>
    <w:rsid w:val="00F21540"/>
    <w:rsid w:val="00F768E1"/>
    <w:rsid w:val="00FC3E1B"/>
    <w:rsid w:val="00FF16F3"/>
    <w:rsid w:val="016947F9"/>
    <w:rsid w:val="016E2F6B"/>
    <w:rsid w:val="01734BFE"/>
    <w:rsid w:val="01826A17"/>
    <w:rsid w:val="019B1886"/>
    <w:rsid w:val="01CB7DA6"/>
    <w:rsid w:val="01D9415D"/>
    <w:rsid w:val="01DA5E9C"/>
    <w:rsid w:val="01DB6127"/>
    <w:rsid w:val="01DE01EE"/>
    <w:rsid w:val="0219028B"/>
    <w:rsid w:val="022E6257"/>
    <w:rsid w:val="023850C1"/>
    <w:rsid w:val="02477318"/>
    <w:rsid w:val="0255285E"/>
    <w:rsid w:val="026B1259"/>
    <w:rsid w:val="02827B99"/>
    <w:rsid w:val="02902D2A"/>
    <w:rsid w:val="029F2E1F"/>
    <w:rsid w:val="02BC3AEB"/>
    <w:rsid w:val="02D079EE"/>
    <w:rsid w:val="02E1227E"/>
    <w:rsid w:val="02E54D69"/>
    <w:rsid w:val="02F254D6"/>
    <w:rsid w:val="02F53218"/>
    <w:rsid w:val="02F90A1B"/>
    <w:rsid w:val="030355FF"/>
    <w:rsid w:val="0328702B"/>
    <w:rsid w:val="0335066F"/>
    <w:rsid w:val="0341645D"/>
    <w:rsid w:val="035241C7"/>
    <w:rsid w:val="037E320E"/>
    <w:rsid w:val="038A570F"/>
    <w:rsid w:val="039C407F"/>
    <w:rsid w:val="039E11BA"/>
    <w:rsid w:val="03A2514E"/>
    <w:rsid w:val="03B409DD"/>
    <w:rsid w:val="03C03826"/>
    <w:rsid w:val="03C30C20"/>
    <w:rsid w:val="03D1158F"/>
    <w:rsid w:val="03D96696"/>
    <w:rsid w:val="03DB41BC"/>
    <w:rsid w:val="03EF7C67"/>
    <w:rsid w:val="03FE7EAB"/>
    <w:rsid w:val="041C543C"/>
    <w:rsid w:val="04221DEB"/>
    <w:rsid w:val="04435676"/>
    <w:rsid w:val="044E498E"/>
    <w:rsid w:val="04651CD8"/>
    <w:rsid w:val="046A5576"/>
    <w:rsid w:val="04754611"/>
    <w:rsid w:val="048760F2"/>
    <w:rsid w:val="04A942BA"/>
    <w:rsid w:val="04AB3862"/>
    <w:rsid w:val="04BF3332"/>
    <w:rsid w:val="04ED2C18"/>
    <w:rsid w:val="04F01EE9"/>
    <w:rsid w:val="04F76DD4"/>
    <w:rsid w:val="05085485"/>
    <w:rsid w:val="050B6D23"/>
    <w:rsid w:val="05237BC9"/>
    <w:rsid w:val="053242B0"/>
    <w:rsid w:val="05373674"/>
    <w:rsid w:val="053E4A03"/>
    <w:rsid w:val="05455577"/>
    <w:rsid w:val="05465FAD"/>
    <w:rsid w:val="054B0F4A"/>
    <w:rsid w:val="058F1702"/>
    <w:rsid w:val="05A351AD"/>
    <w:rsid w:val="05DE3CE5"/>
    <w:rsid w:val="05E82BC0"/>
    <w:rsid w:val="05F477B7"/>
    <w:rsid w:val="061816F7"/>
    <w:rsid w:val="062278D0"/>
    <w:rsid w:val="063455B3"/>
    <w:rsid w:val="06370ACC"/>
    <w:rsid w:val="06624721"/>
    <w:rsid w:val="06632AA3"/>
    <w:rsid w:val="067A13EB"/>
    <w:rsid w:val="06836B5F"/>
    <w:rsid w:val="06A55ADF"/>
    <w:rsid w:val="06A64F55"/>
    <w:rsid w:val="06C453DB"/>
    <w:rsid w:val="06D82C35"/>
    <w:rsid w:val="06DA075B"/>
    <w:rsid w:val="06F224DF"/>
    <w:rsid w:val="06F9554A"/>
    <w:rsid w:val="070659F4"/>
    <w:rsid w:val="0721282E"/>
    <w:rsid w:val="07224756"/>
    <w:rsid w:val="07371FAF"/>
    <w:rsid w:val="075239E7"/>
    <w:rsid w:val="07750484"/>
    <w:rsid w:val="07794418"/>
    <w:rsid w:val="0788465B"/>
    <w:rsid w:val="07950B26"/>
    <w:rsid w:val="07AD2313"/>
    <w:rsid w:val="07B611C8"/>
    <w:rsid w:val="07B76CEE"/>
    <w:rsid w:val="07E0529D"/>
    <w:rsid w:val="07ED2710"/>
    <w:rsid w:val="07F613C5"/>
    <w:rsid w:val="08140B8B"/>
    <w:rsid w:val="08143A40"/>
    <w:rsid w:val="081E6D6D"/>
    <w:rsid w:val="082779ED"/>
    <w:rsid w:val="08293B60"/>
    <w:rsid w:val="082C4FE6"/>
    <w:rsid w:val="08310DFB"/>
    <w:rsid w:val="08362309"/>
    <w:rsid w:val="08395955"/>
    <w:rsid w:val="084A1910"/>
    <w:rsid w:val="084F5934"/>
    <w:rsid w:val="085D1644"/>
    <w:rsid w:val="08607386"/>
    <w:rsid w:val="0865674A"/>
    <w:rsid w:val="08713341"/>
    <w:rsid w:val="0873089C"/>
    <w:rsid w:val="088A4403"/>
    <w:rsid w:val="088A5A8D"/>
    <w:rsid w:val="08A13C26"/>
    <w:rsid w:val="08BF40AC"/>
    <w:rsid w:val="08C07429"/>
    <w:rsid w:val="08D35DAA"/>
    <w:rsid w:val="08D51B22"/>
    <w:rsid w:val="08E27D9B"/>
    <w:rsid w:val="08E92ED7"/>
    <w:rsid w:val="08EE00FD"/>
    <w:rsid w:val="08FA50E4"/>
    <w:rsid w:val="0923171C"/>
    <w:rsid w:val="092B6141"/>
    <w:rsid w:val="0935241C"/>
    <w:rsid w:val="09524F20"/>
    <w:rsid w:val="097035F9"/>
    <w:rsid w:val="099217C1"/>
    <w:rsid w:val="09963123"/>
    <w:rsid w:val="09981838"/>
    <w:rsid w:val="09B5283E"/>
    <w:rsid w:val="09C166B7"/>
    <w:rsid w:val="09C851E3"/>
    <w:rsid w:val="09CB469C"/>
    <w:rsid w:val="09CF3948"/>
    <w:rsid w:val="09D678FF"/>
    <w:rsid w:val="09E71B0D"/>
    <w:rsid w:val="09EF44EC"/>
    <w:rsid w:val="09F14739"/>
    <w:rsid w:val="0A03621B"/>
    <w:rsid w:val="0A2D3F49"/>
    <w:rsid w:val="0A4708C9"/>
    <w:rsid w:val="0A7A3A07"/>
    <w:rsid w:val="0A8712AB"/>
    <w:rsid w:val="0AA04DDE"/>
    <w:rsid w:val="0AB12DCE"/>
    <w:rsid w:val="0AB45767"/>
    <w:rsid w:val="0AC43BFC"/>
    <w:rsid w:val="0AD16319"/>
    <w:rsid w:val="0AD96F7B"/>
    <w:rsid w:val="0AEC4F01"/>
    <w:rsid w:val="0AF3628F"/>
    <w:rsid w:val="0B343101"/>
    <w:rsid w:val="0B4B60CB"/>
    <w:rsid w:val="0B627EDA"/>
    <w:rsid w:val="0B704808"/>
    <w:rsid w:val="0B982B0E"/>
    <w:rsid w:val="0BA94BA0"/>
    <w:rsid w:val="0BAB31B1"/>
    <w:rsid w:val="0BAF62FB"/>
    <w:rsid w:val="0BC66C7D"/>
    <w:rsid w:val="0BED3778"/>
    <w:rsid w:val="0C232BA4"/>
    <w:rsid w:val="0C2A577B"/>
    <w:rsid w:val="0C2D26E3"/>
    <w:rsid w:val="0C373ADB"/>
    <w:rsid w:val="0C37733F"/>
    <w:rsid w:val="0C3856AB"/>
    <w:rsid w:val="0C3C5A14"/>
    <w:rsid w:val="0C4274CE"/>
    <w:rsid w:val="0C6952DD"/>
    <w:rsid w:val="0CAD06C0"/>
    <w:rsid w:val="0CC53C5B"/>
    <w:rsid w:val="0CDB7B95"/>
    <w:rsid w:val="0CE95B9C"/>
    <w:rsid w:val="0CEA5470"/>
    <w:rsid w:val="0D077DD0"/>
    <w:rsid w:val="0D2B61B4"/>
    <w:rsid w:val="0D3E4B53"/>
    <w:rsid w:val="0D467F7C"/>
    <w:rsid w:val="0D6B65B1"/>
    <w:rsid w:val="0D8544BC"/>
    <w:rsid w:val="0DA20C83"/>
    <w:rsid w:val="0DA707B9"/>
    <w:rsid w:val="0DE01542"/>
    <w:rsid w:val="0DF2282E"/>
    <w:rsid w:val="0DFD3DA4"/>
    <w:rsid w:val="0E24538F"/>
    <w:rsid w:val="0E3E3CC5"/>
    <w:rsid w:val="0E46735F"/>
    <w:rsid w:val="0E4969BD"/>
    <w:rsid w:val="0E505860"/>
    <w:rsid w:val="0E5928AD"/>
    <w:rsid w:val="0E5B4877"/>
    <w:rsid w:val="0E707BF7"/>
    <w:rsid w:val="0E7D0D45"/>
    <w:rsid w:val="0E8611C8"/>
    <w:rsid w:val="0E975183"/>
    <w:rsid w:val="0EAD1661"/>
    <w:rsid w:val="0EBE21D3"/>
    <w:rsid w:val="0EBF7B36"/>
    <w:rsid w:val="0EC51CF1"/>
    <w:rsid w:val="0ECC307F"/>
    <w:rsid w:val="0F0C791F"/>
    <w:rsid w:val="0F1A6FD6"/>
    <w:rsid w:val="0F4E7F38"/>
    <w:rsid w:val="0F891446"/>
    <w:rsid w:val="0F9A13CF"/>
    <w:rsid w:val="0F9B000F"/>
    <w:rsid w:val="0F9D2C6D"/>
    <w:rsid w:val="0FB747DD"/>
    <w:rsid w:val="0FC91CB4"/>
    <w:rsid w:val="0FD10D03"/>
    <w:rsid w:val="0FD710A5"/>
    <w:rsid w:val="0FD77F2D"/>
    <w:rsid w:val="0FD83CA6"/>
    <w:rsid w:val="10131364"/>
    <w:rsid w:val="101822F4"/>
    <w:rsid w:val="10262C63"/>
    <w:rsid w:val="105B218F"/>
    <w:rsid w:val="10616837"/>
    <w:rsid w:val="107E794C"/>
    <w:rsid w:val="10857989"/>
    <w:rsid w:val="10AC25CA"/>
    <w:rsid w:val="10B27FF1"/>
    <w:rsid w:val="10B4201D"/>
    <w:rsid w:val="10CA7A92"/>
    <w:rsid w:val="10EF574B"/>
    <w:rsid w:val="10F845FF"/>
    <w:rsid w:val="110C1E59"/>
    <w:rsid w:val="110D0173"/>
    <w:rsid w:val="11125CD9"/>
    <w:rsid w:val="111D5E14"/>
    <w:rsid w:val="112951FE"/>
    <w:rsid w:val="11317B11"/>
    <w:rsid w:val="113F7E2B"/>
    <w:rsid w:val="11543122"/>
    <w:rsid w:val="116E6670"/>
    <w:rsid w:val="117A3C75"/>
    <w:rsid w:val="11826A7D"/>
    <w:rsid w:val="118616F9"/>
    <w:rsid w:val="11904838"/>
    <w:rsid w:val="11A6405B"/>
    <w:rsid w:val="11B83956"/>
    <w:rsid w:val="11C40985"/>
    <w:rsid w:val="11CC786A"/>
    <w:rsid w:val="11E93F48"/>
    <w:rsid w:val="11EC68FB"/>
    <w:rsid w:val="11F03528"/>
    <w:rsid w:val="12046FD4"/>
    <w:rsid w:val="121420F8"/>
    <w:rsid w:val="12214445"/>
    <w:rsid w:val="12273D08"/>
    <w:rsid w:val="12324FEA"/>
    <w:rsid w:val="123D2FB3"/>
    <w:rsid w:val="124538DB"/>
    <w:rsid w:val="125067AE"/>
    <w:rsid w:val="12637655"/>
    <w:rsid w:val="12706461"/>
    <w:rsid w:val="12A12A75"/>
    <w:rsid w:val="12C04A67"/>
    <w:rsid w:val="12C80001"/>
    <w:rsid w:val="12CF56B4"/>
    <w:rsid w:val="12DB0575"/>
    <w:rsid w:val="12EF558E"/>
    <w:rsid w:val="12F92791"/>
    <w:rsid w:val="13033659"/>
    <w:rsid w:val="130354DD"/>
    <w:rsid w:val="13066050"/>
    <w:rsid w:val="13132BFE"/>
    <w:rsid w:val="132A7687"/>
    <w:rsid w:val="133236CD"/>
    <w:rsid w:val="134F1DF4"/>
    <w:rsid w:val="13557827"/>
    <w:rsid w:val="13631AD8"/>
    <w:rsid w:val="137F4B64"/>
    <w:rsid w:val="138B3117"/>
    <w:rsid w:val="138E7538"/>
    <w:rsid w:val="13904FC3"/>
    <w:rsid w:val="13974201"/>
    <w:rsid w:val="13C06B9F"/>
    <w:rsid w:val="13CD2CC1"/>
    <w:rsid w:val="140B464A"/>
    <w:rsid w:val="140C4736"/>
    <w:rsid w:val="140D6614"/>
    <w:rsid w:val="14172FEE"/>
    <w:rsid w:val="14364B2C"/>
    <w:rsid w:val="1438503B"/>
    <w:rsid w:val="144933C4"/>
    <w:rsid w:val="145F3F52"/>
    <w:rsid w:val="14694230"/>
    <w:rsid w:val="14720C0D"/>
    <w:rsid w:val="147D0BDA"/>
    <w:rsid w:val="14860A3B"/>
    <w:rsid w:val="14972381"/>
    <w:rsid w:val="14AA2FD3"/>
    <w:rsid w:val="14B06F9F"/>
    <w:rsid w:val="14B52807"/>
    <w:rsid w:val="14B62AB7"/>
    <w:rsid w:val="14BA1BCC"/>
    <w:rsid w:val="14C724CE"/>
    <w:rsid w:val="14CA5427"/>
    <w:rsid w:val="14DA6A78"/>
    <w:rsid w:val="14DD669C"/>
    <w:rsid w:val="14DE1D5E"/>
    <w:rsid w:val="14E07884"/>
    <w:rsid w:val="14E16407"/>
    <w:rsid w:val="14EA0703"/>
    <w:rsid w:val="14F43226"/>
    <w:rsid w:val="150572EB"/>
    <w:rsid w:val="150A448F"/>
    <w:rsid w:val="150C68CB"/>
    <w:rsid w:val="152229F1"/>
    <w:rsid w:val="153F3CA0"/>
    <w:rsid w:val="154461CC"/>
    <w:rsid w:val="15597637"/>
    <w:rsid w:val="15602773"/>
    <w:rsid w:val="15804BC3"/>
    <w:rsid w:val="15BD23EA"/>
    <w:rsid w:val="15C9430D"/>
    <w:rsid w:val="15D373E9"/>
    <w:rsid w:val="15E213DA"/>
    <w:rsid w:val="15E52C78"/>
    <w:rsid w:val="16210154"/>
    <w:rsid w:val="1633342F"/>
    <w:rsid w:val="164E6A70"/>
    <w:rsid w:val="16683008"/>
    <w:rsid w:val="168E3310"/>
    <w:rsid w:val="16A36DBB"/>
    <w:rsid w:val="16A50D85"/>
    <w:rsid w:val="16B81E85"/>
    <w:rsid w:val="16CF7F44"/>
    <w:rsid w:val="16F94C2D"/>
    <w:rsid w:val="16FE3FF2"/>
    <w:rsid w:val="171323AA"/>
    <w:rsid w:val="173B5246"/>
    <w:rsid w:val="179A14F7"/>
    <w:rsid w:val="17B436A7"/>
    <w:rsid w:val="17B63456"/>
    <w:rsid w:val="17F2764F"/>
    <w:rsid w:val="1833416F"/>
    <w:rsid w:val="18524B4C"/>
    <w:rsid w:val="185C36C6"/>
    <w:rsid w:val="18737F6A"/>
    <w:rsid w:val="187D1E98"/>
    <w:rsid w:val="187D53EA"/>
    <w:rsid w:val="18A817AE"/>
    <w:rsid w:val="18B21538"/>
    <w:rsid w:val="18BB7749"/>
    <w:rsid w:val="18C44192"/>
    <w:rsid w:val="18D9512F"/>
    <w:rsid w:val="18ED431E"/>
    <w:rsid w:val="18EE62E8"/>
    <w:rsid w:val="18F558C8"/>
    <w:rsid w:val="18F877F3"/>
    <w:rsid w:val="1901601B"/>
    <w:rsid w:val="19070275"/>
    <w:rsid w:val="19106B6F"/>
    <w:rsid w:val="19235F91"/>
    <w:rsid w:val="193C7053"/>
    <w:rsid w:val="193F7C64"/>
    <w:rsid w:val="196C36C2"/>
    <w:rsid w:val="196D1903"/>
    <w:rsid w:val="19724162"/>
    <w:rsid w:val="198F1879"/>
    <w:rsid w:val="19B47531"/>
    <w:rsid w:val="19C214C4"/>
    <w:rsid w:val="19F70AC5"/>
    <w:rsid w:val="19F85670"/>
    <w:rsid w:val="19F94F44"/>
    <w:rsid w:val="1A1324AA"/>
    <w:rsid w:val="1A2B77F4"/>
    <w:rsid w:val="1A2F16BB"/>
    <w:rsid w:val="1A501008"/>
    <w:rsid w:val="1A766595"/>
    <w:rsid w:val="1A8C59F8"/>
    <w:rsid w:val="1AA57FC0"/>
    <w:rsid w:val="1AAC1FB7"/>
    <w:rsid w:val="1AAE61FB"/>
    <w:rsid w:val="1AB01AA7"/>
    <w:rsid w:val="1AB23324"/>
    <w:rsid w:val="1ADF554D"/>
    <w:rsid w:val="1AED13C7"/>
    <w:rsid w:val="1B1069E9"/>
    <w:rsid w:val="1B193AF0"/>
    <w:rsid w:val="1B2D30F7"/>
    <w:rsid w:val="1B356523"/>
    <w:rsid w:val="1B7747F3"/>
    <w:rsid w:val="1B79254B"/>
    <w:rsid w:val="1B972C67"/>
    <w:rsid w:val="1BA55384"/>
    <w:rsid w:val="1BD712B5"/>
    <w:rsid w:val="1BDD4B1E"/>
    <w:rsid w:val="1BE76F28"/>
    <w:rsid w:val="1C012B29"/>
    <w:rsid w:val="1C177904"/>
    <w:rsid w:val="1C284B16"/>
    <w:rsid w:val="1C5A26D3"/>
    <w:rsid w:val="1C5D0DA4"/>
    <w:rsid w:val="1C5F6917"/>
    <w:rsid w:val="1C6F5742"/>
    <w:rsid w:val="1C76287C"/>
    <w:rsid w:val="1C872925"/>
    <w:rsid w:val="1C9E0082"/>
    <w:rsid w:val="1CA613B3"/>
    <w:rsid w:val="1CAA693B"/>
    <w:rsid w:val="1CB14442"/>
    <w:rsid w:val="1CC66428"/>
    <w:rsid w:val="1CC80B99"/>
    <w:rsid w:val="1CCB0E1A"/>
    <w:rsid w:val="1D0113C9"/>
    <w:rsid w:val="1D0A2DA7"/>
    <w:rsid w:val="1D1140B4"/>
    <w:rsid w:val="1D2B18B9"/>
    <w:rsid w:val="1D3E783E"/>
    <w:rsid w:val="1D630F86"/>
    <w:rsid w:val="1D7019C1"/>
    <w:rsid w:val="1D752B34"/>
    <w:rsid w:val="1D7E5E8C"/>
    <w:rsid w:val="1D836591"/>
    <w:rsid w:val="1DB55626"/>
    <w:rsid w:val="1DB7314C"/>
    <w:rsid w:val="1DC15D79"/>
    <w:rsid w:val="1DC53ABB"/>
    <w:rsid w:val="1DC85AE6"/>
    <w:rsid w:val="1DDB503E"/>
    <w:rsid w:val="1DE84D03"/>
    <w:rsid w:val="1DE85A9D"/>
    <w:rsid w:val="1DF13B3B"/>
    <w:rsid w:val="1E0E2B0B"/>
    <w:rsid w:val="1E1660C5"/>
    <w:rsid w:val="1E205195"/>
    <w:rsid w:val="1E276322"/>
    <w:rsid w:val="1E5170FD"/>
    <w:rsid w:val="1E534F17"/>
    <w:rsid w:val="1E5F2F8D"/>
    <w:rsid w:val="1E650DFA"/>
    <w:rsid w:val="1E982F7E"/>
    <w:rsid w:val="1EAC45D3"/>
    <w:rsid w:val="1EC71AB5"/>
    <w:rsid w:val="1ECF4FD3"/>
    <w:rsid w:val="1ED0096A"/>
    <w:rsid w:val="1ED7455A"/>
    <w:rsid w:val="1EDB6610"/>
    <w:rsid w:val="1EF34658"/>
    <w:rsid w:val="1F02489B"/>
    <w:rsid w:val="1F095D51"/>
    <w:rsid w:val="1F0E1553"/>
    <w:rsid w:val="1F132604"/>
    <w:rsid w:val="1F242A63"/>
    <w:rsid w:val="1F2627EB"/>
    <w:rsid w:val="1F294332"/>
    <w:rsid w:val="1F2A62AD"/>
    <w:rsid w:val="1F3233D2"/>
    <w:rsid w:val="1F4804CC"/>
    <w:rsid w:val="1FB61E22"/>
    <w:rsid w:val="1FEB1DE0"/>
    <w:rsid w:val="1FEF6DB8"/>
    <w:rsid w:val="1FF64400"/>
    <w:rsid w:val="1FFA4D30"/>
    <w:rsid w:val="200D799B"/>
    <w:rsid w:val="201E4F4F"/>
    <w:rsid w:val="2024414B"/>
    <w:rsid w:val="20256A93"/>
    <w:rsid w:val="20384A18"/>
    <w:rsid w:val="20390790"/>
    <w:rsid w:val="203F5E7C"/>
    <w:rsid w:val="204A474C"/>
    <w:rsid w:val="205055EF"/>
    <w:rsid w:val="20583FFA"/>
    <w:rsid w:val="206C46C2"/>
    <w:rsid w:val="20976AB4"/>
    <w:rsid w:val="20A81514"/>
    <w:rsid w:val="20AB6760"/>
    <w:rsid w:val="20B16579"/>
    <w:rsid w:val="20C95670"/>
    <w:rsid w:val="20D358CD"/>
    <w:rsid w:val="20D65FDF"/>
    <w:rsid w:val="20DC7311"/>
    <w:rsid w:val="20E05C6E"/>
    <w:rsid w:val="20E85D1A"/>
    <w:rsid w:val="210055F8"/>
    <w:rsid w:val="21052421"/>
    <w:rsid w:val="211508B6"/>
    <w:rsid w:val="2126121F"/>
    <w:rsid w:val="216B1A91"/>
    <w:rsid w:val="217B0F40"/>
    <w:rsid w:val="218A192D"/>
    <w:rsid w:val="21A972E1"/>
    <w:rsid w:val="21BF0821"/>
    <w:rsid w:val="21DE60F4"/>
    <w:rsid w:val="21F816C1"/>
    <w:rsid w:val="22007140"/>
    <w:rsid w:val="221C5C74"/>
    <w:rsid w:val="222B0959"/>
    <w:rsid w:val="222F1E4B"/>
    <w:rsid w:val="2240564F"/>
    <w:rsid w:val="224F6049"/>
    <w:rsid w:val="22575E31"/>
    <w:rsid w:val="22816594"/>
    <w:rsid w:val="22A00653"/>
    <w:rsid w:val="22A52EFA"/>
    <w:rsid w:val="22A567AC"/>
    <w:rsid w:val="22A77054"/>
    <w:rsid w:val="22AA3280"/>
    <w:rsid w:val="22BD2FB3"/>
    <w:rsid w:val="22C04851"/>
    <w:rsid w:val="22CB1F7F"/>
    <w:rsid w:val="22CC31F6"/>
    <w:rsid w:val="22D43C96"/>
    <w:rsid w:val="22DB5B2F"/>
    <w:rsid w:val="22EC6903"/>
    <w:rsid w:val="22FB3ADB"/>
    <w:rsid w:val="23076924"/>
    <w:rsid w:val="2318468D"/>
    <w:rsid w:val="23214B81"/>
    <w:rsid w:val="23250B58"/>
    <w:rsid w:val="23287A3B"/>
    <w:rsid w:val="23356F51"/>
    <w:rsid w:val="234C2589"/>
    <w:rsid w:val="234E0C74"/>
    <w:rsid w:val="235D595F"/>
    <w:rsid w:val="2366667A"/>
    <w:rsid w:val="236773C3"/>
    <w:rsid w:val="236B1B92"/>
    <w:rsid w:val="23725A46"/>
    <w:rsid w:val="239F4DAE"/>
    <w:rsid w:val="23A75A11"/>
    <w:rsid w:val="23D46034"/>
    <w:rsid w:val="23DD1433"/>
    <w:rsid w:val="23ED1676"/>
    <w:rsid w:val="23EF1892"/>
    <w:rsid w:val="23F37F14"/>
    <w:rsid w:val="23F81893"/>
    <w:rsid w:val="23F956E8"/>
    <w:rsid w:val="23FA0237"/>
    <w:rsid w:val="24015121"/>
    <w:rsid w:val="24264B88"/>
    <w:rsid w:val="24305A06"/>
    <w:rsid w:val="2447702E"/>
    <w:rsid w:val="24765B0F"/>
    <w:rsid w:val="247C0C4C"/>
    <w:rsid w:val="247C50B5"/>
    <w:rsid w:val="248F4E23"/>
    <w:rsid w:val="249B0281"/>
    <w:rsid w:val="24A55645"/>
    <w:rsid w:val="24C22B02"/>
    <w:rsid w:val="24CE34C7"/>
    <w:rsid w:val="24D13057"/>
    <w:rsid w:val="24D570AE"/>
    <w:rsid w:val="24D6035C"/>
    <w:rsid w:val="24E01EF1"/>
    <w:rsid w:val="24E2777A"/>
    <w:rsid w:val="24F51DFC"/>
    <w:rsid w:val="250C30B2"/>
    <w:rsid w:val="252603BF"/>
    <w:rsid w:val="25423C43"/>
    <w:rsid w:val="256B13EC"/>
    <w:rsid w:val="25924268"/>
    <w:rsid w:val="25E67FEE"/>
    <w:rsid w:val="25F3318F"/>
    <w:rsid w:val="260D33F7"/>
    <w:rsid w:val="2629095F"/>
    <w:rsid w:val="26355556"/>
    <w:rsid w:val="263B7010"/>
    <w:rsid w:val="263C7979"/>
    <w:rsid w:val="264B2FCC"/>
    <w:rsid w:val="264E5249"/>
    <w:rsid w:val="2650413E"/>
    <w:rsid w:val="265359DC"/>
    <w:rsid w:val="26551754"/>
    <w:rsid w:val="26712A32"/>
    <w:rsid w:val="26834513"/>
    <w:rsid w:val="269B185D"/>
    <w:rsid w:val="26A10E3D"/>
    <w:rsid w:val="26AC3A6A"/>
    <w:rsid w:val="26B96187"/>
    <w:rsid w:val="26BE763B"/>
    <w:rsid w:val="26E730BC"/>
    <w:rsid w:val="270135A4"/>
    <w:rsid w:val="27090EBD"/>
    <w:rsid w:val="271635D9"/>
    <w:rsid w:val="2751016E"/>
    <w:rsid w:val="279F3713"/>
    <w:rsid w:val="27B84691"/>
    <w:rsid w:val="27BD1CA7"/>
    <w:rsid w:val="27C923FA"/>
    <w:rsid w:val="27CA464D"/>
    <w:rsid w:val="27CB7F20"/>
    <w:rsid w:val="27E91720"/>
    <w:rsid w:val="27F136A9"/>
    <w:rsid w:val="27F21934"/>
    <w:rsid w:val="27F6382B"/>
    <w:rsid w:val="27FD20A3"/>
    <w:rsid w:val="280F14ED"/>
    <w:rsid w:val="280F3776"/>
    <w:rsid w:val="281C4C20"/>
    <w:rsid w:val="28515AED"/>
    <w:rsid w:val="28527CD1"/>
    <w:rsid w:val="287C7ABF"/>
    <w:rsid w:val="28844573"/>
    <w:rsid w:val="28AA3FD9"/>
    <w:rsid w:val="28C52BC1"/>
    <w:rsid w:val="28D472A8"/>
    <w:rsid w:val="28E9787B"/>
    <w:rsid w:val="28F205C1"/>
    <w:rsid w:val="293F61F0"/>
    <w:rsid w:val="29441132"/>
    <w:rsid w:val="29890753"/>
    <w:rsid w:val="298962E5"/>
    <w:rsid w:val="29934A6D"/>
    <w:rsid w:val="29B50E88"/>
    <w:rsid w:val="29B72649"/>
    <w:rsid w:val="29BC1AE3"/>
    <w:rsid w:val="29CD1E2A"/>
    <w:rsid w:val="29CF7F37"/>
    <w:rsid w:val="2A0C29B8"/>
    <w:rsid w:val="2A0E5104"/>
    <w:rsid w:val="2A131C98"/>
    <w:rsid w:val="2A1F09F7"/>
    <w:rsid w:val="2A4A02E9"/>
    <w:rsid w:val="2A570E85"/>
    <w:rsid w:val="2A830F86"/>
    <w:rsid w:val="2A8745B6"/>
    <w:rsid w:val="2A922F77"/>
    <w:rsid w:val="2A9860B3"/>
    <w:rsid w:val="2A9A1E2C"/>
    <w:rsid w:val="2A9F5694"/>
    <w:rsid w:val="2AA23A25"/>
    <w:rsid w:val="2AAA6513"/>
    <w:rsid w:val="2AD15C14"/>
    <w:rsid w:val="2AE71AF4"/>
    <w:rsid w:val="2B045837"/>
    <w:rsid w:val="2B07429B"/>
    <w:rsid w:val="2B0D0850"/>
    <w:rsid w:val="2B154372"/>
    <w:rsid w:val="2B230073"/>
    <w:rsid w:val="2B520958"/>
    <w:rsid w:val="2B634913"/>
    <w:rsid w:val="2B85488A"/>
    <w:rsid w:val="2BA07916"/>
    <w:rsid w:val="2BEC2B5B"/>
    <w:rsid w:val="2BFF63EA"/>
    <w:rsid w:val="2C002162"/>
    <w:rsid w:val="2C063C1D"/>
    <w:rsid w:val="2C246995"/>
    <w:rsid w:val="2C3562B0"/>
    <w:rsid w:val="2C385DA0"/>
    <w:rsid w:val="2C4944EB"/>
    <w:rsid w:val="2C4B162F"/>
    <w:rsid w:val="2C5D1363"/>
    <w:rsid w:val="2C5F50DB"/>
    <w:rsid w:val="2C792640"/>
    <w:rsid w:val="2C8B4122"/>
    <w:rsid w:val="2C9C1E8B"/>
    <w:rsid w:val="2CA91FCE"/>
    <w:rsid w:val="2CB847EB"/>
    <w:rsid w:val="2CD72C54"/>
    <w:rsid w:val="2CEA709A"/>
    <w:rsid w:val="2D022235"/>
    <w:rsid w:val="2D031F0A"/>
    <w:rsid w:val="2D0F08AF"/>
    <w:rsid w:val="2D1C7470"/>
    <w:rsid w:val="2D2125B0"/>
    <w:rsid w:val="2D2C76B3"/>
    <w:rsid w:val="2D371BB4"/>
    <w:rsid w:val="2D3B78F6"/>
    <w:rsid w:val="2D4F33A1"/>
    <w:rsid w:val="2D7C1CBC"/>
    <w:rsid w:val="2D8017AD"/>
    <w:rsid w:val="2D8868B3"/>
    <w:rsid w:val="2DAC4350"/>
    <w:rsid w:val="2E0F1AF1"/>
    <w:rsid w:val="2E1755ED"/>
    <w:rsid w:val="2E3A7BAD"/>
    <w:rsid w:val="2E56250D"/>
    <w:rsid w:val="2E623354"/>
    <w:rsid w:val="2E6A4E27"/>
    <w:rsid w:val="2E7806D6"/>
    <w:rsid w:val="2E876B6B"/>
    <w:rsid w:val="2E9B12B3"/>
    <w:rsid w:val="2E9E32C9"/>
    <w:rsid w:val="2ED33B5E"/>
    <w:rsid w:val="2EDA313F"/>
    <w:rsid w:val="2EE53D89"/>
    <w:rsid w:val="2EEC10D1"/>
    <w:rsid w:val="2EF27DEF"/>
    <w:rsid w:val="2EFA733D"/>
    <w:rsid w:val="2F030EDA"/>
    <w:rsid w:val="2F0412C1"/>
    <w:rsid w:val="2F171C9D"/>
    <w:rsid w:val="2F202F46"/>
    <w:rsid w:val="2F2E6FE6"/>
    <w:rsid w:val="2F43007A"/>
    <w:rsid w:val="2F47268D"/>
    <w:rsid w:val="2F484F80"/>
    <w:rsid w:val="2F8F5CD7"/>
    <w:rsid w:val="2F926074"/>
    <w:rsid w:val="2F971630"/>
    <w:rsid w:val="2FA774C5"/>
    <w:rsid w:val="2FB44E46"/>
    <w:rsid w:val="2FCA005B"/>
    <w:rsid w:val="2FFF4CAE"/>
    <w:rsid w:val="30042C3B"/>
    <w:rsid w:val="301F1BC4"/>
    <w:rsid w:val="30204B81"/>
    <w:rsid w:val="302E5110"/>
    <w:rsid w:val="303A5A64"/>
    <w:rsid w:val="304E74D7"/>
    <w:rsid w:val="305111DE"/>
    <w:rsid w:val="30823A8E"/>
    <w:rsid w:val="30901D07"/>
    <w:rsid w:val="309317F7"/>
    <w:rsid w:val="30C47C02"/>
    <w:rsid w:val="30C85944"/>
    <w:rsid w:val="30D95A3C"/>
    <w:rsid w:val="30E12562"/>
    <w:rsid w:val="30E84AF7"/>
    <w:rsid w:val="310E13E0"/>
    <w:rsid w:val="31103BE8"/>
    <w:rsid w:val="31490108"/>
    <w:rsid w:val="315736D8"/>
    <w:rsid w:val="3166515D"/>
    <w:rsid w:val="31684A32"/>
    <w:rsid w:val="317403C7"/>
    <w:rsid w:val="3179559F"/>
    <w:rsid w:val="317E6003"/>
    <w:rsid w:val="319B6BB5"/>
    <w:rsid w:val="31A1154D"/>
    <w:rsid w:val="31A17F44"/>
    <w:rsid w:val="31AD053C"/>
    <w:rsid w:val="31CB6D6E"/>
    <w:rsid w:val="31D64091"/>
    <w:rsid w:val="31DE2F46"/>
    <w:rsid w:val="31E340B8"/>
    <w:rsid w:val="31E90EF8"/>
    <w:rsid w:val="32056724"/>
    <w:rsid w:val="320B1E88"/>
    <w:rsid w:val="3220530C"/>
    <w:rsid w:val="325B29A2"/>
    <w:rsid w:val="3268280F"/>
    <w:rsid w:val="32690A61"/>
    <w:rsid w:val="326D226F"/>
    <w:rsid w:val="32755BEE"/>
    <w:rsid w:val="32774ADB"/>
    <w:rsid w:val="32785148"/>
    <w:rsid w:val="327B2543"/>
    <w:rsid w:val="327E342C"/>
    <w:rsid w:val="328533C1"/>
    <w:rsid w:val="32952F3A"/>
    <w:rsid w:val="3296503C"/>
    <w:rsid w:val="32A4546A"/>
    <w:rsid w:val="32B31CDC"/>
    <w:rsid w:val="32ED1980"/>
    <w:rsid w:val="32F1304C"/>
    <w:rsid w:val="32F50547"/>
    <w:rsid w:val="33094881"/>
    <w:rsid w:val="333F3794"/>
    <w:rsid w:val="335A57BD"/>
    <w:rsid w:val="339E5D33"/>
    <w:rsid w:val="33C323F3"/>
    <w:rsid w:val="33E03C55"/>
    <w:rsid w:val="33EC17CD"/>
    <w:rsid w:val="33EF143A"/>
    <w:rsid w:val="33EF1C73"/>
    <w:rsid w:val="33FA6F1E"/>
    <w:rsid w:val="340661A5"/>
    <w:rsid w:val="34076784"/>
    <w:rsid w:val="340903E3"/>
    <w:rsid w:val="340E30B9"/>
    <w:rsid w:val="341E3ACD"/>
    <w:rsid w:val="343678CD"/>
    <w:rsid w:val="34480B4A"/>
    <w:rsid w:val="345968B4"/>
    <w:rsid w:val="345A0C5F"/>
    <w:rsid w:val="345B087E"/>
    <w:rsid w:val="346D120F"/>
    <w:rsid w:val="34702AF7"/>
    <w:rsid w:val="3471650A"/>
    <w:rsid w:val="347A2085"/>
    <w:rsid w:val="347F27BE"/>
    <w:rsid w:val="34897199"/>
    <w:rsid w:val="34945B3E"/>
    <w:rsid w:val="349D01CC"/>
    <w:rsid w:val="34AD29A0"/>
    <w:rsid w:val="34AD7661"/>
    <w:rsid w:val="34B01E1E"/>
    <w:rsid w:val="34E16FD5"/>
    <w:rsid w:val="34E94961"/>
    <w:rsid w:val="34EA39B0"/>
    <w:rsid w:val="35171719"/>
    <w:rsid w:val="352E7D40"/>
    <w:rsid w:val="354B26A0"/>
    <w:rsid w:val="355F614C"/>
    <w:rsid w:val="357243F8"/>
    <w:rsid w:val="35853917"/>
    <w:rsid w:val="35906305"/>
    <w:rsid w:val="359C73A0"/>
    <w:rsid w:val="35A10512"/>
    <w:rsid w:val="35A26038"/>
    <w:rsid w:val="35AA3A3A"/>
    <w:rsid w:val="35AA4722"/>
    <w:rsid w:val="35CF507F"/>
    <w:rsid w:val="360B340E"/>
    <w:rsid w:val="362D5CD2"/>
    <w:rsid w:val="365437D6"/>
    <w:rsid w:val="365E28A7"/>
    <w:rsid w:val="3660409F"/>
    <w:rsid w:val="366B14C0"/>
    <w:rsid w:val="369342FF"/>
    <w:rsid w:val="369D456C"/>
    <w:rsid w:val="36A8455A"/>
    <w:rsid w:val="36AE738B"/>
    <w:rsid w:val="36C95F72"/>
    <w:rsid w:val="36DF3C16"/>
    <w:rsid w:val="36E27034"/>
    <w:rsid w:val="36ED1FA3"/>
    <w:rsid w:val="36F36DEE"/>
    <w:rsid w:val="36F6663C"/>
    <w:rsid w:val="370E607B"/>
    <w:rsid w:val="372E4027"/>
    <w:rsid w:val="373F79B1"/>
    <w:rsid w:val="37537F32"/>
    <w:rsid w:val="376626EF"/>
    <w:rsid w:val="376C4F8C"/>
    <w:rsid w:val="376F2F1F"/>
    <w:rsid w:val="378400EB"/>
    <w:rsid w:val="37904CE2"/>
    <w:rsid w:val="37976071"/>
    <w:rsid w:val="379D00C8"/>
    <w:rsid w:val="379F2985"/>
    <w:rsid w:val="37C03BF9"/>
    <w:rsid w:val="37E1109A"/>
    <w:rsid w:val="37E97122"/>
    <w:rsid w:val="37F35CB8"/>
    <w:rsid w:val="382D2531"/>
    <w:rsid w:val="383A697D"/>
    <w:rsid w:val="383C09C6"/>
    <w:rsid w:val="384F4255"/>
    <w:rsid w:val="385633E2"/>
    <w:rsid w:val="386F79F1"/>
    <w:rsid w:val="38767A34"/>
    <w:rsid w:val="38795776"/>
    <w:rsid w:val="388D2FD0"/>
    <w:rsid w:val="389205E6"/>
    <w:rsid w:val="38983E4E"/>
    <w:rsid w:val="38A84A79"/>
    <w:rsid w:val="392C0A3B"/>
    <w:rsid w:val="39400042"/>
    <w:rsid w:val="39490357"/>
    <w:rsid w:val="397877DC"/>
    <w:rsid w:val="3980288F"/>
    <w:rsid w:val="3999678C"/>
    <w:rsid w:val="39A6259B"/>
    <w:rsid w:val="39D377DB"/>
    <w:rsid w:val="3A223DCB"/>
    <w:rsid w:val="3A3462BA"/>
    <w:rsid w:val="3A58475F"/>
    <w:rsid w:val="3A5E7E93"/>
    <w:rsid w:val="3A672957"/>
    <w:rsid w:val="3A6E6C87"/>
    <w:rsid w:val="3AB46F3A"/>
    <w:rsid w:val="3AD13648"/>
    <w:rsid w:val="3AE0388B"/>
    <w:rsid w:val="3B1C0596"/>
    <w:rsid w:val="3B2319C9"/>
    <w:rsid w:val="3B5B1163"/>
    <w:rsid w:val="3B84063D"/>
    <w:rsid w:val="3B8701AA"/>
    <w:rsid w:val="3B8875E3"/>
    <w:rsid w:val="3B955700"/>
    <w:rsid w:val="3BC27434"/>
    <w:rsid w:val="3BC95C98"/>
    <w:rsid w:val="3BCB453B"/>
    <w:rsid w:val="3BD75940"/>
    <w:rsid w:val="3BDD7DCA"/>
    <w:rsid w:val="3BF42260"/>
    <w:rsid w:val="3C265C15"/>
    <w:rsid w:val="3C284C49"/>
    <w:rsid w:val="3C522566"/>
    <w:rsid w:val="3C541BC5"/>
    <w:rsid w:val="3C65673D"/>
    <w:rsid w:val="3C722C08"/>
    <w:rsid w:val="3C7C5F7D"/>
    <w:rsid w:val="3C9506A5"/>
    <w:rsid w:val="3C9C7C85"/>
    <w:rsid w:val="3C9E3DCB"/>
    <w:rsid w:val="3CA31014"/>
    <w:rsid w:val="3CA53921"/>
    <w:rsid w:val="3CB123E6"/>
    <w:rsid w:val="3CDB6174"/>
    <w:rsid w:val="3CEB2D27"/>
    <w:rsid w:val="3D050477"/>
    <w:rsid w:val="3D14341C"/>
    <w:rsid w:val="3D1C4922"/>
    <w:rsid w:val="3D3D4FC4"/>
    <w:rsid w:val="3D404852"/>
    <w:rsid w:val="3D477BF1"/>
    <w:rsid w:val="3D4A76E1"/>
    <w:rsid w:val="3D5D5666"/>
    <w:rsid w:val="3D611ECB"/>
    <w:rsid w:val="3D79687B"/>
    <w:rsid w:val="3DB668C6"/>
    <w:rsid w:val="3DEB4A20"/>
    <w:rsid w:val="3DF062BF"/>
    <w:rsid w:val="3E0618F6"/>
    <w:rsid w:val="3E0869AC"/>
    <w:rsid w:val="3E246184"/>
    <w:rsid w:val="3E2C6DE7"/>
    <w:rsid w:val="3E3068D7"/>
    <w:rsid w:val="3E32264F"/>
    <w:rsid w:val="3E3E1A04"/>
    <w:rsid w:val="3E53454B"/>
    <w:rsid w:val="3E6F204E"/>
    <w:rsid w:val="3E815973"/>
    <w:rsid w:val="3E88151A"/>
    <w:rsid w:val="3E894239"/>
    <w:rsid w:val="3E8D3D29"/>
    <w:rsid w:val="3E9450B8"/>
    <w:rsid w:val="3E963128"/>
    <w:rsid w:val="3EC62D97"/>
    <w:rsid w:val="3F0D6C18"/>
    <w:rsid w:val="3F1735F3"/>
    <w:rsid w:val="3F364D39"/>
    <w:rsid w:val="3F505A98"/>
    <w:rsid w:val="3F6207BA"/>
    <w:rsid w:val="3F7B1DD4"/>
    <w:rsid w:val="3F810615"/>
    <w:rsid w:val="3F843560"/>
    <w:rsid w:val="3F8C5D8F"/>
    <w:rsid w:val="3F8E7D59"/>
    <w:rsid w:val="3F984C13"/>
    <w:rsid w:val="3FA72BC9"/>
    <w:rsid w:val="3FB83B23"/>
    <w:rsid w:val="3FBD063E"/>
    <w:rsid w:val="3FC90D91"/>
    <w:rsid w:val="3FCF3ECE"/>
    <w:rsid w:val="3FD919BA"/>
    <w:rsid w:val="3FDC2B4A"/>
    <w:rsid w:val="3FFD010D"/>
    <w:rsid w:val="400A40D9"/>
    <w:rsid w:val="401A783F"/>
    <w:rsid w:val="401F452F"/>
    <w:rsid w:val="40330901"/>
    <w:rsid w:val="40515724"/>
    <w:rsid w:val="405F16F6"/>
    <w:rsid w:val="408B38B3"/>
    <w:rsid w:val="40B27A77"/>
    <w:rsid w:val="40D338F0"/>
    <w:rsid w:val="40D40AAB"/>
    <w:rsid w:val="40D77011"/>
    <w:rsid w:val="40D82182"/>
    <w:rsid w:val="40E90FBF"/>
    <w:rsid w:val="40F40090"/>
    <w:rsid w:val="40FB76BC"/>
    <w:rsid w:val="41036525"/>
    <w:rsid w:val="41072D28"/>
    <w:rsid w:val="41173D7E"/>
    <w:rsid w:val="411E335F"/>
    <w:rsid w:val="412344D1"/>
    <w:rsid w:val="4125450E"/>
    <w:rsid w:val="412973EA"/>
    <w:rsid w:val="417F4A52"/>
    <w:rsid w:val="41AA69A0"/>
    <w:rsid w:val="41B45A71"/>
    <w:rsid w:val="41F71B81"/>
    <w:rsid w:val="42010DBE"/>
    <w:rsid w:val="42044303"/>
    <w:rsid w:val="42075BA1"/>
    <w:rsid w:val="421724FE"/>
    <w:rsid w:val="42424E2B"/>
    <w:rsid w:val="426B25D4"/>
    <w:rsid w:val="4278084D"/>
    <w:rsid w:val="4279063A"/>
    <w:rsid w:val="428611BC"/>
    <w:rsid w:val="42927B60"/>
    <w:rsid w:val="42BD2703"/>
    <w:rsid w:val="42C27D1A"/>
    <w:rsid w:val="42E04834"/>
    <w:rsid w:val="42E163F2"/>
    <w:rsid w:val="43140A2D"/>
    <w:rsid w:val="43301127"/>
    <w:rsid w:val="43364990"/>
    <w:rsid w:val="434150E2"/>
    <w:rsid w:val="4355293C"/>
    <w:rsid w:val="4359067E"/>
    <w:rsid w:val="436117D4"/>
    <w:rsid w:val="437049F2"/>
    <w:rsid w:val="43842246"/>
    <w:rsid w:val="43A7763B"/>
    <w:rsid w:val="43B92ECB"/>
    <w:rsid w:val="43BE0166"/>
    <w:rsid w:val="440E3217"/>
    <w:rsid w:val="440F0504"/>
    <w:rsid w:val="4421185F"/>
    <w:rsid w:val="4437557C"/>
    <w:rsid w:val="444C2BC0"/>
    <w:rsid w:val="444F71A2"/>
    <w:rsid w:val="445361E5"/>
    <w:rsid w:val="447C0AC8"/>
    <w:rsid w:val="4482717F"/>
    <w:rsid w:val="44A21CDC"/>
    <w:rsid w:val="44D05FB9"/>
    <w:rsid w:val="44D75CFE"/>
    <w:rsid w:val="44E5721A"/>
    <w:rsid w:val="44F22B38"/>
    <w:rsid w:val="44F248E6"/>
    <w:rsid w:val="45091C30"/>
    <w:rsid w:val="45244CBC"/>
    <w:rsid w:val="452B1E36"/>
    <w:rsid w:val="452B6B92"/>
    <w:rsid w:val="45350C77"/>
    <w:rsid w:val="453C0257"/>
    <w:rsid w:val="453C7EA3"/>
    <w:rsid w:val="454B3FF6"/>
    <w:rsid w:val="45682DFA"/>
    <w:rsid w:val="456C5AB9"/>
    <w:rsid w:val="4577128F"/>
    <w:rsid w:val="457A1E50"/>
    <w:rsid w:val="457C68A6"/>
    <w:rsid w:val="45952817"/>
    <w:rsid w:val="45A863B8"/>
    <w:rsid w:val="45B27AFD"/>
    <w:rsid w:val="45BB6D3C"/>
    <w:rsid w:val="45D97854"/>
    <w:rsid w:val="45F91CA4"/>
    <w:rsid w:val="46011342"/>
    <w:rsid w:val="46017508"/>
    <w:rsid w:val="460A2104"/>
    <w:rsid w:val="460F14C8"/>
    <w:rsid w:val="46130FB8"/>
    <w:rsid w:val="46132D66"/>
    <w:rsid w:val="46342CDD"/>
    <w:rsid w:val="46431B1A"/>
    <w:rsid w:val="464E1FF0"/>
    <w:rsid w:val="466366B9"/>
    <w:rsid w:val="46955E71"/>
    <w:rsid w:val="469C7200"/>
    <w:rsid w:val="46C10A14"/>
    <w:rsid w:val="46D67F86"/>
    <w:rsid w:val="46F448C2"/>
    <w:rsid w:val="47060D7D"/>
    <w:rsid w:val="473F67A2"/>
    <w:rsid w:val="474536E0"/>
    <w:rsid w:val="47463365"/>
    <w:rsid w:val="47596E9F"/>
    <w:rsid w:val="476B55F6"/>
    <w:rsid w:val="47777325"/>
    <w:rsid w:val="477E4B57"/>
    <w:rsid w:val="47863A0C"/>
    <w:rsid w:val="47925F0D"/>
    <w:rsid w:val="47A876DF"/>
    <w:rsid w:val="47AA76FA"/>
    <w:rsid w:val="47B370C9"/>
    <w:rsid w:val="48001EFA"/>
    <w:rsid w:val="48027536"/>
    <w:rsid w:val="48042FA6"/>
    <w:rsid w:val="481C57BF"/>
    <w:rsid w:val="48240342"/>
    <w:rsid w:val="48343468"/>
    <w:rsid w:val="485578E8"/>
    <w:rsid w:val="48680CE3"/>
    <w:rsid w:val="487516C9"/>
    <w:rsid w:val="48A147B6"/>
    <w:rsid w:val="48A73C3A"/>
    <w:rsid w:val="48D367DD"/>
    <w:rsid w:val="48E82D4D"/>
    <w:rsid w:val="48F007F6"/>
    <w:rsid w:val="48F14EB5"/>
    <w:rsid w:val="491D5CAA"/>
    <w:rsid w:val="49537DE0"/>
    <w:rsid w:val="495518E8"/>
    <w:rsid w:val="49584F34"/>
    <w:rsid w:val="4977360C"/>
    <w:rsid w:val="498703ED"/>
    <w:rsid w:val="49C425C9"/>
    <w:rsid w:val="49C72B69"/>
    <w:rsid w:val="49E62540"/>
    <w:rsid w:val="4A0E6954"/>
    <w:rsid w:val="4A1A47F4"/>
    <w:rsid w:val="4A275032"/>
    <w:rsid w:val="4A275F90"/>
    <w:rsid w:val="4A280DAA"/>
    <w:rsid w:val="4A29760D"/>
    <w:rsid w:val="4A2D4613"/>
    <w:rsid w:val="4A392FB7"/>
    <w:rsid w:val="4A64191B"/>
    <w:rsid w:val="4A722025"/>
    <w:rsid w:val="4A745F18"/>
    <w:rsid w:val="4A8B3EC0"/>
    <w:rsid w:val="4AAC4A05"/>
    <w:rsid w:val="4AB112AD"/>
    <w:rsid w:val="4AB918F6"/>
    <w:rsid w:val="4AD14F9E"/>
    <w:rsid w:val="4AEB42B2"/>
    <w:rsid w:val="4AF403AA"/>
    <w:rsid w:val="4AFD616C"/>
    <w:rsid w:val="4B0B04B0"/>
    <w:rsid w:val="4B3E2640"/>
    <w:rsid w:val="4B447AD4"/>
    <w:rsid w:val="4B45613C"/>
    <w:rsid w:val="4B7050AD"/>
    <w:rsid w:val="4B717B63"/>
    <w:rsid w:val="4BA30828"/>
    <w:rsid w:val="4BA93D64"/>
    <w:rsid w:val="4BBE0554"/>
    <w:rsid w:val="4BBF20A9"/>
    <w:rsid w:val="4BCB40E3"/>
    <w:rsid w:val="4BD20FCE"/>
    <w:rsid w:val="4BD74836"/>
    <w:rsid w:val="4BED5E07"/>
    <w:rsid w:val="4BF70A34"/>
    <w:rsid w:val="4BFD1393"/>
    <w:rsid w:val="4C150E22"/>
    <w:rsid w:val="4C194E4E"/>
    <w:rsid w:val="4C1C26CD"/>
    <w:rsid w:val="4C2555A1"/>
    <w:rsid w:val="4C2C2DD4"/>
    <w:rsid w:val="4C3F1BAE"/>
    <w:rsid w:val="4C5C4D3B"/>
    <w:rsid w:val="4C5D5CA7"/>
    <w:rsid w:val="4C76404F"/>
    <w:rsid w:val="4C8147A2"/>
    <w:rsid w:val="4C8C7C8C"/>
    <w:rsid w:val="4CB26A62"/>
    <w:rsid w:val="4CCA7AE1"/>
    <w:rsid w:val="4CE216E4"/>
    <w:rsid w:val="4CEE0366"/>
    <w:rsid w:val="4CF569B5"/>
    <w:rsid w:val="4CFB4947"/>
    <w:rsid w:val="4D04165B"/>
    <w:rsid w:val="4D11448E"/>
    <w:rsid w:val="4D267823"/>
    <w:rsid w:val="4D275D07"/>
    <w:rsid w:val="4D3A507C"/>
    <w:rsid w:val="4D5325E2"/>
    <w:rsid w:val="4D6848C0"/>
    <w:rsid w:val="4D8602C2"/>
    <w:rsid w:val="4D9E5143"/>
    <w:rsid w:val="4D9F75D5"/>
    <w:rsid w:val="4DAE03C1"/>
    <w:rsid w:val="4DC97603"/>
    <w:rsid w:val="4DE163BF"/>
    <w:rsid w:val="4DF72F6D"/>
    <w:rsid w:val="4DFE10C7"/>
    <w:rsid w:val="4E086F29"/>
    <w:rsid w:val="4E140B6A"/>
    <w:rsid w:val="4E1B739A"/>
    <w:rsid w:val="4E233D62"/>
    <w:rsid w:val="4E243014"/>
    <w:rsid w:val="4E2875CB"/>
    <w:rsid w:val="4E407F3C"/>
    <w:rsid w:val="4E41243B"/>
    <w:rsid w:val="4E676345"/>
    <w:rsid w:val="4E6C17FA"/>
    <w:rsid w:val="4E8B5D8F"/>
    <w:rsid w:val="4E943545"/>
    <w:rsid w:val="4EB86BA1"/>
    <w:rsid w:val="4ECC43FA"/>
    <w:rsid w:val="4EE94FAC"/>
    <w:rsid w:val="4F0B3CA6"/>
    <w:rsid w:val="4F107345"/>
    <w:rsid w:val="4F1847B3"/>
    <w:rsid w:val="4F2314B3"/>
    <w:rsid w:val="4F3B50DC"/>
    <w:rsid w:val="4F5D5052"/>
    <w:rsid w:val="4F691C49"/>
    <w:rsid w:val="4F813436"/>
    <w:rsid w:val="4F93009B"/>
    <w:rsid w:val="4FB619EF"/>
    <w:rsid w:val="4FBD1F95"/>
    <w:rsid w:val="4FC861DA"/>
    <w:rsid w:val="4FFB544B"/>
    <w:rsid w:val="500A342C"/>
    <w:rsid w:val="500D6A78"/>
    <w:rsid w:val="500F69BB"/>
    <w:rsid w:val="503860A6"/>
    <w:rsid w:val="50406E4E"/>
    <w:rsid w:val="505B77CA"/>
    <w:rsid w:val="50970A38"/>
    <w:rsid w:val="509B22D6"/>
    <w:rsid w:val="50A126B7"/>
    <w:rsid w:val="50A82C45"/>
    <w:rsid w:val="50AE094F"/>
    <w:rsid w:val="50DB294E"/>
    <w:rsid w:val="50DC3D6E"/>
    <w:rsid w:val="510936E3"/>
    <w:rsid w:val="510A2FB8"/>
    <w:rsid w:val="51145BE4"/>
    <w:rsid w:val="511856D5"/>
    <w:rsid w:val="51321C80"/>
    <w:rsid w:val="515661FD"/>
    <w:rsid w:val="516A3A56"/>
    <w:rsid w:val="517255BD"/>
    <w:rsid w:val="517B5C63"/>
    <w:rsid w:val="518C4D4D"/>
    <w:rsid w:val="51937451"/>
    <w:rsid w:val="51A46F68"/>
    <w:rsid w:val="51B13335"/>
    <w:rsid w:val="51D75590"/>
    <w:rsid w:val="521D3CB5"/>
    <w:rsid w:val="523302EC"/>
    <w:rsid w:val="52426781"/>
    <w:rsid w:val="52454FAD"/>
    <w:rsid w:val="524B15B3"/>
    <w:rsid w:val="528374C6"/>
    <w:rsid w:val="528B1ED6"/>
    <w:rsid w:val="529C2335"/>
    <w:rsid w:val="52A70D2C"/>
    <w:rsid w:val="52BE405A"/>
    <w:rsid w:val="52E361B6"/>
    <w:rsid w:val="531210C9"/>
    <w:rsid w:val="532742F5"/>
    <w:rsid w:val="53607807"/>
    <w:rsid w:val="537E419D"/>
    <w:rsid w:val="538434F5"/>
    <w:rsid w:val="538A03E0"/>
    <w:rsid w:val="539835FD"/>
    <w:rsid w:val="53A2397B"/>
    <w:rsid w:val="53B92A73"/>
    <w:rsid w:val="53BB67EB"/>
    <w:rsid w:val="53C71634"/>
    <w:rsid w:val="53D224B3"/>
    <w:rsid w:val="53EB1FF8"/>
    <w:rsid w:val="53EC2E48"/>
    <w:rsid w:val="53F45760"/>
    <w:rsid w:val="5406215C"/>
    <w:rsid w:val="546B6463"/>
    <w:rsid w:val="546E73A6"/>
    <w:rsid w:val="547C41CC"/>
    <w:rsid w:val="5488491F"/>
    <w:rsid w:val="54A379AB"/>
    <w:rsid w:val="54B27BEE"/>
    <w:rsid w:val="54BD0C40"/>
    <w:rsid w:val="54D659D2"/>
    <w:rsid w:val="54F75F49"/>
    <w:rsid w:val="54FC355F"/>
    <w:rsid w:val="55284354"/>
    <w:rsid w:val="55432F3C"/>
    <w:rsid w:val="554A42CB"/>
    <w:rsid w:val="5560589C"/>
    <w:rsid w:val="556C4241"/>
    <w:rsid w:val="5579695E"/>
    <w:rsid w:val="558C043F"/>
    <w:rsid w:val="559807C9"/>
    <w:rsid w:val="55A133E3"/>
    <w:rsid w:val="55B83DB4"/>
    <w:rsid w:val="55B87486"/>
    <w:rsid w:val="55C404FA"/>
    <w:rsid w:val="55C45E2B"/>
    <w:rsid w:val="55CC345F"/>
    <w:rsid w:val="55EE2EA8"/>
    <w:rsid w:val="55F04E72"/>
    <w:rsid w:val="56132A91"/>
    <w:rsid w:val="56203207"/>
    <w:rsid w:val="562A2C28"/>
    <w:rsid w:val="562C2ED7"/>
    <w:rsid w:val="564D4072"/>
    <w:rsid w:val="56610227"/>
    <w:rsid w:val="567B54EE"/>
    <w:rsid w:val="567C4958"/>
    <w:rsid w:val="56846C29"/>
    <w:rsid w:val="5689497F"/>
    <w:rsid w:val="56917593"/>
    <w:rsid w:val="56A703F5"/>
    <w:rsid w:val="56C97471"/>
    <w:rsid w:val="56D64EB7"/>
    <w:rsid w:val="56E314E0"/>
    <w:rsid w:val="57282705"/>
    <w:rsid w:val="574C75A3"/>
    <w:rsid w:val="574D2F08"/>
    <w:rsid w:val="5774562F"/>
    <w:rsid w:val="57754BF2"/>
    <w:rsid w:val="57B11327"/>
    <w:rsid w:val="57BD6FD6"/>
    <w:rsid w:val="57CA16F3"/>
    <w:rsid w:val="57CA3880"/>
    <w:rsid w:val="57E417E0"/>
    <w:rsid w:val="57EE53E1"/>
    <w:rsid w:val="57F32A52"/>
    <w:rsid w:val="57FE50EE"/>
    <w:rsid w:val="58073B8C"/>
    <w:rsid w:val="580E7831"/>
    <w:rsid w:val="58256929"/>
    <w:rsid w:val="583F3E8F"/>
    <w:rsid w:val="58A40196"/>
    <w:rsid w:val="58BF0B2C"/>
    <w:rsid w:val="58D67320"/>
    <w:rsid w:val="58F534B4"/>
    <w:rsid w:val="593432C8"/>
    <w:rsid w:val="593E026C"/>
    <w:rsid w:val="593E5EF4"/>
    <w:rsid w:val="593F3A1A"/>
    <w:rsid w:val="594D6137"/>
    <w:rsid w:val="5989503C"/>
    <w:rsid w:val="59977C6E"/>
    <w:rsid w:val="599B50F5"/>
    <w:rsid w:val="59A25D4A"/>
    <w:rsid w:val="59AA17DC"/>
    <w:rsid w:val="59B14918"/>
    <w:rsid w:val="59B15C2B"/>
    <w:rsid w:val="59B25F2D"/>
    <w:rsid w:val="59CF79B2"/>
    <w:rsid w:val="59D86349"/>
    <w:rsid w:val="59DD0C04"/>
    <w:rsid w:val="59EC76FE"/>
    <w:rsid w:val="59FB4A2A"/>
    <w:rsid w:val="5A034978"/>
    <w:rsid w:val="5A040EEC"/>
    <w:rsid w:val="5A16280E"/>
    <w:rsid w:val="5A1B5A10"/>
    <w:rsid w:val="5A266807"/>
    <w:rsid w:val="5A2C21F1"/>
    <w:rsid w:val="5A6977D7"/>
    <w:rsid w:val="5A6E45B7"/>
    <w:rsid w:val="5A963B0E"/>
    <w:rsid w:val="5AA955EF"/>
    <w:rsid w:val="5ACC2E57"/>
    <w:rsid w:val="5AEB3E5A"/>
    <w:rsid w:val="5B044F1C"/>
    <w:rsid w:val="5B070568"/>
    <w:rsid w:val="5B1C2265"/>
    <w:rsid w:val="5B2E3D47"/>
    <w:rsid w:val="5B33135D"/>
    <w:rsid w:val="5B435A44"/>
    <w:rsid w:val="5B4672E2"/>
    <w:rsid w:val="5B4A6DD2"/>
    <w:rsid w:val="5B572513"/>
    <w:rsid w:val="5B5B46DE"/>
    <w:rsid w:val="5B773CF2"/>
    <w:rsid w:val="5B953DC6"/>
    <w:rsid w:val="5B9B5880"/>
    <w:rsid w:val="5BB7600F"/>
    <w:rsid w:val="5BCD355F"/>
    <w:rsid w:val="5BF037E6"/>
    <w:rsid w:val="5BFD3E45"/>
    <w:rsid w:val="5C0F2714"/>
    <w:rsid w:val="5C2A09B2"/>
    <w:rsid w:val="5C3A263A"/>
    <w:rsid w:val="5C531CB7"/>
    <w:rsid w:val="5C814A76"/>
    <w:rsid w:val="5CAE513F"/>
    <w:rsid w:val="5CAF25EE"/>
    <w:rsid w:val="5CAF7F16"/>
    <w:rsid w:val="5CBE74EA"/>
    <w:rsid w:val="5CC56713"/>
    <w:rsid w:val="5CC71DD8"/>
    <w:rsid w:val="5CCE3A33"/>
    <w:rsid w:val="5CD66444"/>
    <w:rsid w:val="5CF82EF2"/>
    <w:rsid w:val="5CF9414D"/>
    <w:rsid w:val="5CF9552F"/>
    <w:rsid w:val="5D0631CD"/>
    <w:rsid w:val="5D070A87"/>
    <w:rsid w:val="5D0B433F"/>
    <w:rsid w:val="5D17501F"/>
    <w:rsid w:val="5D213B63"/>
    <w:rsid w:val="5D2E44D2"/>
    <w:rsid w:val="5D3C6BEF"/>
    <w:rsid w:val="5D431D2B"/>
    <w:rsid w:val="5D4569AE"/>
    <w:rsid w:val="5D5E0913"/>
    <w:rsid w:val="5D6F2B20"/>
    <w:rsid w:val="5D732456"/>
    <w:rsid w:val="5D7C6FEB"/>
    <w:rsid w:val="5D883BE2"/>
    <w:rsid w:val="5D9B5E1F"/>
    <w:rsid w:val="5DA36C6E"/>
    <w:rsid w:val="5DAF116F"/>
    <w:rsid w:val="5DB426F2"/>
    <w:rsid w:val="5DF11787"/>
    <w:rsid w:val="5DFE20F6"/>
    <w:rsid w:val="5E0771FD"/>
    <w:rsid w:val="5E196702"/>
    <w:rsid w:val="5E2733FB"/>
    <w:rsid w:val="5E61378C"/>
    <w:rsid w:val="5E647215"/>
    <w:rsid w:val="5E6F6B70"/>
    <w:rsid w:val="5E7128C8"/>
    <w:rsid w:val="5E785A05"/>
    <w:rsid w:val="5E7E5BC7"/>
    <w:rsid w:val="5EA467FA"/>
    <w:rsid w:val="5EAC5CC5"/>
    <w:rsid w:val="5EBB3B43"/>
    <w:rsid w:val="5EC24ED2"/>
    <w:rsid w:val="5ECF669A"/>
    <w:rsid w:val="5EF64B7B"/>
    <w:rsid w:val="5F131BD1"/>
    <w:rsid w:val="5F1C68EB"/>
    <w:rsid w:val="5F223BC2"/>
    <w:rsid w:val="5F304531"/>
    <w:rsid w:val="5F3A658F"/>
    <w:rsid w:val="5F4B6DF9"/>
    <w:rsid w:val="5F5244A8"/>
    <w:rsid w:val="5F5E109E"/>
    <w:rsid w:val="5F675CE8"/>
    <w:rsid w:val="5F6D7533"/>
    <w:rsid w:val="5F904FD0"/>
    <w:rsid w:val="5F995DE3"/>
    <w:rsid w:val="5F9E101E"/>
    <w:rsid w:val="5FC432AF"/>
    <w:rsid w:val="5FD80582"/>
    <w:rsid w:val="5FE377F5"/>
    <w:rsid w:val="60150DC2"/>
    <w:rsid w:val="60326087"/>
    <w:rsid w:val="603531A4"/>
    <w:rsid w:val="603E7754"/>
    <w:rsid w:val="604531BE"/>
    <w:rsid w:val="604D407A"/>
    <w:rsid w:val="605E0C2A"/>
    <w:rsid w:val="6061582C"/>
    <w:rsid w:val="60787F3E"/>
    <w:rsid w:val="609113EE"/>
    <w:rsid w:val="60940AF0"/>
    <w:rsid w:val="609D64AA"/>
    <w:rsid w:val="60A27B32"/>
    <w:rsid w:val="60BE5D83"/>
    <w:rsid w:val="60DD3A26"/>
    <w:rsid w:val="60E51508"/>
    <w:rsid w:val="60E6759D"/>
    <w:rsid w:val="60F82E2D"/>
    <w:rsid w:val="60FC0223"/>
    <w:rsid w:val="614A3DAA"/>
    <w:rsid w:val="6155027F"/>
    <w:rsid w:val="616821E1"/>
    <w:rsid w:val="61730B8F"/>
    <w:rsid w:val="618463A2"/>
    <w:rsid w:val="618741B1"/>
    <w:rsid w:val="61B2747F"/>
    <w:rsid w:val="61B90451"/>
    <w:rsid w:val="61DE0274"/>
    <w:rsid w:val="61E73B15"/>
    <w:rsid w:val="61EA259B"/>
    <w:rsid w:val="61EB473F"/>
    <w:rsid w:val="622540F5"/>
    <w:rsid w:val="623B7475"/>
    <w:rsid w:val="62405FC3"/>
    <w:rsid w:val="62482F7C"/>
    <w:rsid w:val="62677DAD"/>
    <w:rsid w:val="6281113E"/>
    <w:rsid w:val="62854B94"/>
    <w:rsid w:val="62935219"/>
    <w:rsid w:val="62CD6AEC"/>
    <w:rsid w:val="62D81569"/>
    <w:rsid w:val="62D94595"/>
    <w:rsid w:val="62E8740D"/>
    <w:rsid w:val="63103C43"/>
    <w:rsid w:val="631E6C0A"/>
    <w:rsid w:val="633B34A5"/>
    <w:rsid w:val="6347009B"/>
    <w:rsid w:val="63566066"/>
    <w:rsid w:val="63901A42"/>
    <w:rsid w:val="63C45248"/>
    <w:rsid w:val="63C60FC0"/>
    <w:rsid w:val="63CB65D6"/>
    <w:rsid w:val="63D41366"/>
    <w:rsid w:val="640E2967"/>
    <w:rsid w:val="64153CF6"/>
    <w:rsid w:val="6419594B"/>
    <w:rsid w:val="64264155"/>
    <w:rsid w:val="644C769A"/>
    <w:rsid w:val="64520AA6"/>
    <w:rsid w:val="64664551"/>
    <w:rsid w:val="647153D0"/>
    <w:rsid w:val="64805613"/>
    <w:rsid w:val="6486074F"/>
    <w:rsid w:val="64942E6C"/>
    <w:rsid w:val="64BB2AEF"/>
    <w:rsid w:val="64CB26DD"/>
    <w:rsid w:val="650171EE"/>
    <w:rsid w:val="65055B18"/>
    <w:rsid w:val="65433804"/>
    <w:rsid w:val="65556AA0"/>
    <w:rsid w:val="65684D07"/>
    <w:rsid w:val="657D2B9C"/>
    <w:rsid w:val="65834F1A"/>
    <w:rsid w:val="6593581A"/>
    <w:rsid w:val="65956E9C"/>
    <w:rsid w:val="65A215B9"/>
    <w:rsid w:val="65BD63F3"/>
    <w:rsid w:val="65D406EA"/>
    <w:rsid w:val="66542B2C"/>
    <w:rsid w:val="665723A3"/>
    <w:rsid w:val="667B400E"/>
    <w:rsid w:val="66911D59"/>
    <w:rsid w:val="66B261DF"/>
    <w:rsid w:val="66E005EB"/>
    <w:rsid w:val="66E53E53"/>
    <w:rsid w:val="66E55C01"/>
    <w:rsid w:val="66EA7812"/>
    <w:rsid w:val="6704527C"/>
    <w:rsid w:val="6710264E"/>
    <w:rsid w:val="673F1F3F"/>
    <w:rsid w:val="673F79B4"/>
    <w:rsid w:val="67442824"/>
    <w:rsid w:val="674A1F08"/>
    <w:rsid w:val="67795693"/>
    <w:rsid w:val="677A0A3F"/>
    <w:rsid w:val="67987117"/>
    <w:rsid w:val="67A43BE0"/>
    <w:rsid w:val="67AB6E4B"/>
    <w:rsid w:val="67B37F71"/>
    <w:rsid w:val="67C3167A"/>
    <w:rsid w:val="67CE6C86"/>
    <w:rsid w:val="67D31319"/>
    <w:rsid w:val="67D72D6F"/>
    <w:rsid w:val="67DC5114"/>
    <w:rsid w:val="67DC6D5A"/>
    <w:rsid w:val="67E206D5"/>
    <w:rsid w:val="683E4D48"/>
    <w:rsid w:val="685A261F"/>
    <w:rsid w:val="6865349E"/>
    <w:rsid w:val="68655F18"/>
    <w:rsid w:val="68701E42"/>
    <w:rsid w:val="68965FEA"/>
    <w:rsid w:val="68AB1A93"/>
    <w:rsid w:val="68AD6BF3"/>
    <w:rsid w:val="68B00491"/>
    <w:rsid w:val="68C14BF3"/>
    <w:rsid w:val="68FA309F"/>
    <w:rsid w:val="68FB170C"/>
    <w:rsid w:val="68FE0507"/>
    <w:rsid w:val="69034A64"/>
    <w:rsid w:val="690F3409"/>
    <w:rsid w:val="69272501"/>
    <w:rsid w:val="692C5D69"/>
    <w:rsid w:val="692E7D33"/>
    <w:rsid w:val="692F7608"/>
    <w:rsid w:val="69401815"/>
    <w:rsid w:val="694A487B"/>
    <w:rsid w:val="694D6631"/>
    <w:rsid w:val="695025CA"/>
    <w:rsid w:val="6958090C"/>
    <w:rsid w:val="695928D6"/>
    <w:rsid w:val="69765236"/>
    <w:rsid w:val="698E07D2"/>
    <w:rsid w:val="69AB0D0D"/>
    <w:rsid w:val="69B27B43"/>
    <w:rsid w:val="69BE0005"/>
    <w:rsid w:val="69DF2DDC"/>
    <w:rsid w:val="69EA352F"/>
    <w:rsid w:val="69EB2192"/>
    <w:rsid w:val="6A3C0286"/>
    <w:rsid w:val="6A570136"/>
    <w:rsid w:val="6A695DCD"/>
    <w:rsid w:val="6A731776"/>
    <w:rsid w:val="6A753740"/>
    <w:rsid w:val="6A7A6FA8"/>
    <w:rsid w:val="6A7E2C0A"/>
    <w:rsid w:val="6A802F8E"/>
    <w:rsid w:val="6AAD4C88"/>
    <w:rsid w:val="6ABA55F7"/>
    <w:rsid w:val="6AC10733"/>
    <w:rsid w:val="6ACD7255"/>
    <w:rsid w:val="6AD2649C"/>
    <w:rsid w:val="6AE17565"/>
    <w:rsid w:val="6AFE3735"/>
    <w:rsid w:val="6B2111D2"/>
    <w:rsid w:val="6B361E7E"/>
    <w:rsid w:val="6B3C7DBA"/>
    <w:rsid w:val="6B3D4EC2"/>
    <w:rsid w:val="6B43383E"/>
    <w:rsid w:val="6B6F63E1"/>
    <w:rsid w:val="6B8071BE"/>
    <w:rsid w:val="6BAA605B"/>
    <w:rsid w:val="6BB16221"/>
    <w:rsid w:val="6BE40B7D"/>
    <w:rsid w:val="6BE45953"/>
    <w:rsid w:val="6BE94F3A"/>
    <w:rsid w:val="6BF40694"/>
    <w:rsid w:val="6C061F17"/>
    <w:rsid w:val="6C0E5BFA"/>
    <w:rsid w:val="6C150D37"/>
    <w:rsid w:val="6C2F1E55"/>
    <w:rsid w:val="6C376EFF"/>
    <w:rsid w:val="6C661592"/>
    <w:rsid w:val="6C741E4F"/>
    <w:rsid w:val="6C787517"/>
    <w:rsid w:val="6C914D27"/>
    <w:rsid w:val="6C931E58"/>
    <w:rsid w:val="6CAA6CFE"/>
    <w:rsid w:val="6CC369E5"/>
    <w:rsid w:val="6CD7419C"/>
    <w:rsid w:val="6CDC7AA6"/>
    <w:rsid w:val="6CE56C3E"/>
    <w:rsid w:val="6D013FEB"/>
    <w:rsid w:val="6D1930EC"/>
    <w:rsid w:val="6D2F407A"/>
    <w:rsid w:val="6DA71186"/>
    <w:rsid w:val="6DAD1347"/>
    <w:rsid w:val="6DB30918"/>
    <w:rsid w:val="6DB620A5"/>
    <w:rsid w:val="6DC42A14"/>
    <w:rsid w:val="6DCF4F15"/>
    <w:rsid w:val="6DD036A3"/>
    <w:rsid w:val="6DE81D0F"/>
    <w:rsid w:val="6DE85FD7"/>
    <w:rsid w:val="6DF76B0A"/>
    <w:rsid w:val="6E054DB3"/>
    <w:rsid w:val="6E0D5EB7"/>
    <w:rsid w:val="6E1A0994"/>
    <w:rsid w:val="6E7004A6"/>
    <w:rsid w:val="6E9E14B7"/>
    <w:rsid w:val="6EBD3E7A"/>
    <w:rsid w:val="6EBD700A"/>
    <w:rsid w:val="6EC72090"/>
    <w:rsid w:val="6ED53771"/>
    <w:rsid w:val="6EFD2502"/>
    <w:rsid w:val="6F062BB9"/>
    <w:rsid w:val="6F082DD5"/>
    <w:rsid w:val="6F1352D6"/>
    <w:rsid w:val="6F4E2B2B"/>
    <w:rsid w:val="6F5E1724"/>
    <w:rsid w:val="6F6618A9"/>
    <w:rsid w:val="6F71097A"/>
    <w:rsid w:val="6F743FC6"/>
    <w:rsid w:val="6F783707"/>
    <w:rsid w:val="6F7D7049"/>
    <w:rsid w:val="6F963F3C"/>
    <w:rsid w:val="6FE1043B"/>
    <w:rsid w:val="6FF670D1"/>
    <w:rsid w:val="700B760E"/>
    <w:rsid w:val="700D7F77"/>
    <w:rsid w:val="702E3771"/>
    <w:rsid w:val="703B4AE4"/>
    <w:rsid w:val="705160B5"/>
    <w:rsid w:val="706E310B"/>
    <w:rsid w:val="70794B97"/>
    <w:rsid w:val="70860455"/>
    <w:rsid w:val="70860D62"/>
    <w:rsid w:val="70891C83"/>
    <w:rsid w:val="708C17E3"/>
    <w:rsid w:val="70981F36"/>
    <w:rsid w:val="70CD6084"/>
    <w:rsid w:val="70D016D0"/>
    <w:rsid w:val="70F35BF8"/>
    <w:rsid w:val="71160F53"/>
    <w:rsid w:val="711A0B9D"/>
    <w:rsid w:val="713C4FB8"/>
    <w:rsid w:val="71491244"/>
    <w:rsid w:val="714B51FB"/>
    <w:rsid w:val="71582A07"/>
    <w:rsid w:val="717943B6"/>
    <w:rsid w:val="71916F49"/>
    <w:rsid w:val="71A33B87"/>
    <w:rsid w:val="71AB63BC"/>
    <w:rsid w:val="71AE4713"/>
    <w:rsid w:val="71B27028"/>
    <w:rsid w:val="71D25565"/>
    <w:rsid w:val="71D945B4"/>
    <w:rsid w:val="71F11C1F"/>
    <w:rsid w:val="723314F1"/>
    <w:rsid w:val="724A62A9"/>
    <w:rsid w:val="72646574"/>
    <w:rsid w:val="727F33AE"/>
    <w:rsid w:val="72802C82"/>
    <w:rsid w:val="72A8433C"/>
    <w:rsid w:val="72AA7CFF"/>
    <w:rsid w:val="72BD1CA1"/>
    <w:rsid w:val="72C07522"/>
    <w:rsid w:val="72D468CD"/>
    <w:rsid w:val="73156124"/>
    <w:rsid w:val="731A30D6"/>
    <w:rsid w:val="7320374B"/>
    <w:rsid w:val="73426189"/>
    <w:rsid w:val="734C0DB6"/>
    <w:rsid w:val="73584999"/>
    <w:rsid w:val="735A3B0C"/>
    <w:rsid w:val="7361796E"/>
    <w:rsid w:val="737427E7"/>
    <w:rsid w:val="737C78ED"/>
    <w:rsid w:val="739369E5"/>
    <w:rsid w:val="739B4217"/>
    <w:rsid w:val="73AD5CF9"/>
    <w:rsid w:val="73D94D40"/>
    <w:rsid w:val="740D2C3B"/>
    <w:rsid w:val="742E508B"/>
    <w:rsid w:val="744877CF"/>
    <w:rsid w:val="74692D8A"/>
    <w:rsid w:val="746A005C"/>
    <w:rsid w:val="74716D26"/>
    <w:rsid w:val="74933140"/>
    <w:rsid w:val="74AB66DC"/>
    <w:rsid w:val="74B81FE2"/>
    <w:rsid w:val="74B86703"/>
    <w:rsid w:val="74BD1F6B"/>
    <w:rsid w:val="74CE23CA"/>
    <w:rsid w:val="74DB71A5"/>
    <w:rsid w:val="74E813D5"/>
    <w:rsid w:val="74FF4332"/>
    <w:rsid w:val="750E0AAE"/>
    <w:rsid w:val="751C1388"/>
    <w:rsid w:val="75267B11"/>
    <w:rsid w:val="75581C94"/>
    <w:rsid w:val="755F3023"/>
    <w:rsid w:val="75874327"/>
    <w:rsid w:val="75995FB8"/>
    <w:rsid w:val="75A1188D"/>
    <w:rsid w:val="75B50E95"/>
    <w:rsid w:val="75CA0DE4"/>
    <w:rsid w:val="75CD4430"/>
    <w:rsid w:val="75D25EEA"/>
    <w:rsid w:val="75F75951"/>
    <w:rsid w:val="75FC4D15"/>
    <w:rsid w:val="75FE0A8D"/>
    <w:rsid w:val="76097029"/>
    <w:rsid w:val="76133C04"/>
    <w:rsid w:val="76292962"/>
    <w:rsid w:val="76415493"/>
    <w:rsid w:val="764A4CEF"/>
    <w:rsid w:val="766C1E9B"/>
    <w:rsid w:val="76880357"/>
    <w:rsid w:val="769D2054"/>
    <w:rsid w:val="76AA4771"/>
    <w:rsid w:val="76CC0B8C"/>
    <w:rsid w:val="76E13170"/>
    <w:rsid w:val="76E311A3"/>
    <w:rsid w:val="77120CFE"/>
    <w:rsid w:val="772938E8"/>
    <w:rsid w:val="7734344E"/>
    <w:rsid w:val="774424D0"/>
    <w:rsid w:val="77813724"/>
    <w:rsid w:val="77972F48"/>
    <w:rsid w:val="77980A6E"/>
    <w:rsid w:val="7798554B"/>
    <w:rsid w:val="77A2369A"/>
    <w:rsid w:val="77B561D9"/>
    <w:rsid w:val="77CB0E43"/>
    <w:rsid w:val="77E141C3"/>
    <w:rsid w:val="77F008AA"/>
    <w:rsid w:val="78054355"/>
    <w:rsid w:val="78202F3D"/>
    <w:rsid w:val="782347DB"/>
    <w:rsid w:val="78300CA6"/>
    <w:rsid w:val="783267CC"/>
    <w:rsid w:val="783951EC"/>
    <w:rsid w:val="783C3AEF"/>
    <w:rsid w:val="783E1615"/>
    <w:rsid w:val="78484242"/>
    <w:rsid w:val="78485FF0"/>
    <w:rsid w:val="786646C8"/>
    <w:rsid w:val="786C4C30"/>
    <w:rsid w:val="7874661E"/>
    <w:rsid w:val="78827754"/>
    <w:rsid w:val="78B91B03"/>
    <w:rsid w:val="78BE2756"/>
    <w:rsid w:val="78C42320"/>
    <w:rsid w:val="78D12489"/>
    <w:rsid w:val="78EA354B"/>
    <w:rsid w:val="79711576"/>
    <w:rsid w:val="7973634F"/>
    <w:rsid w:val="797F0066"/>
    <w:rsid w:val="79862855"/>
    <w:rsid w:val="79AB7B9C"/>
    <w:rsid w:val="79C36276"/>
    <w:rsid w:val="79D33BD7"/>
    <w:rsid w:val="79E56BF4"/>
    <w:rsid w:val="79E65AC0"/>
    <w:rsid w:val="7A0712A8"/>
    <w:rsid w:val="7A1A5F3C"/>
    <w:rsid w:val="7A293BFF"/>
    <w:rsid w:val="7A2E3F8E"/>
    <w:rsid w:val="7A340F22"/>
    <w:rsid w:val="7A440A39"/>
    <w:rsid w:val="7A486B67"/>
    <w:rsid w:val="7A5C5D83"/>
    <w:rsid w:val="7A63380E"/>
    <w:rsid w:val="7A7C01D3"/>
    <w:rsid w:val="7A7E002C"/>
    <w:rsid w:val="7A8734B8"/>
    <w:rsid w:val="7A8A6D94"/>
    <w:rsid w:val="7A911ED0"/>
    <w:rsid w:val="7AB64546"/>
    <w:rsid w:val="7AC04563"/>
    <w:rsid w:val="7ACB4729"/>
    <w:rsid w:val="7AE220D3"/>
    <w:rsid w:val="7AE70BAE"/>
    <w:rsid w:val="7AEA7832"/>
    <w:rsid w:val="7AEC455F"/>
    <w:rsid w:val="7B05466C"/>
    <w:rsid w:val="7B0703E4"/>
    <w:rsid w:val="7B197943"/>
    <w:rsid w:val="7B4D1357"/>
    <w:rsid w:val="7B641393"/>
    <w:rsid w:val="7B6E2F9B"/>
    <w:rsid w:val="7B89704B"/>
    <w:rsid w:val="7B98702C"/>
    <w:rsid w:val="7BC71922"/>
    <w:rsid w:val="7BC77B74"/>
    <w:rsid w:val="7BD04C7A"/>
    <w:rsid w:val="7BD57CCF"/>
    <w:rsid w:val="7C022E76"/>
    <w:rsid w:val="7C055D6D"/>
    <w:rsid w:val="7C213B75"/>
    <w:rsid w:val="7C305719"/>
    <w:rsid w:val="7C3163FF"/>
    <w:rsid w:val="7C896BD7"/>
    <w:rsid w:val="7C8B6DF3"/>
    <w:rsid w:val="7C8D6749"/>
    <w:rsid w:val="7CA61385"/>
    <w:rsid w:val="7CB718F6"/>
    <w:rsid w:val="7CCC0C02"/>
    <w:rsid w:val="7CE24C65"/>
    <w:rsid w:val="7CE64C01"/>
    <w:rsid w:val="7CFB7AD5"/>
    <w:rsid w:val="7D07647A"/>
    <w:rsid w:val="7D0E5A5A"/>
    <w:rsid w:val="7D123C1F"/>
    <w:rsid w:val="7D145754"/>
    <w:rsid w:val="7D1467DB"/>
    <w:rsid w:val="7D2C7C8E"/>
    <w:rsid w:val="7D625DA6"/>
    <w:rsid w:val="7D871368"/>
    <w:rsid w:val="7D8B70AB"/>
    <w:rsid w:val="7D931348"/>
    <w:rsid w:val="7DC12ACC"/>
    <w:rsid w:val="7DD32800"/>
    <w:rsid w:val="7DF14781"/>
    <w:rsid w:val="7DFA2E1C"/>
    <w:rsid w:val="7E0D3978"/>
    <w:rsid w:val="7E3A287F"/>
    <w:rsid w:val="7E3F7E95"/>
    <w:rsid w:val="7E413C0D"/>
    <w:rsid w:val="7E6873EC"/>
    <w:rsid w:val="7E9E4BBC"/>
    <w:rsid w:val="7EB10D93"/>
    <w:rsid w:val="7EB459DD"/>
    <w:rsid w:val="7ECD724F"/>
    <w:rsid w:val="7EE22D5E"/>
    <w:rsid w:val="7EF02C27"/>
    <w:rsid w:val="7EF91AB2"/>
    <w:rsid w:val="7EFB3E85"/>
    <w:rsid w:val="7F016EF9"/>
    <w:rsid w:val="7F030EC3"/>
    <w:rsid w:val="7F0E20E8"/>
    <w:rsid w:val="7F177E9D"/>
    <w:rsid w:val="7F2729DE"/>
    <w:rsid w:val="7F390D88"/>
    <w:rsid w:val="7F6A2CF0"/>
    <w:rsid w:val="7F841BB1"/>
    <w:rsid w:val="7F8C2C66"/>
    <w:rsid w:val="7F8C710A"/>
    <w:rsid w:val="7FCB4A60"/>
    <w:rsid w:val="7FCF1996"/>
    <w:rsid w:val="7FD17D13"/>
    <w:rsid w:val="7FD7406F"/>
    <w:rsid w:val="7FDF106F"/>
    <w:rsid w:val="7FF107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7"/>
    <w:qFormat/>
    <w:uiPriority w:val="0"/>
    <w:pPr>
      <w:keepNext/>
      <w:keepLines/>
      <w:spacing w:before="340" w:after="330" w:line="578" w:lineRule="auto"/>
      <w:jc w:val="center"/>
      <w:outlineLvl w:val="0"/>
    </w:pPr>
    <w:rPr>
      <w:b/>
      <w:bCs/>
      <w:kern w:val="44"/>
      <w:sz w:val="32"/>
      <w:szCs w:val="44"/>
    </w:rPr>
  </w:style>
  <w:style w:type="paragraph" w:styleId="3">
    <w:name w:val="heading 2"/>
    <w:basedOn w:val="1"/>
    <w:next w:val="1"/>
    <w:qFormat/>
    <w:uiPriority w:val="0"/>
    <w:pPr>
      <w:keepNext/>
      <w:keepLines/>
      <w:numPr>
        <w:ilvl w:val="1"/>
        <w:numId w:val="1"/>
      </w:numPr>
      <w:adjustRightInd w:val="0"/>
      <w:spacing w:line="360" w:lineRule="atLeast"/>
      <w:textAlignment w:val="baseline"/>
      <w:outlineLvl w:val="1"/>
    </w:pPr>
    <w:rPr>
      <w:kern w:val="0"/>
      <w:sz w:val="24"/>
      <w:szCs w:val="20"/>
    </w:rPr>
  </w:style>
  <w:style w:type="paragraph" w:styleId="4">
    <w:name w:val="heading 3"/>
    <w:basedOn w:val="1"/>
    <w:next w:val="1"/>
    <w:qFormat/>
    <w:uiPriority w:val="0"/>
    <w:pPr>
      <w:keepNext/>
      <w:keepLines/>
      <w:spacing w:before="260" w:after="260" w:line="416" w:lineRule="atLeast"/>
      <w:textAlignment w:val="baseline"/>
      <w:outlineLvl w:val="2"/>
    </w:pPr>
    <w:rPr>
      <w:b/>
      <w:bCs/>
      <w:color w:val="000000"/>
      <w:sz w:val="32"/>
      <w:szCs w:val="32"/>
      <w:u w:color="000000"/>
    </w:rPr>
  </w:style>
  <w:style w:type="paragraph" w:styleId="5">
    <w:name w:val="heading 4"/>
    <w:basedOn w:val="1"/>
    <w:next w:val="1"/>
    <w:link w:val="58"/>
    <w:qFormat/>
    <w:uiPriority w:val="0"/>
    <w:pPr>
      <w:keepNext/>
      <w:keepLines/>
      <w:widowControl/>
      <w:spacing w:before="280" w:after="290" w:line="376" w:lineRule="atLeast"/>
      <w:textAlignment w:val="baseline"/>
      <w:outlineLvl w:val="3"/>
    </w:pPr>
    <w:rPr>
      <w:rFonts w:ascii="Arial" w:hAnsi="Arial" w:eastAsia="黑体"/>
      <w:b/>
      <w:bCs/>
      <w:color w:val="000000"/>
      <w:kern w:val="0"/>
      <w:sz w:val="28"/>
      <w:szCs w:val="28"/>
      <w:u w:color="000000"/>
    </w:rPr>
  </w:style>
  <w:style w:type="paragraph" w:styleId="6">
    <w:name w:val="heading 5"/>
    <w:basedOn w:val="1"/>
    <w:next w:val="1"/>
    <w:link w:val="59"/>
    <w:qFormat/>
    <w:uiPriority w:val="0"/>
    <w:pPr>
      <w:keepNext/>
      <w:keepLines/>
      <w:spacing w:before="280" w:after="290" w:line="376" w:lineRule="auto"/>
      <w:outlineLvl w:val="4"/>
    </w:pPr>
    <w:rPr>
      <w:b/>
      <w:bCs/>
      <w:sz w:val="28"/>
      <w:szCs w:val="28"/>
    </w:rPr>
  </w:style>
  <w:style w:type="paragraph" w:styleId="7">
    <w:name w:val="heading 6"/>
    <w:basedOn w:val="1"/>
    <w:next w:val="1"/>
    <w:link w:val="60"/>
    <w:qFormat/>
    <w:uiPriority w:val="0"/>
    <w:pPr>
      <w:keepNext/>
      <w:keepLines/>
      <w:spacing w:before="240" w:after="64" w:line="320" w:lineRule="auto"/>
      <w:outlineLvl w:val="5"/>
    </w:pPr>
    <w:rPr>
      <w:rFonts w:ascii="Cambria" w:hAnsi="Cambria"/>
      <w:b/>
      <w:bCs/>
      <w:sz w:val="24"/>
    </w:rPr>
  </w:style>
  <w:style w:type="paragraph" w:styleId="8">
    <w:name w:val="heading 7"/>
    <w:basedOn w:val="1"/>
    <w:next w:val="1"/>
    <w:link w:val="61"/>
    <w:qFormat/>
    <w:uiPriority w:val="0"/>
    <w:pPr>
      <w:keepNext/>
      <w:keepLines/>
      <w:spacing w:before="240" w:after="64" w:line="320" w:lineRule="auto"/>
      <w:outlineLvl w:val="6"/>
    </w:pPr>
    <w:rPr>
      <w:b/>
      <w:bCs/>
      <w:sz w:val="24"/>
    </w:rPr>
  </w:style>
  <w:style w:type="character" w:default="1" w:styleId="37">
    <w:name w:val="Default Paragraph Font"/>
    <w:semiHidden/>
    <w:unhideWhenUsed/>
    <w:qFormat/>
    <w:uiPriority w:val="1"/>
  </w:style>
  <w:style w:type="table" w:default="1" w:styleId="3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9">
    <w:name w:val="toc 7"/>
    <w:basedOn w:val="1"/>
    <w:next w:val="1"/>
    <w:qFormat/>
    <w:uiPriority w:val="39"/>
    <w:pPr>
      <w:ind w:left="1260"/>
      <w:jc w:val="left"/>
    </w:pPr>
    <w:rPr>
      <w:sz w:val="18"/>
      <w:szCs w:val="18"/>
    </w:rPr>
  </w:style>
  <w:style w:type="paragraph" w:styleId="10">
    <w:name w:val="List Number 2"/>
    <w:basedOn w:val="1"/>
    <w:qFormat/>
    <w:uiPriority w:val="0"/>
    <w:pPr>
      <w:numPr>
        <w:ilvl w:val="0"/>
        <w:numId w:val="2"/>
      </w:numPr>
      <w:tabs>
        <w:tab w:val="left" w:pos="567"/>
        <w:tab w:val="clear" w:pos="425"/>
      </w:tabs>
      <w:adjustRightInd w:val="0"/>
      <w:spacing w:line="300" w:lineRule="auto"/>
      <w:textAlignment w:val="baseline"/>
    </w:pPr>
    <w:rPr>
      <w:kern w:val="0"/>
      <w:sz w:val="28"/>
      <w:szCs w:val="20"/>
    </w:rPr>
  </w:style>
  <w:style w:type="paragraph" w:styleId="11">
    <w:name w:val="Normal Indent"/>
    <w:basedOn w:val="1"/>
    <w:qFormat/>
    <w:uiPriority w:val="0"/>
    <w:pPr>
      <w:adjustRightInd w:val="0"/>
      <w:spacing w:line="360" w:lineRule="atLeast"/>
      <w:ind w:firstLine="482"/>
      <w:textAlignment w:val="baseline"/>
    </w:pPr>
    <w:rPr>
      <w:kern w:val="0"/>
      <w:sz w:val="24"/>
      <w:szCs w:val="20"/>
    </w:rPr>
  </w:style>
  <w:style w:type="paragraph" w:styleId="12">
    <w:name w:val="Document Map"/>
    <w:basedOn w:val="1"/>
    <w:next w:val="1"/>
    <w:qFormat/>
    <w:uiPriority w:val="0"/>
    <w:pPr>
      <w:widowControl/>
      <w:shd w:val="clear" w:color="000000" w:fill="000080"/>
      <w:spacing w:line="357" w:lineRule="atLeast"/>
    </w:pPr>
    <w:rPr>
      <w:color w:val="000000"/>
    </w:rPr>
  </w:style>
  <w:style w:type="paragraph" w:styleId="13">
    <w:name w:val="annotation text"/>
    <w:basedOn w:val="1"/>
    <w:link w:val="62"/>
    <w:qFormat/>
    <w:uiPriority w:val="0"/>
    <w:pPr>
      <w:jc w:val="left"/>
    </w:pPr>
  </w:style>
  <w:style w:type="paragraph" w:styleId="14">
    <w:name w:val="Body Text"/>
    <w:basedOn w:val="1"/>
    <w:next w:val="15"/>
    <w:qFormat/>
    <w:uiPriority w:val="0"/>
    <w:pPr>
      <w:spacing w:after="120"/>
    </w:pPr>
  </w:style>
  <w:style w:type="paragraph" w:styleId="15">
    <w:name w:val="Date"/>
    <w:basedOn w:val="1"/>
    <w:next w:val="1"/>
    <w:link w:val="64"/>
    <w:qFormat/>
    <w:uiPriority w:val="0"/>
    <w:rPr>
      <w:rFonts w:ascii="Arial" w:hAnsi="Arial" w:eastAsia="仿宋_GB2312"/>
      <w:color w:val="000000"/>
      <w:sz w:val="32"/>
      <w:szCs w:val="20"/>
      <w:u w:color="000000"/>
    </w:rPr>
  </w:style>
  <w:style w:type="paragraph" w:styleId="16">
    <w:name w:val="Body Text Indent"/>
    <w:basedOn w:val="1"/>
    <w:next w:val="17"/>
    <w:link w:val="55"/>
    <w:qFormat/>
    <w:uiPriority w:val="0"/>
    <w:pPr>
      <w:spacing w:after="120"/>
      <w:ind w:left="200" w:leftChars="200"/>
    </w:pPr>
  </w:style>
  <w:style w:type="paragraph" w:styleId="17">
    <w:name w:val="envelope return"/>
    <w:basedOn w:val="1"/>
    <w:qFormat/>
    <w:uiPriority w:val="0"/>
    <w:pPr>
      <w:snapToGrid w:val="0"/>
    </w:pPr>
    <w:rPr>
      <w:rFonts w:ascii="Arial" w:hAnsi="Arial"/>
    </w:rPr>
  </w:style>
  <w:style w:type="paragraph" w:styleId="18">
    <w:name w:val="toc 3"/>
    <w:basedOn w:val="1"/>
    <w:next w:val="1"/>
    <w:qFormat/>
    <w:uiPriority w:val="0"/>
    <w:pPr>
      <w:tabs>
        <w:tab w:val="right" w:leader="dot" w:pos="9288"/>
      </w:tabs>
      <w:ind w:left="400" w:leftChars="400"/>
    </w:pPr>
    <w:rPr>
      <w:rFonts w:ascii="宋体"/>
    </w:rPr>
  </w:style>
  <w:style w:type="paragraph" w:styleId="19">
    <w:name w:val="Plain Text"/>
    <w:basedOn w:val="1"/>
    <w:link w:val="63"/>
    <w:qFormat/>
    <w:uiPriority w:val="0"/>
    <w:rPr>
      <w:rFonts w:ascii="宋体"/>
      <w:color w:val="000000"/>
      <w:szCs w:val="20"/>
      <w:u w:color="000000"/>
    </w:rPr>
  </w:style>
  <w:style w:type="paragraph" w:styleId="20">
    <w:name w:val="Body Text Indent 2"/>
    <w:basedOn w:val="1"/>
    <w:next w:val="1"/>
    <w:link w:val="65"/>
    <w:qFormat/>
    <w:uiPriority w:val="0"/>
    <w:pPr>
      <w:spacing w:after="120" w:line="480" w:lineRule="auto"/>
      <w:ind w:left="420" w:leftChars="200"/>
    </w:pPr>
  </w:style>
  <w:style w:type="paragraph" w:styleId="21">
    <w:name w:val="Balloon Text"/>
    <w:basedOn w:val="1"/>
    <w:link w:val="66"/>
    <w:qFormat/>
    <w:uiPriority w:val="0"/>
    <w:rPr>
      <w:sz w:val="18"/>
      <w:szCs w:val="18"/>
    </w:rPr>
  </w:style>
  <w:style w:type="paragraph" w:styleId="22">
    <w:name w:val="footer"/>
    <w:basedOn w:val="1"/>
    <w:link w:val="67"/>
    <w:qFormat/>
    <w:uiPriority w:val="0"/>
    <w:pPr>
      <w:tabs>
        <w:tab w:val="center" w:pos="4153"/>
        <w:tab w:val="right" w:pos="8306"/>
      </w:tabs>
      <w:snapToGrid w:val="0"/>
      <w:jc w:val="left"/>
    </w:pPr>
    <w:rPr>
      <w:sz w:val="18"/>
      <w:szCs w:val="18"/>
    </w:rPr>
  </w:style>
  <w:style w:type="paragraph" w:styleId="23">
    <w:name w:val="header"/>
    <w:basedOn w:val="1"/>
    <w:link w:val="68"/>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qFormat/>
    <w:uiPriority w:val="0"/>
  </w:style>
  <w:style w:type="paragraph" w:styleId="25">
    <w:name w:val="Subtitle"/>
    <w:basedOn w:val="1"/>
    <w:next w:val="1"/>
    <w:qFormat/>
    <w:uiPriority w:val="0"/>
    <w:pPr>
      <w:numPr>
        <w:ilvl w:val="0"/>
        <w:numId w:val="3"/>
      </w:numPr>
      <w:spacing w:line="360" w:lineRule="auto"/>
      <w:jc w:val="left"/>
      <w:outlineLvl w:val="1"/>
    </w:pPr>
    <w:rPr>
      <w:rFonts w:ascii="Calibri Light" w:hAnsi="Calibri Light"/>
      <w:bCs/>
      <w:kern w:val="28"/>
      <w:szCs w:val="32"/>
    </w:rPr>
  </w:style>
  <w:style w:type="paragraph" w:styleId="26">
    <w:name w:val="List"/>
    <w:basedOn w:val="1"/>
    <w:next w:val="1"/>
    <w:qFormat/>
    <w:uiPriority w:val="0"/>
    <w:pPr>
      <w:ind w:left="420" w:hanging="420"/>
    </w:pPr>
    <w:rPr>
      <w:rFonts w:ascii="Arial" w:hAnsi="Arial" w:eastAsia="楷体_GB2312"/>
      <w:sz w:val="28"/>
    </w:rPr>
  </w:style>
  <w:style w:type="paragraph" w:styleId="27">
    <w:name w:val="toc 6"/>
    <w:basedOn w:val="1"/>
    <w:next w:val="1"/>
    <w:qFormat/>
    <w:uiPriority w:val="0"/>
    <w:pPr>
      <w:autoSpaceDE w:val="0"/>
      <w:autoSpaceDN w:val="0"/>
      <w:ind w:left="1700"/>
      <w:jc w:val="left"/>
      <w:textAlignment w:val="baseline"/>
    </w:pPr>
    <w:rPr>
      <w:kern w:val="0"/>
      <w:sz w:val="18"/>
      <w:szCs w:val="18"/>
    </w:rPr>
  </w:style>
  <w:style w:type="paragraph" w:styleId="28">
    <w:name w:val="toc 2"/>
    <w:basedOn w:val="1"/>
    <w:next w:val="1"/>
    <w:qFormat/>
    <w:uiPriority w:val="0"/>
    <w:pPr>
      <w:ind w:left="200" w:leftChars="200"/>
    </w:pPr>
  </w:style>
  <w:style w:type="paragraph" w:styleId="2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Arial" w:hAnsi="Arial"/>
    </w:rPr>
  </w:style>
  <w:style w:type="paragraph" w:styleId="30">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1">
    <w:name w:val="Title"/>
    <w:basedOn w:val="1"/>
    <w:next w:val="1"/>
    <w:qFormat/>
    <w:uiPriority w:val="0"/>
    <w:pPr>
      <w:numPr>
        <w:ilvl w:val="0"/>
        <w:numId w:val="4"/>
      </w:numPr>
      <w:spacing w:line="360" w:lineRule="auto"/>
      <w:jc w:val="left"/>
      <w:outlineLvl w:val="0"/>
    </w:pPr>
    <w:rPr>
      <w:rFonts w:ascii="Cambria" w:hAnsi="Cambria"/>
      <w:b/>
      <w:bCs/>
      <w:sz w:val="28"/>
      <w:szCs w:val="32"/>
    </w:rPr>
  </w:style>
  <w:style w:type="paragraph" w:styleId="32">
    <w:name w:val="annotation subject"/>
    <w:basedOn w:val="13"/>
    <w:next w:val="13"/>
    <w:link w:val="69"/>
    <w:qFormat/>
    <w:uiPriority w:val="0"/>
    <w:rPr>
      <w:b/>
      <w:bCs/>
    </w:rPr>
  </w:style>
  <w:style w:type="paragraph" w:styleId="33">
    <w:name w:val="Body Text First Indent"/>
    <w:basedOn w:val="14"/>
    <w:qFormat/>
    <w:uiPriority w:val="0"/>
    <w:pPr>
      <w:ind w:firstLine="420" w:firstLineChars="100"/>
    </w:pPr>
  </w:style>
  <w:style w:type="paragraph" w:styleId="34">
    <w:name w:val="Body Text First Indent 2"/>
    <w:basedOn w:val="16"/>
    <w:next w:val="1"/>
    <w:link w:val="56"/>
    <w:qFormat/>
    <w:uiPriority w:val="0"/>
    <w:pPr>
      <w:ind w:left="420" w:firstLine="420" w:firstLineChars="200"/>
    </w:pPr>
    <w:rPr>
      <w:kern w:val="0"/>
      <w:sz w:val="20"/>
      <w:szCs w:val="20"/>
    </w:rPr>
  </w:style>
  <w:style w:type="table" w:styleId="36">
    <w:name w:val="Table Grid"/>
    <w:basedOn w:val="3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8">
    <w:name w:val="Strong"/>
    <w:qFormat/>
    <w:uiPriority w:val="0"/>
    <w:rPr>
      <w:rFonts w:ascii="Times New Roman" w:hAnsi="Times New Roman" w:eastAsia="宋体" w:cs="Times New Roman"/>
      <w:b/>
    </w:rPr>
  </w:style>
  <w:style w:type="character" w:styleId="39">
    <w:name w:val="page number"/>
    <w:qFormat/>
    <w:uiPriority w:val="0"/>
    <w:rPr>
      <w:rFonts w:ascii="Times New Roman" w:hAnsi="Times New Roman" w:eastAsia="宋体" w:cs="Times New Roman"/>
    </w:rPr>
  </w:style>
  <w:style w:type="character" w:styleId="40">
    <w:name w:val="FollowedHyperlink"/>
    <w:qFormat/>
    <w:uiPriority w:val="0"/>
    <w:rPr>
      <w:rFonts w:ascii="Times New Roman" w:hAnsi="Times New Roman" w:eastAsia="宋体" w:cs="Times New Roman"/>
      <w:color w:val="333333"/>
      <w:u w:val="none"/>
    </w:rPr>
  </w:style>
  <w:style w:type="character" w:styleId="41">
    <w:name w:val="Emphasis"/>
    <w:qFormat/>
    <w:uiPriority w:val="0"/>
    <w:rPr>
      <w:rFonts w:ascii="Times New Roman" w:hAnsi="Times New Roman" w:eastAsia="宋体" w:cs="Times New Roman"/>
      <w:i/>
      <w:iCs/>
    </w:rPr>
  </w:style>
  <w:style w:type="character" w:styleId="42">
    <w:name w:val="HTML Definition"/>
    <w:qFormat/>
    <w:uiPriority w:val="0"/>
    <w:rPr>
      <w:rFonts w:ascii="Times New Roman" w:hAnsi="Times New Roman" w:eastAsia="宋体" w:cs="Times New Roman"/>
    </w:rPr>
  </w:style>
  <w:style w:type="character" w:styleId="43">
    <w:name w:val="HTML Typewriter"/>
    <w:qFormat/>
    <w:uiPriority w:val="0"/>
    <w:rPr>
      <w:rFonts w:hint="default" w:ascii="monospace" w:hAnsi="monospace" w:eastAsia="monospace" w:cs="monospace"/>
      <w:sz w:val="20"/>
    </w:rPr>
  </w:style>
  <w:style w:type="character" w:styleId="44">
    <w:name w:val="HTML Acronym"/>
    <w:qFormat/>
    <w:uiPriority w:val="0"/>
    <w:rPr>
      <w:rFonts w:ascii="Times New Roman" w:hAnsi="Times New Roman" w:eastAsia="宋体" w:cs="Times New Roman"/>
    </w:rPr>
  </w:style>
  <w:style w:type="character" w:styleId="45">
    <w:name w:val="HTML Variable"/>
    <w:qFormat/>
    <w:uiPriority w:val="0"/>
    <w:rPr>
      <w:rFonts w:ascii="Times New Roman" w:hAnsi="Times New Roman" w:eastAsia="宋体" w:cs="Times New Roman"/>
    </w:rPr>
  </w:style>
  <w:style w:type="character" w:styleId="46">
    <w:name w:val="Hyperlink"/>
    <w:qFormat/>
    <w:uiPriority w:val="0"/>
    <w:rPr>
      <w:rFonts w:ascii="Times New Roman" w:hAnsi="Times New Roman" w:eastAsia="宋体" w:cs="Times New Roman"/>
      <w:color w:val="333333"/>
      <w:u w:val="none"/>
    </w:rPr>
  </w:style>
  <w:style w:type="character" w:styleId="47">
    <w:name w:val="HTML Code"/>
    <w:qFormat/>
    <w:uiPriority w:val="0"/>
    <w:rPr>
      <w:rFonts w:hint="default" w:ascii="monospace" w:hAnsi="monospace" w:eastAsia="monospace" w:cs="monospace"/>
      <w:sz w:val="20"/>
    </w:rPr>
  </w:style>
  <w:style w:type="character" w:styleId="48">
    <w:name w:val="annotation reference"/>
    <w:qFormat/>
    <w:uiPriority w:val="0"/>
    <w:rPr>
      <w:rFonts w:ascii="Times New Roman" w:hAnsi="Times New Roman" w:eastAsia="宋体" w:cs="Times New Roman"/>
      <w:sz w:val="21"/>
      <w:szCs w:val="21"/>
    </w:rPr>
  </w:style>
  <w:style w:type="character" w:styleId="49">
    <w:name w:val="HTML Cite"/>
    <w:qFormat/>
    <w:uiPriority w:val="0"/>
    <w:rPr>
      <w:rFonts w:ascii="Times New Roman" w:hAnsi="Times New Roman" w:eastAsia="宋体" w:cs="Times New Roman"/>
    </w:rPr>
  </w:style>
  <w:style w:type="character" w:styleId="50">
    <w:name w:val="HTML Keyboard"/>
    <w:qFormat/>
    <w:uiPriority w:val="0"/>
    <w:rPr>
      <w:rFonts w:hint="default" w:ascii="monospace" w:hAnsi="monospace" w:eastAsia="monospace" w:cs="monospace"/>
      <w:sz w:val="20"/>
    </w:rPr>
  </w:style>
  <w:style w:type="character" w:styleId="51">
    <w:name w:val="HTML Sample"/>
    <w:qFormat/>
    <w:uiPriority w:val="0"/>
    <w:rPr>
      <w:rFonts w:ascii="monospace" w:hAnsi="monospace" w:eastAsia="monospace" w:cs="monospace"/>
    </w:rPr>
  </w:style>
  <w:style w:type="paragraph" w:customStyle="1" w:styleId="52">
    <w:name w:val="正文文本首行缩进 21"/>
    <w:basedOn w:val="16"/>
    <w:next w:val="1"/>
    <w:qFormat/>
    <w:uiPriority w:val="0"/>
    <w:pPr>
      <w:ind w:left="420" w:firstLine="420" w:firstLineChars="200"/>
    </w:pPr>
  </w:style>
  <w:style w:type="paragraph" w:customStyle="1" w:styleId="53">
    <w:name w:val="正文1"/>
    <w:basedOn w:val="1"/>
    <w:next w:val="1"/>
    <w:qFormat/>
    <w:uiPriority w:val="0"/>
    <w:pPr>
      <w:widowControl w:val="0"/>
      <w:spacing w:before="120" w:line="360" w:lineRule="auto"/>
      <w:ind w:left="420" w:firstLine="527"/>
      <w:jc w:val="both"/>
    </w:pPr>
    <w:rPr>
      <w:rFonts w:ascii="宋体" w:hAnsi="宋体"/>
      <w:kern w:val="2"/>
    </w:rPr>
  </w:style>
  <w:style w:type="paragraph" w:customStyle="1" w:styleId="54">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55">
    <w:name w:val="正文文本缩进 Char"/>
    <w:link w:val="16"/>
    <w:qFormat/>
    <w:uiPriority w:val="0"/>
    <w:rPr>
      <w:rFonts w:ascii="Times New Roman" w:hAnsi="Times New Roman" w:eastAsia="宋体" w:cs="Times New Roman"/>
      <w:kern w:val="2"/>
      <w:sz w:val="21"/>
      <w:szCs w:val="24"/>
    </w:rPr>
  </w:style>
  <w:style w:type="character" w:customStyle="1" w:styleId="56">
    <w:name w:val="正文首行缩进 2 Char"/>
    <w:link w:val="34"/>
    <w:qFormat/>
    <w:uiPriority w:val="0"/>
    <w:rPr>
      <w:rFonts w:ascii="Times New Roman" w:hAnsi="Times New Roman" w:eastAsia="宋体" w:cs="Times New Roman"/>
    </w:rPr>
  </w:style>
  <w:style w:type="character" w:customStyle="1" w:styleId="57">
    <w:name w:val="标题 1 Char"/>
    <w:link w:val="2"/>
    <w:qFormat/>
    <w:uiPriority w:val="0"/>
    <w:rPr>
      <w:rFonts w:ascii="Times New Roman" w:hAnsi="Times New Roman" w:eastAsia="宋体" w:cs="Times New Roman"/>
      <w:b/>
      <w:bCs/>
      <w:kern w:val="44"/>
      <w:sz w:val="32"/>
      <w:szCs w:val="44"/>
    </w:rPr>
  </w:style>
  <w:style w:type="character" w:customStyle="1" w:styleId="58">
    <w:name w:val="标题 4 Char"/>
    <w:link w:val="5"/>
    <w:qFormat/>
    <w:uiPriority w:val="0"/>
    <w:rPr>
      <w:rFonts w:ascii="Arial" w:hAnsi="Arial" w:eastAsia="黑体" w:cs="Times New Roman"/>
      <w:b/>
      <w:bCs/>
      <w:color w:val="000000"/>
      <w:sz w:val="28"/>
      <w:szCs w:val="28"/>
      <w:u w:val="none" w:color="000000"/>
      <w:lang w:val="en-US" w:eastAsia="zh-CN" w:bidi="ar-SA"/>
    </w:rPr>
  </w:style>
  <w:style w:type="character" w:customStyle="1" w:styleId="59">
    <w:name w:val="标题 5 Char"/>
    <w:link w:val="6"/>
    <w:qFormat/>
    <w:uiPriority w:val="0"/>
    <w:rPr>
      <w:rFonts w:ascii="Times New Roman" w:hAnsi="Times New Roman" w:eastAsia="宋体" w:cs="Times New Roman"/>
      <w:b/>
      <w:bCs/>
      <w:kern w:val="2"/>
      <w:sz w:val="28"/>
      <w:szCs w:val="28"/>
    </w:rPr>
  </w:style>
  <w:style w:type="character" w:customStyle="1" w:styleId="60">
    <w:name w:val="标题 6 Char"/>
    <w:link w:val="7"/>
    <w:qFormat/>
    <w:uiPriority w:val="0"/>
    <w:rPr>
      <w:rFonts w:ascii="Cambria" w:hAnsi="Cambria" w:eastAsia="宋体" w:cs="Times New Roman"/>
      <w:b/>
      <w:bCs/>
      <w:kern w:val="2"/>
      <w:sz w:val="24"/>
      <w:szCs w:val="24"/>
    </w:rPr>
  </w:style>
  <w:style w:type="character" w:customStyle="1" w:styleId="61">
    <w:name w:val="标题 7 Char"/>
    <w:link w:val="8"/>
    <w:qFormat/>
    <w:uiPriority w:val="0"/>
    <w:rPr>
      <w:rFonts w:ascii="Times New Roman" w:hAnsi="Times New Roman" w:eastAsia="宋体" w:cs="Times New Roman"/>
      <w:b/>
      <w:bCs/>
      <w:kern w:val="2"/>
      <w:sz w:val="24"/>
      <w:szCs w:val="24"/>
    </w:rPr>
  </w:style>
  <w:style w:type="character" w:customStyle="1" w:styleId="62">
    <w:name w:val="批注文字 Char"/>
    <w:link w:val="13"/>
    <w:qFormat/>
    <w:uiPriority w:val="0"/>
    <w:rPr>
      <w:rFonts w:ascii="Times New Roman" w:hAnsi="Times New Roman" w:eastAsia="宋体" w:cs="Times New Roman"/>
      <w:kern w:val="2"/>
      <w:sz w:val="21"/>
      <w:szCs w:val="24"/>
    </w:rPr>
  </w:style>
  <w:style w:type="character" w:customStyle="1" w:styleId="63">
    <w:name w:val="纯文本 Char"/>
    <w:link w:val="19"/>
    <w:qFormat/>
    <w:uiPriority w:val="0"/>
    <w:rPr>
      <w:rFonts w:ascii="宋体" w:hAnsi="Times New Roman" w:eastAsia="宋体" w:cs="Times New Roman"/>
      <w:color w:val="000000"/>
      <w:kern w:val="2"/>
      <w:sz w:val="21"/>
      <w:u w:val="none" w:color="000000"/>
      <w:lang w:val="en-US" w:eastAsia="zh-CN" w:bidi="ar-SA"/>
    </w:rPr>
  </w:style>
  <w:style w:type="character" w:customStyle="1" w:styleId="64">
    <w:name w:val="日期 Char"/>
    <w:link w:val="15"/>
    <w:qFormat/>
    <w:uiPriority w:val="0"/>
    <w:rPr>
      <w:rFonts w:ascii="Arial" w:hAnsi="Arial" w:eastAsia="仿宋_GB2312" w:cs="Times New Roman"/>
      <w:color w:val="000000"/>
      <w:kern w:val="2"/>
      <w:sz w:val="32"/>
      <w:u w:val="none" w:color="000000"/>
    </w:rPr>
  </w:style>
  <w:style w:type="character" w:customStyle="1" w:styleId="65">
    <w:name w:val="正文文本缩进 2 Char"/>
    <w:link w:val="20"/>
    <w:qFormat/>
    <w:uiPriority w:val="0"/>
    <w:rPr>
      <w:rFonts w:ascii="Times New Roman" w:hAnsi="Times New Roman" w:eastAsia="宋体" w:cs="Times New Roman"/>
      <w:kern w:val="2"/>
      <w:sz w:val="21"/>
      <w:szCs w:val="24"/>
    </w:rPr>
  </w:style>
  <w:style w:type="character" w:customStyle="1" w:styleId="66">
    <w:name w:val="批注框文本 Char"/>
    <w:link w:val="21"/>
    <w:qFormat/>
    <w:uiPriority w:val="0"/>
    <w:rPr>
      <w:rFonts w:ascii="Times New Roman" w:hAnsi="Times New Roman" w:eastAsia="宋体" w:cs="Times New Roman"/>
      <w:kern w:val="2"/>
      <w:sz w:val="18"/>
      <w:szCs w:val="18"/>
    </w:rPr>
  </w:style>
  <w:style w:type="character" w:customStyle="1" w:styleId="67">
    <w:name w:val="页脚 Char"/>
    <w:link w:val="22"/>
    <w:qFormat/>
    <w:uiPriority w:val="0"/>
    <w:rPr>
      <w:rFonts w:ascii="Times New Roman" w:hAnsi="Times New Roman" w:eastAsia="宋体" w:cs="Times New Roman"/>
      <w:kern w:val="2"/>
      <w:sz w:val="18"/>
      <w:szCs w:val="18"/>
    </w:rPr>
  </w:style>
  <w:style w:type="character" w:customStyle="1" w:styleId="68">
    <w:name w:val="页眉 Char"/>
    <w:link w:val="23"/>
    <w:qFormat/>
    <w:uiPriority w:val="0"/>
    <w:rPr>
      <w:rFonts w:ascii="Times New Roman" w:hAnsi="Times New Roman" w:eastAsia="宋体" w:cs="Times New Roman"/>
      <w:kern w:val="2"/>
      <w:sz w:val="18"/>
      <w:szCs w:val="18"/>
    </w:rPr>
  </w:style>
  <w:style w:type="character" w:customStyle="1" w:styleId="69">
    <w:name w:val="批注主题 Char"/>
    <w:link w:val="32"/>
    <w:qFormat/>
    <w:uiPriority w:val="0"/>
    <w:rPr>
      <w:rFonts w:ascii="Times New Roman" w:hAnsi="Times New Roman" w:eastAsia="宋体" w:cs="Times New Roman"/>
      <w:b/>
      <w:bCs/>
      <w:kern w:val="2"/>
      <w:sz w:val="21"/>
      <w:szCs w:val="24"/>
    </w:rPr>
  </w:style>
  <w:style w:type="character" w:customStyle="1" w:styleId="70">
    <w:name w:val="图表 Char Char"/>
    <w:link w:val="71"/>
    <w:qFormat/>
    <w:uiPriority w:val="0"/>
    <w:rPr>
      <w:rFonts w:ascii="Times New Roman" w:hAnsi="Times New Roman" w:eastAsia="宋体" w:cs="Times New Roman"/>
      <w:kern w:val="2"/>
      <w:sz w:val="21"/>
      <w:szCs w:val="21"/>
    </w:rPr>
  </w:style>
  <w:style w:type="paragraph" w:customStyle="1" w:styleId="71">
    <w:name w:val="图表"/>
    <w:basedOn w:val="1"/>
    <w:next w:val="1"/>
    <w:link w:val="70"/>
    <w:qFormat/>
    <w:uiPriority w:val="0"/>
    <w:pPr>
      <w:jc w:val="center"/>
    </w:pPr>
    <w:rPr>
      <w:szCs w:val="21"/>
    </w:rPr>
  </w:style>
  <w:style w:type="character" w:customStyle="1" w:styleId="72">
    <w:name w:val="【正文】 Char Char"/>
    <w:link w:val="73"/>
    <w:qFormat/>
    <w:uiPriority w:val="0"/>
    <w:rPr>
      <w:rFonts w:ascii="Times New Roman" w:hAnsi="Times New Roman" w:eastAsia="宋体" w:cs="DokChampa"/>
      <w:kern w:val="2"/>
      <w:sz w:val="24"/>
      <w:szCs w:val="22"/>
    </w:rPr>
  </w:style>
  <w:style w:type="paragraph" w:customStyle="1" w:styleId="73">
    <w:name w:val="【正文】"/>
    <w:basedOn w:val="1"/>
    <w:link w:val="72"/>
    <w:qFormat/>
    <w:uiPriority w:val="0"/>
    <w:pPr>
      <w:spacing w:line="360" w:lineRule="auto"/>
      <w:ind w:firstLine="480" w:firstLineChars="200"/>
    </w:pPr>
    <w:rPr>
      <w:sz w:val="24"/>
      <w:szCs w:val="22"/>
    </w:rPr>
  </w:style>
  <w:style w:type="character" w:customStyle="1" w:styleId="74">
    <w:name w:val="selected"/>
    <w:qFormat/>
    <w:uiPriority w:val="0"/>
    <w:rPr>
      <w:rFonts w:ascii="Times New Roman" w:hAnsi="Times New Roman" w:eastAsia="宋体" w:cs="Times New Roman"/>
      <w:shd w:val="clear" w:color="auto" w:fill="B00006"/>
    </w:rPr>
  </w:style>
  <w:style w:type="character" w:customStyle="1" w:styleId="75">
    <w:name w:val="font21"/>
    <w:basedOn w:val="37"/>
    <w:qFormat/>
    <w:uiPriority w:val="0"/>
    <w:rPr>
      <w:rFonts w:hint="eastAsia" w:ascii="宋体" w:hAnsi="宋体" w:eastAsia="宋体" w:cs="宋体"/>
      <w:color w:val="000000"/>
      <w:sz w:val="18"/>
      <w:szCs w:val="18"/>
      <w:u w:val="none"/>
    </w:rPr>
  </w:style>
  <w:style w:type="character" w:customStyle="1" w:styleId="76">
    <w:name w:val="bds_nopic"/>
    <w:qFormat/>
    <w:uiPriority w:val="0"/>
    <w:rPr>
      <w:rFonts w:ascii="Times New Roman" w:hAnsi="Times New Roman" w:eastAsia="宋体" w:cs="Times New Roman"/>
    </w:rPr>
  </w:style>
  <w:style w:type="character" w:customStyle="1" w:styleId="77">
    <w:name w:val="NormalCharacter"/>
    <w:qFormat/>
    <w:uiPriority w:val="0"/>
    <w:rPr>
      <w:rFonts w:ascii="Times New Roman" w:hAnsi="Times New Roman" w:eastAsia="宋体" w:cs="Times New Roman"/>
      <w:kern w:val="2"/>
      <w:sz w:val="21"/>
      <w:szCs w:val="24"/>
      <w:lang w:val="en-US" w:eastAsia="zh-CN" w:bidi="ar-SA"/>
    </w:rPr>
  </w:style>
  <w:style w:type="character" w:customStyle="1" w:styleId="78">
    <w:name w:val="gpa"/>
    <w:qFormat/>
    <w:uiPriority w:val="0"/>
    <w:rPr>
      <w:rFonts w:ascii="Arial" w:hAnsi="Arial" w:eastAsia="宋体" w:cs="Arial"/>
      <w:sz w:val="15"/>
      <w:szCs w:val="15"/>
    </w:rPr>
  </w:style>
  <w:style w:type="character" w:customStyle="1" w:styleId="79">
    <w:name w:val="正文首行缩进 2 Char1"/>
    <w:qFormat/>
    <w:uiPriority w:val="0"/>
    <w:rPr>
      <w:rFonts w:ascii="Times New Roman" w:hAnsi="Times New Roman" w:eastAsia="宋体" w:cs="Times New Roman"/>
    </w:rPr>
  </w:style>
  <w:style w:type="character" w:customStyle="1" w:styleId="80">
    <w:name w:val="列出段落 Char"/>
    <w:link w:val="81"/>
    <w:qFormat/>
    <w:uiPriority w:val="0"/>
    <w:rPr>
      <w:rFonts w:ascii="Calibri" w:hAnsi="Calibri" w:eastAsia="宋体" w:cs="Times New Roman"/>
      <w:kern w:val="2"/>
      <w:sz w:val="21"/>
      <w:szCs w:val="22"/>
      <w:lang w:val="en-US" w:eastAsia="zh-CN" w:bidi="ar-SA"/>
    </w:rPr>
  </w:style>
  <w:style w:type="paragraph" w:customStyle="1" w:styleId="81">
    <w:name w:val="List Paragraph1"/>
    <w:basedOn w:val="1"/>
    <w:link w:val="80"/>
    <w:qFormat/>
    <w:uiPriority w:val="0"/>
    <w:pPr>
      <w:spacing w:line="312" w:lineRule="auto"/>
      <w:ind w:firstLine="420" w:firstLineChars="200"/>
    </w:pPr>
    <w:rPr>
      <w:rFonts w:ascii="Calibri" w:hAnsi="Calibri"/>
      <w:szCs w:val="22"/>
    </w:rPr>
  </w:style>
  <w:style w:type="character" w:customStyle="1" w:styleId="82">
    <w:name w:val="bds_nopic2"/>
    <w:qFormat/>
    <w:uiPriority w:val="0"/>
    <w:rPr>
      <w:rFonts w:ascii="Times New Roman" w:hAnsi="Times New Roman" w:eastAsia="宋体" w:cs="Times New Roman"/>
    </w:rPr>
  </w:style>
  <w:style w:type="character" w:customStyle="1" w:styleId="83">
    <w:name w:val="font61"/>
    <w:qFormat/>
    <w:uiPriority w:val="0"/>
    <w:rPr>
      <w:rFonts w:hint="default" w:ascii="MS Sans Serif" w:hAnsi="MS Sans Serif" w:eastAsia="MS Sans Serif" w:cs="MS Sans Serif"/>
      <w:color w:val="000000"/>
      <w:sz w:val="18"/>
      <w:szCs w:val="18"/>
      <w:u w:val="none"/>
    </w:rPr>
  </w:style>
  <w:style w:type="character" w:customStyle="1" w:styleId="84">
    <w:name w:val="bds_more1"/>
    <w:qFormat/>
    <w:uiPriority w:val="0"/>
    <w:rPr>
      <w:rFonts w:ascii="Times New Roman" w:hAnsi="Times New Roman" w:eastAsia="宋体" w:cs="Times New Roman"/>
    </w:rPr>
  </w:style>
  <w:style w:type="character" w:customStyle="1" w:styleId="85">
    <w:name w:val="font71"/>
    <w:qFormat/>
    <w:uiPriority w:val="0"/>
    <w:rPr>
      <w:rFonts w:hint="default" w:ascii="MS Sans Serif" w:hAnsi="MS Sans Serif" w:eastAsia="MS Sans Serif" w:cs="MS Sans Serif"/>
      <w:color w:val="000000"/>
      <w:sz w:val="18"/>
      <w:szCs w:val="18"/>
      <w:u w:val="none"/>
    </w:rPr>
  </w:style>
  <w:style w:type="character" w:customStyle="1" w:styleId="86">
    <w:name w:val="first-child"/>
    <w:qFormat/>
    <w:uiPriority w:val="0"/>
    <w:rPr>
      <w:rFonts w:ascii="Times New Roman" w:hAnsi="Times New Roman" w:eastAsia="宋体" w:cs="Times New Roman"/>
    </w:rPr>
  </w:style>
  <w:style w:type="character" w:customStyle="1" w:styleId="87">
    <w:name w:val="bds_nopic1"/>
    <w:qFormat/>
    <w:uiPriority w:val="0"/>
    <w:rPr>
      <w:rFonts w:ascii="Times New Roman" w:hAnsi="Times New Roman" w:eastAsia="宋体" w:cs="Times New Roman"/>
    </w:rPr>
  </w:style>
  <w:style w:type="character" w:customStyle="1" w:styleId="88">
    <w:name w:val="layui-this"/>
    <w:qFormat/>
    <w:uiPriority w:val="0"/>
    <w:rPr>
      <w:rFonts w:ascii="Times New Roman" w:hAnsi="Times New Roman" w:eastAsia="宋体" w:cs="Times New Roman"/>
      <w:bdr w:val="single" w:color="EEEEEE" w:sz="6" w:space="0"/>
      <w:shd w:val="clear" w:color="auto" w:fill="FFFFFF"/>
    </w:rPr>
  </w:style>
  <w:style w:type="character" w:customStyle="1" w:styleId="89">
    <w:name w:val="font81"/>
    <w:qFormat/>
    <w:uiPriority w:val="0"/>
    <w:rPr>
      <w:rFonts w:ascii="Arial Unicode MS" w:hAnsi="Arial Unicode MS" w:eastAsia="Arial Unicode MS" w:cs="Arial Unicode MS"/>
      <w:color w:val="000000"/>
      <w:sz w:val="18"/>
      <w:szCs w:val="18"/>
      <w:u w:val="none"/>
    </w:rPr>
  </w:style>
  <w:style w:type="character" w:customStyle="1" w:styleId="90">
    <w:name w:val="apple-converted-space"/>
    <w:qFormat/>
    <w:uiPriority w:val="0"/>
    <w:rPr>
      <w:rFonts w:ascii="Times New Roman" w:hAnsi="Times New Roman" w:eastAsia="宋体" w:cs="Times New Roman"/>
    </w:rPr>
  </w:style>
  <w:style w:type="character" w:customStyle="1" w:styleId="91">
    <w:name w:val="displayarti"/>
    <w:qFormat/>
    <w:uiPriority w:val="0"/>
    <w:rPr>
      <w:rFonts w:ascii="Times New Roman" w:hAnsi="Times New Roman" w:eastAsia="宋体" w:cs="Times New Roman"/>
      <w:color w:val="FFFFFF"/>
      <w:shd w:val="clear" w:color="auto" w:fill="A00000"/>
    </w:rPr>
  </w:style>
  <w:style w:type="character" w:customStyle="1" w:styleId="92">
    <w:name w:val="font131"/>
    <w:qFormat/>
    <w:uiPriority w:val="0"/>
    <w:rPr>
      <w:rFonts w:hint="eastAsia" w:ascii="宋体" w:hAnsi="宋体" w:eastAsia="宋体" w:cs="宋体"/>
      <w:b/>
      <w:bCs/>
      <w:color w:val="000000"/>
      <w:sz w:val="20"/>
      <w:szCs w:val="20"/>
      <w:u w:val="none"/>
    </w:rPr>
  </w:style>
  <w:style w:type="character" w:customStyle="1" w:styleId="93">
    <w:name w:val="bds_more2"/>
    <w:qFormat/>
    <w:uiPriority w:val="0"/>
    <w:rPr>
      <w:rFonts w:ascii="Times New Roman" w:hAnsi="Times New Roman" w:eastAsia="宋体" w:cs="Times New Roman"/>
    </w:rPr>
  </w:style>
  <w:style w:type="character" w:customStyle="1" w:styleId="94">
    <w:name w:val="bds_more"/>
    <w:qFormat/>
    <w:uiPriority w:val="0"/>
    <w:rPr>
      <w:rFonts w:hint="eastAsia" w:ascii="宋体" w:hAnsi="宋体" w:eastAsia="宋体" w:cs="宋体"/>
    </w:rPr>
  </w:style>
  <w:style w:type="paragraph" w:customStyle="1" w:styleId="95">
    <w:name w:val="Char Char Char Char"/>
    <w:basedOn w:val="1"/>
    <w:qFormat/>
    <w:uiPriority w:val="0"/>
    <w:rPr>
      <w:rFonts w:ascii="Tahoma" w:hAnsi="Tahoma"/>
      <w:sz w:val="24"/>
      <w:szCs w:val="20"/>
    </w:rPr>
  </w:style>
  <w:style w:type="paragraph" w:customStyle="1" w:styleId="96">
    <w:name w:val="标题4"/>
    <w:basedOn w:val="1"/>
    <w:qFormat/>
    <w:uiPriority w:val="0"/>
    <w:pPr>
      <w:numPr>
        <w:ilvl w:val="0"/>
        <w:numId w:val="5"/>
      </w:numPr>
      <w:spacing w:line="360" w:lineRule="auto"/>
      <w:ind w:left="720" w:leftChars="300"/>
      <w:jc w:val="left"/>
    </w:pPr>
    <w:rPr>
      <w:rFonts w:ascii="宋体" w:hAnsi="宋体"/>
      <w:sz w:val="18"/>
      <w:szCs w:val="18"/>
    </w:rPr>
  </w:style>
  <w:style w:type="paragraph" w:customStyle="1" w:styleId="97">
    <w:name w:val="Table Paragraph"/>
    <w:basedOn w:val="1"/>
    <w:qFormat/>
    <w:uiPriority w:val="0"/>
    <w:rPr>
      <w:rFonts w:ascii="宋体" w:hAnsi="宋体" w:cs="宋体"/>
      <w:lang w:val="zh-CN" w:bidi="zh-CN"/>
    </w:rPr>
  </w:style>
  <w:style w:type="paragraph" w:customStyle="1" w:styleId="98">
    <w:name w:val="p0"/>
    <w:basedOn w:val="1"/>
    <w:qFormat/>
    <w:uiPriority w:val="0"/>
    <w:pPr>
      <w:widowControl/>
      <w:spacing w:line="365" w:lineRule="atLeast"/>
      <w:ind w:left="1"/>
      <w:textAlignment w:val="bottom"/>
    </w:pPr>
    <w:rPr>
      <w:rFonts w:ascii="Calibri" w:hAnsi="Calibri"/>
      <w:kern w:val="0"/>
      <w:sz w:val="20"/>
      <w:szCs w:val="22"/>
    </w:rPr>
  </w:style>
  <w:style w:type="paragraph" w:customStyle="1" w:styleId="99">
    <w:name w:val="正文 New"/>
    <w:next w:val="100"/>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100">
    <w:name w:val="正文缩进1"/>
    <w:basedOn w:val="1"/>
    <w:next w:val="12"/>
    <w:qFormat/>
    <w:uiPriority w:val="0"/>
    <w:pPr>
      <w:spacing w:line="360" w:lineRule="atLeast"/>
      <w:ind w:firstLine="482"/>
    </w:pPr>
    <w:rPr>
      <w:sz w:val="24"/>
    </w:rPr>
  </w:style>
  <w:style w:type="paragraph" w:customStyle="1" w:styleId="101">
    <w:name w:val="Char Char Char Char Char Char Char1 Char"/>
    <w:basedOn w:val="1"/>
    <w:qFormat/>
    <w:uiPriority w:val="0"/>
    <w:rPr>
      <w:rFonts w:ascii="Tahoma" w:hAnsi="Tahoma"/>
      <w:sz w:val="24"/>
      <w:szCs w:val="20"/>
    </w:rPr>
  </w:style>
  <w:style w:type="paragraph" w:customStyle="1" w:styleId="102">
    <w:name w:val="Char"/>
    <w:basedOn w:val="1"/>
    <w:qFormat/>
    <w:uiPriority w:val="0"/>
  </w:style>
  <w:style w:type="paragraph" w:customStyle="1" w:styleId="103">
    <w:name w:val="（无样式）"/>
    <w:basedOn w:val="1"/>
    <w:qFormat/>
    <w:uiPriority w:val="0"/>
    <w:pPr>
      <w:widowControl/>
      <w:numPr>
        <w:ilvl w:val="0"/>
        <w:numId w:val="6"/>
      </w:numPr>
      <w:spacing w:line="360" w:lineRule="auto"/>
      <w:ind w:firstLine="0"/>
    </w:pPr>
    <w:rPr>
      <w:sz w:val="24"/>
      <w:szCs w:val="20"/>
    </w:rPr>
  </w:style>
  <w:style w:type="paragraph" w:customStyle="1" w:styleId="104">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105">
    <w:name w:val="节标题"/>
    <w:basedOn w:val="1"/>
    <w:next w:val="1"/>
    <w:qFormat/>
    <w:uiPriority w:val="0"/>
    <w:pPr>
      <w:widowControl/>
      <w:spacing w:line="289" w:lineRule="atLeast"/>
      <w:jc w:val="center"/>
      <w:textAlignment w:val="baseline"/>
    </w:pPr>
    <w:rPr>
      <w:color w:val="000000"/>
      <w:kern w:val="0"/>
      <w:sz w:val="28"/>
      <w:szCs w:val="20"/>
      <w:u w:color="000000"/>
    </w:rPr>
  </w:style>
  <w:style w:type="paragraph" w:customStyle="1" w:styleId="106">
    <w:name w:val="_Style 102"/>
    <w:qFormat/>
    <w:uiPriority w:val="0"/>
    <w:rPr>
      <w:rFonts w:ascii="Times New Roman" w:hAnsi="Times New Roman" w:eastAsia="宋体" w:cs="Times New Roman"/>
      <w:kern w:val="2"/>
      <w:sz w:val="21"/>
      <w:szCs w:val="24"/>
      <w:lang w:val="en-US" w:eastAsia="zh-CN" w:bidi="ar-SA"/>
    </w:rPr>
  </w:style>
  <w:style w:type="paragraph" w:customStyle="1" w:styleId="107">
    <w:name w:val="Char1"/>
    <w:basedOn w:val="1"/>
    <w:next w:val="1"/>
    <w:qFormat/>
    <w:uiPriority w:val="0"/>
    <w:pPr>
      <w:widowControl/>
      <w:spacing w:line="360" w:lineRule="auto"/>
      <w:jc w:val="left"/>
    </w:pPr>
    <w:rPr>
      <w:kern w:val="0"/>
      <w:szCs w:val="20"/>
      <w:lang w:eastAsia="en-US"/>
    </w:rPr>
  </w:style>
  <w:style w:type="paragraph" w:customStyle="1" w:styleId="108">
    <w:name w:val="_Style 2"/>
    <w:basedOn w:val="1"/>
    <w:qFormat/>
    <w:uiPriority w:val="0"/>
  </w:style>
  <w:style w:type="paragraph" w:customStyle="1" w:styleId="109">
    <w:name w:val="列出段落2"/>
    <w:basedOn w:val="1"/>
    <w:qFormat/>
    <w:uiPriority w:val="0"/>
    <w:pPr>
      <w:ind w:firstLine="420" w:firstLineChars="200"/>
    </w:pPr>
    <w:rPr>
      <w:rFonts w:ascii="Calibri" w:hAnsi="Calibri"/>
      <w:szCs w:val="22"/>
    </w:rPr>
  </w:style>
  <w:style w:type="paragraph" w:customStyle="1" w:styleId="110">
    <w:name w:val="*正文"/>
    <w:basedOn w:val="1"/>
    <w:qFormat/>
    <w:uiPriority w:val="0"/>
    <w:pPr>
      <w:widowControl/>
      <w:snapToGrid w:val="0"/>
      <w:ind w:firstLine="560"/>
      <w:jc w:val="left"/>
    </w:pPr>
    <w:rPr>
      <w:rFonts w:ascii="仿宋_GB2312"/>
      <w:color w:val="191919"/>
      <w:sz w:val="28"/>
      <w:szCs w:val="28"/>
    </w:rPr>
  </w:style>
  <w:style w:type="paragraph" w:customStyle="1" w:styleId="111">
    <w:name w:val="列出段落1"/>
    <w:basedOn w:val="1"/>
    <w:qFormat/>
    <w:uiPriority w:val="0"/>
    <w:pPr>
      <w:ind w:firstLine="420" w:firstLineChars="200"/>
    </w:pPr>
  </w:style>
  <w:style w:type="paragraph" w:customStyle="1" w:styleId="112">
    <w:name w:val="HtmlNormal"/>
    <w:basedOn w:val="1"/>
    <w:qFormat/>
    <w:uiPriority w:val="0"/>
    <w:pPr>
      <w:widowControl/>
      <w:spacing w:before="100" w:beforeAutospacing="1" w:after="100" w:afterAutospacing="1"/>
      <w:jc w:val="left"/>
    </w:pPr>
    <w:rPr>
      <w:rFonts w:ascii="宋体" w:hAnsi="宋体"/>
      <w:kern w:val="0"/>
      <w:sz w:val="24"/>
    </w:rPr>
  </w:style>
  <w:style w:type="paragraph" w:styleId="113">
    <w:name w:val="List Paragraph"/>
    <w:basedOn w:val="1"/>
    <w:qFormat/>
    <w:uiPriority w:val="0"/>
    <w:pPr>
      <w:spacing w:line="360" w:lineRule="auto"/>
      <w:ind w:firstLine="420" w:firstLineChars="200"/>
    </w:pPr>
    <w:rPr>
      <w:rFonts w:ascii="宋体" w:hAnsi="宋体" w:cs="宋体"/>
      <w:sz w:val="24"/>
    </w:rPr>
  </w:style>
  <w:style w:type="paragraph" w:customStyle="1" w:styleId="114">
    <w:name w:val="列出段落11"/>
    <w:basedOn w:val="1"/>
    <w:qFormat/>
    <w:uiPriority w:val="0"/>
    <w:pPr>
      <w:spacing w:after="120" w:line="360" w:lineRule="auto"/>
      <w:ind w:firstLine="420" w:firstLineChars="200"/>
    </w:pPr>
    <w:rPr>
      <w:rFonts w:ascii="Calibri" w:hAnsi="Calibri"/>
      <w:szCs w:val="22"/>
    </w:rPr>
  </w:style>
  <w:style w:type="paragraph" w:customStyle="1" w:styleId="115">
    <w:name w:val="_Style 4"/>
    <w:basedOn w:val="1"/>
    <w:qFormat/>
    <w:uiPriority w:val="0"/>
    <w:pPr>
      <w:adjustRightInd w:val="0"/>
      <w:ind w:firstLine="420" w:firstLineChars="200"/>
      <w:jc w:val="left"/>
      <w:textAlignment w:val="baseline"/>
    </w:pPr>
    <w:rPr>
      <w:kern w:val="0"/>
      <w:szCs w:val="20"/>
    </w:rPr>
  </w:style>
  <w:style w:type="paragraph" w:customStyle="1" w:styleId="116">
    <w:name w:val="List Paragraph2"/>
    <w:basedOn w:val="1"/>
    <w:qFormat/>
    <w:uiPriority w:val="0"/>
    <w:pPr>
      <w:spacing w:line="360" w:lineRule="auto"/>
      <w:ind w:firstLine="420"/>
    </w:pPr>
    <w:rPr>
      <w:color w:val="000000"/>
      <w:sz w:val="24"/>
      <w:szCs w:val="21"/>
    </w:rPr>
  </w:style>
  <w:style w:type="paragraph" w:customStyle="1" w:styleId="117">
    <w:name w:val="正文文字 8"/>
    <w:basedOn w:val="1"/>
    <w:next w:val="1"/>
    <w:qFormat/>
    <w:uiPriority w:val="0"/>
    <w:pPr>
      <w:ind w:left="240"/>
    </w:pPr>
    <w:rPr>
      <w:sz w:val="16"/>
    </w:rPr>
  </w:style>
  <w:style w:type="paragraph" w:customStyle="1" w:styleId="118">
    <w:name w:val="样式1"/>
    <w:basedOn w:val="1"/>
    <w:qFormat/>
    <w:uiPriority w:val="0"/>
    <w:pPr>
      <w:spacing w:line="360" w:lineRule="auto"/>
      <w:jc w:val="center"/>
    </w:pPr>
    <w:rPr>
      <w:b/>
      <w:sz w:val="30"/>
      <w:szCs w:val="30"/>
    </w:rPr>
  </w:style>
  <w:style w:type="paragraph" w:customStyle="1" w:styleId="119">
    <w:name w:val="列表2"/>
    <w:basedOn w:val="1"/>
    <w:next w:val="1"/>
    <w:qFormat/>
    <w:uiPriority w:val="0"/>
    <w:pPr>
      <w:numPr>
        <w:ilvl w:val="0"/>
        <w:numId w:val="7"/>
      </w:numPr>
      <w:spacing w:line="200" w:lineRule="atLeast"/>
    </w:pPr>
    <w:rPr>
      <w:rFonts w:eastAsia="仿宋"/>
      <w:sz w:val="28"/>
    </w:rPr>
  </w:style>
  <w:style w:type="paragraph" w:customStyle="1" w:styleId="120">
    <w:name w:val="标题3-副本"/>
    <w:basedOn w:val="25"/>
    <w:qFormat/>
    <w:uiPriority w:val="0"/>
    <w:pPr>
      <w:numPr>
        <w:ilvl w:val="0"/>
        <w:numId w:val="0"/>
      </w:numPr>
      <w:ind w:left="840"/>
    </w:pPr>
    <w:rPr>
      <w:rFonts w:ascii="Times New Roman" w:hAnsi="Times New Roman"/>
    </w:rPr>
  </w:style>
  <w:style w:type="paragraph" w:customStyle="1" w:styleId="121">
    <w:name w:val="_Style 117"/>
    <w:basedOn w:val="1"/>
    <w:next w:val="1"/>
    <w:qFormat/>
    <w:uiPriority w:val="0"/>
    <w:pPr>
      <w:pBdr>
        <w:bottom w:val="single" w:color="auto" w:sz="6" w:space="1"/>
      </w:pBdr>
      <w:jc w:val="center"/>
    </w:pPr>
    <w:rPr>
      <w:rFonts w:ascii="Arial"/>
      <w:vanish/>
      <w:sz w:val="16"/>
    </w:rPr>
  </w:style>
  <w:style w:type="paragraph" w:customStyle="1" w:styleId="122">
    <w:name w:val="_Style 118"/>
    <w:basedOn w:val="1"/>
    <w:next w:val="1"/>
    <w:qFormat/>
    <w:uiPriority w:val="0"/>
    <w:pPr>
      <w:pBdr>
        <w:top w:val="single" w:color="auto" w:sz="6" w:space="1"/>
      </w:pBdr>
      <w:jc w:val="center"/>
    </w:pPr>
    <w:rPr>
      <w:rFonts w:ascii="Arial"/>
      <w:vanish/>
      <w:sz w:val="16"/>
    </w:rPr>
  </w:style>
  <w:style w:type="paragraph" w:customStyle="1" w:styleId="123">
    <w:name w:val="无间隔1"/>
    <w:basedOn w:val="1"/>
    <w:qFormat/>
    <w:uiPriority w:val="0"/>
    <w:pPr>
      <w:widowControl/>
      <w:adjustRightInd w:val="0"/>
      <w:snapToGrid w:val="0"/>
      <w:jc w:val="left"/>
    </w:pPr>
    <w:rPr>
      <w:rFonts w:ascii="Tahoma" w:hAnsi="Tahoma" w:eastAsia="微软雅黑"/>
      <w:kern w:val="0"/>
      <w:sz w:val="24"/>
      <w:szCs w:val="22"/>
    </w:rPr>
  </w:style>
  <w:style w:type="paragraph" w:customStyle="1" w:styleId="124">
    <w:name w:val="text-tag1"/>
    <w:basedOn w:val="1"/>
    <w:qFormat/>
    <w:uiPriority w:val="0"/>
    <w:pPr>
      <w:widowControl/>
      <w:spacing w:before="100" w:beforeAutospacing="1" w:after="100" w:afterAutospacing="1"/>
      <w:jc w:val="left"/>
    </w:pPr>
    <w:rPr>
      <w:rFonts w:ascii="宋体" w:hAnsi="宋体" w:cs="宋体"/>
      <w:kern w:val="0"/>
      <w:sz w:val="24"/>
    </w:rPr>
  </w:style>
  <w:style w:type="character" w:customStyle="1" w:styleId="125">
    <w:name w:val="font11"/>
    <w:qFormat/>
    <w:uiPriority w:val="0"/>
    <w:rPr>
      <w:rFonts w:hint="eastAsia" w:ascii="宋体" w:hAnsi="宋体" w:eastAsia="宋体" w:cs="宋体"/>
      <w:color w:val="000000"/>
      <w:sz w:val="16"/>
      <w:szCs w:val="16"/>
      <w:u w:val="none"/>
    </w:rPr>
  </w:style>
  <w:style w:type="character" w:customStyle="1" w:styleId="126">
    <w:name w:val="font31"/>
    <w:basedOn w:val="37"/>
    <w:qFormat/>
    <w:uiPriority w:val="0"/>
    <w:rPr>
      <w:rFonts w:ascii="宋体" w:hAnsi="宋体" w:eastAsia="宋体" w:cs="宋体"/>
      <w:color w:val="000000"/>
      <w:sz w:val="16"/>
      <w:szCs w:val="16"/>
      <w:u w:val="none"/>
    </w:rPr>
  </w:style>
  <w:style w:type="character" w:customStyle="1" w:styleId="127">
    <w:name w:val="font41"/>
    <w:basedOn w:val="37"/>
    <w:qFormat/>
    <w:uiPriority w:val="0"/>
    <w:rPr>
      <w:rFonts w:hint="eastAsia" w:ascii="宋体" w:hAnsi="宋体" w:eastAsia="宋体" w:cs="宋体"/>
      <w:color w:val="000000"/>
      <w:sz w:val="21"/>
      <w:szCs w:val="21"/>
      <w:u w:val="none"/>
    </w:rPr>
  </w:style>
  <w:style w:type="character" w:customStyle="1" w:styleId="128">
    <w:name w:val="hover"/>
    <w:basedOn w:val="37"/>
    <w:qFormat/>
    <w:uiPriority w:val="0"/>
  </w:style>
  <w:style w:type="character" w:customStyle="1" w:styleId="129">
    <w:name w:val="hover1"/>
    <w:basedOn w:val="37"/>
    <w:qFormat/>
    <w:uiPriority w:val="0"/>
    <w:rPr>
      <w:color w:val="2590EB"/>
    </w:rPr>
  </w:style>
  <w:style w:type="character" w:customStyle="1" w:styleId="130">
    <w:name w:val="hover2"/>
    <w:basedOn w:val="37"/>
    <w:qFormat/>
    <w:uiPriority w:val="0"/>
    <w:rPr>
      <w:color w:val="2590EB"/>
    </w:rPr>
  </w:style>
  <w:style w:type="character" w:customStyle="1" w:styleId="131">
    <w:name w:val="hover3"/>
    <w:basedOn w:val="37"/>
    <w:qFormat/>
    <w:uiPriority w:val="0"/>
    <w:rPr>
      <w:color w:val="2590EB"/>
      <w:shd w:val="clear" w:color="auto" w:fill="E9F4FD"/>
    </w:rPr>
  </w:style>
  <w:style w:type="table" w:customStyle="1" w:styleId="132">
    <w:name w:val="Table Normal"/>
    <w:semiHidden/>
    <w:unhideWhenUsed/>
    <w:qFormat/>
    <w:uiPriority w:val="0"/>
    <w:tblPr>
      <w:tblCellMar>
        <w:top w:w="0" w:type="dxa"/>
        <w:left w:w="0" w:type="dxa"/>
        <w:bottom w:w="0" w:type="dxa"/>
        <w:right w:w="0" w:type="dxa"/>
      </w:tblCellMar>
    </w:tblPr>
  </w:style>
  <w:style w:type="paragraph" w:customStyle="1" w:styleId="133">
    <w:name w:val="Table Text"/>
    <w:basedOn w:val="1"/>
    <w:semiHidden/>
    <w:qFormat/>
    <w:uiPriority w:val="0"/>
    <w:rPr>
      <w:rFonts w:ascii="宋体" w:hAnsi="宋体" w:eastAsia="宋体" w:cs="宋体"/>
      <w:sz w:val="20"/>
      <w:szCs w:val="20"/>
      <w:lang w:val="en-US" w:eastAsia="en-US" w:bidi="ar-SA"/>
    </w:rPr>
  </w:style>
  <w:style w:type="character" w:customStyle="1" w:styleId="134">
    <w:name w:val="fontstyle01"/>
    <w:basedOn w:val="37"/>
    <w:qFormat/>
    <w:uiPriority w:val="0"/>
    <w:rPr>
      <w:rFonts w:ascii="宋体" w:hAnsi="宋体" w:eastAsia="宋体" w:cs="宋体"/>
      <w:color w:val="000000"/>
      <w:sz w:val="32"/>
      <w:szCs w:val="32"/>
    </w:rPr>
  </w:style>
  <w:style w:type="character" w:customStyle="1" w:styleId="135">
    <w:name w:val="fontstyle21"/>
    <w:basedOn w:val="37"/>
    <w:qFormat/>
    <w:uiPriority w:val="0"/>
    <w:rPr>
      <w:rFonts w:ascii="TimesNewRomanPSMT" w:hAnsi="TimesNewRomanPSMT" w:eastAsia="TimesNewRomanPSMT" w:cs="TimesNewRomanPSMT"/>
      <w:color w:val="000000"/>
      <w:sz w:val="18"/>
      <w:szCs w:val="18"/>
    </w:rPr>
  </w:style>
  <w:style w:type="character" w:customStyle="1" w:styleId="136">
    <w:name w:val="font01"/>
    <w:basedOn w:val="37"/>
    <w:qFormat/>
    <w:uiPriority w:val="0"/>
    <w:rPr>
      <w:rFonts w:hint="eastAsia" w:ascii="宋体" w:hAnsi="宋体" w:eastAsia="宋体" w:cs="宋体"/>
      <w:color w:val="FF0000"/>
      <w:sz w:val="20"/>
      <w:szCs w:val="20"/>
      <w:u w:val="none"/>
    </w:rPr>
  </w:style>
  <w:style w:type="paragraph" w:customStyle="1" w:styleId="137">
    <w:name w:val="Char Char Char Char Char Char Char"/>
    <w:basedOn w:val="1"/>
    <w:qFormat/>
    <w:uiPriority w:val="0"/>
    <w:pPr>
      <w:tabs>
        <w:tab w:val="left" w:pos="432"/>
      </w:tabs>
      <w:ind w:left="432" w:hanging="432"/>
    </w:pPr>
    <w:rPr>
      <w:rFonts w:ascii="Tahoma" w:hAnsi="Tahoma"/>
      <w:sz w:val="24"/>
      <w:szCs w:val="20"/>
    </w:rPr>
  </w:style>
  <w:style w:type="character" w:customStyle="1" w:styleId="138">
    <w:name w:val="hover4"/>
    <w:basedOn w:val="37"/>
    <w:qFormat/>
    <w:uiPriority w:val="0"/>
    <w:rPr>
      <w:color w:val="2590EB"/>
      <w:shd w:val="clear" w:fill="E9F4FD"/>
    </w:rPr>
  </w:style>
  <w:style w:type="character" w:customStyle="1" w:styleId="139">
    <w:name w:val="mini-outputtext1"/>
    <w:basedOn w:val="37"/>
    <w:qFormat/>
    <w:uiPriority w:val="0"/>
  </w:style>
  <w:style w:type="character" w:customStyle="1" w:styleId="140">
    <w:name w:val="layui-layer-tabnow"/>
    <w:basedOn w:val="37"/>
    <w:qFormat/>
    <w:uiPriority w:val="0"/>
    <w:rPr>
      <w:bdr w:val="single" w:color="CCCCCC" w:sz="6" w:space="0"/>
      <w:shd w:val="clear" w:fill="FFFFFF"/>
    </w:rPr>
  </w:style>
  <w:style w:type="paragraph" w:customStyle="1" w:styleId="141">
    <w:name w:val="xl31"/>
    <w:basedOn w:val="1"/>
    <w:qFormat/>
    <w:uiPriority w:val="0"/>
    <w:pPr>
      <w:keepNext w:val="0"/>
      <w:keepLines w:val="0"/>
      <w:widowControl/>
      <w:suppressLineNumbers w:val="0"/>
      <w:spacing w:before="0" w:beforeAutospacing="1" w:after="0" w:afterAutospacing="1"/>
      <w:ind w:left="0" w:right="0"/>
      <w:jc w:val="center"/>
    </w:pPr>
    <w:rPr>
      <w:rFonts w:hint="eastAsia" w:ascii="@仿宋_GB2312" w:hAnsi="@仿宋_GB2312" w:eastAsia="@仿宋_GB2312" w:cs="@仿宋_GB2312"/>
      <w:b/>
      <w:bCs/>
      <w:kern w:val="0"/>
      <w:sz w:val="28"/>
      <w:szCs w:val="28"/>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70</Pages>
  <Words>3130</Words>
  <Characters>3976</Characters>
  <Lines>1</Lines>
  <Paragraphs>1</Paragraphs>
  <TotalTime>3</TotalTime>
  <ScaleCrop>false</ScaleCrop>
  <LinksUpToDate>false</LinksUpToDate>
  <CharactersWithSpaces>4047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2025-08-21T01:45:00Z</dcterms:created>
  <dc:creator>陈倩倩</dc:creator>
  <cp:lastModifiedBy>代理</cp:lastModifiedBy>
  <cp:lastPrinted>2025-11-26T07:45:00Z</cp:lastPrinted>
  <dcterms:modified xsi:type="dcterms:W3CDTF">2026-08-17T05:49:37Z</dcterms:modified>
  <dc:title>滁州市人力资源和社会保障信息中心信息网络设备采购及安装项目</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42D85668383046A4B60BCC1C3C5527D3_13</vt:lpwstr>
  </property>
  <property fmtid="{D5CDD505-2E9C-101B-9397-08002B2CF9AE}" pid="4" name="KSOTemplateDocerSaveRecord">
    <vt:lpwstr>eyJoZGlkIjoiOTc5MDNjMmIyODczM2YwMGZkZTNjYWY1NjIxZTY5YjciLCJ1c2VySWQiOiI1MDM3MjkwOTMifQ==</vt:lpwstr>
  </property>
</Properties>
</file>