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21708A5">
      <w:pPr>
        <w:jc w:val="center"/>
        <w:rPr>
          <w:rFonts w:hint="eastAsia" w:ascii="宋体" w:hAnsi="宋体" w:cs="宋体"/>
          <w:b/>
          <w:color w:val="auto"/>
          <w:kern w:val="0"/>
          <w:sz w:val="44"/>
          <w:szCs w:val="44"/>
          <w:highlight w:val="none"/>
        </w:rPr>
      </w:pPr>
      <w:bookmarkStart w:id="0" w:name="_Toc296602400"/>
      <w:bookmarkStart w:id="1" w:name="_Toc15058843"/>
      <w:bookmarkStart w:id="2" w:name="_Toc324404811"/>
      <w:bookmarkStart w:id="3" w:name="_Toc247085669"/>
      <w:bookmarkStart w:id="4" w:name="_Toc246996898"/>
      <w:bookmarkStart w:id="5" w:name="_Toc506107265"/>
      <w:bookmarkStart w:id="6" w:name="_Toc461631222"/>
      <w:bookmarkStart w:id="7" w:name="OLE_LINK4"/>
      <w:bookmarkStart w:id="8" w:name="OLE_LINK5"/>
      <w:bookmarkStart w:id="9" w:name="OLE_LINK3"/>
      <w:bookmarkStart w:id="10" w:name="OLE_LINK1"/>
      <w:bookmarkStart w:id="11" w:name="OLE_LINK2"/>
    </w:p>
    <w:p w14:paraId="36F6B1AF">
      <w:pPr>
        <w:pStyle w:val="45"/>
        <w:ind w:firstLine="420"/>
        <w:rPr>
          <w:color w:val="auto"/>
          <w:highlight w:val="none"/>
        </w:rPr>
      </w:pPr>
    </w:p>
    <w:p w14:paraId="74F39D6F">
      <w:pPr>
        <w:pStyle w:val="45"/>
        <w:spacing w:beforeLines="50" w:afterLines="50" w:line="600" w:lineRule="auto"/>
        <w:ind w:left="0" w:leftChars="0" w:firstLine="0" w:firstLineChars="0"/>
        <w:jc w:val="center"/>
        <w:rPr>
          <w:rFonts w:ascii="宋体" w:hAnsi="宋体"/>
          <w:b/>
          <w:bCs/>
          <w:color w:val="auto"/>
          <w:sz w:val="96"/>
          <w:szCs w:val="96"/>
          <w:highlight w:val="none"/>
        </w:rPr>
      </w:pPr>
      <w:r>
        <w:rPr>
          <w:rFonts w:hint="eastAsia" w:hAnsi="宋体" w:cs="宋体"/>
          <w:b/>
          <w:color w:val="auto"/>
          <w:kern w:val="0"/>
          <w:sz w:val="44"/>
          <w:szCs w:val="44"/>
          <w:highlight w:val="none"/>
          <w:lang w:eastAsia="zh-CN"/>
        </w:rPr>
        <w:t>城北工业园公交首末站630kVA箱变（含北湖维修）维修项目</w:t>
      </w:r>
    </w:p>
    <w:p w14:paraId="01F285EA">
      <w:pPr>
        <w:jc w:val="center"/>
        <w:rPr>
          <w:rFonts w:ascii="宋体" w:hAnsi="宋体"/>
          <w:b/>
          <w:bCs/>
          <w:color w:val="auto"/>
          <w:sz w:val="96"/>
          <w:szCs w:val="96"/>
          <w:highlight w:val="none"/>
        </w:rPr>
      </w:pPr>
    </w:p>
    <w:p w14:paraId="405B2296">
      <w:pPr>
        <w:jc w:val="center"/>
        <w:rPr>
          <w:rFonts w:ascii="宋体" w:hAnsi="宋体"/>
          <w:b/>
          <w:bCs/>
          <w:color w:val="auto"/>
          <w:sz w:val="96"/>
          <w:szCs w:val="96"/>
          <w:highlight w:val="none"/>
        </w:rPr>
      </w:pPr>
    </w:p>
    <w:p w14:paraId="1D9D3387">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bCs/>
          <w:color w:val="auto"/>
          <w:sz w:val="28"/>
          <w:szCs w:val="28"/>
          <w:highlight w:val="none"/>
          <w:lang w:val="en-US"/>
        </w:rPr>
      </w:pPr>
      <w:r>
        <w:rPr>
          <w:rFonts w:hint="eastAsia" w:ascii="宋体" w:hAnsi="宋体" w:eastAsia="宋体" w:cs="宋体"/>
          <w:b/>
          <w:bCs w:val="0"/>
          <w:color w:val="auto"/>
          <w:kern w:val="0"/>
          <w:sz w:val="84"/>
          <w:szCs w:val="84"/>
          <w:highlight w:val="none"/>
          <w:u w:color="000000"/>
          <w:lang w:val="en-US" w:eastAsia="zh-CN" w:bidi="ar"/>
        </w:rPr>
        <w:t>招 标 文 件</w:t>
      </w:r>
    </w:p>
    <w:p w14:paraId="17D5DBA7">
      <w:pPr>
        <w:keepNext w:val="0"/>
        <w:keepLines w:val="0"/>
        <w:widowControl/>
        <w:suppressLineNumbers w:val="0"/>
        <w:spacing w:before="0" w:beforeAutospacing="0" w:after="0" w:afterAutospacing="0" w:line="357" w:lineRule="atLeast"/>
        <w:ind w:right="0"/>
        <w:jc w:val="center"/>
        <w:rPr>
          <w:rFonts w:hint="eastAsia" w:ascii="宋体" w:hAnsi="宋体" w:eastAsia="宋体" w:cs="宋体"/>
          <w:color w:val="auto"/>
          <w:highlight w:val="none"/>
          <w:lang w:val="en-US"/>
        </w:rPr>
      </w:pPr>
      <w:r>
        <w:rPr>
          <w:rFonts w:hint="eastAsia" w:ascii="宋体" w:hAnsi="宋体"/>
          <w:color w:val="auto"/>
          <w:sz w:val="40"/>
          <w:szCs w:val="36"/>
          <w:highlight w:val="none"/>
        </w:rPr>
        <w:t>（电子招标投标）</w:t>
      </w:r>
    </w:p>
    <w:p w14:paraId="27AB9565">
      <w:pPr>
        <w:pStyle w:val="33"/>
        <w:widowControl/>
        <w:jc w:val="center"/>
        <w:rPr>
          <w:rFonts w:hint="eastAsia" w:ascii="宋体" w:hAnsi="宋体" w:eastAsia="宋体" w:cs="宋体"/>
          <w:color w:val="auto"/>
          <w:kern w:val="2"/>
          <w:sz w:val="28"/>
          <w:szCs w:val="28"/>
          <w:highlight w:val="none"/>
          <w:u w:val="none" w:color="auto"/>
          <w:lang w:val="en-US" w:eastAsia="zh-CN" w:bidi="ar-SA"/>
        </w:rPr>
      </w:pPr>
      <w:r>
        <w:rPr>
          <w:rFonts w:hint="eastAsia" w:ascii="宋体" w:hAnsi="宋体" w:eastAsia="宋体" w:cs="宋体"/>
          <w:color w:val="auto"/>
          <w:kern w:val="2"/>
          <w:sz w:val="28"/>
          <w:szCs w:val="28"/>
          <w:highlight w:val="none"/>
          <w:u w:val="none" w:color="auto"/>
          <w:lang w:val="en-US" w:eastAsia="zh-CN" w:bidi="ar-SA"/>
        </w:rPr>
        <w:t>项目编号：HXJY1110001058097001</w:t>
      </w:r>
    </w:p>
    <w:p w14:paraId="70549BE6">
      <w:pPr>
        <w:pStyle w:val="45"/>
        <w:ind w:firstLine="420"/>
        <w:rPr>
          <w:color w:val="auto"/>
          <w:highlight w:val="none"/>
        </w:rPr>
      </w:pPr>
    </w:p>
    <w:p w14:paraId="4908A5BB">
      <w:pPr>
        <w:rPr>
          <w:color w:val="auto"/>
          <w:highlight w:val="none"/>
        </w:rPr>
      </w:pPr>
    </w:p>
    <w:p w14:paraId="20BB434A">
      <w:pPr>
        <w:rPr>
          <w:color w:val="auto"/>
          <w:highlight w:val="none"/>
        </w:rPr>
      </w:pPr>
    </w:p>
    <w:p w14:paraId="56EED8B5">
      <w:pPr>
        <w:rPr>
          <w:color w:val="auto"/>
          <w:highlight w:val="none"/>
        </w:rPr>
      </w:pPr>
    </w:p>
    <w:p w14:paraId="5F5CB106">
      <w:pPr>
        <w:pStyle w:val="45"/>
        <w:ind w:firstLine="420"/>
        <w:rPr>
          <w:color w:val="auto"/>
          <w:highlight w:val="none"/>
        </w:rPr>
      </w:pPr>
    </w:p>
    <w:p w14:paraId="1ADB7D3E">
      <w:pPr>
        <w:rPr>
          <w:color w:val="auto"/>
          <w:highlight w:val="none"/>
        </w:rPr>
      </w:pPr>
    </w:p>
    <w:p w14:paraId="276CDD57">
      <w:pPr>
        <w:rPr>
          <w:color w:val="auto"/>
          <w:highlight w:val="none"/>
        </w:rPr>
      </w:pPr>
    </w:p>
    <w:p w14:paraId="05E5190A">
      <w:pPr>
        <w:pStyle w:val="45"/>
        <w:ind w:firstLine="420"/>
        <w:rPr>
          <w:color w:val="auto"/>
          <w:highlight w:val="none"/>
        </w:rPr>
      </w:pPr>
    </w:p>
    <w:p w14:paraId="7608CA6C">
      <w:pPr>
        <w:adjustRightInd w:val="0"/>
        <w:snapToGrid w:val="0"/>
        <w:ind w:firstLine="302" w:firstLineChars="94"/>
        <w:rPr>
          <w:rFonts w:hint="eastAsia" w:ascii="宋体" w:hAnsi="宋体"/>
          <w:b/>
          <w:color w:val="auto"/>
          <w:sz w:val="32"/>
          <w:highlight w:val="none"/>
          <w:u w:val="thick"/>
        </w:rPr>
      </w:pPr>
      <w:r>
        <w:rPr>
          <w:rFonts w:hint="eastAsia" w:ascii="宋体" w:hAnsi="宋体"/>
          <w:b/>
          <w:color w:val="auto"/>
          <w:sz w:val="32"/>
          <w:highlight w:val="none"/>
        </w:rPr>
        <w:t>招  标  人:</w:t>
      </w:r>
      <w:r>
        <w:rPr>
          <w:rFonts w:hint="eastAsia" w:ascii="宋体" w:hAnsi="宋体"/>
          <w:b/>
          <w:color w:val="auto"/>
          <w:sz w:val="32"/>
          <w:highlight w:val="none"/>
          <w:u w:val="thick"/>
        </w:rPr>
        <w:t xml:space="preserve">  </w:t>
      </w:r>
      <w:r>
        <w:rPr>
          <w:rFonts w:hint="eastAsia" w:ascii="宋体" w:hAnsi="宋体"/>
          <w:b/>
          <w:color w:val="auto"/>
          <w:sz w:val="32"/>
          <w:highlight w:val="none"/>
          <w:u w:val="thick"/>
          <w:lang w:val="en-US" w:eastAsia="zh-CN"/>
        </w:rPr>
        <w:t xml:space="preserve">    滁州市公共交通有限公司       </w:t>
      </w:r>
      <w:r>
        <w:rPr>
          <w:rFonts w:hint="eastAsia" w:ascii="宋体" w:hAnsi="宋体"/>
          <w:b/>
          <w:color w:val="auto"/>
          <w:sz w:val="32"/>
          <w:highlight w:val="none"/>
          <w:u w:val="thick"/>
        </w:rPr>
        <w:t xml:space="preserve"> </w:t>
      </w:r>
    </w:p>
    <w:p w14:paraId="0A6611B0">
      <w:pPr>
        <w:adjustRightInd w:val="0"/>
        <w:snapToGrid w:val="0"/>
        <w:ind w:firstLine="302" w:firstLineChars="94"/>
        <w:rPr>
          <w:rFonts w:hint="eastAsia" w:ascii="宋体" w:hAnsi="宋体"/>
          <w:b/>
          <w:color w:val="auto"/>
          <w:sz w:val="32"/>
          <w:highlight w:val="none"/>
          <w:u w:val="thick"/>
        </w:rPr>
      </w:pPr>
    </w:p>
    <w:p w14:paraId="3C40EE62">
      <w:pPr>
        <w:adjustRightInd w:val="0"/>
        <w:snapToGrid w:val="0"/>
        <w:ind w:firstLine="340" w:firstLineChars="94"/>
        <w:rPr>
          <w:rFonts w:hint="eastAsia" w:ascii="宋体" w:hAnsi="宋体"/>
          <w:color w:val="auto"/>
          <w:spacing w:val="20"/>
          <w:sz w:val="32"/>
          <w:highlight w:val="none"/>
          <w:u w:val="single"/>
        </w:rPr>
      </w:pPr>
      <w:r>
        <w:rPr>
          <w:rFonts w:hint="eastAsia" w:ascii="宋体" w:hAnsi="宋体"/>
          <w:b/>
          <w:color w:val="auto"/>
          <w:spacing w:val="20"/>
          <w:sz w:val="32"/>
          <w:highlight w:val="none"/>
        </w:rPr>
        <w:t>招标代理机构:</w:t>
      </w:r>
      <w:r>
        <w:rPr>
          <w:rFonts w:hint="eastAsia" w:ascii="宋体" w:hAnsi="宋体"/>
          <w:b/>
          <w:color w:val="auto"/>
          <w:spacing w:val="20"/>
          <w:sz w:val="32"/>
          <w:highlight w:val="none"/>
          <w:u w:val="thick"/>
        </w:rPr>
        <w:t xml:space="preserve"> </w:t>
      </w:r>
      <w:r>
        <w:rPr>
          <w:rFonts w:hint="eastAsia" w:ascii="宋体" w:hAnsi="宋体"/>
          <w:b/>
          <w:color w:val="auto"/>
          <w:sz w:val="32"/>
          <w:highlight w:val="none"/>
          <w:u w:val="thick"/>
        </w:rPr>
        <w:t xml:space="preserve">滁州市城投工程咨询管理有限公司 </w:t>
      </w:r>
    </w:p>
    <w:p w14:paraId="322607BD">
      <w:pPr>
        <w:adjustRightInd w:val="0"/>
        <w:snapToGrid w:val="0"/>
        <w:rPr>
          <w:rFonts w:hint="eastAsia" w:ascii="宋体" w:hAnsi="宋体"/>
          <w:color w:val="auto"/>
          <w:spacing w:val="20"/>
          <w:sz w:val="32"/>
          <w:highlight w:val="none"/>
          <w:u w:val="single"/>
        </w:rPr>
      </w:pPr>
    </w:p>
    <w:p w14:paraId="5C99CD48">
      <w:pPr>
        <w:adjustRightInd w:val="0"/>
        <w:snapToGrid w:val="0"/>
        <w:spacing w:line="460" w:lineRule="exact"/>
        <w:ind w:firstLine="354" w:firstLineChars="98"/>
        <w:rPr>
          <w:rFonts w:hint="eastAsia" w:ascii="宋体" w:hAnsi="宋体"/>
          <w:b/>
          <w:color w:val="auto"/>
          <w:spacing w:val="20"/>
          <w:sz w:val="32"/>
          <w:szCs w:val="32"/>
          <w:highlight w:val="none"/>
        </w:rPr>
      </w:pPr>
      <w:r>
        <w:rPr>
          <w:rFonts w:hint="eastAsia" w:ascii="宋体" w:hAnsi="宋体"/>
          <w:b/>
          <w:color w:val="auto"/>
          <w:spacing w:val="20"/>
          <w:sz w:val="32"/>
          <w:highlight w:val="none"/>
        </w:rPr>
        <w:t>发 布 日 期:</w:t>
      </w:r>
      <w:r>
        <w:rPr>
          <w:rFonts w:hint="eastAsia" w:ascii="宋体" w:hAnsi="宋体"/>
          <w:b/>
          <w:color w:val="auto"/>
          <w:sz w:val="32"/>
          <w:highlight w:val="none"/>
          <w:u w:val="thick"/>
        </w:rPr>
        <w:t xml:space="preserve">      </w:t>
      </w:r>
      <w:r>
        <w:rPr>
          <w:rFonts w:hint="eastAsia" w:ascii="宋体" w:hAnsi="宋体"/>
          <w:b/>
          <w:color w:val="auto"/>
          <w:sz w:val="32"/>
          <w:highlight w:val="none"/>
          <w:u w:val="thick"/>
          <w:lang w:eastAsia="zh-CN"/>
        </w:rPr>
        <w:t>2026年6月</w:t>
      </w:r>
      <w:r>
        <w:rPr>
          <w:rFonts w:hint="eastAsia" w:ascii="宋体" w:hAnsi="宋体"/>
          <w:b/>
          <w:color w:val="auto"/>
          <w:sz w:val="32"/>
          <w:highlight w:val="none"/>
          <w:u w:val="thick"/>
        </w:rPr>
        <w:t xml:space="preserve">     </w:t>
      </w:r>
      <w:r>
        <w:rPr>
          <w:rFonts w:hint="eastAsia" w:ascii="宋体" w:hAnsi="宋体"/>
          <w:b/>
          <w:color w:val="auto"/>
          <w:sz w:val="32"/>
          <w:highlight w:val="none"/>
          <w:u w:val="thick"/>
          <w:lang w:val="en-US" w:eastAsia="zh-CN"/>
        </w:rPr>
        <w:t xml:space="preserve">     </w:t>
      </w:r>
      <w:r>
        <w:rPr>
          <w:rFonts w:hint="eastAsia" w:ascii="宋体" w:hAnsi="宋体"/>
          <w:b/>
          <w:color w:val="auto"/>
          <w:sz w:val="32"/>
          <w:highlight w:val="none"/>
          <w:u w:val="thick"/>
        </w:rPr>
        <w:t xml:space="preserve">      </w:t>
      </w:r>
    </w:p>
    <w:p w14:paraId="1765903D">
      <w:pPr>
        <w:pStyle w:val="45"/>
        <w:widowControl/>
        <w:spacing w:before="0" w:beforeAutospacing="0" w:after="120" w:afterAutospacing="0"/>
        <w:ind w:leftChars="200" w:right="0"/>
        <w:rPr>
          <w:color w:val="auto"/>
          <w:highlight w:val="none"/>
          <w:lang w:val="en-US"/>
        </w:rPr>
      </w:pPr>
      <w:r>
        <w:rPr>
          <w:color w:val="auto"/>
          <w:highlight w:val="none"/>
          <w:lang w:val="en-US"/>
        </w:rPr>
        <w:t xml:space="preserve"> </w:t>
      </w:r>
    </w:p>
    <w:p w14:paraId="4865C03F">
      <w:pPr>
        <w:spacing w:line="700" w:lineRule="exact"/>
        <w:jc w:val="center"/>
        <w:rPr>
          <w:color w:val="auto"/>
          <w:sz w:val="44"/>
          <w:szCs w:val="44"/>
          <w:highlight w:val="none"/>
        </w:rPr>
      </w:pPr>
      <w:bookmarkStart w:id="974" w:name="_GoBack"/>
      <w:bookmarkEnd w:id="974"/>
    </w:p>
    <w:p w14:paraId="177D13CA">
      <w:pPr>
        <w:spacing w:line="700" w:lineRule="exact"/>
        <w:jc w:val="center"/>
        <w:rPr>
          <w:color w:val="auto"/>
          <w:sz w:val="44"/>
          <w:szCs w:val="44"/>
          <w:highlight w:val="none"/>
        </w:rPr>
      </w:pPr>
      <w:r>
        <w:rPr>
          <w:rFonts w:hint="eastAsia"/>
          <w:color w:val="auto"/>
          <w:sz w:val="44"/>
          <w:szCs w:val="44"/>
          <w:highlight w:val="none"/>
        </w:rPr>
        <w:t>目   录</w:t>
      </w:r>
      <w:bookmarkEnd w:id="0"/>
      <w:bookmarkEnd w:id="1"/>
      <w:bookmarkEnd w:id="2"/>
      <w:bookmarkEnd w:id="3"/>
      <w:bookmarkEnd w:id="4"/>
      <w:bookmarkEnd w:id="5"/>
      <w:bookmarkEnd w:id="6"/>
      <w:bookmarkStart w:id="12" w:name="_Toc152045511"/>
      <w:bookmarkStart w:id="13" w:name="_Toc144974479"/>
      <w:bookmarkStart w:id="14" w:name="_Toc179632527"/>
      <w:bookmarkStart w:id="15" w:name="_Toc152042287"/>
    </w:p>
    <w:p w14:paraId="7BB09DCF">
      <w:pPr>
        <w:pStyle w:val="31"/>
        <w:tabs>
          <w:tab w:val="right" w:leader="dot" w:pos="9072"/>
        </w:tabs>
        <w:rPr>
          <w:rFonts w:ascii="宋体" w:hAnsi="宋体" w:cs="宋体"/>
          <w:b w:val="0"/>
          <w:bCs w:val="0"/>
          <w:color w:val="auto"/>
          <w:sz w:val="28"/>
          <w:szCs w:val="28"/>
          <w:highlight w:val="none"/>
        </w:rPr>
      </w:pPr>
      <w:r>
        <w:rPr>
          <w:rFonts w:hint="eastAsia" w:ascii="宋体" w:hAnsi="宋体" w:cs="宋体"/>
          <w:b w:val="0"/>
          <w:bCs w:val="0"/>
          <w:caps w:val="0"/>
          <w:color w:val="auto"/>
          <w:sz w:val="28"/>
          <w:szCs w:val="28"/>
          <w:highlight w:val="none"/>
        </w:rPr>
        <w:fldChar w:fldCharType="begin"/>
      </w:r>
      <w:r>
        <w:rPr>
          <w:rFonts w:hint="eastAsia" w:ascii="宋体" w:hAnsi="宋体" w:cs="宋体"/>
          <w:b w:val="0"/>
          <w:bCs w:val="0"/>
          <w:caps w:val="0"/>
          <w:color w:val="auto"/>
          <w:sz w:val="28"/>
          <w:szCs w:val="28"/>
          <w:highlight w:val="none"/>
        </w:rPr>
        <w:instrText xml:space="preserve">TOC \o "1-1" \h \u </w:instrText>
      </w:r>
      <w:r>
        <w:rPr>
          <w:rFonts w:hint="eastAsia" w:ascii="宋体" w:hAnsi="宋体" w:cs="宋体"/>
          <w:b w:val="0"/>
          <w:bCs w:val="0"/>
          <w:caps w:val="0"/>
          <w:color w:val="auto"/>
          <w:sz w:val="28"/>
          <w:szCs w:val="28"/>
          <w:highlight w:val="none"/>
        </w:rPr>
        <w:fldChar w:fldCharType="separate"/>
      </w:r>
      <w:r>
        <w:rPr>
          <w:color w:val="auto"/>
          <w:highlight w:val="none"/>
        </w:rPr>
        <w:fldChar w:fldCharType="begin"/>
      </w:r>
      <w:r>
        <w:rPr>
          <w:color w:val="auto"/>
          <w:highlight w:val="none"/>
        </w:rPr>
        <w:instrText xml:space="preserve"> HYPERLINK \l "_Toc7325" </w:instrText>
      </w:r>
      <w:r>
        <w:rPr>
          <w:color w:val="auto"/>
          <w:highlight w:val="none"/>
        </w:rPr>
        <w:fldChar w:fldCharType="separate"/>
      </w:r>
      <w:r>
        <w:rPr>
          <w:rFonts w:hint="eastAsia" w:ascii="宋体" w:hAnsi="宋体" w:cs="宋体"/>
          <w:b w:val="0"/>
          <w:bCs w:val="0"/>
          <w:color w:val="auto"/>
          <w:sz w:val="28"/>
          <w:szCs w:val="28"/>
          <w:highlight w:val="none"/>
        </w:rPr>
        <w:t>招标公告信息</w:t>
      </w:r>
      <w:r>
        <w:rPr>
          <w:rFonts w:hint="eastAsia" w:ascii="宋体" w:hAnsi="宋体" w:cs="宋体"/>
          <w:b w:val="0"/>
          <w:bCs w:val="0"/>
          <w:color w:val="auto"/>
          <w:sz w:val="28"/>
          <w:szCs w:val="28"/>
          <w:highlight w:val="none"/>
        </w:rPr>
        <w:tab/>
      </w:r>
      <w:r>
        <w:rPr>
          <w:rFonts w:hint="eastAsia" w:ascii="宋体" w:hAnsi="宋体" w:cs="宋体"/>
          <w:b w:val="0"/>
          <w:bCs w:val="0"/>
          <w:color w:val="auto"/>
          <w:sz w:val="28"/>
          <w:szCs w:val="28"/>
          <w:highlight w:val="none"/>
        </w:rPr>
        <w:fldChar w:fldCharType="begin"/>
      </w:r>
      <w:r>
        <w:rPr>
          <w:rFonts w:hint="eastAsia" w:ascii="宋体" w:hAnsi="宋体" w:cs="宋体"/>
          <w:b w:val="0"/>
          <w:bCs w:val="0"/>
          <w:color w:val="auto"/>
          <w:sz w:val="28"/>
          <w:szCs w:val="28"/>
          <w:highlight w:val="none"/>
        </w:rPr>
        <w:instrText xml:space="preserve"> PAGEREF _Toc7325 \h </w:instrText>
      </w:r>
      <w:r>
        <w:rPr>
          <w:rFonts w:hint="eastAsia" w:ascii="宋体" w:hAnsi="宋体" w:cs="宋体"/>
          <w:b w:val="0"/>
          <w:bCs w:val="0"/>
          <w:color w:val="auto"/>
          <w:sz w:val="28"/>
          <w:szCs w:val="28"/>
          <w:highlight w:val="none"/>
        </w:rPr>
        <w:fldChar w:fldCharType="separate"/>
      </w:r>
      <w:r>
        <w:rPr>
          <w:rFonts w:hint="eastAsia" w:ascii="宋体" w:hAnsi="宋体" w:cs="宋体"/>
          <w:b w:val="0"/>
          <w:bCs w:val="0"/>
          <w:color w:val="auto"/>
          <w:sz w:val="28"/>
          <w:szCs w:val="28"/>
          <w:highlight w:val="none"/>
        </w:rPr>
        <w:t>1</w:t>
      </w:r>
      <w:r>
        <w:rPr>
          <w:rFonts w:hint="eastAsia" w:ascii="宋体" w:hAnsi="宋体" w:cs="宋体"/>
          <w:b w:val="0"/>
          <w:bCs w:val="0"/>
          <w:color w:val="auto"/>
          <w:sz w:val="28"/>
          <w:szCs w:val="28"/>
          <w:highlight w:val="none"/>
        </w:rPr>
        <w:fldChar w:fldCharType="end"/>
      </w:r>
      <w:r>
        <w:rPr>
          <w:rFonts w:hint="eastAsia" w:ascii="宋体" w:hAnsi="宋体" w:cs="宋体"/>
          <w:b w:val="0"/>
          <w:bCs w:val="0"/>
          <w:color w:val="auto"/>
          <w:sz w:val="28"/>
          <w:szCs w:val="28"/>
          <w:highlight w:val="none"/>
        </w:rPr>
        <w:fldChar w:fldCharType="end"/>
      </w:r>
    </w:p>
    <w:p w14:paraId="23170D96">
      <w:pPr>
        <w:pStyle w:val="31"/>
        <w:tabs>
          <w:tab w:val="right" w:leader="dot" w:pos="9072"/>
        </w:tabs>
        <w:rPr>
          <w:rFonts w:ascii="宋体" w:hAnsi="宋体" w:cs="宋体"/>
          <w:b w:val="0"/>
          <w:bCs w:val="0"/>
          <w:color w:val="auto"/>
          <w:sz w:val="28"/>
          <w:szCs w:val="28"/>
          <w:highlight w:val="none"/>
        </w:rPr>
      </w:pPr>
      <w:r>
        <w:rPr>
          <w:color w:val="auto"/>
          <w:highlight w:val="none"/>
        </w:rPr>
        <w:fldChar w:fldCharType="begin"/>
      </w:r>
      <w:r>
        <w:rPr>
          <w:color w:val="auto"/>
          <w:highlight w:val="none"/>
        </w:rPr>
        <w:instrText xml:space="preserve"> HYPERLINK \l "_Toc8980" </w:instrText>
      </w:r>
      <w:r>
        <w:rPr>
          <w:color w:val="auto"/>
          <w:highlight w:val="none"/>
        </w:rPr>
        <w:fldChar w:fldCharType="separate"/>
      </w:r>
      <w:r>
        <w:rPr>
          <w:rFonts w:hint="eastAsia" w:ascii="宋体" w:hAnsi="宋体" w:cs="宋体"/>
          <w:b w:val="0"/>
          <w:bCs w:val="0"/>
          <w:color w:val="auto"/>
          <w:sz w:val="28"/>
          <w:szCs w:val="28"/>
          <w:highlight w:val="none"/>
        </w:rPr>
        <w:t>第一章  投标人须知</w:t>
      </w:r>
      <w:r>
        <w:rPr>
          <w:rFonts w:hint="eastAsia" w:ascii="宋体" w:hAnsi="宋体" w:cs="宋体"/>
          <w:b w:val="0"/>
          <w:bCs w:val="0"/>
          <w:color w:val="auto"/>
          <w:sz w:val="28"/>
          <w:szCs w:val="28"/>
          <w:highlight w:val="none"/>
        </w:rPr>
        <w:tab/>
      </w:r>
      <w:r>
        <w:rPr>
          <w:rFonts w:hint="eastAsia" w:ascii="宋体" w:hAnsi="宋体" w:cs="宋体"/>
          <w:b w:val="0"/>
          <w:bCs w:val="0"/>
          <w:color w:val="auto"/>
          <w:sz w:val="28"/>
          <w:szCs w:val="28"/>
          <w:highlight w:val="none"/>
        </w:rPr>
        <w:fldChar w:fldCharType="begin"/>
      </w:r>
      <w:r>
        <w:rPr>
          <w:rFonts w:hint="eastAsia" w:ascii="宋体" w:hAnsi="宋体" w:cs="宋体"/>
          <w:b w:val="0"/>
          <w:bCs w:val="0"/>
          <w:color w:val="auto"/>
          <w:sz w:val="28"/>
          <w:szCs w:val="28"/>
          <w:highlight w:val="none"/>
        </w:rPr>
        <w:instrText xml:space="preserve"> PAGEREF _Toc8980 \h </w:instrText>
      </w:r>
      <w:r>
        <w:rPr>
          <w:rFonts w:hint="eastAsia" w:ascii="宋体" w:hAnsi="宋体" w:cs="宋体"/>
          <w:b w:val="0"/>
          <w:bCs w:val="0"/>
          <w:color w:val="auto"/>
          <w:sz w:val="28"/>
          <w:szCs w:val="28"/>
          <w:highlight w:val="none"/>
        </w:rPr>
        <w:fldChar w:fldCharType="separate"/>
      </w:r>
      <w:r>
        <w:rPr>
          <w:rFonts w:hint="eastAsia" w:ascii="宋体" w:hAnsi="宋体" w:cs="宋体"/>
          <w:b w:val="0"/>
          <w:bCs w:val="0"/>
          <w:color w:val="auto"/>
          <w:sz w:val="28"/>
          <w:szCs w:val="28"/>
          <w:highlight w:val="none"/>
        </w:rPr>
        <w:t>5</w:t>
      </w:r>
      <w:r>
        <w:rPr>
          <w:rFonts w:hint="eastAsia" w:ascii="宋体" w:hAnsi="宋体" w:cs="宋体"/>
          <w:b w:val="0"/>
          <w:bCs w:val="0"/>
          <w:color w:val="auto"/>
          <w:sz w:val="28"/>
          <w:szCs w:val="28"/>
          <w:highlight w:val="none"/>
        </w:rPr>
        <w:fldChar w:fldCharType="end"/>
      </w:r>
      <w:r>
        <w:rPr>
          <w:rFonts w:hint="eastAsia" w:ascii="宋体" w:hAnsi="宋体" w:cs="宋体"/>
          <w:b w:val="0"/>
          <w:bCs w:val="0"/>
          <w:color w:val="auto"/>
          <w:sz w:val="28"/>
          <w:szCs w:val="28"/>
          <w:highlight w:val="none"/>
        </w:rPr>
        <w:fldChar w:fldCharType="end"/>
      </w:r>
    </w:p>
    <w:p w14:paraId="7D1C53D0">
      <w:pPr>
        <w:pStyle w:val="31"/>
        <w:tabs>
          <w:tab w:val="right" w:leader="dot" w:pos="9072"/>
        </w:tabs>
        <w:rPr>
          <w:rFonts w:ascii="宋体" w:hAnsi="宋体" w:cs="宋体"/>
          <w:b w:val="0"/>
          <w:bCs w:val="0"/>
          <w:color w:val="auto"/>
          <w:sz w:val="28"/>
          <w:szCs w:val="28"/>
          <w:highlight w:val="none"/>
        </w:rPr>
      </w:pPr>
      <w:r>
        <w:rPr>
          <w:color w:val="auto"/>
          <w:highlight w:val="none"/>
        </w:rPr>
        <w:fldChar w:fldCharType="begin"/>
      </w:r>
      <w:r>
        <w:rPr>
          <w:color w:val="auto"/>
          <w:highlight w:val="none"/>
        </w:rPr>
        <w:instrText xml:space="preserve"> HYPERLINK \l "_Toc10676" </w:instrText>
      </w:r>
      <w:r>
        <w:rPr>
          <w:color w:val="auto"/>
          <w:highlight w:val="none"/>
        </w:rPr>
        <w:fldChar w:fldCharType="separate"/>
      </w:r>
      <w:r>
        <w:rPr>
          <w:rFonts w:hint="eastAsia" w:ascii="宋体" w:hAnsi="宋体" w:cs="宋体"/>
          <w:b w:val="0"/>
          <w:bCs w:val="0"/>
          <w:color w:val="auto"/>
          <w:sz w:val="28"/>
          <w:szCs w:val="28"/>
          <w:highlight w:val="none"/>
        </w:rPr>
        <w:t>第二章  资格审查办法</w:t>
      </w:r>
      <w:r>
        <w:rPr>
          <w:rFonts w:hint="eastAsia" w:ascii="宋体" w:hAnsi="宋体" w:cs="宋体"/>
          <w:b w:val="0"/>
          <w:bCs w:val="0"/>
          <w:color w:val="auto"/>
          <w:sz w:val="28"/>
          <w:szCs w:val="28"/>
          <w:highlight w:val="none"/>
        </w:rPr>
        <w:tab/>
      </w:r>
      <w:r>
        <w:rPr>
          <w:rFonts w:hint="eastAsia" w:ascii="宋体" w:hAnsi="宋体" w:cs="宋体"/>
          <w:b w:val="0"/>
          <w:bCs w:val="0"/>
          <w:color w:val="auto"/>
          <w:sz w:val="28"/>
          <w:szCs w:val="28"/>
          <w:highlight w:val="none"/>
        </w:rPr>
        <w:fldChar w:fldCharType="begin"/>
      </w:r>
      <w:r>
        <w:rPr>
          <w:rFonts w:hint="eastAsia" w:ascii="宋体" w:hAnsi="宋体" w:cs="宋体"/>
          <w:b w:val="0"/>
          <w:bCs w:val="0"/>
          <w:color w:val="auto"/>
          <w:sz w:val="28"/>
          <w:szCs w:val="28"/>
          <w:highlight w:val="none"/>
        </w:rPr>
        <w:instrText xml:space="preserve"> PAGEREF _Toc10676 \h </w:instrText>
      </w:r>
      <w:r>
        <w:rPr>
          <w:rFonts w:hint="eastAsia" w:ascii="宋体" w:hAnsi="宋体" w:cs="宋体"/>
          <w:b w:val="0"/>
          <w:bCs w:val="0"/>
          <w:color w:val="auto"/>
          <w:sz w:val="28"/>
          <w:szCs w:val="28"/>
          <w:highlight w:val="none"/>
        </w:rPr>
        <w:fldChar w:fldCharType="separate"/>
      </w:r>
      <w:r>
        <w:rPr>
          <w:rFonts w:hint="eastAsia" w:ascii="宋体" w:hAnsi="宋体" w:cs="宋体"/>
          <w:b w:val="0"/>
          <w:bCs w:val="0"/>
          <w:color w:val="auto"/>
          <w:sz w:val="28"/>
          <w:szCs w:val="28"/>
          <w:highlight w:val="none"/>
        </w:rPr>
        <w:t>18</w:t>
      </w:r>
      <w:r>
        <w:rPr>
          <w:rFonts w:hint="eastAsia" w:ascii="宋体" w:hAnsi="宋体" w:cs="宋体"/>
          <w:b w:val="0"/>
          <w:bCs w:val="0"/>
          <w:color w:val="auto"/>
          <w:sz w:val="28"/>
          <w:szCs w:val="28"/>
          <w:highlight w:val="none"/>
        </w:rPr>
        <w:fldChar w:fldCharType="end"/>
      </w:r>
      <w:r>
        <w:rPr>
          <w:rFonts w:hint="eastAsia" w:ascii="宋体" w:hAnsi="宋体" w:cs="宋体"/>
          <w:b w:val="0"/>
          <w:bCs w:val="0"/>
          <w:color w:val="auto"/>
          <w:sz w:val="28"/>
          <w:szCs w:val="28"/>
          <w:highlight w:val="none"/>
        </w:rPr>
        <w:fldChar w:fldCharType="end"/>
      </w:r>
    </w:p>
    <w:p w14:paraId="74895DCC">
      <w:pPr>
        <w:pStyle w:val="31"/>
        <w:tabs>
          <w:tab w:val="right" w:leader="dot" w:pos="9072"/>
        </w:tabs>
        <w:rPr>
          <w:rFonts w:ascii="宋体" w:hAnsi="宋体" w:cs="宋体"/>
          <w:b w:val="0"/>
          <w:bCs w:val="0"/>
          <w:color w:val="auto"/>
          <w:sz w:val="28"/>
          <w:szCs w:val="28"/>
          <w:highlight w:val="none"/>
        </w:rPr>
      </w:pPr>
      <w:r>
        <w:rPr>
          <w:color w:val="auto"/>
          <w:highlight w:val="none"/>
        </w:rPr>
        <w:fldChar w:fldCharType="begin"/>
      </w:r>
      <w:r>
        <w:rPr>
          <w:color w:val="auto"/>
          <w:highlight w:val="none"/>
        </w:rPr>
        <w:instrText xml:space="preserve"> HYPERLINK \l "_Toc30518" </w:instrText>
      </w:r>
      <w:r>
        <w:rPr>
          <w:color w:val="auto"/>
          <w:highlight w:val="none"/>
        </w:rPr>
        <w:fldChar w:fldCharType="separate"/>
      </w:r>
      <w:r>
        <w:rPr>
          <w:rFonts w:hint="eastAsia" w:ascii="宋体" w:hAnsi="宋体" w:cs="宋体"/>
          <w:b w:val="0"/>
          <w:bCs w:val="0"/>
          <w:color w:val="auto"/>
          <w:kern w:val="0"/>
          <w:sz w:val="28"/>
          <w:szCs w:val="28"/>
          <w:highlight w:val="none"/>
        </w:rPr>
        <w:t>第三章  评标办法</w:t>
      </w:r>
      <w:r>
        <w:rPr>
          <w:rFonts w:hint="eastAsia" w:ascii="宋体" w:hAnsi="宋体" w:cs="宋体"/>
          <w:b w:val="0"/>
          <w:bCs w:val="0"/>
          <w:color w:val="auto"/>
          <w:sz w:val="28"/>
          <w:szCs w:val="28"/>
          <w:highlight w:val="none"/>
        </w:rPr>
        <w:tab/>
      </w:r>
      <w:r>
        <w:rPr>
          <w:rFonts w:hint="eastAsia" w:ascii="宋体" w:hAnsi="宋体" w:cs="宋体"/>
          <w:b w:val="0"/>
          <w:bCs w:val="0"/>
          <w:color w:val="auto"/>
          <w:sz w:val="28"/>
          <w:szCs w:val="28"/>
          <w:highlight w:val="none"/>
        </w:rPr>
        <w:fldChar w:fldCharType="begin"/>
      </w:r>
      <w:r>
        <w:rPr>
          <w:rFonts w:hint="eastAsia" w:ascii="宋体" w:hAnsi="宋体" w:cs="宋体"/>
          <w:b w:val="0"/>
          <w:bCs w:val="0"/>
          <w:color w:val="auto"/>
          <w:sz w:val="28"/>
          <w:szCs w:val="28"/>
          <w:highlight w:val="none"/>
        </w:rPr>
        <w:instrText xml:space="preserve"> PAGEREF _Toc30518 \h </w:instrText>
      </w:r>
      <w:r>
        <w:rPr>
          <w:rFonts w:hint="eastAsia" w:ascii="宋体" w:hAnsi="宋体" w:cs="宋体"/>
          <w:b w:val="0"/>
          <w:bCs w:val="0"/>
          <w:color w:val="auto"/>
          <w:sz w:val="28"/>
          <w:szCs w:val="28"/>
          <w:highlight w:val="none"/>
        </w:rPr>
        <w:fldChar w:fldCharType="separate"/>
      </w:r>
      <w:r>
        <w:rPr>
          <w:rFonts w:hint="eastAsia" w:ascii="宋体" w:hAnsi="宋体" w:cs="宋体"/>
          <w:b w:val="0"/>
          <w:bCs w:val="0"/>
          <w:color w:val="auto"/>
          <w:sz w:val="28"/>
          <w:szCs w:val="28"/>
          <w:highlight w:val="none"/>
        </w:rPr>
        <w:t>20</w:t>
      </w:r>
      <w:r>
        <w:rPr>
          <w:rFonts w:hint="eastAsia" w:ascii="宋体" w:hAnsi="宋体" w:cs="宋体"/>
          <w:b w:val="0"/>
          <w:bCs w:val="0"/>
          <w:color w:val="auto"/>
          <w:sz w:val="28"/>
          <w:szCs w:val="28"/>
          <w:highlight w:val="none"/>
        </w:rPr>
        <w:fldChar w:fldCharType="end"/>
      </w:r>
      <w:r>
        <w:rPr>
          <w:rFonts w:hint="eastAsia" w:ascii="宋体" w:hAnsi="宋体" w:cs="宋体"/>
          <w:b w:val="0"/>
          <w:bCs w:val="0"/>
          <w:color w:val="auto"/>
          <w:sz w:val="28"/>
          <w:szCs w:val="28"/>
          <w:highlight w:val="none"/>
        </w:rPr>
        <w:fldChar w:fldCharType="end"/>
      </w:r>
    </w:p>
    <w:p w14:paraId="12B3E180">
      <w:pPr>
        <w:pStyle w:val="31"/>
        <w:tabs>
          <w:tab w:val="right" w:leader="dot" w:pos="9072"/>
        </w:tabs>
        <w:rPr>
          <w:rFonts w:ascii="宋体" w:hAnsi="宋体" w:cs="宋体"/>
          <w:b w:val="0"/>
          <w:bCs w:val="0"/>
          <w:color w:val="auto"/>
          <w:sz w:val="28"/>
          <w:szCs w:val="28"/>
          <w:highlight w:val="none"/>
        </w:rPr>
      </w:pPr>
      <w:r>
        <w:rPr>
          <w:color w:val="auto"/>
          <w:highlight w:val="none"/>
        </w:rPr>
        <w:fldChar w:fldCharType="begin"/>
      </w:r>
      <w:r>
        <w:rPr>
          <w:color w:val="auto"/>
          <w:highlight w:val="none"/>
        </w:rPr>
        <w:instrText xml:space="preserve"> HYPERLINK \l "_Toc7231" </w:instrText>
      </w:r>
      <w:r>
        <w:rPr>
          <w:color w:val="auto"/>
          <w:highlight w:val="none"/>
        </w:rPr>
        <w:fldChar w:fldCharType="separate"/>
      </w:r>
      <w:r>
        <w:rPr>
          <w:rFonts w:hint="eastAsia" w:ascii="宋体" w:hAnsi="宋体" w:cs="宋体"/>
          <w:b w:val="0"/>
          <w:bCs w:val="0"/>
          <w:color w:val="auto"/>
          <w:kern w:val="0"/>
          <w:sz w:val="28"/>
          <w:szCs w:val="28"/>
          <w:highlight w:val="none"/>
        </w:rPr>
        <w:t>第四章  合同条款及格式</w:t>
      </w:r>
      <w:r>
        <w:rPr>
          <w:rFonts w:hint="eastAsia" w:ascii="宋体" w:hAnsi="宋体" w:cs="宋体"/>
          <w:b w:val="0"/>
          <w:bCs w:val="0"/>
          <w:color w:val="auto"/>
          <w:sz w:val="28"/>
          <w:szCs w:val="28"/>
          <w:highlight w:val="none"/>
        </w:rPr>
        <w:tab/>
      </w:r>
      <w:r>
        <w:rPr>
          <w:rFonts w:hint="eastAsia" w:ascii="宋体" w:hAnsi="宋体" w:cs="宋体"/>
          <w:b w:val="0"/>
          <w:bCs w:val="0"/>
          <w:color w:val="auto"/>
          <w:sz w:val="28"/>
          <w:szCs w:val="28"/>
          <w:highlight w:val="none"/>
        </w:rPr>
        <w:fldChar w:fldCharType="begin"/>
      </w:r>
      <w:r>
        <w:rPr>
          <w:rFonts w:hint="eastAsia" w:ascii="宋体" w:hAnsi="宋体" w:cs="宋体"/>
          <w:b w:val="0"/>
          <w:bCs w:val="0"/>
          <w:color w:val="auto"/>
          <w:sz w:val="28"/>
          <w:szCs w:val="28"/>
          <w:highlight w:val="none"/>
        </w:rPr>
        <w:instrText xml:space="preserve"> PAGEREF _Toc7231 \h </w:instrText>
      </w:r>
      <w:r>
        <w:rPr>
          <w:rFonts w:hint="eastAsia" w:ascii="宋体" w:hAnsi="宋体" w:cs="宋体"/>
          <w:b w:val="0"/>
          <w:bCs w:val="0"/>
          <w:color w:val="auto"/>
          <w:sz w:val="28"/>
          <w:szCs w:val="28"/>
          <w:highlight w:val="none"/>
        </w:rPr>
        <w:fldChar w:fldCharType="separate"/>
      </w:r>
      <w:r>
        <w:rPr>
          <w:rFonts w:hint="eastAsia" w:ascii="宋体" w:hAnsi="宋体" w:cs="宋体"/>
          <w:b w:val="0"/>
          <w:bCs w:val="0"/>
          <w:color w:val="auto"/>
          <w:sz w:val="28"/>
          <w:szCs w:val="28"/>
          <w:highlight w:val="none"/>
        </w:rPr>
        <w:t>26</w:t>
      </w:r>
      <w:r>
        <w:rPr>
          <w:rFonts w:hint="eastAsia" w:ascii="宋体" w:hAnsi="宋体" w:cs="宋体"/>
          <w:b w:val="0"/>
          <w:bCs w:val="0"/>
          <w:color w:val="auto"/>
          <w:sz w:val="28"/>
          <w:szCs w:val="28"/>
          <w:highlight w:val="none"/>
        </w:rPr>
        <w:fldChar w:fldCharType="end"/>
      </w:r>
      <w:r>
        <w:rPr>
          <w:rFonts w:hint="eastAsia" w:ascii="宋体" w:hAnsi="宋体" w:cs="宋体"/>
          <w:b w:val="0"/>
          <w:bCs w:val="0"/>
          <w:color w:val="auto"/>
          <w:sz w:val="28"/>
          <w:szCs w:val="28"/>
          <w:highlight w:val="none"/>
        </w:rPr>
        <w:fldChar w:fldCharType="end"/>
      </w:r>
    </w:p>
    <w:p w14:paraId="615DC9A5">
      <w:pPr>
        <w:pStyle w:val="31"/>
        <w:tabs>
          <w:tab w:val="right" w:leader="dot" w:pos="9072"/>
        </w:tabs>
        <w:rPr>
          <w:rFonts w:ascii="宋体" w:hAnsi="宋体" w:cs="宋体"/>
          <w:b w:val="0"/>
          <w:bCs w:val="0"/>
          <w:color w:val="auto"/>
          <w:sz w:val="28"/>
          <w:szCs w:val="28"/>
          <w:highlight w:val="none"/>
        </w:rPr>
      </w:pPr>
      <w:r>
        <w:rPr>
          <w:color w:val="auto"/>
          <w:highlight w:val="none"/>
        </w:rPr>
        <w:fldChar w:fldCharType="begin"/>
      </w:r>
      <w:r>
        <w:rPr>
          <w:color w:val="auto"/>
          <w:highlight w:val="none"/>
        </w:rPr>
        <w:instrText xml:space="preserve"> HYPERLINK \l "_Toc23990" </w:instrText>
      </w:r>
      <w:r>
        <w:rPr>
          <w:color w:val="auto"/>
          <w:highlight w:val="none"/>
        </w:rPr>
        <w:fldChar w:fldCharType="separate"/>
      </w:r>
      <w:r>
        <w:rPr>
          <w:rFonts w:hint="eastAsia" w:ascii="宋体" w:hAnsi="宋体" w:cs="宋体"/>
          <w:b w:val="0"/>
          <w:bCs w:val="0"/>
          <w:color w:val="auto"/>
          <w:kern w:val="0"/>
          <w:sz w:val="28"/>
          <w:szCs w:val="28"/>
          <w:highlight w:val="none"/>
        </w:rPr>
        <w:t>第五章</w:t>
      </w:r>
      <w:r>
        <w:rPr>
          <w:rFonts w:hint="eastAsia" w:ascii="宋体" w:hAnsi="宋体" w:cs="宋体"/>
          <w:b w:val="0"/>
          <w:bCs w:val="0"/>
          <w:color w:val="auto"/>
          <w:sz w:val="28"/>
          <w:szCs w:val="28"/>
          <w:highlight w:val="none"/>
        </w:rPr>
        <w:t xml:space="preserve">  工程量清单</w:t>
      </w:r>
      <w:r>
        <w:rPr>
          <w:rFonts w:hint="eastAsia" w:ascii="宋体" w:hAnsi="宋体" w:cs="宋体"/>
          <w:b w:val="0"/>
          <w:bCs w:val="0"/>
          <w:color w:val="auto"/>
          <w:sz w:val="28"/>
          <w:szCs w:val="28"/>
          <w:highlight w:val="none"/>
        </w:rPr>
        <w:tab/>
      </w:r>
      <w:r>
        <w:rPr>
          <w:rFonts w:hint="eastAsia" w:ascii="宋体" w:hAnsi="宋体" w:cs="宋体"/>
          <w:b w:val="0"/>
          <w:bCs w:val="0"/>
          <w:color w:val="auto"/>
          <w:sz w:val="28"/>
          <w:szCs w:val="28"/>
          <w:highlight w:val="none"/>
        </w:rPr>
        <w:fldChar w:fldCharType="begin"/>
      </w:r>
      <w:r>
        <w:rPr>
          <w:rFonts w:hint="eastAsia" w:ascii="宋体" w:hAnsi="宋体" w:cs="宋体"/>
          <w:b w:val="0"/>
          <w:bCs w:val="0"/>
          <w:color w:val="auto"/>
          <w:sz w:val="28"/>
          <w:szCs w:val="28"/>
          <w:highlight w:val="none"/>
        </w:rPr>
        <w:instrText xml:space="preserve"> PAGEREF _Toc23990 \h </w:instrText>
      </w:r>
      <w:r>
        <w:rPr>
          <w:rFonts w:hint="eastAsia" w:ascii="宋体" w:hAnsi="宋体" w:cs="宋体"/>
          <w:b w:val="0"/>
          <w:bCs w:val="0"/>
          <w:color w:val="auto"/>
          <w:sz w:val="28"/>
          <w:szCs w:val="28"/>
          <w:highlight w:val="none"/>
        </w:rPr>
        <w:fldChar w:fldCharType="separate"/>
      </w:r>
      <w:r>
        <w:rPr>
          <w:rFonts w:hint="eastAsia" w:ascii="宋体" w:hAnsi="宋体" w:cs="宋体"/>
          <w:b w:val="0"/>
          <w:bCs w:val="0"/>
          <w:color w:val="auto"/>
          <w:sz w:val="28"/>
          <w:szCs w:val="28"/>
          <w:highlight w:val="none"/>
        </w:rPr>
        <w:t>26</w:t>
      </w:r>
      <w:r>
        <w:rPr>
          <w:rFonts w:hint="eastAsia" w:ascii="宋体" w:hAnsi="宋体" w:cs="宋体"/>
          <w:b w:val="0"/>
          <w:bCs w:val="0"/>
          <w:color w:val="auto"/>
          <w:sz w:val="28"/>
          <w:szCs w:val="28"/>
          <w:highlight w:val="none"/>
        </w:rPr>
        <w:fldChar w:fldCharType="end"/>
      </w:r>
      <w:r>
        <w:rPr>
          <w:rFonts w:hint="eastAsia" w:ascii="宋体" w:hAnsi="宋体" w:cs="宋体"/>
          <w:b w:val="0"/>
          <w:bCs w:val="0"/>
          <w:color w:val="auto"/>
          <w:sz w:val="28"/>
          <w:szCs w:val="28"/>
          <w:highlight w:val="none"/>
        </w:rPr>
        <w:fldChar w:fldCharType="end"/>
      </w:r>
    </w:p>
    <w:p w14:paraId="3844C54F">
      <w:pPr>
        <w:pStyle w:val="31"/>
        <w:tabs>
          <w:tab w:val="right" w:leader="dot" w:pos="9072"/>
        </w:tabs>
        <w:rPr>
          <w:rFonts w:ascii="宋体" w:hAnsi="宋体" w:cs="宋体"/>
          <w:b w:val="0"/>
          <w:bCs w:val="0"/>
          <w:color w:val="auto"/>
          <w:sz w:val="28"/>
          <w:szCs w:val="28"/>
          <w:highlight w:val="none"/>
        </w:rPr>
      </w:pPr>
      <w:r>
        <w:rPr>
          <w:color w:val="auto"/>
          <w:highlight w:val="none"/>
        </w:rPr>
        <w:fldChar w:fldCharType="begin"/>
      </w:r>
      <w:r>
        <w:rPr>
          <w:color w:val="auto"/>
          <w:highlight w:val="none"/>
        </w:rPr>
        <w:instrText xml:space="preserve"> HYPERLINK \l "_Toc5279" </w:instrText>
      </w:r>
      <w:r>
        <w:rPr>
          <w:color w:val="auto"/>
          <w:highlight w:val="none"/>
        </w:rPr>
        <w:fldChar w:fldCharType="separate"/>
      </w:r>
      <w:r>
        <w:rPr>
          <w:rFonts w:hint="eastAsia" w:ascii="宋体" w:hAnsi="宋体" w:cs="宋体"/>
          <w:b w:val="0"/>
          <w:bCs w:val="0"/>
          <w:color w:val="auto"/>
          <w:sz w:val="28"/>
          <w:szCs w:val="28"/>
          <w:highlight w:val="none"/>
        </w:rPr>
        <w:t>第六章  投标文件格式</w:t>
      </w:r>
      <w:r>
        <w:rPr>
          <w:rFonts w:hint="eastAsia" w:ascii="宋体" w:hAnsi="宋体" w:cs="宋体"/>
          <w:b w:val="0"/>
          <w:bCs w:val="0"/>
          <w:color w:val="auto"/>
          <w:sz w:val="28"/>
          <w:szCs w:val="28"/>
          <w:highlight w:val="none"/>
        </w:rPr>
        <w:tab/>
      </w:r>
      <w:r>
        <w:rPr>
          <w:rFonts w:hint="eastAsia" w:ascii="宋体" w:hAnsi="宋体" w:cs="宋体"/>
          <w:b w:val="0"/>
          <w:bCs w:val="0"/>
          <w:color w:val="auto"/>
          <w:sz w:val="28"/>
          <w:szCs w:val="28"/>
          <w:highlight w:val="none"/>
        </w:rPr>
        <w:fldChar w:fldCharType="begin"/>
      </w:r>
      <w:r>
        <w:rPr>
          <w:rFonts w:hint="eastAsia" w:ascii="宋体" w:hAnsi="宋体" w:cs="宋体"/>
          <w:b w:val="0"/>
          <w:bCs w:val="0"/>
          <w:color w:val="auto"/>
          <w:sz w:val="28"/>
          <w:szCs w:val="28"/>
          <w:highlight w:val="none"/>
        </w:rPr>
        <w:instrText xml:space="preserve"> PAGEREF _Toc5279 \h </w:instrText>
      </w:r>
      <w:r>
        <w:rPr>
          <w:rFonts w:hint="eastAsia" w:ascii="宋体" w:hAnsi="宋体" w:cs="宋体"/>
          <w:b w:val="0"/>
          <w:bCs w:val="0"/>
          <w:color w:val="auto"/>
          <w:sz w:val="28"/>
          <w:szCs w:val="28"/>
          <w:highlight w:val="none"/>
        </w:rPr>
        <w:fldChar w:fldCharType="separate"/>
      </w:r>
      <w:r>
        <w:rPr>
          <w:rFonts w:hint="eastAsia" w:ascii="宋体" w:hAnsi="宋体" w:cs="宋体"/>
          <w:b w:val="0"/>
          <w:bCs w:val="0"/>
          <w:color w:val="auto"/>
          <w:sz w:val="28"/>
          <w:szCs w:val="28"/>
          <w:highlight w:val="none"/>
        </w:rPr>
        <w:t>34</w:t>
      </w:r>
      <w:r>
        <w:rPr>
          <w:rFonts w:hint="eastAsia" w:ascii="宋体" w:hAnsi="宋体" w:cs="宋体"/>
          <w:b w:val="0"/>
          <w:bCs w:val="0"/>
          <w:color w:val="auto"/>
          <w:sz w:val="28"/>
          <w:szCs w:val="28"/>
          <w:highlight w:val="none"/>
        </w:rPr>
        <w:fldChar w:fldCharType="end"/>
      </w:r>
      <w:r>
        <w:rPr>
          <w:rFonts w:hint="eastAsia" w:ascii="宋体" w:hAnsi="宋体" w:cs="宋体"/>
          <w:b w:val="0"/>
          <w:bCs w:val="0"/>
          <w:color w:val="auto"/>
          <w:sz w:val="28"/>
          <w:szCs w:val="28"/>
          <w:highlight w:val="none"/>
        </w:rPr>
        <w:fldChar w:fldCharType="end"/>
      </w:r>
    </w:p>
    <w:p w14:paraId="3D33A710">
      <w:pPr>
        <w:pStyle w:val="31"/>
        <w:tabs>
          <w:tab w:val="right" w:leader="dot" w:pos="9072"/>
        </w:tabs>
        <w:rPr>
          <w:rFonts w:ascii="宋体" w:hAnsi="宋体" w:cs="宋体"/>
          <w:b w:val="0"/>
          <w:bCs w:val="0"/>
          <w:color w:val="auto"/>
          <w:sz w:val="28"/>
          <w:szCs w:val="28"/>
          <w:highlight w:val="none"/>
        </w:rPr>
      </w:pPr>
      <w:r>
        <w:rPr>
          <w:color w:val="auto"/>
          <w:highlight w:val="none"/>
        </w:rPr>
        <w:fldChar w:fldCharType="begin"/>
      </w:r>
      <w:r>
        <w:rPr>
          <w:color w:val="auto"/>
          <w:highlight w:val="none"/>
        </w:rPr>
        <w:instrText xml:space="preserve"> HYPERLINK \l "_Toc8955" </w:instrText>
      </w:r>
      <w:r>
        <w:rPr>
          <w:color w:val="auto"/>
          <w:highlight w:val="none"/>
        </w:rPr>
        <w:fldChar w:fldCharType="separate"/>
      </w:r>
      <w:r>
        <w:rPr>
          <w:rFonts w:hint="eastAsia" w:ascii="宋体" w:hAnsi="宋体" w:cs="宋体"/>
          <w:b w:val="0"/>
          <w:bCs w:val="0"/>
          <w:color w:val="auto"/>
          <w:sz w:val="28"/>
          <w:szCs w:val="28"/>
          <w:highlight w:val="none"/>
        </w:rPr>
        <w:t>第七章  招标单位、招标代理机构对本招标文件的确认</w:t>
      </w:r>
      <w:r>
        <w:rPr>
          <w:rFonts w:hint="eastAsia" w:ascii="宋体" w:hAnsi="宋体" w:cs="宋体"/>
          <w:b w:val="0"/>
          <w:bCs w:val="0"/>
          <w:color w:val="auto"/>
          <w:sz w:val="28"/>
          <w:szCs w:val="28"/>
          <w:highlight w:val="none"/>
        </w:rPr>
        <w:tab/>
      </w:r>
      <w:r>
        <w:rPr>
          <w:rFonts w:hint="eastAsia" w:ascii="宋体" w:hAnsi="宋体" w:cs="宋体"/>
          <w:b w:val="0"/>
          <w:bCs w:val="0"/>
          <w:color w:val="auto"/>
          <w:sz w:val="28"/>
          <w:szCs w:val="28"/>
          <w:highlight w:val="none"/>
        </w:rPr>
        <w:fldChar w:fldCharType="begin"/>
      </w:r>
      <w:r>
        <w:rPr>
          <w:rFonts w:hint="eastAsia" w:ascii="宋体" w:hAnsi="宋体" w:cs="宋体"/>
          <w:b w:val="0"/>
          <w:bCs w:val="0"/>
          <w:color w:val="auto"/>
          <w:sz w:val="28"/>
          <w:szCs w:val="28"/>
          <w:highlight w:val="none"/>
        </w:rPr>
        <w:instrText xml:space="preserve"> PAGEREF _Toc8955 \h </w:instrText>
      </w:r>
      <w:r>
        <w:rPr>
          <w:rFonts w:hint="eastAsia" w:ascii="宋体" w:hAnsi="宋体" w:cs="宋体"/>
          <w:b w:val="0"/>
          <w:bCs w:val="0"/>
          <w:color w:val="auto"/>
          <w:sz w:val="28"/>
          <w:szCs w:val="28"/>
          <w:highlight w:val="none"/>
        </w:rPr>
        <w:fldChar w:fldCharType="separate"/>
      </w:r>
      <w:r>
        <w:rPr>
          <w:rFonts w:hint="eastAsia" w:ascii="宋体" w:hAnsi="宋体" w:cs="宋体"/>
          <w:b w:val="0"/>
          <w:bCs w:val="0"/>
          <w:color w:val="auto"/>
          <w:sz w:val="28"/>
          <w:szCs w:val="28"/>
          <w:highlight w:val="none"/>
        </w:rPr>
        <w:t>41</w:t>
      </w:r>
      <w:r>
        <w:rPr>
          <w:rFonts w:hint="eastAsia" w:ascii="宋体" w:hAnsi="宋体" w:cs="宋体"/>
          <w:b w:val="0"/>
          <w:bCs w:val="0"/>
          <w:color w:val="auto"/>
          <w:sz w:val="28"/>
          <w:szCs w:val="28"/>
          <w:highlight w:val="none"/>
        </w:rPr>
        <w:fldChar w:fldCharType="end"/>
      </w:r>
      <w:r>
        <w:rPr>
          <w:rFonts w:hint="eastAsia" w:ascii="宋体" w:hAnsi="宋体" w:cs="宋体"/>
          <w:b w:val="0"/>
          <w:bCs w:val="0"/>
          <w:color w:val="auto"/>
          <w:sz w:val="28"/>
          <w:szCs w:val="28"/>
          <w:highlight w:val="none"/>
        </w:rPr>
        <w:fldChar w:fldCharType="end"/>
      </w:r>
    </w:p>
    <w:p w14:paraId="700EE582">
      <w:pPr>
        <w:pStyle w:val="31"/>
        <w:tabs>
          <w:tab w:val="right" w:leader="dot" w:pos="9062"/>
        </w:tabs>
        <w:spacing w:line="700" w:lineRule="exact"/>
        <w:ind w:firstLine="560" w:firstLineChars="200"/>
        <w:rPr>
          <w:rFonts w:ascii="宋体" w:hAnsi="宋体" w:cs="宋体"/>
          <w:b w:val="0"/>
          <w:bCs w:val="0"/>
          <w:caps w:val="0"/>
          <w:color w:val="auto"/>
          <w:sz w:val="24"/>
          <w:szCs w:val="24"/>
          <w:highlight w:val="none"/>
        </w:rPr>
      </w:pPr>
      <w:r>
        <w:rPr>
          <w:rFonts w:hint="eastAsia" w:ascii="宋体" w:hAnsi="宋体" w:cs="宋体"/>
          <w:b w:val="0"/>
          <w:bCs w:val="0"/>
          <w:caps w:val="0"/>
          <w:color w:val="auto"/>
          <w:sz w:val="28"/>
          <w:szCs w:val="28"/>
          <w:highlight w:val="none"/>
        </w:rPr>
        <w:fldChar w:fldCharType="end"/>
      </w:r>
    </w:p>
    <w:p w14:paraId="32DA5222">
      <w:pPr>
        <w:pStyle w:val="45"/>
        <w:spacing w:line="700" w:lineRule="exact"/>
        <w:ind w:left="0" w:leftChars="0" w:firstLine="480"/>
        <w:jc w:val="left"/>
        <w:rPr>
          <w:color w:val="auto"/>
          <w:sz w:val="24"/>
          <w:szCs w:val="24"/>
          <w:highlight w:val="none"/>
        </w:rPr>
      </w:pPr>
    </w:p>
    <w:p w14:paraId="6E2E620E">
      <w:pPr>
        <w:pStyle w:val="42"/>
        <w:spacing w:line="700" w:lineRule="exact"/>
        <w:jc w:val="left"/>
        <w:rPr>
          <w:color w:val="auto"/>
          <w:sz w:val="24"/>
          <w:szCs w:val="24"/>
          <w:highlight w:val="none"/>
        </w:rPr>
        <w:sectPr>
          <w:headerReference r:id="rId3" w:type="default"/>
          <w:footerReference r:id="rId4" w:type="default"/>
          <w:pgSz w:w="11906" w:h="16838"/>
          <w:pgMar w:top="1134" w:right="1417" w:bottom="1134" w:left="1417" w:header="851" w:footer="992" w:gutter="0"/>
          <w:pgNumType w:start="1"/>
          <w:cols w:space="720" w:num="1"/>
          <w:docGrid w:type="lines" w:linePitch="312" w:charSpace="0"/>
        </w:sectPr>
      </w:pPr>
    </w:p>
    <w:bookmarkEnd w:id="12"/>
    <w:bookmarkEnd w:id="13"/>
    <w:bookmarkEnd w:id="14"/>
    <w:bookmarkEnd w:id="15"/>
    <w:p w14:paraId="7AA0CA92">
      <w:pPr>
        <w:pStyle w:val="42"/>
        <w:spacing w:beforeLines="50" w:afterLines="50" w:line="400" w:lineRule="exact"/>
        <w:rPr>
          <w:bCs/>
          <w:color w:val="auto"/>
          <w:szCs w:val="32"/>
          <w:highlight w:val="none"/>
        </w:rPr>
      </w:pPr>
      <w:bookmarkStart w:id="16" w:name="_Toc21980"/>
      <w:bookmarkStart w:id="17" w:name="_Toc7325"/>
      <w:bookmarkStart w:id="18" w:name="_Toc12261"/>
      <w:bookmarkStart w:id="19" w:name="_Toc78803320"/>
      <w:bookmarkStart w:id="20" w:name="_Toc179632544"/>
      <w:bookmarkStart w:id="21" w:name="_Toc35424883"/>
      <w:bookmarkStart w:id="22" w:name="_Toc152045527"/>
      <w:bookmarkStart w:id="23" w:name="_Toc35425050"/>
      <w:bookmarkStart w:id="24" w:name="_Toc324404813"/>
      <w:bookmarkStart w:id="25" w:name="_Toc246996173"/>
      <w:bookmarkStart w:id="26" w:name="_Toc144974495"/>
      <w:bookmarkStart w:id="27" w:name="_Toc247085687"/>
      <w:bookmarkStart w:id="28" w:name="_Toc506107267"/>
      <w:bookmarkStart w:id="29" w:name="_Toc15058844"/>
      <w:bookmarkStart w:id="30" w:name="_Toc152042303"/>
      <w:bookmarkStart w:id="31" w:name="_Toc246996916"/>
      <w:r>
        <w:rPr>
          <w:rFonts w:hint="eastAsia"/>
          <w:bCs/>
          <w:color w:val="auto"/>
          <w:szCs w:val="32"/>
          <w:highlight w:val="none"/>
          <w:lang w:eastAsia="zh-CN"/>
        </w:rPr>
        <w:t>城北工业园公交首末站630kVA箱变（含北湖维修）维修项目</w:t>
      </w:r>
      <w:r>
        <w:rPr>
          <w:rFonts w:hint="eastAsia"/>
          <w:bCs/>
          <w:color w:val="auto"/>
          <w:szCs w:val="32"/>
          <w:highlight w:val="none"/>
        </w:rPr>
        <w:t>招标公告信息</w:t>
      </w:r>
      <w:bookmarkEnd w:id="16"/>
      <w:bookmarkEnd w:id="17"/>
      <w:bookmarkEnd w:id="18"/>
      <w:bookmarkEnd w:id="19"/>
    </w:p>
    <w:tbl>
      <w:tblPr>
        <w:tblStyle w:val="46"/>
        <w:tblW w:w="9889"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494"/>
        <w:gridCol w:w="50"/>
        <w:gridCol w:w="2587"/>
        <w:gridCol w:w="508"/>
        <w:gridCol w:w="1955"/>
        <w:gridCol w:w="3295"/>
      </w:tblGrid>
      <w:tr w14:paraId="4202BD5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
        <w:trPr>
          <w:trHeight w:val="717" w:hRule="atLeast"/>
          <w:jc w:val="center"/>
        </w:trPr>
        <w:tc>
          <w:tcPr>
            <w:tcW w:w="1544"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2650C799">
            <w:pPr>
              <w:autoSpaceDE w:val="0"/>
              <w:spacing w:line="500" w:lineRule="exact"/>
              <w:rPr>
                <w:rFonts w:ascii="宋体" w:hAnsi="宋体" w:cs="宋体"/>
                <w:bCs/>
                <w:color w:val="auto"/>
                <w:kern w:val="1"/>
                <w:szCs w:val="21"/>
                <w:highlight w:val="none"/>
              </w:rPr>
            </w:pPr>
            <w:bookmarkStart w:id="32" w:name="_Toc78803321"/>
            <w:r>
              <w:rPr>
                <w:rFonts w:hint="eastAsia" w:ascii="宋体" w:hAnsi="宋体" w:cs="宋体"/>
                <w:bCs/>
                <w:color w:val="auto"/>
                <w:kern w:val="1"/>
                <w:szCs w:val="21"/>
                <w:highlight w:val="none"/>
              </w:rPr>
              <w:t>招标项目名称</w:t>
            </w:r>
          </w:p>
        </w:tc>
        <w:tc>
          <w:tcPr>
            <w:tcW w:w="8345"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4B759CEE">
            <w:pPr>
              <w:autoSpaceDE w:val="0"/>
              <w:spacing w:line="500" w:lineRule="exact"/>
              <w:rPr>
                <w:rFonts w:hint="eastAsia" w:ascii="宋体" w:hAnsi="宋体" w:eastAsia="宋体" w:cs="宋体"/>
                <w:bCs/>
                <w:color w:val="auto"/>
                <w:kern w:val="1"/>
                <w:szCs w:val="21"/>
                <w:highlight w:val="none"/>
                <w:lang w:eastAsia="zh-CN"/>
              </w:rPr>
            </w:pPr>
            <w:r>
              <w:rPr>
                <w:rFonts w:hint="eastAsia" w:ascii="宋体" w:hAnsi="宋体" w:cs="宋体"/>
                <w:bCs/>
                <w:color w:val="auto"/>
                <w:kern w:val="1"/>
                <w:szCs w:val="21"/>
                <w:highlight w:val="none"/>
                <w:lang w:eastAsia="zh-CN"/>
              </w:rPr>
              <w:t>城北工业园公交首末站630kVA箱变（含北湖维修）维修项目</w:t>
            </w:r>
          </w:p>
        </w:tc>
      </w:tr>
      <w:tr w14:paraId="75BE333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17" w:hRule="atLeast"/>
          <w:jc w:val="center"/>
        </w:trPr>
        <w:tc>
          <w:tcPr>
            <w:tcW w:w="1544"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295DA971">
            <w:pPr>
              <w:autoSpaceDE w:val="0"/>
              <w:spacing w:line="500" w:lineRule="exact"/>
              <w:rPr>
                <w:rFonts w:ascii="宋体" w:hAnsi="宋体" w:cs="宋体"/>
                <w:bCs/>
                <w:color w:val="auto"/>
                <w:kern w:val="1"/>
                <w:szCs w:val="21"/>
                <w:highlight w:val="none"/>
              </w:rPr>
            </w:pPr>
            <w:r>
              <w:rPr>
                <w:rFonts w:hint="eastAsia" w:ascii="宋体" w:hAnsi="宋体" w:cs="宋体"/>
                <w:bCs/>
                <w:color w:val="auto"/>
                <w:kern w:val="1"/>
                <w:szCs w:val="21"/>
                <w:highlight w:val="none"/>
              </w:rPr>
              <w:t>项目编号</w:t>
            </w:r>
          </w:p>
        </w:tc>
        <w:tc>
          <w:tcPr>
            <w:tcW w:w="8345"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234FAE26">
            <w:pPr>
              <w:autoSpaceDE w:val="0"/>
              <w:spacing w:line="500" w:lineRule="exact"/>
              <w:rPr>
                <w:rFonts w:ascii="宋体" w:hAnsi="宋体" w:cs="宋体"/>
                <w:bCs/>
                <w:color w:val="auto"/>
                <w:kern w:val="1"/>
                <w:szCs w:val="21"/>
                <w:highlight w:val="none"/>
              </w:rPr>
            </w:pPr>
            <w:r>
              <w:rPr>
                <w:rFonts w:hint="eastAsia" w:ascii="宋体" w:hAnsi="宋体" w:cs="宋体"/>
                <w:bCs/>
                <w:color w:val="auto"/>
                <w:kern w:val="1"/>
                <w:szCs w:val="21"/>
                <w:highlight w:val="none"/>
              </w:rPr>
              <w:t>HXJY1110001058097001</w:t>
            </w:r>
          </w:p>
        </w:tc>
      </w:tr>
      <w:tr w14:paraId="3158941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17" w:hRule="atLeast"/>
          <w:jc w:val="center"/>
        </w:trPr>
        <w:tc>
          <w:tcPr>
            <w:tcW w:w="1544"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7A0448B4">
            <w:pPr>
              <w:widowControl/>
              <w:autoSpaceDE w:val="0"/>
              <w:spacing w:line="50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招标方式</w:t>
            </w:r>
          </w:p>
        </w:tc>
        <w:tc>
          <w:tcPr>
            <w:tcW w:w="8345"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41A32BD1">
            <w:pPr>
              <w:widowControl/>
              <w:autoSpaceDE w:val="0"/>
              <w:spacing w:line="50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公开招标</w:t>
            </w:r>
          </w:p>
        </w:tc>
      </w:tr>
      <w:tr w14:paraId="0339311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284" w:hRule="atLeast"/>
          <w:jc w:val="center"/>
        </w:trPr>
        <w:tc>
          <w:tcPr>
            <w:tcW w:w="1544"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36B937B2">
            <w:pPr>
              <w:widowControl/>
              <w:autoSpaceDE w:val="0"/>
              <w:spacing w:line="50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投标资质要求</w:t>
            </w:r>
          </w:p>
        </w:tc>
        <w:tc>
          <w:tcPr>
            <w:tcW w:w="8345"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32C775F3">
            <w:pPr>
              <w:widowControl/>
              <w:spacing w:line="500" w:lineRule="exact"/>
              <w:jc w:val="left"/>
              <w:rPr>
                <w:rFonts w:ascii="宋体" w:hAnsi="宋体" w:cs="宋体"/>
                <w:color w:val="auto"/>
                <w:szCs w:val="21"/>
                <w:highlight w:val="none"/>
              </w:rPr>
            </w:pPr>
            <w:r>
              <w:rPr>
                <w:rFonts w:hint="eastAsia" w:ascii="宋体" w:hAnsi="宋体" w:cs="宋体"/>
                <w:color w:val="auto"/>
                <w:szCs w:val="21"/>
                <w:highlight w:val="none"/>
              </w:rPr>
              <w:t>投标人须具备同时满足下列要求：</w:t>
            </w:r>
          </w:p>
          <w:p w14:paraId="79E4B673">
            <w:pPr>
              <w:widowControl/>
              <w:spacing w:line="500" w:lineRule="exact"/>
              <w:jc w:val="left"/>
              <w:rPr>
                <w:rFonts w:ascii="宋体" w:hAnsi="宋体" w:cs="宋体"/>
                <w:color w:val="auto"/>
                <w:szCs w:val="21"/>
                <w:highlight w:val="none"/>
              </w:rPr>
            </w:pPr>
            <w:r>
              <w:rPr>
                <w:rFonts w:hint="eastAsia" w:ascii="宋体" w:hAnsi="宋体" w:cs="宋体"/>
                <w:color w:val="auto"/>
                <w:szCs w:val="21"/>
                <w:highlight w:val="none"/>
              </w:rPr>
              <w:t>①具备电力工程施工总承包叁级（或以上）资质或输变电工程专业承包三级（或以上）资质，且同时具有有效的安全生产许可证；</w:t>
            </w:r>
          </w:p>
          <w:p w14:paraId="73714E69">
            <w:pPr>
              <w:widowControl/>
              <w:spacing w:line="500" w:lineRule="exact"/>
              <w:jc w:val="left"/>
              <w:rPr>
                <w:rFonts w:ascii="宋体" w:hAnsi="宋体" w:cs="宋体"/>
                <w:bCs/>
                <w:color w:val="auto"/>
                <w:kern w:val="0"/>
                <w:szCs w:val="21"/>
                <w:highlight w:val="none"/>
              </w:rPr>
            </w:pPr>
            <w:r>
              <w:rPr>
                <w:rFonts w:hint="eastAsia" w:ascii="宋体" w:hAnsi="宋体" w:cs="宋体"/>
                <w:color w:val="auto"/>
                <w:szCs w:val="21"/>
                <w:highlight w:val="none"/>
              </w:rPr>
              <w:t>②具备电力主管部门颁发的承装、承修、承试三级（或以上）电力设施许可证。</w:t>
            </w:r>
          </w:p>
        </w:tc>
      </w:tr>
      <w:tr w14:paraId="59BC5E4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0" w:hRule="atLeast"/>
          <w:jc w:val="center"/>
        </w:trPr>
        <w:tc>
          <w:tcPr>
            <w:tcW w:w="1544"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0E397D76">
            <w:pPr>
              <w:widowControl/>
              <w:autoSpaceDE w:val="0"/>
              <w:spacing w:line="500" w:lineRule="exact"/>
              <w:jc w:val="left"/>
              <w:rPr>
                <w:rFonts w:ascii="宋体" w:hAnsi="宋体" w:cs="宋体"/>
                <w:color w:val="auto"/>
                <w:kern w:val="0"/>
                <w:szCs w:val="21"/>
                <w:highlight w:val="none"/>
              </w:rPr>
            </w:pPr>
            <w:r>
              <w:rPr>
                <w:rFonts w:hint="eastAsia" w:ascii="宋体" w:hAnsi="宋体" w:cs="宋体"/>
                <w:bCs/>
                <w:snapToGrid w:val="0"/>
                <w:color w:val="auto"/>
                <w:kern w:val="0"/>
                <w:szCs w:val="21"/>
                <w:highlight w:val="none"/>
              </w:rPr>
              <w:t>项目经理资格要求</w:t>
            </w:r>
          </w:p>
        </w:tc>
        <w:tc>
          <w:tcPr>
            <w:tcW w:w="8345"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455A95FC">
            <w:pPr>
              <w:widowControl/>
              <w:spacing w:line="500" w:lineRule="exact"/>
              <w:jc w:val="left"/>
              <w:rPr>
                <w:rFonts w:ascii="宋体" w:hAnsi="宋体" w:cs="宋体"/>
                <w:color w:val="auto"/>
                <w:szCs w:val="21"/>
                <w:highlight w:val="none"/>
              </w:rPr>
            </w:pPr>
            <w:r>
              <w:rPr>
                <w:rFonts w:hint="eastAsia" w:ascii="宋体" w:hAnsi="宋体" w:cs="宋体"/>
                <w:color w:val="auto"/>
                <w:szCs w:val="21"/>
                <w:highlight w:val="none"/>
              </w:rPr>
              <w:t>投标人拟委任项目经理须具备注册在投标单位的</w:t>
            </w:r>
            <w:r>
              <w:rPr>
                <w:rFonts w:hint="eastAsia" w:ascii="宋体" w:hAnsi="宋体" w:cs="宋体"/>
                <w:color w:val="auto"/>
                <w:szCs w:val="21"/>
                <w:highlight w:val="none"/>
                <w:u w:val="none"/>
              </w:rPr>
              <w:t>机电工程二级（或以上）</w:t>
            </w:r>
            <w:r>
              <w:rPr>
                <w:rFonts w:hint="eastAsia" w:ascii="宋体" w:hAnsi="宋体" w:cs="宋体"/>
                <w:color w:val="auto"/>
                <w:szCs w:val="21"/>
                <w:highlight w:val="none"/>
              </w:rPr>
              <w:t>注册建造师资格，具备有效的安全生产考核合格(B类)证书。</w:t>
            </w:r>
          </w:p>
        </w:tc>
      </w:tr>
      <w:tr w14:paraId="16311C1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0" w:hRule="atLeast"/>
          <w:jc w:val="center"/>
        </w:trPr>
        <w:tc>
          <w:tcPr>
            <w:tcW w:w="1544"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6655EA88">
            <w:pPr>
              <w:widowControl/>
              <w:spacing w:line="500" w:lineRule="exact"/>
              <w:jc w:val="center"/>
              <w:rPr>
                <w:rFonts w:ascii="宋体" w:hAnsi="宋体" w:cs="宋体"/>
                <w:bCs/>
                <w:snapToGrid w:val="0"/>
                <w:color w:val="auto"/>
                <w:kern w:val="0"/>
                <w:szCs w:val="21"/>
                <w:highlight w:val="none"/>
              </w:rPr>
            </w:pPr>
            <w:r>
              <w:rPr>
                <w:rFonts w:hint="eastAsia" w:ascii="宋体" w:hAnsi="宋体" w:cs="宋体"/>
                <w:color w:val="auto"/>
                <w:kern w:val="0"/>
                <w:szCs w:val="21"/>
                <w:highlight w:val="none"/>
              </w:rPr>
              <w:t>信誉要求</w:t>
            </w:r>
          </w:p>
        </w:tc>
        <w:tc>
          <w:tcPr>
            <w:tcW w:w="8345"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3E4570EE">
            <w:pPr>
              <w:widowControl/>
              <w:spacing w:line="500" w:lineRule="exact"/>
              <w:jc w:val="left"/>
              <w:rPr>
                <w:rFonts w:ascii="宋体" w:hAnsi="宋体" w:cs="宋体"/>
                <w:color w:val="auto"/>
                <w:szCs w:val="21"/>
                <w:highlight w:val="none"/>
              </w:rPr>
            </w:pPr>
            <w:r>
              <w:rPr>
                <w:rFonts w:hint="eastAsia" w:ascii="宋体" w:hAnsi="宋体" w:cs="宋体"/>
                <w:color w:val="auto"/>
                <w:szCs w:val="21"/>
                <w:highlight w:val="none"/>
              </w:rPr>
              <w:t>1、投标人存在以下情形之一的，不得被确定为中标人：</w:t>
            </w:r>
          </w:p>
          <w:p w14:paraId="0B73CC32">
            <w:pPr>
              <w:widowControl/>
              <w:spacing w:line="500" w:lineRule="exact"/>
              <w:jc w:val="left"/>
              <w:rPr>
                <w:rFonts w:ascii="宋体" w:hAnsi="宋体" w:cs="宋体"/>
                <w:color w:val="auto"/>
                <w:szCs w:val="21"/>
                <w:highlight w:val="none"/>
              </w:rPr>
            </w:pPr>
            <w:r>
              <w:rPr>
                <w:rFonts w:hint="eastAsia" w:ascii="宋体" w:hAnsi="宋体" w:cs="宋体"/>
                <w:color w:val="auto"/>
                <w:szCs w:val="21"/>
                <w:highlight w:val="none"/>
              </w:rPr>
              <w:t>①被列入“信用中国”网站“失信被执行人”的;</w:t>
            </w:r>
          </w:p>
          <w:p w14:paraId="1988FD7F">
            <w:pPr>
              <w:widowControl/>
              <w:spacing w:line="500" w:lineRule="exact"/>
              <w:jc w:val="left"/>
              <w:rPr>
                <w:rFonts w:ascii="宋体" w:hAnsi="宋体" w:cs="宋体"/>
                <w:color w:val="auto"/>
                <w:szCs w:val="21"/>
                <w:highlight w:val="none"/>
              </w:rPr>
            </w:pPr>
            <w:r>
              <w:rPr>
                <w:rFonts w:hint="eastAsia" w:ascii="宋体" w:hAnsi="宋体" w:cs="宋体"/>
                <w:color w:val="auto"/>
                <w:szCs w:val="21"/>
                <w:highlight w:val="none"/>
              </w:rPr>
              <w:t>②被列入“信用中国”网站“重大税收违法失信主体”的；</w:t>
            </w:r>
          </w:p>
          <w:p w14:paraId="6C3DAD6A">
            <w:pPr>
              <w:widowControl/>
              <w:spacing w:line="500" w:lineRule="exact"/>
              <w:jc w:val="left"/>
              <w:rPr>
                <w:rFonts w:ascii="宋体" w:hAnsi="宋体" w:cs="宋体"/>
                <w:color w:val="auto"/>
                <w:szCs w:val="21"/>
                <w:highlight w:val="none"/>
              </w:rPr>
            </w:pPr>
            <w:r>
              <w:rPr>
                <w:rFonts w:hint="eastAsia" w:ascii="宋体" w:hAnsi="宋体" w:cs="宋体"/>
                <w:color w:val="auto"/>
                <w:szCs w:val="21"/>
                <w:highlight w:val="none"/>
              </w:rPr>
              <w:t>③被列入“信用中国”网站“拖欠农民工工资失信联合惩戒对象名单”的；</w:t>
            </w:r>
          </w:p>
          <w:p w14:paraId="348DFF4D">
            <w:pPr>
              <w:widowControl/>
              <w:spacing w:line="500" w:lineRule="exact"/>
              <w:jc w:val="left"/>
              <w:rPr>
                <w:rFonts w:ascii="宋体" w:hAnsi="宋体" w:cs="宋体"/>
                <w:color w:val="auto"/>
                <w:szCs w:val="21"/>
                <w:highlight w:val="none"/>
              </w:rPr>
            </w:pPr>
            <w:r>
              <w:rPr>
                <w:rFonts w:hint="eastAsia" w:ascii="宋体" w:hAnsi="宋体" w:cs="宋体"/>
                <w:color w:val="auto"/>
                <w:szCs w:val="21"/>
                <w:highlight w:val="none"/>
              </w:rPr>
              <w:t>④被列入“信用中国”网站 “严重失信主体名单”的；</w:t>
            </w:r>
          </w:p>
          <w:p w14:paraId="07787072">
            <w:pPr>
              <w:widowControl/>
              <w:spacing w:line="500" w:lineRule="exact"/>
              <w:jc w:val="left"/>
              <w:rPr>
                <w:rFonts w:ascii="宋体" w:hAnsi="宋体" w:cs="宋体"/>
                <w:color w:val="auto"/>
                <w:szCs w:val="21"/>
                <w:highlight w:val="none"/>
              </w:rPr>
            </w:pPr>
            <w:r>
              <w:rPr>
                <w:rFonts w:hint="eastAsia" w:ascii="宋体" w:hAnsi="宋体" w:cs="宋体"/>
                <w:color w:val="auto"/>
                <w:szCs w:val="21"/>
                <w:highlight w:val="none"/>
              </w:rPr>
              <w:t>⑤在“信用中国”网站上披露的仍在公示期的严重失信行为(具体行为类别及判定依据见附件2)的。</w:t>
            </w:r>
          </w:p>
          <w:p w14:paraId="282BCF30">
            <w:pPr>
              <w:widowControl/>
              <w:spacing w:line="500" w:lineRule="exact"/>
              <w:jc w:val="left"/>
              <w:rPr>
                <w:rFonts w:ascii="宋体" w:hAnsi="宋体" w:cs="宋体"/>
                <w:color w:val="auto"/>
                <w:szCs w:val="21"/>
                <w:highlight w:val="none"/>
              </w:rPr>
            </w:pPr>
            <w:r>
              <w:rPr>
                <w:rFonts w:hint="eastAsia" w:ascii="宋体" w:hAnsi="宋体" w:cs="宋体"/>
                <w:color w:val="auto"/>
                <w:szCs w:val="21"/>
                <w:highlight w:val="none"/>
              </w:rPr>
              <w:t>⑥被列入国家企业信用信息公示系统网站“经营异常名录”或者“严重违法失信名单”的。</w:t>
            </w:r>
          </w:p>
          <w:p w14:paraId="73915AD4">
            <w:pPr>
              <w:widowControl/>
              <w:spacing w:line="500" w:lineRule="exact"/>
              <w:jc w:val="left"/>
              <w:rPr>
                <w:rFonts w:ascii="宋体" w:hAnsi="宋体" w:cs="宋体"/>
                <w:color w:val="auto"/>
                <w:szCs w:val="21"/>
                <w:highlight w:val="none"/>
              </w:rPr>
            </w:pPr>
            <w:r>
              <w:rPr>
                <w:rFonts w:hint="eastAsia" w:ascii="宋体" w:hAnsi="宋体" w:cs="宋体"/>
                <w:color w:val="auto"/>
                <w:szCs w:val="21"/>
                <w:highlight w:val="none"/>
              </w:rPr>
              <w:t>⑦前三年有行贿犯罪行为的单位和个人；</w:t>
            </w:r>
          </w:p>
          <w:p w14:paraId="24A5A750">
            <w:pPr>
              <w:widowControl/>
              <w:spacing w:line="500" w:lineRule="exact"/>
              <w:jc w:val="left"/>
              <w:rPr>
                <w:rFonts w:ascii="宋体" w:hAnsi="宋体" w:cs="宋体"/>
                <w:color w:val="auto"/>
                <w:szCs w:val="21"/>
                <w:highlight w:val="none"/>
              </w:rPr>
            </w:pPr>
            <w:r>
              <w:rPr>
                <w:rFonts w:hint="eastAsia" w:ascii="宋体" w:hAnsi="宋体" w:cs="宋体"/>
                <w:color w:val="auto"/>
                <w:szCs w:val="21"/>
                <w:highlight w:val="none"/>
              </w:rPr>
              <w:t>⑧被滁州市县两级公管部门及各行业主管部门取消在一定期限内的投标资格且在取消期限内的；</w:t>
            </w:r>
          </w:p>
          <w:p w14:paraId="7B5824E0">
            <w:pPr>
              <w:widowControl/>
              <w:spacing w:line="500" w:lineRule="exact"/>
              <w:jc w:val="left"/>
              <w:rPr>
                <w:rFonts w:ascii="宋体" w:hAnsi="宋体" w:cs="宋体"/>
                <w:color w:val="auto"/>
                <w:szCs w:val="21"/>
                <w:highlight w:val="none"/>
              </w:rPr>
            </w:pPr>
            <w:r>
              <w:rPr>
                <w:rFonts w:hint="eastAsia" w:ascii="宋体" w:hAnsi="宋体" w:cs="宋体"/>
                <w:color w:val="auto"/>
                <w:szCs w:val="21"/>
                <w:highlight w:val="none"/>
              </w:rPr>
              <w:t>⑨因拖欠农民工工资被县级及以上有关行政主管部门限制投标资格且在限制期限内的；</w:t>
            </w:r>
          </w:p>
          <w:p w14:paraId="2EC52367">
            <w:pPr>
              <w:widowControl/>
              <w:spacing w:line="500" w:lineRule="exact"/>
              <w:jc w:val="left"/>
              <w:rPr>
                <w:rFonts w:ascii="宋体" w:hAnsi="宋体" w:cs="宋体"/>
                <w:color w:val="auto"/>
                <w:szCs w:val="21"/>
                <w:highlight w:val="none"/>
              </w:rPr>
            </w:pPr>
            <w:r>
              <w:rPr>
                <w:rFonts w:hint="eastAsia" w:ascii="宋体" w:hAnsi="宋体" w:cs="宋体"/>
                <w:color w:val="auto"/>
                <w:szCs w:val="21"/>
                <w:highlight w:val="none"/>
              </w:rPr>
              <w:t>⑩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p>
          <w:p w14:paraId="419F595F">
            <w:pPr>
              <w:widowControl/>
              <w:spacing w:line="500" w:lineRule="exact"/>
              <w:jc w:val="left"/>
              <w:rPr>
                <w:rFonts w:ascii="宋体" w:hAnsi="宋体" w:cs="宋体"/>
                <w:color w:val="auto"/>
                <w:szCs w:val="21"/>
                <w:highlight w:val="none"/>
              </w:rPr>
            </w:pPr>
            <w:r>
              <w:rPr>
                <w:rFonts w:hint="eastAsia" w:ascii="宋体" w:hAnsi="宋体" w:cs="宋体"/>
                <w:color w:val="auto"/>
                <w:szCs w:val="21"/>
                <w:highlight w:val="none"/>
              </w:rPr>
              <w:t>2、投标人所属分公司、办事处等分支机构存在第1条信誉要求①-⑩项情形之一的，    接受其被确定为中标人。</w:t>
            </w:r>
          </w:p>
          <w:p w14:paraId="1B06321D">
            <w:pPr>
              <w:widowControl/>
              <w:spacing w:line="500" w:lineRule="exact"/>
              <w:jc w:val="left"/>
              <w:rPr>
                <w:rFonts w:ascii="宋体" w:hAnsi="宋体" w:cs="宋体"/>
                <w:color w:val="auto"/>
                <w:szCs w:val="21"/>
                <w:highlight w:val="none"/>
              </w:rPr>
            </w:pPr>
            <w:r>
              <w:rPr>
                <w:rFonts w:hint="eastAsia" w:ascii="宋体" w:hAnsi="宋体" w:cs="宋体"/>
                <w:color w:val="auto"/>
                <w:szCs w:val="21"/>
                <w:highlight w:val="none"/>
              </w:rPr>
              <w:t>备注：第1、2条按照附件1“关于联合惩戒失信行为加强信用查询管理的通知”查询或承诺。</w:t>
            </w:r>
          </w:p>
        </w:tc>
      </w:tr>
      <w:tr w14:paraId="0978085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023" w:hRule="atLeast"/>
          <w:jc w:val="center"/>
        </w:trPr>
        <w:tc>
          <w:tcPr>
            <w:tcW w:w="1544"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4838D302">
            <w:pPr>
              <w:widowControl/>
              <w:autoSpaceDE w:val="0"/>
              <w:spacing w:line="50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是否接受联合体投标</w:t>
            </w:r>
          </w:p>
        </w:tc>
        <w:tc>
          <w:tcPr>
            <w:tcW w:w="8345"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50E4EEC0">
            <w:pPr>
              <w:widowControl/>
              <w:autoSpaceDE w:val="0"/>
              <w:spacing w:line="500" w:lineRule="exact"/>
              <w:jc w:val="left"/>
              <w:rPr>
                <w:rFonts w:ascii="宋体" w:hAnsi="宋体" w:cs="宋体"/>
                <w:color w:val="auto"/>
                <w:szCs w:val="21"/>
                <w:highlight w:val="none"/>
              </w:rPr>
            </w:pPr>
            <w:r>
              <w:rPr>
                <w:rFonts w:hint="eastAsia" w:ascii="宋体" w:hAnsi="宋体" w:cs="宋体"/>
                <w:color w:val="auto"/>
                <w:szCs w:val="21"/>
                <w:highlight w:val="none"/>
              </w:rPr>
              <w:t>本次招标不</w:t>
            </w:r>
            <w:r>
              <w:rPr>
                <w:rFonts w:hint="eastAsia" w:ascii="宋体" w:hAnsi="宋体" w:cs="宋体"/>
                <w:color w:val="auto"/>
                <w:kern w:val="0"/>
                <w:szCs w:val="21"/>
                <w:highlight w:val="none"/>
              </w:rPr>
              <w:t>接受</w:t>
            </w:r>
            <w:r>
              <w:rPr>
                <w:rFonts w:hint="eastAsia" w:ascii="宋体" w:hAnsi="宋体" w:cs="宋体"/>
                <w:color w:val="auto"/>
                <w:szCs w:val="21"/>
                <w:highlight w:val="none"/>
              </w:rPr>
              <w:t>联合体投标。</w:t>
            </w:r>
          </w:p>
        </w:tc>
      </w:tr>
      <w:tr w14:paraId="23A4638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72" w:hRule="atLeast"/>
          <w:jc w:val="center"/>
        </w:trPr>
        <w:tc>
          <w:tcPr>
            <w:tcW w:w="1544"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6680205C">
            <w:pPr>
              <w:widowControl/>
              <w:autoSpaceDE w:val="0"/>
              <w:spacing w:line="50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招标项目规模</w:t>
            </w:r>
          </w:p>
        </w:tc>
        <w:tc>
          <w:tcPr>
            <w:tcW w:w="8345"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0A806CCC">
            <w:pPr>
              <w:widowControl/>
              <w:autoSpaceDE w:val="0"/>
              <w:spacing w:line="500" w:lineRule="exact"/>
              <w:jc w:val="left"/>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估算价</w:t>
            </w:r>
            <w:r>
              <w:rPr>
                <w:rFonts w:hint="eastAsia" w:ascii="宋体" w:hAnsi="宋体" w:cs="宋体"/>
                <w:color w:val="auto"/>
                <w:kern w:val="0"/>
                <w:szCs w:val="21"/>
                <w:highlight w:val="none"/>
                <w:lang w:eastAsia="zh-CN"/>
              </w:rPr>
              <w:t>约10.1万元</w:t>
            </w:r>
          </w:p>
        </w:tc>
      </w:tr>
      <w:tr w14:paraId="2390A54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10" w:hRule="atLeast"/>
          <w:jc w:val="center"/>
        </w:trPr>
        <w:tc>
          <w:tcPr>
            <w:tcW w:w="1544"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3891904C">
            <w:pPr>
              <w:widowControl/>
              <w:autoSpaceDE w:val="0"/>
              <w:spacing w:line="50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招标项目内容范围</w:t>
            </w:r>
          </w:p>
        </w:tc>
        <w:tc>
          <w:tcPr>
            <w:tcW w:w="8345"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1879E77F">
            <w:pPr>
              <w:widowControl/>
              <w:autoSpaceDE w:val="0"/>
              <w:spacing w:line="500" w:lineRule="exact"/>
              <w:jc w:val="left"/>
              <w:rPr>
                <w:rFonts w:ascii="宋体" w:hAnsi="宋体" w:cs="宋体"/>
                <w:color w:val="auto"/>
                <w:kern w:val="0"/>
                <w:szCs w:val="21"/>
                <w:highlight w:val="none"/>
              </w:rPr>
            </w:pPr>
            <w:r>
              <w:rPr>
                <w:rFonts w:hint="eastAsia" w:ascii="宋体" w:hAnsi="宋体" w:cs="宋体"/>
                <w:color w:val="auto"/>
                <w:szCs w:val="21"/>
                <w:highlight w:val="none"/>
              </w:rPr>
              <w:t>本工程工程量清单中的所有内容</w:t>
            </w:r>
          </w:p>
        </w:tc>
      </w:tr>
      <w:tr w14:paraId="6C73E7F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075" w:hRule="atLeast"/>
          <w:jc w:val="center"/>
        </w:trPr>
        <w:tc>
          <w:tcPr>
            <w:tcW w:w="1544"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179D2CEC">
            <w:pPr>
              <w:widowControl/>
              <w:autoSpaceDE w:val="0"/>
              <w:spacing w:line="50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招标公告发布时间</w:t>
            </w:r>
          </w:p>
        </w:tc>
        <w:tc>
          <w:tcPr>
            <w:tcW w:w="8345"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68736076">
            <w:pPr>
              <w:widowControl/>
              <w:autoSpaceDE w:val="0"/>
              <w:spacing w:line="500" w:lineRule="exact"/>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202</w:t>
            </w:r>
            <w:r>
              <w:rPr>
                <w:rFonts w:hint="eastAsia" w:ascii="宋体" w:hAnsi="宋体" w:cs="宋体"/>
                <w:b/>
                <w:bCs/>
                <w:color w:val="auto"/>
                <w:kern w:val="0"/>
                <w:szCs w:val="21"/>
                <w:highlight w:val="none"/>
                <w:lang w:val="en-US" w:eastAsia="zh-CN"/>
              </w:rPr>
              <w:t>6</w:t>
            </w:r>
            <w:r>
              <w:rPr>
                <w:rFonts w:hint="eastAsia" w:ascii="宋体" w:hAnsi="宋体" w:cs="宋体"/>
                <w:b/>
                <w:bCs/>
                <w:color w:val="auto"/>
                <w:kern w:val="0"/>
                <w:szCs w:val="21"/>
                <w:highlight w:val="none"/>
              </w:rPr>
              <w:t>年</w:t>
            </w:r>
            <w:r>
              <w:rPr>
                <w:rFonts w:hint="eastAsia" w:ascii="宋体" w:hAnsi="宋体" w:cs="宋体"/>
                <w:b/>
                <w:bCs/>
                <w:color w:val="auto"/>
                <w:kern w:val="0"/>
                <w:szCs w:val="21"/>
                <w:highlight w:val="none"/>
                <w:lang w:val="en-US" w:eastAsia="zh-CN"/>
              </w:rPr>
              <w:t>6</w:t>
            </w:r>
            <w:r>
              <w:rPr>
                <w:rFonts w:hint="eastAsia" w:ascii="宋体" w:hAnsi="宋体" w:cs="宋体"/>
                <w:b/>
                <w:bCs/>
                <w:color w:val="auto"/>
                <w:kern w:val="0"/>
                <w:szCs w:val="21"/>
                <w:highlight w:val="none"/>
              </w:rPr>
              <w:t>月</w:t>
            </w:r>
            <w:r>
              <w:rPr>
                <w:rFonts w:hint="eastAsia" w:ascii="宋体" w:hAnsi="宋体" w:cs="宋体"/>
                <w:b/>
                <w:bCs/>
                <w:color w:val="auto"/>
                <w:kern w:val="0"/>
                <w:szCs w:val="21"/>
                <w:highlight w:val="none"/>
                <w:lang w:val="en-US" w:eastAsia="zh-CN"/>
              </w:rPr>
              <w:t>18</w:t>
            </w:r>
            <w:r>
              <w:rPr>
                <w:rFonts w:hint="eastAsia" w:ascii="宋体" w:hAnsi="宋体" w:cs="宋体"/>
                <w:b/>
                <w:bCs/>
                <w:color w:val="auto"/>
                <w:kern w:val="0"/>
                <w:szCs w:val="21"/>
                <w:highlight w:val="none"/>
              </w:rPr>
              <w:t>日</w:t>
            </w:r>
          </w:p>
        </w:tc>
      </w:tr>
      <w:tr w14:paraId="70889CE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020" w:hRule="atLeast"/>
          <w:jc w:val="center"/>
        </w:trPr>
        <w:tc>
          <w:tcPr>
            <w:tcW w:w="1544"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6D36F163">
            <w:pPr>
              <w:widowControl/>
              <w:autoSpaceDE w:val="0"/>
              <w:spacing w:line="500" w:lineRule="exact"/>
              <w:jc w:val="left"/>
              <w:rPr>
                <w:rFonts w:ascii="宋体" w:hAnsi="宋体" w:cs="宋体"/>
                <w:color w:val="auto"/>
                <w:kern w:val="0"/>
                <w:szCs w:val="21"/>
                <w:highlight w:val="none"/>
              </w:rPr>
            </w:pPr>
            <w:r>
              <w:rPr>
                <w:rFonts w:hint="eastAsia" w:ascii="宋体" w:hAnsi="宋体" w:cs="宋体"/>
                <w:color w:val="auto"/>
                <w:szCs w:val="21"/>
                <w:highlight w:val="none"/>
              </w:rPr>
              <w:t>递交投标文件的截止时间</w:t>
            </w:r>
          </w:p>
        </w:tc>
        <w:tc>
          <w:tcPr>
            <w:tcW w:w="8345"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394870D8">
            <w:pPr>
              <w:widowControl/>
              <w:autoSpaceDE w:val="0"/>
              <w:spacing w:line="500" w:lineRule="exact"/>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202</w:t>
            </w:r>
            <w:r>
              <w:rPr>
                <w:rFonts w:hint="eastAsia" w:ascii="宋体" w:hAnsi="宋体" w:cs="宋体"/>
                <w:b/>
                <w:bCs/>
                <w:color w:val="auto"/>
                <w:kern w:val="0"/>
                <w:szCs w:val="21"/>
                <w:highlight w:val="none"/>
                <w:lang w:val="en-US" w:eastAsia="zh-CN"/>
              </w:rPr>
              <w:t>6</w:t>
            </w:r>
            <w:r>
              <w:rPr>
                <w:rFonts w:hint="eastAsia" w:ascii="宋体" w:hAnsi="宋体" w:cs="宋体"/>
                <w:b/>
                <w:bCs/>
                <w:color w:val="auto"/>
                <w:kern w:val="0"/>
                <w:szCs w:val="21"/>
                <w:highlight w:val="none"/>
              </w:rPr>
              <w:t>年</w:t>
            </w:r>
            <w:r>
              <w:rPr>
                <w:rFonts w:hint="eastAsia" w:ascii="宋体" w:hAnsi="宋体" w:cs="宋体"/>
                <w:b/>
                <w:bCs/>
                <w:color w:val="auto"/>
                <w:kern w:val="0"/>
                <w:szCs w:val="21"/>
                <w:highlight w:val="none"/>
                <w:lang w:val="en-US" w:eastAsia="zh-CN"/>
              </w:rPr>
              <w:t>6</w:t>
            </w:r>
            <w:r>
              <w:rPr>
                <w:rFonts w:hint="eastAsia" w:ascii="宋体" w:hAnsi="宋体" w:cs="宋体"/>
                <w:b/>
                <w:bCs/>
                <w:color w:val="auto"/>
                <w:kern w:val="0"/>
                <w:szCs w:val="21"/>
                <w:highlight w:val="none"/>
              </w:rPr>
              <w:t>月</w:t>
            </w:r>
            <w:r>
              <w:rPr>
                <w:rFonts w:hint="eastAsia" w:ascii="宋体" w:hAnsi="宋体" w:cs="宋体"/>
                <w:b/>
                <w:bCs/>
                <w:color w:val="auto"/>
                <w:kern w:val="0"/>
                <w:szCs w:val="21"/>
                <w:highlight w:val="none"/>
                <w:lang w:val="en-US" w:eastAsia="zh-CN"/>
              </w:rPr>
              <w:t>26</w:t>
            </w:r>
            <w:r>
              <w:rPr>
                <w:rFonts w:hint="eastAsia" w:ascii="宋体" w:hAnsi="宋体" w:cs="宋体"/>
                <w:b/>
                <w:bCs/>
                <w:color w:val="auto"/>
                <w:kern w:val="0"/>
                <w:szCs w:val="21"/>
                <w:highlight w:val="none"/>
              </w:rPr>
              <w:t>日</w:t>
            </w:r>
            <w:r>
              <w:rPr>
                <w:rFonts w:hint="eastAsia" w:ascii="宋体" w:hAnsi="宋体" w:cs="宋体"/>
                <w:b/>
                <w:bCs/>
                <w:color w:val="auto"/>
                <w:kern w:val="0"/>
                <w:szCs w:val="21"/>
                <w:highlight w:val="none"/>
                <w:lang w:val="en-US" w:eastAsia="zh-CN"/>
              </w:rPr>
              <w:t>9</w:t>
            </w:r>
            <w:r>
              <w:rPr>
                <w:rFonts w:hint="eastAsia" w:ascii="宋体" w:hAnsi="宋体" w:cs="宋体"/>
                <w:b/>
                <w:bCs/>
                <w:color w:val="auto"/>
                <w:kern w:val="0"/>
                <w:szCs w:val="21"/>
                <w:highlight w:val="none"/>
              </w:rPr>
              <w:t>时</w:t>
            </w:r>
            <w:r>
              <w:rPr>
                <w:rFonts w:hint="eastAsia" w:ascii="宋体" w:hAnsi="宋体" w:cs="宋体"/>
                <w:b/>
                <w:bCs/>
                <w:color w:val="auto"/>
                <w:kern w:val="0"/>
                <w:szCs w:val="21"/>
                <w:highlight w:val="none"/>
                <w:lang w:val="en-US" w:eastAsia="zh-CN"/>
              </w:rPr>
              <w:t>00</w:t>
            </w:r>
            <w:r>
              <w:rPr>
                <w:rFonts w:hint="eastAsia" w:ascii="宋体" w:hAnsi="宋体" w:cs="宋体"/>
                <w:b/>
                <w:bCs/>
                <w:color w:val="auto"/>
                <w:kern w:val="0"/>
                <w:szCs w:val="21"/>
                <w:highlight w:val="none"/>
              </w:rPr>
              <w:t>分(北京时间)</w:t>
            </w:r>
          </w:p>
        </w:tc>
      </w:tr>
      <w:tr w14:paraId="37B52AC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020" w:hRule="atLeast"/>
          <w:jc w:val="center"/>
        </w:trPr>
        <w:tc>
          <w:tcPr>
            <w:tcW w:w="1544"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557E45E9">
            <w:pPr>
              <w:widowControl/>
              <w:autoSpaceDE w:val="0"/>
              <w:spacing w:line="500" w:lineRule="exact"/>
              <w:jc w:val="left"/>
              <w:rPr>
                <w:rFonts w:ascii="宋体" w:hAnsi="宋体" w:cs="宋体"/>
                <w:color w:val="auto"/>
                <w:szCs w:val="21"/>
                <w:highlight w:val="none"/>
              </w:rPr>
            </w:pPr>
            <w:r>
              <w:rPr>
                <w:rFonts w:hint="eastAsia" w:ascii="宋体" w:hAnsi="宋体" w:cs="宋体"/>
                <w:color w:val="auto"/>
                <w:szCs w:val="21"/>
                <w:highlight w:val="none"/>
              </w:rPr>
              <w:t>投标文件递交的方式</w:t>
            </w:r>
          </w:p>
        </w:tc>
        <w:tc>
          <w:tcPr>
            <w:tcW w:w="8345"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20D47D3D">
            <w:pPr>
              <w:wordWrap w:val="0"/>
              <w:spacing w:line="500" w:lineRule="exact"/>
              <w:jc w:val="left"/>
              <w:rPr>
                <w:rFonts w:ascii="宋体" w:hAnsi="宋体" w:cs="宋体"/>
                <w:color w:val="auto"/>
                <w:kern w:val="0"/>
                <w:szCs w:val="21"/>
                <w:highlight w:val="none"/>
              </w:rPr>
            </w:pPr>
            <w:r>
              <w:rPr>
                <w:rFonts w:hint="eastAsia" w:ascii="宋体" w:hAnsi="宋体" w:cs="宋体"/>
                <w:bCs/>
                <w:color w:val="auto"/>
                <w:szCs w:val="21"/>
                <w:highlight w:val="none"/>
              </w:rPr>
              <w:t>网上递交</w:t>
            </w:r>
          </w:p>
        </w:tc>
      </w:tr>
      <w:tr w14:paraId="30D63AE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4" w:hRule="atLeast"/>
          <w:jc w:val="center"/>
        </w:trPr>
        <w:tc>
          <w:tcPr>
            <w:tcW w:w="1544"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107346DD">
            <w:pPr>
              <w:widowControl/>
              <w:autoSpaceDE w:val="0"/>
              <w:spacing w:line="500" w:lineRule="exact"/>
              <w:jc w:val="left"/>
              <w:rPr>
                <w:rFonts w:ascii="宋体" w:hAnsi="宋体" w:cs="宋体"/>
                <w:color w:val="auto"/>
                <w:kern w:val="0"/>
                <w:szCs w:val="21"/>
                <w:highlight w:val="none"/>
              </w:rPr>
            </w:pPr>
            <w:r>
              <w:rPr>
                <w:rFonts w:hint="eastAsia" w:ascii="宋体" w:hAnsi="宋体" w:cs="宋体"/>
                <w:color w:val="auto"/>
                <w:szCs w:val="21"/>
                <w:highlight w:val="none"/>
              </w:rPr>
              <w:t>开标时间</w:t>
            </w:r>
          </w:p>
        </w:tc>
        <w:tc>
          <w:tcPr>
            <w:tcW w:w="8345"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566A457D">
            <w:pPr>
              <w:widowControl/>
              <w:autoSpaceDE w:val="0"/>
              <w:spacing w:line="500" w:lineRule="exact"/>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202</w:t>
            </w:r>
            <w:r>
              <w:rPr>
                <w:rFonts w:hint="eastAsia" w:ascii="宋体" w:hAnsi="宋体" w:cs="宋体"/>
                <w:b/>
                <w:bCs/>
                <w:color w:val="auto"/>
                <w:kern w:val="0"/>
                <w:szCs w:val="21"/>
                <w:highlight w:val="none"/>
                <w:lang w:val="en-US" w:eastAsia="zh-CN"/>
              </w:rPr>
              <w:t>6</w:t>
            </w:r>
            <w:r>
              <w:rPr>
                <w:rFonts w:hint="eastAsia" w:ascii="宋体" w:hAnsi="宋体" w:cs="宋体"/>
                <w:b/>
                <w:bCs/>
                <w:color w:val="auto"/>
                <w:kern w:val="0"/>
                <w:szCs w:val="21"/>
                <w:highlight w:val="none"/>
              </w:rPr>
              <w:t>年</w:t>
            </w:r>
            <w:r>
              <w:rPr>
                <w:rFonts w:hint="eastAsia" w:ascii="宋体" w:hAnsi="宋体" w:cs="宋体"/>
                <w:b/>
                <w:bCs/>
                <w:color w:val="auto"/>
                <w:kern w:val="0"/>
                <w:szCs w:val="21"/>
                <w:highlight w:val="none"/>
                <w:lang w:val="en-US" w:eastAsia="zh-CN"/>
              </w:rPr>
              <w:t>6</w:t>
            </w:r>
            <w:r>
              <w:rPr>
                <w:rFonts w:hint="eastAsia" w:ascii="宋体" w:hAnsi="宋体" w:cs="宋体"/>
                <w:b/>
                <w:bCs/>
                <w:color w:val="auto"/>
                <w:kern w:val="0"/>
                <w:szCs w:val="21"/>
                <w:highlight w:val="none"/>
              </w:rPr>
              <w:t>月</w:t>
            </w:r>
            <w:r>
              <w:rPr>
                <w:rFonts w:hint="eastAsia" w:ascii="宋体" w:hAnsi="宋体" w:cs="宋体"/>
                <w:b/>
                <w:bCs/>
                <w:color w:val="auto"/>
                <w:kern w:val="0"/>
                <w:szCs w:val="21"/>
                <w:highlight w:val="none"/>
                <w:lang w:val="en-US" w:eastAsia="zh-CN"/>
              </w:rPr>
              <w:t>26</w:t>
            </w:r>
            <w:r>
              <w:rPr>
                <w:rFonts w:hint="eastAsia" w:ascii="宋体" w:hAnsi="宋体" w:cs="宋体"/>
                <w:b/>
                <w:bCs/>
                <w:color w:val="auto"/>
                <w:kern w:val="0"/>
                <w:szCs w:val="21"/>
                <w:highlight w:val="none"/>
              </w:rPr>
              <w:t>日</w:t>
            </w:r>
            <w:r>
              <w:rPr>
                <w:rFonts w:hint="eastAsia" w:ascii="宋体" w:hAnsi="宋体" w:cs="宋体"/>
                <w:b/>
                <w:bCs/>
                <w:color w:val="auto"/>
                <w:kern w:val="0"/>
                <w:szCs w:val="21"/>
                <w:highlight w:val="none"/>
                <w:lang w:val="en-US" w:eastAsia="zh-CN"/>
              </w:rPr>
              <w:t>9</w:t>
            </w:r>
            <w:r>
              <w:rPr>
                <w:rFonts w:hint="eastAsia" w:ascii="宋体" w:hAnsi="宋体" w:cs="宋体"/>
                <w:b/>
                <w:bCs/>
                <w:color w:val="auto"/>
                <w:kern w:val="0"/>
                <w:szCs w:val="21"/>
                <w:highlight w:val="none"/>
              </w:rPr>
              <w:t>时</w:t>
            </w:r>
            <w:r>
              <w:rPr>
                <w:rFonts w:hint="eastAsia" w:ascii="宋体" w:hAnsi="宋体" w:cs="宋体"/>
                <w:b/>
                <w:bCs/>
                <w:color w:val="auto"/>
                <w:kern w:val="0"/>
                <w:szCs w:val="21"/>
                <w:highlight w:val="none"/>
                <w:lang w:val="en-US" w:eastAsia="zh-CN"/>
              </w:rPr>
              <w:t>00</w:t>
            </w:r>
            <w:r>
              <w:rPr>
                <w:rFonts w:hint="eastAsia" w:ascii="宋体" w:hAnsi="宋体" w:cs="宋体"/>
                <w:b/>
                <w:bCs/>
                <w:color w:val="auto"/>
                <w:kern w:val="0"/>
                <w:szCs w:val="21"/>
                <w:highlight w:val="none"/>
              </w:rPr>
              <w:t>分(北京时间)</w:t>
            </w:r>
          </w:p>
        </w:tc>
      </w:tr>
      <w:tr w14:paraId="1B76AD5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333" w:hRule="atLeast"/>
          <w:jc w:val="center"/>
        </w:trPr>
        <w:tc>
          <w:tcPr>
            <w:tcW w:w="1544"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2A35E875">
            <w:pPr>
              <w:widowControl/>
              <w:autoSpaceDE w:val="0"/>
              <w:spacing w:line="500" w:lineRule="exact"/>
              <w:jc w:val="left"/>
              <w:rPr>
                <w:rFonts w:ascii="宋体" w:hAnsi="宋体" w:cs="宋体"/>
                <w:color w:val="auto"/>
                <w:kern w:val="0"/>
                <w:szCs w:val="21"/>
                <w:highlight w:val="none"/>
              </w:rPr>
            </w:pPr>
            <w:r>
              <w:rPr>
                <w:rFonts w:hint="eastAsia" w:ascii="宋体" w:hAnsi="宋体" w:cs="宋体"/>
                <w:color w:val="auto"/>
                <w:szCs w:val="21"/>
                <w:highlight w:val="none"/>
              </w:rPr>
              <w:t>开标地点</w:t>
            </w:r>
          </w:p>
        </w:tc>
        <w:tc>
          <w:tcPr>
            <w:tcW w:w="8345"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09B79CBD">
            <w:pPr>
              <w:wordWrap w:val="0"/>
              <w:spacing w:line="500" w:lineRule="exact"/>
              <w:jc w:val="left"/>
              <w:rPr>
                <w:rFonts w:ascii="宋体" w:hAnsi="宋体" w:cs="宋体"/>
                <w:bCs/>
                <w:color w:val="auto"/>
                <w:szCs w:val="21"/>
                <w:highlight w:val="none"/>
              </w:rPr>
            </w:pPr>
            <w:r>
              <w:rPr>
                <w:rFonts w:hint="eastAsia" w:ascii="宋体" w:hAnsi="宋体" w:cs="宋体"/>
                <w:bCs/>
                <w:color w:val="auto"/>
                <w:szCs w:val="21"/>
                <w:highlight w:val="none"/>
              </w:rPr>
              <w:t>网上开标，投标人登录滁州市城投工程咨询有限公司不见面开标系统参与网上开标（网址：http://js.etrading.cn/EpointBidOpening/bidopeninghallaction/hall/login）。 </w:t>
            </w:r>
          </w:p>
        </w:tc>
      </w:tr>
      <w:tr w14:paraId="32C8A8E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08" w:hRule="atLeast"/>
          <w:jc w:val="center"/>
        </w:trPr>
        <w:tc>
          <w:tcPr>
            <w:tcW w:w="1544"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4552C9B8">
            <w:pPr>
              <w:widowControl/>
              <w:autoSpaceDE w:val="0"/>
              <w:spacing w:line="500" w:lineRule="exact"/>
              <w:jc w:val="left"/>
              <w:rPr>
                <w:rFonts w:ascii="宋体" w:hAnsi="宋体" w:cs="宋体"/>
                <w:color w:val="auto"/>
                <w:kern w:val="0"/>
                <w:szCs w:val="21"/>
                <w:highlight w:val="none"/>
              </w:rPr>
            </w:pPr>
            <w:r>
              <w:rPr>
                <w:rFonts w:hint="eastAsia" w:ascii="宋体" w:hAnsi="宋体" w:cs="宋体"/>
                <w:color w:val="auto"/>
                <w:szCs w:val="21"/>
                <w:highlight w:val="none"/>
              </w:rPr>
              <w:t>招标文件售价</w:t>
            </w:r>
          </w:p>
        </w:tc>
        <w:tc>
          <w:tcPr>
            <w:tcW w:w="8345"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1975823C">
            <w:pPr>
              <w:widowControl/>
              <w:autoSpaceDE w:val="0"/>
              <w:spacing w:line="50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0元</w:t>
            </w:r>
          </w:p>
        </w:tc>
      </w:tr>
      <w:tr w14:paraId="789BEED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18" w:hRule="atLeast"/>
          <w:jc w:val="center"/>
        </w:trPr>
        <w:tc>
          <w:tcPr>
            <w:tcW w:w="9889" w:type="dxa"/>
            <w:gridSpan w:val="6"/>
            <w:tcBorders>
              <w:top w:val="single" w:color="auto" w:sz="12" w:space="0"/>
              <w:left w:val="single" w:color="auto" w:sz="12" w:space="0"/>
              <w:bottom w:val="single" w:color="auto" w:sz="12" w:space="0"/>
              <w:right w:val="single" w:color="auto" w:sz="12" w:space="0"/>
            </w:tcBorders>
            <w:shd w:val="clear" w:color="auto" w:fill="auto"/>
            <w:vAlign w:val="center"/>
          </w:tcPr>
          <w:p w14:paraId="0BAF43A0">
            <w:pPr>
              <w:autoSpaceDE w:val="0"/>
              <w:spacing w:line="5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信  息  内  容</w:t>
            </w:r>
          </w:p>
        </w:tc>
      </w:tr>
      <w:tr w14:paraId="68EF40B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20" w:hRule="atLeast"/>
          <w:jc w:val="center"/>
        </w:trPr>
        <w:tc>
          <w:tcPr>
            <w:tcW w:w="1494" w:type="dxa"/>
            <w:tcBorders>
              <w:top w:val="single" w:color="auto" w:sz="12" w:space="0"/>
              <w:left w:val="single" w:color="auto" w:sz="12" w:space="0"/>
              <w:bottom w:val="single" w:color="auto" w:sz="12" w:space="0"/>
              <w:right w:val="single" w:color="auto" w:sz="12" w:space="0"/>
            </w:tcBorders>
            <w:shd w:val="clear" w:color="auto" w:fill="auto"/>
            <w:vAlign w:val="center"/>
          </w:tcPr>
          <w:p w14:paraId="4596FA80">
            <w:pPr>
              <w:widowControl/>
              <w:autoSpaceDE w:val="0"/>
              <w:spacing w:line="50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工程概况</w:t>
            </w:r>
          </w:p>
        </w:tc>
        <w:tc>
          <w:tcPr>
            <w:tcW w:w="8395" w:type="dxa"/>
            <w:gridSpan w:val="5"/>
            <w:tcBorders>
              <w:top w:val="single" w:color="auto" w:sz="12" w:space="0"/>
              <w:left w:val="single" w:color="auto" w:sz="12" w:space="0"/>
              <w:bottom w:val="single" w:color="auto" w:sz="12" w:space="0"/>
              <w:right w:val="single" w:color="auto" w:sz="12" w:space="0"/>
            </w:tcBorders>
            <w:shd w:val="clear" w:color="auto" w:fill="auto"/>
            <w:vAlign w:val="center"/>
          </w:tcPr>
          <w:p w14:paraId="647CE395">
            <w:pPr>
              <w:widowControl/>
              <w:autoSpaceDE w:val="0"/>
              <w:spacing w:line="500" w:lineRule="exact"/>
              <w:jc w:val="left"/>
              <w:rPr>
                <w:rFonts w:ascii="宋体" w:hAnsi="宋体" w:cs="宋体"/>
                <w:bCs/>
                <w:color w:val="auto"/>
                <w:kern w:val="0"/>
                <w:szCs w:val="21"/>
                <w:highlight w:val="none"/>
              </w:rPr>
            </w:pPr>
            <w:r>
              <w:rPr>
                <w:rFonts w:hint="eastAsia" w:ascii="宋体" w:hAnsi="宋体" w:cs="宋体"/>
                <w:color w:val="auto"/>
                <w:szCs w:val="21"/>
                <w:highlight w:val="none"/>
              </w:rPr>
              <w:t>本工程工程量清单中的所有内容</w:t>
            </w:r>
          </w:p>
        </w:tc>
      </w:tr>
      <w:tr w14:paraId="23F7C6B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90" w:hRule="atLeast"/>
          <w:jc w:val="center"/>
        </w:trPr>
        <w:tc>
          <w:tcPr>
            <w:tcW w:w="1494" w:type="dxa"/>
            <w:tcBorders>
              <w:top w:val="single" w:color="auto" w:sz="12" w:space="0"/>
              <w:left w:val="single" w:color="auto" w:sz="12" w:space="0"/>
              <w:bottom w:val="single" w:color="auto" w:sz="12" w:space="0"/>
              <w:right w:val="single" w:color="auto" w:sz="12" w:space="0"/>
            </w:tcBorders>
            <w:shd w:val="clear" w:color="auto" w:fill="auto"/>
            <w:vAlign w:val="center"/>
          </w:tcPr>
          <w:p w14:paraId="44002A3F">
            <w:pPr>
              <w:autoSpaceDE w:val="0"/>
              <w:spacing w:line="500" w:lineRule="exact"/>
              <w:jc w:val="left"/>
              <w:rPr>
                <w:rFonts w:ascii="宋体" w:hAnsi="宋体" w:cs="宋体"/>
                <w:color w:val="auto"/>
                <w:szCs w:val="21"/>
                <w:highlight w:val="none"/>
              </w:rPr>
            </w:pPr>
            <w:r>
              <w:rPr>
                <w:rFonts w:hint="eastAsia" w:ascii="宋体" w:hAnsi="宋体" w:cs="宋体"/>
                <w:color w:val="auto"/>
                <w:szCs w:val="21"/>
                <w:highlight w:val="none"/>
              </w:rPr>
              <w:t>标段划分</w:t>
            </w:r>
          </w:p>
        </w:tc>
        <w:tc>
          <w:tcPr>
            <w:tcW w:w="8395" w:type="dxa"/>
            <w:gridSpan w:val="5"/>
            <w:tcBorders>
              <w:top w:val="single" w:color="auto" w:sz="12" w:space="0"/>
              <w:left w:val="single" w:color="auto" w:sz="12" w:space="0"/>
              <w:bottom w:val="single" w:color="auto" w:sz="12" w:space="0"/>
              <w:right w:val="single" w:color="auto" w:sz="12" w:space="0"/>
            </w:tcBorders>
            <w:shd w:val="clear" w:color="auto" w:fill="auto"/>
            <w:vAlign w:val="center"/>
          </w:tcPr>
          <w:p w14:paraId="7750885E">
            <w:pPr>
              <w:autoSpaceDE w:val="0"/>
              <w:spacing w:line="500" w:lineRule="exact"/>
              <w:jc w:val="left"/>
              <w:rPr>
                <w:rFonts w:ascii="宋体" w:hAnsi="宋体" w:cs="宋体"/>
                <w:color w:val="auto"/>
                <w:szCs w:val="21"/>
                <w:highlight w:val="none"/>
              </w:rPr>
            </w:pPr>
            <w:r>
              <w:rPr>
                <w:rFonts w:hint="eastAsia" w:ascii="宋体" w:hAnsi="宋体" w:cs="宋体"/>
                <w:color w:val="auto"/>
                <w:szCs w:val="21"/>
                <w:highlight w:val="none"/>
              </w:rPr>
              <w:t>一个标段</w:t>
            </w:r>
          </w:p>
        </w:tc>
      </w:tr>
      <w:tr w14:paraId="0DB7C7D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12" w:hRule="atLeast"/>
          <w:jc w:val="center"/>
        </w:trPr>
        <w:tc>
          <w:tcPr>
            <w:tcW w:w="1494" w:type="dxa"/>
            <w:tcBorders>
              <w:top w:val="single" w:color="auto" w:sz="12" w:space="0"/>
              <w:left w:val="single" w:color="auto" w:sz="12" w:space="0"/>
              <w:bottom w:val="single" w:color="auto" w:sz="12" w:space="0"/>
              <w:right w:val="single" w:color="auto" w:sz="12" w:space="0"/>
            </w:tcBorders>
            <w:shd w:val="clear" w:color="auto" w:fill="auto"/>
            <w:vAlign w:val="center"/>
          </w:tcPr>
          <w:p w14:paraId="334EF626">
            <w:pPr>
              <w:autoSpaceDE w:val="0"/>
              <w:spacing w:line="500" w:lineRule="exact"/>
              <w:jc w:val="left"/>
              <w:rPr>
                <w:rFonts w:ascii="宋体" w:hAnsi="宋体" w:cs="宋体"/>
                <w:color w:val="auto"/>
                <w:szCs w:val="21"/>
                <w:highlight w:val="none"/>
              </w:rPr>
            </w:pPr>
            <w:r>
              <w:rPr>
                <w:rFonts w:hint="eastAsia" w:ascii="宋体" w:hAnsi="宋体" w:cs="宋体"/>
                <w:color w:val="auto"/>
                <w:szCs w:val="21"/>
                <w:highlight w:val="none"/>
              </w:rPr>
              <w:t>评标办法</w:t>
            </w:r>
          </w:p>
        </w:tc>
        <w:tc>
          <w:tcPr>
            <w:tcW w:w="2637"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12B24959">
            <w:pPr>
              <w:autoSpaceDE w:val="0"/>
              <w:spacing w:line="500" w:lineRule="exact"/>
              <w:jc w:val="left"/>
              <w:rPr>
                <w:rFonts w:hint="eastAsia" w:ascii="宋体" w:hAnsi="宋体" w:eastAsia="宋体" w:cs="宋体"/>
                <w:color w:val="auto"/>
                <w:szCs w:val="21"/>
                <w:highlight w:val="none"/>
                <w:lang w:eastAsia="zh-CN"/>
              </w:rPr>
            </w:pPr>
            <w:r>
              <w:rPr>
                <w:rFonts w:hint="eastAsia" w:ascii="宋体" w:hAnsi="宋体" w:cs="宋体"/>
                <w:b/>
                <w:bCs/>
                <w:color w:val="auto"/>
                <w:szCs w:val="21"/>
                <w:highlight w:val="none"/>
                <w:lang w:eastAsia="zh-CN"/>
              </w:rPr>
              <w:t>合理低价法</w:t>
            </w:r>
          </w:p>
        </w:tc>
        <w:tc>
          <w:tcPr>
            <w:tcW w:w="2463"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1AF8EB61">
            <w:pPr>
              <w:autoSpaceDE w:val="0"/>
              <w:spacing w:line="500" w:lineRule="exact"/>
              <w:jc w:val="left"/>
              <w:rPr>
                <w:rFonts w:ascii="宋体" w:hAnsi="宋体" w:cs="宋体"/>
                <w:color w:val="auto"/>
                <w:szCs w:val="21"/>
                <w:highlight w:val="none"/>
              </w:rPr>
            </w:pPr>
            <w:r>
              <w:rPr>
                <w:rFonts w:hint="eastAsia" w:ascii="宋体" w:hAnsi="宋体" w:cs="宋体"/>
                <w:color w:val="auto"/>
                <w:kern w:val="0"/>
                <w:szCs w:val="21"/>
                <w:highlight w:val="none"/>
              </w:rPr>
              <w:t>工程款支付方式</w:t>
            </w:r>
          </w:p>
        </w:tc>
        <w:tc>
          <w:tcPr>
            <w:tcW w:w="3295" w:type="dxa"/>
            <w:tcBorders>
              <w:top w:val="single" w:color="auto" w:sz="12" w:space="0"/>
              <w:left w:val="single" w:color="auto" w:sz="12" w:space="0"/>
              <w:bottom w:val="single" w:color="auto" w:sz="12" w:space="0"/>
              <w:right w:val="single" w:color="auto" w:sz="12" w:space="0"/>
            </w:tcBorders>
            <w:shd w:val="clear" w:color="auto" w:fill="auto"/>
            <w:vAlign w:val="center"/>
          </w:tcPr>
          <w:p w14:paraId="0F4BD3E1">
            <w:pPr>
              <w:autoSpaceDE w:val="0"/>
              <w:spacing w:line="500" w:lineRule="exact"/>
              <w:jc w:val="left"/>
              <w:rPr>
                <w:rFonts w:ascii="宋体" w:hAnsi="宋体" w:cs="宋体"/>
                <w:color w:val="auto"/>
                <w:szCs w:val="21"/>
                <w:highlight w:val="none"/>
              </w:rPr>
            </w:pPr>
            <w:r>
              <w:rPr>
                <w:rFonts w:hint="eastAsia" w:ascii="宋体" w:hAnsi="宋体" w:cs="宋体"/>
                <w:color w:val="auto"/>
                <w:szCs w:val="21"/>
                <w:highlight w:val="none"/>
              </w:rPr>
              <w:t>详见招标文件</w:t>
            </w:r>
          </w:p>
        </w:tc>
      </w:tr>
      <w:tr w14:paraId="46855A2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17" w:hRule="atLeast"/>
          <w:jc w:val="center"/>
        </w:trPr>
        <w:tc>
          <w:tcPr>
            <w:tcW w:w="1494" w:type="dxa"/>
            <w:tcBorders>
              <w:top w:val="single" w:color="auto" w:sz="12" w:space="0"/>
              <w:left w:val="single" w:color="auto" w:sz="12" w:space="0"/>
              <w:bottom w:val="single" w:color="auto" w:sz="12" w:space="0"/>
              <w:right w:val="single" w:color="auto" w:sz="12" w:space="0"/>
            </w:tcBorders>
            <w:shd w:val="clear" w:color="auto" w:fill="auto"/>
            <w:vAlign w:val="center"/>
          </w:tcPr>
          <w:p w14:paraId="1C44F08C">
            <w:pPr>
              <w:autoSpaceDE w:val="0"/>
              <w:spacing w:line="500" w:lineRule="exact"/>
              <w:jc w:val="left"/>
              <w:rPr>
                <w:rFonts w:ascii="宋体" w:hAnsi="宋体" w:cs="宋体"/>
                <w:color w:val="auto"/>
                <w:szCs w:val="21"/>
                <w:highlight w:val="none"/>
              </w:rPr>
            </w:pPr>
            <w:r>
              <w:rPr>
                <w:rFonts w:hint="eastAsia" w:ascii="宋体" w:hAnsi="宋体" w:cs="宋体"/>
                <w:color w:val="auto"/>
                <w:szCs w:val="21"/>
                <w:highlight w:val="none"/>
              </w:rPr>
              <w:t>工程概算</w:t>
            </w:r>
          </w:p>
        </w:tc>
        <w:tc>
          <w:tcPr>
            <w:tcW w:w="2637"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59954D2C">
            <w:pPr>
              <w:autoSpaceDE w:val="0"/>
              <w:spacing w:line="500" w:lineRule="exact"/>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约10.1万元</w:t>
            </w:r>
          </w:p>
        </w:tc>
        <w:tc>
          <w:tcPr>
            <w:tcW w:w="2463"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425E4DC5">
            <w:pPr>
              <w:autoSpaceDE w:val="0"/>
              <w:spacing w:line="50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计划工期</w:t>
            </w:r>
          </w:p>
        </w:tc>
        <w:tc>
          <w:tcPr>
            <w:tcW w:w="3295" w:type="dxa"/>
            <w:tcBorders>
              <w:top w:val="single" w:color="auto" w:sz="12" w:space="0"/>
              <w:left w:val="single" w:color="auto" w:sz="12" w:space="0"/>
              <w:bottom w:val="single" w:color="auto" w:sz="12" w:space="0"/>
              <w:right w:val="single" w:color="auto" w:sz="12" w:space="0"/>
            </w:tcBorders>
            <w:shd w:val="clear" w:color="auto" w:fill="auto"/>
            <w:vAlign w:val="center"/>
          </w:tcPr>
          <w:p w14:paraId="7A261985">
            <w:pPr>
              <w:autoSpaceDE w:val="0"/>
              <w:spacing w:line="500" w:lineRule="exact"/>
              <w:jc w:val="left"/>
              <w:rPr>
                <w:rFonts w:ascii="宋体" w:hAnsi="宋体" w:cs="宋体"/>
                <w:color w:val="auto"/>
                <w:szCs w:val="21"/>
                <w:highlight w:val="none"/>
              </w:rPr>
            </w:pPr>
            <w:r>
              <w:rPr>
                <w:rFonts w:hint="eastAsia" w:ascii="宋体" w:hAnsi="宋体" w:cs="宋体"/>
                <w:color w:val="auto"/>
                <w:szCs w:val="21"/>
                <w:highlight w:val="none"/>
              </w:rPr>
              <w:t>详见招标文件</w:t>
            </w:r>
          </w:p>
        </w:tc>
      </w:tr>
      <w:tr w14:paraId="07C76F4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17" w:hRule="atLeast"/>
          <w:jc w:val="center"/>
        </w:trPr>
        <w:tc>
          <w:tcPr>
            <w:tcW w:w="1494" w:type="dxa"/>
            <w:tcBorders>
              <w:top w:val="single" w:color="auto" w:sz="12" w:space="0"/>
              <w:left w:val="single" w:color="auto" w:sz="12" w:space="0"/>
              <w:bottom w:val="single" w:color="auto" w:sz="12" w:space="0"/>
              <w:right w:val="single" w:color="auto" w:sz="12" w:space="0"/>
            </w:tcBorders>
            <w:shd w:val="clear" w:color="auto" w:fill="auto"/>
            <w:vAlign w:val="center"/>
          </w:tcPr>
          <w:p w14:paraId="5684B001">
            <w:pPr>
              <w:autoSpaceDE w:val="0"/>
              <w:spacing w:line="50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资金来源</w:t>
            </w:r>
          </w:p>
        </w:tc>
        <w:tc>
          <w:tcPr>
            <w:tcW w:w="2637"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3D716DF0">
            <w:pPr>
              <w:autoSpaceDE w:val="0"/>
              <w:spacing w:line="500" w:lineRule="exact"/>
              <w:jc w:val="left"/>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自筹</w:t>
            </w:r>
            <w:r>
              <w:rPr>
                <w:rFonts w:hint="eastAsia" w:ascii="宋体" w:hAnsi="宋体" w:cs="宋体"/>
                <w:color w:val="auto"/>
                <w:kern w:val="0"/>
                <w:szCs w:val="21"/>
                <w:highlight w:val="none"/>
              </w:rPr>
              <w:t>资金</w:t>
            </w:r>
          </w:p>
        </w:tc>
        <w:tc>
          <w:tcPr>
            <w:tcW w:w="2463"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218C6A12">
            <w:pPr>
              <w:autoSpaceDE w:val="0"/>
              <w:spacing w:line="500" w:lineRule="exact"/>
              <w:jc w:val="left"/>
              <w:rPr>
                <w:rFonts w:ascii="宋体" w:hAnsi="宋体" w:cs="宋体"/>
                <w:color w:val="auto"/>
                <w:spacing w:val="-4"/>
                <w:kern w:val="0"/>
                <w:szCs w:val="21"/>
                <w:highlight w:val="none"/>
              </w:rPr>
            </w:pPr>
            <w:r>
              <w:rPr>
                <w:rFonts w:hint="eastAsia" w:ascii="宋体" w:hAnsi="宋体" w:cs="宋体"/>
                <w:color w:val="auto"/>
                <w:szCs w:val="21"/>
                <w:highlight w:val="none"/>
              </w:rPr>
              <w:t>招标文件等获取方式</w:t>
            </w:r>
          </w:p>
        </w:tc>
        <w:tc>
          <w:tcPr>
            <w:tcW w:w="3295" w:type="dxa"/>
            <w:tcBorders>
              <w:top w:val="single" w:color="auto" w:sz="12" w:space="0"/>
              <w:left w:val="single" w:color="auto" w:sz="12" w:space="0"/>
              <w:bottom w:val="single" w:color="auto" w:sz="12" w:space="0"/>
              <w:right w:val="single" w:color="auto" w:sz="12" w:space="0"/>
            </w:tcBorders>
            <w:shd w:val="clear" w:color="auto" w:fill="auto"/>
            <w:vAlign w:val="center"/>
          </w:tcPr>
          <w:p w14:paraId="04C564C2">
            <w:pPr>
              <w:autoSpaceDE w:val="0"/>
              <w:spacing w:line="500" w:lineRule="exact"/>
              <w:jc w:val="left"/>
              <w:rPr>
                <w:rFonts w:ascii="宋体" w:hAnsi="宋体" w:cs="宋体"/>
                <w:color w:val="auto"/>
                <w:spacing w:val="-4"/>
                <w:kern w:val="0"/>
                <w:szCs w:val="21"/>
                <w:highlight w:val="none"/>
              </w:rPr>
            </w:pPr>
            <w:r>
              <w:rPr>
                <w:rFonts w:hint="eastAsia" w:ascii="宋体" w:hAnsi="宋体" w:cs="宋体"/>
                <w:color w:val="auto"/>
                <w:szCs w:val="21"/>
                <w:highlight w:val="none"/>
              </w:rPr>
              <w:t>网上下载</w:t>
            </w:r>
          </w:p>
        </w:tc>
      </w:tr>
      <w:tr w14:paraId="00B8F7B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4" w:hRule="atLeast"/>
          <w:jc w:val="center"/>
        </w:trPr>
        <w:tc>
          <w:tcPr>
            <w:tcW w:w="9889" w:type="dxa"/>
            <w:gridSpan w:val="6"/>
            <w:tcBorders>
              <w:top w:val="single" w:color="auto" w:sz="12" w:space="0"/>
              <w:left w:val="single" w:color="auto" w:sz="12" w:space="0"/>
              <w:bottom w:val="single" w:color="auto" w:sz="12" w:space="0"/>
              <w:right w:val="single" w:color="auto" w:sz="12" w:space="0"/>
            </w:tcBorders>
            <w:shd w:val="clear" w:color="auto" w:fill="auto"/>
            <w:vAlign w:val="center"/>
          </w:tcPr>
          <w:p w14:paraId="1B49C6E5">
            <w:pPr>
              <w:autoSpaceDE w:val="0"/>
              <w:spacing w:line="500" w:lineRule="exact"/>
              <w:jc w:val="left"/>
              <w:rPr>
                <w:rFonts w:ascii="宋体" w:hAnsi="宋体" w:cs="宋体"/>
                <w:color w:val="auto"/>
                <w:szCs w:val="21"/>
                <w:highlight w:val="none"/>
              </w:rPr>
            </w:pPr>
            <w:r>
              <w:rPr>
                <w:rFonts w:hint="eastAsia" w:ascii="宋体" w:hAnsi="宋体" w:cs="宋体"/>
                <w:color w:val="auto"/>
                <w:szCs w:val="21"/>
                <w:highlight w:val="none"/>
              </w:rPr>
              <w:t>是否要求提交投标保证金：不要求。</w:t>
            </w:r>
          </w:p>
        </w:tc>
      </w:tr>
      <w:tr w14:paraId="2719923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05" w:hRule="atLeast"/>
          <w:jc w:val="center"/>
        </w:trPr>
        <w:tc>
          <w:tcPr>
            <w:tcW w:w="9889" w:type="dxa"/>
            <w:gridSpan w:val="6"/>
            <w:tcBorders>
              <w:top w:val="single" w:color="auto" w:sz="12" w:space="0"/>
              <w:left w:val="single" w:color="auto" w:sz="12" w:space="0"/>
              <w:bottom w:val="single" w:color="auto" w:sz="12" w:space="0"/>
              <w:right w:val="single" w:color="auto" w:sz="12" w:space="0"/>
            </w:tcBorders>
            <w:shd w:val="clear" w:color="auto" w:fill="auto"/>
            <w:vAlign w:val="center"/>
          </w:tcPr>
          <w:p w14:paraId="0DB580B7">
            <w:pPr>
              <w:autoSpaceDE w:val="0"/>
              <w:spacing w:line="500" w:lineRule="exact"/>
              <w:jc w:val="left"/>
              <w:rPr>
                <w:rFonts w:ascii="宋体" w:hAnsi="宋体" w:cs="宋体"/>
                <w:color w:val="auto"/>
                <w:kern w:val="0"/>
                <w:szCs w:val="21"/>
                <w:highlight w:val="none"/>
              </w:rPr>
            </w:pPr>
            <w:r>
              <w:rPr>
                <w:rFonts w:hint="eastAsia" w:ascii="宋体" w:hAnsi="宋体" w:cs="宋体"/>
                <w:color w:val="auto"/>
                <w:szCs w:val="21"/>
                <w:highlight w:val="none"/>
              </w:rPr>
              <w:t>招标文件获取方式：投标人从滁州市城投工程咨询管理有限公司官网（https://www.czctgczx.com/）下载。</w:t>
            </w:r>
          </w:p>
        </w:tc>
      </w:tr>
      <w:tr w14:paraId="00646CF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59" w:hRule="atLeast"/>
          <w:jc w:val="center"/>
        </w:trPr>
        <w:tc>
          <w:tcPr>
            <w:tcW w:w="9889" w:type="dxa"/>
            <w:gridSpan w:val="6"/>
            <w:tcBorders>
              <w:top w:val="single" w:color="auto" w:sz="12" w:space="0"/>
              <w:left w:val="single" w:color="auto" w:sz="12" w:space="0"/>
              <w:bottom w:val="single" w:color="auto" w:sz="12" w:space="0"/>
              <w:right w:val="single" w:color="auto" w:sz="12" w:space="0"/>
            </w:tcBorders>
            <w:shd w:val="clear" w:color="auto" w:fill="auto"/>
            <w:vAlign w:val="center"/>
          </w:tcPr>
          <w:p w14:paraId="0594980E">
            <w:pPr>
              <w:autoSpaceDE w:val="0"/>
              <w:spacing w:line="50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招标文件获取时间：</w:t>
            </w:r>
            <w:r>
              <w:rPr>
                <w:rFonts w:hint="eastAsia" w:ascii="宋体" w:hAnsi="宋体" w:cs="宋体"/>
                <w:b/>
                <w:bCs/>
                <w:color w:val="auto"/>
                <w:kern w:val="0"/>
                <w:szCs w:val="21"/>
                <w:highlight w:val="none"/>
              </w:rPr>
              <w:t>202</w:t>
            </w:r>
            <w:r>
              <w:rPr>
                <w:rFonts w:hint="eastAsia" w:ascii="宋体" w:hAnsi="宋体" w:cs="宋体"/>
                <w:b/>
                <w:bCs/>
                <w:color w:val="auto"/>
                <w:kern w:val="0"/>
                <w:szCs w:val="21"/>
                <w:highlight w:val="none"/>
                <w:lang w:val="en-US" w:eastAsia="zh-CN"/>
              </w:rPr>
              <w:t>6</w:t>
            </w:r>
            <w:r>
              <w:rPr>
                <w:rFonts w:hint="eastAsia" w:ascii="宋体" w:hAnsi="宋体" w:cs="宋体"/>
                <w:b/>
                <w:bCs/>
                <w:color w:val="auto"/>
                <w:kern w:val="0"/>
                <w:szCs w:val="21"/>
                <w:highlight w:val="none"/>
              </w:rPr>
              <w:t>年</w:t>
            </w:r>
            <w:r>
              <w:rPr>
                <w:rFonts w:hint="eastAsia" w:ascii="宋体" w:hAnsi="宋体" w:cs="宋体"/>
                <w:b/>
                <w:bCs/>
                <w:color w:val="auto"/>
                <w:kern w:val="0"/>
                <w:szCs w:val="21"/>
                <w:highlight w:val="none"/>
                <w:lang w:val="en-US" w:eastAsia="zh-CN"/>
              </w:rPr>
              <w:t>6</w:t>
            </w:r>
            <w:r>
              <w:rPr>
                <w:rFonts w:hint="eastAsia" w:ascii="宋体" w:hAnsi="宋体" w:cs="宋体"/>
                <w:b/>
                <w:bCs/>
                <w:color w:val="auto"/>
                <w:kern w:val="0"/>
                <w:szCs w:val="21"/>
                <w:highlight w:val="none"/>
              </w:rPr>
              <w:t>月</w:t>
            </w:r>
            <w:r>
              <w:rPr>
                <w:rFonts w:hint="eastAsia" w:ascii="宋体" w:hAnsi="宋体" w:cs="宋体"/>
                <w:b/>
                <w:bCs/>
                <w:color w:val="auto"/>
                <w:kern w:val="0"/>
                <w:szCs w:val="21"/>
                <w:highlight w:val="none"/>
                <w:lang w:val="en-US" w:eastAsia="zh-CN"/>
              </w:rPr>
              <w:t>18</w:t>
            </w:r>
            <w:r>
              <w:rPr>
                <w:rFonts w:hint="eastAsia" w:ascii="宋体" w:hAnsi="宋体" w:cs="宋体"/>
                <w:b/>
                <w:bCs/>
                <w:color w:val="auto"/>
                <w:kern w:val="0"/>
                <w:szCs w:val="21"/>
                <w:highlight w:val="none"/>
              </w:rPr>
              <w:t>日17时后</w:t>
            </w:r>
            <w:r>
              <w:rPr>
                <w:rFonts w:hint="eastAsia" w:ascii="宋体" w:hAnsi="宋体" w:cs="宋体"/>
                <w:color w:val="auto"/>
                <w:kern w:val="0"/>
                <w:szCs w:val="21"/>
                <w:highlight w:val="none"/>
              </w:rPr>
              <w:t>，如投标人不及时下载招标文件，造成后果由投标人自负。</w:t>
            </w:r>
          </w:p>
        </w:tc>
      </w:tr>
      <w:tr w14:paraId="711620E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982" w:hRule="atLeast"/>
          <w:jc w:val="center"/>
        </w:trPr>
        <w:tc>
          <w:tcPr>
            <w:tcW w:w="4639"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6CDC566E">
            <w:pPr>
              <w:widowControl/>
              <w:autoSpaceDE w:val="0"/>
              <w:spacing w:line="500" w:lineRule="exact"/>
              <w:jc w:val="left"/>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招标人名称：</w:t>
            </w:r>
            <w:r>
              <w:rPr>
                <w:rFonts w:hint="eastAsia" w:ascii="宋体" w:hAnsi="宋体" w:cs="宋体"/>
                <w:color w:val="auto"/>
                <w:kern w:val="0"/>
                <w:szCs w:val="21"/>
                <w:highlight w:val="none"/>
                <w:lang w:eastAsia="zh-CN"/>
              </w:rPr>
              <w:t>滁州市公共交通有限公司</w:t>
            </w:r>
          </w:p>
          <w:p w14:paraId="4C3EB27C">
            <w:pPr>
              <w:widowControl/>
              <w:autoSpaceDE w:val="0"/>
              <w:spacing w:line="500" w:lineRule="exact"/>
              <w:jc w:val="left"/>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地址：</w:t>
            </w:r>
            <w:r>
              <w:rPr>
                <w:rFonts w:hint="eastAsia" w:ascii="宋体" w:hAnsi="宋体" w:cs="宋体"/>
                <w:color w:val="auto"/>
                <w:kern w:val="0"/>
                <w:szCs w:val="21"/>
                <w:highlight w:val="none"/>
                <w:lang w:eastAsia="zh-CN"/>
              </w:rPr>
              <w:t>滁州市花园东路766号</w:t>
            </w:r>
          </w:p>
          <w:p w14:paraId="3F7B8D48">
            <w:pPr>
              <w:widowControl/>
              <w:autoSpaceDE w:val="0"/>
              <w:spacing w:line="500" w:lineRule="exact"/>
              <w:jc w:val="left"/>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联 系 人：</w:t>
            </w:r>
            <w:r>
              <w:rPr>
                <w:rFonts w:hint="eastAsia" w:ascii="宋体" w:hAnsi="宋体" w:cs="宋体"/>
                <w:color w:val="auto"/>
                <w:kern w:val="0"/>
                <w:szCs w:val="21"/>
                <w:highlight w:val="none"/>
                <w:lang w:eastAsia="zh-CN"/>
              </w:rPr>
              <w:t>安孝武</w:t>
            </w:r>
          </w:p>
          <w:p w14:paraId="6B08890D">
            <w:pPr>
              <w:widowControl/>
              <w:autoSpaceDE w:val="0"/>
              <w:spacing w:line="500" w:lineRule="exact"/>
              <w:jc w:val="left"/>
              <w:rPr>
                <w:rFonts w:hint="eastAsia" w:ascii="宋体" w:hAnsi="宋体" w:eastAsia="宋体" w:cs="宋体"/>
                <w:color w:val="auto"/>
                <w:szCs w:val="21"/>
                <w:highlight w:val="none"/>
                <w:lang w:eastAsia="zh-CN"/>
              </w:rPr>
            </w:pPr>
            <w:r>
              <w:rPr>
                <w:rFonts w:hint="eastAsia" w:ascii="宋体" w:hAnsi="宋体" w:cs="宋体"/>
                <w:color w:val="auto"/>
                <w:kern w:val="0"/>
                <w:szCs w:val="21"/>
                <w:highlight w:val="none"/>
              </w:rPr>
              <w:t>联系方式：</w:t>
            </w:r>
            <w:r>
              <w:rPr>
                <w:rFonts w:hint="eastAsia" w:ascii="宋体" w:hAnsi="宋体" w:cs="宋体"/>
                <w:color w:val="auto"/>
                <w:kern w:val="0"/>
                <w:szCs w:val="21"/>
                <w:highlight w:val="none"/>
                <w:lang w:eastAsia="zh-CN"/>
              </w:rPr>
              <w:t>18365290581</w:t>
            </w:r>
          </w:p>
        </w:tc>
        <w:tc>
          <w:tcPr>
            <w:tcW w:w="5250"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5A727D8F">
            <w:pPr>
              <w:widowControl/>
              <w:autoSpaceDE w:val="0"/>
              <w:spacing w:line="50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代理机构名称：滁州市城投工程咨询管理有限公司</w:t>
            </w:r>
          </w:p>
          <w:p w14:paraId="6DFD4482">
            <w:pPr>
              <w:widowControl/>
              <w:autoSpaceDE w:val="0"/>
              <w:spacing w:line="50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地址：滁州市龙蟠大道109号房产商务大厦6楼</w:t>
            </w:r>
          </w:p>
          <w:p w14:paraId="0781598E">
            <w:pPr>
              <w:widowControl/>
              <w:autoSpaceDE w:val="0"/>
              <w:spacing w:line="500" w:lineRule="exact"/>
              <w:jc w:val="left"/>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联系人：</w:t>
            </w:r>
            <w:r>
              <w:rPr>
                <w:rFonts w:hint="eastAsia" w:ascii="宋体" w:hAnsi="宋体" w:cs="宋体"/>
                <w:color w:val="auto"/>
                <w:kern w:val="0"/>
                <w:szCs w:val="21"/>
                <w:highlight w:val="none"/>
                <w:lang w:eastAsia="zh-CN"/>
              </w:rPr>
              <w:t>周晓培</w:t>
            </w:r>
          </w:p>
          <w:p w14:paraId="19CF6FB9">
            <w:pPr>
              <w:widowControl/>
              <w:autoSpaceDE w:val="0"/>
              <w:spacing w:line="500" w:lineRule="exact"/>
              <w:jc w:val="left"/>
              <w:rPr>
                <w:rFonts w:hint="eastAsia" w:ascii="宋体" w:hAnsi="宋体" w:eastAsia="宋体" w:cs="宋体"/>
                <w:color w:val="auto"/>
                <w:kern w:val="0"/>
                <w:szCs w:val="21"/>
                <w:highlight w:val="none"/>
                <w:u w:val="single"/>
                <w:lang w:eastAsia="zh-CN"/>
              </w:rPr>
            </w:pPr>
            <w:r>
              <w:rPr>
                <w:rFonts w:hint="eastAsia" w:ascii="宋体" w:hAnsi="宋体" w:cs="宋体"/>
                <w:color w:val="auto"/>
                <w:kern w:val="0"/>
                <w:szCs w:val="21"/>
                <w:highlight w:val="none"/>
              </w:rPr>
              <w:t>联系方式：</w:t>
            </w:r>
            <w:r>
              <w:rPr>
                <w:rFonts w:hint="eastAsia" w:ascii="宋体" w:hAnsi="宋体" w:cs="宋体"/>
                <w:color w:val="auto"/>
                <w:kern w:val="0"/>
                <w:szCs w:val="21"/>
                <w:highlight w:val="none"/>
                <w:lang w:eastAsia="zh-CN"/>
              </w:rPr>
              <w:t>0550-3519512</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eastAsia="zh-CN"/>
              </w:rPr>
              <w:t>18255055896</w:t>
            </w:r>
          </w:p>
        </w:tc>
      </w:tr>
      <w:tr w14:paraId="19F655B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302" w:hRule="atLeast"/>
          <w:jc w:val="center"/>
        </w:trPr>
        <w:tc>
          <w:tcPr>
            <w:tcW w:w="9889" w:type="dxa"/>
            <w:gridSpan w:val="6"/>
            <w:tcBorders>
              <w:top w:val="single" w:color="auto" w:sz="12" w:space="0"/>
              <w:left w:val="single" w:color="auto" w:sz="12" w:space="0"/>
              <w:bottom w:val="single" w:color="auto" w:sz="12" w:space="0"/>
              <w:right w:val="single" w:color="auto" w:sz="12" w:space="0"/>
            </w:tcBorders>
            <w:shd w:val="clear" w:color="auto" w:fill="auto"/>
            <w:vAlign w:val="center"/>
          </w:tcPr>
          <w:p w14:paraId="14C27B59">
            <w:pPr>
              <w:widowControl/>
              <w:wordWrap w:val="0"/>
              <w:spacing w:line="500" w:lineRule="exact"/>
              <w:jc w:val="left"/>
              <w:rPr>
                <w:rFonts w:ascii="宋体" w:hAnsi="宋体" w:cs="宋体"/>
                <w:b/>
                <w:color w:val="auto"/>
                <w:szCs w:val="21"/>
                <w:highlight w:val="none"/>
              </w:rPr>
            </w:pPr>
            <w:r>
              <w:rPr>
                <w:rFonts w:hint="eastAsia" w:ascii="宋体" w:hAnsi="宋体" w:cs="宋体"/>
                <w:b/>
                <w:color w:val="auto"/>
                <w:szCs w:val="21"/>
                <w:highlight w:val="none"/>
              </w:rPr>
              <w:t>其他补充事宜：</w:t>
            </w:r>
          </w:p>
          <w:p w14:paraId="144C8748">
            <w:pPr>
              <w:widowControl/>
              <w:wordWrap w:val="0"/>
              <w:spacing w:line="500" w:lineRule="exact"/>
              <w:jc w:val="left"/>
              <w:rPr>
                <w:rFonts w:ascii="宋体" w:hAnsi="宋体" w:cs="宋体"/>
                <w:color w:val="auto"/>
                <w:szCs w:val="21"/>
                <w:highlight w:val="none"/>
              </w:rPr>
            </w:pPr>
            <w:r>
              <w:rPr>
                <w:rFonts w:hint="eastAsia" w:ascii="宋体" w:hAnsi="宋体" w:cs="宋体"/>
                <w:color w:val="auto"/>
                <w:szCs w:val="21"/>
                <w:highlight w:val="none"/>
              </w:rPr>
              <w:t>1.投标人从滁州市城投工程咨询管理有限公司（https://www.czctgczx.com/）下载。投标人自行承担因未按要求获取招标文件导致无法上传电子投标文件的风险。方式：（1）投标人须登录新点电子交易平台【滁州专区】查询、获取采购文件。首次登录办理入库手续，办理入库不收取任何费用。新点电子招投标统一认证平台使用相关问题（如系统登录、信息登记、录入及提交、数字证书关联等）请拨打服务电话：</w:t>
            </w:r>
            <w:r>
              <w:rPr>
                <w:rFonts w:hint="eastAsia" w:ascii="宋体" w:hAnsi="宋体" w:cs="宋体"/>
                <w:color w:val="auto"/>
                <w:szCs w:val="21"/>
                <w:highlight w:val="none"/>
                <w:lang w:eastAsia="zh-CN"/>
              </w:rPr>
              <w:t>0512-58151515</w:t>
            </w:r>
            <w:r>
              <w:rPr>
                <w:rFonts w:hint="eastAsia" w:ascii="宋体" w:hAnsi="宋体" w:cs="宋体"/>
                <w:color w:val="auto"/>
                <w:szCs w:val="21"/>
                <w:highlight w:val="none"/>
              </w:rPr>
              <w:t>（工作日）。（2）投标人登录新点电子交易平台【滁州专区】获取招标文件及其它资料（含澄清和补充说明等）。如在招标文件获取过程中遇到系统问题，请拨打技术支持服务热线</w:t>
            </w:r>
            <w:r>
              <w:rPr>
                <w:rFonts w:hint="eastAsia" w:ascii="宋体" w:hAnsi="宋体" w:cs="宋体"/>
                <w:color w:val="auto"/>
                <w:szCs w:val="21"/>
                <w:highlight w:val="none"/>
                <w:lang w:eastAsia="zh-CN"/>
              </w:rPr>
              <w:t>0512-58151515</w:t>
            </w:r>
            <w:r>
              <w:rPr>
                <w:rFonts w:hint="eastAsia" w:ascii="宋体" w:hAnsi="宋体" w:cs="宋体"/>
                <w:color w:val="auto"/>
                <w:szCs w:val="21"/>
                <w:highlight w:val="none"/>
              </w:rPr>
              <w:t>或者网站首页在线客服。</w:t>
            </w:r>
          </w:p>
          <w:p w14:paraId="3924CD34">
            <w:pPr>
              <w:widowControl/>
              <w:wordWrap w:val="0"/>
              <w:spacing w:line="500" w:lineRule="exact"/>
              <w:jc w:val="left"/>
              <w:rPr>
                <w:rFonts w:ascii="宋体" w:hAnsi="宋体" w:cs="宋体"/>
                <w:color w:val="auto"/>
                <w:szCs w:val="21"/>
                <w:highlight w:val="none"/>
              </w:rPr>
            </w:pPr>
            <w:r>
              <w:rPr>
                <w:rFonts w:hint="eastAsia" w:ascii="宋体" w:hAnsi="宋体" w:cs="宋体"/>
                <w:color w:val="auto"/>
                <w:szCs w:val="21"/>
                <w:highlight w:val="none"/>
              </w:rPr>
              <w:t>2.招标文件及相关资料售价：人民币0元/套（含清单控制价、图纸及澄清答疑文件）</w:t>
            </w:r>
          </w:p>
          <w:p w14:paraId="3543961F">
            <w:pPr>
              <w:widowControl/>
              <w:wordWrap w:val="0"/>
              <w:spacing w:line="500" w:lineRule="exact"/>
              <w:jc w:val="left"/>
              <w:rPr>
                <w:rFonts w:ascii="宋体" w:hAnsi="宋体" w:cs="宋体"/>
                <w:color w:val="auto"/>
                <w:szCs w:val="21"/>
                <w:highlight w:val="none"/>
              </w:rPr>
            </w:pPr>
            <w:r>
              <w:rPr>
                <w:rFonts w:hint="eastAsia" w:ascii="宋体" w:hAnsi="宋体" w:cs="宋体"/>
                <w:color w:val="auto"/>
                <w:szCs w:val="21"/>
                <w:highlight w:val="none"/>
              </w:rPr>
              <w:t>3.本项目开评标实行全流程电子化，开标活动在线完成。开标时投标人无需到达开标现场，不接受现场解密，实行远程解密和在线询标。各投标人认真学习《新点电子交易平台投标人操作手册》，务必掌握远程解密方法和在线回复询标方法。</w:t>
            </w:r>
          </w:p>
          <w:p w14:paraId="38D6AC1B">
            <w:pPr>
              <w:widowControl/>
              <w:wordWrap w:val="0"/>
              <w:spacing w:line="500" w:lineRule="exact"/>
              <w:jc w:val="left"/>
              <w:rPr>
                <w:rFonts w:ascii="宋体" w:hAnsi="宋体" w:cs="宋体"/>
                <w:color w:val="auto"/>
                <w:szCs w:val="21"/>
                <w:highlight w:val="none"/>
              </w:rPr>
            </w:pPr>
            <w:r>
              <w:rPr>
                <w:rFonts w:hint="eastAsia" w:ascii="宋体" w:hAnsi="宋体" w:cs="宋体"/>
                <w:color w:val="auto"/>
                <w:szCs w:val="21"/>
                <w:highlight w:val="none"/>
              </w:rPr>
              <w:t>4.本项目采用不见面开标，投标人登录滁州市城投工程咨询有限公司不见面开标系统参与网上开标（网址：http://js.etrading.cn/EpointBidOpening/bidopeninghallaction/hall/login）。投标人应在投标截止时间之前，登陆新点电子交易平台【滁州专区】上传投标文件</w:t>
            </w:r>
          </w:p>
          <w:p w14:paraId="7DEB5120">
            <w:pPr>
              <w:widowControl/>
              <w:numPr>
                <w:ilvl w:val="255"/>
                <w:numId w:val="0"/>
              </w:numPr>
              <w:wordWrap w:val="0"/>
              <w:spacing w:line="500" w:lineRule="exact"/>
              <w:jc w:val="left"/>
              <w:rPr>
                <w:rFonts w:ascii="宋体" w:hAnsi="宋体" w:cs="宋体"/>
                <w:color w:val="auto"/>
                <w:szCs w:val="21"/>
                <w:highlight w:val="none"/>
              </w:rPr>
            </w:pPr>
            <w:r>
              <w:rPr>
                <w:rFonts w:hint="eastAsia" w:ascii="宋体" w:hAnsi="宋体" w:cs="宋体"/>
                <w:color w:val="auto"/>
                <w:szCs w:val="21"/>
                <w:highlight w:val="none"/>
              </w:rPr>
              <w:t>5.本项目仅接受加密电子投标文件投标人在投标截止时间前通过新点电子交易平台后在【滁州专区】（https://www.etrading.cn/BREpointSSO/login/oauth2login?regioncode=DQ_ChuZhou）交易系统递交电子投标文件。</w:t>
            </w:r>
          </w:p>
          <w:p w14:paraId="55244B4D">
            <w:pPr>
              <w:numPr>
                <w:ilvl w:val="255"/>
                <w:numId w:val="0"/>
              </w:numPr>
              <w:wordWrap w:val="0"/>
              <w:spacing w:line="500" w:lineRule="exact"/>
              <w:jc w:val="left"/>
              <w:rPr>
                <w:rFonts w:ascii="宋体" w:hAnsi="宋体" w:cs="宋体"/>
                <w:b/>
                <w:color w:val="auto"/>
                <w:szCs w:val="21"/>
                <w:highlight w:val="none"/>
              </w:rPr>
            </w:pPr>
            <w:r>
              <w:rPr>
                <w:rFonts w:hint="eastAsia" w:ascii="宋体" w:hAnsi="宋体" w:cs="宋体"/>
                <w:color w:val="auto"/>
                <w:szCs w:val="21"/>
                <w:highlight w:val="none"/>
              </w:rPr>
              <w:t>6.投标文件制作软件下载：https://download.bqpoint.com/download/downloaddetail.html?SourceFrom=Ztb&amp;ZtbSoftXiaQuCode=0128&amp;ZtbSoftType=tballinclusive</w:t>
            </w:r>
          </w:p>
        </w:tc>
      </w:tr>
    </w:tbl>
    <w:p w14:paraId="11993A42">
      <w:pPr>
        <w:pStyle w:val="42"/>
        <w:spacing w:beforeLines="50" w:afterLines="50" w:line="440" w:lineRule="exact"/>
        <w:rPr>
          <w:bCs/>
          <w:color w:val="auto"/>
          <w:szCs w:val="32"/>
          <w:highlight w:val="none"/>
        </w:rPr>
      </w:pPr>
      <w:r>
        <w:rPr>
          <w:rFonts w:hint="eastAsia"/>
          <w:bCs/>
          <w:color w:val="auto"/>
          <w:szCs w:val="32"/>
          <w:highlight w:val="none"/>
        </w:rPr>
        <w:br w:type="page"/>
      </w:r>
      <w:bookmarkStart w:id="33" w:name="_Toc22947"/>
      <w:bookmarkStart w:id="34" w:name="_Toc8980"/>
      <w:bookmarkStart w:id="35" w:name="_Toc18989"/>
      <w:r>
        <w:rPr>
          <w:rFonts w:hint="eastAsia"/>
          <w:bCs/>
          <w:color w:val="auto"/>
          <w:szCs w:val="32"/>
          <w:highlight w:val="none"/>
        </w:rPr>
        <w:t>第一章  投标人须知</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14:paraId="11EFA404">
      <w:pPr>
        <w:spacing w:beforeLines="50" w:afterLines="50" w:line="440" w:lineRule="exact"/>
        <w:jc w:val="center"/>
        <w:rPr>
          <w:b/>
          <w:bCs/>
          <w:color w:val="auto"/>
          <w:sz w:val="28"/>
          <w:szCs w:val="28"/>
          <w:highlight w:val="none"/>
        </w:rPr>
      </w:pPr>
      <w:bookmarkStart w:id="36" w:name="_Toc15058845"/>
      <w:bookmarkStart w:id="37" w:name="_Toc246996174"/>
      <w:bookmarkStart w:id="38" w:name="_Toc179632545"/>
      <w:bookmarkStart w:id="39" w:name="_Toc152045528"/>
      <w:bookmarkStart w:id="40" w:name="_Toc35424884"/>
      <w:bookmarkStart w:id="41" w:name="_Toc247085688"/>
      <w:bookmarkStart w:id="42" w:name="_Toc246996917"/>
      <w:bookmarkStart w:id="43" w:name="_Toc152042304"/>
      <w:bookmarkStart w:id="44" w:name="_Toc324404814"/>
      <w:bookmarkStart w:id="45" w:name="_Toc506107268"/>
      <w:bookmarkStart w:id="46" w:name="_Toc35425051"/>
      <w:bookmarkStart w:id="47" w:name="_Toc144974496"/>
      <w:r>
        <w:rPr>
          <w:rFonts w:hint="eastAsia"/>
          <w:b/>
          <w:bCs/>
          <w:color w:val="auto"/>
          <w:sz w:val="28"/>
          <w:szCs w:val="28"/>
          <w:highlight w:val="none"/>
        </w:rPr>
        <w:t>投标人须知前附表</w:t>
      </w:r>
      <w:bookmarkEnd w:id="36"/>
      <w:bookmarkEnd w:id="37"/>
      <w:bookmarkEnd w:id="38"/>
      <w:bookmarkEnd w:id="39"/>
      <w:bookmarkEnd w:id="40"/>
      <w:bookmarkEnd w:id="41"/>
      <w:bookmarkEnd w:id="42"/>
      <w:bookmarkEnd w:id="43"/>
      <w:bookmarkEnd w:id="44"/>
      <w:bookmarkEnd w:id="45"/>
      <w:bookmarkEnd w:id="46"/>
      <w:bookmarkEnd w:id="47"/>
    </w:p>
    <w:tbl>
      <w:tblPr>
        <w:tblStyle w:val="46"/>
        <w:tblW w:w="10184" w:type="dxa"/>
        <w:jc w:val="center"/>
        <w:tblLayout w:type="fixed"/>
        <w:tblCellMar>
          <w:top w:w="0" w:type="dxa"/>
          <w:left w:w="108" w:type="dxa"/>
          <w:bottom w:w="0" w:type="dxa"/>
          <w:right w:w="108" w:type="dxa"/>
        </w:tblCellMar>
      </w:tblPr>
      <w:tblGrid>
        <w:gridCol w:w="735"/>
        <w:gridCol w:w="1110"/>
        <w:gridCol w:w="810"/>
        <w:gridCol w:w="7529"/>
      </w:tblGrid>
      <w:tr w14:paraId="46A4EE9C">
        <w:tblPrEx>
          <w:tblCellMar>
            <w:top w:w="0" w:type="dxa"/>
            <w:left w:w="108" w:type="dxa"/>
            <w:bottom w:w="0" w:type="dxa"/>
            <w:right w:w="108" w:type="dxa"/>
          </w:tblCellMar>
        </w:tblPrEx>
        <w:trPr>
          <w:trHeight w:val="520" w:hRule="atLeast"/>
          <w:jc w:val="center"/>
        </w:trPr>
        <w:tc>
          <w:tcPr>
            <w:tcW w:w="735" w:type="dxa"/>
            <w:tcBorders>
              <w:top w:val="single" w:color="auto" w:sz="4" w:space="0"/>
              <w:left w:val="single" w:color="auto" w:sz="4" w:space="0"/>
              <w:bottom w:val="single" w:color="auto" w:sz="4" w:space="0"/>
              <w:right w:val="single" w:color="auto" w:sz="4" w:space="0"/>
            </w:tcBorders>
            <w:noWrap/>
            <w:vAlign w:val="center"/>
          </w:tcPr>
          <w:p w14:paraId="57D5D1F9">
            <w:pPr>
              <w:spacing w:line="500" w:lineRule="exact"/>
              <w:jc w:val="center"/>
              <w:rPr>
                <w:rFonts w:ascii="宋体" w:hAnsi="宋体" w:cs="宋体"/>
                <w:b/>
                <w:color w:val="auto"/>
                <w:szCs w:val="21"/>
                <w:highlight w:val="none"/>
              </w:rPr>
            </w:pPr>
            <w:bookmarkStart w:id="48" w:name="_Toc152042305"/>
            <w:bookmarkStart w:id="49" w:name="_Toc144974497"/>
            <w:bookmarkStart w:id="50" w:name="_Toc247085689"/>
            <w:bookmarkStart w:id="51" w:name="_Toc152045529"/>
            <w:bookmarkStart w:id="52" w:name="_Toc324404815"/>
            <w:bookmarkStart w:id="53" w:name="_Toc246996175"/>
            <w:bookmarkStart w:id="54" w:name="_Toc506107269"/>
            <w:bookmarkStart w:id="55" w:name="_Toc179632546"/>
            <w:bookmarkStart w:id="56" w:name="_Toc246996918"/>
            <w:r>
              <w:rPr>
                <w:rFonts w:hint="eastAsia" w:ascii="宋体" w:hAnsi="宋体" w:cs="宋体"/>
                <w:b/>
                <w:color w:val="auto"/>
                <w:szCs w:val="21"/>
                <w:highlight w:val="none"/>
              </w:rPr>
              <w:t>序号</w:t>
            </w:r>
          </w:p>
        </w:tc>
        <w:tc>
          <w:tcPr>
            <w:tcW w:w="1920" w:type="dxa"/>
            <w:gridSpan w:val="2"/>
            <w:tcBorders>
              <w:top w:val="single" w:color="auto" w:sz="4" w:space="0"/>
              <w:left w:val="single" w:color="auto" w:sz="4" w:space="0"/>
              <w:bottom w:val="single" w:color="auto" w:sz="4" w:space="0"/>
              <w:right w:val="single" w:color="auto" w:sz="4" w:space="0"/>
            </w:tcBorders>
            <w:noWrap/>
            <w:vAlign w:val="center"/>
          </w:tcPr>
          <w:p w14:paraId="7A64A187">
            <w:pPr>
              <w:spacing w:line="500" w:lineRule="exact"/>
              <w:jc w:val="center"/>
              <w:rPr>
                <w:rFonts w:ascii="宋体" w:hAnsi="宋体" w:cs="宋体"/>
                <w:b/>
                <w:color w:val="auto"/>
                <w:szCs w:val="21"/>
                <w:highlight w:val="none"/>
              </w:rPr>
            </w:pPr>
            <w:r>
              <w:rPr>
                <w:rFonts w:hint="eastAsia" w:ascii="宋体" w:hAnsi="宋体" w:cs="宋体"/>
                <w:b/>
                <w:color w:val="auto"/>
                <w:szCs w:val="21"/>
                <w:highlight w:val="none"/>
              </w:rPr>
              <w:t>条款名称</w:t>
            </w:r>
          </w:p>
        </w:tc>
        <w:tc>
          <w:tcPr>
            <w:tcW w:w="7529" w:type="dxa"/>
            <w:tcBorders>
              <w:top w:val="single" w:color="auto" w:sz="4" w:space="0"/>
              <w:left w:val="single" w:color="auto" w:sz="4" w:space="0"/>
              <w:bottom w:val="single" w:color="auto" w:sz="4" w:space="0"/>
              <w:right w:val="single" w:color="auto" w:sz="4" w:space="0"/>
            </w:tcBorders>
            <w:noWrap/>
            <w:vAlign w:val="center"/>
          </w:tcPr>
          <w:p w14:paraId="21AB60B4">
            <w:pPr>
              <w:spacing w:line="500" w:lineRule="exact"/>
              <w:jc w:val="center"/>
              <w:rPr>
                <w:rFonts w:ascii="宋体" w:hAnsi="宋体" w:cs="宋体"/>
                <w:b/>
                <w:color w:val="auto"/>
                <w:szCs w:val="21"/>
                <w:highlight w:val="none"/>
              </w:rPr>
            </w:pPr>
            <w:r>
              <w:rPr>
                <w:rFonts w:hint="eastAsia" w:ascii="宋体" w:hAnsi="宋体" w:cs="宋体"/>
                <w:b/>
                <w:color w:val="auto"/>
                <w:szCs w:val="21"/>
                <w:highlight w:val="none"/>
              </w:rPr>
              <w:t>编列内容</w:t>
            </w:r>
          </w:p>
        </w:tc>
      </w:tr>
      <w:tr w14:paraId="06E0F724">
        <w:tblPrEx>
          <w:tblCellMar>
            <w:top w:w="0" w:type="dxa"/>
            <w:left w:w="108" w:type="dxa"/>
            <w:bottom w:w="0" w:type="dxa"/>
            <w:right w:w="108" w:type="dxa"/>
          </w:tblCellMar>
        </w:tblPrEx>
        <w:trPr>
          <w:jc w:val="center"/>
        </w:trPr>
        <w:tc>
          <w:tcPr>
            <w:tcW w:w="735" w:type="dxa"/>
            <w:tcBorders>
              <w:top w:val="single" w:color="auto" w:sz="4" w:space="0"/>
              <w:left w:val="single" w:color="auto" w:sz="4" w:space="0"/>
              <w:bottom w:val="single" w:color="auto" w:sz="4" w:space="0"/>
              <w:right w:val="single" w:color="auto" w:sz="4" w:space="0"/>
            </w:tcBorders>
            <w:noWrap/>
            <w:vAlign w:val="center"/>
          </w:tcPr>
          <w:p w14:paraId="295B8EC0">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1920" w:type="dxa"/>
            <w:gridSpan w:val="2"/>
            <w:tcBorders>
              <w:top w:val="single" w:color="auto" w:sz="4" w:space="0"/>
              <w:left w:val="single" w:color="auto" w:sz="4" w:space="0"/>
              <w:bottom w:val="single" w:color="auto" w:sz="4" w:space="0"/>
              <w:right w:val="single" w:color="auto" w:sz="4" w:space="0"/>
            </w:tcBorders>
            <w:noWrap/>
            <w:vAlign w:val="center"/>
          </w:tcPr>
          <w:p w14:paraId="3F5DB337">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招标人</w:t>
            </w:r>
          </w:p>
        </w:tc>
        <w:tc>
          <w:tcPr>
            <w:tcW w:w="7529" w:type="dxa"/>
            <w:tcBorders>
              <w:top w:val="single" w:color="auto" w:sz="4" w:space="0"/>
              <w:left w:val="single" w:color="auto" w:sz="4" w:space="0"/>
              <w:bottom w:val="single" w:color="auto" w:sz="4" w:space="0"/>
              <w:right w:val="single" w:color="auto" w:sz="4" w:space="0"/>
            </w:tcBorders>
            <w:noWrap/>
            <w:vAlign w:val="center"/>
          </w:tcPr>
          <w:p w14:paraId="76320EB6">
            <w:pPr>
              <w:adjustRightInd w:val="0"/>
              <w:snapToGrid w:val="0"/>
              <w:spacing w:line="500" w:lineRule="exact"/>
              <w:jc w:val="left"/>
              <w:rPr>
                <w:rFonts w:ascii="宋体" w:hAnsi="宋体" w:cs="宋体"/>
                <w:color w:val="auto"/>
                <w:szCs w:val="21"/>
                <w:highlight w:val="none"/>
              </w:rPr>
            </w:pPr>
            <w:r>
              <w:rPr>
                <w:rFonts w:hint="eastAsia" w:ascii="宋体" w:hAnsi="宋体" w:cs="宋体"/>
                <w:color w:val="auto"/>
                <w:kern w:val="0"/>
                <w:szCs w:val="21"/>
                <w:highlight w:val="none"/>
              </w:rPr>
              <w:t>详见招标公告</w:t>
            </w:r>
          </w:p>
        </w:tc>
      </w:tr>
      <w:tr w14:paraId="7B286760">
        <w:tblPrEx>
          <w:tblCellMar>
            <w:top w:w="0" w:type="dxa"/>
            <w:left w:w="108" w:type="dxa"/>
            <w:bottom w:w="0" w:type="dxa"/>
            <w:right w:w="108" w:type="dxa"/>
          </w:tblCellMar>
        </w:tblPrEx>
        <w:trPr>
          <w:jc w:val="center"/>
        </w:trPr>
        <w:tc>
          <w:tcPr>
            <w:tcW w:w="735" w:type="dxa"/>
            <w:tcBorders>
              <w:top w:val="single" w:color="auto" w:sz="4" w:space="0"/>
              <w:left w:val="single" w:color="auto" w:sz="4" w:space="0"/>
              <w:bottom w:val="single" w:color="auto" w:sz="4" w:space="0"/>
              <w:right w:val="single" w:color="auto" w:sz="4" w:space="0"/>
            </w:tcBorders>
            <w:noWrap/>
            <w:vAlign w:val="center"/>
          </w:tcPr>
          <w:p w14:paraId="14ED6515">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2</w:t>
            </w:r>
          </w:p>
        </w:tc>
        <w:tc>
          <w:tcPr>
            <w:tcW w:w="1920" w:type="dxa"/>
            <w:gridSpan w:val="2"/>
            <w:tcBorders>
              <w:top w:val="single" w:color="auto" w:sz="4" w:space="0"/>
              <w:left w:val="single" w:color="auto" w:sz="4" w:space="0"/>
              <w:bottom w:val="single" w:color="auto" w:sz="4" w:space="0"/>
              <w:right w:val="single" w:color="auto" w:sz="4" w:space="0"/>
            </w:tcBorders>
            <w:noWrap/>
            <w:vAlign w:val="center"/>
          </w:tcPr>
          <w:p w14:paraId="60651E0D">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招标代理机构</w:t>
            </w:r>
          </w:p>
        </w:tc>
        <w:tc>
          <w:tcPr>
            <w:tcW w:w="7529" w:type="dxa"/>
            <w:tcBorders>
              <w:top w:val="single" w:color="auto" w:sz="4" w:space="0"/>
              <w:left w:val="single" w:color="auto" w:sz="4" w:space="0"/>
              <w:bottom w:val="single" w:color="auto" w:sz="4" w:space="0"/>
              <w:right w:val="single" w:color="auto" w:sz="4" w:space="0"/>
            </w:tcBorders>
            <w:noWrap/>
            <w:vAlign w:val="center"/>
          </w:tcPr>
          <w:p w14:paraId="0D64B562">
            <w:pPr>
              <w:adjustRightInd w:val="0"/>
              <w:snapToGrid w:val="0"/>
              <w:spacing w:line="500" w:lineRule="exact"/>
              <w:rPr>
                <w:rFonts w:ascii="宋体" w:hAnsi="宋体" w:cs="宋体"/>
                <w:color w:val="auto"/>
                <w:szCs w:val="21"/>
                <w:highlight w:val="none"/>
              </w:rPr>
            </w:pPr>
            <w:r>
              <w:rPr>
                <w:rFonts w:hint="eastAsia" w:ascii="宋体" w:hAnsi="宋体" w:cs="宋体"/>
                <w:color w:val="auto"/>
                <w:kern w:val="0"/>
                <w:szCs w:val="21"/>
                <w:highlight w:val="none"/>
              </w:rPr>
              <w:t>详见招标公告</w:t>
            </w:r>
          </w:p>
        </w:tc>
      </w:tr>
      <w:tr w14:paraId="56ECEADD">
        <w:tblPrEx>
          <w:tblCellMar>
            <w:top w:w="0" w:type="dxa"/>
            <w:left w:w="108" w:type="dxa"/>
            <w:bottom w:w="0" w:type="dxa"/>
            <w:right w:w="108" w:type="dxa"/>
          </w:tblCellMar>
        </w:tblPrEx>
        <w:trPr>
          <w:trHeight w:val="520" w:hRule="atLeast"/>
          <w:jc w:val="center"/>
        </w:trPr>
        <w:tc>
          <w:tcPr>
            <w:tcW w:w="735" w:type="dxa"/>
            <w:tcBorders>
              <w:top w:val="single" w:color="auto" w:sz="4" w:space="0"/>
              <w:left w:val="single" w:color="auto" w:sz="4" w:space="0"/>
              <w:bottom w:val="single" w:color="auto" w:sz="4" w:space="0"/>
              <w:right w:val="single" w:color="auto" w:sz="4" w:space="0"/>
            </w:tcBorders>
            <w:noWrap/>
            <w:vAlign w:val="center"/>
          </w:tcPr>
          <w:p w14:paraId="2B067E0C">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3</w:t>
            </w:r>
          </w:p>
        </w:tc>
        <w:tc>
          <w:tcPr>
            <w:tcW w:w="1920" w:type="dxa"/>
            <w:gridSpan w:val="2"/>
            <w:tcBorders>
              <w:top w:val="single" w:color="auto" w:sz="4" w:space="0"/>
              <w:left w:val="single" w:color="auto" w:sz="4" w:space="0"/>
              <w:bottom w:val="single" w:color="auto" w:sz="4" w:space="0"/>
              <w:right w:val="single" w:color="auto" w:sz="4" w:space="0"/>
            </w:tcBorders>
            <w:noWrap/>
            <w:vAlign w:val="center"/>
          </w:tcPr>
          <w:p w14:paraId="15FD7F28">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项目名称</w:t>
            </w:r>
          </w:p>
        </w:tc>
        <w:tc>
          <w:tcPr>
            <w:tcW w:w="7529" w:type="dxa"/>
            <w:tcBorders>
              <w:top w:val="single" w:color="auto" w:sz="4" w:space="0"/>
              <w:left w:val="single" w:color="auto" w:sz="4" w:space="0"/>
              <w:bottom w:val="single" w:color="auto" w:sz="4" w:space="0"/>
              <w:right w:val="single" w:color="auto" w:sz="4" w:space="0"/>
            </w:tcBorders>
            <w:noWrap/>
            <w:vAlign w:val="center"/>
          </w:tcPr>
          <w:p w14:paraId="4BD93934">
            <w:pPr>
              <w:adjustRightInd w:val="0"/>
              <w:snapToGrid w:val="0"/>
              <w:spacing w:line="500" w:lineRule="exact"/>
              <w:rPr>
                <w:rFonts w:ascii="宋体" w:hAnsi="宋体" w:cs="宋体"/>
                <w:color w:val="auto"/>
                <w:szCs w:val="21"/>
                <w:highlight w:val="none"/>
              </w:rPr>
            </w:pPr>
            <w:r>
              <w:rPr>
                <w:rFonts w:hint="eastAsia" w:ascii="宋体" w:hAnsi="宋体" w:cs="宋体"/>
                <w:color w:val="auto"/>
                <w:kern w:val="0"/>
                <w:szCs w:val="21"/>
                <w:highlight w:val="none"/>
              </w:rPr>
              <w:t>详见招标公告</w:t>
            </w:r>
          </w:p>
        </w:tc>
      </w:tr>
      <w:tr w14:paraId="4EE4A59E">
        <w:tblPrEx>
          <w:tblCellMar>
            <w:top w:w="0" w:type="dxa"/>
            <w:left w:w="108" w:type="dxa"/>
            <w:bottom w:w="0" w:type="dxa"/>
            <w:right w:w="108" w:type="dxa"/>
          </w:tblCellMar>
        </w:tblPrEx>
        <w:trPr>
          <w:trHeight w:val="500" w:hRule="atLeast"/>
          <w:jc w:val="center"/>
        </w:trPr>
        <w:tc>
          <w:tcPr>
            <w:tcW w:w="735" w:type="dxa"/>
            <w:tcBorders>
              <w:top w:val="single" w:color="auto" w:sz="4" w:space="0"/>
              <w:left w:val="single" w:color="auto" w:sz="4" w:space="0"/>
              <w:bottom w:val="single" w:color="auto" w:sz="4" w:space="0"/>
              <w:right w:val="single" w:color="auto" w:sz="4" w:space="0"/>
            </w:tcBorders>
            <w:noWrap/>
            <w:vAlign w:val="center"/>
          </w:tcPr>
          <w:p w14:paraId="2EC7C759">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4</w:t>
            </w:r>
          </w:p>
        </w:tc>
        <w:tc>
          <w:tcPr>
            <w:tcW w:w="1920" w:type="dxa"/>
            <w:gridSpan w:val="2"/>
            <w:tcBorders>
              <w:top w:val="single" w:color="auto" w:sz="4" w:space="0"/>
              <w:left w:val="single" w:color="auto" w:sz="4" w:space="0"/>
              <w:bottom w:val="single" w:color="auto" w:sz="4" w:space="0"/>
              <w:right w:val="single" w:color="auto" w:sz="4" w:space="0"/>
            </w:tcBorders>
            <w:noWrap/>
            <w:vAlign w:val="center"/>
          </w:tcPr>
          <w:p w14:paraId="1A933F64">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建设地点</w:t>
            </w:r>
          </w:p>
        </w:tc>
        <w:tc>
          <w:tcPr>
            <w:tcW w:w="7529" w:type="dxa"/>
            <w:tcBorders>
              <w:top w:val="single" w:color="auto" w:sz="4" w:space="0"/>
              <w:left w:val="single" w:color="auto" w:sz="4" w:space="0"/>
              <w:bottom w:val="single" w:color="auto" w:sz="4" w:space="0"/>
              <w:right w:val="single" w:color="auto" w:sz="4" w:space="0"/>
            </w:tcBorders>
            <w:noWrap/>
            <w:vAlign w:val="center"/>
          </w:tcPr>
          <w:p w14:paraId="066ACF33">
            <w:pPr>
              <w:adjustRightInd w:val="0"/>
              <w:snapToGrid w:val="0"/>
              <w:spacing w:line="500" w:lineRule="exact"/>
              <w:rPr>
                <w:rFonts w:ascii="宋体" w:hAnsi="宋体" w:cs="宋体"/>
                <w:color w:val="auto"/>
                <w:szCs w:val="21"/>
                <w:highlight w:val="none"/>
              </w:rPr>
            </w:pPr>
            <w:r>
              <w:rPr>
                <w:rFonts w:hint="eastAsia" w:ascii="宋体" w:hAnsi="宋体" w:cs="宋体"/>
                <w:color w:val="auto"/>
                <w:kern w:val="0"/>
                <w:szCs w:val="21"/>
                <w:highlight w:val="none"/>
              </w:rPr>
              <w:t>详见招标公告</w:t>
            </w:r>
          </w:p>
        </w:tc>
      </w:tr>
      <w:tr w14:paraId="13820A0F">
        <w:tblPrEx>
          <w:tblCellMar>
            <w:top w:w="0" w:type="dxa"/>
            <w:left w:w="108" w:type="dxa"/>
            <w:bottom w:w="0" w:type="dxa"/>
            <w:right w:w="108" w:type="dxa"/>
          </w:tblCellMar>
        </w:tblPrEx>
        <w:trPr>
          <w:trHeight w:val="555" w:hRule="atLeast"/>
          <w:jc w:val="center"/>
        </w:trPr>
        <w:tc>
          <w:tcPr>
            <w:tcW w:w="735" w:type="dxa"/>
            <w:tcBorders>
              <w:top w:val="single" w:color="auto" w:sz="4" w:space="0"/>
              <w:left w:val="single" w:color="auto" w:sz="4" w:space="0"/>
              <w:bottom w:val="single" w:color="auto" w:sz="4" w:space="0"/>
              <w:right w:val="single" w:color="auto" w:sz="4" w:space="0"/>
            </w:tcBorders>
            <w:noWrap/>
            <w:vAlign w:val="center"/>
          </w:tcPr>
          <w:p w14:paraId="137C39D1">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5</w:t>
            </w:r>
          </w:p>
        </w:tc>
        <w:tc>
          <w:tcPr>
            <w:tcW w:w="1920" w:type="dxa"/>
            <w:gridSpan w:val="2"/>
            <w:tcBorders>
              <w:top w:val="single" w:color="auto" w:sz="4" w:space="0"/>
              <w:left w:val="single" w:color="auto" w:sz="4" w:space="0"/>
              <w:bottom w:val="single" w:color="auto" w:sz="4" w:space="0"/>
              <w:right w:val="single" w:color="auto" w:sz="4" w:space="0"/>
            </w:tcBorders>
            <w:noWrap/>
            <w:vAlign w:val="center"/>
          </w:tcPr>
          <w:p w14:paraId="2F72EB01">
            <w:pPr>
              <w:adjustRightInd w:val="0"/>
              <w:snapToGrid w:val="0"/>
              <w:spacing w:line="500" w:lineRule="exact"/>
              <w:jc w:val="center"/>
              <w:rPr>
                <w:rFonts w:ascii="宋体" w:hAnsi="宋体" w:cs="宋体"/>
                <w:color w:val="auto"/>
                <w:szCs w:val="21"/>
                <w:highlight w:val="none"/>
              </w:rPr>
            </w:pPr>
            <w:r>
              <w:rPr>
                <w:rFonts w:hint="eastAsia" w:ascii="宋体" w:hAnsi="宋体" w:cs="宋体"/>
                <w:color w:val="auto"/>
                <w:szCs w:val="21"/>
                <w:highlight w:val="none"/>
              </w:rPr>
              <w:t>资金落实情况</w:t>
            </w:r>
          </w:p>
        </w:tc>
        <w:tc>
          <w:tcPr>
            <w:tcW w:w="7529" w:type="dxa"/>
            <w:tcBorders>
              <w:top w:val="single" w:color="auto" w:sz="4" w:space="0"/>
              <w:left w:val="single" w:color="auto" w:sz="4" w:space="0"/>
              <w:bottom w:val="single" w:color="auto" w:sz="4" w:space="0"/>
              <w:right w:val="single" w:color="auto" w:sz="4" w:space="0"/>
            </w:tcBorders>
            <w:noWrap/>
            <w:vAlign w:val="center"/>
          </w:tcPr>
          <w:p w14:paraId="5AC36200">
            <w:pPr>
              <w:adjustRightInd w:val="0"/>
              <w:snapToGrid w:val="0"/>
              <w:spacing w:line="500" w:lineRule="exact"/>
              <w:rPr>
                <w:rFonts w:ascii="宋体" w:hAnsi="宋体" w:cs="宋体"/>
                <w:color w:val="auto"/>
                <w:szCs w:val="21"/>
                <w:highlight w:val="none"/>
              </w:rPr>
            </w:pPr>
            <w:r>
              <w:rPr>
                <w:rFonts w:hint="eastAsia" w:ascii="宋体" w:hAnsi="宋体" w:cs="宋体"/>
                <w:color w:val="auto"/>
                <w:szCs w:val="21"/>
                <w:highlight w:val="none"/>
              </w:rPr>
              <w:t>已落实</w:t>
            </w:r>
          </w:p>
        </w:tc>
      </w:tr>
      <w:tr w14:paraId="3579D8CB">
        <w:tblPrEx>
          <w:tblCellMar>
            <w:top w:w="0" w:type="dxa"/>
            <w:left w:w="108" w:type="dxa"/>
            <w:bottom w:w="0" w:type="dxa"/>
            <w:right w:w="108" w:type="dxa"/>
          </w:tblCellMar>
        </w:tblPrEx>
        <w:trPr>
          <w:jc w:val="center"/>
        </w:trPr>
        <w:tc>
          <w:tcPr>
            <w:tcW w:w="735" w:type="dxa"/>
            <w:tcBorders>
              <w:top w:val="single" w:color="auto" w:sz="4" w:space="0"/>
              <w:left w:val="single" w:color="auto" w:sz="4" w:space="0"/>
              <w:bottom w:val="single" w:color="auto" w:sz="4" w:space="0"/>
              <w:right w:val="single" w:color="auto" w:sz="4" w:space="0"/>
            </w:tcBorders>
            <w:noWrap/>
            <w:vAlign w:val="center"/>
          </w:tcPr>
          <w:p w14:paraId="4D5F4F60">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6</w:t>
            </w:r>
          </w:p>
        </w:tc>
        <w:tc>
          <w:tcPr>
            <w:tcW w:w="1920" w:type="dxa"/>
            <w:gridSpan w:val="2"/>
            <w:tcBorders>
              <w:top w:val="single" w:color="auto" w:sz="4" w:space="0"/>
              <w:left w:val="single" w:color="auto" w:sz="4" w:space="0"/>
              <w:bottom w:val="single" w:color="auto" w:sz="4" w:space="0"/>
              <w:right w:val="single" w:color="auto" w:sz="4" w:space="0"/>
            </w:tcBorders>
            <w:noWrap/>
            <w:vAlign w:val="center"/>
          </w:tcPr>
          <w:p w14:paraId="183766AE">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招标范围</w:t>
            </w:r>
          </w:p>
        </w:tc>
        <w:tc>
          <w:tcPr>
            <w:tcW w:w="7529" w:type="dxa"/>
            <w:tcBorders>
              <w:top w:val="single" w:color="auto" w:sz="4" w:space="0"/>
              <w:left w:val="single" w:color="auto" w:sz="4" w:space="0"/>
              <w:bottom w:val="single" w:color="auto" w:sz="4" w:space="0"/>
              <w:right w:val="single" w:color="auto" w:sz="4" w:space="0"/>
            </w:tcBorders>
            <w:noWrap/>
            <w:vAlign w:val="center"/>
          </w:tcPr>
          <w:p w14:paraId="4AF73C63">
            <w:pPr>
              <w:spacing w:line="500" w:lineRule="exact"/>
              <w:rPr>
                <w:rFonts w:ascii="宋体" w:hAnsi="宋体" w:cs="宋体"/>
                <w:color w:val="auto"/>
                <w:szCs w:val="21"/>
                <w:highlight w:val="none"/>
              </w:rPr>
            </w:pPr>
            <w:r>
              <w:rPr>
                <w:rFonts w:hint="eastAsia" w:ascii="宋体" w:hAnsi="宋体" w:cs="宋体"/>
                <w:color w:val="auto"/>
                <w:szCs w:val="21"/>
                <w:highlight w:val="none"/>
              </w:rPr>
              <w:t>详见招标公告</w:t>
            </w:r>
          </w:p>
        </w:tc>
      </w:tr>
      <w:tr w14:paraId="382C87FA">
        <w:tblPrEx>
          <w:tblCellMar>
            <w:top w:w="0" w:type="dxa"/>
            <w:left w:w="108" w:type="dxa"/>
            <w:bottom w:w="0" w:type="dxa"/>
            <w:right w:w="108" w:type="dxa"/>
          </w:tblCellMar>
        </w:tblPrEx>
        <w:trPr>
          <w:trHeight w:val="496" w:hRule="atLeast"/>
          <w:jc w:val="center"/>
        </w:trPr>
        <w:tc>
          <w:tcPr>
            <w:tcW w:w="735" w:type="dxa"/>
            <w:tcBorders>
              <w:top w:val="single" w:color="auto" w:sz="4" w:space="0"/>
              <w:left w:val="single" w:color="auto" w:sz="4" w:space="0"/>
              <w:bottom w:val="single" w:color="auto" w:sz="4" w:space="0"/>
              <w:right w:val="single" w:color="auto" w:sz="4" w:space="0"/>
            </w:tcBorders>
            <w:noWrap/>
            <w:vAlign w:val="center"/>
          </w:tcPr>
          <w:p w14:paraId="15C34ACD">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7</w:t>
            </w:r>
          </w:p>
        </w:tc>
        <w:tc>
          <w:tcPr>
            <w:tcW w:w="1920" w:type="dxa"/>
            <w:gridSpan w:val="2"/>
            <w:tcBorders>
              <w:top w:val="single" w:color="auto" w:sz="4" w:space="0"/>
              <w:left w:val="single" w:color="auto" w:sz="4" w:space="0"/>
              <w:bottom w:val="single" w:color="auto" w:sz="4" w:space="0"/>
              <w:right w:val="single" w:color="auto" w:sz="4" w:space="0"/>
            </w:tcBorders>
            <w:noWrap/>
            <w:vAlign w:val="center"/>
          </w:tcPr>
          <w:p w14:paraId="2AC1C695">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评标办法</w:t>
            </w:r>
          </w:p>
        </w:tc>
        <w:tc>
          <w:tcPr>
            <w:tcW w:w="7529" w:type="dxa"/>
            <w:tcBorders>
              <w:top w:val="single" w:color="auto" w:sz="4" w:space="0"/>
              <w:left w:val="single" w:color="auto" w:sz="4" w:space="0"/>
              <w:bottom w:val="single" w:color="auto" w:sz="4" w:space="0"/>
              <w:right w:val="single" w:color="auto" w:sz="4" w:space="0"/>
            </w:tcBorders>
            <w:noWrap/>
            <w:vAlign w:val="center"/>
          </w:tcPr>
          <w:p w14:paraId="03327C48">
            <w:pPr>
              <w:pStyle w:val="96"/>
              <w:spacing w:line="500" w:lineRule="exact"/>
              <w:rPr>
                <w:rFonts w:hint="eastAsia" w:ascii="宋体" w:hAnsi="宋体" w:eastAsia="宋体" w:cs="宋体"/>
                <w:color w:val="auto"/>
                <w:highlight w:val="none"/>
                <w:lang w:eastAsia="zh-CN"/>
              </w:rPr>
            </w:pPr>
            <w:r>
              <w:rPr>
                <w:rFonts w:hint="eastAsia" w:ascii="宋体" w:hAnsi="宋体" w:cs="宋体"/>
                <w:color w:val="auto"/>
                <w:highlight w:val="none"/>
                <w:lang w:eastAsia="zh-CN"/>
              </w:rPr>
              <w:t>合理低价法</w:t>
            </w:r>
          </w:p>
        </w:tc>
      </w:tr>
      <w:tr w14:paraId="59B14BC5">
        <w:tblPrEx>
          <w:tblCellMar>
            <w:top w:w="0" w:type="dxa"/>
            <w:left w:w="108" w:type="dxa"/>
            <w:bottom w:w="0" w:type="dxa"/>
            <w:right w:w="108" w:type="dxa"/>
          </w:tblCellMar>
        </w:tblPrEx>
        <w:trPr>
          <w:jc w:val="center"/>
        </w:trPr>
        <w:tc>
          <w:tcPr>
            <w:tcW w:w="735" w:type="dxa"/>
            <w:tcBorders>
              <w:top w:val="single" w:color="auto" w:sz="4" w:space="0"/>
              <w:left w:val="single" w:color="auto" w:sz="4" w:space="0"/>
              <w:bottom w:val="single" w:color="auto" w:sz="4" w:space="0"/>
              <w:right w:val="single" w:color="auto" w:sz="4" w:space="0"/>
            </w:tcBorders>
            <w:noWrap/>
            <w:vAlign w:val="center"/>
          </w:tcPr>
          <w:p w14:paraId="57FA0595">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8</w:t>
            </w:r>
          </w:p>
        </w:tc>
        <w:tc>
          <w:tcPr>
            <w:tcW w:w="1920" w:type="dxa"/>
            <w:gridSpan w:val="2"/>
            <w:tcBorders>
              <w:top w:val="single" w:color="auto" w:sz="4" w:space="0"/>
              <w:left w:val="single" w:color="auto" w:sz="4" w:space="0"/>
              <w:bottom w:val="single" w:color="auto" w:sz="4" w:space="0"/>
              <w:right w:val="single" w:color="auto" w:sz="4" w:space="0"/>
            </w:tcBorders>
            <w:noWrap/>
            <w:vAlign w:val="center"/>
          </w:tcPr>
          <w:p w14:paraId="50C61906">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工期</w:t>
            </w:r>
          </w:p>
        </w:tc>
        <w:tc>
          <w:tcPr>
            <w:tcW w:w="7529" w:type="dxa"/>
            <w:tcBorders>
              <w:top w:val="single" w:color="auto" w:sz="4" w:space="0"/>
              <w:left w:val="single" w:color="auto" w:sz="4" w:space="0"/>
              <w:bottom w:val="single" w:color="auto" w:sz="4" w:space="0"/>
              <w:right w:val="single" w:color="auto" w:sz="4" w:space="0"/>
            </w:tcBorders>
            <w:noWrap/>
            <w:vAlign w:val="center"/>
          </w:tcPr>
          <w:p w14:paraId="303888AB">
            <w:pPr>
              <w:adjustRightInd w:val="0"/>
              <w:snapToGrid w:val="0"/>
              <w:spacing w:line="500" w:lineRule="exact"/>
              <w:rPr>
                <w:rFonts w:ascii="宋体" w:hAnsi="宋体" w:cs="宋体"/>
                <w:color w:val="auto"/>
                <w:szCs w:val="21"/>
                <w:highlight w:val="none"/>
              </w:rPr>
            </w:pPr>
            <w:r>
              <w:rPr>
                <w:rFonts w:hint="eastAsia" w:ascii="宋体" w:hAnsi="宋体" w:cs="宋体"/>
                <w:b/>
                <w:color w:val="auto"/>
                <w:szCs w:val="21"/>
                <w:highlight w:val="none"/>
              </w:rPr>
              <w:t>不高于</w:t>
            </w:r>
            <w:r>
              <w:rPr>
                <w:rFonts w:hint="eastAsia" w:ascii="宋体" w:hAnsi="宋体" w:cs="宋体"/>
                <w:b/>
                <w:color w:val="auto"/>
                <w:szCs w:val="21"/>
                <w:highlight w:val="none"/>
                <w:u w:val="single"/>
                <w:lang w:val="en-US" w:eastAsia="zh-CN"/>
              </w:rPr>
              <w:t>15</w:t>
            </w:r>
            <w:r>
              <w:rPr>
                <w:rFonts w:hint="eastAsia" w:ascii="宋体" w:hAnsi="宋体" w:cs="宋体"/>
                <w:b/>
                <w:color w:val="auto"/>
                <w:szCs w:val="21"/>
                <w:highlight w:val="none"/>
              </w:rPr>
              <w:t>个日历天。</w:t>
            </w:r>
            <w:r>
              <w:rPr>
                <w:rFonts w:hint="eastAsia" w:ascii="宋体" w:hAnsi="宋体" w:cs="宋体"/>
                <w:color w:val="auto"/>
                <w:szCs w:val="21"/>
                <w:highlight w:val="none"/>
              </w:rPr>
              <w:t xml:space="preserve"> 投标人自报的承诺工期为考核标准，因施工单位原因导致的工期延误，按1000元/天处以违约金，工期计算以接到招标人通知为准，以最终核定的天数为准。    </w:t>
            </w:r>
          </w:p>
        </w:tc>
      </w:tr>
      <w:tr w14:paraId="2D9774DD">
        <w:tblPrEx>
          <w:tblCellMar>
            <w:top w:w="0" w:type="dxa"/>
            <w:left w:w="108" w:type="dxa"/>
            <w:bottom w:w="0" w:type="dxa"/>
            <w:right w:w="108" w:type="dxa"/>
          </w:tblCellMar>
        </w:tblPrEx>
        <w:trPr>
          <w:trHeight w:val="741" w:hRule="atLeast"/>
          <w:jc w:val="center"/>
        </w:trPr>
        <w:tc>
          <w:tcPr>
            <w:tcW w:w="735" w:type="dxa"/>
            <w:tcBorders>
              <w:top w:val="single" w:color="auto" w:sz="4" w:space="0"/>
              <w:left w:val="single" w:color="auto" w:sz="4" w:space="0"/>
              <w:bottom w:val="single" w:color="auto" w:sz="4" w:space="0"/>
              <w:right w:val="single" w:color="auto" w:sz="4" w:space="0"/>
            </w:tcBorders>
            <w:noWrap/>
            <w:vAlign w:val="center"/>
          </w:tcPr>
          <w:p w14:paraId="2DDF8641">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9</w:t>
            </w:r>
          </w:p>
        </w:tc>
        <w:tc>
          <w:tcPr>
            <w:tcW w:w="1920" w:type="dxa"/>
            <w:gridSpan w:val="2"/>
            <w:tcBorders>
              <w:top w:val="single" w:color="auto" w:sz="4" w:space="0"/>
              <w:left w:val="single" w:color="auto" w:sz="4" w:space="0"/>
              <w:bottom w:val="single" w:color="auto" w:sz="4" w:space="0"/>
              <w:right w:val="single" w:color="auto" w:sz="4" w:space="0"/>
            </w:tcBorders>
            <w:noWrap/>
            <w:vAlign w:val="center"/>
          </w:tcPr>
          <w:p w14:paraId="7E558EA6">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质量要求</w:t>
            </w:r>
          </w:p>
        </w:tc>
        <w:tc>
          <w:tcPr>
            <w:tcW w:w="7529" w:type="dxa"/>
            <w:tcBorders>
              <w:top w:val="single" w:color="auto" w:sz="4" w:space="0"/>
              <w:left w:val="single" w:color="auto" w:sz="4" w:space="0"/>
              <w:bottom w:val="single" w:color="auto" w:sz="4" w:space="0"/>
              <w:right w:val="single" w:color="auto" w:sz="4" w:space="0"/>
            </w:tcBorders>
            <w:noWrap/>
            <w:vAlign w:val="center"/>
          </w:tcPr>
          <w:p w14:paraId="59D2E1D2">
            <w:pPr>
              <w:widowControl/>
              <w:spacing w:line="500" w:lineRule="exact"/>
              <w:jc w:val="left"/>
              <w:rPr>
                <w:rFonts w:ascii="宋体" w:hAnsi="宋体" w:cs="宋体"/>
                <w:color w:val="auto"/>
                <w:szCs w:val="21"/>
                <w:highlight w:val="none"/>
              </w:rPr>
            </w:pPr>
            <w:r>
              <w:rPr>
                <w:rFonts w:hint="eastAsia" w:ascii="宋体" w:hAnsi="宋体" w:cs="宋体"/>
                <w:color w:val="auto"/>
                <w:szCs w:val="21"/>
                <w:highlight w:val="none"/>
              </w:rPr>
              <w:t>工程质量必须达到国家工程施工质量验收合格标准，并</w:t>
            </w:r>
            <w:r>
              <w:rPr>
                <w:rFonts w:hint="eastAsia" w:ascii="宋体" w:hAnsi="宋体" w:cs="宋体"/>
                <w:color w:val="auto"/>
                <w:kern w:val="0"/>
                <w:szCs w:val="21"/>
                <w:highlight w:val="none"/>
              </w:rPr>
              <w:t>通过相关主管部门验收</w:t>
            </w:r>
            <w:r>
              <w:rPr>
                <w:rFonts w:hint="eastAsia" w:ascii="宋体" w:hAnsi="宋体" w:cs="宋体"/>
                <w:color w:val="auto"/>
                <w:szCs w:val="21"/>
                <w:highlight w:val="none"/>
              </w:rPr>
              <w:t>。</w:t>
            </w:r>
          </w:p>
        </w:tc>
      </w:tr>
      <w:tr w14:paraId="13FB2092">
        <w:tblPrEx>
          <w:tblCellMar>
            <w:top w:w="0" w:type="dxa"/>
            <w:left w:w="108" w:type="dxa"/>
            <w:bottom w:w="0" w:type="dxa"/>
            <w:right w:w="108" w:type="dxa"/>
          </w:tblCellMar>
        </w:tblPrEx>
        <w:trPr>
          <w:trHeight w:val="90" w:hRule="atLeast"/>
          <w:jc w:val="center"/>
        </w:trPr>
        <w:tc>
          <w:tcPr>
            <w:tcW w:w="735" w:type="dxa"/>
            <w:vMerge w:val="restart"/>
            <w:tcBorders>
              <w:top w:val="single" w:color="auto" w:sz="4" w:space="0"/>
              <w:left w:val="single" w:color="auto" w:sz="4" w:space="0"/>
              <w:bottom w:val="single" w:color="auto" w:sz="4" w:space="0"/>
              <w:right w:val="single" w:color="auto" w:sz="4" w:space="0"/>
            </w:tcBorders>
            <w:noWrap/>
            <w:vAlign w:val="center"/>
          </w:tcPr>
          <w:p w14:paraId="499D8FFC">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10</w:t>
            </w:r>
          </w:p>
        </w:tc>
        <w:tc>
          <w:tcPr>
            <w:tcW w:w="1920" w:type="dxa"/>
            <w:gridSpan w:val="2"/>
            <w:tcBorders>
              <w:top w:val="single" w:color="auto" w:sz="4" w:space="0"/>
              <w:left w:val="single" w:color="auto" w:sz="4" w:space="0"/>
              <w:bottom w:val="single" w:color="auto" w:sz="4" w:space="0"/>
              <w:right w:val="single" w:color="auto" w:sz="4" w:space="0"/>
            </w:tcBorders>
            <w:noWrap/>
            <w:vAlign w:val="center"/>
          </w:tcPr>
          <w:p w14:paraId="2ACE9A5C">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投标人资质条件、能力和信誉</w:t>
            </w:r>
          </w:p>
        </w:tc>
        <w:tc>
          <w:tcPr>
            <w:tcW w:w="7529" w:type="dxa"/>
            <w:tcBorders>
              <w:top w:val="single" w:color="auto" w:sz="4" w:space="0"/>
              <w:left w:val="single" w:color="auto" w:sz="4" w:space="0"/>
              <w:bottom w:val="single" w:color="auto" w:sz="4" w:space="0"/>
              <w:right w:val="single" w:color="auto" w:sz="4" w:space="0"/>
            </w:tcBorders>
            <w:noWrap/>
            <w:vAlign w:val="center"/>
          </w:tcPr>
          <w:p w14:paraId="748520E4">
            <w:pPr>
              <w:spacing w:line="500" w:lineRule="exact"/>
              <w:rPr>
                <w:rFonts w:ascii="宋体" w:hAnsi="宋体" w:cs="宋体"/>
                <w:color w:val="auto"/>
                <w:kern w:val="0"/>
                <w:szCs w:val="21"/>
                <w:highlight w:val="none"/>
              </w:rPr>
            </w:pPr>
            <w:r>
              <w:rPr>
                <w:rFonts w:hint="eastAsia" w:ascii="宋体" w:hAnsi="宋体" w:cs="宋体"/>
                <w:color w:val="auto"/>
                <w:kern w:val="0"/>
                <w:szCs w:val="21"/>
                <w:highlight w:val="none"/>
              </w:rPr>
              <w:t>详见招标公告</w:t>
            </w:r>
          </w:p>
        </w:tc>
      </w:tr>
      <w:tr w14:paraId="4B5B00A4">
        <w:tblPrEx>
          <w:tblCellMar>
            <w:top w:w="0" w:type="dxa"/>
            <w:left w:w="108" w:type="dxa"/>
            <w:bottom w:w="0" w:type="dxa"/>
            <w:right w:w="108" w:type="dxa"/>
          </w:tblCellMar>
        </w:tblPrEx>
        <w:trPr>
          <w:trHeight w:val="575" w:hRule="atLeast"/>
          <w:jc w:val="center"/>
        </w:trPr>
        <w:tc>
          <w:tcPr>
            <w:tcW w:w="735" w:type="dxa"/>
            <w:vMerge w:val="continue"/>
            <w:tcBorders>
              <w:top w:val="single" w:color="auto" w:sz="4" w:space="0"/>
              <w:left w:val="single" w:color="auto" w:sz="4" w:space="0"/>
              <w:bottom w:val="single" w:color="auto" w:sz="4" w:space="0"/>
              <w:right w:val="single" w:color="auto" w:sz="4" w:space="0"/>
            </w:tcBorders>
            <w:noWrap/>
            <w:vAlign w:val="center"/>
          </w:tcPr>
          <w:p w14:paraId="621402DD">
            <w:pPr>
              <w:spacing w:line="500" w:lineRule="exact"/>
              <w:jc w:val="center"/>
              <w:rPr>
                <w:rFonts w:ascii="宋体" w:hAnsi="宋体" w:cs="宋体"/>
                <w:color w:val="auto"/>
                <w:szCs w:val="21"/>
                <w:highlight w:val="none"/>
              </w:rPr>
            </w:pPr>
          </w:p>
        </w:tc>
        <w:tc>
          <w:tcPr>
            <w:tcW w:w="1920" w:type="dxa"/>
            <w:gridSpan w:val="2"/>
            <w:tcBorders>
              <w:top w:val="single" w:color="auto" w:sz="4" w:space="0"/>
              <w:left w:val="single" w:color="auto" w:sz="4" w:space="0"/>
              <w:bottom w:val="single" w:color="auto" w:sz="4" w:space="0"/>
              <w:right w:val="single" w:color="auto" w:sz="4" w:space="0"/>
            </w:tcBorders>
            <w:noWrap/>
            <w:vAlign w:val="center"/>
          </w:tcPr>
          <w:p w14:paraId="50104A7A">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招标文件发布时间</w:t>
            </w:r>
          </w:p>
        </w:tc>
        <w:tc>
          <w:tcPr>
            <w:tcW w:w="7529" w:type="dxa"/>
            <w:tcBorders>
              <w:top w:val="single" w:color="auto" w:sz="4" w:space="0"/>
              <w:left w:val="single" w:color="auto" w:sz="4" w:space="0"/>
              <w:bottom w:val="single" w:color="auto" w:sz="4" w:space="0"/>
              <w:right w:val="single" w:color="auto" w:sz="4" w:space="0"/>
            </w:tcBorders>
            <w:noWrap/>
            <w:vAlign w:val="center"/>
          </w:tcPr>
          <w:p w14:paraId="342AD0CF">
            <w:pPr>
              <w:spacing w:line="500" w:lineRule="exact"/>
              <w:rPr>
                <w:rFonts w:ascii="宋体" w:hAnsi="宋体" w:cs="宋体"/>
                <w:color w:val="auto"/>
                <w:kern w:val="0"/>
                <w:szCs w:val="21"/>
                <w:highlight w:val="none"/>
              </w:rPr>
            </w:pPr>
            <w:r>
              <w:rPr>
                <w:rFonts w:hint="eastAsia" w:ascii="宋体" w:hAnsi="宋体" w:cs="宋体"/>
                <w:color w:val="auto"/>
                <w:kern w:val="0"/>
                <w:szCs w:val="21"/>
                <w:highlight w:val="none"/>
              </w:rPr>
              <w:t>详见招标公告</w:t>
            </w:r>
          </w:p>
        </w:tc>
      </w:tr>
      <w:tr w14:paraId="70F4E1A6">
        <w:tblPrEx>
          <w:tblCellMar>
            <w:top w:w="0" w:type="dxa"/>
            <w:left w:w="108" w:type="dxa"/>
            <w:bottom w:w="0" w:type="dxa"/>
            <w:right w:w="108" w:type="dxa"/>
          </w:tblCellMar>
        </w:tblPrEx>
        <w:trPr>
          <w:jc w:val="center"/>
        </w:trPr>
        <w:tc>
          <w:tcPr>
            <w:tcW w:w="735" w:type="dxa"/>
            <w:tcBorders>
              <w:top w:val="single" w:color="auto" w:sz="4" w:space="0"/>
              <w:left w:val="single" w:color="auto" w:sz="4" w:space="0"/>
              <w:bottom w:val="single" w:color="auto" w:sz="4" w:space="0"/>
              <w:right w:val="single" w:color="auto" w:sz="4" w:space="0"/>
            </w:tcBorders>
            <w:noWrap/>
            <w:vAlign w:val="center"/>
          </w:tcPr>
          <w:p w14:paraId="20486705">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11</w:t>
            </w:r>
          </w:p>
        </w:tc>
        <w:tc>
          <w:tcPr>
            <w:tcW w:w="1920" w:type="dxa"/>
            <w:gridSpan w:val="2"/>
            <w:tcBorders>
              <w:top w:val="single" w:color="auto" w:sz="4" w:space="0"/>
              <w:left w:val="single" w:color="auto" w:sz="4" w:space="0"/>
              <w:bottom w:val="single" w:color="auto" w:sz="4" w:space="0"/>
              <w:right w:val="single" w:color="auto" w:sz="4" w:space="0"/>
            </w:tcBorders>
            <w:noWrap/>
            <w:vAlign w:val="center"/>
          </w:tcPr>
          <w:p w14:paraId="79C86E13">
            <w:pPr>
              <w:spacing w:line="500" w:lineRule="exact"/>
              <w:jc w:val="center"/>
              <w:rPr>
                <w:rFonts w:ascii="宋体" w:hAnsi="宋体" w:cs="宋体"/>
                <w:color w:val="auto"/>
                <w:spacing w:val="-4"/>
                <w:kern w:val="0"/>
                <w:szCs w:val="21"/>
                <w:highlight w:val="none"/>
              </w:rPr>
            </w:pPr>
            <w:r>
              <w:rPr>
                <w:rFonts w:hint="eastAsia" w:ascii="宋体" w:hAnsi="宋体" w:cs="宋体"/>
                <w:color w:val="auto"/>
                <w:spacing w:val="-4"/>
                <w:kern w:val="0"/>
                <w:szCs w:val="21"/>
                <w:highlight w:val="none"/>
              </w:rPr>
              <w:t>踏勘现场</w:t>
            </w:r>
          </w:p>
        </w:tc>
        <w:tc>
          <w:tcPr>
            <w:tcW w:w="7529" w:type="dxa"/>
            <w:tcBorders>
              <w:top w:val="single" w:color="auto" w:sz="4" w:space="0"/>
              <w:left w:val="single" w:color="auto" w:sz="4" w:space="0"/>
              <w:bottom w:val="single" w:color="auto" w:sz="4" w:space="0"/>
              <w:right w:val="single" w:color="auto" w:sz="4" w:space="0"/>
            </w:tcBorders>
            <w:noWrap/>
            <w:vAlign w:val="center"/>
          </w:tcPr>
          <w:p w14:paraId="4D819E3E">
            <w:pPr>
              <w:pStyle w:val="16"/>
              <w:topLinePunct/>
              <w:spacing w:line="500" w:lineRule="exact"/>
              <w:rPr>
                <w:rFonts w:hAnsi="宋体" w:cs="宋体"/>
                <w:color w:val="auto"/>
                <w:spacing w:val="-4"/>
                <w:kern w:val="0"/>
                <w:sz w:val="21"/>
                <w:szCs w:val="21"/>
                <w:highlight w:val="none"/>
              </w:rPr>
            </w:pPr>
            <w:r>
              <w:rPr>
                <w:rFonts w:hint="eastAsia" w:hAnsi="宋体" w:cs="宋体"/>
                <w:color w:val="auto"/>
                <w:spacing w:val="-4"/>
                <w:kern w:val="0"/>
                <w:sz w:val="21"/>
                <w:szCs w:val="21"/>
                <w:highlight w:val="none"/>
              </w:rPr>
              <w:t>不组织，投标人自行组织踏勘现场</w:t>
            </w:r>
            <w:r>
              <w:rPr>
                <w:rFonts w:hint="eastAsia" w:hAnsi="宋体" w:cs="宋体"/>
                <w:color w:val="auto"/>
                <w:sz w:val="21"/>
                <w:szCs w:val="21"/>
                <w:highlight w:val="none"/>
              </w:rPr>
              <w:t>；</w:t>
            </w:r>
          </w:p>
        </w:tc>
      </w:tr>
      <w:tr w14:paraId="31980344">
        <w:tblPrEx>
          <w:tblCellMar>
            <w:top w:w="0" w:type="dxa"/>
            <w:left w:w="108" w:type="dxa"/>
            <w:bottom w:w="0" w:type="dxa"/>
            <w:right w:w="108" w:type="dxa"/>
          </w:tblCellMar>
        </w:tblPrEx>
        <w:trPr>
          <w:jc w:val="center"/>
        </w:trPr>
        <w:tc>
          <w:tcPr>
            <w:tcW w:w="735" w:type="dxa"/>
            <w:tcBorders>
              <w:top w:val="single" w:color="auto" w:sz="4" w:space="0"/>
              <w:left w:val="single" w:color="auto" w:sz="4" w:space="0"/>
              <w:bottom w:val="single" w:color="auto" w:sz="4" w:space="0"/>
              <w:right w:val="single" w:color="auto" w:sz="4" w:space="0"/>
            </w:tcBorders>
            <w:noWrap/>
            <w:vAlign w:val="center"/>
          </w:tcPr>
          <w:p w14:paraId="3D3DD7EB">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12</w:t>
            </w:r>
          </w:p>
        </w:tc>
        <w:tc>
          <w:tcPr>
            <w:tcW w:w="1920" w:type="dxa"/>
            <w:gridSpan w:val="2"/>
            <w:tcBorders>
              <w:top w:val="single" w:color="auto" w:sz="4" w:space="0"/>
              <w:left w:val="single" w:color="auto" w:sz="4" w:space="0"/>
              <w:bottom w:val="single" w:color="auto" w:sz="4" w:space="0"/>
              <w:right w:val="single" w:color="auto" w:sz="4" w:space="0"/>
            </w:tcBorders>
            <w:noWrap/>
            <w:vAlign w:val="center"/>
          </w:tcPr>
          <w:p w14:paraId="4F443D3D">
            <w:pPr>
              <w:spacing w:line="500" w:lineRule="exact"/>
              <w:jc w:val="center"/>
              <w:rPr>
                <w:rFonts w:ascii="宋体" w:hAnsi="宋体" w:cs="宋体"/>
                <w:color w:val="auto"/>
                <w:spacing w:val="-4"/>
                <w:kern w:val="0"/>
                <w:szCs w:val="21"/>
                <w:highlight w:val="none"/>
              </w:rPr>
            </w:pPr>
            <w:r>
              <w:rPr>
                <w:rFonts w:hint="eastAsia" w:ascii="宋体" w:hAnsi="宋体" w:cs="宋体"/>
                <w:color w:val="auto"/>
                <w:spacing w:val="-4"/>
                <w:kern w:val="0"/>
                <w:szCs w:val="21"/>
                <w:highlight w:val="none"/>
              </w:rPr>
              <w:t>投标预备会</w:t>
            </w:r>
          </w:p>
        </w:tc>
        <w:tc>
          <w:tcPr>
            <w:tcW w:w="7529" w:type="dxa"/>
            <w:tcBorders>
              <w:top w:val="single" w:color="auto" w:sz="4" w:space="0"/>
              <w:left w:val="single" w:color="auto" w:sz="4" w:space="0"/>
              <w:bottom w:val="single" w:color="auto" w:sz="4" w:space="0"/>
              <w:right w:val="single" w:color="auto" w:sz="4" w:space="0"/>
            </w:tcBorders>
            <w:noWrap/>
            <w:vAlign w:val="center"/>
          </w:tcPr>
          <w:p w14:paraId="5FE8BF0D">
            <w:pPr>
              <w:pStyle w:val="16"/>
              <w:topLinePunct/>
              <w:spacing w:line="500" w:lineRule="exact"/>
              <w:rPr>
                <w:rFonts w:hAnsi="宋体" w:cs="宋体"/>
                <w:color w:val="auto"/>
                <w:spacing w:val="-4"/>
                <w:kern w:val="0"/>
                <w:sz w:val="21"/>
                <w:szCs w:val="21"/>
                <w:highlight w:val="none"/>
              </w:rPr>
            </w:pPr>
            <w:r>
              <w:rPr>
                <w:rFonts w:hint="eastAsia" w:hAnsi="宋体" w:cs="宋体"/>
                <w:color w:val="auto"/>
                <w:spacing w:val="-4"/>
                <w:kern w:val="0"/>
                <w:sz w:val="21"/>
                <w:szCs w:val="21"/>
                <w:highlight w:val="none"/>
              </w:rPr>
              <w:t>不召开</w:t>
            </w:r>
          </w:p>
        </w:tc>
      </w:tr>
      <w:tr w14:paraId="091FDFBD">
        <w:tblPrEx>
          <w:tblCellMar>
            <w:top w:w="0" w:type="dxa"/>
            <w:left w:w="108" w:type="dxa"/>
            <w:bottom w:w="0" w:type="dxa"/>
            <w:right w:w="108" w:type="dxa"/>
          </w:tblCellMar>
        </w:tblPrEx>
        <w:trPr>
          <w:jc w:val="center"/>
        </w:trPr>
        <w:tc>
          <w:tcPr>
            <w:tcW w:w="735" w:type="dxa"/>
            <w:tcBorders>
              <w:top w:val="single" w:color="auto" w:sz="4" w:space="0"/>
              <w:left w:val="single" w:color="auto" w:sz="4" w:space="0"/>
              <w:bottom w:val="single" w:color="auto" w:sz="4" w:space="0"/>
              <w:right w:val="single" w:color="auto" w:sz="4" w:space="0"/>
            </w:tcBorders>
            <w:noWrap/>
            <w:vAlign w:val="center"/>
          </w:tcPr>
          <w:p w14:paraId="1B3B42ED">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13</w:t>
            </w:r>
          </w:p>
        </w:tc>
        <w:tc>
          <w:tcPr>
            <w:tcW w:w="1920" w:type="dxa"/>
            <w:gridSpan w:val="2"/>
            <w:tcBorders>
              <w:top w:val="single" w:color="auto" w:sz="4" w:space="0"/>
              <w:left w:val="single" w:color="auto" w:sz="4" w:space="0"/>
              <w:bottom w:val="single" w:color="auto" w:sz="4" w:space="0"/>
              <w:right w:val="single" w:color="auto" w:sz="4" w:space="0"/>
            </w:tcBorders>
            <w:noWrap/>
            <w:vAlign w:val="center"/>
          </w:tcPr>
          <w:p w14:paraId="695A22E6">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投标人提出问题的截止时间及方式</w:t>
            </w:r>
          </w:p>
        </w:tc>
        <w:tc>
          <w:tcPr>
            <w:tcW w:w="7529" w:type="dxa"/>
            <w:tcBorders>
              <w:top w:val="single" w:color="auto" w:sz="4" w:space="0"/>
              <w:left w:val="single" w:color="auto" w:sz="4" w:space="0"/>
              <w:bottom w:val="single" w:color="auto" w:sz="4" w:space="0"/>
              <w:right w:val="single" w:color="auto" w:sz="4" w:space="0"/>
            </w:tcBorders>
            <w:noWrap/>
            <w:vAlign w:val="center"/>
          </w:tcPr>
          <w:p w14:paraId="780920F3">
            <w:pPr>
              <w:pStyle w:val="24"/>
              <w:spacing w:line="500" w:lineRule="exact"/>
              <w:rPr>
                <w:rFonts w:ascii="宋体" w:hAnsi="宋体" w:cs="宋体"/>
                <w:color w:val="auto"/>
                <w:szCs w:val="21"/>
                <w:highlight w:val="none"/>
              </w:rPr>
            </w:pPr>
            <w:r>
              <w:rPr>
                <w:rFonts w:hint="eastAsia" w:ascii="宋体" w:hAnsi="宋体" w:cs="宋体"/>
                <w:color w:val="auto"/>
                <w:kern w:val="0"/>
                <w:szCs w:val="21"/>
                <w:highlight w:val="none"/>
              </w:rPr>
              <w:t>如投标人对招标文件有疑问，请于</w:t>
            </w:r>
            <w:r>
              <w:rPr>
                <w:rFonts w:hint="eastAsia" w:ascii="宋体" w:hAnsi="宋体" w:cs="宋体"/>
                <w:b/>
                <w:color w:val="auto"/>
                <w:szCs w:val="21"/>
                <w:highlight w:val="none"/>
              </w:rPr>
              <w:t>202</w:t>
            </w:r>
            <w:r>
              <w:rPr>
                <w:rFonts w:hint="eastAsia" w:ascii="宋体" w:hAnsi="宋体" w:cs="宋体"/>
                <w:b/>
                <w:color w:val="auto"/>
                <w:szCs w:val="21"/>
                <w:highlight w:val="none"/>
                <w:lang w:val="en-US" w:eastAsia="zh-CN"/>
              </w:rPr>
              <w:t>6</w:t>
            </w:r>
            <w:r>
              <w:rPr>
                <w:rFonts w:hint="eastAsia" w:ascii="宋体" w:hAnsi="宋体" w:cs="宋体"/>
                <w:b/>
                <w:color w:val="auto"/>
                <w:szCs w:val="21"/>
                <w:highlight w:val="none"/>
              </w:rPr>
              <w:t>年</w:t>
            </w:r>
            <w:r>
              <w:rPr>
                <w:rFonts w:hint="eastAsia" w:ascii="宋体" w:hAnsi="宋体" w:cs="宋体"/>
                <w:b/>
                <w:color w:val="auto"/>
                <w:szCs w:val="21"/>
                <w:highlight w:val="none"/>
                <w:lang w:val="en-US" w:eastAsia="zh-CN"/>
              </w:rPr>
              <w:t>6</w:t>
            </w:r>
            <w:r>
              <w:rPr>
                <w:rFonts w:hint="eastAsia" w:ascii="宋体" w:hAnsi="宋体" w:cs="宋体"/>
                <w:b/>
                <w:color w:val="auto"/>
                <w:szCs w:val="21"/>
                <w:highlight w:val="none"/>
              </w:rPr>
              <w:t>月</w:t>
            </w:r>
            <w:r>
              <w:rPr>
                <w:rFonts w:hint="eastAsia" w:ascii="宋体" w:hAnsi="宋体" w:cs="宋体"/>
                <w:b/>
                <w:color w:val="auto"/>
                <w:szCs w:val="21"/>
                <w:highlight w:val="none"/>
                <w:lang w:val="en-US" w:eastAsia="zh-CN"/>
              </w:rPr>
              <w:t>22</w:t>
            </w:r>
            <w:r>
              <w:rPr>
                <w:rFonts w:hint="eastAsia" w:ascii="宋体" w:hAnsi="宋体" w:cs="宋体"/>
                <w:b/>
                <w:color w:val="auto"/>
                <w:szCs w:val="21"/>
                <w:highlight w:val="none"/>
              </w:rPr>
              <w:t>日17时</w:t>
            </w:r>
            <w:r>
              <w:rPr>
                <w:rFonts w:hint="eastAsia" w:ascii="宋体" w:hAnsi="宋体" w:cs="宋体"/>
                <w:b/>
                <w:color w:val="auto"/>
                <w:kern w:val="0"/>
                <w:szCs w:val="21"/>
                <w:highlight w:val="none"/>
              </w:rPr>
              <w:t>前</w:t>
            </w:r>
            <w:r>
              <w:rPr>
                <w:rFonts w:hint="eastAsia" w:ascii="宋体" w:hAnsi="宋体" w:cs="宋体"/>
                <w:color w:val="auto"/>
                <w:szCs w:val="21"/>
                <w:highlight w:val="none"/>
              </w:rPr>
              <w:t>将疑问内容通过登录新点电子交易平台【滁州专区】线上提出异议。</w:t>
            </w:r>
          </w:p>
        </w:tc>
      </w:tr>
      <w:tr w14:paraId="0BF0213C">
        <w:tblPrEx>
          <w:tblCellMar>
            <w:top w:w="0" w:type="dxa"/>
            <w:left w:w="108" w:type="dxa"/>
            <w:bottom w:w="0" w:type="dxa"/>
            <w:right w:w="108" w:type="dxa"/>
          </w:tblCellMar>
        </w:tblPrEx>
        <w:trPr>
          <w:jc w:val="center"/>
        </w:trPr>
        <w:tc>
          <w:tcPr>
            <w:tcW w:w="735" w:type="dxa"/>
            <w:tcBorders>
              <w:top w:val="single" w:color="auto" w:sz="4" w:space="0"/>
              <w:left w:val="single" w:color="auto" w:sz="4" w:space="0"/>
              <w:bottom w:val="single" w:color="auto" w:sz="4" w:space="0"/>
              <w:right w:val="single" w:color="auto" w:sz="4" w:space="0"/>
            </w:tcBorders>
            <w:noWrap/>
            <w:vAlign w:val="center"/>
          </w:tcPr>
          <w:p w14:paraId="4E2F2B3E">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14</w:t>
            </w:r>
          </w:p>
        </w:tc>
        <w:tc>
          <w:tcPr>
            <w:tcW w:w="1920" w:type="dxa"/>
            <w:gridSpan w:val="2"/>
            <w:tcBorders>
              <w:top w:val="single" w:color="auto" w:sz="4" w:space="0"/>
              <w:left w:val="single" w:color="auto" w:sz="4" w:space="0"/>
              <w:bottom w:val="single" w:color="auto" w:sz="4" w:space="0"/>
              <w:right w:val="single" w:color="auto" w:sz="4" w:space="0"/>
            </w:tcBorders>
            <w:noWrap/>
            <w:vAlign w:val="center"/>
          </w:tcPr>
          <w:p w14:paraId="38A7B204">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招标人澄清的时间及方式</w:t>
            </w:r>
          </w:p>
        </w:tc>
        <w:tc>
          <w:tcPr>
            <w:tcW w:w="7529" w:type="dxa"/>
            <w:tcBorders>
              <w:top w:val="single" w:color="auto" w:sz="4" w:space="0"/>
              <w:left w:val="single" w:color="auto" w:sz="4" w:space="0"/>
              <w:bottom w:val="single" w:color="auto" w:sz="4" w:space="0"/>
              <w:right w:val="single" w:color="auto" w:sz="4" w:space="0"/>
            </w:tcBorders>
            <w:noWrap/>
            <w:vAlign w:val="center"/>
          </w:tcPr>
          <w:p w14:paraId="00E66CB0">
            <w:pPr>
              <w:spacing w:line="500" w:lineRule="exact"/>
              <w:rPr>
                <w:rFonts w:ascii="宋体" w:hAnsi="宋体" w:cs="宋体"/>
                <w:color w:val="auto"/>
                <w:szCs w:val="21"/>
                <w:highlight w:val="none"/>
              </w:rPr>
            </w:pPr>
            <w:r>
              <w:rPr>
                <w:color w:val="auto"/>
                <w:highlight w:val="none"/>
              </w:rPr>
              <w:fldChar w:fldCharType="begin"/>
            </w:r>
            <w:r>
              <w:rPr>
                <w:color w:val="auto"/>
                <w:highlight w:val="none"/>
              </w:rPr>
              <w:instrText xml:space="preserve"> HYPERLINK "mailto:日11时前将疑问内容以电子邮件形式发送至66267656@qq.com（安徽佳宝信项目管理有限公司邮箱），招标人将在2020年6月" </w:instrText>
            </w:r>
            <w:r>
              <w:rPr>
                <w:color w:val="auto"/>
                <w:highlight w:val="none"/>
              </w:rPr>
              <w:fldChar w:fldCharType="separate"/>
            </w:r>
            <w:r>
              <w:rPr>
                <w:rFonts w:hint="eastAsia" w:ascii="宋体" w:hAnsi="宋体" w:cs="宋体"/>
                <w:color w:val="auto"/>
                <w:szCs w:val="21"/>
                <w:highlight w:val="none"/>
              </w:rPr>
              <w:t>招标人将在</w:t>
            </w:r>
            <w:r>
              <w:rPr>
                <w:rFonts w:hint="eastAsia" w:ascii="宋体" w:hAnsi="宋体" w:cs="宋体"/>
                <w:b/>
                <w:color w:val="auto"/>
                <w:szCs w:val="21"/>
                <w:highlight w:val="none"/>
              </w:rPr>
              <w:t>202</w:t>
            </w:r>
            <w:r>
              <w:rPr>
                <w:rFonts w:hint="eastAsia" w:ascii="宋体" w:hAnsi="宋体" w:cs="宋体"/>
                <w:b/>
                <w:color w:val="auto"/>
                <w:szCs w:val="21"/>
                <w:highlight w:val="none"/>
                <w:lang w:val="en-US" w:eastAsia="zh-CN"/>
              </w:rPr>
              <w:t>6</w:t>
            </w:r>
            <w:r>
              <w:rPr>
                <w:rFonts w:hint="eastAsia" w:ascii="宋体" w:hAnsi="宋体" w:cs="宋体"/>
                <w:b/>
                <w:color w:val="auto"/>
                <w:szCs w:val="21"/>
                <w:highlight w:val="none"/>
              </w:rPr>
              <w:t>年</w:t>
            </w:r>
            <w:r>
              <w:rPr>
                <w:rFonts w:hint="eastAsia" w:ascii="宋体" w:hAnsi="宋体" w:cs="宋体"/>
                <w:b/>
                <w:color w:val="auto"/>
                <w:szCs w:val="21"/>
                <w:highlight w:val="none"/>
                <w:lang w:val="en-US" w:eastAsia="zh-CN"/>
              </w:rPr>
              <w:t>6</w:t>
            </w:r>
            <w:r>
              <w:rPr>
                <w:rFonts w:hint="eastAsia" w:ascii="宋体" w:hAnsi="宋体" w:cs="宋体"/>
                <w:b/>
                <w:color w:val="auto"/>
                <w:szCs w:val="21"/>
                <w:highlight w:val="none"/>
              </w:rPr>
              <w:t>月</w:t>
            </w:r>
            <w:r>
              <w:rPr>
                <w:rFonts w:hint="eastAsia" w:ascii="宋体" w:hAnsi="宋体" w:cs="宋体"/>
                <w:b/>
                <w:color w:val="auto"/>
                <w:szCs w:val="21"/>
                <w:highlight w:val="none"/>
                <w:lang w:val="en-US" w:eastAsia="zh-CN"/>
              </w:rPr>
              <w:t>23</w:t>
            </w:r>
            <w:r>
              <w:rPr>
                <w:rFonts w:hint="eastAsia" w:ascii="宋体" w:hAnsi="宋体" w:cs="宋体"/>
                <w:b/>
                <w:color w:val="auto"/>
                <w:szCs w:val="21"/>
                <w:highlight w:val="none"/>
              </w:rPr>
              <w:t>日</w:t>
            </w:r>
            <w:r>
              <w:rPr>
                <w:rFonts w:hint="eastAsia" w:ascii="宋体" w:hAnsi="宋体" w:cs="宋体"/>
                <w:b/>
                <w:color w:val="auto"/>
                <w:szCs w:val="21"/>
                <w:highlight w:val="none"/>
              </w:rPr>
              <w:fldChar w:fldCharType="end"/>
            </w:r>
            <w:r>
              <w:rPr>
                <w:rFonts w:hint="eastAsia" w:ascii="宋体" w:hAnsi="宋体" w:cs="宋体"/>
                <w:b/>
                <w:bCs/>
                <w:color w:val="auto"/>
                <w:szCs w:val="21"/>
                <w:highlight w:val="none"/>
                <w:lang w:val="en-US" w:eastAsia="zh-CN"/>
              </w:rPr>
              <w:t>17</w:t>
            </w:r>
            <w:r>
              <w:rPr>
                <w:rFonts w:hint="eastAsia" w:ascii="宋体" w:hAnsi="宋体" w:cs="宋体"/>
                <w:b/>
                <w:bCs/>
                <w:color w:val="auto"/>
                <w:szCs w:val="21"/>
                <w:highlight w:val="none"/>
              </w:rPr>
              <w:t>时前</w:t>
            </w:r>
            <w:r>
              <w:rPr>
                <w:rFonts w:hint="eastAsia" w:ascii="宋体" w:hAnsi="宋体" w:cs="宋体"/>
                <w:color w:val="auto"/>
                <w:szCs w:val="21"/>
                <w:highlight w:val="none"/>
              </w:rPr>
              <w:t>在滁州市城投工程咨询管理有限公司官网（https://www.czctgczx.com/）发布 ，请各位投标人注意查看有关澄清内容，如不及时查看造成后果由投标人自负。</w:t>
            </w:r>
          </w:p>
        </w:tc>
      </w:tr>
      <w:tr w14:paraId="634BC3C8">
        <w:tblPrEx>
          <w:tblCellMar>
            <w:top w:w="0" w:type="dxa"/>
            <w:left w:w="108" w:type="dxa"/>
            <w:bottom w:w="0" w:type="dxa"/>
            <w:right w:w="108" w:type="dxa"/>
          </w:tblCellMar>
        </w:tblPrEx>
        <w:trPr>
          <w:jc w:val="center"/>
        </w:trPr>
        <w:tc>
          <w:tcPr>
            <w:tcW w:w="735" w:type="dxa"/>
            <w:tcBorders>
              <w:top w:val="single" w:color="auto" w:sz="4" w:space="0"/>
              <w:left w:val="single" w:color="auto" w:sz="4" w:space="0"/>
              <w:bottom w:val="single" w:color="auto" w:sz="4" w:space="0"/>
              <w:right w:val="single" w:color="auto" w:sz="4" w:space="0"/>
            </w:tcBorders>
            <w:noWrap/>
            <w:vAlign w:val="center"/>
          </w:tcPr>
          <w:p w14:paraId="58EE3B08">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15</w:t>
            </w:r>
          </w:p>
        </w:tc>
        <w:tc>
          <w:tcPr>
            <w:tcW w:w="1920" w:type="dxa"/>
            <w:gridSpan w:val="2"/>
            <w:tcBorders>
              <w:top w:val="single" w:color="auto" w:sz="4" w:space="0"/>
              <w:left w:val="single" w:color="auto" w:sz="4" w:space="0"/>
              <w:bottom w:val="single" w:color="auto" w:sz="4" w:space="0"/>
              <w:right w:val="single" w:color="auto" w:sz="4" w:space="0"/>
            </w:tcBorders>
            <w:noWrap/>
            <w:vAlign w:val="center"/>
          </w:tcPr>
          <w:p w14:paraId="4EBDFDC9">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分包</w:t>
            </w:r>
          </w:p>
        </w:tc>
        <w:tc>
          <w:tcPr>
            <w:tcW w:w="7529" w:type="dxa"/>
            <w:tcBorders>
              <w:top w:val="single" w:color="auto" w:sz="4" w:space="0"/>
              <w:left w:val="single" w:color="auto" w:sz="4" w:space="0"/>
              <w:bottom w:val="single" w:color="auto" w:sz="4" w:space="0"/>
              <w:right w:val="single" w:color="auto" w:sz="4" w:space="0"/>
            </w:tcBorders>
            <w:noWrap/>
            <w:vAlign w:val="center"/>
          </w:tcPr>
          <w:p w14:paraId="7ED2DA43">
            <w:pPr>
              <w:pStyle w:val="16"/>
              <w:spacing w:line="500" w:lineRule="exact"/>
              <w:jc w:val="left"/>
              <w:rPr>
                <w:rFonts w:hAnsi="宋体" w:cs="宋体"/>
                <w:color w:val="auto"/>
                <w:sz w:val="21"/>
                <w:szCs w:val="21"/>
                <w:highlight w:val="none"/>
              </w:rPr>
            </w:pPr>
            <w:r>
              <w:rPr>
                <w:rFonts w:hint="eastAsia" w:hAnsi="宋体" w:cs="宋体"/>
                <w:color w:val="auto"/>
                <w:sz w:val="21"/>
                <w:szCs w:val="21"/>
                <w:highlight w:val="none"/>
              </w:rPr>
              <w:t>☑不允许</w:t>
            </w:r>
          </w:p>
        </w:tc>
      </w:tr>
      <w:tr w14:paraId="4B3F7046">
        <w:tblPrEx>
          <w:tblCellMar>
            <w:top w:w="0" w:type="dxa"/>
            <w:left w:w="108" w:type="dxa"/>
            <w:bottom w:w="0" w:type="dxa"/>
            <w:right w:w="108" w:type="dxa"/>
          </w:tblCellMar>
        </w:tblPrEx>
        <w:trPr>
          <w:jc w:val="center"/>
        </w:trPr>
        <w:tc>
          <w:tcPr>
            <w:tcW w:w="735" w:type="dxa"/>
            <w:tcBorders>
              <w:top w:val="single" w:color="auto" w:sz="4" w:space="0"/>
              <w:left w:val="single" w:color="auto" w:sz="4" w:space="0"/>
              <w:bottom w:val="single" w:color="auto" w:sz="4" w:space="0"/>
              <w:right w:val="single" w:color="auto" w:sz="4" w:space="0"/>
            </w:tcBorders>
            <w:noWrap/>
            <w:vAlign w:val="center"/>
          </w:tcPr>
          <w:p w14:paraId="6F74077F">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16</w:t>
            </w:r>
          </w:p>
        </w:tc>
        <w:tc>
          <w:tcPr>
            <w:tcW w:w="1920" w:type="dxa"/>
            <w:gridSpan w:val="2"/>
            <w:tcBorders>
              <w:top w:val="single" w:color="auto" w:sz="4" w:space="0"/>
              <w:left w:val="single" w:color="auto" w:sz="4" w:space="0"/>
              <w:bottom w:val="single" w:color="auto" w:sz="4" w:space="0"/>
              <w:right w:val="single" w:color="auto" w:sz="4" w:space="0"/>
            </w:tcBorders>
            <w:noWrap/>
            <w:vAlign w:val="center"/>
          </w:tcPr>
          <w:p w14:paraId="42AE962F">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偏离</w:t>
            </w:r>
          </w:p>
        </w:tc>
        <w:tc>
          <w:tcPr>
            <w:tcW w:w="7529" w:type="dxa"/>
            <w:tcBorders>
              <w:top w:val="single" w:color="auto" w:sz="4" w:space="0"/>
              <w:left w:val="single" w:color="auto" w:sz="4" w:space="0"/>
              <w:bottom w:val="single" w:color="auto" w:sz="4" w:space="0"/>
              <w:right w:val="single" w:color="auto" w:sz="4" w:space="0"/>
            </w:tcBorders>
            <w:noWrap/>
            <w:vAlign w:val="center"/>
          </w:tcPr>
          <w:p w14:paraId="1B96872F">
            <w:pPr>
              <w:pStyle w:val="16"/>
              <w:topLinePunct/>
              <w:spacing w:line="500" w:lineRule="exact"/>
              <w:rPr>
                <w:rFonts w:hAnsi="宋体" w:cs="宋体"/>
                <w:color w:val="auto"/>
                <w:sz w:val="21"/>
                <w:szCs w:val="21"/>
                <w:highlight w:val="none"/>
              </w:rPr>
            </w:pPr>
            <w:r>
              <w:rPr>
                <w:rFonts w:hint="eastAsia" w:hAnsi="宋体" w:cs="宋体"/>
                <w:color w:val="auto"/>
                <w:sz w:val="21"/>
                <w:szCs w:val="21"/>
                <w:highlight w:val="none"/>
              </w:rPr>
              <w:t>不允许</w:t>
            </w:r>
          </w:p>
        </w:tc>
      </w:tr>
      <w:tr w14:paraId="2586B508">
        <w:tblPrEx>
          <w:tblCellMar>
            <w:top w:w="0" w:type="dxa"/>
            <w:left w:w="108" w:type="dxa"/>
            <w:bottom w:w="0" w:type="dxa"/>
            <w:right w:w="108" w:type="dxa"/>
          </w:tblCellMar>
        </w:tblPrEx>
        <w:trPr>
          <w:jc w:val="center"/>
        </w:trPr>
        <w:tc>
          <w:tcPr>
            <w:tcW w:w="735" w:type="dxa"/>
            <w:tcBorders>
              <w:top w:val="single" w:color="auto" w:sz="4" w:space="0"/>
              <w:left w:val="single" w:color="auto" w:sz="4" w:space="0"/>
              <w:bottom w:val="single" w:color="auto" w:sz="4" w:space="0"/>
              <w:right w:val="single" w:color="auto" w:sz="4" w:space="0"/>
            </w:tcBorders>
            <w:noWrap/>
            <w:vAlign w:val="center"/>
          </w:tcPr>
          <w:p w14:paraId="771494B9">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17</w:t>
            </w:r>
          </w:p>
        </w:tc>
        <w:tc>
          <w:tcPr>
            <w:tcW w:w="1920" w:type="dxa"/>
            <w:gridSpan w:val="2"/>
            <w:tcBorders>
              <w:top w:val="single" w:color="auto" w:sz="4" w:space="0"/>
              <w:left w:val="single" w:color="auto" w:sz="4" w:space="0"/>
              <w:bottom w:val="single" w:color="auto" w:sz="4" w:space="0"/>
              <w:right w:val="single" w:color="auto" w:sz="4" w:space="0"/>
            </w:tcBorders>
            <w:noWrap/>
            <w:vAlign w:val="center"/>
          </w:tcPr>
          <w:p w14:paraId="6BAA4A97">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构成招标文件的其他材料</w:t>
            </w:r>
          </w:p>
        </w:tc>
        <w:tc>
          <w:tcPr>
            <w:tcW w:w="7529" w:type="dxa"/>
            <w:tcBorders>
              <w:top w:val="single" w:color="auto" w:sz="4" w:space="0"/>
              <w:left w:val="single" w:color="auto" w:sz="4" w:space="0"/>
              <w:bottom w:val="single" w:color="auto" w:sz="4" w:space="0"/>
              <w:right w:val="single" w:color="auto" w:sz="4" w:space="0"/>
            </w:tcBorders>
            <w:noWrap/>
            <w:vAlign w:val="center"/>
          </w:tcPr>
          <w:p w14:paraId="6265B0D7">
            <w:pPr>
              <w:spacing w:line="500" w:lineRule="exact"/>
              <w:rPr>
                <w:rFonts w:ascii="宋体" w:hAnsi="宋体" w:cs="宋体"/>
                <w:color w:val="auto"/>
                <w:szCs w:val="21"/>
                <w:highlight w:val="none"/>
              </w:rPr>
            </w:pPr>
            <w:r>
              <w:rPr>
                <w:rFonts w:hint="eastAsia" w:ascii="宋体" w:hAnsi="宋体" w:cs="宋体"/>
                <w:color w:val="auto"/>
                <w:szCs w:val="21"/>
                <w:highlight w:val="none"/>
              </w:rPr>
              <w:t>招标人提供的其他材料及招标澄清答疑文件等。</w:t>
            </w:r>
          </w:p>
        </w:tc>
      </w:tr>
      <w:tr w14:paraId="02E11A4E">
        <w:tblPrEx>
          <w:tblCellMar>
            <w:top w:w="0" w:type="dxa"/>
            <w:left w:w="108" w:type="dxa"/>
            <w:bottom w:w="0" w:type="dxa"/>
            <w:right w:w="108" w:type="dxa"/>
          </w:tblCellMar>
        </w:tblPrEx>
        <w:trPr>
          <w:trHeight w:val="404" w:hRule="atLeast"/>
          <w:jc w:val="center"/>
        </w:trPr>
        <w:tc>
          <w:tcPr>
            <w:tcW w:w="735" w:type="dxa"/>
            <w:tcBorders>
              <w:top w:val="single" w:color="auto" w:sz="4" w:space="0"/>
              <w:left w:val="single" w:color="auto" w:sz="4" w:space="0"/>
              <w:bottom w:val="single" w:color="auto" w:sz="4" w:space="0"/>
              <w:right w:val="single" w:color="auto" w:sz="4" w:space="0"/>
            </w:tcBorders>
            <w:noWrap/>
            <w:vAlign w:val="center"/>
          </w:tcPr>
          <w:p w14:paraId="2E120C3E">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18</w:t>
            </w:r>
          </w:p>
        </w:tc>
        <w:tc>
          <w:tcPr>
            <w:tcW w:w="1920" w:type="dxa"/>
            <w:gridSpan w:val="2"/>
            <w:tcBorders>
              <w:top w:val="single" w:color="auto" w:sz="4" w:space="0"/>
              <w:left w:val="single" w:color="auto" w:sz="4" w:space="0"/>
              <w:bottom w:val="single" w:color="auto" w:sz="4" w:space="0"/>
              <w:right w:val="single" w:color="auto" w:sz="4" w:space="0"/>
            </w:tcBorders>
            <w:noWrap/>
            <w:vAlign w:val="center"/>
          </w:tcPr>
          <w:p w14:paraId="278559BD">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投标人要求澄清招标文件的截止时间及方式</w:t>
            </w:r>
          </w:p>
        </w:tc>
        <w:tc>
          <w:tcPr>
            <w:tcW w:w="7529" w:type="dxa"/>
            <w:tcBorders>
              <w:top w:val="single" w:color="auto" w:sz="4" w:space="0"/>
              <w:left w:val="single" w:color="auto" w:sz="4" w:space="0"/>
              <w:bottom w:val="single" w:color="auto" w:sz="4" w:space="0"/>
              <w:right w:val="single" w:color="auto" w:sz="4" w:space="0"/>
            </w:tcBorders>
            <w:noWrap/>
            <w:vAlign w:val="center"/>
          </w:tcPr>
          <w:p w14:paraId="52CCEA45">
            <w:pPr>
              <w:spacing w:line="500" w:lineRule="exact"/>
              <w:rPr>
                <w:rFonts w:ascii="宋体" w:hAnsi="宋体" w:cs="宋体"/>
                <w:color w:val="auto"/>
                <w:szCs w:val="21"/>
                <w:highlight w:val="none"/>
              </w:rPr>
            </w:pPr>
            <w:r>
              <w:rPr>
                <w:rFonts w:hint="eastAsia" w:ascii="宋体" w:hAnsi="宋体" w:cs="宋体"/>
                <w:color w:val="auto"/>
                <w:szCs w:val="21"/>
                <w:highlight w:val="none"/>
              </w:rPr>
              <w:t>同本表第13条</w:t>
            </w:r>
          </w:p>
        </w:tc>
      </w:tr>
      <w:tr w14:paraId="677A02FC">
        <w:tblPrEx>
          <w:tblCellMar>
            <w:top w:w="0" w:type="dxa"/>
            <w:left w:w="108" w:type="dxa"/>
            <w:bottom w:w="0" w:type="dxa"/>
            <w:right w:w="108" w:type="dxa"/>
          </w:tblCellMar>
        </w:tblPrEx>
        <w:trPr>
          <w:trHeight w:val="404" w:hRule="atLeast"/>
          <w:jc w:val="center"/>
        </w:trPr>
        <w:tc>
          <w:tcPr>
            <w:tcW w:w="735" w:type="dxa"/>
            <w:tcBorders>
              <w:top w:val="single" w:color="auto" w:sz="4" w:space="0"/>
              <w:left w:val="single" w:color="auto" w:sz="4" w:space="0"/>
              <w:bottom w:val="single" w:color="auto" w:sz="4" w:space="0"/>
              <w:right w:val="single" w:color="auto" w:sz="4" w:space="0"/>
            </w:tcBorders>
            <w:noWrap/>
            <w:vAlign w:val="center"/>
          </w:tcPr>
          <w:p w14:paraId="2CFC9A99">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19</w:t>
            </w:r>
          </w:p>
        </w:tc>
        <w:tc>
          <w:tcPr>
            <w:tcW w:w="1920" w:type="dxa"/>
            <w:gridSpan w:val="2"/>
            <w:tcBorders>
              <w:top w:val="single" w:color="auto" w:sz="4" w:space="0"/>
              <w:left w:val="single" w:color="auto" w:sz="4" w:space="0"/>
              <w:bottom w:val="single" w:color="auto" w:sz="4" w:space="0"/>
              <w:right w:val="single" w:color="auto" w:sz="4" w:space="0"/>
            </w:tcBorders>
            <w:noWrap/>
            <w:vAlign w:val="center"/>
          </w:tcPr>
          <w:p w14:paraId="48FA5204">
            <w:pPr>
              <w:adjustRightInd w:val="0"/>
              <w:snapToGrid w:val="0"/>
              <w:spacing w:line="500" w:lineRule="exact"/>
              <w:jc w:val="center"/>
              <w:rPr>
                <w:rFonts w:ascii="宋体" w:hAnsi="宋体" w:cs="宋体"/>
                <w:color w:val="auto"/>
                <w:szCs w:val="21"/>
                <w:highlight w:val="none"/>
              </w:rPr>
            </w:pPr>
            <w:r>
              <w:rPr>
                <w:rFonts w:hint="eastAsia" w:ascii="宋体" w:hAnsi="宋体" w:cs="宋体"/>
                <w:color w:val="auto"/>
                <w:szCs w:val="21"/>
                <w:highlight w:val="none"/>
              </w:rPr>
              <w:t>增值税税金</w:t>
            </w:r>
          </w:p>
        </w:tc>
        <w:tc>
          <w:tcPr>
            <w:tcW w:w="7529" w:type="dxa"/>
            <w:tcBorders>
              <w:top w:val="single" w:color="auto" w:sz="4" w:space="0"/>
              <w:left w:val="single" w:color="auto" w:sz="4" w:space="0"/>
              <w:bottom w:val="single" w:color="auto" w:sz="4" w:space="0"/>
              <w:right w:val="single" w:color="auto" w:sz="4" w:space="0"/>
            </w:tcBorders>
            <w:noWrap/>
          </w:tcPr>
          <w:p w14:paraId="4451C1EB">
            <w:pPr>
              <w:adjustRightInd w:val="0"/>
              <w:snapToGrid w:val="0"/>
              <w:spacing w:line="500" w:lineRule="exact"/>
              <w:rPr>
                <w:rFonts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rPr>
              <w:t>（1）计税方法：一般计税方法</w:t>
            </w:r>
          </w:p>
          <w:p w14:paraId="5C2BD47F">
            <w:pPr>
              <w:adjustRightInd w:val="0"/>
              <w:snapToGrid w:val="0"/>
              <w:spacing w:line="500" w:lineRule="exact"/>
              <w:rPr>
                <w:rFonts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rPr>
              <w:t>（2）发票类型：增值税专用发票</w:t>
            </w:r>
          </w:p>
          <w:p w14:paraId="09EFB2E9">
            <w:pPr>
              <w:numPr>
                <w:ilvl w:val="0"/>
                <w:numId w:val="1"/>
              </w:numPr>
              <w:adjustRightInd w:val="0"/>
              <w:snapToGrid w:val="0"/>
              <w:spacing w:line="500" w:lineRule="exact"/>
              <w:rPr>
                <w:rFonts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rPr>
              <w:t>增值税税率按照国家有关规定执行。</w:t>
            </w:r>
          </w:p>
          <w:p w14:paraId="1B1E5C7C">
            <w:pPr>
              <w:pStyle w:val="16"/>
              <w:topLinePunct/>
              <w:adjustRightInd w:val="0"/>
              <w:snapToGrid w:val="0"/>
              <w:spacing w:line="500" w:lineRule="exact"/>
              <w:ind w:firstLine="525" w:firstLineChars="250"/>
              <w:rPr>
                <w:rFonts w:hAnsi="宋体" w:cs="宋体"/>
                <w:color w:val="auto"/>
                <w:sz w:val="21"/>
                <w:szCs w:val="21"/>
                <w:highlight w:val="none"/>
              </w:rPr>
            </w:pPr>
            <w:r>
              <w:rPr>
                <w:rFonts w:hint="eastAsia" w:hAnsi="宋体" w:cs="宋体"/>
                <w:bCs/>
                <w:snapToGrid w:val="0"/>
                <w:color w:val="auto"/>
                <w:kern w:val="0"/>
                <w:sz w:val="21"/>
                <w:szCs w:val="21"/>
                <w:highlight w:val="none"/>
              </w:rPr>
              <w:t>其它：</w:t>
            </w:r>
            <w:r>
              <w:rPr>
                <w:rFonts w:hint="eastAsia" w:hAnsi="宋体" w:cs="宋体"/>
                <w:bCs/>
                <w:snapToGrid w:val="0"/>
                <w:color w:val="auto"/>
                <w:kern w:val="0"/>
                <w:sz w:val="21"/>
                <w:szCs w:val="21"/>
                <w:highlight w:val="none"/>
                <w:u w:val="single"/>
              </w:rPr>
              <w:t>/</w:t>
            </w:r>
            <w:r>
              <w:rPr>
                <w:rFonts w:hint="eastAsia" w:hAnsi="宋体" w:cs="宋体"/>
                <w:bCs/>
                <w:snapToGrid w:val="0"/>
                <w:color w:val="auto"/>
                <w:kern w:val="0"/>
                <w:sz w:val="21"/>
                <w:szCs w:val="21"/>
                <w:highlight w:val="none"/>
              </w:rPr>
              <w:t xml:space="preserve"> 。</w:t>
            </w:r>
          </w:p>
        </w:tc>
      </w:tr>
      <w:tr w14:paraId="4243D917">
        <w:tblPrEx>
          <w:tblCellMar>
            <w:top w:w="0" w:type="dxa"/>
            <w:left w:w="108" w:type="dxa"/>
            <w:bottom w:w="0" w:type="dxa"/>
            <w:right w:w="108" w:type="dxa"/>
          </w:tblCellMar>
        </w:tblPrEx>
        <w:trPr>
          <w:jc w:val="center"/>
        </w:trPr>
        <w:tc>
          <w:tcPr>
            <w:tcW w:w="735" w:type="dxa"/>
            <w:tcBorders>
              <w:top w:val="single" w:color="auto" w:sz="4" w:space="0"/>
              <w:left w:val="single" w:color="auto" w:sz="4" w:space="0"/>
              <w:bottom w:val="single" w:color="auto" w:sz="4" w:space="0"/>
              <w:right w:val="single" w:color="auto" w:sz="4" w:space="0"/>
            </w:tcBorders>
            <w:noWrap/>
            <w:vAlign w:val="center"/>
          </w:tcPr>
          <w:p w14:paraId="5A6D94BF">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20</w:t>
            </w:r>
          </w:p>
        </w:tc>
        <w:tc>
          <w:tcPr>
            <w:tcW w:w="1920" w:type="dxa"/>
            <w:gridSpan w:val="2"/>
            <w:tcBorders>
              <w:top w:val="single" w:color="auto" w:sz="4" w:space="0"/>
              <w:left w:val="single" w:color="auto" w:sz="4" w:space="0"/>
              <w:bottom w:val="single" w:color="auto" w:sz="4" w:space="0"/>
              <w:right w:val="single" w:color="auto" w:sz="4" w:space="0"/>
            </w:tcBorders>
            <w:noWrap/>
            <w:vAlign w:val="center"/>
          </w:tcPr>
          <w:p w14:paraId="58ED981A">
            <w:pPr>
              <w:adjustRightInd w:val="0"/>
              <w:snapToGrid w:val="0"/>
              <w:spacing w:line="500" w:lineRule="exact"/>
              <w:jc w:val="center"/>
              <w:rPr>
                <w:rFonts w:ascii="宋体" w:hAnsi="宋体" w:cs="宋体"/>
                <w:color w:val="auto"/>
                <w:szCs w:val="21"/>
                <w:highlight w:val="none"/>
              </w:rPr>
            </w:pPr>
            <w:r>
              <w:rPr>
                <w:rFonts w:hint="eastAsia" w:ascii="宋体" w:hAnsi="宋体" w:cs="宋体"/>
                <w:color w:val="auto"/>
                <w:szCs w:val="21"/>
                <w:highlight w:val="none"/>
              </w:rPr>
              <w:t>最高投标限价</w:t>
            </w:r>
          </w:p>
        </w:tc>
        <w:tc>
          <w:tcPr>
            <w:tcW w:w="7529" w:type="dxa"/>
            <w:tcBorders>
              <w:top w:val="single" w:color="auto" w:sz="4" w:space="0"/>
              <w:left w:val="single" w:color="auto" w:sz="4" w:space="0"/>
              <w:bottom w:val="single" w:color="auto" w:sz="4" w:space="0"/>
              <w:right w:val="single" w:color="auto" w:sz="4" w:space="0"/>
            </w:tcBorders>
            <w:noWrap/>
            <w:vAlign w:val="center"/>
          </w:tcPr>
          <w:p w14:paraId="724A621A">
            <w:pPr>
              <w:spacing w:line="500" w:lineRule="exact"/>
              <w:rPr>
                <w:rFonts w:hint="eastAsia" w:ascii="宋体" w:hAnsi="宋体" w:eastAsia="宋体" w:cs="宋体"/>
                <w:b/>
                <w:bCs/>
                <w:color w:val="auto"/>
                <w:kern w:val="0"/>
                <w:szCs w:val="21"/>
                <w:highlight w:val="none"/>
                <w:lang w:eastAsia="zh-CN"/>
              </w:rPr>
            </w:pPr>
            <w:r>
              <w:rPr>
                <w:rFonts w:hint="eastAsia" w:ascii="宋体" w:hAnsi="宋体" w:cs="宋体"/>
                <w:b/>
                <w:bCs/>
                <w:color w:val="auto"/>
                <w:kern w:val="0"/>
                <w:szCs w:val="21"/>
                <w:highlight w:val="none"/>
              </w:rPr>
              <w:t>有，公布的最高投标限价：</w:t>
            </w:r>
            <w:r>
              <w:rPr>
                <w:rFonts w:hint="eastAsia" w:ascii="宋体" w:hAnsi="宋体" w:cs="宋体"/>
                <w:b/>
                <w:bCs/>
                <w:color w:val="auto"/>
                <w:kern w:val="0"/>
                <w:szCs w:val="21"/>
                <w:highlight w:val="none"/>
                <w:lang w:val="en-US" w:eastAsia="zh-CN"/>
              </w:rPr>
              <w:t>101000.</w:t>
            </w:r>
            <w:r>
              <w:rPr>
                <w:rFonts w:hint="eastAsia" w:ascii="宋体" w:hAnsi="宋体" w:cs="宋体"/>
                <w:b/>
                <w:bCs/>
                <w:color w:val="auto"/>
                <w:kern w:val="0"/>
                <w:szCs w:val="21"/>
                <w:highlight w:val="none"/>
              </w:rPr>
              <w:t>00元</w:t>
            </w:r>
            <w:r>
              <w:rPr>
                <w:rFonts w:hint="eastAsia" w:ascii="宋体" w:hAnsi="宋体" w:cs="宋体"/>
                <w:b/>
                <w:bCs/>
                <w:color w:val="auto"/>
                <w:kern w:val="0"/>
                <w:szCs w:val="21"/>
                <w:highlight w:val="none"/>
                <w:lang w:eastAsia="zh-CN"/>
              </w:rPr>
              <w:t>；</w:t>
            </w:r>
          </w:p>
          <w:p w14:paraId="62E12717">
            <w:pPr>
              <w:spacing w:line="500" w:lineRule="exact"/>
              <w:rPr>
                <w:rFonts w:hint="eastAsia" w:ascii="宋体" w:hAnsi="宋体" w:eastAsia="宋体" w:cs="宋体"/>
                <w:b/>
                <w:bCs/>
                <w:color w:val="auto"/>
                <w:kern w:val="0"/>
                <w:szCs w:val="21"/>
                <w:highlight w:val="none"/>
                <w:lang w:eastAsia="zh-CN"/>
              </w:rPr>
            </w:pPr>
            <w:r>
              <w:rPr>
                <w:rFonts w:hint="eastAsia" w:ascii="宋体" w:hAnsi="宋体" w:cs="宋体"/>
                <w:b/>
                <w:bCs/>
                <w:color w:val="auto"/>
                <w:kern w:val="0"/>
                <w:szCs w:val="21"/>
                <w:highlight w:val="none"/>
              </w:rPr>
              <w:t>发布时间：202</w:t>
            </w:r>
            <w:r>
              <w:rPr>
                <w:rFonts w:hint="eastAsia" w:ascii="宋体" w:hAnsi="宋体" w:cs="宋体"/>
                <w:b/>
                <w:bCs/>
                <w:color w:val="auto"/>
                <w:kern w:val="0"/>
                <w:szCs w:val="21"/>
                <w:highlight w:val="none"/>
                <w:lang w:val="en-US" w:eastAsia="zh-CN"/>
              </w:rPr>
              <w:t>6</w:t>
            </w:r>
            <w:r>
              <w:rPr>
                <w:rFonts w:hint="eastAsia" w:ascii="宋体" w:hAnsi="宋体" w:cs="宋体"/>
                <w:b/>
                <w:bCs/>
                <w:color w:val="auto"/>
                <w:kern w:val="0"/>
                <w:szCs w:val="21"/>
                <w:highlight w:val="none"/>
              </w:rPr>
              <w:t>年</w:t>
            </w:r>
            <w:r>
              <w:rPr>
                <w:rFonts w:hint="eastAsia" w:ascii="宋体" w:hAnsi="宋体" w:cs="宋体"/>
                <w:b/>
                <w:bCs/>
                <w:color w:val="auto"/>
                <w:kern w:val="0"/>
                <w:szCs w:val="21"/>
                <w:highlight w:val="none"/>
                <w:lang w:val="en-US" w:eastAsia="zh-CN"/>
              </w:rPr>
              <w:t>6</w:t>
            </w:r>
            <w:r>
              <w:rPr>
                <w:rFonts w:hint="eastAsia" w:ascii="宋体" w:hAnsi="宋体" w:cs="宋体"/>
                <w:b/>
                <w:bCs/>
                <w:color w:val="auto"/>
                <w:kern w:val="0"/>
                <w:szCs w:val="21"/>
                <w:highlight w:val="none"/>
              </w:rPr>
              <w:t>月</w:t>
            </w:r>
            <w:r>
              <w:rPr>
                <w:rFonts w:hint="eastAsia" w:ascii="宋体" w:hAnsi="宋体" w:cs="宋体"/>
                <w:b/>
                <w:bCs/>
                <w:color w:val="auto"/>
                <w:kern w:val="0"/>
                <w:szCs w:val="21"/>
                <w:highlight w:val="none"/>
                <w:lang w:val="en-US" w:eastAsia="zh-CN"/>
              </w:rPr>
              <w:t>18</w:t>
            </w:r>
            <w:r>
              <w:rPr>
                <w:rFonts w:hint="eastAsia" w:ascii="宋体" w:hAnsi="宋体" w:cs="宋体"/>
                <w:b/>
                <w:bCs/>
                <w:color w:val="auto"/>
                <w:kern w:val="0"/>
                <w:szCs w:val="21"/>
                <w:highlight w:val="none"/>
              </w:rPr>
              <w:t>日17时前</w:t>
            </w:r>
            <w:r>
              <w:rPr>
                <w:rFonts w:hint="eastAsia" w:ascii="宋体" w:hAnsi="宋体" w:cs="宋体"/>
                <w:b/>
                <w:bCs/>
                <w:color w:val="auto"/>
                <w:kern w:val="0"/>
                <w:szCs w:val="21"/>
                <w:highlight w:val="none"/>
                <w:lang w:eastAsia="zh-CN"/>
              </w:rPr>
              <w:t>；</w:t>
            </w:r>
          </w:p>
          <w:p w14:paraId="5A2A1ADD">
            <w:pPr>
              <w:spacing w:line="500" w:lineRule="exact"/>
              <w:rPr>
                <w:rFonts w:ascii="宋体" w:hAnsi="宋体" w:cs="宋体"/>
                <w:b/>
                <w:color w:val="auto"/>
                <w:szCs w:val="21"/>
                <w:highlight w:val="none"/>
                <w:u w:val="single"/>
              </w:rPr>
            </w:pPr>
            <w:r>
              <w:rPr>
                <w:rFonts w:hint="eastAsia" w:ascii="宋体" w:hAnsi="宋体" w:cs="宋体"/>
                <w:b/>
                <w:bCs/>
                <w:color w:val="auto"/>
                <w:kern w:val="0"/>
                <w:szCs w:val="21"/>
                <w:highlight w:val="none"/>
              </w:rPr>
              <w:t>发布媒介：滁州市城投工程咨询管理有限公司网站。</w:t>
            </w:r>
          </w:p>
        </w:tc>
      </w:tr>
      <w:tr w14:paraId="3E5C07A0">
        <w:tblPrEx>
          <w:tblCellMar>
            <w:top w:w="0" w:type="dxa"/>
            <w:left w:w="108" w:type="dxa"/>
            <w:bottom w:w="0" w:type="dxa"/>
            <w:right w:w="108" w:type="dxa"/>
          </w:tblCellMar>
        </w:tblPrEx>
        <w:trPr>
          <w:jc w:val="center"/>
        </w:trPr>
        <w:tc>
          <w:tcPr>
            <w:tcW w:w="735" w:type="dxa"/>
            <w:tcBorders>
              <w:top w:val="single" w:color="auto" w:sz="4" w:space="0"/>
              <w:left w:val="single" w:color="auto" w:sz="4" w:space="0"/>
              <w:bottom w:val="single" w:color="auto" w:sz="4" w:space="0"/>
              <w:right w:val="single" w:color="auto" w:sz="4" w:space="0"/>
            </w:tcBorders>
            <w:noWrap/>
            <w:vAlign w:val="center"/>
          </w:tcPr>
          <w:p w14:paraId="0395F57E">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21</w:t>
            </w:r>
          </w:p>
        </w:tc>
        <w:tc>
          <w:tcPr>
            <w:tcW w:w="1920" w:type="dxa"/>
            <w:gridSpan w:val="2"/>
            <w:tcBorders>
              <w:top w:val="single" w:color="auto" w:sz="4" w:space="0"/>
              <w:left w:val="single" w:color="auto" w:sz="4" w:space="0"/>
              <w:bottom w:val="single" w:color="auto" w:sz="4" w:space="0"/>
              <w:right w:val="single" w:color="auto" w:sz="4" w:space="0"/>
            </w:tcBorders>
            <w:noWrap/>
            <w:vAlign w:val="center"/>
          </w:tcPr>
          <w:p w14:paraId="4FB7E173">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投标有效期</w:t>
            </w:r>
          </w:p>
        </w:tc>
        <w:tc>
          <w:tcPr>
            <w:tcW w:w="7529" w:type="dxa"/>
            <w:tcBorders>
              <w:top w:val="single" w:color="auto" w:sz="4" w:space="0"/>
              <w:left w:val="single" w:color="auto" w:sz="4" w:space="0"/>
              <w:bottom w:val="single" w:color="auto" w:sz="4" w:space="0"/>
              <w:right w:val="single" w:color="auto" w:sz="4" w:space="0"/>
            </w:tcBorders>
            <w:noWrap/>
            <w:vAlign w:val="center"/>
          </w:tcPr>
          <w:p w14:paraId="036DF104">
            <w:pPr>
              <w:spacing w:line="500" w:lineRule="exact"/>
              <w:rPr>
                <w:rFonts w:ascii="宋体" w:hAnsi="宋体" w:cs="宋体"/>
                <w:color w:val="auto"/>
                <w:szCs w:val="21"/>
                <w:highlight w:val="none"/>
              </w:rPr>
            </w:pPr>
            <w:r>
              <w:rPr>
                <w:rFonts w:hint="eastAsia" w:ascii="宋体" w:hAnsi="宋体" w:cs="宋体"/>
                <w:color w:val="auto"/>
                <w:kern w:val="0"/>
                <w:szCs w:val="21"/>
                <w:highlight w:val="none"/>
              </w:rPr>
              <w:t>自投标人递交投标文件截止之日起计算90日历天。在此期限内，凡符合本招标文件要求的投标文件均保持有效。</w:t>
            </w:r>
          </w:p>
        </w:tc>
      </w:tr>
      <w:tr w14:paraId="1642AE9E">
        <w:tblPrEx>
          <w:tblCellMar>
            <w:top w:w="0" w:type="dxa"/>
            <w:left w:w="108" w:type="dxa"/>
            <w:bottom w:w="0" w:type="dxa"/>
            <w:right w:w="108" w:type="dxa"/>
          </w:tblCellMar>
        </w:tblPrEx>
        <w:trPr>
          <w:trHeight w:val="520" w:hRule="atLeast"/>
          <w:jc w:val="center"/>
        </w:trPr>
        <w:tc>
          <w:tcPr>
            <w:tcW w:w="735" w:type="dxa"/>
            <w:tcBorders>
              <w:top w:val="single" w:color="auto" w:sz="4" w:space="0"/>
              <w:left w:val="single" w:color="auto" w:sz="4" w:space="0"/>
              <w:bottom w:val="single" w:color="auto" w:sz="4" w:space="0"/>
              <w:right w:val="single" w:color="auto" w:sz="4" w:space="0"/>
            </w:tcBorders>
            <w:noWrap/>
            <w:vAlign w:val="center"/>
          </w:tcPr>
          <w:p w14:paraId="0D57D351">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22</w:t>
            </w:r>
          </w:p>
        </w:tc>
        <w:tc>
          <w:tcPr>
            <w:tcW w:w="1920" w:type="dxa"/>
            <w:gridSpan w:val="2"/>
            <w:tcBorders>
              <w:top w:val="single" w:color="auto" w:sz="4" w:space="0"/>
              <w:left w:val="single" w:color="auto" w:sz="4" w:space="0"/>
              <w:bottom w:val="single" w:color="auto" w:sz="4" w:space="0"/>
              <w:right w:val="single" w:color="auto" w:sz="4" w:space="0"/>
            </w:tcBorders>
            <w:noWrap/>
            <w:vAlign w:val="center"/>
          </w:tcPr>
          <w:p w14:paraId="46510D9A">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投标保证金</w:t>
            </w:r>
          </w:p>
        </w:tc>
        <w:tc>
          <w:tcPr>
            <w:tcW w:w="7529" w:type="dxa"/>
            <w:tcBorders>
              <w:top w:val="single" w:color="auto" w:sz="4" w:space="0"/>
              <w:left w:val="single" w:color="auto" w:sz="4" w:space="0"/>
              <w:bottom w:val="single" w:color="auto" w:sz="4" w:space="0"/>
              <w:right w:val="single" w:color="auto" w:sz="4" w:space="0"/>
            </w:tcBorders>
            <w:noWrap/>
            <w:vAlign w:val="center"/>
          </w:tcPr>
          <w:p w14:paraId="55A2D51B">
            <w:pPr>
              <w:spacing w:line="500" w:lineRule="exact"/>
              <w:rPr>
                <w:rFonts w:ascii="宋体" w:hAnsi="宋体" w:cs="宋体"/>
                <w:color w:val="auto"/>
                <w:szCs w:val="21"/>
                <w:highlight w:val="none"/>
              </w:rPr>
            </w:pPr>
            <w:r>
              <w:rPr>
                <w:rFonts w:hint="eastAsia" w:ascii="宋体" w:hAnsi="宋体" w:cs="宋体"/>
                <w:color w:val="auto"/>
                <w:szCs w:val="21"/>
                <w:highlight w:val="none"/>
              </w:rPr>
              <w:t>详见招标公告</w:t>
            </w:r>
          </w:p>
        </w:tc>
      </w:tr>
      <w:tr w14:paraId="5A9E104B">
        <w:tblPrEx>
          <w:tblCellMar>
            <w:top w:w="0" w:type="dxa"/>
            <w:left w:w="108" w:type="dxa"/>
            <w:bottom w:w="0" w:type="dxa"/>
            <w:right w:w="108" w:type="dxa"/>
          </w:tblCellMar>
        </w:tblPrEx>
        <w:trPr>
          <w:jc w:val="center"/>
        </w:trPr>
        <w:tc>
          <w:tcPr>
            <w:tcW w:w="735" w:type="dxa"/>
            <w:tcBorders>
              <w:top w:val="single" w:color="auto" w:sz="4" w:space="0"/>
              <w:left w:val="single" w:color="auto" w:sz="4" w:space="0"/>
              <w:bottom w:val="single" w:color="auto" w:sz="4" w:space="0"/>
              <w:right w:val="single" w:color="auto" w:sz="4" w:space="0"/>
            </w:tcBorders>
            <w:noWrap/>
            <w:vAlign w:val="center"/>
          </w:tcPr>
          <w:p w14:paraId="27D580FE">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23</w:t>
            </w:r>
          </w:p>
        </w:tc>
        <w:tc>
          <w:tcPr>
            <w:tcW w:w="1920" w:type="dxa"/>
            <w:gridSpan w:val="2"/>
            <w:tcBorders>
              <w:top w:val="single" w:color="auto" w:sz="4" w:space="0"/>
              <w:left w:val="single" w:color="auto" w:sz="4" w:space="0"/>
              <w:bottom w:val="single" w:color="auto" w:sz="4" w:space="0"/>
              <w:right w:val="single" w:color="auto" w:sz="4" w:space="0"/>
            </w:tcBorders>
            <w:noWrap/>
            <w:vAlign w:val="center"/>
          </w:tcPr>
          <w:p w14:paraId="19BAF31F">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签字或盖章要求</w:t>
            </w:r>
          </w:p>
        </w:tc>
        <w:tc>
          <w:tcPr>
            <w:tcW w:w="7529" w:type="dxa"/>
            <w:tcBorders>
              <w:top w:val="single" w:color="auto" w:sz="4" w:space="0"/>
              <w:left w:val="single" w:color="auto" w:sz="4" w:space="0"/>
              <w:bottom w:val="single" w:color="auto" w:sz="4" w:space="0"/>
              <w:right w:val="single" w:color="auto" w:sz="4" w:space="0"/>
            </w:tcBorders>
            <w:noWrap/>
            <w:vAlign w:val="center"/>
          </w:tcPr>
          <w:p w14:paraId="1F61917D">
            <w:pPr>
              <w:widowControl/>
              <w:spacing w:line="500" w:lineRule="exact"/>
              <w:jc w:val="left"/>
              <w:rPr>
                <w:rFonts w:ascii="宋体" w:hAnsi="宋体" w:cs="宋体"/>
                <w:b/>
                <w:color w:val="auto"/>
                <w:kern w:val="0"/>
                <w:szCs w:val="21"/>
                <w:highlight w:val="none"/>
              </w:rPr>
            </w:pPr>
            <w:r>
              <w:rPr>
                <w:rFonts w:hint="eastAsia" w:ascii="宋体" w:hAnsi="宋体" w:cs="宋体"/>
                <w:b/>
                <w:color w:val="auto"/>
                <w:kern w:val="0"/>
                <w:szCs w:val="21"/>
                <w:highlight w:val="none"/>
              </w:rPr>
              <w:t>电子投标文件须按格式文件要求签字或盖章，招标文件格式中要求“签章”部位，指签字或盖章。</w:t>
            </w:r>
          </w:p>
          <w:p w14:paraId="674768FC">
            <w:pPr>
              <w:spacing w:line="500" w:lineRule="exact"/>
              <w:rPr>
                <w:rFonts w:ascii="宋体" w:hAnsi="宋体" w:cs="宋体"/>
                <w:color w:val="auto"/>
                <w:szCs w:val="21"/>
                <w:highlight w:val="none"/>
              </w:rPr>
            </w:pPr>
            <w:r>
              <w:rPr>
                <w:rFonts w:hint="eastAsia" w:ascii="宋体" w:hAnsi="宋体" w:cs="宋体"/>
                <w:b/>
                <w:color w:val="auto"/>
                <w:kern w:val="0"/>
                <w:szCs w:val="21"/>
                <w:highlight w:val="none"/>
              </w:rPr>
              <w:t>否则经评委会一致认定按照无效投标处理。</w:t>
            </w:r>
          </w:p>
        </w:tc>
      </w:tr>
      <w:tr w14:paraId="247BFB84">
        <w:tblPrEx>
          <w:tblCellMar>
            <w:top w:w="0" w:type="dxa"/>
            <w:left w:w="108" w:type="dxa"/>
            <w:bottom w:w="0" w:type="dxa"/>
            <w:right w:w="108" w:type="dxa"/>
          </w:tblCellMar>
        </w:tblPrEx>
        <w:trPr>
          <w:jc w:val="center"/>
        </w:trPr>
        <w:tc>
          <w:tcPr>
            <w:tcW w:w="735" w:type="dxa"/>
            <w:tcBorders>
              <w:top w:val="single" w:color="auto" w:sz="4" w:space="0"/>
              <w:left w:val="single" w:color="auto" w:sz="4" w:space="0"/>
              <w:bottom w:val="single" w:color="auto" w:sz="4" w:space="0"/>
              <w:right w:val="single" w:color="auto" w:sz="4" w:space="0"/>
            </w:tcBorders>
            <w:noWrap/>
            <w:vAlign w:val="center"/>
          </w:tcPr>
          <w:p w14:paraId="547BBBC0">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24</w:t>
            </w:r>
          </w:p>
        </w:tc>
        <w:tc>
          <w:tcPr>
            <w:tcW w:w="1920" w:type="dxa"/>
            <w:gridSpan w:val="2"/>
            <w:tcBorders>
              <w:top w:val="single" w:color="auto" w:sz="4" w:space="0"/>
              <w:left w:val="single" w:color="auto" w:sz="4" w:space="0"/>
              <w:bottom w:val="single" w:color="auto" w:sz="4" w:space="0"/>
              <w:right w:val="single" w:color="auto" w:sz="4" w:space="0"/>
            </w:tcBorders>
            <w:noWrap/>
            <w:vAlign w:val="center"/>
          </w:tcPr>
          <w:p w14:paraId="73FD622B">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投标文件份数</w:t>
            </w:r>
          </w:p>
        </w:tc>
        <w:tc>
          <w:tcPr>
            <w:tcW w:w="7529" w:type="dxa"/>
            <w:tcBorders>
              <w:top w:val="single" w:color="auto" w:sz="4" w:space="0"/>
              <w:left w:val="single" w:color="auto" w:sz="4" w:space="0"/>
              <w:bottom w:val="single" w:color="auto" w:sz="4" w:space="0"/>
              <w:right w:val="single" w:color="auto" w:sz="4" w:space="0"/>
            </w:tcBorders>
            <w:noWrap/>
            <w:vAlign w:val="center"/>
          </w:tcPr>
          <w:p w14:paraId="044BAFFF">
            <w:pPr>
              <w:adjustRightInd w:val="0"/>
              <w:snapToGrid w:val="0"/>
              <w:spacing w:line="500" w:lineRule="exact"/>
              <w:rPr>
                <w:rFonts w:ascii="宋体" w:hAnsi="宋体" w:cs="宋体"/>
                <w:color w:val="auto"/>
                <w:szCs w:val="21"/>
                <w:highlight w:val="none"/>
              </w:rPr>
            </w:pPr>
            <w:r>
              <w:rPr>
                <w:rFonts w:hint="eastAsia" w:ascii="宋体" w:hAnsi="宋体" w:cs="宋体"/>
                <w:color w:val="auto"/>
                <w:szCs w:val="21"/>
                <w:highlight w:val="none"/>
              </w:rPr>
              <w:t>加密电子投标文件投标人应在投标截止时间前通过新点电子交易平台后在【滁州专区】</w:t>
            </w:r>
          </w:p>
          <w:p w14:paraId="3AFA5BD2">
            <w:pPr>
              <w:adjustRightInd w:val="0"/>
              <w:snapToGrid w:val="0"/>
              <w:spacing w:line="500" w:lineRule="exact"/>
              <w:rPr>
                <w:rFonts w:ascii="宋体" w:hAnsi="宋体" w:cs="宋体"/>
                <w:color w:val="auto"/>
                <w:szCs w:val="21"/>
                <w:highlight w:val="none"/>
              </w:rPr>
            </w:pPr>
            <w:r>
              <w:rPr>
                <w:rFonts w:hint="eastAsia" w:ascii="宋体" w:hAnsi="宋体" w:cs="宋体"/>
                <w:color w:val="auto"/>
                <w:szCs w:val="21"/>
                <w:highlight w:val="none"/>
              </w:rPr>
              <w:t>（https://www.etrading.cn/BREpointSSO/login/oauth2login?regioncode=DQ_ChuZhou）交易系统递交电子投标文件。</w:t>
            </w:r>
          </w:p>
          <w:p w14:paraId="307670CE">
            <w:pPr>
              <w:pStyle w:val="45"/>
              <w:spacing w:line="500" w:lineRule="exact"/>
              <w:ind w:left="0" w:leftChars="0" w:firstLine="0" w:firstLineChars="0"/>
              <w:rPr>
                <w:rFonts w:hAnsi="宋体" w:cs="宋体"/>
                <w:color w:val="auto"/>
                <w:szCs w:val="21"/>
                <w:highlight w:val="none"/>
              </w:rPr>
            </w:pPr>
            <w:r>
              <w:rPr>
                <w:rFonts w:hint="eastAsia" w:hAnsi="宋体" w:cs="宋体"/>
                <w:color w:val="auto"/>
                <w:szCs w:val="21"/>
                <w:highlight w:val="none"/>
              </w:rPr>
              <w:t>（投标人中标后须递交与网上电子投标文件完全一致的纸质版投标文件，并按要求加盖单位章；份数：正本 1 份，副本</w:t>
            </w:r>
            <w:r>
              <w:rPr>
                <w:rFonts w:hint="eastAsia" w:hAnsi="宋体" w:cs="宋体"/>
                <w:color w:val="auto"/>
                <w:szCs w:val="21"/>
                <w:highlight w:val="none"/>
                <w:lang w:val="en-US" w:eastAsia="zh-CN"/>
              </w:rPr>
              <w:t>2</w:t>
            </w:r>
            <w:r>
              <w:rPr>
                <w:rFonts w:hint="eastAsia" w:hAnsi="宋体" w:cs="宋体"/>
                <w:color w:val="auto"/>
                <w:szCs w:val="21"/>
                <w:highlight w:val="none"/>
              </w:rPr>
              <w:t>份；中标人领取中标通知书时，一并递交给招标代理机构）</w:t>
            </w:r>
          </w:p>
        </w:tc>
      </w:tr>
      <w:tr w14:paraId="20EBC25D">
        <w:tblPrEx>
          <w:tblCellMar>
            <w:top w:w="0" w:type="dxa"/>
            <w:left w:w="108" w:type="dxa"/>
            <w:bottom w:w="0" w:type="dxa"/>
            <w:right w:w="108" w:type="dxa"/>
          </w:tblCellMar>
        </w:tblPrEx>
        <w:trPr>
          <w:trHeight w:val="674" w:hRule="atLeast"/>
          <w:jc w:val="center"/>
        </w:trPr>
        <w:tc>
          <w:tcPr>
            <w:tcW w:w="735" w:type="dxa"/>
            <w:tcBorders>
              <w:top w:val="single" w:color="auto" w:sz="4" w:space="0"/>
              <w:left w:val="single" w:color="auto" w:sz="4" w:space="0"/>
              <w:right w:val="single" w:color="auto" w:sz="4" w:space="0"/>
            </w:tcBorders>
            <w:noWrap/>
            <w:vAlign w:val="center"/>
          </w:tcPr>
          <w:p w14:paraId="1D6A5A41">
            <w:pPr>
              <w:autoSpaceDE w:val="0"/>
              <w:spacing w:line="500" w:lineRule="exact"/>
              <w:jc w:val="center"/>
              <w:rPr>
                <w:rFonts w:ascii="宋体" w:hAnsi="宋体" w:cs="宋体"/>
                <w:color w:val="auto"/>
                <w:szCs w:val="21"/>
                <w:highlight w:val="none"/>
              </w:rPr>
            </w:pPr>
            <w:r>
              <w:rPr>
                <w:rFonts w:hint="eastAsia" w:ascii="宋体" w:hAnsi="宋体" w:cs="宋体"/>
                <w:color w:val="auto"/>
                <w:szCs w:val="21"/>
                <w:highlight w:val="none"/>
              </w:rPr>
              <w:t>25</w:t>
            </w:r>
          </w:p>
        </w:tc>
        <w:tc>
          <w:tcPr>
            <w:tcW w:w="1920" w:type="dxa"/>
            <w:gridSpan w:val="2"/>
            <w:tcBorders>
              <w:top w:val="single" w:color="auto" w:sz="4" w:space="0"/>
              <w:left w:val="single" w:color="auto" w:sz="4" w:space="0"/>
              <w:bottom w:val="single" w:color="auto" w:sz="4" w:space="0"/>
              <w:right w:val="single" w:color="auto" w:sz="4" w:space="0"/>
            </w:tcBorders>
            <w:noWrap/>
            <w:vAlign w:val="center"/>
          </w:tcPr>
          <w:p w14:paraId="1F4DD0C9">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投标截止时间</w:t>
            </w:r>
          </w:p>
        </w:tc>
        <w:tc>
          <w:tcPr>
            <w:tcW w:w="7529" w:type="dxa"/>
            <w:tcBorders>
              <w:top w:val="single" w:color="auto" w:sz="4" w:space="0"/>
              <w:left w:val="single" w:color="auto" w:sz="4" w:space="0"/>
              <w:right w:val="single" w:color="auto" w:sz="4" w:space="0"/>
            </w:tcBorders>
            <w:noWrap/>
            <w:vAlign w:val="center"/>
          </w:tcPr>
          <w:p w14:paraId="2CF76EFC">
            <w:pPr>
              <w:spacing w:line="500" w:lineRule="exact"/>
              <w:ind w:firstLine="19" w:firstLineChars="9"/>
              <w:jc w:val="left"/>
              <w:rPr>
                <w:rFonts w:ascii="宋体" w:hAnsi="宋体" w:cs="宋体"/>
                <w:b/>
                <w:bCs/>
                <w:color w:val="auto"/>
                <w:szCs w:val="21"/>
                <w:highlight w:val="none"/>
              </w:rPr>
            </w:pPr>
            <w:r>
              <w:rPr>
                <w:rFonts w:hint="eastAsia" w:ascii="宋体" w:hAnsi="宋体" w:cs="宋体"/>
                <w:b/>
                <w:bCs/>
                <w:color w:val="auto"/>
                <w:szCs w:val="21"/>
                <w:highlight w:val="none"/>
              </w:rPr>
              <w:t>202</w:t>
            </w:r>
            <w:r>
              <w:rPr>
                <w:rFonts w:hint="eastAsia" w:ascii="宋体" w:hAnsi="宋体" w:cs="宋体"/>
                <w:b/>
                <w:bCs/>
                <w:color w:val="auto"/>
                <w:szCs w:val="21"/>
                <w:highlight w:val="none"/>
                <w:lang w:val="en-US" w:eastAsia="zh-CN"/>
              </w:rPr>
              <w:t>6</w:t>
            </w:r>
            <w:r>
              <w:rPr>
                <w:rFonts w:hint="eastAsia" w:ascii="宋体" w:hAnsi="宋体" w:cs="宋体"/>
                <w:b/>
                <w:bCs/>
                <w:color w:val="auto"/>
                <w:szCs w:val="21"/>
                <w:highlight w:val="none"/>
              </w:rPr>
              <w:t>年</w:t>
            </w:r>
            <w:r>
              <w:rPr>
                <w:rFonts w:hint="eastAsia" w:ascii="宋体" w:hAnsi="宋体" w:cs="宋体"/>
                <w:b/>
                <w:bCs/>
                <w:color w:val="auto"/>
                <w:szCs w:val="21"/>
                <w:highlight w:val="none"/>
                <w:lang w:val="en-US" w:eastAsia="zh-CN"/>
              </w:rPr>
              <w:t>6</w:t>
            </w:r>
            <w:r>
              <w:rPr>
                <w:rFonts w:hint="eastAsia" w:ascii="宋体" w:hAnsi="宋体" w:cs="宋体"/>
                <w:b/>
                <w:bCs/>
                <w:color w:val="auto"/>
                <w:szCs w:val="21"/>
                <w:highlight w:val="none"/>
              </w:rPr>
              <w:t>月</w:t>
            </w:r>
            <w:r>
              <w:rPr>
                <w:rFonts w:hint="eastAsia" w:ascii="宋体" w:hAnsi="宋体" w:cs="宋体"/>
                <w:b/>
                <w:bCs/>
                <w:color w:val="auto"/>
                <w:szCs w:val="21"/>
                <w:highlight w:val="none"/>
                <w:lang w:val="en-US" w:eastAsia="zh-CN"/>
              </w:rPr>
              <w:t>26</w:t>
            </w:r>
            <w:r>
              <w:rPr>
                <w:rFonts w:hint="eastAsia" w:ascii="宋体" w:hAnsi="宋体" w:cs="宋体"/>
                <w:b/>
                <w:bCs/>
                <w:color w:val="auto"/>
                <w:szCs w:val="21"/>
                <w:highlight w:val="none"/>
              </w:rPr>
              <w:t>日</w:t>
            </w:r>
            <w:r>
              <w:rPr>
                <w:rFonts w:hint="eastAsia" w:ascii="宋体" w:hAnsi="宋体" w:cs="宋体"/>
                <w:b/>
                <w:bCs/>
                <w:color w:val="auto"/>
                <w:szCs w:val="21"/>
                <w:highlight w:val="none"/>
                <w:lang w:val="en-US" w:eastAsia="zh-CN"/>
              </w:rPr>
              <w:t>9</w:t>
            </w:r>
            <w:r>
              <w:rPr>
                <w:rFonts w:hint="eastAsia" w:ascii="宋体" w:hAnsi="宋体" w:cs="宋体"/>
                <w:b/>
                <w:bCs/>
                <w:color w:val="auto"/>
                <w:szCs w:val="21"/>
                <w:highlight w:val="none"/>
              </w:rPr>
              <w:t>时</w:t>
            </w:r>
            <w:r>
              <w:rPr>
                <w:rFonts w:hint="eastAsia" w:ascii="宋体" w:hAnsi="宋体" w:cs="宋体"/>
                <w:b/>
                <w:bCs/>
                <w:color w:val="auto"/>
                <w:szCs w:val="21"/>
                <w:highlight w:val="none"/>
                <w:lang w:val="en-US" w:eastAsia="zh-CN"/>
              </w:rPr>
              <w:t>00</w:t>
            </w:r>
            <w:r>
              <w:rPr>
                <w:rFonts w:hint="eastAsia" w:ascii="宋体" w:hAnsi="宋体" w:cs="宋体"/>
                <w:b/>
                <w:bCs/>
                <w:color w:val="auto"/>
                <w:szCs w:val="21"/>
                <w:highlight w:val="none"/>
              </w:rPr>
              <w:t>分（北京时间）</w:t>
            </w:r>
          </w:p>
        </w:tc>
      </w:tr>
      <w:tr w14:paraId="0F45B6A2">
        <w:tblPrEx>
          <w:tblCellMar>
            <w:top w:w="0" w:type="dxa"/>
            <w:left w:w="108" w:type="dxa"/>
            <w:bottom w:w="0" w:type="dxa"/>
            <w:right w:w="108" w:type="dxa"/>
          </w:tblCellMar>
        </w:tblPrEx>
        <w:trPr>
          <w:jc w:val="center"/>
        </w:trPr>
        <w:tc>
          <w:tcPr>
            <w:tcW w:w="735" w:type="dxa"/>
            <w:tcBorders>
              <w:top w:val="single" w:color="auto" w:sz="4" w:space="0"/>
              <w:left w:val="single" w:color="auto" w:sz="4" w:space="0"/>
              <w:bottom w:val="single" w:color="auto" w:sz="4" w:space="0"/>
              <w:right w:val="single" w:color="auto" w:sz="4" w:space="0"/>
            </w:tcBorders>
            <w:noWrap/>
            <w:vAlign w:val="center"/>
          </w:tcPr>
          <w:p w14:paraId="280821CD">
            <w:pPr>
              <w:autoSpaceDE w:val="0"/>
              <w:spacing w:line="500" w:lineRule="exact"/>
              <w:jc w:val="center"/>
              <w:rPr>
                <w:rFonts w:ascii="宋体" w:hAnsi="宋体" w:cs="宋体"/>
                <w:color w:val="auto"/>
                <w:szCs w:val="21"/>
                <w:highlight w:val="none"/>
              </w:rPr>
            </w:pPr>
            <w:r>
              <w:rPr>
                <w:rFonts w:hint="eastAsia" w:ascii="宋体" w:hAnsi="宋体" w:cs="宋体"/>
                <w:color w:val="auto"/>
                <w:szCs w:val="21"/>
                <w:highlight w:val="none"/>
              </w:rPr>
              <w:t>26</w:t>
            </w:r>
          </w:p>
        </w:tc>
        <w:tc>
          <w:tcPr>
            <w:tcW w:w="1920" w:type="dxa"/>
            <w:gridSpan w:val="2"/>
            <w:tcBorders>
              <w:top w:val="single" w:color="auto" w:sz="4" w:space="0"/>
              <w:left w:val="single" w:color="auto" w:sz="4" w:space="0"/>
              <w:bottom w:val="single" w:color="auto" w:sz="4" w:space="0"/>
              <w:right w:val="single" w:color="auto" w:sz="4" w:space="0"/>
            </w:tcBorders>
            <w:noWrap/>
            <w:vAlign w:val="center"/>
          </w:tcPr>
          <w:p w14:paraId="183A43D3">
            <w:pPr>
              <w:autoSpaceDE w:val="0"/>
              <w:spacing w:line="500" w:lineRule="exact"/>
              <w:jc w:val="center"/>
              <w:rPr>
                <w:rFonts w:ascii="宋体" w:hAnsi="宋体" w:cs="宋体"/>
                <w:color w:val="auto"/>
                <w:szCs w:val="21"/>
                <w:highlight w:val="none"/>
                <w:u w:color="000000"/>
              </w:rPr>
            </w:pPr>
            <w:r>
              <w:rPr>
                <w:rFonts w:hint="eastAsia" w:ascii="宋体" w:hAnsi="宋体" w:cs="宋体"/>
                <w:color w:val="auto"/>
                <w:szCs w:val="21"/>
                <w:highlight w:val="none"/>
                <w:u w:color="000000"/>
              </w:rPr>
              <w:t>是否允许递交备选投标方案</w:t>
            </w:r>
          </w:p>
        </w:tc>
        <w:tc>
          <w:tcPr>
            <w:tcW w:w="7529" w:type="dxa"/>
            <w:tcBorders>
              <w:top w:val="single" w:color="auto" w:sz="4" w:space="0"/>
              <w:left w:val="single" w:color="auto" w:sz="4" w:space="0"/>
              <w:bottom w:val="single" w:color="auto" w:sz="4" w:space="0"/>
              <w:right w:val="single" w:color="auto" w:sz="4" w:space="0"/>
            </w:tcBorders>
            <w:noWrap/>
            <w:vAlign w:val="center"/>
          </w:tcPr>
          <w:p w14:paraId="332A994F">
            <w:pPr>
              <w:autoSpaceDE w:val="0"/>
              <w:spacing w:line="500" w:lineRule="exact"/>
              <w:jc w:val="left"/>
              <w:rPr>
                <w:rFonts w:ascii="宋体" w:hAnsi="宋体" w:cs="宋体"/>
                <w:color w:val="auto"/>
                <w:szCs w:val="21"/>
                <w:highlight w:val="none"/>
                <w:u w:color="000000"/>
              </w:rPr>
            </w:pPr>
            <w:r>
              <w:rPr>
                <w:rFonts w:hint="eastAsia" w:ascii="宋体" w:hAnsi="宋体" w:cs="宋体"/>
                <w:color w:val="auto"/>
                <w:szCs w:val="21"/>
                <w:highlight w:val="none"/>
                <w:u w:color="000000"/>
              </w:rPr>
              <w:t>不允许；</w:t>
            </w:r>
          </w:p>
        </w:tc>
      </w:tr>
      <w:tr w14:paraId="322E7BDE">
        <w:tblPrEx>
          <w:tblCellMar>
            <w:top w:w="0" w:type="dxa"/>
            <w:left w:w="108" w:type="dxa"/>
            <w:bottom w:w="0" w:type="dxa"/>
            <w:right w:w="108" w:type="dxa"/>
          </w:tblCellMar>
        </w:tblPrEx>
        <w:trPr>
          <w:jc w:val="center"/>
        </w:trPr>
        <w:tc>
          <w:tcPr>
            <w:tcW w:w="735" w:type="dxa"/>
            <w:tcBorders>
              <w:top w:val="single" w:color="auto" w:sz="4" w:space="0"/>
              <w:left w:val="single" w:color="auto" w:sz="4" w:space="0"/>
              <w:bottom w:val="single" w:color="auto" w:sz="4" w:space="0"/>
              <w:right w:val="single" w:color="auto" w:sz="4" w:space="0"/>
            </w:tcBorders>
            <w:noWrap/>
            <w:vAlign w:val="center"/>
          </w:tcPr>
          <w:p w14:paraId="2D404C6E">
            <w:pPr>
              <w:autoSpaceDE w:val="0"/>
              <w:spacing w:line="500" w:lineRule="exact"/>
              <w:jc w:val="center"/>
              <w:rPr>
                <w:rFonts w:ascii="宋体" w:hAnsi="宋体" w:cs="宋体"/>
                <w:color w:val="auto"/>
                <w:szCs w:val="21"/>
                <w:highlight w:val="none"/>
              </w:rPr>
            </w:pPr>
            <w:r>
              <w:rPr>
                <w:rFonts w:hint="eastAsia" w:ascii="宋体" w:hAnsi="宋体" w:cs="宋体"/>
                <w:color w:val="auto"/>
                <w:szCs w:val="21"/>
                <w:highlight w:val="none"/>
              </w:rPr>
              <w:t>27</w:t>
            </w:r>
          </w:p>
        </w:tc>
        <w:tc>
          <w:tcPr>
            <w:tcW w:w="1920" w:type="dxa"/>
            <w:gridSpan w:val="2"/>
            <w:tcBorders>
              <w:top w:val="single" w:color="auto" w:sz="4" w:space="0"/>
              <w:left w:val="single" w:color="auto" w:sz="4" w:space="0"/>
              <w:bottom w:val="single" w:color="auto" w:sz="4" w:space="0"/>
              <w:right w:val="single" w:color="auto" w:sz="4" w:space="0"/>
            </w:tcBorders>
            <w:noWrap/>
            <w:vAlign w:val="center"/>
          </w:tcPr>
          <w:p w14:paraId="44925822">
            <w:pPr>
              <w:autoSpaceDE w:val="0"/>
              <w:spacing w:line="500" w:lineRule="exact"/>
              <w:jc w:val="center"/>
              <w:rPr>
                <w:rFonts w:ascii="宋体" w:hAnsi="宋体" w:cs="宋体"/>
                <w:color w:val="auto"/>
                <w:szCs w:val="21"/>
                <w:highlight w:val="none"/>
              </w:rPr>
            </w:pPr>
            <w:r>
              <w:rPr>
                <w:rFonts w:hint="eastAsia" w:ascii="宋体" w:hAnsi="宋体" w:cs="宋体"/>
                <w:color w:val="auto"/>
                <w:szCs w:val="21"/>
                <w:highlight w:val="none"/>
                <w:u w:color="000000"/>
              </w:rPr>
              <w:t>是否退还投标文件</w:t>
            </w:r>
          </w:p>
        </w:tc>
        <w:tc>
          <w:tcPr>
            <w:tcW w:w="7529" w:type="dxa"/>
            <w:tcBorders>
              <w:top w:val="single" w:color="auto" w:sz="4" w:space="0"/>
              <w:left w:val="single" w:color="auto" w:sz="4" w:space="0"/>
              <w:bottom w:val="single" w:color="auto" w:sz="4" w:space="0"/>
              <w:right w:val="single" w:color="auto" w:sz="4" w:space="0"/>
            </w:tcBorders>
            <w:noWrap/>
            <w:vAlign w:val="center"/>
          </w:tcPr>
          <w:p w14:paraId="02F0B9F6">
            <w:pPr>
              <w:autoSpaceDE w:val="0"/>
              <w:spacing w:line="500" w:lineRule="exact"/>
              <w:rPr>
                <w:rFonts w:ascii="宋体" w:hAnsi="宋体" w:cs="宋体"/>
                <w:color w:val="auto"/>
                <w:szCs w:val="21"/>
                <w:highlight w:val="none"/>
              </w:rPr>
            </w:pPr>
            <w:r>
              <w:rPr>
                <w:rFonts w:hint="eastAsia" w:ascii="宋体" w:hAnsi="宋体" w:cs="宋体"/>
                <w:color w:val="auto"/>
                <w:szCs w:val="21"/>
                <w:highlight w:val="none"/>
                <w:u w:color="000000"/>
              </w:rPr>
              <w:t>否</w:t>
            </w:r>
          </w:p>
        </w:tc>
      </w:tr>
      <w:tr w14:paraId="09C9CFDE">
        <w:tblPrEx>
          <w:tblCellMar>
            <w:top w:w="0" w:type="dxa"/>
            <w:left w:w="108" w:type="dxa"/>
            <w:bottom w:w="0" w:type="dxa"/>
            <w:right w:w="108" w:type="dxa"/>
          </w:tblCellMar>
        </w:tblPrEx>
        <w:trPr>
          <w:jc w:val="center"/>
        </w:trPr>
        <w:tc>
          <w:tcPr>
            <w:tcW w:w="735" w:type="dxa"/>
            <w:tcBorders>
              <w:top w:val="single" w:color="auto" w:sz="4" w:space="0"/>
              <w:left w:val="single" w:color="auto" w:sz="4" w:space="0"/>
              <w:bottom w:val="single" w:color="auto" w:sz="4" w:space="0"/>
              <w:right w:val="single" w:color="auto" w:sz="4" w:space="0"/>
            </w:tcBorders>
            <w:noWrap/>
            <w:vAlign w:val="center"/>
          </w:tcPr>
          <w:p w14:paraId="038C64F1">
            <w:pPr>
              <w:autoSpaceDE w:val="0"/>
              <w:spacing w:line="500" w:lineRule="exact"/>
              <w:jc w:val="center"/>
              <w:rPr>
                <w:rFonts w:ascii="宋体" w:hAnsi="宋体" w:cs="宋体"/>
                <w:color w:val="auto"/>
                <w:szCs w:val="21"/>
                <w:highlight w:val="none"/>
              </w:rPr>
            </w:pPr>
            <w:r>
              <w:rPr>
                <w:rFonts w:hint="eastAsia" w:ascii="宋体" w:hAnsi="宋体" w:cs="宋体"/>
                <w:color w:val="auto"/>
                <w:szCs w:val="21"/>
                <w:highlight w:val="none"/>
              </w:rPr>
              <w:t>28</w:t>
            </w:r>
          </w:p>
        </w:tc>
        <w:tc>
          <w:tcPr>
            <w:tcW w:w="1920" w:type="dxa"/>
            <w:gridSpan w:val="2"/>
            <w:tcBorders>
              <w:top w:val="single" w:color="auto" w:sz="4" w:space="0"/>
              <w:left w:val="single" w:color="auto" w:sz="4" w:space="0"/>
              <w:bottom w:val="single" w:color="auto" w:sz="4" w:space="0"/>
              <w:right w:val="single" w:color="auto" w:sz="4" w:space="0"/>
            </w:tcBorders>
            <w:noWrap/>
            <w:vAlign w:val="center"/>
          </w:tcPr>
          <w:p w14:paraId="17E0D757">
            <w:pPr>
              <w:autoSpaceDE w:val="0"/>
              <w:spacing w:line="500" w:lineRule="exact"/>
              <w:jc w:val="center"/>
              <w:rPr>
                <w:rFonts w:ascii="宋体" w:hAnsi="宋体" w:cs="宋体"/>
                <w:color w:val="auto"/>
                <w:szCs w:val="21"/>
                <w:highlight w:val="none"/>
              </w:rPr>
            </w:pPr>
            <w:r>
              <w:rPr>
                <w:rFonts w:hint="eastAsia" w:ascii="宋体" w:hAnsi="宋体" w:cs="宋体"/>
                <w:color w:val="auto"/>
                <w:szCs w:val="21"/>
                <w:highlight w:val="none"/>
                <w:u w:color="000000"/>
              </w:rPr>
              <w:t>开标时间及地点</w:t>
            </w:r>
          </w:p>
        </w:tc>
        <w:tc>
          <w:tcPr>
            <w:tcW w:w="7529" w:type="dxa"/>
            <w:tcBorders>
              <w:top w:val="single" w:color="auto" w:sz="4" w:space="0"/>
              <w:left w:val="single" w:color="auto" w:sz="4" w:space="0"/>
              <w:bottom w:val="single" w:color="auto" w:sz="4" w:space="0"/>
              <w:right w:val="single" w:color="auto" w:sz="4" w:space="0"/>
            </w:tcBorders>
            <w:noWrap/>
            <w:vAlign w:val="center"/>
          </w:tcPr>
          <w:p w14:paraId="24827330">
            <w:pPr>
              <w:autoSpaceDE w:val="0"/>
              <w:spacing w:line="500" w:lineRule="exact"/>
              <w:rPr>
                <w:rFonts w:ascii="宋体" w:hAnsi="宋体" w:cs="宋体"/>
                <w:color w:val="auto"/>
                <w:szCs w:val="21"/>
                <w:highlight w:val="none"/>
                <w:u w:color="000000"/>
              </w:rPr>
            </w:pPr>
            <w:r>
              <w:rPr>
                <w:rFonts w:hint="eastAsia" w:ascii="宋体" w:hAnsi="宋体" w:cs="宋体"/>
                <w:color w:val="auto"/>
                <w:szCs w:val="21"/>
                <w:highlight w:val="none"/>
                <w:u w:color="000000"/>
              </w:rPr>
              <w:t>开标时间：同投标截止时间</w:t>
            </w:r>
          </w:p>
          <w:p w14:paraId="77A21B79">
            <w:pPr>
              <w:wordWrap w:val="0"/>
              <w:adjustRightInd w:val="0"/>
              <w:snapToGrid w:val="0"/>
              <w:spacing w:line="500" w:lineRule="exact"/>
              <w:jc w:val="left"/>
              <w:rPr>
                <w:rFonts w:ascii="宋体" w:hAnsi="宋体" w:cs="宋体"/>
                <w:color w:val="auto"/>
                <w:szCs w:val="21"/>
                <w:highlight w:val="none"/>
              </w:rPr>
            </w:pPr>
            <w:r>
              <w:rPr>
                <w:rFonts w:hint="eastAsia" w:ascii="宋体" w:hAnsi="宋体" w:cs="宋体"/>
                <w:color w:val="auto"/>
                <w:szCs w:val="21"/>
                <w:highlight w:val="none"/>
              </w:rPr>
              <w:t>开标地点：本项目采用不见面开标，</w:t>
            </w:r>
            <w:r>
              <w:rPr>
                <w:rFonts w:hint="eastAsia" w:ascii="宋体" w:hAnsi="宋体" w:cs="宋体"/>
                <w:color w:val="auto"/>
                <w:kern w:val="0"/>
                <w:szCs w:val="21"/>
                <w:highlight w:val="none"/>
              </w:rPr>
              <w:t>投标人登录滁州市城投工程咨询有限公司不见面开标系统参与网上开标（网址：http://js.etrading.cn/EpointBidOpening/bidopeninghallaction/hall/login）</w:t>
            </w:r>
            <w:r>
              <w:rPr>
                <w:rFonts w:hint="eastAsia" w:ascii="宋体" w:hAnsi="宋体" w:cs="宋体"/>
                <w:color w:val="auto"/>
                <w:szCs w:val="21"/>
                <w:highlight w:val="none"/>
              </w:rPr>
              <w:t>。</w:t>
            </w:r>
          </w:p>
          <w:p w14:paraId="3AB4CE6B">
            <w:pPr>
              <w:autoSpaceDE w:val="0"/>
              <w:spacing w:line="500" w:lineRule="exact"/>
              <w:rPr>
                <w:rFonts w:ascii="宋体" w:hAnsi="宋体" w:cs="宋体"/>
                <w:color w:val="auto"/>
                <w:szCs w:val="21"/>
                <w:highlight w:val="none"/>
              </w:rPr>
            </w:pPr>
            <w:r>
              <w:rPr>
                <w:rFonts w:hint="eastAsia" w:ascii="宋体" w:hAnsi="宋体" w:cs="宋体"/>
                <w:color w:val="auto"/>
                <w:szCs w:val="21"/>
                <w:highlight w:val="none"/>
              </w:rPr>
              <w:t>投标人应在投标截止时间之前，登陆新点电子交易平台【滁州专区】上传投标文件。</w:t>
            </w:r>
          </w:p>
          <w:p w14:paraId="4774D517">
            <w:pPr>
              <w:autoSpaceDE w:val="0"/>
              <w:spacing w:line="500" w:lineRule="exact"/>
              <w:rPr>
                <w:rFonts w:ascii="宋体" w:hAnsi="宋体" w:cs="宋体"/>
                <w:color w:val="auto"/>
                <w:szCs w:val="21"/>
                <w:highlight w:val="none"/>
              </w:rPr>
            </w:pPr>
            <w:r>
              <w:rPr>
                <w:rFonts w:hint="eastAsia" w:ascii="宋体" w:hAnsi="宋体" w:cs="宋体"/>
                <w:color w:val="auto"/>
                <w:szCs w:val="21"/>
                <w:highlight w:val="none"/>
              </w:rPr>
              <w:t>开标方式：不见面开标系统进行开标；投标人须在解密程序开始后30分钟内（以电子交易系统解密倒计时为准）；</w:t>
            </w:r>
          </w:p>
        </w:tc>
      </w:tr>
      <w:tr w14:paraId="241C6843">
        <w:tblPrEx>
          <w:tblCellMar>
            <w:top w:w="0" w:type="dxa"/>
            <w:left w:w="108" w:type="dxa"/>
            <w:bottom w:w="0" w:type="dxa"/>
            <w:right w:w="108" w:type="dxa"/>
          </w:tblCellMar>
        </w:tblPrEx>
        <w:trPr>
          <w:jc w:val="center"/>
        </w:trPr>
        <w:tc>
          <w:tcPr>
            <w:tcW w:w="735" w:type="dxa"/>
            <w:tcBorders>
              <w:top w:val="single" w:color="auto" w:sz="4" w:space="0"/>
              <w:left w:val="single" w:color="auto" w:sz="4" w:space="0"/>
              <w:bottom w:val="single" w:color="auto" w:sz="4" w:space="0"/>
              <w:right w:val="single" w:color="auto" w:sz="4" w:space="0"/>
            </w:tcBorders>
            <w:noWrap/>
            <w:vAlign w:val="center"/>
          </w:tcPr>
          <w:p w14:paraId="1DD87FFD">
            <w:pPr>
              <w:autoSpaceDE w:val="0"/>
              <w:spacing w:line="500" w:lineRule="exact"/>
              <w:jc w:val="center"/>
              <w:rPr>
                <w:rFonts w:ascii="宋体" w:hAnsi="宋体" w:cs="宋体"/>
                <w:color w:val="auto"/>
                <w:szCs w:val="21"/>
                <w:highlight w:val="none"/>
              </w:rPr>
            </w:pPr>
            <w:r>
              <w:rPr>
                <w:rFonts w:hint="eastAsia" w:ascii="宋体" w:hAnsi="宋体" w:cs="宋体"/>
                <w:color w:val="auto"/>
                <w:szCs w:val="21"/>
                <w:highlight w:val="none"/>
              </w:rPr>
              <w:t>29</w:t>
            </w:r>
          </w:p>
        </w:tc>
        <w:tc>
          <w:tcPr>
            <w:tcW w:w="1920" w:type="dxa"/>
            <w:gridSpan w:val="2"/>
            <w:tcBorders>
              <w:top w:val="single" w:color="auto" w:sz="4" w:space="0"/>
              <w:left w:val="single" w:color="auto" w:sz="4" w:space="0"/>
              <w:bottom w:val="single" w:color="auto" w:sz="4" w:space="0"/>
              <w:right w:val="single" w:color="auto" w:sz="4" w:space="0"/>
            </w:tcBorders>
            <w:noWrap/>
            <w:vAlign w:val="center"/>
          </w:tcPr>
          <w:p w14:paraId="185DBA46">
            <w:pPr>
              <w:autoSpaceDE w:val="0"/>
              <w:spacing w:line="500" w:lineRule="exact"/>
              <w:jc w:val="center"/>
              <w:rPr>
                <w:rFonts w:ascii="宋体" w:hAnsi="宋体" w:cs="宋体"/>
                <w:color w:val="auto"/>
                <w:szCs w:val="21"/>
                <w:highlight w:val="none"/>
              </w:rPr>
            </w:pPr>
            <w:r>
              <w:rPr>
                <w:rFonts w:hint="eastAsia" w:ascii="宋体" w:hAnsi="宋体" w:cs="宋体"/>
                <w:color w:val="auto"/>
                <w:szCs w:val="21"/>
                <w:highlight w:val="none"/>
                <w:u w:color="000000"/>
              </w:rPr>
              <w:t>开标程序</w:t>
            </w:r>
          </w:p>
        </w:tc>
        <w:tc>
          <w:tcPr>
            <w:tcW w:w="7529" w:type="dxa"/>
            <w:tcBorders>
              <w:top w:val="single" w:color="auto" w:sz="4" w:space="0"/>
              <w:left w:val="single" w:color="auto" w:sz="4" w:space="0"/>
              <w:bottom w:val="single" w:color="auto" w:sz="4" w:space="0"/>
              <w:right w:val="single" w:color="auto" w:sz="4" w:space="0"/>
            </w:tcBorders>
            <w:noWrap/>
            <w:vAlign w:val="center"/>
          </w:tcPr>
          <w:p w14:paraId="56E403F8">
            <w:pPr>
              <w:autoSpaceDE w:val="0"/>
              <w:spacing w:line="500" w:lineRule="exact"/>
              <w:rPr>
                <w:rFonts w:ascii="宋体" w:hAnsi="宋体" w:cs="宋体"/>
                <w:color w:val="auto"/>
                <w:szCs w:val="21"/>
                <w:highlight w:val="none"/>
              </w:rPr>
            </w:pPr>
            <w:r>
              <w:rPr>
                <w:rFonts w:hint="eastAsia" w:ascii="宋体" w:hAnsi="宋体" w:cs="宋体"/>
                <w:color w:val="auto"/>
                <w:szCs w:val="21"/>
                <w:highlight w:val="none"/>
              </w:rPr>
              <w:t>由代理机构开启电子投标文件，报评标委员会评审。</w:t>
            </w:r>
          </w:p>
        </w:tc>
      </w:tr>
      <w:tr w14:paraId="0FC68FBA">
        <w:tblPrEx>
          <w:tblCellMar>
            <w:top w:w="0" w:type="dxa"/>
            <w:left w:w="108" w:type="dxa"/>
            <w:bottom w:w="0" w:type="dxa"/>
            <w:right w:w="108" w:type="dxa"/>
          </w:tblCellMar>
        </w:tblPrEx>
        <w:trPr>
          <w:trHeight w:val="488" w:hRule="atLeast"/>
          <w:jc w:val="center"/>
        </w:trPr>
        <w:tc>
          <w:tcPr>
            <w:tcW w:w="735" w:type="dxa"/>
            <w:tcBorders>
              <w:top w:val="single" w:color="auto" w:sz="4" w:space="0"/>
              <w:left w:val="single" w:color="auto" w:sz="4" w:space="0"/>
              <w:bottom w:val="single" w:color="auto" w:sz="4" w:space="0"/>
              <w:right w:val="single" w:color="auto" w:sz="4" w:space="0"/>
            </w:tcBorders>
            <w:noWrap/>
            <w:vAlign w:val="center"/>
          </w:tcPr>
          <w:p w14:paraId="1D6E86AB">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30</w:t>
            </w:r>
          </w:p>
        </w:tc>
        <w:tc>
          <w:tcPr>
            <w:tcW w:w="1920" w:type="dxa"/>
            <w:gridSpan w:val="2"/>
            <w:tcBorders>
              <w:top w:val="single" w:color="auto" w:sz="4" w:space="0"/>
              <w:left w:val="single" w:color="auto" w:sz="4" w:space="0"/>
              <w:bottom w:val="single" w:color="auto" w:sz="4" w:space="0"/>
              <w:right w:val="single" w:color="auto" w:sz="4" w:space="0"/>
            </w:tcBorders>
            <w:noWrap/>
            <w:vAlign w:val="center"/>
          </w:tcPr>
          <w:p w14:paraId="685DCC36">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评标委员会的组建</w:t>
            </w:r>
          </w:p>
        </w:tc>
        <w:tc>
          <w:tcPr>
            <w:tcW w:w="7529" w:type="dxa"/>
            <w:tcBorders>
              <w:top w:val="single" w:color="auto" w:sz="4" w:space="0"/>
              <w:left w:val="single" w:color="auto" w:sz="4" w:space="0"/>
              <w:bottom w:val="single" w:color="auto" w:sz="4" w:space="0"/>
              <w:right w:val="single" w:color="auto" w:sz="4" w:space="0"/>
            </w:tcBorders>
            <w:noWrap/>
            <w:vAlign w:val="center"/>
          </w:tcPr>
          <w:p w14:paraId="20039E99">
            <w:pPr>
              <w:spacing w:line="500" w:lineRule="exact"/>
              <w:rPr>
                <w:rFonts w:ascii="宋体" w:hAnsi="宋体" w:cs="宋体"/>
                <w:color w:val="auto"/>
                <w:szCs w:val="21"/>
                <w:highlight w:val="none"/>
              </w:rPr>
            </w:pPr>
            <w:r>
              <w:rPr>
                <w:rFonts w:hint="eastAsia" w:ascii="宋体" w:hAnsi="宋体" w:cs="宋体"/>
                <w:color w:val="auto"/>
                <w:szCs w:val="21"/>
                <w:highlight w:val="none"/>
                <w:u w:color="000000"/>
              </w:rPr>
              <w:t>评标委员会由招标人依法组建。</w:t>
            </w:r>
          </w:p>
        </w:tc>
      </w:tr>
      <w:tr w14:paraId="5DA2347F">
        <w:tblPrEx>
          <w:tblCellMar>
            <w:top w:w="0" w:type="dxa"/>
            <w:left w:w="108" w:type="dxa"/>
            <w:bottom w:w="0" w:type="dxa"/>
            <w:right w:w="108" w:type="dxa"/>
          </w:tblCellMar>
        </w:tblPrEx>
        <w:trPr>
          <w:jc w:val="center"/>
        </w:trPr>
        <w:tc>
          <w:tcPr>
            <w:tcW w:w="735" w:type="dxa"/>
            <w:tcBorders>
              <w:top w:val="single" w:color="auto" w:sz="4" w:space="0"/>
              <w:left w:val="single" w:color="auto" w:sz="4" w:space="0"/>
              <w:bottom w:val="single" w:color="auto" w:sz="4" w:space="0"/>
              <w:right w:val="single" w:color="auto" w:sz="4" w:space="0"/>
            </w:tcBorders>
            <w:noWrap/>
            <w:vAlign w:val="center"/>
          </w:tcPr>
          <w:p w14:paraId="77EAAB30">
            <w:pPr>
              <w:spacing w:line="500" w:lineRule="exact"/>
              <w:jc w:val="center"/>
              <w:rPr>
                <w:rFonts w:ascii="宋体" w:hAnsi="宋体" w:cs="宋体"/>
                <w:b/>
                <w:bCs/>
                <w:color w:val="auto"/>
                <w:szCs w:val="21"/>
                <w:highlight w:val="none"/>
              </w:rPr>
            </w:pPr>
            <w:r>
              <w:rPr>
                <w:rFonts w:hint="eastAsia" w:ascii="宋体" w:hAnsi="宋体" w:cs="宋体"/>
                <w:color w:val="auto"/>
                <w:szCs w:val="21"/>
                <w:highlight w:val="none"/>
              </w:rPr>
              <w:t>31</w:t>
            </w:r>
          </w:p>
        </w:tc>
        <w:tc>
          <w:tcPr>
            <w:tcW w:w="1920" w:type="dxa"/>
            <w:gridSpan w:val="2"/>
            <w:tcBorders>
              <w:top w:val="single" w:color="auto" w:sz="4" w:space="0"/>
              <w:left w:val="single" w:color="auto" w:sz="4" w:space="0"/>
              <w:bottom w:val="single" w:color="auto" w:sz="4" w:space="0"/>
              <w:right w:val="single" w:color="auto" w:sz="4" w:space="0"/>
            </w:tcBorders>
            <w:noWrap/>
            <w:vAlign w:val="center"/>
          </w:tcPr>
          <w:p w14:paraId="059AE52C">
            <w:pPr>
              <w:spacing w:line="500" w:lineRule="exact"/>
              <w:jc w:val="center"/>
              <w:rPr>
                <w:rFonts w:ascii="宋体" w:hAnsi="宋体" w:cs="宋体"/>
                <w:bCs/>
                <w:color w:val="auto"/>
                <w:szCs w:val="21"/>
                <w:highlight w:val="none"/>
              </w:rPr>
            </w:pPr>
            <w:r>
              <w:rPr>
                <w:rFonts w:hint="eastAsia" w:ascii="宋体" w:hAnsi="宋体" w:cs="宋体"/>
                <w:color w:val="auto"/>
                <w:szCs w:val="21"/>
                <w:highlight w:val="none"/>
              </w:rPr>
              <w:t>评标委员会确定中标候选人的人数</w:t>
            </w:r>
          </w:p>
        </w:tc>
        <w:tc>
          <w:tcPr>
            <w:tcW w:w="7529" w:type="dxa"/>
            <w:tcBorders>
              <w:top w:val="single" w:color="auto" w:sz="4" w:space="0"/>
              <w:left w:val="single" w:color="auto" w:sz="4" w:space="0"/>
              <w:bottom w:val="single" w:color="auto" w:sz="4" w:space="0"/>
              <w:right w:val="single" w:color="auto" w:sz="4" w:space="0"/>
            </w:tcBorders>
            <w:noWrap/>
            <w:vAlign w:val="center"/>
          </w:tcPr>
          <w:p w14:paraId="22EFEF3A">
            <w:pPr>
              <w:spacing w:line="500" w:lineRule="exact"/>
              <w:rPr>
                <w:rFonts w:ascii="宋体" w:hAnsi="宋体" w:cs="宋体"/>
                <w:bCs/>
                <w:color w:val="auto"/>
                <w:szCs w:val="21"/>
                <w:highlight w:val="none"/>
              </w:rPr>
            </w:pPr>
            <w:r>
              <w:rPr>
                <w:rFonts w:hint="eastAsia" w:ascii="宋体" w:hAnsi="宋体" w:cs="宋体"/>
                <w:color w:val="auto"/>
                <w:szCs w:val="21"/>
                <w:highlight w:val="none"/>
              </w:rPr>
              <w:t>3名，并标明排序。</w:t>
            </w:r>
          </w:p>
        </w:tc>
      </w:tr>
      <w:tr w14:paraId="6426098D">
        <w:tblPrEx>
          <w:tblCellMar>
            <w:top w:w="0" w:type="dxa"/>
            <w:left w:w="108" w:type="dxa"/>
            <w:bottom w:w="0" w:type="dxa"/>
            <w:right w:w="108" w:type="dxa"/>
          </w:tblCellMar>
        </w:tblPrEx>
        <w:trPr>
          <w:trHeight w:val="500" w:hRule="atLeast"/>
          <w:jc w:val="center"/>
        </w:trPr>
        <w:tc>
          <w:tcPr>
            <w:tcW w:w="735" w:type="dxa"/>
            <w:tcBorders>
              <w:top w:val="single" w:color="auto" w:sz="4" w:space="0"/>
              <w:left w:val="single" w:color="auto" w:sz="4" w:space="0"/>
              <w:right w:val="single" w:color="auto" w:sz="4" w:space="0"/>
            </w:tcBorders>
            <w:noWrap/>
            <w:vAlign w:val="center"/>
          </w:tcPr>
          <w:p w14:paraId="031BC32F">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32</w:t>
            </w:r>
          </w:p>
        </w:tc>
        <w:tc>
          <w:tcPr>
            <w:tcW w:w="1920" w:type="dxa"/>
            <w:gridSpan w:val="2"/>
            <w:tcBorders>
              <w:top w:val="single" w:color="auto" w:sz="4" w:space="0"/>
              <w:left w:val="single" w:color="auto" w:sz="4" w:space="0"/>
              <w:right w:val="single" w:color="auto" w:sz="4" w:space="0"/>
            </w:tcBorders>
            <w:noWrap/>
            <w:vAlign w:val="center"/>
          </w:tcPr>
          <w:p w14:paraId="43458A86">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中标候选人公示媒介</w:t>
            </w:r>
          </w:p>
        </w:tc>
        <w:tc>
          <w:tcPr>
            <w:tcW w:w="7529" w:type="dxa"/>
            <w:tcBorders>
              <w:top w:val="single" w:color="auto" w:sz="4" w:space="0"/>
              <w:left w:val="single" w:color="auto" w:sz="4" w:space="0"/>
              <w:right w:val="single" w:color="auto" w:sz="4" w:space="0"/>
            </w:tcBorders>
            <w:noWrap/>
            <w:vAlign w:val="center"/>
          </w:tcPr>
          <w:p w14:paraId="378C316D">
            <w:pPr>
              <w:spacing w:line="500" w:lineRule="exact"/>
              <w:rPr>
                <w:rFonts w:ascii="宋体" w:hAnsi="宋体" w:cs="宋体"/>
                <w:color w:val="auto"/>
                <w:szCs w:val="21"/>
                <w:highlight w:val="none"/>
              </w:rPr>
            </w:pPr>
            <w:r>
              <w:rPr>
                <w:rFonts w:hint="eastAsia" w:ascii="宋体" w:hAnsi="宋体" w:cs="宋体"/>
                <w:color w:val="auto"/>
                <w:szCs w:val="21"/>
                <w:highlight w:val="none"/>
              </w:rPr>
              <w:t>公示媒介：同招标公告发布媒介</w:t>
            </w:r>
          </w:p>
          <w:p w14:paraId="65742092">
            <w:pPr>
              <w:spacing w:line="500" w:lineRule="exact"/>
              <w:rPr>
                <w:rFonts w:ascii="宋体" w:hAnsi="宋体" w:cs="宋体"/>
                <w:color w:val="auto"/>
                <w:szCs w:val="21"/>
                <w:highlight w:val="none"/>
              </w:rPr>
            </w:pPr>
            <w:r>
              <w:rPr>
                <w:rFonts w:hint="eastAsia" w:ascii="宋体" w:hAnsi="宋体" w:cs="宋体"/>
                <w:color w:val="auto"/>
                <w:szCs w:val="21"/>
                <w:highlight w:val="none"/>
              </w:rPr>
              <w:t>公示期限：公示发布次日起3日（如公示第三日为休息日或节假日，则顺延至休息日或节假日后第一个工作日）</w:t>
            </w:r>
          </w:p>
        </w:tc>
      </w:tr>
      <w:tr w14:paraId="465696A2">
        <w:tblPrEx>
          <w:tblCellMar>
            <w:top w:w="0" w:type="dxa"/>
            <w:left w:w="108" w:type="dxa"/>
            <w:bottom w:w="0" w:type="dxa"/>
            <w:right w:w="108" w:type="dxa"/>
          </w:tblCellMar>
        </w:tblPrEx>
        <w:trPr>
          <w:trHeight w:val="500" w:hRule="atLeast"/>
          <w:jc w:val="center"/>
        </w:trPr>
        <w:tc>
          <w:tcPr>
            <w:tcW w:w="735" w:type="dxa"/>
            <w:tcBorders>
              <w:top w:val="single" w:color="auto" w:sz="4" w:space="0"/>
              <w:left w:val="single" w:color="auto" w:sz="4" w:space="0"/>
              <w:right w:val="single" w:color="auto" w:sz="4" w:space="0"/>
            </w:tcBorders>
            <w:noWrap/>
            <w:vAlign w:val="center"/>
          </w:tcPr>
          <w:p w14:paraId="0EA2C63E">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33</w:t>
            </w:r>
          </w:p>
        </w:tc>
        <w:tc>
          <w:tcPr>
            <w:tcW w:w="1920" w:type="dxa"/>
            <w:gridSpan w:val="2"/>
            <w:tcBorders>
              <w:top w:val="single" w:color="auto" w:sz="4" w:space="0"/>
              <w:left w:val="single" w:color="auto" w:sz="4" w:space="0"/>
              <w:right w:val="single" w:color="auto" w:sz="4" w:space="0"/>
            </w:tcBorders>
            <w:noWrap/>
            <w:vAlign w:val="center"/>
          </w:tcPr>
          <w:p w14:paraId="64E9668C">
            <w:pPr>
              <w:adjustRightInd w:val="0"/>
              <w:snapToGrid w:val="0"/>
              <w:spacing w:line="500" w:lineRule="exact"/>
              <w:rPr>
                <w:rFonts w:ascii="宋体" w:hAnsi="宋体" w:cs="宋体"/>
                <w:color w:val="auto"/>
                <w:szCs w:val="21"/>
                <w:highlight w:val="none"/>
              </w:rPr>
            </w:pPr>
            <w:r>
              <w:rPr>
                <w:rFonts w:hint="eastAsia" w:ascii="宋体" w:hAnsi="宋体" w:cs="宋体"/>
                <w:color w:val="auto"/>
                <w:szCs w:val="21"/>
                <w:highlight w:val="none"/>
              </w:rPr>
              <w:t>中标通知书发出形式</w:t>
            </w:r>
          </w:p>
        </w:tc>
        <w:tc>
          <w:tcPr>
            <w:tcW w:w="7529" w:type="dxa"/>
            <w:tcBorders>
              <w:top w:val="single" w:color="auto" w:sz="4" w:space="0"/>
              <w:left w:val="single" w:color="auto" w:sz="4" w:space="0"/>
              <w:right w:val="single" w:color="auto" w:sz="4" w:space="0"/>
            </w:tcBorders>
            <w:noWrap/>
            <w:vAlign w:val="center"/>
          </w:tcPr>
          <w:p w14:paraId="41C54465">
            <w:pPr>
              <w:widowControl/>
              <w:adjustRightInd w:val="0"/>
              <w:snapToGrid w:val="0"/>
              <w:spacing w:line="500" w:lineRule="exact"/>
              <w:rPr>
                <w:rFonts w:ascii="宋体" w:hAnsi="宋体" w:cs="宋体"/>
                <w:color w:val="auto"/>
                <w:szCs w:val="21"/>
                <w:highlight w:val="none"/>
              </w:rPr>
            </w:pPr>
            <w:r>
              <w:rPr>
                <w:rFonts w:hint="eastAsia" w:ascii="宋体" w:hAnsi="宋体" w:cs="宋体"/>
                <w:color w:val="auto"/>
                <w:szCs w:val="21"/>
                <w:highlight w:val="none"/>
                <w:u w:color="000000"/>
              </w:rPr>
              <w:t>中标通知书须加盖招标人、招标代理公司公章后方可发出。</w:t>
            </w:r>
          </w:p>
        </w:tc>
      </w:tr>
      <w:tr w14:paraId="780AA7FE">
        <w:tblPrEx>
          <w:tblCellMar>
            <w:top w:w="0" w:type="dxa"/>
            <w:left w:w="108" w:type="dxa"/>
            <w:bottom w:w="0" w:type="dxa"/>
            <w:right w:w="108" w:type="dxa"/>
          </w:tblCellMar>
        </w:tblPrEx>
        <w:trPr>
          <w:trHeight w:val="97" w:hRule="atLeast"/>
          <w:jc w:val="center"/>
        </w:trPr>
        <w:tc>
          <w:tcPr>
            <w:tcW w:w="735" w:type="dxa"/>
            <w:tcBorders>
              <w:top w:val="single" w:color="auto" w:sz="4" w:space="0"/>
              <w:left w:val="single" w:color="auto" w:sz="4" w:space="0"/>
              <w:bottom w:val="single" w:color="auto" w:sz="4" w:space="0"/>
              <w:right w:val="single" w:color="auto" w:sz="4" w:space="0"/>
            </w:tcBorders>
            <w:noWrap/>
            <w:vAlign w:val="center"/>
          </w:tcPr>
          <w:p w14:paraId="0540C2DA">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34</w:t>
            </w:r>
          </w:p>
        </w:tc>
        <w:tc>
          <w:tcPr>
            <w:tcW w:w="1920" w:type="dxa"/>
            <w:gridSpan w:val="2"/>
            <w:tcBorders>
              <w:top w:val="single" w:color="auto" w:sz="4" w:space="0"/>
              <w:left w:val="single" w:color="auto" w:sz="4" w:space="0"/>
              <w:bottom w:val="single" w:color="auto" w:sz="4" w:space="0"/>
              <w:right w:val="single" w:color="auto" w:sz="4" w:space="0"/>
            </w:tcBorders>
            <w:noWrap/>
            <w:vAlign w:val="center"/>
          </w:tcPr>
          <w:p w14:paraId="04009F12">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履约担保</w:t>
            </w:r>
          </w:p>
        </w:tc>
        <w:tc>
          <w:tcPr>
            <w:tcW w:w="7529" w:type="dxa"/>
            <w:tcBorders>
              <w:top w:val="single" w:color="auto" w:sz="4" w:space="0"/>
              <w:left w:val="single" w:color="auto" w:sz="4" w:space="0"/>
              <w:bottom w:val="single" w:color="auto" w:sz="4" w:space="0"/>
              <w:right w:val="single" w:color="auto" w:sz="4" w:space="0"/>
            </w:tcBorders>
            <w:noWrap/>
            <w:vAlign w:val="center"/>
          </w:tcPr>
          <w:p w14:paraId="4BF00BBC">
            <w:pPr>
              <w:spacing w:line="500" w:lineRule="exact"/>
              <w:rPr>
                <w:rFonts w:ascii="宋体" w:hAnsi="宋体" w:cs="宋体"/>
                <w:color w:val="auto"/>
                <w:szCs w:val="21"/>
                <w:highlight w:val="none"/>
              </w:rPr>
            </w:pPr>
            <w:r>
              <w:rPr>
                <w:rFonts w:hint="eastAsia" w:ascii="宋体" w:hAnsi="宋体" w:cs="宋体"/>
                <w:bCs/>
                <w:color w:val="auto"/>
                <w:szCs w:val="21"/>
                <w:highlight w:val="none"/>
              </w:rPr>
              <w:t>不要求</w:t>
            </w:r>
          </w:p>
        </w:tc>
      </w:tr>
      <w:tr w14:paraId="6970FB77">
        <w:tblPrEx>
          <w:tblCellMar>
            <w:top w:w="0" w:type="dxa"/>
            <w:left w:w="108" w:type="dxa"/>
            <w:bottom w:w="0" w:type="dxa"/>
            <w:right w:w="108" w:type="dxa"/>
          </w:tblCellMar>
        </w:tblPrEx>
        <w:trPr>
          <w:trHeight w:val="90" w:hRule="atLeast"/>
          <w:jc w:val="center"/>
        </w:trPr>
        <w:tc>
          <w:tcPr>
            <w:tcW w:w="10184" w:type="dxa"/>
            <w:gridSpan w:val="4"/>
            <w:tcBorders>
              <w:top w:val="single" w:color="auto" w:sz="4" w:space="0"/>
              <w:left w:val="single" w:color="auto" w:sz="4" w:space="0"/>
              <w:bottom w:val="single" w:color="auto" w:sz="4" w:space="0"/>
              <w:right w:val="single" w:color="auto" w:sz="4" w:space="0"/>
            </w:tcBorders>
            <w:noWrap/>
            <w:vAlign w:val="center"/>
          </w:tcPr>
          <w:p w14:paraId="0BE71E8F">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需要补充的其他内容</w:t>
            </w:r>
          </w:p>
        </w:tc>
      </w:tr>
      <w:tr w14:paraId="07AF4880">
        <w:tblPrEx>
          <w:tblCellMar>
            <w:top w:w="0" w:type="dxa"/>
            <w:left w:w="108" w:type="dxa"/>
            <w:bottom w:w="0" w:type="dxa"/>
            <w:right w:w="108" w:type="dxa"/>
          </w:tblCellMar>
        </w:tblPrEx>
        <w:trPr>
          <w:jc w:val="center"/>
        </w:trPr>
        <w:tc>
          <w:tcPr>
            <w:tcW w:w="1845" w:type="dxa"/>
            <w:gridSpan w:val="2"/>
            <w:tcBorders>
              <w:top w:val="single" w:color="auto" w:sz="4" w:space="0"/>
              <w:left w:val="single" w:color="auto" w:sz="4" w:space="0"/>
              <w:bottom w:val="single" w:color="auto" w:sz="4" w:space="0"/>
              <w:right w:val="single" w:color="auto" w:sz="4" w:space="0"/>
            </w:tcBorders>
            <w:noWrap/>
            <w:vAlign w:val="center"/>
          </w:tcPr>
          <w:p w14:paraId="1B6E3535">
            <w:pPr>
              <w:adjustRightInd w:val="0"/>
              <w:snapToGrid w:val="0"/>
              <w:spacing w:line="500" w:lineRule="exact"/>
              <w:jc w:val="center"/>
              <w:rPr>
                <w:rFonts w:ascii="宋体" w:hAnsi="宋体" w:cs="宋体"/>
                <w:color w:val="auto"/>
                <w:szCs w:val="21"/>
                <w:highlight w:val="none"/>
              </w:rPr>
            </w:pPr>
            <w:r>
              <w:rPr>
                <w:rFonts w:hint="eastAsia" w:ascii="宋体" w:hAnsi="宋体" w:cs="宋体"/>
                <w:color w:val="auto"/>
                <w:szCs w:val="21"/>
                <w:highlight w:val="none"/>
              </w:rPr>
              <w:t>招标代理服务费</w:t>
            </w:r>
          </w:p>
        </w:tc>
        <w:tc>
          <w:tcPr>
            <w:tcW w:w="8339" w:type="dxa"/>
            <w:gridSpan w:val="2"/>
            <w:tcBorders>
              <w:top w:val="single" w:color="auto" w:sz="4" w:space="0"/>
              <w:left w:val="single" w:color="auto" w:sz="4" w:space="0"/>
              <w:bottom w:val="single" w:color="auto" w:sz="4" w:space="0"/>
              <w:right w:val="single" w:color="auto" w:sz="4" w:space="0"/>
            </w:tcBorders>
            <w:noWrap/>
            <w:vAlign w:val="center"/>
          </w:tcPr>
          <w:p w14:paraId="642EE1DF">
            <w:pPr>
              <w:spacing w:line="500" w:lineRule="exact"/>
              <w:rPr>
                <w:rFonts w:ascii="宋体" w:hAnsi="宋体" w:cs="宋体"/>
                <w:color w:val="auto"/>
                <w:kern w:val="0"/>
                <w:szCs w:val="21"/>
                <w:highlight w:val="none"/>
              </w:rPr>
            </w:pPr>
            <w:r>
              <w:rPr>
                <w:rFonts w:hint="eastAsia" w:ascii="宋体" w:hAnsi="宋体" w:cs="宋体"/>
                <w:color w:val="auto"/>
                <w:kern w:val="0"/>
                <w:szCs w:val="21"/>
                <w:highlight w:val="none"/>
              </w:rPr>
              <w:t>代理服务具体金额：</w:t>
            </w:r>
            <w:r>
              <w:rPr>
                <w:rFonts w:hint="eastAsia" w:ascii="宋体" w:hAnsi="宋体" w:cs="宋体"/>
                <w:color w:val="auto"/>
                <w:kern w:val="0"/>
                <w:szCs w:val="21"/>
                <w:highlight w:val="none"/>
                <w:lang w:val="en-US" w:eastAsia="zh-CN"/>
              </w:rPr>
              <w:t>20</w:t>
            </w:r>
            <w:r>
              <w:rPr>
                <w:rFonts w:hint="eastAsia" w:ascii="宋体" w:hAnsi="宋体" w:cs="宋体"/>
                <w:color w:val="auto"/>
                <w:kern w:val="0"/>
                <w:szCs w:val="21"/>
                <w:highlight w:val="none"/>
              </w:rPr>
              <w:t>00元</w:t>
            </w:r>
            <w:r>
              <w:rPr>
                <w:rFonts w:hint="eastAsia" w:ascii="宋体" w:hAnsi="宋体" w:cs="宋体"/>
                <w:bCs/>
                <w:color w:val="auto"/>
                <w:kern w:val="0"/>
                <w:szCs w:val="21"/>
                <w:highlight w:val="none"/>
              </w:rPr>
              <w:t>。</w:t>
            </w:r>
          </w:p>
          <w:p w14:paraId="2A7EBCCF">
            <w:pPr>
              <w:spacing w:line="500" w:lineRule="exact"/>
              <w:rPr>
                <w:rFonts w:ascii="宋体" w:hAnsi="宋体" w:cs="宋体"/>
                <w:color w:val="auto"/>
                <w:szCs w:val="21"/>
                <w:highlight w:val="none"/>
              </w:rPr>
            </w:pPr>
            <w:r>
              <w:rPr>
                <w:rFonts w:hint="eastAsia" w:ascii="宋体" w:hAnsi="宋体" w:cs="宋体"/>
                <w:color w:val="auto"/>
                <w:kern w:val="0"/>
                <w:szCs w:val="21"/>
                <w:highlight w:val="none"/>
              </w:rPr>
              <w:t>代理服务费支付主体</w:t>
            </w:r>
            <w:r>
              <w:rPr>
                <w:rFonts w:hint="eastAsia" w:ascii="宋体" w:hAnsi="宋体" w:cs="宋体"/>
                <w:color w:val="auto"/>
                <w:szCs w:val="21"/>
                <w:highlight w:val="none"/>
              </w:rPr>
              <w:t>：中标单位，</w:t>
            </w:r>
            <w:r>
              <w:rPr>
                <w:rFonts w:hint="eastAsia" w:ascii="宋体" w:hAnsi="宋体" w:cs="宋体"/>
                <w:color w:val="auto"/>
                <w:kern w:val="0"/>
                <w:szCs w:val="21"/>
                <w:highlight w:val="none"/>
              </w:rPr>
              <w:t>由中标单位在领取中标通知书时，一次性支付给代理机构。</w:t>
            </w:r>
          </w:p>
        </w:tc>
      </w:tr>
      <w:tr w14:paraId="01D0B7DF">
        <w:tblPrEx>
          <w:tblCellMar>
            <w:top w:w="0" w:type="dxa"/>
            <w:left w:w="108" w:type="dxa"/>
            <w:bottom w:w="0" w:type="dxa"/>
            <w:right w:w="108" w:type="dxa"/>
          </w:tblCellMar>
        </w:tblPrEx>
        <w:trPr>
          <w:jc w:val="center"/>
        </w:trPr>
        <w:tc>
          <w:tcPr>
            <w:tcW w:w="1845" w:type="dxa"/>
            <w:gridSpan w:val="2"/>
            <w:tcBorders>
              <w:top w:val="single" w:color="auto" w:sz="4" w:space="0"/>
              <w:left w:val="single" w:color="auto" w:sz="4" w:space="0"/>
              <w:bottom w:val="single" w:color="auto" w:sz="4" w:space="0"/>
              <w:right w:val="single" w:color="auto" w:sz="4" w:space="0"/>
            </w:tcBorders>
            <w:noWrap/>
            <w:vAlign w:val="center"/>
          </w:tcPr>
          <w:p w14:paraId="5730AA97">
            <w:pPr>
              <w:adjustRightInd w:val="0"/>
              <w:snapToGrid w:val="0"/>
              <w:spacing w:line="500" w:lineRule="exact"/>
              <w:jc w:val="center"/>
              <w:rPr>
                <w:rFonts w:ascii="宋体" w:hAnsi="宋体" w:cs="宋体"/>
                <w:color w:val="auto"/>
                <w:szCs w:val="21"/>
                <w:highlight w:val="none"/>
              </w:rPr>
            </w:pPr>
            <w:r>
              <w:rPr>
                <w:rFonts w:hint="eastAsia" w:ascii="宋体" w:hAnsi="宋体" w:cs="宋体"/>
                <w:color w:val="auto"/>
                <w:szCs w:val="21"/>
                <w:highlight w:val="none"/>
              </w:rPr>
              <w:t>专家评审劳务费</w:t>
            </w:r>
          </w:p>
        </w:tc>
        <w:tc>
          <w:tcPr>
            <w:tcW w:w="8339" w:type="dxa"/>
            <w:gridSpan w:val="2"/>
            <w:tcBorders>
              <w:top w:val="single" w:color="auto" w:sz="4" w:space="0"/>
              <w:left w:val="single" w:color="auto" w:sz="4" w:space="0"/>
              <w:bottom w:val="single" w:color="auto" w:sz="4" w:space="0"/>
              <w:right w:val="single" w:color="auto" w:sz="4" w:space="0"/>
            </w:tcBorders>
            <w:noWrap/>
            <w:vAlign w:val="center"/>
          </w:tcPr>
          <w:p w14:paraId="1C48C5F5">
            <w:pPr>
              <w:adjustRightInd w:val="0"/>
              <w:snapToGrid w:val="0"/>
              <w:spacing w:line="500" w:lineRule="exact"/>
              <w:rPr>
                <w:rFonts w:ascii="宋体" w:hAnsi="宋体" w:cs="宋体"/>
                <w:color w:val="auto"/>
                <w:szCs w:val="21"/>
                <w:highlight w:val="none"/>
              </w:rPr>
            </w:pPr>
            <w:r>
              <w:rPr>
                <w:rFonts w:hint="eastAsia" w:ascii="宋体" w:hAnsi="宋体" w:cs="宋体"/>
                <w:color w:val="auto"/>
                <w:szCs w:val="21"/>
                <w:highlight w:val="none"/>
              </w:rPr>
              <w:t>费用或支付标准：以实际发生为准。</w:t>
            </w:r>
          </w:p>
          <w:p w14:paraId="1F8145A9">
            <w:pPr>
              <w:spacing w:line="500" w:lineRule="exact"/>
              <w:rPr>
                <w:rFonts w:ascii="宋体" w:hAnsi="宋体" w:cs="宋体"/>
                <w:color w:val="auto"/>
                <w:kern w:val="0"/>
                <w:szCs w:val="21"/>
                <w:highlight w:val="none"/>
              </w:rPr>
            </w:pPr>
            <w:r>
              <w:rPr>
                <w:rFonts w:hint="eastAsia" w:ascii="宋体" w:hAnsi="宋体" w:cs="宋体"/>
                <w:color w:val="auto"/>
                <w:szCs w:val="21"/>
                <w:highlight w:val="none"/>
              </w:rPr>
              <w:t>支付主体：招标单位。</w:t>
            </w:r>
          </w:p>
        </w:tc>
      </w:tr>
    </w:tbl>
    <w:p w14:paraId="687CCAD1">
      <w:pPr>
        <w:rPr>
          <w:rFonts w:ascii="宋体" w:hAnsi="宋体" w:cs="宋体"/>
          <w:color w:val="auto"/>
          <w:sz w:val="24"/>
          <w:highlight w:val="none"/>
        </w:rPr>
      </w:pPr>
      <w:bookmarkStart w:id="57" w:name="_Toc15058846"/>
      <w:bookmarkStart w:id="58" w:name="_Toc5813"/>
      <w:bookmarkStart w:id="59" w:name="_Toc35424887"/>
      <w:bookmarkStart w:id="60" w:name="_Toc78803322"/>
      <w:bookmarkStart w:id="61" w:name="_Toc35425053"/>
      <w:r>
        <w:rPr>
          <w:rFonts w:hint="eastAsia" w:ascii="宋体" w:hAnsi="宋体" w:cs="宋体"/>
          <w:color w:val="auto"/>
          <w:sz w:val="24"/>
          <w:highlight w:val="none"/>
        </w:rPr>
        <w:br w:type="page"/>
      </w:r>
    </w:p>
    <w:p w14:paraId="001881D2">
      <w:pPr>
        <w:pStyle w:val="4"/>
        <w:spacing w:line="500" w:lineRule="exact"/>
        <w:ind w:left="-420" w:leftChars="-200" w:firstLine="422" w:firstLineChars="17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 总则</w:t>
      </w:r>
      <w:bookmarkEnd w:id="48"/>
      <w:bookmarkEnd w:id="49"/>
      <w:bookmarkEnd w:id="50"/>
      <w:bookmarkEnd w:id="51"/>
      <w:bookmarkEnd w:id="52"/>
      <w:bookmarkEnd w:id="53"/>
      <w:bookmarkEnd w:id="54"/>
      <w:bookmarkEnd w:id="55"/>
      <w:bookmarkEnd w:id="56"/>
      <w:bookmarkEnd w:id="57"/>
      <w:bookmarkEnd w:id="58"/>
      <w:bookmarkEnd w:id="59"/>
      <w:bookmarkEnd w:id="60"/>
      <w:bookmarkEnd w:id="61"/>
    </w:p>
    <w:p w14:paraId="0B60AF5A">
      <w:pPr>
        <w:pStyle w:val="4"/>
        <w:spacing w:line="500" w:lineRule="exact"/>
        <w:ind w:left="-420" w:leftChars="-200" w:firstLine="369" w:firstLineChars="175"/>
        <w:rPr>
          <w:rFonts w:ascii="宋体" w:hAnsi="宋体" w:eastAsia="宋体" w:cs="宋体"/>
          <w:color w:val="auto"/>
          <w:kern w:val="44"/>
          <w:highlight w:val="none"/>
        </w:rPr>
      </w:pPr>
      <w:bookmarkStart w:id="62" w:name="_Toc35424888"/>
      <w:bookmarkStart w:id="63" w:name="_Toc15058847"/>
      <w:bookmarkStart w:id="64" w:name="_Toc324404816"/>
      <w:bookmarkStart w:id="65" w:name="_Toc247085690"/>
      <w:bookmarkStart w:id="66" w:name="_Toc4678"/>
      <w:bookmarkStart w:id="67" w:name="_Toc78803323"/>
      <w:bookmarkStart w:id="68" w:name="_Toc144974498"/>
      <w:bookmarkStart w:id="69" w:name="_Toc152045530"/>
      <w:bookmarkStart w:id="70" w:name="_Toc246996919"/>
      <w:bookmarkStart w:id="71" w:name="_Toc152042306"/>
      <w:bookmarkStart w:id="72" w:name="_Toc35425054"/>
      <w:bookmarkStart w:id="73" w:name="_Toc246996176"/>
      <w:bookmarkStart w:id="74" w:name="_Toc296602421"/>
      <w:bookmarkStart w:id="75" w:name="_Toc506107270"/>
      <w:bookmarkStart w:id="76" w:name="_Toc179632547"/>
      <w:r>
        <w:rPr>
          <w:rFonts w:hint="eastAsia" w:ascii="宋体" w:hAnsi="宋体" w:eastAsia="宋体" w:cs="宋体"/>
          <w:color w:val="auto"/>
          <w:kern w:val="44"/>
          <w:highlight w:val="none"/>
        </w:rPr>
        <w:t>1.1 项目概况</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p>
    <w:p w14:paraId="3F341B85">
      <w:pPr>
        <w:spacing w:line="500" w:lineRule="exact"/>
        <w:ind w:left="-420" w:leftChars="-200" w:firstLine="367" w:firstLineChars="175"/>
        <w:jc w:val="left"/>
        <w:rPr>
          <w:rFonts w:ascii="宋体" w:hAnsi="宋体" w:cs="宋体"/>
          <w:color w:val="auto"/>
          <w:szCs w:val="21"/>
          <w:highlight w:val="none"/>
        </w:rPr>
      </w:pPr>
      <w:r>
        <w:rPr>
          <w:rFonts w:hint="eastAsia" w:ascii="宋体" w:hAnsi="宋体" w:cs="宋体"/>
          <w:color w:val="auto"/>
          <w:szCs w:val="21"/>
          <w:highlight w:val="none"/>
        </w:rPr>
        <w:t>1.1.1根据《中华人民共和国招标投标法》《中华人民共和国招标投标法实施条例》等有关法律、法规和规章的规定，本招标项目已具备招标条件，现对本项目施工进行招标。</w:t>
      </w:r>
    </w:p>
    <w:p w14:paraId="1B55226E">
      <w:pPr>
        <w:spacing w:line="500" w:lineRule="exact"/>
        <w:ind w:left="-420" w:leftChars="-200" w:firstLine="367" w:firstLineChars="175"/>
        <w:jc w:val="left"/>
        <w:rPr>
          <w:rFonts w:ascii="宋体" w:hAnsi="宋体" w:cs="宋体"/>
          <w:color w:val="auto"/>
          <w:szCs w:val="21"/>
          <w:highlight w:val="none"/>
        </w:rPr>
      </w:pPr>
      <w:r>
        <w:rPr>
          <w:rFonts w:hint="eastAsia" w:ascii="宋体" w:hAnsi="宋体" w:cs="宋体"/>
          <w:color w:val="auto"/>
          <w:szCs w:val="21"/>
          <w:highlight w:val="none"/>
        </w:rPr>
        <w:t>1.1.2 本招标项目招标人：见投标人须知前附表。</w:t>
      </w:r>
    </w:p>
    <w:p w14:paraId="35022AD2">
      <w:pPr>
        <w:spacing w:line="500" w:lineRule="exact"/>
        <w:ind w:left="-420" w:leftChars="-200" w:firstLine="367" w:firstLineChars="175"/>
        <w:jc w:val="left"/>
        <w:rPr>
          <w:rFonts w:ascii="宋体" w:hAnsi="宋体" w:cs="宋体"/>
          <w:color w:val="auto"/>
          <w:szCs w:val="21"/>
          <w:highlight w:val="none"/>
        </w:rPr>
      </w:pPr>
      <w:r>
        <w:rPr>
          <w:rFonts w:hint="eastAsia" w:ascii="宋体" w:hAnsi="宋体" w:cs="宋体"/>
          <w:color w:val="auto"/>
          <w:szCs w:val="21"/>
          <w:highlight w:val="none"/>
        </w:rPr>
        <w:t>1.1.3 本招标项目招标代理机构：见投标人须知前附表。</w:t>
      </w:r>
    </w:p>
    <w:p w14:paraId="3B909C35">
      <w:pPr>
        <w:spacing w:line="500" w:lineRule="exact"/>
        <w:ind w:left="-420" w:leftChars="-200" w:firstLine="367" w:firstLineChars="175"/>
        <w:jc w:val="left"/>
        <w:rPr>
          <w:rFonts w:ascii="宋体" w:hAnsi="宋体" w:cs="宋体"/>
          <w:color w:val="auto"/>
          <w:szCs w:val="21"/>
          <w:highlight w:val="none"/>
        </w:rPr>
      </w:pPr>
      <w:r>
        <w:rPr>
          <w:rFonts w:hint="eastAsia" w:ascii="宋体" w:hAnsi="宋体" w:cs="宋体"/>
          <w:color w:val="auto"/>
          <w:szCs w:val="21"/>
          <w:highlight w:val="none"/>
        </w:rPr>
        <w:t>1.1.4 本招标项目名称：见投标人须知前附表。</w:t>
      </w:r>
    </w:p>
    <w:p w14:paraId="4473DED8">
      <w:pPr>
        <w:spacing w:line="500" w:lineRule="exact"/>
        <w:ind w:left="-420" w:leftChars="-200" w:firstLine="367" w:firstLineChars="175"/>
        <w:jc w:val="left"/>
        <w:rPr>
          <w:rFonts w:ascii="宋体" w:hAnsi="宋体" w:cs="宋体"/>
          <w:color w:val="auto"/>
          <w:szCs w:val="21"/>
          <w:highlight w:val="none"/>
        </w:rPr>
      </w:pPr>
      <w:r>
        <w:rPr>
          <w:rFonts w:hint="eastAsia" w:ascii="宋体" w:hAnsi="宋体" w:cs="宋体"/>
          <w:color w:val="auto"/>
          <w:szCs w:val="21"/>
          <w:highlight w:val="none"/>
        </w:rPr>
        <w:t>1.1.5 本招标项目建设地点：见投标人须知前附表。</w:t>
      </w:r>
    </w:p>
    <w:p w14:paraId="0598884E">
      <w:pPr>
        <w:pStyle w:val="4"/>
        <w:spacing w:line="500" w:lineRule="exact"/>
        <w:ind w:left="-420" w:leftChars="-200" w:firstLine="369" w:firstLineChars="175"/>
        <w:rPr>
          <w:rFonts w:ascii="宋体" w:hAnsi="宋体" w:eastAsia="宋体" w:cs="宋体"/>
          <w:color w:val="auto"/>
          <w:highlight w:val="none"/>
        </w:rPr>
      </w:pPr>
      <w:bookmarkStart w:id="77" w:name="_Toc296602422"/>
      <w:bookmarkStart w:id="78" w:name="_Toc179632548"/>
      <w:bookmarkStart w:id="79" w:name="_Toc35424889"/>
      <w:bookmarkStart w:id="80" w:name="_Toc144974499"/>
      <w:bookmarkStart w:id="81" w:name="_Toc246996920"/>
      <w:bookmarkStart w:id="82" w:name="_Toc78803324"/>
      <w:bookmarkStart w:id="83" w:name="_Toc247085691"/>
      <w:bookmarkStart w:id="84" w:name="_Toc152045531"/>
      <w:bookmarkStart w:id="85" w:name="_Toc15058848"/>
      <w:bookmarkStart w:id="86" w:name="_Toc324404817"/>
      <w:bookmarkStart w:id="87" w:name="_Toc246996177"/>
      <w:bookmarkStart w:id="88" w:name="_Toc506107271"/>
      <w:bookmarkStart w:id="89" w:name="_Toc35425055"/>
      <w:bookmarkStart w:id="90" w:name="_Toc152042307"/>
      <w:bookmarkStart w:id="91" w:name="_Toc7142"/>
      <w:r>
        <w:rPr>
          <w:rFonts w:hint="eastAsia" w:ascii="宋体" w:hAnsi="宋体" w:eastAsia="宋体" w:cs="宋体"/>
          <w:color w:val="auto"/>
          <w:highlight w:val="none"/>
        </w:rPr>
        <w:t>1.2 资金来源和落实情况</w:t>
      </w:r>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p>
    <w:p w14:paraId="007984E4">
      <w:pPr>
        <w:spacing w:line="500" w:lineRule="exact"/>
        <w:ind w:left="-420" w:leftChars="-200" w:firstLine="367" w:firstLineChars="175"/>
        <w:jc w:val="left"/>
        <w:rPr>
          <w:rFonts w:ascii="宋体" w:hAnsi="宋体" w:cs="宋体"/>
          <w:color w:val="auto"/>
          <w:szCs w:val="21"/>
          <w:highlight w:val="none"/>
        </w:rPr>
      </w:pPr>
      <w:r>
        <w:rPr>
          <w:rFonts w:hint="eastAsia" w:ascii="宋体" w:hAnsi="宋体" w:cs="宋体"/>
          <w:color w:val="auto"/>
          <w:szCs w:val="21"/>
          <w:highlight w:val="none"/>
        </w:rPr>
        <w:t>1.2.1 本招标项目的资金来源及出资比例：见投标人须知前附表。</w:t>
      </w:r>
    </w:p>
    <w:p w14:paraId="0CF6CC64">
      <w:pPr>
        <w:spacing w:line="500" w:lineRule="exact"/>
        <w:ind w:left="-420" w:leftChars="-200" w:firstLine="367" w:firstLineChars="175"/>
        <w:jc w:val="left"/>
        <w:rPr>
          <w:rFonts w:ascii="宋体" w:hAnsi="宋体" w:cs="宋体"/>
          <w:color w:val="auto"/>
          <w:szCs w:val="21"/>
          <w:highlight w:val="none"/>
        </w:rPr>
      </w:pPr>
      <w:r>
        <w:rPr>
          <w:rFonts w:hint="eastAsia" w:ascii="宋体" w:hAnsi="宋体" w:cs="宋体"/>
          <w:color w:val="auto"/>
          <w:szCs w:val="21"/>
          <w:highlight w:val="none"/>
        </w:rPr>
        <w:t>1.2.2 本招标项目的资金落实情况：见投标人须知前附表。</w:t>
      </w:r>
    </w:p>
    <w:p w14:paraId="68AC6D7C">
      <w:pPr>
        <w:pStyle w:val="4"/>
        <w:spacing w:line="500" w:lineRule="exact"/>
        <w:ind w:left="-420" w:leftChars="-200" w:firstLine="369" w:firstLineChars="175"/>
        <w:rPr>
          <w:rFonts w:ascii="宋体" w:hAnsi="宋体" w:eastAsia="宋体" w:cs="宋体"/>
          <w:color w:val="auto"/>
          <w:highlight w:val="none"/>
        </w:rPr>
      </w:pPr>
      <w:bookmarkStart w:id="92" w:name="_Toc35424890"/>
      <w:bookmarkStart w:id="93" w:name="_Toc15058849"/>
      <w:bookmarkStart w:id="94" w:name="_Toc144974500"/>
      <w:bookmarkStart w:id="95" w:name="_Toc296602423"/>
      <w:bookmarkStart w:id="96" w:name="_Toc246996921"/>
      <w:bookmarkStart w:id="97" w:name="_Toc179632549"/>
      <w:bookmarkStart w:id="98" w:name="_Toc6330"/>
      <w:bookmarkStart w:id="99" w:name="_Toc324404818"/>
      <w:bookmarkStart w:id="100" w:name="_Toc78803325"/>
      <w:bookmarkStart w:id="101" w:name="_Toc506107272"/>
      <w:bookmarkStart w:id="102" w:name="_Toc247085692"/>
      <w:bookmarkStart w:id="103" w:name="_Toc152045532"/>
      <w:bookmarkStart w:id="104" w:name="_Toc246996178"/>
      <w:bookmarkStart w:id="105" w:name="_Toc152042308"/>
      <w:bookmarkStart w:id="106" w:name="_Toc35425056"/>
      <w:r>
        <w:rPr>
          <w:rFonts w:hint="eastAsia" w:ascii="宋体" w:hAnsi="宋体" w:eastAsia="宋体" w:cs="宋体"/>
          <w:color w:val="auto"/>
          <w:highlight w:val="none"/>
        </w:rPr>
        <w:t>1.3 招标范围、工期、质量要求</w:t>
      </w:r>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p>
    <w:p w14:paraId="487A27F0">
      <w:pPr>
        <w:spacing w:line="500" w:lineRule="exact"/>
        <w:ind w:left="-420" w:leftChars="-200" w:firstLine="367" w:firstLineChars="175"/>
        <w:jc w:val="left"/>
        <w:rPr>
          <w:rFonts w:ascii="宋体" w:hAnsi="宋体" w:cs="宋体"/>
          <w:color w:val="auto"/>
          <w:szCs w:val="21"/>
          <w:highlight w:val="none"/>
        </w:rPr>
      </w:pPr>
      <w:r>
        <w:rPr>
          <w:rFonts w:hint="eastAsia" w:ascii="宋体" w:hAnsi="宋体" w:cs="宋体"/>
          <w:color w:val="auto"/>
          <w:szCs w:val="21"/>
          <w:highlight w:val="none"/>
        </w:rPr>
        <w:t>1.3.1 本次招标范围：见投标人须知前附表。</w:t>
      </w:r>
    </w:p>
    <w:p w14:paraId="011877F2">
      <w:pPr>
        <w:spacing w:line="500" w:lineRule="exact"/>
        <w:ind w:left="-420" w:leftChars="-200" w:firstLine="367" w:firstLineChars="175"/>
        <w:jc w:val="left"/>
        <w:rPr>
          <w:rFonts w:ascii="宋体" w:hAnsi="宋体" w:cs="宋体"/>
          <w:color w:val="auto"/>
          <w:szCs w:val="21"/>
          <w:highlight w:val="none"/>
        </w:rPr>
      </w:pPr>
      <w:r>
        <w:rPr>
          <w:rFonts w:hint="eastAsia" w:ascii="宋体" w:hAnsi="宋体" w:cs="宋体"/>
          <w:color w:val="auto"/>
          <w:szCs w:val="21"/>
          <w:highlight w:val="none"/>
        </w:rPr>
        <w:t>1.3.2 本招标项目的工期：见投标人须知前附表。</w:t>
      </w:r>
    </w:p>
    <w:p w14:paraId="4D190BCD">
      <w:pPr>
        <w:spacing w:line="500" w:lineRule="exact"/>
        <w:ind w:left="-420" w:leftChars="-200" w:firstLine="367" w:firstLineChars="175"/>
        <w:jc w:val="left"/>
        <w:rPr>
          <w:rFonts w:ascii="宋体" w:hAnsi="宋体" w:cs="宋体"/>
          <w:color w:val="auto"/>
          <w:szCs w:val="21"/>
          <w:highlight w:val="none"/>
        </w:rPr>
      </w:pPr>
      <w:r>
        <w:rPr>
          <w:rFonts w:hint="eastAsia" w:ascii="宋体" w:hAnsi="宋体" w:cs="宋体"/>
          <w:color w:val="auto"/>
          <w:szCs w:val="21"/>
          <w:highlight w:val="none"/>
        </w:rPr>
        <w:t>1.3.3 本招标项目的质量要求：见投标人须知前附表。</w:t>
      </w:r>
    </w:p>
    <w:p w14:paraId="32114D9C">
      <w:pPr>
        <w:pStyle w:val="4"/>
        <w:spacing w:line="500" w:lineRule="exact"/>
        <w:ind w:left="-420" w:leftChars="-200" w:firstLine="369" w:firstLineChars="175"/>
        <w:rPr>
          <w:rFonts w:ascii="宋体" w:hAnsi="宋体" w:eastAsia="宋体" w:cs="宋体"/>
          <w:color w:val="auto"/>
          <w:highlight w:val="none"/>
        </w:rPr>
      </w:pPr>
      <w:bookmarkStart w:id="107" w:name="_Toc78803326"/>
      <w:bookmarkStart w:id="108" w:name="_Toc26897"/>
      <w:bookmarkStart w:id="109" w:name="_Toc296602424"/>
      <w:bookmarkStart w:id="110" w:name="_Toc35425057"/>
      <w:bookmarkStart w:id="111" w:name="_Toc247085693"/>
      <w:bookmarkStart w:id="112" w:name="_Toc324404819"/>
      <w:bookmarkStart w:id="113" w:name="_Toc246996179"/>
      <w:bookmarkStart w:id="114" w:name="_Toc35424891"/>
      <w:bookmarkStart w:id="115" w:name="_Toc144974502"/>
      <w:bookmarkStart w:id="116" w:name="_Toc152042310"/>
      <w:bookmarkStart w:id="117" w:name="_Toc246996922"/>
      <w:bookmarkStart w:id="118" w:name="_Toc15058850"/>
      <w:bookmarkStart w:id="119" w:name="_Toc506107273"/>
      <w:bookmarkStart w:id="120" w:name="_Toc179632551"/>
      <w:bookmarkStart w:id="121" w:name="_Toc152045534"/>
      <w:r>
        <w:rPr>
          <w:rFonts w:hint="eastAsia" w:ascii="宋体" w:hAnsi="宋体" w:eastAsia="宋体" w:cs="宋体"/>
          <w:color w:val="auto"/>
          <w:highlight w:val="none"/>
        </w:rPr>
        <w:t>1.4 投标人资格要求</w:t>
      </w:r>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p w14:paraId="13A38806">
      <w:pPr>
        <w:spacing w:line="500" w:lineRule="exact"/>
        <w:ind w:left="-420" w:leftChars="-200" w:firstLine="367" w:firstLineChars="175"/>
        <w:jc w:val="left"/>
        <w:rPr>
          <w:rFonts w:ascii="宋体" w:hAnsi="宋体" w:cs="宋体"/>
          <w:color w:val="auto"/>
          <w:szCs w:val="21"/>
          <w:highlight w:val="none"/>
        </w:rPr>
      </w:pPr>
      <w:r>
        <w:rPr>
          <w:rFonts w:hint="eastAsia" w:ascii="宋体" w:hAnsi="宋体" w:cs="宋体"/>
          <w:color w:val="auto"/>
          <w:szCs w:val="21"/>
          <w:highlight w:val="none"/>
        </w:rPr>
        <w:t>1.4.1 投标人应具备承担本项目施工的资质条件、能力和信誉。</w:t>
      </w:r>
    </w:p>
    <w:p w14:paraId="4B194B1F">
      <w:pPr>
        <w:spacing w:line="500" w:lineRule="exact"/>
        <w:ind w:left="-420" w:leftChars="-200" w:firstLine="367" w:firstLineChars="175"/>
        <w:jc w:val="left"/>
        <w:rPr>
          <w:rFonts w:ascii="宋体" w:hAnsi="宋体" w:cs="宋体"/>
          <w:color w:val="auto"/>
          <w:szCs w:val="21"/>
          <w:highlight w:val="none"/>
        </w:rPr>
      </w:pPr>
      <w:r>
        <w:rPr>
          <w:rFonts w:hint="eastAsia" w:ascii="宋体" w:hAnsi="宋体" w:cs="宋体"/>
          <w:color w:val="auto"/>
          <w:szCs w:val="21"/>
          <w:highlight w:val="none"/>
        </w:rPr>
        <w:t>（1）资质条件：见投标人须知前附表；</w:t>
      </w:r>
    </w:p>
    <w:p w14:paraId="221CA3DE">
      <w:pPr>
        <w:spacing w:line="500" w:lineRule="exact"/>
        <w:ind w:left="-420" w:leftChars="-200" w:firstLine="367" w:firstLineChars="175"/>
        <w:jc w:val="left"/>
        <w:rPr>
          <w:rFonts w:ascii="宋体" w:hAnsi="宋体" w:cs="宋体"/>
          <w:color w:val="auto"/>
          <w:szCs w:val="21"/>
          <w:highlight w:val="none"/>
        </w:rPr>
      </w:pPr>
      <w:r>
        <w:rPr>
          <w:rFonts w:hint="eastAsia" w:ascii="宋体" w:hAnsi="宋体" w:cs="宋体"/>
          <w:color w:val="auto"/>
          <w:szCs w:val="21"/>
          <w:highlight w:val="none"/>
        </w:rPr>
        <w:t>（2）项目经理资格：见投标人须知前附表；</w:t>
      </w:r>
    </w:p>
    <w:p w14:paraId="50B18426">
      <w:pPr>
        <w:spacing w:line="500" w:lineRule="exact"/>
        <w:ind w:left="-420" w:leftChars="-200" w:firstLine="367" w:firstLineChars="175"/>
        <w:jc w:val="left"/>
        <w:rPr>
          <w:rFonts w:ascii="宋体" w:hAnsi="宋体" w:cs="宋体"/>
          <w:color w:val="auto"/>
          <w:szCs w:val="21"/>
          <w:highlight w:val="none"/>
        </w:rPr>
      </w:pPr>
      <w:r>
        <w:rPr>
          <w:rFonts w:hint="eastAsia" w:ascii="宋体" w:hAnsi="宋体" w:cs="宋体"/>
          <w:color w:val="auto"/>
          <w:szCs w:val="21"/>
          <w:highlight w:val="none"/>
        </w:rPr>
        <w:t>（3）信誉要求：见投标人须知前附表；</w:t>
      </w:r>
    </w:p>
    <w:p w14:paraId="7B832DF4">
      <w:pPr>
        <w:spacing w:line="500" w:lineRule="exact"/>
        <w:ind w:left="-420" w:leftChars="-200" w:firstLine="367" w:firstLineChars="175"/>
        <w:jc w:val="left"/>
        <w:rPr>
          <w:rFonts w:ascii="宋体" w:hAnsi="宋体" w:cs="宋体"/>
          <w:color w:val="auto"/>
          <w:szCs w:val="21"/>
          <w:highlight w:val="none"/>
        </w:rPr>
      </w:pPr>
      <w:r>
        <w:rPr>
          <w:rFonts w:hint="eastAsia" w:ascii="宋体" w:hAnsi="宋体" w:cs="宋体"/>
          <w:color w:val="auto"/>
          <w:szCs w:val="21"/>
          <w:highlight w:val="none"/>
        </w:rPr>
        <w:t>（4）其他要求：见投标人须知前附表。</w:t>
      </w:r>
    </w:p>
    <w:p w14:paraId="7A072E43">
      <w:pPr>
        <w:spacing w:line="500" w:lineRule="exact"/>
        <w:ind w:left="-420" w:leftChars="-200" w:firstLine="367" w:firstLineChars="175"/>
        <w:jc w:val="left"/>
        <w:rPr>
          <w:rFonts w:ascii="宋体" w:hAnsi="宋体" w:cs="宋体"/>
          <w:color w:val="auto"/>
          <w:szCs w:val="21"/>
          <w:highlight w:val="none"/>
        </w:rPr>
      </w:pPr>
      <w:r>
        <w:rPr>
          <w:rFonts w:hint="eastAsia" w:ascii="宋体" w:hAnsi="宋体" w:cs="宋体"/>
          <w:color w:val="auto"/>
          <w:szCs w:val="21"/>
          <w:highlight w:val="none"/>
        </w:rPr>
        <w:t>1.4.2 投标人不得存在下列情形之一：</w:t>
      </w:r>
    </w:p>
    <w:p w14:paraId="30F249C5">
      <w:pPr>
        <w:spacing w:line="500" w:lineRule="exact"/>
        <w:ind w:left="-420" w:leftChars="-200" w:firstLine="367" w:firstLineChars="175"/>
        <w:jc w:val="left"/>
        <w:rPr>
          <w:rFonts w:ascii="宋体" w:hAnsi="宋体" w:cs="宋体"/>
          <w:color w:val="auto"/>
          <w:szCs w:val="21"/>
          <w:highlight w:val="none"/>
        </w:rPr>
      </w:pPr>
      <w:r>
        <w:rPr>
          <w:rFonts w:hint="eastAsia" w:ascii="宋体" w:hAnsi="宋体" w:cs="宋体"/>
          <w:color w:val="auto"/>
          <w:szCs w:val="21"/>
          <w:highlight w:val="none"/>
        </w:rPr>
        <w:t>（1）为招标人不具有独立法人资格的附属机构（单位）；</w:t>
      </w:r>
    </w:p>
    <w:p w14:paraId="415E1A8B">
      <w:pPr>
        <w:spacing w:line="500" w:lineRule="exact"/>
        <w:ind w:left="-420" w:leftChars="-200" w:firstLine="367" w:firstLineChars="175"/>
        <w:jc w:val="left"/>
        <w:rPr>
          <w:rFonts w:ascii="宋体" w:hAnsi="宋体" w:cs="宋体"/>
          <w:color w:val="auto"/>
          <w:szCs w:val="21"/>
          <w:highlight w:val="none"/>
        </w:rPr>
      </w:pPr>
      <w:r>
        <w:rPr>
          <w:rFonts w:hint="eastAsia" w:ascii="宋体" w:hAnsi="宋体" w:cs="宋体"/>
          <w:color w:val="auto"/>
          <w:szCs w:val="21"/>
          <w:highlight w:val="none"/>
        </w:rPr>
        <w:t>（2）与招标人存在利害关系且可能影响招标公正性；</w:t>
      </w:r>
    </w:p>
    <w:p w14:paraId="40118E6F">
      <w:pPr>
        <w:spacing w:line="500" w:lineRule="exact"/>
        <w:ind w:left="-420" w:leftChars="-200" w:firstLine="367" w:firstLineChars="175"/>
        <w:jc w:val="left"/>
        <w:rPr>
          <w:rFonts w:ascii="宋体" w:hAnsi="宋体" w:cs="宋体"/>
          <w:color w:val="auto"/>
          <w:szCs w:val="21"/>
          <w:highlight w:val="none"/>
        </w:rPr>
      </w:pPr>
      <w:r>
        <w:rPr>
          <w:rFonts w:hint="eastAsia" w:ascii="宋体" w:hAnsi="宋体" w:cs="宋体"/>
          <w:color w:val="auto"/>
          <w:szCs w:val="21"/>
          <w:highlight w:val="none"/>
        </w:rPr>
        <w:t>（3）与本标段的其他投标人同为一个单位负责人；</w:t>
      </w:r>
    </w:p>
    <w:p w14:paraId="2789C1A5">
      <w:pPr>
        <w:spacing w:line="500" w:lineRule="exact"/>
        <w:ind w:left="-420" w:leftChars="-200" w:firstLine="367" w:firstLineChars="175"/>
        <w:jc w:val="left"/>
        <w:rPr>
          <w:rFonts w:ascii="宋体" w:hAnsi="宋体" w:cs="宋体"/>
          <w:color w:val="auto"/>
          <w:szCs w:val="21"/>
          <w:highlight w:val="none"/>
        </w:rPr>
      </w:pPr>
      <w:r>
        <w:rPr>
          <w:rFonts w:hint="eastAsia" w:ascii="宋体" w:hAnsi="宋体" w:cs="宋体"/>
          <w:color w:val="auto"/>
          <w:szCs w:val="21"/>
          <w:highlight w:val="none"/>
        </w:rPr>
        <w:t>（4）与本标段的其他投标人存在控股、管理关系；</w:t>
      </w:r>
    </w:p>
    <w:p w14:paraId="46A209C0">
      <w:pPr>
        <w:spacing w:line="500" w:lineRule="exact"/>
        <w:ind w:left="-420" w:leftChars="-200" w:firstLine="367" w:firstLineChars="175"/>
        <w:jc w:val="left"/>
        <w:rPr>
          <w:rFonts w:ascii="宋体" w:hAnsi="宋体" w:cs="宋体"/>
          <w:color w:val="auto"/>
          <w:szCs w:val="21"/>
          <w:highlight w:val="none"/>
        </w:rPr>
      </w:pPr>
      <w:r>
        <w:rPr>
          <w:rFonts w:hint="eastAsia" w:ascii="宋体" w:hAnsi="宋体" w:cs="宋体"/>
          <w:color w:val="auto"/>
          <w:szCs w:val="21"/>
          <w:highlight w:val="none"/>
        </w:rPr>
        <w:t>（5）为本标段前期准备提供设计或咨询服务的法人或其任何附属机构（单位）；</w:t>
      </w:r>
    </w:p>
    <w:p w14:paraId="41450895">
      <w:pPr>
        <w:spacing w:line="500" w:lineRule="exact"/>
        <w:ind w:left="-420" w:leftChars="-200" w:firstLine="367" w:firstLineChars="175"/>
        <w:jc w:val="left"/>
        <w:rPr>
          <w:rFonts w:ascii="宋体" w:hAnsi="宋体" w:cs="宋体"/>
          <w:color w:val="auto"/>
          <w:szCs w:val="21"/>
          <w:highlight w:val="none"/>
        </w:rPr>
      </w:pPr>
      <w:r>
        <w:rPr>
          <w:rFonts w:hint="eastAsia" w:ascii="宋体" w:hAnsi="宋体" w:cs="宋体"/>
          <w:color w:val="auto"/>
          <w:szCs w:val="21"/>
          <w:highlight w:val="none"/>
        </w:rPr>
        <w:t>（6）为本标段的发包人；</w:t>
      </w:r>
    </w:p>
    <w:p w14:paraId="0655E517">
      <w:pPr>
        <w:spacing w:line="500" w:lineRule="exact"/>
        <w:ind w:left="-420" w:leftChars="-200" w:firstLine="367" w:firstLineChars="175"/>
        <w:jc w:val="left"/>
        <w:rPr>
          <w:rFonts w:ascii="宋体" w:hAnsi="宋体" w:cs="宋体"/>
          <w:color w:val="auto"/>
          <w:szCs w:val="21"/>
          <w:highlight w:val="none"/>
        </w:rPr>
      </w:pPr>
      <w:r>
        <w:rPr>
          <w:rFonts w:hint="eastAsia" w:ascii="宋体" w:hAnsi="宋体" w:cs="宋体"/>
          <w:color w:val="auto"/>
          <w:szCs w:val="21"/>
          <w:highlight w:val="none"/>
        </w:rPr>
        <w:t>（7）为本标段的代建人；</w:t>
      </w:r>
    </w:p>
    <w:p w14:paraId="3199E5D8">
      <w:pPr>
        <w:spacing w:line="500" w:lineRule="exact"/>
        <w:ind w:left="-420" w:leftChars="-200" w:firstLine="367" w:firstLineChars="175"/>
        <w:jc w:val="left"/>
        <w:rPr>
          <w:rFonts w:ascii="宋体" w:hAnsi="宋体" w:cs="宋体"/>
          <w:color w:val="auto"/>
          <w:szCs w:val="21"/>
          <w:highlight w:val="none"/>
        </w:rPr>
      </w:pPr>
      <w:r>
        <w:rPr>
          <w:rFonts w:hint="eastAsia" w:ascii="宋体" w:hAnsi="宋体" w:cs="宋体"/>
          <w:color w:val="auto"/>
          <w:szCs w:val="21"/>
          <w:highlight w:val="none"/>
        </w:rPr>
        <w:t>（8）为本标段的招标代理机构；</w:t>
      </w:r>
    </w:p>
    <w:p w14:paraId="7E5B2CB3">
      <w:pPr>
        <w:spacing w:line="500" w:lineRule="exact"/>
        <w:ind w:left="-420" w:leftChars="-200" w:firstLine="367" w:firstLineChars="175"/>
        <w:jc w:val="left"/>
        <w:rPr>
          <w:rFonts w:ascii="宋体" w:hAnsi="宋体" w:cs="宋体"/>
          <w:color w:val="auto"/>
          <w:szCs w:val="21"/>
          <w:highlight w:val="none"/>
        </w:rPr>
      </w:pPr>
      <w:r>
        <w:rPr>
          <w:rFonts w:hint="eastAsia" w:ascii="宋体" w:hAnsi="宋体" w:cs="宋体"/>
          <w:color w:val="auto"/>
          <w:szCs w:val="21"/>
          <w:highlight w:val="none"/>
        </w:rPr>
        <w:t>（9）与本标段的发包人或代建人或招标代理机构同为一个法定代表人；</w:t>
      </w:r>
    </w:p>
    <w:p w14:paraId="5DC52CBF">
      <w:pPr>
        <w:spacing w:line="500" w:lineRule="exact"/>
        <w:ind w:left="-420" w:leftChars="-200" w:firstLine="367" w:firstLineChars="175"/>
        <w:jc w:val="left"/>
        <w:rPr>
          <w:rFonts w:ascii="宋体" w:hAnsi="宋体" w:cs="宋体"/>
          <w:color w:val="auto"/>
          <w:szCs w:val="21"/>
          <w:highlight w:val="none"/>
        </w:rPr>
      </w:pPr>
      <w:r>
        <w:rPr>
          <w:rFonts w:hint="eastAsia" w:ascii="宋体" w:hAnsi="宋体" w:cs="宋体"/>
          <w:color w:val="auto"/>
          <w:szCs w:val="21"/>
          <w:highlight w:val="none"/>
        </w:rPr>
        <w:t>（10）与本标段的发包人或代建人或招标代理机构存在控股或参股关系；</w:t>
      </w:r>
    </w:p>
    <w:p w14:paraId="45644E79">
      <w:pPr>
        <w:spacing w:line="500" w:lineRule="exact"/>
        <w:ind w:left="-420" w:leftChars="-200" w:firstLine="367" w:firstLineChars="175"/>
        <w:jc w:val="left"/>
        <w:rPr>
          <w:rFonts w:ascii="宋体" w:hAnsi="宋体" w:cs="宋体"/>
          <w:color w:val="auto"/>
          <w:szCs w:val="21"/>
          <w:highlight w:val="none"/>
        </w:rPr>
      </w:pPr>
      <w:r>
        <w:rPr>
          <w:rFonts w:hint="eastAsia" w:ascii="宋体" w:hAnsi="宋体" w:cs="宋体"/>
          <w:color w:val="auto"/>
          <w:szCs w:val="21"/>
          <w:highlight w:val="none"/>
        </w:rPr>
        <w:t>（11）法律法规或投标人须知前附表规定的其他情形。</w:t>
      </w:r>
    </w:p>
    <w:p w14:paraId="4C21915B">
      <w:pPr>
        <w:spacing w:line="500" w:lineRule="exact"/>
        <w:ind w:left="-420" w:leftChars="-200" w:firstLine="367" w:firstLineChars="175"/>
        <w:jc w:val="left"/>
        <w:rPr>
          <w:rFonts w:ascii="宋体" w:hAnsi="宋体" w:cs="宋体"/>
          <w:color w:val="auto"/>
          <w:szCs w:val="21"/>
          <w:highlight w:val="none"/>
        </w:rPr>
      </w:pPr>
      <w:r>
        <w:rPr>
          <w:rFonts w:hint="eastAsia" w:ascii="宋体" w:hAnsi="宋体" w:cs="宋体"/>
          <w:color w:val="auto"/>
          <w:szCs w:val="21"/>
          <w:highlight w:val="none"/>
        </w:rPr>
        <w:t>1.4.3 单位负责人为同一人或者存在控股、管理关系的不同单位，不得同时参加本招标项目投标。</w:t>
      </w:r>
    </w:p>
    <w:p w14:paraId="6324D165">
      <w:pPr>
        <w:pStyle w:val="4"/>
        <w:spacing w:line="500" w:lineRule="exact"/>
        <w:ind w:left="-420" w:leftChars="-200" w:firstLine="369" w:firstLineChars="175"/>
        <w:rPr>
          <w:rFonts w:ascii="宋体" w:hAnsi="宋体" w:eastAsia="宋体" w:cs="宋体"/>
          <w:color w:val="auto"/>
          <w:highlight w:val="none"/>
        </w:rPr>
      </w:pPr>
      <w:bookmarkStart w:id="122" w:name="_Toc78803327"/>
      <w:bookmarkStart w:id="123" w:name="_Toc10179"/>
      <w:bookmarkStart w:id="124" w:name="_Toc179632552"/>
      <w:bookmarkStart w:id="125" w:name="_Toc35425058"/>
      <w:bookmarkStart w:id="126" w:name="_Toc144974503"/>
      <w:bookmarkStart w:id="127" w:name="_Toc246996923"/>
      <w:bookmarkStart w:id="128" w:name="_Toc152045535"/>
      <w:bookmarkStart w:id="129" w:name="_Toc296602425"/>
      <w:bookmarkStart w:id="130" w:name="_Toc324404820"/>
      <w:bookmarkStart w:id="131" w:name="_Toc152042311"/>
      <w:bookmarkStart w:id="132" w:name="_Toc35424892"/>
      <w:bookmarkStart w:id="133" w:name="_Toc246996180"/>
      <w:bookmarkStart w:id="134" w:name="_Toc15058851"/>
      <w:bookmarkStart w:id="135" w:name="_Toc247085694"/>
      <w:bookmarkStart w:id="136" w:name="_Toc506107274"/>
      <w:r>
        <w:rPr>
          <w:rFonts w:hint="eastAsia" w:ascii="宋体" w:hAnsi="宋体" w:eastAsia="宋体" w:cs="宋体"/>
          <w:color w:val="auto"/>
          <w:highlight w:val="none"/>
        </w:rPr>
        <w:t>1.5 费用承担</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p>
    <w:p w14:paraId="61936086">
      <w:pPr>
        <w:spacing w:line="500" w:lineRule="exact"/>
        <w:ind w:left="-420" w:leftChars="-200" w:firstLine="367" w:firstLineChars="175"/>
        <w:jc w:val="left"/>
        <w:rPr>
          <w:rFonts w:ascii="宋体" w:hAnsi="宋体" w:cs="宋体"/>
          <w:color w:val="auto"/>
          <w:szCs w:val="21"/>
          <w:highlight w:val="none"/>
        </w:rPr>
      </w:pPr>
      <w:r>
        <w:rPr>
          <w:rFonts w:hint="eastAsia" w:ascii="宋体" w:hAnsi="宋体" w:cs="宋体"/>
          <w:color w:val="auto"/>
          <w:szCs w:val="21"/>
          <w:highlight w:val="none"/>
        </w:rPr>
        <w:t>投标人准备和参加投标活动发生的费用自理。</w:t>
      </w:r>
    </w:p>
    <w:p w14:paraId="627DE594">
      <w:pPr>
        <w:pStyle w:val="4"/>
        <w:spacing w:line="500" w:lineRule="exact"/>
        <w:ind w:left="-420" w:leftChars="-200" w:firstLine="369" w:firstLineChars="175"/>
        <w:rPr>
          <w:rFonts w:ascii="宋体" w:hAnsi="宋体" w:eastAsia="宋体" w:cs="宋体"/>
          <w:color w:val="auto"/>
          <w:highlight w:val="none"/>
        </w:rPr>
      </w:pPr>
      <w:bookmarkStart w:id="137" w:name="_Toc35424893"/>
      <w:bookmarkStart w:id="138" w:name="_Toc296602426"/>
      <w:bookmarkStart w:id="139" w:name="_Toc35425059"/>
      <w:bookmarkStart w:id="140" w:name="_Toc179632553"/>
      <w:bookmarkStart w:id="141" w:name="_Toc78803328"/>
      <w:bookmarkStart w:id="142" w:name="_Toc144974504"/>
      <w:bookmarkStart w:id="143" w:name="_Toc506107275"/>
      <w:bookmarkStart w:id="144" w:name="_Toc247085695"/>
      <w:bookmarkStart w:id="145" w:name="_Toc324404821"/>
      <w:bookmarkStart w:id="146" w:name="_Toc246996181"/>
      <w:bookmarkStart w:id="147" w:name="_Toc246996924"/>
      <w:bookmarkStart w:id="148" w:name="_Toc152042312"/>
      <w:bookmarkStart w:id="149" w:name="_Toc4092"/>
      <w:bookmarkStart w:id="150" w:name="_Toc15058852"/>
      <w:bookmarkStart w:id="151" w:name="_Toc152045536"/>
      <w:r>
        <w:rPr>
          <w:rFonts w:hint="eastAsia" w:ascii="宋体" w:hAnsi="宋体" w:eastAsia="宋体" w:cs="宋体"/>
          <w:color w:val="auto"/>
          <w:highlight w:val="none"/>
        </w:rPr>
        <w:t>1.6 保密</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
    <w:p w14:paraId="0DCD7A51">
      <w:pPr>
        <w:spacing w:line="500" w:lineRule="exact"/>
        <w:ind w:left="-420" w:leftChars="-200" w:firstLine="367" w:firstLineChars="175"/>
        <w:jc w:val="left"/>
        <w:rPr>
          <w:rFonts w:ascii="宋体" w:hAnsi="宋体" w:cs="宋体"/>
          <w:color w:val="auto"/>
          <w:szCs w:val="21"/>
          <w:highlight w:val="none"/>
        </w:rPr>
      </w:pPr>
      <w:r>
        <w:rPr>
          <w:rFonts w:hint="eastAsia" w:ascii="宋体" w:hAnsi="宋体" w:cs="宋体"/>
          <w:color w:val="auto"/>
          <w:szCs w:val="21"/>
          <w:highlight w:val="none"/>
        </w:rPr>
        <w:t xml:space="preserve">参与招标投标活动的各方应对招标文件和投标文件中的商业和技术等秘密保密，违者应对由此造成的后果承担法律责任。 </w:t>
      </w:r>
    </w:p>
    <w:p w14:paraId="3B1C4CAD">
      <w:pPr>
        <w:pStyle w:val="4"/>
        <w:spacing w:line="500" w:lineRule="exact"/>
        <w:ind w:left="-420" w:leftChars="-200" w:firstLine="369" w:firstLineChars="175"/>
        <w:rPr>
          <w:rFonts w:ascii="宋体" w:hAnsi="宋体" w:eastAsia="宋体" w:cs="宋体"/>
          <w:color w:val="auto"/>
          <w:highlight w:val="none"/>
        </w:rPr>
      </w:pPr>
      <w:bookmarkStart w:id="152" w:name="_Toc144974505"/>
      <w:bookmarkStart w:id="153" w:name="_Toc296602427"/>
      <w:bookmarkStart w:id="154" w:name="_Toc152045537"/>
      <w:bookmarkStart w:id="155" w:name="_Toc35424894"/>
      <w:bookmarkStart w:id="156" w:name="_Toc246996182"/>
      <w:bookmarkStart w:id="157" w:name="_Toc324404822"/>
      <w:bookmarkStart w:id="158" w:name="_Toc78803329"/>
      <w:bookmarkStart w:id="159" w:name="_Toc15058853"/>
      <w:bookmarkStart w:id="160" w:name="_Toc247085696"/>
      <w:bookmarkStart w:id="161" w:name="_Toc35425060"/>
      <w:bookmarkStart w:id="162" w:name="_Toc246996925"/>
      <w:bookmarkStart w:id="163" w:name="_Toc506107276"/>
      <w:bookmarkStart w:id="164" w:name="_Toc152042313"/>
      <w:bookmarkStart w:id="165" w:name="_Toc179632554"/>
      <w:bookmarkStart w:id="166" w:name="_Toc4119"/>
      <w:r>
        <w:rPr>
          <w:rFonts w:hint="eastAsia" w:ascii="宋体" w:hAnsi="宋体" w:eastAsia="宋体" w:cs="宋体"/>
          <w:color w:val="auto"/>
          <w:highlight w:val="none"/>
        </w:rPr>
        <w:t>1.7 语言</w:t>
      </w:r>
      <w:bookmarkEnd w:id="152"/>
      <w:r>
        <w:rPr>
          <w:rFonts w:hint="eastAsia" w:ascii="宋体" w:hAnsi="宋体" w:eastAsia="宋体" w:cs="宋体"/>
          <w:color w:val="auto"/>
          <w:highlight w:val="none"/>
        </w:rPr>
        <w:t>文字</w:t>
      </w:r>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p>
    <w:p w14:paraId="2351FF22">
      <w:pPr>
        <w:spacing w:line="500" w:lineRule="exact"/>
        <w:ind w:left="-420" w:leftChars="-200" w:firstLine="367" w:firstLineChars="175"/>
        <w:jc w:val="left"/>
        <w:rPr>
          <w:rFonts w:ascii="宋体" w:hAnsi="宋体" w:cs="宋体"/>
          <w:color w:val="auto"/>
          <w:szCs w:val="21"/>
          <w:highlight w:val="none"/>
        </w:rPr>
      </w:pPr>
      <w:bookmarkStart w:id="167" w:name="_Toc247085697"/>
      <w:bookmarkStart w:id="168" w:name="_Toc246996926"/>
      <w:bookmarkStart w:id="169" w:name="_Toc246996183"/>
      <w:bookmarkStart w:id="170" w:name="_Toc152042314"/>
      <w:bookmarkStart w:id="171" w:name="_Toc144974506"/>
      <w:bookmarkStart w:id="172" w:name="_Toc179632555"/>
      <w:bookmarkStart w:id="173" w:name="_Toc152045538"/>
      <w:r>
        <w:rPr>
          <w:rFonts w:hint="eastAsia" w:ascii="宋体" w:hAnsi="宋体" w:cs="宋体"/>
          <w:color w:val="auto"/>
          <w:szCs w:val="21"/>
          <w:highlight w:val="none"/>
        </w:rPr>
        <w:t>招标投标文件使用的语言文字为中文。专用术语使用外文的，应附有中文注释。</w:t>
      </w:r>
    </w:p>
    <w:p w14:paraId="07C25D30">
      <w:pPr>
        <w:pStyle w:val="4"/>
        <w:spacing w:line="500" w:lineRule="exact"/>
        <w:ind w:left="-420" w:leftChars="-200" w:firstLine="369" w:firstLineChars="175"/>
        <w:rPr>
          <w:rFonts w:ascii="宋体" w:hAnsi="宋体" w:eastAsia="宋体" w:cs="宋体"/>
          <w:color w:val="auto"/>
          <w:highlight w:val="none"/>
        </w:rPr>
      </w:pPr>
      <w:bookmarkStart w:id="174" w:name="_Toc35424895"/>
      <w:bookmarkStart w:id="175" w:name="_Toc506107277"/>
      <w:bookmarkStart w:id="176" w:name="_Toc35425061"/>
      <w:bookmarkStart w:id="177" w:name="_Toc13408"/>
      <w:bookmarkStart w:id="178" w:name="_Toc324404823"/>
      <w:bookmarkStart w:id="179" w:name="_Toc296602428"/>
      <w:bookmarkStart w:id="180" w:name="_Toc15058854"/>
      <w:bookmarkStart w:id="181" w:name="_Toc78803330"/>
      <w:r>
        <w:rPr>
          <w:rFonts w:hint="eastAsia" w:ascii="宋体" w:hAnsi="宋体" w:eastAsia="宋体" w:cs="宋体"/>
          <w:color w:val="auto"/>
          <w:highlight w:val="none"/>
        </w:rPr>
        <w:t>1.8 计量单位</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p>
    <w:p w14:paraId="0BB2F08F">
      <w:pPr>
        <w:spacing w:line="500" w:lineRule="exact"/>
        <w:ind w:left="-420" w:leftChars="-200" w:firstLine="367" w:firstLineChars="175"/>
        <w:jc w:val="left"/>
        <w:rPr>
          <w:rFonts w:ascii="宋体" w:hAnsi="宋体" w:cs="宋体"/>
          <w:color w:val="auto"/>
          <w:szCs w:val="21"/>
          <w:highlight w:val="none"/>
        </w:rPr>
      </w:pPr>
      <w:r>
        <w:rPr>
          <w:rFonts w:hint="eastAsia" w:ascii="宋体" w:hAnsi="宋体" w:cs="宋体"/>
          <w:color w:val="auto"/>
          <w:szCs w:val="21"/>
          <w:highlight w:val="none"/>
        </w:rPr>
        <w:t>所有计量均采用中华人民共和国法定计量单位。</w:t>
      </w:r>
    </w:p>
    <w:p w14:paraId="0A6C0D6E">
      <w:pPr>
        <w:pStyle w:val="4"/>
        <w:spacing w:line="500" w:lineRule="exact"/>
        <w:ind w:left="-420" w:leftChars="-200" w:firstLine="369" w:firstLineChars="175"/>
        <w:rPr>
          <w:rFonts w:ascii="宋体" w:hAnsi="宋体" w:eastAsia="宋体" w:cs="宋体"/>
          <w:color w:val="auto"/>
          <w:highlight w:val="none"/>
        </w:rPr>
      </w:pPr>
      <w:bookmarkStart w:id="182" w:name="_Toc11493"/>
      <w:bookmarkStart w:id="183" w:name="_Toc247513962"/>
      <w:bookmarkStart w:id="184" w:name="_Toc296602429"/>
      <w:bookmarkStart w:id="185" w:name="_Toc152042315"/>
      <w:bookmarkStart w:id="186" w:name="_Toc78803331"/>
      <w:bookmarkStart w:id="187" w:name="_Toc247592876"/>
      <w:bookmarkStart w:id="188" w:name="_Toc247527563"/>
      <w:bookmarkStart w:id="189" w:name="_Toc144974507"/>
      <w:bookmarkStart w:id="190" w:name="_Toc506107278"/>
      <w:bookmarkStart w:id="191" w:name="_Toc35425062"/>
      <w:bookmarkStart w:id="192" w:name="_Toc35424896"/>
      <w:bookmarkStart w:id="193" w:name="_Toc324404824"/>
      <w:bookmarkStart w:id="194" w:name="_Toc15058855"/>
      <w:bookmarkStart w:id="195" w:name="_Toc152045539"/>
      <w:r>
        <w:rPr>
          <w:rFonts w:hint="eastAsia" w:ascii="宋体" w:hAnsi="宋体" w:eastAsia="宋体" w:cs="宋体"/>
          <w:color w:val="auto"/>
          <w:highlight w:val="none"/>
        </w:rPr>
        <w:t>1.9 踏勘现场</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p>
    <w:p w14:paraId="60E47493">
      <w:pPr>
        <w:spacing w:line="500" w:lineRule="exact"/>
        <w:ind w:left="-420" w:leftChars="-200" w:firstLine="367" w:firstLineChars="175"/>
        <w:jc w:val="left"/>
        <w:rPr>
          <w:rFonts w:ascii="宋体" w:hAnsi="宋体" w:cs="宋体"/>
          <w:color w:val="auto"/>
          <w:szCs w:val="21"/>
          <w:highlight w:val="none"/>
        </w:rPr>
      </w:pPr>
      <w:r>
        <w:rPr>
          <w:rFonts w:hint="eastAsia" w:ascii="宋体" w:hAnsi="宋体" w:cs="宋体"/>
          <w:color w:val="auto"/>
          <w:szCs w:val="21"/>
          <w:highlight w:val="none"/>
        </w:rPr>
        <w:t xml:space="preserve">1.9.1 投标人须知前附表规定组织踏勘现场的，招标人按投标人须知前附表规定的时间、地点组织投标人踏勘项目现场。 </w:t>
      </w:r>
    </w:p>
    <w:p w14:paraId="48FAE55B">
      <w:pPr>
        <w:spacing w:line="500" w:lineRule="exact"/>
        <w:ind w:left="-420" w:leftChars="-200" w:firstLine="367" w:firstLineChars="175"/>
        <w:jc w:val="left"/>
        <w:rPr>
          <w:rFonts w:ascii="宋体" w:hAnsi="宋体" w:cs="宋体"/>
          <w:color w:val="auto"/>
          <w:szCs w:val="21"/>
          <w:highlight w:val="none"/>
        </w:rPr>
      </w:pPr>
      <w:r>
        <w:rPr>
          <w:rFonts w:hint="eastAsia" w:ascii="宋体" w:hAnsi="宋体" w:cs="宋体"/>
          <w:color w:val="auto"/>
          <w:szCs w:val="21"/>
          <w:highlight w:val="none"/>
        </w:rPr>
        <w:t>1.9.2 投标人踏勘现场发生的费用自理。</w:t>
      </w:r>
    </w:p>
    <w:p w14:paraId="2D559129">
      <w:pPr>
        <w:spacing w:line="500" w:lineRule="exact"/>
        <w:ind w:left="-420" w:leftChars="-200" w:firstLine="367" w:firstLineChars="175"/>
        <w:jc w:val="left"/>
        <w:rPr>
          <w:rFonts w:ascii="宋体" w:hAnsi="宋体" w:cs="宋体"/>
          <w:color w:val="auto"/>
          <w:szCs w:val="21"/>
          <w:highlight w:val="none"/>
        </w:rPr>
      </w:pPr>
      <w:r>
        <w:rPr>
          <w:rFonts w:hint="eastAsia" w:ascii="宋体" w:hAnsi="宋体" w:cs="宋体"/>
          <w:color w:val="auto"/>
          <w:szCs w:val="21"/>
          <w:highlight w:val="none"/>
        </w:rPr>
        <w:t>1.9.3 除招标人的原因外，投标人自行负责在踏勘现场中所发生的人员伤亡和财产损失。</w:t>
      </w:r>
    </w:p>
    <w:p w14:paraId="13DB2126">
      <w:pPr>
        <w:spacing w:line="500" w:lineRule="exact"/>
        <w:ind w:left="-420" w:leftChars="-200" w:firstLine="367" w:firstLineChars="175"/>
        <w:jc w:val="left"/>
        <w:rPr>
          <w:rFonts w:ascii="宋体" w:hAnsi="宋体" w:cs="宋体"/>
          <w:color w:val="auto"/>
          <w:szCs w:val="21"/>
          <w:highlight w:val="none"/>
        </w:rPr>
      </w:pPr>
      <w:r>
        <w:rPr>
          <w:rFonts w:hint="eastAsia" w:ascii="宋体" w:hAnsi="宋体" w:cs="宋体"/>
          <w:color w:val="auto"/>
          <w:szCs w:val="21"/>
          <w:highlight w:val="none"/>
        </w:rPr>
        <w:t>1.9.4 招标人在踏勘现场中介绍的工程场地和相关的周边环境情况，供投标人在编制投标文件时参考，招标人不对投标人据此作出的判断和决策负责。</w:t>
      </w:r>
    </w:p>
    <w:p w14:paraId="77D01103">
      <w:pPr>
        <w:pStyle w:val="4"/>
        <w:spacing w:line="500" w:lineRule="exact"/>
        <w:ind w:left="-420" w:leftChars="-200" w:firstLine="369" w:firstLineChars="175"/>
        <w:rPr>
          <w:rFonts w:ascii="宋体" w:hAnsi="宋体" w:eastAsia="宋体" w:cs="宋体"/>
          <w:color w:val="auto"/>
          <w:highlight w:val="none"/>
        </w:rPr>
      </w:pPr>
      <w:bookmarkStart w:id="196" w:name="_Toc144974508"/>
      <w:bookmarkStart w:id="197" w:name="_Toc506107279"/>
      <w:bookmarkStart w:id="198" w:name="_Toc22954"/>
      <w:bookmarkStart w:id="199" w:name="_Toc35425063"/>
      <w:bookmarkStart w:id="200" w:name="_Toc152045540"/>
      <w:bookmarkStart w:id="201" w:name="_Toc152042316"/>
      <w:bookmarkStart w:id="202" w:name="_Toc324404825"/>
      <w:bookmarkStart w:id="203" w:name="_Toc247592877"/>
      <w:bookmarkStart w:id="204" w:name="_Toc247513963"/>
      <w:bookmarkStart w:id="205" w:name="_Toc78803332"/>
      <w:bookmarkStart w:id="206" w:name="_Toc247527564"/>
      <w:bookmarkStart w:id="207" w:name="_Toc35424897"/>
      <w:bookmarkStart w:id="208" w:name="_Toc15058856"/>
      <w:bookmarkStart w:id="209" w:name="_Toc296602430"/>
      <w:r>
        <w:rPr>
          <w:rFonts w:hint="eastAsia" w:ascii="宋体" w:hAnsi="宋体" w:eastAsia="宋体" w:cs="宋体"/>
          <w:color w:val="auto"/>
          <w:highlight w:val="none"/>
        </w:rPr>
        <w:t>1.10 投标预备会</w:t>
      </w:r>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p>
    <w:p w14:paraId="287B642F">
      <w:pPr>
        <w:spacing w:line="500" w:lineRule="exact"/>
        <w:ind w:left="-420" w:leftChars="-200" w:firstLine="367" w:firstLineChars="175"/>
        <w:jc w:val="left"/>
        <w:rPr>
          <w:rFonts w:ascii="宋体" w:hAnsi="宋体" w:cs="宋体"/>
          <w:color w:val="auto"/>
          <w:szCs w:val="21"/>
          <w:highlight w:val="none"/>
        </w:rPr>
      </w:pPr>
      <w:r>
        <w:rPr>
          <w:rFonts w:hint="eastAsia" w:ascii="宋体" w:hAnsi="宋体" w:cs="宋体"/>
          <w:color w:val="auto"/>
          <w:szCs w:val="21"/>
          <w:highlight w:val="none"/>
        </w:rPr>
        <w:t>1.10.1本项目不召开投标预备会。</w:t>
      </w:r>
    </w:p>
    <w:p w14:paraId="2FD5349A">
      <w:pPr>
        <w:pStyle w:val="4"/>
        <w:spacing w:line="500" w:lineRule="exact"/>
        <w:ind w:left="-420" w:leftChars="-200" w:firstLine="369" w:firstLineChars="175"/>
        <w:rPr>
          <w:rFonts w:ascii="宋体" w:hAnsi="宋体" w:eastAsia="宋体" w:cs="宋体"/>
          <w:color w:val="auto"/>
          <w:highlight w:val="none"/>
        </w:rPr>
      </w:pPr>
      <w:bookmarkStart w:id="210" w:name="_Toc506107280"/>
      <w:bookmarkStart w:id="211" w:name="_Toc324404826"/>
      <w:bookmarkStart w:id="212" w:name="_Toc15058857"/>
      <w:bookmarkStart w:id="213" w:name="_Toc296602431"/>
      <w:bookmarkStart w:id="214" w:name="_Toc60061444"/>
      <w:bookmarkStart w:id="215" w:name="_Toc83301699"/>
      <w:bookmarkStart w:id="216" w:name="_Toc95223347"/>
      <w:bookmarkStart w:id="217" w:name="_Toc246996930"/>
      <w:bookmarkStart w:id="218" w:name="_Toc35424899"/>
      <w:bookmarkStart w:id="219" w:name="_Toc506107281"/>
      <w:bookmarkStart w:id="220" w:name="_Toc152042318"/>
      <w:bookmarkStart w:id="221" w:name="_Toc78803334"/>
      <w:bookmarkStart w:id="222" w:name="_Toc246996187"/>
      <w:bookmarkStart w:id="223" w:name="_Toc152045542"/>
      <w:bookmarkStart w:id="224" w:name="_Toc247085701"/>
      <w:bookmarkStart w:id="225" w:name="_Toc35425065"/>
      <w:bookmarkStart w:id="226" w:name="_Toc144974510"/>
      <w:bookmarkStart w:id="227" w:name="_Toc4012"/>
      <w:bookmarkStart w:id="228" w:name="_Toc15058858"/>
      <w:bookmarkStart w:id="229" w:name="_Toc179632560"/>
      <w:bookmarkStart w:id="230" w:name="_Toc324404827"/>
      <w:r>
        <w:rPr>
          <w:rFonts w:hint="eastAsia" w:ascii="宋体" w:hAnsi="宋体" w:eastAsia="宋体" w:cs="宋体"/>
          <w:color w:val="auto"/>
          <w:highlight w:val="none"/>
        </w:rPr>
        <w:t xml:space="preserve">1.11 </w:t>
      </w:r>
      <w:bookmarkEnd w:id="210"/>
      <w:bookmarkEnd w:id="211"/>
      <w:bookmarkEnd w:id="212"/>
      <w:bookmarkEnd w:id="213"/>
      <w:r>
        <w:rPr>
          <w:rFonts w:hint="eastAsia" w:ascii="宋体" w:hAnsi="宋体" w:eastAsia="宋体" w:cs="宋体"/>
          <w:color w:val="auto"/>
          <w:highlight w:val="none"/>
        </w:rPr>
        <w:t>分包</w:t>
      </w:r>
      <w:bookmarkEnd w:id="214"/>
      <w:bookmarkEnd w:id="215"/>
      <w:bookmarkEnd w:id="216"/>
    </w:p>
    <w:p w14:paraId="7E4F5437">
      <w:pPr>
        <w:spacing w:line="500" w:lineRule="exact"/>
        <w:ind w:left="-420" w:leftChars="-200" w:firstLine="367" w:firstLineChars="175"/>
        <w:jc w:val="left"/>
        <w:rPr>
          <w:rFonts w:ascii="宋体" w:hAnsi="宋体" w:cs="宋体"/>
          <w:color w:val="auto"/>
          <w:szCs w:val="21"/>
          <w:highlight w:val="none"/>
        </w:rPr>
      </w:pPr>
      <w:r>
        <w:rPr>
          <w:rFonts w:hint="eastAsia" w:ascii="宋体" w:hAnsi="宋体" w:cs="宋体"/>
          <w:color w:val="auto"/>
          <w:szCs w:val="21"/>
          <w:highlight w:val="none"/>
        </w:rPr>
        <w:t>1.11.1 本项目不允许分包</w:t>
      </w:r>
    </w:p>
    <w:p w14:paraId="671B9A62">
      <w:pPr>
        <w:spacing w:line="500" w:lineRule="exact"/>
        <w:ind w:left="-420" w:leftChars="-200" w:firstLine="367" w:firstLineChars="175"/>
        <w:jc w:val="left"/>
        <w:rPr>
          <w:rFonts w:ascii="宋体" w:hAnsi="宋体" w:cs="宋体"/>
          <w:color w:val="auto"/>
          <w:szCs w:val="21"/>
          <w:highlight w:val="none"/>
        </w:rPr>
      </w:pPr>
      <w:r>
        <w:rPr>
          <w:rFonts w:hint="eastAsia" w:ascii="宋体" w:hAnsi="宋体" w:cs="宋体"/>
          <w:color w:val="auto"/>
          <w:szCs w:val="21"/>
          <w:highlight w:val="none"/>
        </w:rPr>
        <w:t>1.11.2中标人不得向他人转让中标项目，接受分包的人不得再次分包。中标人应就分包项目向招标人负责，接受分包的人就分包项目承担连带责任。</w:t>
      </w:r>
    </w:p>
    <w:p w14:paraId="3FB40E7A">
      <w:pPr>
        <w:pStyle w:val="4"/>
        <w:spacing w:line="500" w:lineRule="exact"/>
        <w:ind w:left="-420" w:leftChars="-200" w:firstLine="369" w:firstLineChars="175"/>
        <w:rPr>
          <w:rFonts w:ascii="宋体" w:hAnsi="宋体" w:eastAsia="宋体" w:cs="宋体"/>
          <w:color w:val="auto"/>
          <w:highlight w:val="none"/>
        </w:rPr>
      </w:pPr>
      <w:bookmarkStart w:id="231" w:name="_Toc60061445"/>
      <w:bookmarkStart w:id="232" w:name="_Toc83301700"/>
      <w:bookmarkStart w:id="233" w:name="_Toc95223348"/>
      <w:r>
        <w:rPr>
          <w:rFonts w:hint="eastAsia" w:ascii="宋体" w:hAnsi="宋体" w:eastAsia="宋体" w:cs="宋体"/>
          <w:color w:val="auto"/>
          <w:highlight w:val="none"/>
        </w:rPr>
        <w:t>1.12 偏离</w:t>
      </w:r>
      <w:bookmarkEnd w:id="231"/>
      <w:bookmarkEnd w:id="232"/>
      <w:bookmarkEnd w:id="233"/>
    </w:p>
    <w:p w14:paraId="6D018643">
      <w:pPr>
        <w:spacing w:line="500" w:lineRule="exact"/>
        <w:ind w:left="-420" w:leftChars="-200" w:firstLine="367" w:firstLineChars="175"/>
        <w:jc w:val="left"/>
        <w:rPr>
          <w:rFonts w:ascii="宋体" w:hAnsi="宋体" w:cs="宋体"/>
          <w:color w:val="auto"/>
          <w:szCs w:val="21"/>
          <w:highlight w:val="none"/>
        </w:rPr>
      </w:pPr>
      <w:r>
        <w:rPr>
          <w:rFonts w:hint="eastAsia" w:ascii="宋体" w:hAnsi="宋体" w:cs="宋体"/>
          <w:color w:val="auto"/>
          <w:szCs w:val="21"/>
          <w:highlight w:val="none"/>
        </w:rPr>
        <w:t>1.12.1投标文件偏离招标文件某些要求，视为投标文件存在偏差。偏差包括重大偏差和细微偏差。</w:t>
      </w:r>
    </w:p>
    <w:p w14:paraId="31ACFB80">
      <w:pPr>
        <w:spacing w:line="500" w:lineRule="exact"/>
        <w:ind w:left="-420" w:leftChars="-200" w:firstLine="367" w:firstLineChars="175"/>
        <w:jc w:val="left"/>
        <w:rPr>
          <w:rFonts w:ascii="宋体" w:hAnsi="宋体" w:cs="宋体"/>
          <w:color w:val="auto"/>
          <w:szCs w:val="21"/>
          <w:highlight w:val="none"/>
        </w:rPr>
      </w:pPr>
      <w:r>
        <w:rPr>
          <w:rFonts w:hint="eastAsia" w:ascii="宋体" w:hAnsi="宋体" w:cs="宋体"/>
          <w:color w:val="auto"/>
          <w:szCs w:val="21"/>
          <w:highlight w:val="none"/>
        </w:rPr>
        <w:t>1.12.2投标文件应对招标文件的实质性要求和条件作出满足性或更有利于招标人的响应，否则，视为投标文件存在重大偏差，投标人的投标将被否决。</w:t>
      </w:r>
    </w:p>
    <w:p w14:paraId="6120C970">
      <w:pPr>
        <w:spacing w:line="500" w:lineRule="exact"/>
        <w:ind w:left="-420" w:leftChars="-200" w:firstLine="367" w:firstLineChars="175"/>
        <w:jc w:val="left"/>
        <w:rPr>
          <w:rFonts w:ascii="宋体" w:hAnsi="宋体" w:cs="宋体"/>
          <w:color w:val="auto"/>
          <w:szCs w:val="21"/>
          <w:highlight w:val="none"/>
        </w:rPr>
      </w:pPr>
      <w:r>
        <w:rPr>
          <w:rFonts w:hint="eastAsia" w:ascii="宋体" w:hAnsi="宋体" w:cs="宋体"/>
          <w:color w:val="auto"/>
          <w:szCs w:val="21"/>
          <w:highlight w:val="none"/>
        </w:rPr>
        <w:t>投标文件存在第三章“评标办法”中所列任一无效投标情形的，均属于存在重大偏差。</w:t>
      </w:r>
    </w:p>
    <w:p w14:paraId="14432918">
      <w:pPr>
        <w:spacing w:line="500" w:lineRule="exact"/>
        <w:ind w:left="-420" w:leftChars="-200" w:firstLine="367" w:firstLineChars="175"/>
        <w:jc w:val="left"/>
        <w:rPr>
          <w:rFonts w:ascii="宋体" w:hAnsi="宋体" w:cs="宋体"/>
          <w:color w:val="auto"/>
          <w:szCs w:val="21"/>
          <w:highlight w:val="none"/>
        </w:rPr>
      </w:pPr>
      <w:r>
        <w:rPr>
          <w:rFonts w:hint="eastAsia" w:ascii="宋体" w:hAnsi="宋体" w:cs="宋体"/>
          <w:color w:val="auto"/>
          <w:szCs w:val="21"/>
          <w:highlight w:val="none"/>
        </w:rPr>
        <w:t>1.12.3投标文件中的下列偏差为细微偏差：</w:t>
      </w:r>
    </w:p>
    <w:p w14:paraId="10A9A9D0">
      <w:pPr>
        <w:spacing w:line="500" w:lineRule="exact"/>
        <w:ind w:left="-420" w:leftChars="-200" w:firstLine="367" w:firstLineChars="175"/>
        <w:jc w:val="left"/>
        <w:rPr>
          <w:rFonts w:ascii="宋体" w:hAnsi="宋体" w:cs="宋体"/>
          <w:color w:val="auto"/>
          <w:szCs w:val="21"/>
          <w:highlight w:val="none"/>
        </w:rPr>
      </w:pPr>
      <w:r>
        <w:rPr>
          <w:rFonts w:hint="eastAsia" w:ascii="宋体" w:hAnsi="宋体" w:cs="宋体"/>
          <w:color w:val="auto"/>
          <w:szCs w:val="21"/>
          <w:highlight w:val="none"/>
        </w:rPr>
        <w:t>（1）在按照第三章“评标办法”的规定对投标价进行算术性错误修正及其他错误修正后，最终投标报价未超过最高投标限价（如有）或未被否决投标的情况下，出现第三章“评标办法”规定的算术性错误和投标报价的其他错误；</w:t>
      </w:r>
    </w:p>
    <w:p w14:paraId="06A3C27C">
      <w:pPr>
        <w:spacing w:line="500" w:lineRule="exact"/>
        <w:ind w:left="-420" w:leftChars="-200" w:firstLine="367" w:firstLineChars="175"/>
        <w:jc w:val="left"/>
        <w:rPr>
          <w:rFonts w:ascii="宋体" w:hAnsi="宋体" w:cs="宋体"/>
          <w:color w:val="auto"/>
          <w:szCs w:val="21"/>
          <w:highlight w:val="none"/>
        </w:rPr>
      </w:pPr>
      <w:r>
        <w:rPr>
          <w:rFonts w:hint="eastAsia" w:ascii="宋体" w:hAnsi="宋体" w:cs="宋体"/>
          <w:color w:val="auto"/>
          <w:szCs w:val="21"/>
          <w:highlight w:val="none"/>
        </w:rPr>
        <w:t>（2）投标文件个别文字有遗漏错误等不影响投标文件实质性内容的偏差。</w:t>
      </w:r>
    </w:p>
    <w:p w14:paraId="182CCB80">
      <w:pPr>
        <w:spacing w:line="500" w:lineRule="exact"/>
        <w:ind w:left="-420" w:leftChars="-200" w:firstLine="367" w:firstLineChars="175"/>
        <w:jc w:val="left"/>
        <w:rPr>
          <w:rFonts w:ascii="宋体" w:hAnsi="宋体" w:cs="宋体"/>
          <w:color w:val="auto"/>
          <w:szCs w:val="21"/>
          <w:highlight w:val="none"/>
        </w:rPr>
      </w:pPr>
      <w:r>
        <w:rPr>
          <w:rFonts w:hint="eastAsia" w:ascii="宋体" w:hAnsi="宋体" w:cs="宋体"/>
          <w:color w:val="auto"/>
          <w:szCs w:val="21"/>
          <w:highlight w:val="none"/>
        </w:rPr>
        <w:t>1.12.4评标委员会对投标文件中的细微偏差按如下规定处理：</w:t>
      </w:r>
    </w:p>
    <w:p w14:paraId="0B0936B8">
      <w:pPr>
        <w:spacing w:line="500" w:lineRule="exact"/>
        <w:ind w:left="-420" w:leftChars="-200" w:firstLine="367" w:firstLineChars="175"/>
        <w:jc w:val="left"/>
        <w:rPr>
          <w:rFonts w:ascii="宋体" w:hAnsi="宋体" w:cs="宋体"/>
          <w:color w:val="auto"/>
          <w:szCs w:val="21"/>
          <w:highlight w:val="none"/>
        </w:rPr>
      </w:pPr>
      <w:r>
        <w:rPr>
          <w:rFonts w:hint="eastAsia" w:ascii="宋体" w:hAnsi="宋体" w:cs="宋体"/>
          <w:color w:val="auto"/>
          <w:szCs w:val="21"/>
          <w:highlight w:val="none"/>
        </w:rPr>
        <w:t>对于本章第 1.12.3 项（1）目所述的细微偏差，按照第三章“评标办法”的规定予以修正并要求投标人进行澄清；</w:t>
      </w:r>
    </w:p>
    <w:p w14:paraId="2FA03098">
      <w:pPr>
        <w:spacing w:line="500" w:lineRule="exact"/>
        <w:ind w:left="-420" w:leftChars="-200" w:firstLine="367" w:firstLineChars="175"/>
        <w:jc w:val="left"/>
        <w:rPr>
          <w:rFonts w:ascii="宋体" w:hAnsi="宋体" w:cs="宋体"/>
          <w:color w:val="auto"/>
          <w:szCs w:val="21"/>
          <w:highlight w:val="none"/>
        </w:rPr>
      </w:pPr>
      <w:r>
        <w:rPr>
          <w:rFonts w:hint="eastAsia" w:ascii="宋体" w:hAnsi="宋体" w:cs="宋体"/>
          <w:color w:val="auto"/>
          <w:szCs w:val="21"/>
          <w:highlight w:val="none"/>
        </w:rPr>
        <w:t>对于本章第 1.12.3 项（2）目所述的细微偏差，可要求投标人对细微偏差进行澄清。</w:t>
      </w:r>
    </w:p>
    <w:p w14:paraId="50747EF2">
      <w:pPr>
        <w:pStyle w:val="4"/>
        <w:spacing w:line="500" w:lineRule="exact"/>
        <w:ind w:left="-420" w:leftChars="-200" w:firstLine="422" w:firstLineChars="17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 招标文件</w:t>
      </w:r>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14:paraId="23D82555">
      <w:pPr>
        <w:pStyle w:val="4"/>
        <w:spacing w:line="500" w:lineRule="exact"/>
        <w:ind w:left="-420" w:leftChars="-200" w:firstLine="369" w:firstLineChars="175"/>
        <w:rPr>
          <w:rFonts w:ascii="宋体" w:hAnsi="宋体" w:eastAsia="宋体" w:cs="宋体"/>
          <w:color w:val="auto"/>
          <w:highlight w:val="none"/>
        </w:rPr>
      </w:pPr>
      <w:bookmarkStart w:id="234" w:name="_Toc35425066"/>
      <w:bookmarkStart w:id="235" w:name="_Toc246996931"/>
      <w:bookmarkStart w:id="236" w:name="_Toc247085702"/>
      <w:bookmarkStart w:id="237" w:name="_Toc144974511"/>
      <w:bookmarkStart w:id="238" w:name="_Toc152042319"/>
      <w:bookmarkStart w:id="239" w:name="_Toc296602433"/>
      <w:bookmarkStart w:id="240" w:name="_Toc324404828"/>
      <w:bookmarkStart w:id="241" w:name="_Toc35424900"/>
      <w:bookmarkStart w:id="242" w:name="_Toc179632561"/>
      <w:bookmarkStart w:id="243" w:name="_Toc15058859"/>
      <w:bookmarkStart w:id="244" w:name="_Toc246996188"/>
      <w:bookmarkStart w:id="245" w:name="_Toc152045543"/>
      <w:bookmarkStart w:id="246" w:name="_Toc13213"/>
      <w:bookmarkStart w:id="247" w:name="_Toc78803335"/>
      <w:bookmarkStart w:id="248" w:name="_Toc506107282"/>
      <w:r>
        <w:rPr>
          <w:rFonts w:hint="eastAsia" w:ascii="宋体" w:hAnsi="宋体" w:eastAsia="宋体" w:cs="宋体"/>
          <w:color w:val="auto"/>
          <w:highlight w:val="none"/>
        </w:rPr>
        <w:t>2.1 招标文件的组成</w:t>
      </w:r>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p>
    <w:p w14:paraId="7411CE99">
      <w:pPr>
        <w:spacing w:line="500" w:lineRule="exact"/>
        <w:ind w:left="-420" w:leftChars="-200" w:firstLine="367" w:firstLineChars="175"/>
        <w:jc w:val="left"/>
        <w:rPr>
          <w:rFonts w:ascii="宋体" w:hAnsi="宋体" w:cs="宋体"/>
          <w:color w:val="auto"/>
          <w:szCs w:val="21"/>
          <w:highlight w:val="none"/>
        </w:rPr>
      </w:pPr>
      <w:r>
        <w:rPr>
          <w:rFonts w:hint="eastAsia" w:ascii="宋体" w:hAnsi="宋体" w:cs="宋体"/>
          <w:color w:val="auto"/>
          <w:szCs w:val="21"/>
          <w:highlight w:val="none"/>
        </w:rPr>
        <w:t>2.1.1 本招标文件包括：</w:t>
      </w:r>
    </w:p>
    <w:p w14:paraId="35680FAB">
      <w:pPr>
        <w:spacing w:line="500" w:lineRule="exact"/>
        <w:ind w:left="-420" w:leftChars="-200" w:firstLine="367" w:firstLineChars="175"/>
        <w:jc w:val="left"/>
        <w:rPr>
          <w:rFonts w:ascii="宋体" w:hAnsi="宋体" w:cs="宋体"/>
          <w:color w:val="auto"/>
          <w:szCs w:val="21"/>
          <w:highlight w:val="none"/>
        </w:rPr>
      </w:pPr>
      <w:r>
        <w:rPr>
          <w:rFonts w:hint="eastAsia" w:ascii="宋体" w:hAnsi="宋体" w:cs="宋体"/>
          <w:color w:val="auto"/>
          <w:szCs w:val="21"/>
          <w:highlight w:val="none"/>
        </w:rPr>
        <w:t>（1）招标公告；</w:t>
      </w:r>
    </w:p>
    <w:p w14:paraId="308AE0D7">
      <w:pPr>
        <w:spacing w:line="500" w:lineRule="exact"/>
        <w:ind w:left="-420" w:leftChars="-200" w:firstLine="367" w:firstLineChars="175"/>
        <w:jc w:val="left"/>
        <w:rPr>
          <w:rFonts w:ascii="宋体" w:hAnsi="宋体" w:cs="宋体"/>
          <w:color w:val="auto"/>
          <w:szCs w:val="21"/>
          <w:highlight w:val="none"/>
        </w:rPr>
      </w:pPr>
      <w:r>
        <w:rPr>
          <w:rFonts w:hint="eastAsia" w:ascii="宋体" w:hAnsi="宋体" w:cs="宋体"/>
          <w:color w:val="auto"/>
          <w:szCs w:val="21"/>
          <w:highlight w:val="none"/>
        </w:rPr>
        <w:t>（2）投标人须知；</w:t>
      </w:r>
    </w:p>
    <w:p w14:paraId="744473D3">
      <w:pPr>
        <w:spacing w:line="500" w:lineRule="exact"/>
        <w:ind w:left="-420" w:leftChars="-200" w:firstLine="367" w:firstLineChars="175"/>
        <w:jc w:val="left"/>
        <w:rPr>
          <w:rFonts w:ascii="宋体" w:hAnsi="宋体" w:cs="宋体"/>
          <w:color w:val="auto"/>
          <w:szCs w:val="21"/>
          <w:highlight w:val="none"/>
        </w:rPr>
      </w:pPr>
      <w:r>
        <w:rPr>
          <w:rFonts w:hint="eastAsia" w:ascii="宋体" w:hAnsi="宋体" w:cs="宋体"/>
          <w:color w:val="auto"/>
          <w:szCs w:val="21"/>
          <w:highlight w:val="none"/>
        </w:rPr>
        <w:t>（3）资格审查办法</w:t>
      </w:r>
    </w:p>
    <w:p w14:paraId="6CD29CA0">
      <w:pPr>
        <w:spacing w:line="500" w:lineRule="exact"/>
        <w:ind w:left="-420" w:leftChars="-200" w:firstLine="367" w:firstLineChars="175"/>
        <w:jc w:val="left"/>
        <w:rPr>
          <w:rFonts w:ascii="宋体" w:hAnsi="宋体" w:cs="宋体"/>
          <w:color w:val="auto"/>
          <w:szCs w:val="21"/>
          <w:highlight w:val="none"/>
        </w:rPr>
      </w:pPr>
      <w:r>
        <w:rPr>
          <w:rFonts w:hint="eastAsia" w:ascii="宋体" w:hAnsi="宋体" w:cs="宋体"/>
          <w:color w:val="auto"/>
          <w:szCs w:val="21"/>
          <w:highlight w:val="none"/>
        </w:rPr>
        <w:t>（4）评标办法；</w:t>
      </w:r>
    </w:p>
    <w:p w14:paraId="025BFED0">
      <w:pPr>
        <w:spacing w:line="500" w:lineRule="exact"/>
        <w:ind w:left="-420" w:leftChars="-200" w:firstLine="367" w:firstLineChars="175"/>
        <w:jc w:val="left"/>
        <w:rPr>
          <w:rFonts w:ascii="宋体" w:hAnsi="宋体" w:cs="宋体"/>
          <w:color w:val="auto"/>
          <w:szCs w:val="21"/>
          <w:highlight w:val="none"/>
        </w:rPr>
      </w:pPr>
      <w:r>
        <w:rPr>
          <w:rFonts w:hint="eastAsia" w:ascii="宋体" w:hAnsi="宋体" w:cs="宋体"/>
          <w:color w:val="auto"/>
          <w:szCs w:val="21"/>
          <w:highlight w:val="none"/>
        </w:rPr>
        <w:t>（5）合同条款及格式；</w:t>
      </w:r>
    </w:p>
    <w:p w14:paraId="14D77AF7">
      <w:pPr>
        <w:spacing w:line="500" w:lineRule="exact"/>
        <w:ind w:left="-420" w:leftChars="-200" w:firstLine="367" w:firstLineChars="175"/>
        <w:jc w:val="left"/>
        <w:rPr>
          <w:rFonts w:ascii="宋体" w:hAnsi="宋体" w:cs="宋体"/>
          <w:color w:val="auto"/>
          <w:szCs w:val="21"/>
          <w:highlight w:val="none"/>
        </w:rPr>
      </w:pPr>
      <w:r>
        <w:rPr>
          <w:rFonts w:hint="eastAsia" w:ascii="宋体" w:hAnsi="宋体" w:cs="宋体"/>
          <w:color w:val="auto"/>
          <w:szCs w:val="21"/>
          <w:highlight w:val="none"/>
        </w:rPr>
        <w:t xml:space="preserve">（6）工程量清单； </w:t>
      </w:r>
    </w:p>
    <w:p w14:paraId="76B6805B">
      <w:pPr>
        <w:spacing w:line="500" w:lineRule="exact"/>
        <w:ind w:left="-420" w:leftChars="-200" w:firstLine="367" w:firstLineChars="175"/>
        <w:jc w:val="left"/>
        <w:rPr>
          <w:rFonts w:ascii="宋体" w:hAnsi="宋体" w:cs="宋体"/>
          <w:color w:val="auto"/>
          <w:szCs w:val="21"/>
          <w:highlight w:val="none"/>
        </w:rPr>
      </w:pPr>
      <w:r>
        <w:rPr>
          <w:rFonts w:hint="eastAsia" w:ascii="宋体" w:hAnsi="宋体" w:cs="宋体"/>
          <w:color w:val="auto"/>
          <w:szCs w:val="21"/>
          <w:highlight w:val="none"/>
        </w:rPr>
        <w:t>（7）投标文件格式；</w:t>
      </w:r>
    </w:p>
    <w:p w14:paraId="119DB0FB">
      <w:pPr>
        <w:spacing w:line="500" w:lineRule="exact"/>
        <w:ind w:left="-420" w:leftChars="-200" w:firstLine="367" w:firstLineChars="175"/>
        <w:jc w:val="left"/>
        <w:rPr>
          <w:rFonts w:ascii="宋体" w:hAnsi="宋体" w:cs="宋体"/>
          <w:color w:val="auto"/>
          <w:szCs w:val="21"/>
          <w:highlight w:val="none"/>
        </w:rPr>
      </w:pPr>
      <w:r>
        <w:rPr>
          <w:rFonts w:hint="eastAsia" w:ascii="宋体" w:hAnsi="宋体" w:cs="宋体"/>
          <w:color w:val="auto"/>
          <w:szCs w:val="21"/>
          <w:highlight w:val="none"/>
        </w:rPr>
        <w:t>（9）投标人须知前附表规定的其他材料。</w:t>
      </w:r>
    </w:p>
    <w:p w14:paraId="2EFBBF37">
      <w:pPr>
        <w:spacing w:line="500" w:lineRule="exact"/>
        <w:ind w:left="-420" w:leftChars="-200" w:firstLine="367" w:firstLineChars="175"/>
        <w:jc w:val="left"/>
        <w:rPr>
          <w:rFonts w:ascii="宋体" w:hAnsi="宋体" w:cs="宋体"/>
          <w:color w:val="auto"/>
          <w:szCs w:val="21"/>
          <w:highlight w:val="none"/>
        </w:rPr>
      </w:pPr>
      <w:r>
        <w:rPr>
          <w:rFonts w:hint="eastAsia" w:ascii="宋体" w:hAnsi="宋体" w:cs="宋体"/>
          <w:color w:val="auto"/>
          <w:szCs w:val="21"/>
          <w:highlight w:val="none"/>
        </w:rPr>
        <w:t>2.1.2 根据本章第1.10款、第2.2款和第2.3款对招标文件所作的澄清、修改，构成招标文件的组成部分。</w:t>
      </w:r>
    </w:p>
    <w:p w14:paraId="3D4B54D7">
      <w:pPr>
        <w:pStyle w:val="17"/>
        <w:adjustRightInd w:val="0"/>
        <w:snapToGrid w:val="0"/>
        <w:spacing w:line="500" w:lineRule="exact"/>
        <w:ind w:left="-420" w:leftChars="-200" w:firstLine="367" w:firstLineChars="175"/>
        <w:jc w:val="left"/>
        <w:rPr>
          <w:color w:val="auto"/>
          <w:highlight w:val="none"/>
        </w:rPr>
      </w:pPr>
      <w:r>
        <w:rPr>
          <w:rFonts w:hint="eastAsia" w:ascii="宋体" w:hAnsi="宋体" w:cs="宋体"/>
          <w:color w:val="auto"/>
          <w:szCs w:val="21"/>
          <w:highlight w:val="none"/>
        </w:rPr>
        <w:t>2.1.3当招标文件、招标文件的澄清或修改等在同一内容的表述上不一致时，以最后发出的文件为准。</w:t>
      </w:r>
    </w:p>
    <w:p w14:paraId="3FCBD0CC">
      <w:pPr>
        <w:pStyle w:val="4"/>
        <w:spacing w:line="500" w:lineRule="exact"/>
        <w:ind w:left="-420" w:leftChars="-200" w:firstLine="369" w:firstLineChars="175"/>
        <w:rPr>
          <w:rFonts w:ascii="宋体" w:hAnsi="宋体" w:eastAsia="宋体" w:cs="宋体"/>
          <w:color w:val="auto"/>
          <w:highlight w:val="none"/>
        </w:rPr>
      </w:pPr>
      <w:bookmarkStart w:id="249" w:name="_Toc35424901"/>
      <w:bookmarkStart w:id="250" w:name="_Toc35425067"/>
      <w:bookmarkStart w:id="251" w:name="_Toc324404829"/>
      <w:bookmarkStart w:id="252" w:name="_Toc506107283"/>
      <w:bookmarkStart w:id="253" w:name="_Toc179632562"/>
      <w:bookmarkStart w:id="254" w:name="_Toc32239"/>
      <w:bookmarkStart w:id="255" w:name="_Toc152045544"/>
      <w:bookmarkStart w:id="256" w:name="_Toc247085703"/>
      <w:bookmarkStart w:id="257" w:name="_Toc246996189"/>
      <w:bookmarkStart w:id="258" w:name="_Toc246996932"/>
      <w:bookmarkStart w:id="259" w:name="_Toc15058860"/>
      <w:bookmarkStart w:id="260" w:name="_Toc152042320"/>
      <w:bookmarkStart w:id="261" w:name="_Toc144974512"/>
      <w:bookmarkStart w:id="262" w:name="_Toc296602434"/>
      <w:bookmarkStart w:id="263" w:name="_Toc78803336"/>
      <w:r>
        <w:rPr>
          <w:rFonts w:hint="eastAsia" w:ascii="宋体" w:hAnsi="宋体" w:eastAsia="宋体" w:cs="宋体"/>
          <w:color w:val="auto"/>
          <w:highlight w:val="none"/>
        </w:rPr>
        <w:t>2.2 招标文件的</w:t>
      </w:r>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r>
        <w:rPr>
          <w:rFonts w:hint="eastAsia" w:ascii="宋体" w:hAnsi="宋体" w:eastAsia="宋体" w:cs="宋体"/>
          <w:color w:val="auto"/>
          <w:highlight w:val="none"/>
        </w:rPr>
        <w:t>异议</w:t>
      </w:r>
    </w:p>
    <w:p w14:paraId="4043F5B8">
      <w:pPr>
        <w:spacing w:line="500" w:lineRule="exact"/>
        <w:ind w:left="-420" w:leftChars="-200" w:firstLine="367" w:firstLineChars="175"/>
        <w:jc w:val="left"/>
        <w:rPr>
          <w:rFonts w:ascii="宋体" w:hAnsi="宋体" w:cs="宋体"/>
          <w:color w:val="auto"/>
          <w:szCs w:val="21"/>
          <w:highlight w:val="none"/>
        </w:rPr>
      </w:pPr>
      <w:r>
        <w:rPr>
          <w:rFonts w:hint="eastAsia" w:ascii="宋体" w:hAnsi="宋体" w:cs="宋体"/>
          <w:color w:val="auto"/>
          <w:szCs w:val="21"/>
          <w:highlight w:val="none"/>
        </w:rPr>
        <w:t>见投标须知前附表。</w:t>
      </w:r>
    </w:p>
    <w:p w14:paraId="65090616">
      <w:pPr>
        <w:pStyle w:val="4"/>
        <w:spacing w:line="500" w:lineRule="exact"/>
        <w:ind w:left="-420" w:leftChars="-200" w:firstLine="369" w:firstLineChars="175"/>
        <w:rPr>
          <w:rFonts w:ascii="宋体" w:hAnsi="宋体" w:eastAsia="宋体" w:cs="宋体"/>
          <w:color w:val="auto"/>
          <w:highlight w:val="none"/>
        </w:rPr>
      </w:pPr>
      <w:bookmarkStart w:id="264" w:name="_Toc324404830"/>
      <w:bookmarkStart w:id="265" w:name="_Toc15058861"/>
      <w:bookmarkStart w:id="266" w:name="_Toc144974513"/>
      <w:bookmarkStart w:id="267" w:name="_Toc35424902"/>
      <w:bookmarkStart w:id="268" w:name="_Toc247085704"/>
      <w:bookmarkStart w:id="269" w:name="_Toc179632563"/>
      <w:bookmarkStart w:id="270" w:name="_Toc152045545"/>
      <w:bookmarkStart w:id="271" w:name="_Toc152042321"/>
      <w:bookmarkStart w:id="272" w:name="_Toc246996933"/>
      <w:bookmarkStart w:id="273" w:name="_Toc506107284"/>
      <w:bookmarkStart w:id="274" w:name="_Toc296602435"/>
      <w:bookmarkStart w:id="275" w:name="_Toc246996190"/>
      <w:bookmarkStart w:id="276" w:name="_Toc35425068"/>
      <w:bookmarkStart w:id="277" w:name="_Toc24633"/>
      <w:bookmarkStart w:id="278" w:name="_Toc78803337"/>
      <w:r>
        <w:rPr>
          <w:rFonts w:hint="eastAsia" w:ascii="宋体" w:hAnsi="宋体" w:eastAsia="宋体" w:cs="宋体"/>
          <w:color w:val="auto"/>
          <w:highlight w:val="none"/>
        </w:rPr>
        <w:t>2.3 招标文件的</w:t>
      </w:r>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r>
        <w:rPr>
          <w:rFonts w:hint="eastAsia" w:ascii="宋体" w:hAnsi="宋体" w:eastAsia="宋体" w:cs="宋体"/>
          <w:color w:val="auto"/>
          <w:highlight w:val="none"/>
        </w:rPr>
        <w:t>澄清</w:t>
      </w:r>
    </w:p>
    <w:p w14:paraId="38595436">
      <w:pPr>
        <w:spacing w:line="500" w:lineRule="exact"/>
        <w:ind w:left="-420" w:leftChars="-200" w:firstLine="367" w:firstLineChars="175"/>
        <w:jc w:val="left"/>
        <w:rPr>
          <w:rFonts w:ascii="宋体" w:hAnsi="宋体" w:cs="宋体"/>
          <w:color w:val="auto"/>
          <w:szCs w:val="21"/>
          <w:highlight w:val="none"/>
        </w:rPr>
      </w:pPr>
      <w:r>
        <w:rPr>
          <w:rFonts w:hint="eastAsia" w:ascii="宋体" w:hAnsi="宋体" w:cs="宋体"/>
          <w:color w:val="auto"/>
          <w:szCs w:val="21"/>
          <w:highlight w:val="none"/>
        </w:rPr>
        <w:t>见投标须知前附表。</w:t>
      </w:r>
    </w:p>
    <w:p w14:paraId="169FB238">
      <w:pPr>
        <w:spacing w:line="500" w:lineRule="exact"/>
        <w:ind w:left="-420" w:leftChars="-200" w:firstLine="369" w:firstLineChars="175"/>
        <w:jc w:val="left"/>
        <w:rPr>
          <w:rFonts w:ascii="宋体" w:hAnsi="宋体" w:cs="宋体"/>
          <w:b/>
          <w:bCs/>
          <w:color w:val="auto"/>
          <w:szCs w:val="32"/>
          <w:highlight w:val="none"/>
        </w:rPr>
      </w:pPr>
      <w:bookmarkStart w:id="279" w:name="_Toc324404832"/>
      <w:bookmarkStart w:id="280" w:name="_Toc246996191"/>
      <w:bookmarkStart w:id="281" w:name="_Toc35425070"/>
      <w:bookmarkStart w:id="282" w:name="_Toc144974514"/>
      <w:bookmarkStart w:id="283" w:name="_Toc6464"/>
      <w:bookmarkStart w:id="284" w:name="_Toc15058863"/>
      <w:bookmarkStart w:id="285" w:name="_Toc246996934"/>
      <w:bookmarkStart w:id="286" w:name="_Toc78803339"/>
      <w:bookmarkStart w:id="287" w:name="_Toc152045546"/>
      <w:bookmarkStart w:id="288" w:name="_Toc179632564"/>
      <w:bookmarkStart w:id="289" w:name="_Toc506107285"/>
      <w:bookmarkStart w:id="290" w:name="_Toc152042322"/>
      <w:bookmarkStart w:id="291" w:name="_Toc247085705"/>
      <w:bookmarkStart w:id="292" w:name="_Toc35424904"/>
      <w:r>
        <w:rPr>
          <w:rFonts w:hint="eastAsia" w:ascii="宋体" w:hAnsi="宋体" w:cs="宋体"/>
          <w:b/>
          <w:bCs/>
          <w:color w:val="auto"/>
          <w:szCs w:val="32"/>
          <w:highlight w:val="none"/>
        </w:rPr>
        <w:t>3. 投标文件</w:t>
      </w:r>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p>
    <w:p w14:paraId="7046D7D3">
      <w:pPr>
        <w:pStyle w:val="4"/>
        <w:spacing w:line="500" w:lineRule="exact"/>
        <w:ind w:left="-420" w:leftChars="-200" w:firstLine="369" w:firstLineChars="175"/>
        <w:rPr>
          <w:rFonts w:ascii="宋体" w:hAnsi="宋体" w:eastAsia="宋体" w:cs="宋体"/>
          <w:color w:val="auto"/>
          <w:highlight w:val="none"/>
        </w:rPr>
      </w:pPr>
      <w:bookmarkStart w:id="293" w:name="_Toc157"/>
      <w:bookmarkStart w:id="294" w:name="_Toc179632565"/>
      <w:bookmarkStart w:id="295" w:name="_Toc152042323"/>
      <w:bookmarkStart w:id="296" w:name="_Toc246996935"/>
      <w:bookmarkStart w:id="297" w:name="_Toc506107286"/>
      <w:bookmarkStart w:id="298" w:name="_Toc78803340"/>
      <w:bookmarkStart w:id="299" w:name="_Toc324404833"/>
      <w:bookmarkStart w:id="300" w:name="_Toc247085706"/>
      <w:bookmarkStart w:id="301" w:name="_Toc35425071"/>
      <w:bookmarkStart w:id="302" w:name="_Toc144974515"/>
      <w:bookmarkStart w:id="303" w:name="_Toc152045547"/>
      <w:bookmarkStart w:id="304" w:name="_Toc246996192"/>
      <w:bookmarkStart w:id="305" w:name="_Toc296602437"/>
      <w:bookmarkStart w:id="306" w:name="_Toc15058864"/>
      <w:bookmarkStart w:id="307" w:name="_Toc35424905"/>
      <w:r>
        <w:rPr>
          <w:rFonts w:hint="eastAsia" w:ascii="宋体" w:hAnsi="宋体" w:eastAsia="宋体" w:cs="宋体"/>
          <w:color w:val="auto"/>
          <w:highlight w:val="none"/>
        </w:rPr>
        <w:t>3.1 投标文件的组成</w:t>
      </w:r>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p>
    <w:p w14:paraId="71F41925">
      <w:pPr>
        <w:spacing w:line="500" w:lineRule="exact"/>
        <w:ind w:left="-420" w:leftChars="-200" w:firstLine="367" w:firstLineChars="175"/>
        <w:jc w:val="left"/>
        <w:rPr>
          <w:rFonts w:ascii="宋体" w:hAnsi="宋体" w:cs="宋体"/>
          <w:color w:val="auto"/>
          <w:szCs w:val="21"/>
          <w:highlight w:val="none"/>
        </w:rPr>
      </w:pPr>
      <w:r>
        <w:rPr>
          <w:rFonts w:hint="eastAsia" w:ascii="宋体" w:hAnsi="宋体" w:cs="宋体"/>
          <w:color w:val="auto"/>
          <w:szCs w:val="21"/>
          <w:highlight w:val="none"/>
        </w:rPr>
        <w:t>投标文件的具体组成部分及材料要求详见本招标文件第六章“投标文件格式”。</w:t>
      </w:r>
    </w:p>
    <w:p w14:paraId="54B17D16">
      <w:pPr>
        <w:pStyle w:val="4"/>
        <w:spacing w:line="500" w:lineRule="exact"/>
        <w:ind w:left="-420" w:leftChars="-200" w:firstLine="369" w:firstLineChars="175"/>
        <w:rPr>
          <w:rFonts w:ascii="宋体" w:hAnsi="宋体" w:eastAsia="宋体" w:cs="宋体"/>
          <w:color w:val="auto"/>
          <w:highlight w:val="none"/>
        </w:rPr>
      </w:pPr>
      <w:bookmarkStart w:id="308" w:name="_Toc247085707"/>
      <w:bookmarkStart w:id="309" w:name="_Toc179632566"/>
      <w:bookmarkStart w:id="310" w:name="_Toc6829"/>
      <w:bookmarkStart w:id="311" w:name="_Toc15058865"/>
      <w:bookmarkStart w:id="312" w:name="_Toc296602438"/>
      <w:bookmarkStart w:id="313" w:name="_Toc324404834"/>
      <w:bookmarkStart w:id="314" w:name="_Toc144974516"/>
      <w:bookmarkStart w:id="315" w:name="_Toc35424906"/>
      <w:bookmarkStart w:id="316" w:name="_Toc35425072"/>
      <w:bookmarkStart w:id="317" w:name="_Toc152045548"/>
      <w:bookmarkStart w:id="318" w:name="_Toc78803341"/>
      <w:bookmarkStart w:id="319" w:name="_Toc506107287"/>
      <w:bookmarkStart w:id="320" w:name="_Toc152042324"/>
      <w:bookmarkStart w:id="321" w:name="_Toc246996193"/>
      <w:bookmarkStart w:id="322" w:name="_Toc246996936"/>
      <w:r>
        <w:rPr>
          <w:rFonts w:hint="eastAsia" w:ascii="宋体" w:hAnsi="宋体" w:eastAsia="宋体" w:cs="宋体"/>
          <w:color w:val="auto"/>
          <w:highlight w:val="none"/>
        </w:rPr>
        <w:t>3.2 投标报价</w:t>
      </w:r>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p>
    <w:p w14:paraId="4ED0DBE1">
      <w:pPr>
        <w:spacing w:line="500" w:lineRule="exact"/>
        <w:ind w:left="-420" w:leftChars="-200" w:firstLine="367" w:firstLineChars="175"/>
        <w:jc w:val="left"/>
        <w:rPr>
          <w:rFonts w:ascii="宋体" w:hAnsi="宋体" w:cs="宋体"/>
          <w:color w:val="auto"/>
          <w:szCs w:val="21"/>
          <w:highlight w:val="none"/>
        </w:rPr>
      </w:pPr>
      <w:bookmarkStart w:id="323" w:name="_Toc179632567"/>
      <w:bookmarkStart w:id="324" w:name="_Toc506107288"/>
      <w:bookmarkStart w:id="325" w:name="_Toc78803342"/>
      <w:bookmarkStart w:id="326" w:name="_Toc152045549"/>
      <w:bookmarkStart w:id="327" w:name="_Toc15058866"/>
      <w:bookmarkStart w:id="328" w:name="_Toc296602439"/>
      <w:bookmarkStart w:id="329" w:name="_Toc247085708"/>
      <w:bookmarkStart w:id="330" w:name="_Toc246996937"/>
      <w:bookmarkStart w:id="331" w:name="_Toc144974517"/>
      <w:bookmarkStart w:id="332" w:name="_Toc31735"/>
      <w:bookmarkStart w:id="333" w:name="_Toc35425073"/>
      <w:bookmarkStart w:id="334" w:name="_Toc152042325"/>
      <w:bookmarkStart w:id="335" w:name="_Toc324404835"/>
      <w:bookmarkStart w:id="336" w:name="_Toc35424907"/>
      <w:bookmarkStart w:id="337" w:name="_Toc246996194"/>
      <w:r>
        <w:rPr>
          <w:rFonts w:hint="eastAsia" w:ascii="宋体" w:hAnsi="宋体" w:cs="宋体"/>
          <w:color w:val="auto"/>
          <w:szCs w:val="21"/>
          <w:highlight w:val="none"/>
        </w:rPr>
        <w:t>3.2.1投标报价应包括国家规定的增值税税金，除投标人须知前附表另有规定外，增值税税金按一般计税方法计算。投标人应按第六章“投标文件格式”的要求在投标函中进行报价并填写工程量清单相应表格。</w:t>
      </w:r>
    </w:p>
    <w:p w14:paraId="25574FA3">
      <w:pPr>
        <w:spacing w:line="500" w:lineRule="exact"/>
        <w:ind w:left="-420" w:leftChars="-200" w:firstLine="367" w:firstLineChars="175"/>
        <w:jc w:val="left"/>
        <w:rPr>
          <w:rFonts w:ascii="宋体" w:hAnsi="宋体" w:cs="宋体"/>
          <w:color w:val="auto"/>
          <w:szCs w:val="21"/>
          <w:highlight w:val="none"/>
        </w:rPr>
      </w:pPr>
      <w:r>
        <w:rPr>
          <w:rFonts w:hint="eastAsia" w:ascii="宋体" w:hAnsi="宋体" w:cs="宋体"/>
          <w:color w:val="auto"/>
          <w:szCs w:val="21"/>
          <w:highlight w:val="none"/>
        </w:rPr>
        <w:t>3.2.2投标人应充分了解本项目的总体情况以及影响投标报价的其他要素。</w:t>
      </w:r>
    </w:p>
    <w:p w14:paraId="73532F49">
      <w:pPr>
        <w:spacing w:line="500" w:lineRule="exact"/>
        <w:ind w:left="-420" w:leftChars="-200" w:firstLine="367" w:firstLineChars="175"/>
        <w:jc w:val="left"/>
        <w:rPr>
          <w:rFonts w:ascii="宋体" w:hAnsi="宋体" w:cs="宋体"/>
          <w:color w:val="auto"/>
          <w:szCs w:val="21"/>
          <w:highlight w:val="none"/>
        </w:rPr>
      </w:pPr>
      <w:r>
        <w:rPr>
          <w:rFonts w:hint="eastAsia" w:ascii="宋体" w:hAnsi="宋体" w:cs="宋体"/>
          <w:color w:val="auto"/>
          <w:szCs w:val="21"/>
          <w:highlight w:val="none"/>
        </w:rPr>
        <w:t>3.2.3招标人设有最高投标限价的，投标人的投标报价不得超过最高投标限价，最高投标限价在投标人须知前附表中载明。</w:t>
      </w:r>
    </w:p>
    <w:p w14:paraId="21B91D4B">
      <w:pPr>
        <w:pStyle w:val="4"/>
        <w:spacing w:line="500" w:lineRule="exact"/>
        <w:ind w:left="-420" w:leftChars="-200" w:firstLine="369" w:firstLineChars="175"/>
        <w:rPr>
          <w:rFonts w:ascii="宋体" w:hAnsi="宋体" w:eastAsia="宋体" w:cs="宋体"/>
          <w:color w:val="auto"/>
          <w:highlight w:val="none"/>
        </w:rPr>
      </w:pPr>
      <w:r>
        <w:rPr>
          <w:rFonts w:hint="eastAsia" w:ascii="宋体" w:hAnsi="宋体" w:eastAsia="宋体" w:cs="宋体"/>
          <w:color w:val="auto"/>
          <w:highlight w:val="none"/>
        </w:rPr>
        <w:t>3.3 投标有效期</w:t>
      </w:r>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p>
    <w:p w14:paraId="650CFB14">
      <w:pPr>
        <w:spacing w:line="500" w:lineRule="exact"/>
        <w:ind w:left="-420" w:leftChars="-200" w:firstLine="367" w:firstLineChars="175"/>
        <w:jc w:val="left"/>
        <w:rPr>
          <w:rFonts w:ascii="宋体" w:hAnsi="宋体" w:cs="宋体"/>
          <w:color w:val="auto"/>
          <w:szCs w:val="21"/>
          <w:highlight w:val="none"/>
        </w:rPr>
      </w:pPr>
      <w:r>
        <w:rPr>
          <w:rFonts w:hint="eastAsia" w:ascii="宋体" w:hAnsi="宋体" w:cs="宋体"/>
          <w:color w:val="auto"/>
          <w:szCs w:val="21"/>
          <w:highlight w:val="none"/>
        </w:rPr>
        <w:t>3.3.1 除投标人须知前附表另有规定外，投标有效期为90天。</w:t>
      </w:r>
    </w:p>
    <w:p w14:paraId="2C3085BA">
      <w:pPr>
        <w:spacing w:line="500" w:lineRule="exact"/>
        <w:ind w:left="-420" w:leftChars="-200" w:firstLine="367" w:firstLineChars="175"/>
        <w:jc w:val="left"/>
        <w:rPr>
          <w:rFonts w:ascii="宋体" w:hAnsi="宋体" w:cs="宋体"/>
          <w:color w:val="auto"/>
          <w:szCs w:val="21"/>
          <w:highlight w:val="none"/>
        </w:rPr>
      </w:pPr>
      <w:r>
        <w:rPr>
          <w:rFonts w:hint="eastAsia" w:ascii="宋体" w:hAnsi="宋体" w:cs="宋体"/>
          <w:color w:val="auto"/>
          <w:szCs w:val="21"/>
          <w:highlight w:val="none"/>
        </w:rPr>
        <w:t>3.3.2在投标有效期内，投标人撤销或修改其投标文件的，应承担招标文件和法律规定的责任。</w:t>
      </w:r>
    </w:p>
    <w:p w14:paraId="075E6678">
      <w:pPr>
        <w:spacing w:line="500" w:lineRule="exact"/>
        <w:ind w:left="-420" w:leftChars="-200" w:firstLine="367" w:firstLineChars="175"/>
        <w:jc w:val="left"/>
        <w:rPr>
          <w:rFonts w:ascii="宋体" w:hAnsi="宋体" w:cs="宋体"/>
          <w:color w:val="auto"/>
          <w:szCs w:val="21"/>
          <w:highlight w:val="none"/>
        </w:rPr>
      </w:pPr>
      <w:r>
        <w:rPr>
          <w:rFonts w:hint="eastAsia" w:ascii="宋体" w:hAnsi="宋体" w:cs="宋体"/>
          <w:color w:val="auto"/>
          <w:szCs w:val="21"/>
          <w:highlight w:val="none"/>
        </w:rPr>
        <w:t>3.3.3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14:paraId="10CD0F4F">
      <w:pPr>
        <w:pStyle w:val="4"/>
        <w:spacing w:line="500" w:lineRule="exact"/>
        <w:ind w:left="-420" w:leftChars="-200" w:firstLine="369" w:firstLineChars="175"/>
        <w:rPr>
          <w:rFonts w:ascii="宋体" w:hAnsi="宋体" w:eastAsia="宋体" w:cs="宋体"/>
          <w:color w:val="auto"/>
          <w:highlight w:val="none"/>
        </w:rPr>
      </w:pPr>
      <w:bookmarkStart w:id="338" w:name="_Toc35425074"/>
      <w:bookmarkStart w:id="339" w:name="_Toc144974518"/>
      <w:bookmarkStart w:id="340" w:name="_Toc246996938"/>
      <w:bookmarkStart w:id="341" w:name="_Toc506107289"/>
      <w:bookmarkStart w:id="342" w:name="_Toc247085709"/>
      <w:bookmarkStart w:id="343" w:name="_Toc10714"/>
      <w:bookmarkStart w:id="344" w:name="_Toc35424908"/>
      <w:bookmarkStart w:id="345" w:name="_Toc246996195"/>
      <w:bookmarkStart w:id="346" w:name="_Toc152045550"/>
      <w:bookmarkStart w:id="347" w:name="_Toc324404836"/>
      <w:bookmarkStart w:id="348" w:name="_Toc78803343"/>
      <w:bookmarkStart w:id="349" w:name="_Toc15058867"/>
      <w:bookmarkStart w:id="350" w:name="_Toc296602440"/>
      <w:bookmarkStart w:id="351" w:name="_Toc152042326"/>
      <w:bookmarkStart w:id="352" w:name="_Toc179632568"/>
      <w:r>
        <w:rPr>
          <w:rFonts w:hint="eastAsia" w:ascii="宋体" w:hAnsi="宋体" w:eastAsia="宋体" w:cs="宋体"/>
          <w:color w:val="auto"/>
          <w:highlight w:val="none"/>
        </w:rPr>
        <w:t>3.4 投标保证金</w:t>
      </w:r>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p>
    <w:p w14:paraId="21F374C8">
      <w:pPr>
        <w:spacing w:line="500" w:lineRule="exact"/>
        <w:ind w:left="-420" w:leftChars="-200" w:firstLine="367" w:firstLineChars="175"/>
        <w:jc w:val="left"/>
        <w:rPr>
          <w:rFonts w:ascii="宋体" w:hAnsi="宋体" w:cs="宋体"/>
          <w:color w:val="auto"/>
          <w:szCs w:val="21"/>
          <w:highlight w:val="none"/>
        </w:rPr>
      </w:pPr>
      <w:r>
        <w:rPr>
          <w:rFonts w:hint="eastAsia" w:ascii="宋体" w:hAnsi="宋体" w:cs="宋体"/>
          <w:color w:val="auto"/>
          <w:szCs w:val="21"/>
          <w:highlight w:val="none"/>
        </w:rPr>
        <w:t>3.4.1 本项目不要求缴纳投标保证金。</w:t>
      </w:r>
    </w:p>
    <w:p w14:paraId="48E43DED">
      <w:pPr>
        <w:pStyle w:val="4"/>
        <w:spacing w:line="500" w:lineRule="exact"/>
        <w:ind w:left="-420" w:leftChars="-200" w:firstLine="369" w:firstLineChars="175"/>
        <w:rPr>
          <w:rFonts w:ascii="宋体" w:hAnsi="宋体" w:eastAsia="宋体" w:cs="宋体"/>
          <w:color w:val="auto"/>
          <w:highlight w:val="none"/>
        </w:rPr>
      </w:pPr>
      <w:bookmarkStart w:id="353" w:name="_Toc296602442"/>
      <w:bookmarkStart w:id="354" w:name="_Toc15058868"/>
      <w:bookmarkStart w:id="355" w:name="_Toc324404837"/>
      <w:bookmarkStart w:id="356" w:name="_Toc19037"/>
      <w:bookmarkStart w:id="357" w:name="_Toc35424909"/>
      <w:bookmarkStart w:id="358" w:name="_Toc506107290"/>
      <w:bookmarkStart w:id="359" w:name="_Toc35425075"/>
      <w:bookmarkStart w:id="360" w:name="_Toc78803344"/>
      <w:bookmarkStart w:id="361" w:name="_Toc179632571"/>
      <w:bookmarkStart w:id="362" w:name="_Toc144974521"/>
      <w:bookmarkStart w:id="363" w:name="_Toc246996197"/>
      <w:bookmarkStart w:id="364" w:name="_Toc152045553"/>
      <w:bookmarkStart w:id="365" w:name="_Toc247085711"/>
      <w:bookmarkStart w:id="366" w:name="_Toc246996940"/>
      <w:bookmarkStart w:id="367" w:name="_Toc152042329"/>
      <w:r>
        <w:rPr>
          <w:rFonts w:hint="eastAsia" w:ascii="宋体" w:hAnsi="宋体" w:eastAsia="宋体" w:cs="宋体"/>
          <w:color w:val="auto"/>
          <w:highlight w:val="none"/>
        </w:rPr>
        <w:t>3.5投标文件的编制</w:t>
      </w:r>
      <w:bookmarkEnd w:id="353"/>
      <w:bookmarkEnd w:id="354"/>
      <w:bookmarkEnd w:id="355"/>
      <w:bookmarkEnd w:id="356"/>
      <w:bookmarkEnd w:id="357"/>
      <w:bookmarkEnd w:id="358"/>
      <w:bookmarkEnd w:id="359"/>
      <w:bookmarkEnd w:id="360"/>
    </w:p>
    <w:p w14:paraId="73577AE7">
      <w:pPr>
        <w:spacing w:line="500" w:lineRule="exact"/>
        <w:ind w:left="-420" w:leftChars="-200" w:firstLine="367" w:firstLineChars="175"/>
        <w:jc w:val="left"/>
        <w:rPr>
          <w:rFonts w:ascii="宋体" w:hAnsi="宋体" w:cs="宋体"/>
          <w:color w:val="auto"/>
          <w:szCs w:val="21"/>
          <w:highlight w:val="none"/>
        </w:rPr>
      </w:pPr>
      <w:r>
        <w:rPr>
          <w:rFonts w:hint="eastAsia" w:ascii="宋体" w:hAnsi="宋体" w:cs="宋体"/>
          <w:color w:val="auto"/>
          <w:szCs w:val="21"/>
          <w:highlight w:val="none"/>
        </w:rPr>
        <w:t>3.5.1投标文件应按第六章“投标文件格式”进行编写，如有必要，可以增加附页，作为投标文件的组成部分。其中，投标函在满足招标文件实质性要求的基础上，可以提出比招标文件要求更有利于招标人的承诺。</w:t>
      </w:r>
    </w:p>
    <w:bookmarkEnd w:id="361"/>
    <w:bookmarkEnd w:id="362"/>
    <w:bookmarkEnd w:id="363"/>
    <w:bookmarkEnd w:id="364"/>
    <w:bookmarkEnd w:id="365"/>
    <w:bookmarkEnd w:id="366"/>
    <w:bookmarkEnd w:id="367"/>
    <w:p w14:paraId="37D9D0FB">
      <w:pPr>
        <w:spacing w:line="500" w:lineRule="exact"/>
        <w:ind w:left="-420" w:leftChars="-200" w:firstLine="367" w:firstLineChars="175"/>
        <w:jc w:val="left"/>
        <w:rPr>
          <w:rFonts w:ascii="宋体" w:hAnsi="宋体" w:cs="宋体"/>
          <w:color w:val="auto"/>
          <w:szCs w:val="21"/>
          <w:highlight w:val="none"/>
        </w:rPr>
      </w:pPr>
      <w:bookmarkStart w:id="368" w:name="_Toc144974523"/>
      <w:bookmarkStart w:id="369" w:name="_Toc152045555"/>
      <w:bookmarkStart w:id="370" w:name="_Toc246996942"/>
      <w:bookmarkStart w:id="371" w:name="_Toc179632573"/>
      <w:bookmarkStart w:id="372" w:name="_Toc247085713"/>
      <w:bookmarkStart w:id="373" w:name="_Toc324404838"/>
      <w:bookmarkStart w:id="374" w:name="_Toc152042331"/>
      <w:bookmarkStart w:id="375" w:name="_Toc246996199"/>
      <w:r>
        <w:rPr>
          <w:rFonts w:hint="eastAsia" w:ascii="宋体" w:hAnsi="宋体" w:cs="宋体"/>
          <w:color w:val="auto"/>
          <w:szCs w:val="21"/>
          <w:highlight w:val="none"/>
        </w:rPr>
        <w:t>3.5.2本次投标不需要提供纸质投标文件，投标人应按照电子招标投标的要求，在投标人的电子系统中制作、签章、上传加密的电子投标文件。</w:t>
      </w:r>
    </w:p>
    <w:p w14:paraId="1FE2B003">
      <w:pPr>
        <w:spacing w:line="500" w:lineRule="exact"/>
        <w:ind w:left="-420" w:leftChars="-200" w:firstLine="367" w:firstLineChars="175"/>
        <w:jc w:val="left"/>
        <w:rPr>
          <w:rFonts w:ascii="宋体" w:hAnsi="宋体" w:cs="宋体"/>
          <w:color w:val="auto"/>
          <w:szCs w:val="21"/>
          <w:highlight w:val="none"/>
        </w:rPr>
      </w:pPr>
      <w:r>
        <w:rPr>
          <w:rFonts w:hint="eastAsia" w:ascii="宋体" w:hAnsi="宋体" w:cs="宋体"/>
          <w:color w:val="auto"/>
          <w:szCs w:val="21"/>
          <w:highlight w:val="none"/>
        </w:rPr>
        <w:t>3.5.3投标文件应当对招标文件有关工期、投标有效期、质量要求、技术标准和要求、招标范围等实质性内容作出响应。</w:t>
      </w:r>
    </w:p>
    <w:p w14:paraId="40C57529">
      <w:pPr>
        <w:spacing w:line="500" w:lineRule="exact"/>
        <w:ind w:left="-420" w:leftChars="-200" w:firstLine="367" w:firstLineChars="175"/>
        <w:jc w:val="left"/>
        <w:rPr>
          <w:rFonts w:ascii="宋体" w:hAnsi="宋体" w:cs="宋体"/>
          <w:color w:val="auto"/>
          <w:szCs w:val="21"/>
          <w:highlight w:val="none"/>
        </w:rPr>
      </w:pPr>
      <w:r>
        <w:rPr>
          <w:rFonts w:hint="eastAsia" w:ascii="宋体" w:hAnsi="宋体" w:cs="宋体"/>
          <w:color w:val="auto"/>
          <w:szCs w:val="21"/>
          <w:highlight w:val="none"/>
        </w:rPr>
        <w:t>3.5.4招标人有权核查投标人在投标文件中提供的资料，若在评标期间发现投标人提供了虚假资料，其投标将被否决；若在签订合同前发现作为中标候选人的投标人提供了虚假资料，招标人有权取消其中标资格；如果签订合同后发现中标人提供了虚假材料，招标人有权解除合同。同时招标人将投标人上述弄虚作假行为上报相关部门处理。</w:t>
      </w:r>
    </w:p>
    <w:p w14:paraId="2AC27EC6">
      <w:pPr>
        <w:spacing w:line="500" w:lineRule="exact"/>
        <w:ind w:left="-420" w:leftChars="-200" w:firstLine="367" w:firstLineChars="175"/>
        <w:jc w:val="left"/>
        <w:rPr>
          <w:rFonts w:ascii="宋体" w:hAnsi="宋体" w:cs="宋体"/>
          <w:color w:val="auto"/>
          <w:szCs w:val="21"/>
          <w:highlight w:val="none"/>
        </w:rPr>
      </w:pPr>
      <w:r>
        <w:rPr>
          <w:rFonts w:hint="eastAsia" w:ascii="宋体" w:hAnsi="宋体" w:cs="宋体"/>
          <w:color w:val="auto"/>
          <w:szCs w:val="21"/>
          <w:highlight w:val="none"/>
        </w:rPr>
        <w:t>3.5.5投标文件的制作应满足以下规定：</w:t>
      </w:r>
    </w:p>
    <w:p w14:paraId="22E94A1B">
      <w:pPr>
        <w:numPr>
          <w:ilvl w:val="0"/>
          <w:numId w:val="2"/>
        </w:numPr>
        <w:spacing w:line="500" w:lineRule="exact"/>
        <w:ind w:left="-420" w:leftChars="-200" w:firstLine="367" w:firstLineChars="175"/>
        <w:jc w:val="left"/>
        <w:rPr>
          <w:rFonts w:ascii="宋体" w:hAnsi="宋体" w:cs="宋体"/>
          <w:color w:val="auto"/>
          <w:szCs w:val="21"/>
          <w:highlight w:val="none"/>
        </w:rPr>
      </w:pPr>
      <w:r>
        <w:rPr>
          <w:rFonts w:hint="eastAsia" w:ascii="宋体" w:hAnsi="宋体" w:cs="宋体"/>
          <w:color w:val="auto"/>
          <w:szCs w:val="21"/>
          <w:highlight w:val="none"/>
        </w:rPr>
        <w:t>招标文件中“签章”是指签字或盖章。在第八章“投标文件格式”中要求签章处，投标人应加盖投标人单位电子印章和法定代表人的个人电子印章/电子签名章或直接上传加盖投标人单位印章和法定代表人的印章（或签字）的原件彩色扫描件。</w:t>
      </w:r>
    </w:p>
    <w:p w14:paraId="5DBA98AA">
      <w:pPr>
        <w:spacing w:line="500" w:lineRule="exact"/>
        <w:ind w:left="-420" w:leftChars="-200" w:firstLine="367" w:firstLineChars="175"/>
        <w:jc w:val="left"/>
        <w:rPr>
          <w:rFonts w:ascii="宋体" w:hAnsi="宋体" w:cs="宋体"/>
          <w:color w:val="auto"/>
          <w:szCs w:val="21"/>
          <w:highlight w:val="none"/>
        </w:rPr>
      </w:pPr>
      <w:r>
        <w:rPr>
          <w:rFonts w:hint="eastAsia" w:ascii="宋体" w:hAnsi="宋体" w:cs="宋体"/>
          <w:color w:val="auto"/>
          <w:szCs w:val="21"/>
          <w:highlight w:val="none"/>
        </w:rPr>
        <w:t>（2）投标文件制作完成后，投标人应对投标文件进行文件加密，形成加密的投标文件。采用CA数字证书加密的，加密时投标文件的所有内容均只能使用同一把CA数字证书进行加密，否则引起的解密失败责任由投标人自行承担。</w:t>
      </w:r>
    </w:p>
    <w:p w14:paraId="1F812773">
      <w:pPr>
        <w:spacing w:line="500" w:lineRule="exact"/>
        <w:ind w:left="-420" w:leftChars="-200" w:firstLine="367" w:firstLineChars="175"/>
        <w:jc w:val="left"/>
        <w:rPr>
          <w:rFonts w:ascii="宋体" w:hAnsi="宋体" w:cs="宋体"/>
          <w:color w:val="auto"/>
          <w:szCs w:val="21"/>
          <w:highlight w:val="none"/>
        </w:rPr>
      </w:pPr>
      <w:r>
        <w:rPr>
          <w:rFonts w:hint="eastAsia" w:ascii="宋体" w:hAnsi="宋体" w:cs="宋体"/>
          <w:color w:val="auto"/>
          <w:szCs w:val="21"/>
          <w:highlight w:val="none"/>
        </w:rPr>
        <w:t>3.5.6因投标人自身原因而导致投标文件无法打开、读取，该投标视为无效投标，投标人自行承担由此导致的全部责任。</w:t>
      </w:r>
    </w:p>
    <w:p w14:paraId="7EE3E606">
      <w:pPr>
        <w:spacing w:line="500" w:lineRule="exact"/>
        <w:ind w:left="-420" w:leftChars="-200" w:firstLine="367" w:firstLineChars="175"/>
        <w:jc w:val="left"/>
        <w:rPr>
          <w:rFonts w:ascii="宋体" w:hAnsi="宋体" w:cs="宋体"/>
          <w:color w:val="auto"/>
          <w:szCs w:val="21"/>
          <w:highlight w:val="none"/>
        </w:rPr>
      </w:pPr>
      <w:r>
        <w:rPr>
          <w:rFonts w:hint="eastAsia" w:ascii="宋体" w:hAnsi="宋体" w:cs="宋体"/>
          <w:color w:val="auto"/>
          <w:szCs w:val="21"/>
          <w:highlight w:val="none"/>
        </w:rPr>
        <w:t>3.5.7投标人中标后须递交与网上电子投标文件完全一致的纸质版投标文件，在领取中标通知书时，一并递交给招标代理机构。</w:t>
      </w:r>
    </w:p>
    <w:p w14:paraId="725B66B1">
      <w:pPr>
        <w:pStyle w:val="4"/>
        <w:spacing w:line="500" w:lineRule="exact"/>
        <w:ind w:left="-420" w:leftChars="-200" w:firstLine="422" w:firstLineChars="175"/>
        <w:rPr>
          <w:rFonts w:ascii="宋体" w:hAnsi="宋体" w:eastAsia="宋体" w:cs="宋体"/>
          <w:color w:val="auto"/>
          <w:sz w:val="24"/>
          <w:szCs w:val="24"/>
          <w:highlight w:val="none"/>
        </w:rPr>
      </w:pPr>
      <w:bookmarkStart w:id="376" w:name="_Toc15058869"/>
      <w:bookmarkStart w:id="377" w:name="_Toc35425076"/>
      <w:bookmarkStart w:id="378" w:name="_Toc35424910"/>
      <w:bookmarkStart w:id="379" w:name="_Toc78803345"/>
      <w:bookmarkStart w:id="380" w:name="_Toc19455"/>
      <w:bookmarkStart w:id="381" w:name="_Toc506107291"/>
      <w:r>
        <w:rPr>
          <w:rFonts w:hint="eastAsia" w:ascii="宋体" w:hAnsi="宋体" w:eastAsia="宋体" w:cs="宋体"/>
          <w:color w:val="auto"/>
          <w:sz w:val="24"/>
          <w:szCs w:val="24"/>
          <w:highlight w:val="none"/>
        </w:rPr>
        <w:t>4.投标</w:t>
      </w:r>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p>
    <w:p w14:paraId="65B2DB69">
      <w:pPr>
        <w:pStyle w:val="4"/>
        <w:spacing w:line="500" w:lineRule="exact"/>
        <w:ind w:left="-420" w:leftChars="-200" w:firstLine="369" w:firstLineChars="175"/>
        <w:rPr>
          <w:rFonts w:ascii="宋体" w:hAnsi="宋体" w:eastAsia="宋体" w:cs="宋体"/>
          <w:color w:val="auto"/>
          <w:highlight w:val="none"/>
        </w:rPr>
      </w:pPr>
      <w:bookmarkStart w:id="382" w:name="_Toc14473"/>
      <w:bookmarkStart w:id="383" w:name="_Toc15058870"/>
      <w:bookmarkStart w:id="384" w:name="_Toc78803346"/>
      <w:bookmarkStart w:id="385" w:name="_Toc35424911"/>
      <w:bookmarkStart w:id="386" w:name="_Toc35425077"/>
      <w:r>
        <w:rPr>
          <w:rFonts w:hint="eastAsia" w:ascii="宋体" w:hAnsi="宋体" w:eastAsia="宋体" w:cs="宋体"/>
          <w:color w:val="auto"/>
          <w:highlight w:val="none"/>
        </w:rPr>
        <w:t>4.1投标文件</w:t>
      </w:r>
      <w:bookmarkEnd w:id="382"/>
      <w:bookmarkEnd w:id="383"/>
      <w:bookmarkEnd w:id="384"/>
      <w:bookmarkEnd w:id="385"/>
      <w:bookmarkEnd w:id="386"/>
      <w:r>
        <w:rPr>
          <w:rFonts w:hint="eastAsia" w:ascii="宋体" w:hAnsi="宋体" w:eastAsia="宋体" w:cs="宋体"/>
          <w:color w:val="auto"/>
          <w:highlight w:val="none"/>
        </w:rPr>
        <w:t>的提交</w:t>
      </w:r>
    </w:p>
    <w:p w14:paraId="056CA54C">
      <w:pPr>
        <w:wordWrap w:val="0"/>
        <w:adjustRightInd w:val="0"/>
        <w:snapToGrid w:val="0"/>
        <w:spacing w:line="500" w:lineRule="exact"/>
        <w:ind w:left="-420" w:leftChars="-200" w:firstLine="367" w:firstLineChars="175"/>
        <w:jc w:val="left"/>
        <w:rPr>
          <w:rFonts w:ascii="宋体" w:hAnsi="宋体" w:cs="宋体"/>
          <w:color w:val="auto"/>
          <w:szCs w:val="21"/>
          <w:highlight w:val="none"/>
        </w:rPr>
      </w:pPr>
      <w:r>
        <w:rPr>
          <w:rFonts w:hint="eastAsia" w:ascii="宋体" w:hAnsi="宋体" w:cs="宋体"/>
          <w:color w:val="auto"/>
          <w:szCs w:val="21"/>
          <w:highlight w:val="none"/>
        </w:rPr>
        <w:t>4.1.1加密电子投标文件投标人应在投标截止时间前通过新点电子交易平台后在【滁州专区】（https://www.etrading.cn/BREpointSSO/login/oauth2login?regioncode=DQ_ChuZhou）交易系统递交电子投标文件。</w:t>
      </w:r>
    </w:p>
    <w:p w14:paraId="074C8DB3">
      <w:pPr>
        <w:pStyle w:val="4"/>
        <w:spacing w:line="500" w:lineRule="exact"/>
        <w:ind w:left="-420" w:leftChars="-200" w:firstLine="369" w:firstLineChars="175"/>
        <w:rPr>
          <w:rFonts w:ascii="宋体" w:hAnsi="宋体" w:eastAsia="宋体" w:cs="宋体"/>
          <w:color w:val="auto"/>
          <w:highlight w:val="none"/>
        </w:rPr>
      </w:pPr>
      <w:bookmarkStart w:id="387" w:name="_Toc506107294"/>
      <w:bookmarkStart w:id="388" w:name="_Toc247085716"/>
      <w:bookmarkStart w:id="389" w:name="_Toc296602446"/>
      <w:bookmarkStart w:id="390" w:name="_Toc179632576"/>
      <w:bookmarkStart w:id="391" w:name="_Toc35425080"/>
      <w:bookmarkStart w:id="392" w:name="_Toc78803347"/>
      <w:bookmarkStart w:id="393" w:name="_Toc35424914"/>
      <w:bookmarkStart w:id="394" w:name="_Toc324404841"/>
      <w:bookmarkStart w:id="395" w:name="_Toc246996202"/>
      <w:bookmarkStart w:id="396" w:name="_Toc152045558"/>
      <w:bookmarkStart w:id="397" w:name="_Toc144974526"/>
      <w:bookmarkStart w:id="398" w:name="_Toc152042334"/>
      <w:bookmarkStart w:id="399" w:name="_Toc19572"/>
      <w:bookmarkStart w:id="400" w:name="_Toc246996945"/>
      <w:bookmarkStart w:id="401" w:name="_Toc15058873"/>
      <w:r>
        <w:rPr>
          <w:rFonts w:hint="eastAsia" w:ascii="宋体" w:hAnsi="宋体" w:eastAsia="宋体" w:cs="宋体"/>
          <w:color w:val="auto"/>
          <w:highlight w:val="none"/>
        </w:rPr>
        <w:t>4.2 投标文件的修改与撤回</w:t>
      </w:r>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p>
    <w:p w14:paraId="31F94A42">
      <w:pPr>
        <w:spacing w:line="500" w:lineRule="exact"/>
        <w:ind w:left="-420" w:leftChars="-200" w:firstLine="369" w:firstLineChars="175"/>
        <w:jc w:val="left"/>
        <w:rPr>
          <w:rFonts w:ascii="宋体" w:hAnsi="宋体" w:cs="宋体"/>
          <w:color w:val="auto"/>
          <w:szCs w:val="21"/>
          <w:highlight w:val="none"/>
        </w:rPr>
      </w:pPr>
      <w:r>
        <w:rPr>
          <w:rFonts w:hint="eastAsia" w:ascii="宋体" w:hAnsi="宋体" w:cs="宋体"/>
          <w:b/>
          <w:color w:val="auto"/>
          <w:szCs w:val="21"/>
          <w:highlight w:val="none"/>
        </w:rPr>
        <w:t xml:space="preserve">4.2.1 </w:t>
      </w:r>
      <w:r>
        <w:rPr>
          <w:rFonts w:hint="eastAsia" w:ascii="宋体" w:hAnsi="宋体" w:cs="宋体"/>
          <w:color w:val="auto"/>
          <w:szCs w:val="21"/>
          <w:highlight w:val="none"/>
        </w:rPr>
        <w:t>除投标人须知前附表另有规定外，投标人所递交的投标文件不予退还。</w:t>
      </w:r>
    </w:p>
    <w:p w14:paraId="321ECF97">
      <w:pPr>
        <w:spacing w:line="500" w:lineRule="exact"/>
        <w:ind w:left="-420" w:leftChars="-200" w:firstLine="369" w:firstLineChars="175"/>
        <w:jc w:val="left"/>
        <w:rPr>
          <w:rFonts w:ascii="宋体" w:hAnsi="宋体" w:cs="宋体"/>
          <w:color w:val="auto"/>
          <w:szCs w:val="21"/>
          <w:highlight w:val="none"/>
        </w:rPr>
      </w:pPr>
      <w:r>
        <w:rPr>
          <w:rFonts w:hint="eastAsia" w:ascii="宋体" w:hAnsi="宋体" w:cs="宋体"/>
          <w:b/>
          <w:color w:val="auto"/>
          <w:szCs w:val="21"/>
          <w:highlight w:val="none"/>
        </w:rPr>
        <w:t>4.2.2</w:t>
      </w:r>
      <w:r>
        <w:rPr>
          <w:rFonts w:hint="eastAsia" w:ascii="宋体" w:hAnsi="宋体" w:cs="宋体"/>
          <w:color w:val="auto"/>
          <w:szCs w:val="21"/>
          <w:highlight w:val="none"/>
        </w:rPr>
        <w:t xml:space="preserve"> 在规定的投标截止时间前，投标人可以撤回已递交的投标文件，并可修改后重新递交，开标时以投标截止时间前投标人最终递交的投标文件为准。</w:t>
      </w:r>
    </w:p>
    <w:p w14:paraId="2BDE6009">
      <w:pPr>
        <w:pStyle w:val="4"/>
        <w:spacing w:line="500" w:lineRule="exact"/>
        <w:ind w:left="-420" w:leftChars="-200" w:firstLine="422" w:firstLineChars="175"/>
        <w:rPr>
          <w:rFonts w:ascii="宋体" w:hAnsi="宋体" w:eastAsia="宋体" w:cs="宋体"/>
          <w:color w:val="auto"/>
          <w:sz w:val="24"/>
          <w:szCs w:val="24"/>
          <w:highlight w:val="none"/>
        </w:rPr>
      </w:pPr>
      <w:bookmarkStart w:id="402" w:name="_Toc246996203"/>
      <w:bookmarkStart w:id="403" w:name="_Toc246996946"/>
      <w:bookmarkStart w:id="404" w:name="_Toc35425081"/>
      <w:bookmarkStart w:id="405" w:name="_Toc35424915"/>
      <w:bookmarkStart w:id="406" w:name="_Toc247085717"/>
      <w:bookmarkStart w:id="407" w:name="_Toc179632577"/>
      <w:bookmarkStart w:id="408" w:name="_Toc15058874"/>
      <w:bookmarkStart w:id="409" w:name="_Toc152042335"/>
      <w:bookmarkStart w:id="410" w:name="_Toc324404842"/>
      <w:bookmarkStart w:id="411" w:name="_Toc144974527"/>
      <w:bookmarkStart w:id="412" w:name="_Toc29639"/>
      <w:bookmarkStart w:id="413" w:name="_Toc506107295"/>
      <w:bookmarkStart w:id="414" w:name="_Toc152045559"/>
      <w:bookmarkStart w:id="415" w:name="_Toc78803348"/>
      <w:r>
        <w:rPr>
          <w:rFonts w:hint="eastAsia" w:ascii="宋体" w:hAnsi="宋体" w:eastAsia="宋体" w:cs="宋体"/>
          <w:color w:val="auto"/>
          <w:sz w:val="24"/>
          <w:szCs w:val="24"/>
          <w:highlight w:val="none"/>
        </w:rPr>
        <w:t>5. 开标</w:t>
      </w:r>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p>
    <w:p w14:paraId="510AE073">
      <w:pPr>
        <w:pStyle w:val="4"/>
        <w:spacing w:line="500" w:lineRule="exact"/>
        <w:ind w:left="-420" w:leftChars="-200" w:firstLine="369" w:firstLineChars="175"/>
        <w:rPr>
          <w:rFonts w:ascii="宋体" w:hAnsi="宋体" w:eastAsia="宋体" w:cs="宋体"/>
          <w:color w:val="auto"/>
          <w:highlight w:val="none"/>
        </w:rPr>
      </w:pPr>
      <w:bookmarkStart w:id="416" w:name="_Toc246996204"/>
      <w:bookmarkStart w:id="417" w:name="_Toc35424916"/>
      <w:bookmarkStart w:id="418" w:name="_Toc152045560"/>
      <w:bookmarkStart w:id="419" w:name="_Toc506107296"/>
      <w:bookmarkStart w:id="420" w:name="_Toc152042336"/>
      <w:bookmarkStart w:id="421" w:name="_Toc35425082"/>
      <w:bookmarkStart w:id="422" w:name="_Toc324404843"/>
      <w:bookmarkStart w:id="423" w:name="_Toc179632578"/>
      <w:bookmarkStart w:id="424" w:name="_Toc296602448"/>
      <w:bookmarkStart w:id="425" w:name="_Toc78803349"/>
      <w:bookmarkStart w:id="426" w:name="_Toc247085718"/>
      <w:bookmarkStart w:id="427" w:name="_Toc15058875"/>
      <w:bookmarkStart w:id="428" w:name="_Toc144974528"/>
      <w:bookmarkStart w:id="429" w:name="_Toc246996947"/>
      <w:bookmarkStart w:id="430" w:name="_Toc13691"/>
      <w:r>
        <w:rPr>
          <w:rFonts w:hint="eastAsia" w:ascii="宋体" w:hAnsi="宋体" w:eastAsia="宋体" w:cs="宋体"/>
          <w:color w:val="auto"/>
          <w:highlight w:val="none"/>
        </w:rPr>
        <w:t>5.1 开标时间和地点</w:t>
      </w:r>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p>
    <w:p w14:paraId="3124CD9A">
      <w:pPr>
        <w:spacing w:line="500" w:lineRule="exact"/>
        <w:ind w:left="-420" w:leftChars="-200" w:firstLine="367" w:firstLineChars="175"/>
        <w:jc w:val="left"/>
        <w:rPr>
          <w:rFonts w:ascii="宋体" w:hAnsi="宋体" w:cs="宋体"/>
          <w:color w:val="auto"/>
          <w:szCs w:val="21"/>
          <w:highlight w:val="none"/>
        </w:rPr>
      </w:pPr>
      <w:r>
        <w:rPr>
          <w:rFonts w:hint="eastAsia" w:ascii="宋体" w:hAnsi="宋体" w:cs="宋体"/>
          <w:color w:val="auto"/>
          <w:szCs w:val="21"/>
          <w:highlight w:val="none"/>
        </w:rPr>
        <w:t>招标人在投标人须知前附表规定的投标截止时间（开标时间）和地点公开开标。</w:t>
      </w:r>
    </w:p>
    <w:p w14:paraId="4223BE69">
      <w:pPr>
        <w:pStyle w:val="4"/>
        <w:spacing w:line="500" w:lineRule="exact"/>
        <w:ind w:left="-420" w:leftChars="-200" w:firstLine="369" w:firstLineChars="175"/>
        <w:rPr>
          <w:rFonts w:ascii="宋体" w:hAnsi="宋体" w:eastAsia="宋体" w:cs="宋体"/>
          <w:color w:val="auto"/>
          <w:highlight w:val="none"/>
        </w:rPr>
      </w:pPr>
      <w:bookmarkStart w:id="431" w:name="_Toc152042337"/>
      <w:bookmarkStart w:id="432" w:name="_Toc247085719"/>
      <w:bookmarkStart w:id="433" w:name="_Toc32451"/>
      <w:bookmarkStart w:id="434" w:name="_Toc296602449"/>
      <w:bookmarkStart w:id="435" w:name="_Toc144974529"/>
      <w:bookmarkStart w:id="436" w:name="_Toc246996205"/>
      <w:bookmarkStart w:id="437" w:name="_Toc324404844"/>
      <w:bookmarkStart w:id="438" w:name="_Toc35425083"/>
      <w:bookmarkStart w:id="439" w:name="_Toc15058876"/>
      <w:bookmarkStart w:id="440" w:name="_Toc179632579"/>
      <w:bookmarkStart w:id="441" w:name="_Toc152045561"/>
      <w:bookmarkStart w:id="442" w:name="_Toc246996948"/>
      <w:bookmarkStart w:id="443" w:name="_Toc506107297"/>
      <w:bookmarkStart w:id="444" w:name="_Toc78803350"/>
      <w:bookmarkStart w:id="445" w:name="_Toc35424917"/>
      <w:r>
        <w:rPr>
          <w:rFonts w:hint="eastAsia" w:ascii="宋体" w:hAnsi="宋体" w:eastAsia="宋体" w:cs="宋体"/>
          <w:color w:val="auto"/>
          <w:highlight w:val="none"/>
        </w:rPr>
        <w:t>5.2 开标程序</w:t>
      </w:r>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p>
    <w:p w14:paraId="08C3191E">
      <w:pPr>
        <w:spacing w:line="500" w:lineRule="exact"/>
        <w:ind w:left="-420" w:leftChars="-200" w:firstLine="367" w:firstLineChars="175"/>
        <w:jc w:val="left"/>
        <w:rPr>
          <w:rFonts w:ascii="宋体" w:hAnsi="宋体" w:cs="宋体"/>
          <w:color w:val="auto"/>
          <w:szCs w:val="21"/>
          <w:highlight w:val="none"/>
        </w:rPr>
      </w:pPr>
      <w:r>
        <w:rPr>
          <w:rFonts w:hint="eastAsia" w:ascii="宋体" w:hAnsi="宋体" w:cs="宋体"/>
          <w:color w:val="auto"/>
          <w:szCs w:val="21"/>
          <w:highlight w:val="none"/>
        </w:rPr>
        <w:t>主持人按下列程序进行开标：</w:t>
      </w:r>
      <w:bookmarkStart w:id="446" w:name="_Toc324404845"/>
      <w:bookmarkStart w:id="447" w:name="_Toc296602450"/>
    </w:p>
    <w:p w14:paraId="51978B40">
      <w:pPr>
        <w:spacing w:line="500" w:lineRule="exact"/>
        <w:ind w:left="-420" w:leftChars="-200" w:firstLine="367" w:firstLineChars="175"/>
        <w:jc w:val="left"/>
        <w:rPr>
          <w:rFonts w:ascii="宋体" w:hAnsi="宋体" w:cs="宋体"/>
          <w:color w:val="auto"/>
          <w:szCs w:val="21"/>
          <w:highlight w:val="none"/>
        </w:rPr>
      </w:pPr>
      <w:bookmarkStart w:id="448" w:name="_Toc15058877"/>
      <w:bookmarkStart w:id="449" w:name="_Toc506107298"/>
      <w:r>
        <w:rPr>
          <w:rFonts w:hint="eastAsia" w:ascii="宋体" w:hAnsi="宋体" w:cs="宋体"/>
          <w:color w:val="auto"/>
          <w:szCs w:val="21"/>
          <w:highlight w:val="none"/>
        </w:rPr>
        <w:t>（1）宣布开标纪律；</w:t>
      </w:r>
      <w:bookmarkEnd w:id="448"/>
    </w:p>
    <w:p w14:paraId="3FD75266">
      <w:pPr>
        <w:spacing w:line="500" w:lineRule="exact"/>
        <w:ind w:left="-420" w:leftChars="-200" w:firstLine="367" w:firstLineChars="175"/>
        <w:jc w:val="left"/>
        <w:rPr>
          <w:rFonts w:ascii="宋体" w:hAnsi="宋体" w:cs="宋体"/>
          <w:color w:val="auto"/>
          <w:szCs w:val="21"/>
          <w:highlight w:val="none"/>
        </w:rPr>
      </w:pPr>
      <w:bookmarkStart w:id="450" w:name="_Toc15058878"/>
      <w:r>
        <w:rPr>
          <w:rFonts w:hint="eastAsia" w:ascii="宋体" w:hAnsi="宋体" w:cs="宋体"/>
          <w:color w:val="auto"/>
          <w:szCs w:val="21"/>
          <w:highlight w:val="none"/>
        </w:rPr>
        <w:t>（2）宣布招标人、代理机构主持人等有关人员姓名；</w:t>
      </w:r>
      <w:bookmarkEnd w:id="450"/>
    </w:p>
    <w:p w14:paraId="6C6CA1B8">
      <w:pPr>
        <w:spacing w:line="500" w:lineRule="exact"/>
        <w:ind w:left="-420" w:leftChars="-200" w:firstLine="367" w:firstLineChars="175"/>
        <w:jc w:val="left"/>
        <w:rPr>
          <w:rFonts w:ascii="宋体" w:hAnsi="宋体" w:cs="宋体"/>
          <w:color w:val="auto"/>
          <w:szCs w:val="21"/>
          <w:highlight w:val="none"/>
        </w:rPr>
      </w:pPr>
      <w:bookmarkStart w:id="451" w:name="_Toc15058881"/>
      <w:r>
        <w:rPr>
          <w:rFonts w:hint="eastAsia" w:ascii="宋体" w:hAnsi="宋体" w:cs="宋体"/>
          <w:color w:val="auto"/>
          <w:szCs w:val="21"/>
          <w:highlight w:val="none"/>
        </w:rPr>
        <w:t>（3）公布投标人投标报价、质量目标、工期及其他内容，并记录在案；</w:t>
      </w:r>
      <w:bookmarkEnd w:id="451"/>
    </w:p>
    <w:p w14:paraId="42F358A2">
      <w:pPr>
        <w:spacing w:line="500" w:lineRule="exact"/>
        <w:ind w:left="-420" w:leftChars="-200" w:firstLine="367" w:firstLineChars="175"/>
        <w:jc w:val="left"/>
        <w:rPr>
          <w:rFonts w:ascii="宋体" w:hAnsi="宋体" w:cs="宋体"/>
          <w:color w:val="auto"/>
          <w:szCs w:val="21"/>
          <w:highlight w:val="none"/>
        </w:rPr>
      </w:pPr>
      <w:bookmarkStart w:id="452" w:name="_Toc15058882"/>
      <w:r>
        <w:rPr>
          <w:rFonts w:hint="eastAsia" w:ascii="宋体" w:hAnsi="宋体" w:cs="宋体"/>
          <w:color w:val="auto"/>
          <w:szCs w:val="21"/>
          <w:highlight w:val="none"/>
        </w:rPr>
        <w:t>（4）开标结束。</w:t>
      </w:r>
      <w:bookmarkEnd w:id="452"/>
    </w:p>
    <w:bookmarkEnd w:id="446"/>
    <w:bookmarkEnd w:id="447"/>
    <w:bookmarkEnd w:id="449"/>
    <w:p w14:paraId="6313011D">
      <w:pPr>
        <w:pStyle w:val="4"/>
        <w:spacing w:line="500" w:lineRule="exact"/>
        <w:ind w:left="-420" w:leftChars="-200" w:firstLine="422" w:firstLineChars="175"/>
        <w:rPr>
          <w:rFonts w:ascii="宋体" w:hAnsi="宋体" w:eastAsia="宋体" w:cs="宋体"/>
          <w:color w:val="auto"/>
          <w:sz w:val="24"/>
          <w:szCs w:val="24"/>
          <w:highlight w:val="none"/>
        </w:rPr>
      </w:pPr>
      <w:bookmarkStart w:id="453" w:name="_Toc35424919"/>
      <w:bookmarkStart w:id="454" w:name="_Toc246996949"/>
      <w:bookmarkStart w:id="455" w:name="_Toc144974530"/>
      <w:bookmarkStart w:id="456" w:name="_Toc15058884"/>
      <w:bookmarkStart w:id="457" w:name="_Toc35425085"/>
      <w:bookmarkStart w:id="458" w:name="_Toc152045562"/>
      <w:bookmarkStart w:id="459" w:name="_Toc324404846"/>
      <w:bookmarkStart w:id="460" w:name="_Toc152042338"/>
      <w:bookmarkStart w:id="461" w:name="_Toc247085720"/>
      <w:bookmarkStart w:id="462" w:name="_Toc20689"/>
      <w:bookmarkStart w:id="463" w:name="_Toc179632580"/>
      <w:bookmarkStart w:id="464" w:name="_Toc78803352"/>
      <w:bookmarkStart w:id="465" w:name="_Toc506107299"/>
      <w:bookmarkStart w:id="466" w:name="_Toc246996206"/>
      <w:r>
        <w:rPr>
          <w:rFonts w:hint="eastAsia" w:ascii="宋体" w:hAnsi="宋体" w:eastAsia="宋体" w:cs="宋体"/>
          <w:color w:val="auto"/>
          <w:sz w:val="24"/>
          <w:szCs w:val="24"/>
          <w:highlight w:val="none"/>
        </w:rPr>
        <w:t>6. 评标</w:t>
      </w:r>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p>
    <w:p w14:paraId="54DA7C81">
      <w:pPr>
        <w:pStyle w:val="4"/>
        <w:spacing w:line="500" w:lineRule="exact"/>
        <w:ind w:left="-420" w:leftChars="-200" w:firstLine="369" w:firstLineChars="175"/>
        <w:rPr>
          <w:rFonts w:ascii="宋体" w:hAnsi="宋体" w:eastAsia="宋体" w:cs="宋体"/>
          <w:color w:val="auto"/>
          <w:highlight w:val="none"/>
        </w:rPr>
      </w:pPr>
      <w:bookmarkStart w:id="467" w:name="_Toc246996207"/>
      <w:bookmarkStart w:id="468" w:name="_Toc296602452"/>
      <w:bookmarkStart w:id="469" w:name="_Toc15058885"/>
      <w:bookmarkStart w:id="470" w:name="_Toc78803353"/>
      <w:bookmarkStart w:id="471" w:name="_Toc179632581"/>
      <w:bookmarkStart w:id="472" w:name="_Toc152045563"/>
      <w:bookmarkStart w:id="473" w:name="_Toc35424920"/>
      <w:bookmarkStart w:id="474" w:name="_Toc324404847"/>
      <w:bookmarkStart w:id="475" w:name="_Toc152042339"/>
      <w:bookmarkStart w:id="476" w:name="_Toc35425086"/>
      <w:bookmarkStart w:id="477" w:name="_Toc506107300"/>
      <w:bookmarkStart w:id="478" w:name="_Toc14249"/>
      <w:bookmarkStart w:id="479" w:name="_Toc246996950"/>
      <w:bookmarkStart w:id="480" w:name="_Toc247085721"/>
      <w:bookmarkStart w:id="481" w:name="_Toc144974531"/>
      <w:r>
        <w:rPr>
          <w:rFonts w:hint="eastAsia" w:ascii="宋体" w:hAnsi="宋体" w:eastAsia="宋体" w:cs="宋体"/>
          <w:color w:val="auto"/>
          <w:highlight w:val="none"/>
        </w:rPr>
        <w:t>6.1 评标委员会</w:t>
      </w:r>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p>
    <w:p w14:paraId="5D302D81">
      <w:pPr>
        <w:spacing w:line="500" w:lineRule="exact"/>
        <w:ind w:left="-420" w:leftChars="-200" w:firstLine="367" w:firstLineChars="175"/>
        <w:jc w:val="left"/>
        <w:rPr>
          <w:rFonts w:ascii="宋体" w:hAnsi="宋体" w:cs="宋体"/>
          <w:color w:val="auto"/>
          <w:szCs w:val="21"/>
          <w:highlight w:val="none"/>
        </w:rPr>
      </w:pPr>
      <w:r>
        <w:rPr>
          <w:rFonts w:hint="eastAsia" w:ascii="宋体" w:hAnsi="宋体" w:cs="宋体"/>
          <w:color w:val="auto"/>
          <w:szCs w:val="21"/>
          <w:highlight w:val="none"/>
        </w:rPr>
        <w:t>6.1.1 评标由招标人依法组建的评标委员会负责。评标委员会由招标人或其委托的招标代理机构熟悉相关业务的代表，以及有关技术、经济等方面的专家组成。</w:t>
      </w:r>
    </w:p>
    <w:p w14:paraId="67F13ABD">
      <w:pPr>
        <w:spacing w:line="500" w:lineRule="exact"/>
        <w:ind w:left="-420" w:leftChars="-200" w:firstLine="367" w:firstLineChars="175"/>
        <w:jc w:val="left"/>
        <w:rPr>
          <w:rFonts w:ascii="宋体" w:hAnsi="宋体" w:cs="宋体"/>
          <w:color w:val="auto"/>
          <w:szCs w:val="21"/>
          <w:highlight w:val="none"/>
        </w:rPr>
      </w:pPr>
      <w:r>
        <w:rPr>
          <w:rFonts w:hint="eastAsia" w:ascii="宋体" w:hAnsi="宋体" w:cs="宋体"/>
          <w:color w:val="auto"/>
          <w:szCs w:val="21"/>
          <w:highlight w:val="none"/>
        </w:rPr>
        <w:t>6.1.2 评标委员会成员有下列情形之一的，应当回避：</w:t>
      </w:r>
    </w:p>
    <w:p w14:paraId="2EE7C913">
      <w:pPr>
        <w:spacing w:line="500" w:lineRule="exact"/>
        <w:ind w:left="-420" w:leftChars="-200" w:firstLine="367" w:firstLineChars="175"/>
        <w:jc w:val="left"/>
        <w:rPr>
          <w:rFonts w:ascii="宋体" w:hAnsi="宋体" w:cs="宋体"/>
          <w:color w:val="auto"/>
          <w:szCs w:val="21"/>
          <w:highlight w:val="none"/>
        </w:rPr>
      </w:pPr>
      <w:r>
        <w:rPr>
          <w:rFonts w:hint="eastAsia" w:ascii="宋体" w:hAnsi="宋体" w:cs="宋体"/>
          <w:color w:val="auto"/>
          <w:szCs w:val="21"/>
          <w:highlight w:val="none"/>
        </w:rPr>
        <w:t>（1）投标人或投标人主要负责人的近亲属；</w:t>
      </w:r>
    </w:p>
    <w:p w14:paraId="08C76472">
      <w:pPr>
        <w:spacing w:line="500" w:lineRule="exact"/>
        <w:ind w:left="-420" w:leftChars="-200" w:firstLine="367" w:firstLineChars="175"/>
        <w:jc w:val="left"/>
        <w:rPr>
          <w:rFonts w:ascii="宋体" w:hAnsi="宋体" w:cs="宋体"/>
          <w:color w:val="auto"/>
          <w:szCs w:val="21"/>
          <w:highlight w:val="none"/>
        </w:rPr>
      </w:pPr>
      <w:r>
        <w:rPr>
          <w:rFonts w:hint="eastAsia" w:ascii="宋体" w:hAnsi="宋体" w:cs="宋体"/>
          <w:color w:val="auto"/>
          <w:szCs w:val="21"/>
          <w:highlight w:val="none"/>
        </w:rPr>
        <w:t>（2）项目主管部门或者行政监督部门的人员；</w:t>
      </w:r>
    </w:p>
    <w:p w14:paraId="1F5B566C">
      <w:pPr>
        <w:spacing w:line="500" w:lineRule="exact"/>
        <w:ind w:left="-420" w:leftChars="-200" w:firstLine="367" w:firstLineChars="175"/>
        <w:jc w:val="left"/>
        <w:rPr>
          <w:rFonts w:ascii="宋体" w:hAnsi="宋体" w:cs="宋体"/>
          <w:color w:val="auto"/>
          <w:szCs w:val="21"/>
          <w:highlight w:val="none"/>
        </w:rPr>
      </w:pPr>
      <w:r>
        <w:rPr>
          <w:rFonts w:hint="eastAsia" w:ascii="宋体" w:hAnsi="宋体" w:cs="宋体"/>
          <w:color w:val="auto"/>
          <w:szCs w:val="21"/>
          <w:highlight w:val="none"/>
        </w:rPr>
        <w:t>（3）与投标人有经济利益关系；</w:t>
      </w:r>
    </w:p>
    <w:p w14:paraId="47ED3E29">
      <w:pPr>
        <w:spacing w:line="500" w:lineRule="exact"/>
        <w:ind w:left="-420" w:leftChars="-200" w:firstLine="367" w:firstLineChars="175"/>
        <w:jc w:val="left"/>
        <w:rPr>
          <w:rFonts w:ascii="宋体" w:hAnsi="宋体" w:cs="宋体"/>
          <w:color w:val="auto"/>
          <w:szCs w:val="21"/>
          <w:highlight w:val="none"/>
        </w:rPr>
      </w:pPr>
      <w:r>
        <w:rPr>
          <w:rFonts w:hint="eastAsia" w:ascii="宋体" w:hAnsi="宋体" w:cs="宋体"/>
          <w:color w:val="auto"/>
          <w:szCs w:val="21"/>
          <w:highlight w:val="none"/>
        </w:rPr>
        <w:t>（4）曾因在招标、评标以及其他与招标投标有关活动中从事违法行为而受过行政处罚或刑事处罚的；</w:t>
      </w:r>
    </w:p>
    <w:p w14:paraId="4B934D3F">
      <w:pPr>
        <w:spacing w:line="500" w:lineRule="exact"/>
        <w:ind w:left="-420" w:leftChars="-200" w:firstLine="367" w:firstLineChars="175"/>
        <w:jc w:val="left"/>
        <w:rPr>
          <w:rFonts w:ascii="宋体" w:hAnsi="宋体" w:cs="宋体"/>
          <w:color w:val="auto"/>
          <w:szCs w:val="21"/>
          <w:highlight w:val="none"/>
        </w:rPr>
      </w:pPr>
      <w:r>
        <w:rPr>
          <w:rFonts w:hint="eastAsia" w:ascii="宋体" w:hAnsi="宋体" w:cs="宋体"/>
          <w:color w:val="auto"/>
          <w:szCs w:val="21"/>
          <w:highlight w:val="none"/>
        </w:rPr>
        <w:t>（5）与投标人有其他利害关系。</w:t>
      </w:r>
    </w:p>
    <w:p w14:paraId="298B5627">
      <w:pPr>
        <w:spacing w:line="500" w:lineRule="exact"/>
        <w:ind w:left="-420" w:leftChars="-200" w:firstLine="367" w:firstLineChars="175"/>
        <w:jc w:val="left"/>
        <w:rPr>
          <w:rFonts w:ascii="宋体" w:hAnsi="宋体" w:cs="宋体"/>
          <w:color w:val="auto"/>
          <w:szCs w:val="21"/>
          <w:highlight w:val="none"/>
        </w:rPr>
      </w:pPr>
      <w:r>
        <w:rPr>
          <w:rFonts w:hint="eastAsia" w:ascii="宋体" w:hAnsi="宋体" w:cs="宋体"/>
          <w:color w:val="auto"/>
          <w:szCs w:val="21"/>
          <w:highlight w:val="none"/>
        </w:rPr>
        <w:t>6.1.3评标过程中，评标委员会成员有回避事由、擅离职守或因健康等原因不能继续评标的， 招标人有权更换。被更换的评标委员会成员作出的评审结论无效，由更换后的评标委员会成员重新进行评审。</w:t>
      </w:r>
    </w:p>
    <w:p w14:paraId="2735FE0E">
      <w:pPr>
        <w:pStyle w:val="4"/>
        <w:spacing w:line="500" w:lineRule="exact"/>
        <w:ind w:left="-420" w:leftChars="-200" w:firstLine="369" w:firstLineChars="175"/>
        <w:rPr>
          <w:rFonts w:ascii="宋体" w:hAnsi="宋体" w:eastAsia="宋体" w:cs="宋体"/>
          <w:color w:val="auto"/>
          <w:highlight w:val="none"/>
        </w:rPr>
      </w:pPr>
      <w:bookmarkStart w:id="482" w:name="_Toc506107301"/>
      <w:bookmarkStart w:id="483" w:name="_Toc247085722"/>
      <w:bookmarkStart w:id="484" w:name="_Toc78803354"/>
      <w:bookmarkStart w:id="485" w:name="_Toc152042340"/>
      <w:bookmarkStart w:id="486" w:name="_Toc296602453"/>
      <w:bookmarkStart w:id="487" w:name="_Toc246996208"/>
      <w:bookmarkStart w:id="488" w:name="_Toc144974532"/>
      <w:bookmarkStart w:id="489" w:name="_Toc15058886"/>
      <w:bookmarkStart w:id="490" w:name="_Toc152045564"/>
      <w:bookmarkStart w:id="491" w:name="_Toc324404848"/>
      <w:bookmarkStart w:id="492" w:name="_Toc12948"/>
      <w:bookmarkStart w:id="493" w:name="_Toc246996951"/>
      <w:bookmarkStart w:id="494" w:name="_Toc35425087"/>
      <w:bookmarkStart w:id="495" w:name="_Toc35424921"/>
      <w:bookmarkStart w:id="496" w:name="_Toc179632582"/>
      <w:r>
        <w:rPr>
          <w:rFonts w:hint="eastAsia" w:ascii="宋体" w:hAnsi="宋体" w:eastAsia="宋体" w:cs="宋体"/>
          <w:color w:val="auto"/>
          <w:highlight w:val="none"/>
        </w:rPr>
        <w:t>6.2 评标原则</w:t>
      </w:r>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p>
    <w:p w14:paraId="7EE452AC">
      <w:pPr>
        <w:spacing w:line="500" w:lineRule="exact"/>
        <w:ind w:left="-420" w:leftChars="-200" w:firstLine="367" w:firstLineChars="175"/>
        <w:jc w:val="left"/>
        <w:rPr>
          <w:rFonts w:ascii="宋体" w:hAnsi="宋体" w:cs="宋体"/>
          <w:color w:val="auto"/>
          <w:szCs w:val="21"/>
          <w:highlight w:val="none"/>
        </w:rPr>
      </w:pPr>
      <w:r>
        <w:rPr>
          <w:rFonts w:hint="eastAsia" w:ascii="宋体" w:hAnsi="宋体" w:cs="宋体"/>
          <w:color w:val="auto"/>
          <w:szCs w:val="21"/>
          <w:highlight w:val="none"/>
        </w:rPr>
        <w:t>评标活动遵循公平、公正、科学和择优的原则。</w:t>
      </w:r>
    </w:p>
    <w:p w14:paraId="7CE5496D">
      <w:pPr>
        <w:pStyle w:val="4"/>
        <w:spacing w:line="500" w:lineRule="exact"/>
        <w:ind w:left="-420" w:leftChars="-200" w:firstLine="369" w:firstLineChars="175"/>
        <w:rPr>
          <w:rFonts w:ascii="宋体" w:hAnsi="宋体" w:eastAsia="宋体" w:cs="宋体"/>
          <w:color w:val="auto"/>
          <w:highlight w:val="none"/>
        </w:rPr>
      </w:pPr>
      <w:bookmarkStart w:id="497" w:name="_Toc506107302"/>
      <w:bookmarkStart w:id="498" w:name="_Toc324404849"/>
      <w:bookmarkStart w:id="499" w:name="_Toc247085723"/>
      <w:bookmarkStart w:id="500" w:name="_Toc35424922"/>
      <w:bookmarkStart w:id="501" w:name="_Toc246996209"/>
      <w:bookmarkStart w:id="502" w:name="_Toc179632583"/>
      <w:bookmarkStart w:id="503" w:name="_Toc152042341"/>
      <w:bookmarkStart w:id="504" w:name="_Toc35425088"/>
      <w:bookmarkStart w:id="505" w:name="_Toc15058887"/>
      <w:bookmarkStart w:id="506" w:name="_Toc14892"/>
      <w:bookmarkStart w:id="507" w:name="_Toc78803355"/>
      <w:bookmarkStart w:id="508" w:name="_Toc152045565"/>
      <w:bookmarkStart w:id="509" w:name="_Toc144974533"/>
      <w:bookmarkStart w:id="510" w:name="_Toc296602454"/>
      <w:bookmarkStart w:id="511" w:name="_Toc246996952"/>
      <w:r>
        <w:rPr>
          <w:rFonts w:hint="eastAsia" w:ascii="宋体" w:hAnsi="宋体" w:eastAsia="宋体" w:cs="宋体"/>
          <w:color w:val="auto"/>
          <w:highlight w:val="none"/>
        </w:rPr>
        <w:t>6.3 评标</w:t>
      </w:r>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p>
    <w:p w14:paraId="78349699">
      <w:pPr>
        <w:spacing w:line="500" w:lineRule="exact"/>
        <w:ind w:left="-420" w:leftChars="-200" w:firstLine="367" w:firstLineChars="175"/>
        <w:jc w:val="left"/>
        <w:rPr>
          <w:rFonts w:ascii="宋体" w:hAnsi="宋体" w:cs="宋体"/>
          <w:color w:val="auto"/>
          <w:szCs w:val="21"/>
          <w:highlight w:val="none"/>
        </w:rPr>
      </w:pPr>
      <w:bookmarkStart w:id="512" w:name="_Toc246996210"/>
      <w:bookmarkStart w:id="513" w:name="_Toc152045566"/>
      <w:bookmarkStart w:id="514" w:name="_Toc179632584"/>
      <w:bookmarkStart w:id="515" w:name="_Toc144974534"/>
      <w:bookmarkStart w:id="516" w:name="_Toc324404850"/>
      <w:bookmarkStart w:id="517" w:name="_Toc246996953"/>
      <w:bookmarkStart w:id="518" w:name="_Toc247085724"/>
      <w:bookmarkStart w:id="519" w:name="_Toc152042342"/>
      <w:r>
        <w:rPr>
          <w:rFonts w:hint="eastAsia" w:ascii="宋体" w:hAnsi="宋体" w:cs="宋体"/>
          <w:color w:val="auto"/>
          <w:szCs w:val="21"/>
          <w:highlight w:val="none"/>
        </w:rPr>
        <w:t>6.3.1评标委员会按照第三章“评标办法”规定的方法、评审因素、标准和程序对投标文件进行评审。第三章“评标办法”没有规定的方法、评审因素和标准，不作为评标依据。</w:t>
      </w:r>
    </w:p>
    <w:p w14:paraId="55DF9292">
      <w:pPr>
        <w:spacing w:line="500" w:lineRule="exact"/>
        <w:ind w:left="-420" w:leftChars="-200" w:firstLine="367" w:firstLineChars="175"/>
        <w:jc w:val="left"/>
        <w:rPr>
          <w:rFonts w:ascii="宋体" w:hAnsi="宋体" w:cs="宋体"/>
          <w:color w:val="auto"/>
          <w:szCs w:val="21"/>
          <w:highlight w:val="none"/>
        </w:rPr>
      </w:pPr>
      <w:r>
        <w:rPr>
          <w:rFonts w:hint="eastAsia" w:ascii="宋体" w:hAnsi="宋体" w:cs="宋体"/>
          <w:color w:val="auto"/>
          <w:szCs w:val="21"/>
          <w:highlight w:val="none"/>
        </w:rPr>
        <w:t>6.3.2评标完成后，评标委员会应向招标人提交书面评标报告和中标候选人名单。评标委员会推荐中标候选人的人数见投标人须知前附表。</w:t>
      </w:r>
    </w:p>
    <w:p w14:paraId="288D1EB9">
      <w:pPr>
        <w:pStyle w:val="4"/>
        <w:spacing w:line="500" w:lineRule="exact"/>
        <w:ind w:left="-420" w:leftChars="-200" w:firstLine="422" w:firstLineChars="175"/>
        <w:rPr>
          <w:rFonts w:ascii="宋体" w:hAnsi="宋体" w:eastAsia="宋体" w:cs="宋体"/>
          <w:color w:val="auto"/>
          <w:sz w:val="24"/>
          <w:szCs w:val="24"/>
          <w:highlight w:val="none"/>
        </w:rPr>
      </w:pPr>
      <w:bookmarkStart w:id="520" w:name="_Toc78803356"/>
      <w:bookmarkStart w:id="521" w:name="_Toc15058888"/>
      <w:bookmarkStart w:id="522" w:name="_Toc26182"/>
      <w:bookmarkStart w:id="523" w:name="_Toc35424923"/>
      <w:bookmarkStart w:id="524" w:name="_Toc35425089"/>
      <w:bookmarkStart w:id="525" w:name="_Toc506107303"/>
      <w:r>
        <w:rPr>
          <w:rFonts w:hint="eastAsia" w:ascii="宋体" w:hAnsi="宋体" w:eastAsia="宋体" w:cs="宋体"/>
          <w:color w:val="auto"/>
          <w:sz w:val="24"/>
          <w:szCs w:val="24"/>
          <w:highlight w:val="none"/>
        </w:rPr>
        <w:t>7. 合同授予</w:t>
      </w:r>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p>
    <w:p w14:paraId="5BC8EB3B">
      <w:pPr>
        <w:pStyle w:val="4"/>
        <w:spacing w:line="500" w:lineRule="exact"/>
        <w:ind w:left="-420" w:leftChars="-200" w:firstLine="369" w:firstLineChars="175"/>
        <w:rPr>
          <w:rFonts w:ascii="宋体" w:hAnsi="宋体" w:eastAsia="宋体" w:cs="宋体"/>
          <w:color w:val="auto"/>
          <w:highlight w:val="none"/>
        </w:rPr>
      </w:pPr>
      <w:bookmarkStart w:id="526" w:name="_Toc15058890"/>
      <w:bookmarkStart w:id="527" w:name="_Toc83301726"/>
      <w:bookmarkStart w:id="528" w:name="_Toc296602457"/>
      <w:bookmarkStart w:id="529" w:name="_Toc95223374"/>
      <w:bookmarkStart w:id="530" w:name="_Toc506107305"/>
      <w:bookmarkStart w:id="531" w:name="_Toc324404852"/>
      <w:bookmarkStart w:id="532" w:name="_Toc60061472"/>
      <w:bookmarkStart w:id="533" w:name="_Toc4204"/>
      <w:bookmarkStart w:id="534" w:name="_Toc152042344"/>
      <w:bookmarkStart w:id="535" w:name="_Toc35424927"/>
      <w:bookmarkStart w:id="536" w:name="_Toc246996955"/>
      <w:bookmarkStart w:id="537" w:name="_Toc14692"/>
      <w:bookmarkStart w:id="538" w:name="_Toc247085726"/>
      <w:bookmarkStart w:id="539" w:name="_Toc296602458"/>
      <w:bookmarkStart w:id="540" w:name="_Toc179632586"/>
      <w:bookmarkStart w:id="541" w:name="_Toc246996212"/>
      <w:bookmarkStart w:id="542" w:name="_Toc324404853"/>
      <w:bookmarkStart w:id="543" w:name="_Toc506107306"/>
      <w:bookmarkStart w:id="544" w:name="_Toc35425093"/>
      <w:bookmarkStart w:id="545" w:name="_Toc78803360"/>
      <w:bookmarkStart w:id="546" w:name="_Toc152045568"/>
      <w:bookmarkStart w:id="547" w:name="_Toc144974536"/>
      <w:bookmarkStart w:id="548" w:name="_Toc15058891"/>
      <w:r>
        <w:rPr>
          <w:rFonts w:hint="eastAsia" w:ascii="宋体" w:hAnsi="宋体" w:eastAsia="宋体" w:cs="宋体"/>
          <w:color w:val="auto"/>
          <w:highlight w:val="none"/>
        </w:rPr>
        <w:t>7.1 中标候选人公示</w:t>
      </w:r>
      <w:bookmarkEnd w:id="526"/>
      <w:bookmarkEnd w:id="527"/>
      <w:bookmarkEnd w:id="528"/>
      <w:bookmarkEnd w:id="529"/>
      <w:bookmarkEnd w:id="530"/>
      <w:bookmarkEnd w:id="531"/>
      <w:bookmarkEnd w:id="532"/>
    </w:p>
    <w:p w14:paraId="6FCC9F22">
      <w:pPr>
        <w:spacing w:line="500" w:lineRule="exact"/>
        <w:ind w:left="-420" w:leftChars="-200" w:firstLine="367" w:firstLineChars="175"/>
        <w:jc w:val="left"/>
        <w:rPr>
          <w:rFonts w:ascii="宋体" w:hAnsi="宋体" w:cs="宋体"/>
          <w:color w:val="auto"/>
          <w:szCs w:val="21"/>
          <w:highlight w:val="none"/>
        </w:rPr>
      </w:pPr>
      <w:r>
        <w:rPr>
          <w:rFonts w:hint="eastAsia" w:ascii="宋体" w:hAnsi="宋体" w:cs="宋体"/>
          <w:color w:val="auto"/>
          <w:szCs w:val="21"/>
          <w:highlight w:val="none"/>
        </w:rPr>
        <w:t>招标人在收到评标报告之日起3日内，按照投标人须知前附表规定的公示媒介和期限依法公示。中标候选人公示期不得少于3日。</w:t>
      </w:r>
    </w:p>
    <w:p w14:paraId="4DF529C1">
      <w:pPr>
        <w:pStyle w:val="4"/>
        <w:spacing w:line="500" w:lineRule="exact"/>
        <w:ind w:left="-420" w:leftChars="-200" w:firstLine="369" w:firstLineChars="175"/>
        <w:rPr>
          <w:rFonts w:ascii="宋体" w:hAnsi="宋体" w:eastAsia="宋体" w:cs="宋体"/>
          <w:color w:val="auto"/>
          <w:highlight w:val="none"/>
        </w:rPr>
      </w:pPr>
      <w:r>
        <w:rPr>
          <w:rFonts w:hint="eastAsia" w:ascii="宋体" w:hAnsi="宋体" w:eastAsia="宋体" w:cs="宋体"/>
          <w:color w:val="auto"/>
          <w:highlight w:val="none"/>
        </w:rPr>
        <w:t>7.2 评标结果异议</w:t>
      </w:r>
    </w:p>
    <w:p w14:paraId="44ADA9DE">
      <w:pPr>
        <w:spacing w:line="500" w:lineRule="exact"/>
        <w:ind w:left="-420" w:leftChars="-200" w:firstLine="367" w:firstLineChars="175"/>
        <w:jc w:val="left"/>
        <w:rPr>
          <w:rFonts w:ascii="宋体" w:hAnsi="宋体" w:cs="宋体"/>
          <w:color w:val="auto"/>
          <w:szCs w:val="21"/>
          <w:highlight w:val="none"/>
        </w:rPr>
      </w:pPr>
      <w:r>
        <w:rPr>
          <w:rFonts w:hint="eastAsia" w:ascii="宋体" w:hAnsi="宋体" w:cs="宋体"/>
          <w:color w:val="auto"/>
          <w:szCs w:val="21"/>
          <w:highlight w:val="none"/>
        </w:rPr>
        <w:t>投标人或其他利害关系人对评标结果有异议的，应在中标候选人公示期内提出。招标人将在收到异议之日起3日内作出答复；作出答复前，将暂停招标投标活动。</w:t>
      </w:r>
    </w:p>
    <w:bookmarkEnd w:id="533"/>
    <w:p w14:paraId="4BC81579">
      <w:pPr>
        <w:pStyle w:val="4"/>
        <w:spacing w:line="500" w:lineRule="exact"/>
        <w:ind w:left="-420" w:leftChars="-200" w:firstLine="369" w:firstLineChars="175"/>
        <w:rPr>
          <w:rFonts w:ascii="宋体" w:hAnsi="宋体" w:eastAsia="宋体" w:cs="宋体"/>
          <w:color w:val="auto"/>
          <w:highlight w:val="none"/>
        </w:rPr>
      </w:pPr>
      <w:r>
        <w:rPr>
          <w:rFonts w:hint="eastAsia" w:ascii="宋体" w:hAnsi="宋体" w:eastAsia="宋体" w:cs="宋体"/>
          <w:color w:val="auto"/>
          <w:highlight w:val="none"/>
        </w:rPr>
        <w:t>7.3 中标候选人履约能力审查</w:t>
      </w:r>
    </w:p>
    <w:p w14:paraId="4A4A544C">
      <w:pPr>
        <w:spacing w:line="500" w:lineRule="exact"/>
        <w:ind w:left="-420" w:leftChars="-200" w:firstLine="367" w:firstLineChars="175"/>
        <w:jc w:val="left"/>
        <w:rPr>
          <w:rFonts w:ascii="宋体" w:hAnsi="宋体" w:cs="宋体"/>
          <w:color w:val="auto"/>
          <w:szCs w:val="21"/>
          <w:highlight w:val="none"/>
        </w:rPr>
      </w:pPr>
      <w:r>
        <w:rPr>
          <w:rFonts w:hint="eastAsia" w:ascii="宋体" w:hAnsi="宋体" w:cs="宋体"/>
          <w:color w:val="auto"/>
          <w:szCs w:val="21"/>
          <w:highlight w:val="none"/>
        </w:rPr>
        <w:t>中标候选人的经营、财务状况发生较大变化或者存在违法行为，招标人认为可能影响其履约能力的，应当在发出中标通知书前由原评标委员会按照招标文件规定的标准和方法审查确认。</w:t>
      </w:r>
    </w:p>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p w14:paraId="2AFFAABC">
      <w:pPr>
        <w:pStyle w:val="4"/>
        <w:spacing w:line="500" w:lineRule="exact"/>
        <w:ind w:left="-420" w:leftChars="-200" w:firstLine="369" w:firstLineChars="175"/>
        <w:rPr>
          <w:rFonts w:ascii="宋体" w:hAnsi="宋体" w:eastAsia="宋体" w:cs="宋体"/>
          <w:color w:val="auto"/>
          <w:highlight w:val="none"/>
        </w:rPr>
      </w:pPr>
      <w:bookmarkStart w:id="549" w:name="_Toc83301727"/>
      <w:bookmarkStart w:id="550" w:name="_Toc95223375"/>
      <w:bookmarkStart w:id="551" w:name="_Toc60061474"/>
      <w:bookmarkStart w:id="552" w:name="_Toc152045570"/>
      <w:bookmarkStart w:id="553" w:name="_Toc247085728"/>
      <w:bookmarkStart w:id="554" w:name="_Toc152042346"/>
      <w:bookmarkStart w:id="555" w:name="_Toc179632588"/>
      <w:bookmarkStart w:id="556" w:name="_Toc246996214"/>
      <w:bookmarkStart w:id="557" w:name="_Toc35424930"/>
      <w:bookmarkStart w:id="558" w:name="_Toc506107308"/>
      <w:bookmarkStart w:id="559" w:name="_Toc78803363"/>
      <w:bookmarkStart w:id="560" w:name="_Toc246996957"/>
      <w:bookmarkStart w:id="561" w:name="_Toc144974538"/>
      <w:bookmarkStart w:id="562" w:name="_Toc324404855"/>
      <w:bookmarkStart w:id="563" w:name="_Toc11010"/>
      <w:bookmarkStart w:id="564" w:name="_Toc35425096"/>
      <w:bookmarkStart w:id="565" w:name="_Toc296602460"/>
      <w:bookmarkStart w:id="566" w:name="_Toc15058893"/>
      <w:r>
        <w:rPr>
          <w:rFonts w:hint="eastAsia" w:ascii="宋体" w:hAnsi="宋体" w:eastAsia="宋体" w:cs="宋体"/>
          <w:color w:val="auto"/>
          <w:highlight w:val="none"/>
        </w:rPr>
        <w:t>7.4 定标</w:t>
      </w:r>
      <w:bookmarkEnd w:id="549"/>
      <w:bookmarkEnd w:id="550"/>
    </w:p>
    <w:p w14:paraId="530F887E">
      <w:pPr>
        <w:spacing w:line="500" w:lineRule="exact"/>
        <w:ind w:left="-420" w:leftChars="-200" w:firstLine="367" w:firstLineChars="175"/>
        <w:jc w:val="left"/>
        <w:rPr>
          <w:rFonts w:ascii="宋体" w:hAnsi="宋体" w:cs="宋体"/>
          <w:color w:val="auto"/>
          <w:szCs w:val="21"/>
          <w:highlight w:val="none"/>
        </w:rPr>
      </w:pPr>
      <w:r>
        <w:rPr>
          <w:rFonts w:hint="eastAsia" w:ascii="宋体" w:hAnsi="宋体" w:cs="宋体"/>
          <w:color w:val="auto"/>
          <w:szCs w:val="21"/>
          <w:highlight w:val="none"/>
        </w:rPr>
        <w:t>按照投标人须知前附表的规定，招标人或招标人授权的评标委员会依法确定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371CC1B1">
      <w:pPr>
        <w:pStyle w:val="4"/>
        <w:spacing w:line="500" w:lineRule="exact"/>
        <w:ind w:left="-420" w:leftChars="-200" w:firstLine="369" w:firstLineChars="175"/>
        <w:rPr>
          <w:rFonts w:ascii="宋体" w:hAnsi="宋体" w:eastAsia="宋体" w:cs="宋体"/>
          <w:color w:val="auto"/>
          <w:highlight w:val="none"/>
        </w:rPr>
      </w:pPr>
      <w:bookmarkStart w:id="567" w:name="_Toc95223376"/>
      <w:bookmarkStart w:id="568" w:name="_Toc83301728"/>
      <w:r>
        <w:rPr>
          <w:rFonts w:hint="eastAsia" w:ascii="宋体" w:hAnsi="宋体" w:eastAsia="宋体" w:cs="宋体"/>
          <w:color w:val="auto"/>
          <w:highlight w:val="none"/>
        </w:rPr>
        <w:t>7.5 中标通知</w:t>
      </w:r>
      <w:bookmarkEnd w:id="551"/>
      <w:bookmarkEnd w:id="567"/>
      <w:bookmarkEnd w:id="568"/>
    </w:p>
    <w:p w14:paraId="5E25ADD4">
      <w:pPr>
        <w:spacing w:line="500" w:lineRule="exact"/>
        <w:ind w:left="-420" w:leftChars="-200" w:firstLine="367" w:firstLineChars="175"/>
        <w:jc w:val="left"/>
        <w:rPr>
          <w:rFonts w:ascii="宋体" w:hAnsi="宋体" w:cs="宋体"/>
          <w:color w:val="auto"/>
          <w:szCs w:val="21"/>
          <w:highlight w:val="none"/>
        </w:rPr>
      </w:pPr>
      <w:r>
        <w:rPr>
          <w:rFonts w:hint="eastAsia" w:ascii="宋体" w:hAnsi="宋体" w:cs="宋体"/>
          <w:color w:val="auto"/>
          <w:szCs w:val="21"/>
          <w:highlight w:val="none"/>
        </w:rPr>
        <w:t>在本招标文件规定的投标有效期内，招标人向中标人发出中标通知书，同时将中标结果通知未中标的投标人。</w:t>
      </w:r>
    </w:p>
    <w:p w14:paraId="0A6FCDD4">
      <w:pPr>
        <w:pStyle w:val="4"/>
        <w:spacing w:line="500" w:lineRule="exact"/>
        <w:ind w:left="-420" w:leftChars="-200" w:firstLine="369" w:firstLineChars="175"/>
        <w:rPr>
          <w:rFonts w:ascii="宋体" w:hAnsi="宋体" w:eastAsia="宋体" w:cs="宋体"/>
          <w:color w:val="auto"/>
          <w:highlight w:val="none"/>
        </w:rPr>
      </w:pPr>
      <w:bookmarkStart w:id="569" w:name="_Toc95223377"/>
      <w:r>
        <w:rPr>
          <w:rFonts w:hint="eastAsia" w:ascii="宋体" w:hAnsi="宋体" w:eastAsia="宋体" w:cs="宋体"/>
          <w:color w:val="auto"/>
          <w:highlight w:val="none"/>
        </w:rPr>
        <w:t>7.6 中标结果公示</w:t>
      </w:r>
      <w:bookmarkEnd w:id="569"/>
    </w:p>
    <w:p w14:paraId="276454B0">
      <w:pPr>
        <w:spacing w:line="500" w:lineRule="exact"/>
        <w:ind w:left="-420" w:leftChars="-200" w:firstLine="367" w:firstLineChars="175"/>
        <w:jc w:val="left"/>
        <w:rPr>
          <w:rFonts w:ascii="宋体" w:hAnsi="宋体" w:cs="宋体"/>
          <w:color w:val="auto"/>
          <w:szCs w:val="21"/>
          <w:highlight w:val="none"/>
        </w:rPr>
      </w:pPr>
      <w:r>
        <w:rPr>
          <w:rFonts w:hint="eastAsia" w:ascii="宋体" w:hAnsi="宋体" w:cs="宋体"/>
          <w:color w:val="auto"/>
          <w:szCs w:val="21"/>
          <w:highlight w:val="none"/>
        </w:rPr>
        <w:t>招标人在确定中标人之日起3日内，按照投标人须知前附表规定的公示媒介和期限依法公示中标结果。</w:t>
      </w:r>
    </w:p>
    <w:p w14:paraId="13E85786">
      <w:pPr>
        <w:pStyle w:val="4"/>
        <w:spacing w:line="500" w:lineRule="exact"/>
        <w:ind w:left="-420" w:leftChars="-200" w:firstLine="369" w:firstLineChars="175"/>
        <w:rPr>
          <w:rFonts w:ascii="宋体" w:hAnsi="宋体" w:eastAsia="宋体" w:cs="宋体"/>
          <w:color w:val="auto"/>
          <w:highlight w:val="none"/>
        </w:rPr>
      </w:pPr>
      <w:bookmarkStart w:id="570" w:name="_Toc296602459"/>
      <w:bookmarkStart w:id="571" w:name="_Toc60061476"/>
      <w:bookmarkStart w:id="572" w:name="_Toc506107307"/>
      <w:bookmarkStart w:id="573" w:name="_Toc144974537"/>
      <w:bookmarkStart w:id="574" w:name="_Toc83301730"/>
      <w:bookmarkStart w:id="575" w:name="_Toc246996213"/>
      <w:bookmarkStart w:id="576" w:name="_Toc15058892"/>
      <w:bookmarkStart w:id="577" w:name="_Toc152042345"/>
      <w:bookmarkStart w:id="578" w:name="_Toc152045569"/>
      <w:bookmarkStart w:id="579" w:name="_Toc247085727"/>
      <w:bookmarkStart w:id="580" w:name="_Toc324404854"/>
      <w:bookmarkStart w:id="581" w:name="_Toc246996956"/>
      <w:bookmarkStart w:id="582" w:name="_Toc95223378"/>
      <w:bookmarkStart w:id="583" w:name="_Toc179632587"/>
      <w:r>
        <w:rPr>
          <w:rFonts w:hint="eastAsia" w:ascii="宋体" w:hAnsi="宋体" w:eastAsia="宋体" w:cs="宋体"/>
          <w:color w:val="auto"/>
          <w:highlight w:val="none"/>
        </w:rPr>
        <w:t>7.8 履约担保</w:t>
      </w:r>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p>
    <w:p w14:paraId="12A73DA6">
      <w:pPr>
        <w:spacing w:line="500" w:lineRule="exact"/>
        <w:ind w:left="-420" w:leftChars="-200" w:firstLine="367" w:firstLineChars="175"/>
        <w:jc w:val="left"/>
        <w:rPr>
          <w:rFonts w:ascii="宋体" w:hAnsi="宋体" w:cs="宋体"/>
          <w:color w:val="auto"/>
          <w:szCs w:val="21"/>
          <w:highlight w:val="none"/>
        </w:rPr>
      </w:pPr>
      <w:r>
        <w:rPr>
          <w:rFonts w:hint="eastAsia" w:ascii="宋体" w:hAnsi="宋体" w:cs="宋体"/>
          <w:color w:val="auto"/>
          <w:szCs w:val="21"/>
          <w:highlight w:val="none"/>
        </w:rPr>
        <w:t>7.8.1在签订合同前，中标人应按投标人须知前附表规定的担保形式和招标文件第四章“合同条款及格式”规定的或者事先经过招标人书面认可的履约担保格式向招标人提交履约担保。联合体中标的，其履约担保应符合投标人须知前附表规定的金额、担保形式和招标文件第四章“合同条款及格式”规定的履约担保格式要求。</w:t>
      </w:r>
    </w:p>
    <w:p w14:paraId="36A3A307">
      <w:pPr>
        <w:spacing w:line="500" w:lineRule="exact"/>
        <w:ind w:left="-420" w:leftChars="-200" w:firstLine="367" w:firstLineChars="175"/>
        <w:jc w:val="left"/>
        <w:rPr>
          <w:rFonts w:ascii="宋体" w:hAnsi="宋体" w:cs="宋体"/>
          <w:color w:val="auto"/>
          <w:szCs w:val="21"/>
          <w:highlight w:val="none"/>
        </w:rPr>
      </w:pPr>
      <w:r>
        <w:rPr>
          <w:rFonts w:hint="eastAsia" w:ascii="宋体" w:hAnsi="宋体" w:cs="宋体"/>
          <w:color w:val="auto"/>
          <w:szCs w:val="21"/>
          <w:highlight w:val="none"/>
        </w:rPr>
        <w:t>7.8.2中标人不能按本章第7.8.1项要求提交履约担保的，视为放弃中标，其投标保证金不予退还，给招标人造成的损失超过投标保证金数额的，中标人还应当对超过部分予以赔偿。</w:t>
      </w:r>
    </w:p>
    <w:p w14:paraId="24135A50">
      <w:pPr>
        <w:pStyle w:val="4"/>
        <w:spacing w:line="500" w:lineRule="exact"/>
        <w:ind w:left="-420" w:leftChars="-200" w:firstLine="369" w:firstLineChars="175"/>
        <w:rPr>
          <w:rFonts w:ascii="宋体" w:hAnsi="宋体" w:eastAsia="宋体" w:cs="宋体"/>
          <w:color w:val="auto"/>
          <w:highlight w:val="none"/>
        </w:rPr>
      </w:pPr>
      <w:bookmarkStart w:id="584" w:name="_Toc83301731"/>
      <w:bookmarkStart w:id="585" w:name="_Toc95223379"/>
      <w:bookmarkStart w:id="586" w:name="_Toc60061477"/>
      <w:r>
        <w:rPr>
          <w:rFonts w:hint="eastAsia" w:ascii="宋体" w:hAnsi="宋体" w:eastAsia="宋体" w:cs="宋体"/>
          <w:color w:val="auto"/>
          <w:highlight w:val="none"/>
        </w:rPr>
        <w:t>7.9 签订合同</w:t>
      </w:r>
      <w:bookmarkEnd w:id="584"/>
      <w:bookmarkEnd w:id="585"/>
      <w:bookmarkEnd w:id="586"/>
    </w:p>
    <w:p w14:paraId="407BC1E8">
      <w:pPr>
        <w:spacing w:line="500" w:lineRule="exact"/>
        <w:ind w:left="-420" w:leftChars="-200" w:firstLine="367" w:firstLineChars="175"/>
        <w:jc w:val="left"/>
        <w:rPr>
          <w:rFonts w:ascii="宋体" w:hAnsi="宋体" w:cs="宋体"/>
          <w:color w:val="auto"/>
          <w:szCs w:val="21"/>
          <w:highlight w:val="none"/>
        </w:rPr>
      </w:pPr>
      <w:r>
        <w:rPr>
          <w:rFonts w:hint="eastAsia" w:ascii="宋体" w:hAnsi="宋体" w:cs="宋体"/>
          <w:color w:val="auto"/>
          <w:szCs w:val="21"/>
          <w:highlight w:val="none"/>
        </w:rPr>
        <w:t>7.9.1本招标工程的施工合同将授予按本须知第7.4款规定所确定的中标人。</w:t>
      </w:r>
    </w:p>
    <w:p w14:paraId="48E89454">
      <w:pPr>
        <w:spacing w:line="500" w:lineRule="exact"/>
        <w:ind w:left="-420" w:leftChars="-200" w:firstLine="367" w:firstLineChars="175"/>
        <w:jc w:val="left"/>
        <w:rPr>
          <w:rFonts w:ascii="宋体" w:hAnsi="宋体" w:cs="宋体"/>
          <w:color w:val="auto"/>
          <w:szCs w:val="21"/>
          <w:highlight w:val="none"/>
        </w:rPr>
      </w:pPr>
      <w:r>
        <w:rPr>
          <w:rFonts w:hint="eastAsia" w:ascii="宋体" w:hAnsi="宋体" w:cs="宋体"/>
          <w:color w:val="auto"/>
          <w:szCs w:val="21"/>
          <w:highlight w:val="none"/>
        </w:rPr>
        <w:t>7.9.2招标人和中标人应当自中标通知书发出之日起30天内，根据招标文件和中标人的投标文件订立书面合同。中标人无正当理由拒签合同的，在签订合同时向招标人提出附加条件，或不按照招标文件要求提交履约保证金的，招标人取消其中标资格，其投标保证金不予退还；给招标人造成的损失超过投标保证金数额的，中标人还应当对超过部分予以赔偿。</w:t>
      </w:r>
    </w:p>
    <w:p w14:paraId="22075481">
      <w:pPr>
        <w:spacing w:line="500" w:lineRule="exact"/>
        <w:ind w:left="-420" w:leftChars="-200" w:firstLine="367" w:firstLineChars="175"/>
        <w:jc w:val="left"/>
        <w:rPr>
          <w:rFonts w:ascii="宋体" w:hAnsi="宋体" w:cs="宋体"/>
          <w:color w:val="auto"/>
          <w:szCs w:val="21"/>
          <w:highlight w:val="none"/>
        </w:rPr>
      </w:pPr>
      <w:r>
        <w:rPr>
          <w:rFonts w:hint="eastAsia" w:ascii="宋体" w:hAnsi="宋体" w:cs="宋体"/>
          <w:color w:val="auto"/>
          <w:szCs w:val="21"/>
          <w:highlight w:val="none"/>
        </w:rPr>
        <w:t>7.9.3 发出中标通知书后，招标人无正当理由拒签合同的，招标人向中标人退还投标保证金；给中标人造成损失的，还应当赔偿损失。</w:t>
      </w:r>
    </w:p>
    <w:p w14:paraId="356CE6FD">
      <w:pPr>
        <w:spacing w:line="500" w:lineRule="exact"/>
        <w:ind w:left="-420" w:leftChars="-200" w:firstLine="367" w:firstLineChars="175"/>
        <w:jc w:val="left"/>
        <w:rPr>
          <w:rFonts w:ascii="宋体" w:hAnsi="宋体" w:cs="宋体"/>
          <w:color w:val="auto"/>
          <w:szCs w:val="21"/>
          <w:highlight w:val="none"/>
        </w:rPr>
      </w:pPr>
      <w:r>
        <w:rPr>
          <w:rFonts w:hint="eastAsia" w:ascii="宋体" w:hAnsi="宋体" w:cs="宋体"/>
          <w:color w:val="auto"/>
          <w:szCs w:val="21"/>
          <w:highlight w:val="none"/>
        </w:rPr>
        <w:t>7.9.4 除法定情形外，建设工程合同履行期间项目经理（建造师）不得更换。项目经理（建造师）确需变更的，应根据招标文件要求，变更后的项目经理（建造师）不低于投标文件中拟派项目经理（建造师）的资格条件。</w:t>
      </w:r>
    </w:p>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p w14:paraId="030E2E35">
      <w:pPr>
        <w:pStyle w:val="4"/>
        <w:spacing w:line="500" w:lineRule="exact"/>
        <w:ind w:left="-420" w:leftChars="-200" w:firstLine="369" w:firstLineChars="175"/>
        <w:rPr>
          <w:rFonts w:ascii="宋体" w:hAnsi="宋体" w:eastAsia="宋体" w:cs="宋体"/>
          <w:color w:val="auto"/>
          <w:highlight w:val="none"/>
        </w:rPr>
      </w:pPr>
      <w:bookmarkStart w:id="587" w:name="_Toc95223381"/>
      <w:bookmarkStart w:id="588" w:name="_Toc179632589"/>
      <w:bookmarkStart w:id="589" w:name="_Toc152042347"/>
      <w:bookmarkStart w:id="590" w:name="_Toc83301732"/>
      <w:bookmarkStart w:id="591" w:name="_Toc60061478"/>
      <w:bookmarkStart w:id="592" w:name="_Toc152045571"/>
      <w:bookmarkStart w:id="593" w:name="_Toc144974539"/>
      <w:bookmarkStart w:id="594" w:name="_Toc35425097"/>
      <w:bookmarkStart w:id="595" w:name="_Toc78803367"/>
      <w:bookmarkStart w:id="596" w:name="_Toc26974"/>
      <w:bookmarkStart w:id="597" w:name="_Toc35424931"/>
      <w:bookmarkStart w:id="598" w:name="_Toc25375"/>
      <w:bookmarkStart w:id="599" w:name="_Toc31686"/>
      <w:bookmarkStart w:id="600" w:name="_Toc324404864"/>
      <w:bookmarkStart w:id="601" w:name="_Toc35425105"/>
      <w:bookmarkStart w:id="602" w:name="_Toc15058902"/>
      <w:bookmarkStart w:id="603" w:name="_Toc35424939"/>
      <w:bookmarkStart w:id="604" w:name="_Toc506107317"/>
      <w:bookmarkStart w:id="605" w:name="_Toc296602475"/>
      <w:r>
        <w:rPr>
          <w:rFonts w:hint="eastAsia" w:ascii="宋体" w:hAnsi="宋体" w:eastAsia="宋体" w:cs="宋体"/>
          <w:color w:val="auto"/>
          <w:highlight w:val="none"/>
        </w:rPr>
        <w:t>8. 重新招标和不再招标</w:t>
      </w:r>
      <w:bookmarkEnd w:id="587"/>
      <w:bookmarkEnd w:id="588"/>
      <w:bookmarkEnd w:id="589"/>
      <w:bookmarkEnd w:id="590"/>
      <w:bookmarkEnd w:id="591"/>
      <w:bookmarkEnd w:id="592"/>
      <w:bookmarkEnd w:id="593"/>
    </w:p>
    <w:p w14:paraId="7713FFFF">
      <w:pPr>
        <w:pStyle w:val="4"/>
        <w:spacing w:line="500" w:lineRule="exact"/>
        <w:ind w:left="-420" w:leftChars="-200" w:firstLine="369" w:firstLineChars="175"/>
        <w:rPr>
          <w:rFonts w:ascii="宋体" w:hAnsi="宋体" w:eastAsia="宋体" w:cs="宋体"/>
          <w:color w:val="auto"/>
          <w:highlight w:val="none"/>
        </w:rPr>
      </w:pPr>
      <w:bookmarkStart w:id="606" w:name="_Toc144974540"/>
      <w:bookmarkStart w:id="607" w:name="_Toc95223382"/>
      <w:bookmarkStart w:id="608" w:name="_Toc60061479"/>
      <w:bookmarkStart w:id="609" w:name="_Toc179632590"/>
      <w:bookmarkStart w:id="610" w:name="_Toc83301733"/>
      <w:bookmarkStart w:id="611" w:name="_Toc152042348"/>
      <w:bookmarkStart w:id="612" w:name="_Toc152045572"/>
      <w:r>
        <w:rPr>
          <w:rFonts w:hint="eastAsia" w:ascii="宋体" w:hAnsi="宋体" w:eastAsia="宋体" w:cs="宋体"/>
          <w:color w:val="auto"/>
          <w:highlight w:val="none"/>
        </w:rPr>
        <w:t>8.1 重新招标</w:t>
      </w:r>
      <w:bookmarkEnd w:id="606"/>
      <w:bookmarkEnd w:id="607"/>
      <w:bookmarkEnd w:id="608"/>
      <w:bookmarkEnd w:id="609"/>
      <w:bookmarkEnd w:id="610"/>
      <w:bookmarkEnd w:id="611"/>
      <w:bookmarkEnd w:id="612"/>
    </w:p>
    <w:p w14:paraId="15FC0A61">
      <w:pPr>
        <w:spacing w:line="500" w:lineRule="exact"/>
        <w:ind w:left="-420" w:leftChars="-200" w:firstLine="367" w:firstLineChars="175"/>
        <w:jc w:val="left"/>
        <w:rPr>
          <w:rFonts w:ascii="宋体" w:hAnsi="宋体" w:cs="宋体"/>
          <w:color w:val="auto"/>
          <w:szCs w:val="21"/>
          <w:highlight w:val="none"/>
        </w:rPr>
      </w:pPr>
      <w:r>
        <w:rPr>
          <w:rFonts w:hint="eastAsia" w:ascii="宋体" w:hAnsi="宋体" w:cs="宋体"/>
          <w:color w:val="auto"/>
          <w:szCs w:val="21"/>
          <w:highlight w:val="none"/>
        </w:rPr>
        <w:t>依法必须招标的项目有下列情形之一的，招标人将重新招标：</w:t>
      </w:r>
    </w:p>
    <w:p w14:paraId="3D4610BA">
      <w:pPr>
        <w:spacing w:line="500" w:lineRule="exact"/>
        <w:ind w:left="-420" w:leftChars="-200" w:firstLine="367" w:firstLineChars="175"/>
        <w:jc w:val="left"/>
        <w:rPr>
          <w:rFonts w:ascii="宋体" w:hAnsi="宋体" w:cs="宋体"/>
          <w:color w:val="auto"/>
          <w:szCs w:val="21"/>
          <w:highlight w:val="none"/>
        </w:rPr>
      </w:pPr>
      <w:r>
        <w:rPr>
          <w:rFonts w:hint="eastAsia" w:ascii="宋体" w:hAnsi="宋体" w:cs="宋体"/>
          <w:color w:val="auto"/>
          <w:szCs w:val="21"/>
          <w:highlight w:val="none"/>
        </w:rPr>
        <w:t>（1）投标截止时间止，投标人少于3个的；</w:t>
      </w:r>
    </w:p>
    <w:p w14:paraId="7A1E3EC0">
      <w:pPr>
        <w:spacing w:line="500" w:lineRule="exact"/>
        <w:ind w:left="-420" w:leftChars="-200" w:firstLine="367" w:firstLineChars="175"/>
        <w:jc w:val="left"/>
        <w:rPr>
          <w:rFonts w:ascii="宋体" w:hAnsi="宋体" w:cs="宋体"/>
          <w:color w:val="auto"/>
          <w:szCs w:val="21"/>
          <w:highlight w:val="none"/>
        </w:rPr>
      </w:pPr>
      <w:r>
        <w:rPr>
          <w:rFonts w:hint="eastAsia" w:ascii="宋体" w:hAnsi="宋体" w:cs="宋体"/>
          <w:color w:val="auto"/>
          <w:szCs w:val="21"/>
          <w:highlight w:val="none"/>
        </w:rPr>
        <w:t>（2）经评标委员会评审后否决所有投标的；</w:t>
      </w:r>
    </w:p>
    <w:p w14:paraId="196FD35A">
      <w:pPr>
        <w:spacing w:line="500" w:lineRule="exact"/>
        <w:ind w:left="-420" w:leftChars="-200" w:firstLine="367" w:firstLineChars="175"/>
        <w:jc w:val="left"/>
        <w:rPr>
          <w:rFonts w:ascii="宋体" w:hAnsi="宋体" w:cs="宋体"/>
          <w:color w:val="auto"/>
          <w:szCs w:val="21"/>
          <w:highlight w:val="none"/>
        </w:rPr>
      </w:pPr>
      <w:r>
        <w:rPr>
          <w:rFonts w:hint="eastAsia" w:ascii="宋体" w:hAnsi="宋体" w:cs="宋体"/>
          <w:color w:val="auto"/>
          <w:szCs w:val="21"/>
          <w:highlight w:val="none"/>
        </w:rPr>
        <w:t>（3）中标候选人均未与招标人签订合同的；</w:t>
      </w:r>
    </w:p>
    <w:p w14:paraId="2163F7F1">
      <w:pPr>
        <w:spacing w:line="500" w:lineRule="exact"/>
        <w:ind w:left="-420" w:leftChars="-200" w:firstLine="367" w:firstLineChars="175"/>
        <w:jc w:val="left"/>
        <w:rPr>
          <w:rFonts w:ascii="宋体" w:hAnsi="宋体" w:cs="宋体"/>
          <w:color w:val="auto"/>
          <w:szCs w:val="21"/>
          <w:highlight w:val="none"/>
        </w:rPr>
      </w:pPr>
      <w:r>
        <w:rPr>
          <w:rFonts w:hint="eastAsia" w:ascii="宋体" w:hAnsi="宋体" w:cs="宋体"/>
          <w:color w:val="auto"/>
          <w:szCs w:val="21"/>
          <w:highlight w:val="none"/>
        </w:rPr>
        <w:t>（4）法律、法规规定的其他情形。</w:t>
      </w:r>
    </w:p>
    <w:p w14:paraId="22904FF1">
      <w:pPr>
        <w:pStyle w:val="4"/>
        <w:spacing w:line="500" w:lineRule="exact"/>
        <w:ind w:left="-420" w:leftChars="-200" w:firstLine="369" w:firstLineChars="175"/>
        <w:rPr>
          <w:rFonts w:ascii="宋体" w:hAnsi="宋体" w:eastAsia="宋体" w:cs="宋体"/>
          <w:color w:val="auto"/>
          <w:highlight w:val="none"/>
        </w:rPr>
      </w:pPr>
      <w:bookmarkStart w:id="613" w:name="_Toc152045573"/>
      <w:bookmarkStart w:id="614" w:name="_Toc60061480"/>
      <w:bookmarkStart w:id="615" w:name="_Toc144974541"/>
      <w:bookmarkStart w:id="616" w:name="_Toc152042349"/>
      <w:bookmarkStart w:id="617" w:name="_Toc83301734"/>
      <w:bookmarkStart w:id="618" w:name="_Toc179632591"/>
      <w:bookmarkStart w:id="619" w:name="_Toc95223383"/>
      <w:r>
        <w:rPr>
          <w:rFonts w:hint="eastAsia" w:ascii="宋体" w:hAnsi="宋体" w:eastAsia="宋体" w:cs="宋体"/>
          <w:color w:val="auto"/>
          <w:highlight w:val="none"/>
        </w:rPr>
        <w:t>8.2 不再招标</w:t>
      </w:r>
      <w:bookmarkEnd w:id="613"/>
      <w:bookmarkEnd w:id="614"/>
      <w:bookmarkEnd w:id="615"/>
      <w:bookmarkEnd w:id="616"/>
      <w:bookmarkEnd w:id="617"/>
      <w:bookmarkEnd w:id="618"/>
      <w:bookmarkEnd w:id="619"/>
    </w:p>
    <w:p w14:paraId="4CBB9332">
      <w:pPr>
        <w:spacing w:line="500" w:lineRule="exact"/>
        <w:ind w:left="-420" w:leftChars="-200" w:firstLine="367" w:firstLineChars="175"/>
        <w:jc w:val="left"/>
        <w:rPr>
          <w:rFonts w:ascii="宋体" w:hAnsi="宋体" w:cs="宋体"/>
          <w:color w:val="auto"/>
          <w:szCs w:val="21"/>
          <w:highlight w:val="none"/>
        </w:rPr>
      </w:pPr>
      <w:r>
        <w:rPr>
          <w:rFonts w:hint="eastAsia" w:ascii="宋体" w:hAnsi="宋体" w:cs="宋体"/>
          <w:color w:val="auto"/>
          <w:szCs w:val="21"/>
          <w:highlight w:val="none"/>
        </w:rPr>
        <w:t>重新招标后投标人仍少于3个或者所有投标被否决的，属于必须审批或核准的工程建设项目，经原审批或核准部门批准后不再进行招标。</w:t>
      </w:r>
    </w:p>
    <w:p w14:paraId="47F3A3FE">
      <w:pPr>
        <w:pStyle w:val="4"/>
        <w:spacing w:line="500" w:lineRule="exact"/>
        <w:ind w:left="-420" w:leftChars="-200" w:firstLine="369" w:firstLineChars="175"/>
        <w:rPr>
          <w:rFonts w:ascii="宋体" w:hAnsi="宋体" w:eastAsia="宋体" w:cs="宋体"/>
          <w:color w:val="auto"/>
          <w:highlight w:val="none"/>
        </w:rPr>
      </w:pPr>
      <w:r>
        <w:rPr>
          <w:rFonts w:hint="eastAsia" w:ascii="宋体" w:hAnsi="宋体" w:eastAsia="宋体" w:cs="宋体"/>
          <w:color w:val="auto"/>
          <w:highlight w:val="none"/>
        </w:rPr>
        <w:t>9. 纪律和监督</w:t>
      </w:r>
      <w:bookmarkEnd w:id="594"/>
      <w:bookmarkEnd w:id="595"/>
      <w:bookmarkEnd w:id="596"/>
      <w:bookmarkEnd w:id="597"/>
      <w:bookmarkEnd w:id="598"/>
      <w:bookmarkEnd w:id="599"/>
    </w:p>
    <w:p w14:paraId="11E60D9E">
      <w:pPr>
        <w:pStyle w:val="4"/>
        <w:spacing w:line="500" w:lineRule="exact"/>
        <w:ind w:left="-420" w:leftChars="-200" w:firstLine="369" w:firstLineChars="175"/>
        <w:rPr>
          <w:rFonts w:ascii="宋体" w:hAnsi="宋体" w:eastAsia="宋体" w:cs="宋体"/>
          <w:color w:val="auto"/>
          <w:highlight w:val="none"/>
        </w:rPr>
      </w:pPr>
      <w:bookmarkStart w:id="620" w:name="_Toc179632593"/>
      <w:bookmarkStart w:id="621" w:name="_Toc35424932"/>
      <w:bookmarkStart w:id="622" w:name="_Toc506107310"/>
      <w:bookmarkStart w:id="623" w:name="_Toc35425098"/>
      <w:bookmarkStart w:id="624" w:name="_Toc246996962"/>
      <w:bookmarkStart w:id="625" w:name="_Toc152042351"/>
      <w:bookmarkStart w:id="626" w:name="_Toc246996219"/>
      <w:bookmarkStart w:id="627" w:name="_Toc2855"/>
      <w:bookmarkStart w:id="628" w:name="_Toc144974543"/>
      <w:bookmarkStart w:id="629" w:name="_Toc296590983"/>
      <w:bookmarkStart w:id="630" w:name="_Toc324404857"/>
      <w:bookmarkStart w:id="631" w:name="_Toc247085733"/>
      <w:bookmarkStart w:id="632" w:name="_Toc152045575"/>
      <w:bookmarkStart w:id="633" w:name="_Toc78803368"/>
      <w:bookmarkStart w:id="634" w:name="_Toc15607"/>
      <w:bookmarkStart w:id="635" w:name="_Toc296602462"/>
      <w:bookmarkStart w:id="636" w:name="_Toc15058895"/>
      <w:r>
        <w:rPr>
          <w:rFonts w:hint="eastAsia" w:ascii="宋体" w:hAnsi="宋体" w:eastAsia="宋体" w:cs="宋体"/>
          <w:color w:val="auto"/>
          <w:highlight w:val="none"/>
        </w:rPr>
        <w:t>9.1 对招标人的纪律要求</w:t>
      </w:r>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p>
    <w:p w14:paraId="1B9CFDAA">
      <w:pPr>
        <w:spacing w:line="500" w:lineRule="exact"/>
        <w:ind w:left="-420" w:leftChars="-200" w:firstLine="367" w:firstLineChars="175"/>
        <w:jc w:val="left"/>
        <w:rPr>
          <w:rFonts w:ascii="宋体" w:hAnsi="宋体" w:cs="宋体"/>
          <w:color w:val="auto"/>
          <w:szCs w:val="21"/>
          <w:highlight w:val="none"/>
        </w:rPr>
      </w:pPr>
      <w:r>
        <w:rPr>
          <w:rFonts w:hint="eastAsia" w:ascii="宋体" w:hAnsi="宋体" w:cs="宋体"/>
          <w:color w:val="auto"/>
          <w:szCs w:val="21"/>
          <w:highlight w:val="none"/>
        </w:rPr>
        <w:t>招标人不得泄漏招标投标活动中应当保密的情况和资料，不得与投标人串通损害国家利益、社会公共利益或者他人合法权益。</w:t>
      </w:r>
    </w:p>
    <w:p w14:paraId="3B97D369">
      <w:pPr>
        <w:pStyle w:val="4"/>
        <w:spacing w:line="500" w:lineRule="exact"/>
        <w:ind w:left="-420" w:leftChars="-200" w:firstLine="369" w:firstLineChars="175"/>
        <w:rPr>
          <w:rFonts w:ascii="宋体" w:hAnsi="宋体" w:eastAsia="宋体" w:cs="宋体"/>
          <w:color w:val="auto"/>
          <w:highlight w:val="none"/>
        </w:rPr>
      </w:pPr>
      <w:bookmarkStart w:id="637" w:name="_Toc152045576"/>
      <w:bookmarkStart w:id="638" w:name="_Toc35425099"/>
      <w:bookmarkStart w:id="639" w:name="_Toc246996220"/>
      <w:bookmarkStart w:id="640" w:name="_Toc19779"/>
      <w:bookmarkStart w:id="641" w:name="_Toc324404858"/>
      <w:bookmarkStart w:id="642" w:name="_Toc78803369"/>
      <w:bookmarkStart w:id="643" w:name="_Toc246996963"/>
      <w:bookmarkStart w:id="644" w:name="_Toc15058896"/>
      <w:bookmarkStart w:id="645" w:name="_Toc144974544"/>
      <w:bookmarkStart w:id="646" w:name="_Toc506107311"/>
      <w:bookmarkStart w:id="647" w:name="_Toc32177"/>
      <w:bookmarkStart w:id="648" w:name="_Toc179632594"/>
      <w:bookmarkStart w:id="649" w:name="_Toc296602463"/>
      <w:bookmarkStart w:id="650" w:name="_Toc247085734"/>
      <w:bookmarkStart w:id="651" w:name="_Toc35424933"/>
      <w:bookmarkStart w:id="652" w:name="_Toc152042352"/>
      <w:r>
        <w:rPr>
          <w:rFonts w:hint="eastAsia" w:ascii="宋体" w:hAnsi="宋体" w:eastAsia="宋体" w:cs="宋体"/>
          <w:color w:val="auto"/>
          <w:highlight w:val="none"/>
        </w:rPr>
        <w:t>9.2 对投标人的纪律要求</w:t>
      </w:r>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p>
    <w:p w14:paraId="34A1D615">
      <w:pPr>
        <w:spacing w:line="500" w:lineRule="exact"/>
        <w:ind w:left="-420" w:leftChars="-200" w:firstLine="367" w:firstLineChars="175"/>
        <w:jc w:val="left"/>
        <w:rPr>
          <w:rFonts w:ascii="宋体" w:hAnsi="宋体" w:cs="宋体"/>
          <w:color w:val="auto"/>
          <w:szCs w:val="21"/>
          <w:highlight w:val="none"/>
        </w:rPr>
      </w:pPr>
      <w:r>
        <w:rPr>
          <w:rFonts w:hint="eastAsia" w:ascii="宋体" w:hAnsi="宋体" w:cs="宋体"/>
          <w:color w:val="auto"/>
          <w:szCs w:val="21"/>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1E79F564">
      <w:pPr>
        <w:pStyle w:val="4"/>
        <w:spacing w:line="500" w:lineRule="exact"/>
        <w:ind w:left="-420" w:leftChars="-200" w:firstLine="369" w:firstLineChars="175"/>
        <w:rPr>
          <w:rFonts w:ascii="宋体" w:hAnsi="宋体" w:eastAsia="宋体" w:cs="宋体"/>
          <w:color w:val="auto"/>
          <w:highlight w:val="none"/>
        </w:rPr>
      </w:pPr>
      <w:bookmarkStart w:id="653" w:name="_Toc13043"/>
      <w:bookmarkStart w:id="654" w:name="_Toc179632595"/>
      <w:bookmarkStart w:id="655" w:name="_Toc246996964"/>
      <w:bookmarkStart w:id="656" w:name="_Toc152045577"/>
      <w:bookmarkStart w:id="657" w:name="_Toc506107312"/>
      <w:bookmarkStart w:id="658" w:name="_Toc35425100"/>
      <w:bookmarkStart w:id="659" w:name="_Toc12564"/>
      <w:bookmarkStart w:id="660" w:name="_Toc296602464"/>
      <w:bookmarkStart w:id="661" w:name="_Toc152042353"/>
      <w:bookmarkStart w:id="662" w:name="_Toc247085735"/>
      <w:bookmarkStart w:id="663" w:name="_Toc144974545"/>
      <w:bookmarkStart w:id="664" w:name="_Toc246996221"/>
      <w:bookmarkStart w:id="665" w:name="_Toc15058897"/>
      <w:bookmarkStart w:id="666" w:name="_Toc35424934"/>
      <w:bookmarkStart w:id="667" w:name="_Toc78803370"/>
      <w:bookmarkStart w:id="668" w:name="_Toc324404859"/>
      <w:r>
        <w:rPr>
          <w:rFonts w:hint="eastAsia" w:ascii="宋体" w:hAnsi="宋体" w:eastAsia="宋体" w:cs="宋体"/>
          <w:color w:val="auto"/>
          <w:highlight w:val="none"/>
        </w:rPr>
        <w:t>9.3 对评标委员会成员的纪律要求</w:t>
      </w:r>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p>
    <w:p w14:paraId="267CD143">
      <w:pPr>
        <w:spacing w:line="500" w:lineRule="exact"/>
        <w:ind w:left="-420" w:leftChars="-200" w:firstLine="367" w:firstLineChars="175"/>
        <w:jc w:val="left"/>
        <w:rPr>
          <w:rFonts w:ascii="宋体" w:hAnsi="宋体" w:cs="宋体"/>
          <w:color w:val="auto"/>
          <w:szCs w:val="21"/>
          <w:highlight w:val="none"/>
        </w:rPr>
      </w:pPr>
      <w:r>
        <w:rPr>
          <w:rFonts w:hint="eastAsia" w:ascii="宋体" w:hAnsi="宋体" w:cs="宋体"/>
          <w:color w:val="auto"/>
          <w:szCs w:val="21"/>
          <w:highlight w:val="none"/>
        </w:rPr>
        <w:t>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5D6E5892">
      <w:pPr>
        <w:pStyle w:val="4"/>
        <w:spacing w:line="500" w:lineRule="exact"/>
        <w:ind w:left="-420" w:leftChars="-200" w:firstLine="369" w:firstLineChars="175"/>
        <w:rPr>
          <w:rFonts w:ascii="宋体" w:hAnsi="宋体" w:eastAsia="宋体" w:cs="宋体"/>
          <w:color w:val="auto"/>
          <w:highlight w:val="none"/>
        </w:rPr>
      </w:pPr>
      <w:bookmarkStart w:id="669" w:name="_Toc32214"/>
      <w:bookmarkStart w:id="670" w:name="_Toc247085736"/>
      <w:bookmarkStart w:id="671" w:name="_Toc296602465"/>
      <w:bookmarkStart w:id="672" w:name="_Toc324404860"/>
      <w:bookmarkStart w:id="673" w:name="_Toc246996222"/>
      <w:bookmarkStart w:id="674" w:name="_Toc152045578"/>
      <w:bookmarkStart w:id="675" w:name="_Toc152042354"/>
      <w:bookmarkStart w:id="676" w:name="_Toc15058898"/>
      <w:bookmarkStart w:id="677" w:name="_Toc78803371"/>
      <w:bookmarkStart w:id="678" w:name="_Toc179632596"/>
      <w:bookmarkStart w:id="679" w:name="_Toc35424935"/>
      <w:bookmarkStart w:id="680" w:name="_Toc18329"/>
      <w:bookmarkStart w:id="681" w:name="_Toc35425101"/>
      <w:bookmarkStart w:id="682" w:name="_Toc506107313"/>
      <w:bookmarkStart w:id="683" w:name="_Toc246996965"/>
      <w:bookmarkStart w:id="684" w:name="_Toc144974546"/>
      <w:r>
        <w:rPr>
          <w:rFonts w:hint="eastAsia" w:ascii="宋体" w:hAnsi="宋体" w:eastAsia="宋体" w:cs="宋体"/>
          <w:color w:val="auto"/>
          <w:highlight w:val="none"/>
        </w:rPr>
        <w:t>9.4 对与评标活动有关的工作人员的纪律要求</w:t>
      </w:r>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p>
    <w:p w14:paraId="5213B1E9">
      <w:pPr>
        <w:spacing w:line="500" w:lineRule="exact"/>
        <w:ind w:left="-420" w:leftChars="-200" w:firstLine="367" w:firstLineChars="175"/>
        <w:jc w:val="left"/>
        <w:rPr>
          <w:rFonts w:ascii="宋体" w:hAnsi="宋体" w:cs="宋体"/>
          <w:color w:val="auto"/>
          <w:szCs w:val="21"/>
          <w:highlight w:val="none"/>
        </w:rPr>
      </w:pPr>
      <w:bookmarkStart w:id="685" w:name="_Toc152042355"/>
      <w:r>
        <w:rPr>
          <w:rFonts w:hint="eastAsia" w:ascii="宋体" w:hAnsi="宋体" w:cs="宋体"/>
          <w:color w:val="auto"/>
          <w:szCs w:val="21"/>
          <w:highlight w:val="none"/>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bookmarkEnd w:id="685"/>
    </w:p>
    <w:p w14:paraId="123C362D">
      <w:pPr>
        <w:pStyle w:val="4"/>
        <w:spacing w:line="500" w:lineRule="exact"/>
        <w:ind w:left="-420" w:leftChars="-200" w:firstLine="369" w:firstLineChars="175"/>
        <w:rPr>
          <w:rFonts w:ascii="宋体" w:hAnsi="宋体" w:eastAsia="宋体" w:cs="宋体"/>
          <w:color w:val="auto"/>
          <w:highlight w:val="none"/>
        </w:rPr>
      </w:pPr>
      <w:bookmarkStart w:id="686" w:name="_Toc35424936"/>
      <w:bookmarkStart w:id="687" w:name="_Toc506107314"/>
      <w:bookmarkStart w:id="688" w:name="_Toc247085737"/>
      <w:bookmarkStart w:id="689" w:name="_Toc23607"/>
      <w:bookmarkStart w:id="690" w:name="_Toc246996223"/>
      <w:bookmarkStart w:id="691" w:name="_Toc296602466"/>
      <w:bookmarkStart w:id="692" w:name="_Toc15058899"/>
      <w:bookmarkStart w:id="693" w:name="_Toc35425102"/>
      <w:bookmarkStart w:id="694" w:name="_Toc179632597"/>
      <w:bookmarkStart w:id="695" w:name="_Toc246996966"/>
      <w:bookmarkStart w:id="696" w:name="_Toc152045579"/>
      <w:bookmarkStart w:id="697" w:name="_Toc2811"/>
      <w:bookmarkStart w:id="698" w:name="_Toc78803372"/>
      <w:bookmarkStart w:id="699" w:name="_Toc152042356"/>
      <w:bookmarkStart w:id="700" w:name="_Toc324404861"/>
      <w:r>
        <w:rPr>
          <w:rFonts w:hint="eastAsia" w:ascii="宋体" w:hAnsi="宋体" w:eastAsia="宋体" w:cs="宋体"/>
          <w:color w:val="auto"/>
          <w:highlight w:val="none"/>
        </w:rPr>
        <w:t>9.5 投诉</w:t>
      </w:r>
      <w:bookmarkEnd w:id="684"/>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p>
    <w:p w14:paraId="1B58026A">
      <w:pPr>
        <w:spacing w:line="500" w:lineRule="exact"/>
        <w:ind w:left="-420" w:leftChars="-200" w:firstLine="367" w:firstLineChars="175"/>
        <w:jc w:val="left"/>
        <w:rPr>
          <w:rFonts w:ascii="宋体" w:hAnsi="宋体" w:cs="宋体"/>
          <w:color w:val="auto"/>
          <w:szCs w:val="21"/>
          <w:highlight w:val="none"/>
        </w:rPr>
      </w:pPr>
      <w:bookmarkStart w:id="701" w:name="_Toc506107315"/>
      <w:bookmarkStart w:id="702" w:name="_Toc247085738"/>
      <w:bookmarkStart w:id="703" w:name="_Toc179632598"/>
      <w:bookmarkStart w:id="704" w:name="_Toc31643"/>
      <w:bookmarkStart w:id="705" w:name="_Toc78803373"/>
      <w:bookmarkStart w:id="706" w:name="_Toc152042357"/>
      <w:bookmarkStart w:id="707" w:name="_Toc144974547"/>
      <w:bookmarkStart w:id="708" w:name="_Toc20669"/>
      <w:bookmarkStart w:id="709" w:name="_Toc16463"/>
      <w:bookmarkStart w:id="710" w:name="_Toc35424937"/>
      <w:bookmarkStart w:id="711" w:name="_Toc324404862"/>
      <w:bookmarkStart w:id="712" w:name="_Toc35425103"/>
      <w:bookmarkStart w:id="713" w:name="_Toc246996967"/>
      <w:bookmarkStart w:id="714" w:name="_Toc152045580"/>
      <w:bookmarkStart w:id="715" w:name="_Toc246996224"/>
      <w:bookmarkStart w:id="716" w:name="_Toc15058900"/>
      <w:r>
        <w:rPr>
          <w:rFonts w:hint="eastAsia" w:ascii="宋体" w:hAnsi="宋体" w:cs="宋体"/>
          <w:color w:val="auto"/>
          <w:szCs w:val="21"/>
          <w:highlight w:val="none"/>
        </w:rPr>
        <w:t>9.5.1投标人或者其他利害关系人认为招标投标活动违反法律、法规和规章规定的，有权向相关行政监督部门投诉。投诉应当有明确的请求和必要的证明材料。</w:t>
      </w:r>
    </w:p>
    <w:p w14:paraId="088846D8">
      <w:pPr>
        <w:spacing w:line="500" w:lineRule="exact"/>
        <w:ind w:left="-420" w:leftChars="-200" w:firstLine="367" w:firstLineChars="175"/>
        <w:jc w:val="left"/>
        <w:rPr>
          <w:rFonts w:ascii="宋体" w:hAnsi="宋体" w:cs="宋体"/>
          <w:color w:val="auto"/>
          <w:szCs w:val="21"/>
          <w:highlight w:val="none"/>
        </w:rPr>
      </w:pPr>
      <w:r>
        <w:rPr>
          <w:rFonts w:hint="eastAsia" w:ascii="宋体" w:hAnsi="宋体" w:cs="宋体"/>
          <w:color w:val="auto"/>
          <w:szCs w:val="21"/>
          <w:highlight w:val="none"/>
        </w:rPr>
        <w:t>9.5.2投标人和其他利害关系人对招标文件、开标和评标结果事项投诉的，应当按照投标人须知的规定先向招标人提出异议。异议答复期间不计算在第9.5.1项规定的期限内。</w:t>
      </w:r>
    </w:p>
    <w:p w14:paraId="18444064">
      <w:pPr>
        <w:pStyle w:val="4"/>
        <w:spacing w:line="500" w:lineRule="exact"/>
        <w:ind w:left="-420" w:leftChars="-200" w:firstLine="369" w:firstLineChars="175"/>
        <w:rPr>
          <w:rFonts w:ascii="宋体" w:hAnsi="宋体" w:eastAsia="宋体" w:cs="宋体"/>
          <w:color w:val="auto"/>
          <w:highlight w:val="none"/>
        </w:rPr>
      </w:pPr>
      <w:r>
        <w:rPr>
          <w:rFonts w:hint="eastAsia" w:ascii="宋体" w:hAnsi="宋体" w:eastAsia="宋体" w:cs="宋体"/>
          <w:color w:val="auto"/>
          <w:highlight w:val="none"/>
        </w:rPr>
        <w:t>10.需要补充的其他内容</w:t>
      </w:r>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p>
    <w:p w14:paraId="06369838">
      <w:pPr>
        <w:spacing w:line="500" w:lineRule="exact"/>
        <w:ind w:left="-420" w:leftChars="-200" w:firstLine="367" w:firstLineChars="175"/>
        <w:jc w:val="left"/>
        <w:rPr>
          <w:rFonts w:ascii="宋体" w:hAnsi="宋体" w:cs="宋体"/>
          <w:color w:val="auto"/>
          <w:szCs w:val="21"/>
          <w:highlight w:val="none"/>
        </w:rPr>
      </w:pPr>
      <w:bookmarkStart w:id="717" w:name="_Toc15058901"/>
      <w:r>
        <w:rPr>
          <w:rFonts w:hint="eastAsia" w:ascii="宋体" w:hAnsi="宋体" w:cs="宋体"/>
          <w:color w:val="auto"/>
          <w:szCs w:val="21"/>
          <w:highlight w:val="none"/>
        </w:rPr>
        <w:t>需要补充的其他内容：见投标人须知前附表。</w:t>
      </w:r>
      <w:bookmarkEnd w:id="717"/>
    </w:p>
    <w:p w14:paraId="4041F7DE">
      <w:pPr>
        <w:spacing w:line="440" w:lineRule="exact"/>
        <w:jc w:val="left"/>
        <w:rPr>
          <w:rFonts w:ascii="宋体" w:hAnsi="宋体" w:cs="宋体"/>
          <w:color w:val="auto"/>
          <w:szCs w:val="21"/>
          <w:highlight w:val="none"/>
        </w:rPr>
      </w:pPr>
    </w:p>
    <w:p w14:paraId="4A0F42B4">
      <w:pPr>
        <w:pageBreakBefore/>
        <w:spacing w:beforeLines="80" w:afterLines="80" w:line="440" w:lineRule="exact"/>
        <w:jc w:val="center"/>
        <w:outlineLvl w:val="0"/>
        <w:rPr>
          <w:rFonts w:ascii="宋体"/>
          <w:b/>
          <w:color w:val="auto"/>
          <w:sz w:val="32"/>
          <w:szCs w:val="32"/>
          <w:highlight w:val="none"/>
        </w:rPr>
      </w:pPr>
      <w:bookmarkStart w:id="718" w:name="_Toc5501"/>
      <w:bookmarkStart w:id="719" w:name="_Toc78803375"/>
      <w:bookmarkStart w:id="720" w:name="_Toc10676"/>
      <w:r>
        <w:rPr>
          <w:rFonts w:hint="eastAsia" w:ascii="宋体"/>
          <w:b/>
          <w:color w:val="auto"/>
          <w:sz w:val="32"/>
          <w:szCs w:val="32"/>
          <w:highlight w:val="none"/>
        </w:rPr>
        <w:t>第二章  资格审查</w:t>
      </w:r>
      <w:bookmarkEnd w:id="600"/>
      <w:r>
        <w:rPr>
          <w:rFonts w:hint="eastAsia" w:ascii="宋体"/>
          <w:b/>
          <w:color w:val="auto"/>
          <w:sz w:val="32"/>
          <w:szCs w:val="32"/>
          <w:highlight w:val="none"/>
        </w:rPr>
        <w:t>办法</w:t>
      </w:r>
      <w:bookmarkEnd w:id="601"/>
      <w:bookmarkEnd w:id="602"/>
      <w:bookmarkEnd w:id="603"/>
      <w:bookmarkEnd w:id="604"/>
      <w:bookmarkEnd w:id="718"/>
      <w:bookmarkEnd w:id="719"/>
      <w:bookmarkEnd w:id="720"/>
    </w:p>
    <w:p w14:paraId="5259F9E9">
      <w:pPr>
        <w:spacing w:beforeLines="50" w:afterLines="50" w:line="440" w:lineRule="exact"/>
        <w:jc w:val="center"/>
        <w:rPr>
          <w:rFonts w:ascii="宋体" w:hAnsi="宋体" w:cs="宋体"/>
          <w:b/>
          <w:bCs/>
          <w:color w:val="auto"/>
          <w:sz w:val="28"/>
          <w:szCs w:val="22"/>
          <w:highlight w:val="none"/>
        </w:rPr>
      </w:pPr>
      <w:bookmarkStart w:id="721" w:name="_Toc35424940"/>
      <w:bookmarkStart w:id="722" w:name="_Toc35425106"/>
      <w:bookmarkStart w:id="723" w:name="_Toc324404865"/>
      <w:bookmarkStart w:id="724" w:name="_Toc506107318"/>
      <w:bookmarkStart w:id="725" w:name="_Toc15058903"/>
      <w:r>
        <w:rPr>
          <w:rFonts w:hint="eastAsia" w:ascii="宋体" w:hAnsi="宋体" w:cs="宋体"/>
          <w:b/>
          <w:bCs/>
          <w:color w:val="auto"/>
          <w:sz w:val="28"/>
          <w:szCs w:val="22"/>
          <w:highlight w:val="none"/>
        </w:rPr>
        <w:t>资格审查办法前附表</w:t>
      </w:r>
      <w:bookmarkEnd w:id="721"/>
      <w:bookmarkEnd w:id="722"/>
      <w:bookmarkEnd w:id="723"/>
      <w:bookmarkEnd w:id="724"/>
      <w:bookmarkEnd w:id="725"/>
    </w:p>
    <w:p w14:paraId="3D0CA434">
      <w:pPr>
        <w:spacing w:beforeLines="50" w:afterLines="50" w:line="440" w:lineRule="exact"/>
        <w:jc w:val="center"/>
        <w:rPr>
          <w:b/>
          <w:bCs/>
          <w:color w:val="auto"/>
          <w:sz w:val="24"/>
          <w:highlight w:val="none"/>
        </w:rPr>
      </w:pPr>
      <w:r>
        <w:rPr>
          <w:rFonts w:hint="eastAsia"/>
          <w:b/>
          <w:bCs/>
          <w:color w:val="auto"/>
          <w:sz w:val="24"/>
          <w:highlight w:val="none"/>
        </w:rPr>
        <w:t>资信证明文件评审</w:t>
      </w:r>
    </w:p>
    <w:tbl>
      <w:tblPr>
        <w:tblStyle w:val="46"/>
        <w:tblW w:w="100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1258"/>
        <w:gridCol w:w="6183"/>
        <w:gridCol w:w="1860"/>
      </w:tblGrid>
      <w:tr w14:paraId="244C8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2023" w:type="dxa"/>
            <w:gridSpan w:val="2"/>
            <w:noWrap/>
            <w:vAlign w:val="center"/>
          </w:tcPr>
          <w:p w14:paraId="295B617F">
            <w:pPr>
              <w:spacing w:line="500" w:lineRule="exact"/>
              <w:jc w:val="center"/>
              <w:rPr>
                <w:rFonts w:ascii="宋体" w:hAnsi="宋体" w:cs="宋体"/>
                <w:b/>
                <w:bCs/>
                <w:color w:val="auto"/>
                <w:szCs w:val="21"/>
                <w:highlight w:val="none"/>
              </w:rPr>
            </w:pPr>
            <w:r>
              <w:rPr>
                <w:rFonts w:hint="eastAsia" w:ascii="宋体" w:hAnsi="宋体" w:cs="宋体"/>
                <w:b/>
                <w:bCs/>
                <w:color w:val="auto"/>
                <w:szCs w:val="21"/>
                <w:highlight w:val="none"/>
              </w:rPr>
              <w:t>序号</w:t>
            </w:r>
          </w:p>
        </w:tc>
        <w:tc>
          <w:tcPr>
            <w:tcW w:w="6183" w:type="dxa"/>
            <w:noWrap/>
            <w:vAlign w:val="center"/>
          </w:tcPr>
          <w:p w14:paraId="0C174C87">
            <w:pPr>
              <w:spacing w:line="500" w:lineRule="exact"/>
              <w:jc w:val="center"/>
              <w:rPr>
                <w:rFonts w:ascii="宋体" w:hAnsi="宋体" w:cs="宋体"/>
                <w:b/>
                <w:bCs/>
                <w:color w:val="auto"/>
                <w:szCs w:val="21"/>
                <w:highlight w:val="none"/>
              </w:rPr>
            </w:pPr>
            <w:r>
              <w:rPr>
                <w:rFonts w:hint="eastAsia" w:ascii="宋体" w:hAnsi="宋体" w:cs="宋体"/>
                <w:b/>
                <w:bCs/>
                <w:color w:val="auto"/>
                <w:szCs w:val="21"/>
                <w:highlight w:val="none"/>
              </w:rPr>
              <w:t>审查内容</w:t>
            </w:r>
          </w:p>
        </w:tc>
        <w:tc>
          <w:tcPr>
            <w:tcW w:w="1860" w:type="dxa"/>
            <w:noWrap/>
            <w:vAlign w:val="center"/>
          </w:tcPr>
          <w:p w14:paraId="01994DC5">
            <w:pPr>
              <w:spacing w:line="500" w:lineRule="exact"/>
              <w:jc w:val="center"/>
              <w:rPr>
                <w:rFonts w:ascii="宋体" w:hAnsi="宋体" w:cs="宋体"/>
                <w:b/>
                <w:bCs/>
                <w:color w:val="auto"/>
                <w:szCs w:val="21"/>
                <w:highlight w:val="none"/>
              </w:rPr>
            </w:pPr>
            <w:r>
              <w:rPr>
                <w:rFonts w:hint="eastAsia" w:ascii="宋体" w:hAnsi="宋体" w:cs="宋体"/>
                <w:b/>
                <w:bCs/>
                <w:color w:val="auto"/>
                <w:szCs w:val="21"/>
                <w:highlight w:val="none"/>
              </w:rPr>
              <w:t>评审标准</w:t>
            </w:r>
          </w:p>
        </w:tc>
      </w:tr>
      <w:tr w14:paraId="707A2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65" w:type="dxa"/>
            <w:vMerge w:val="restart"/>
            <w:noWrap/>
            <w:vAlign w:val="center"/>
          </w:tcPr>
          <w:p w14:paraId="51BFF3CB">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1258" w:type="dxa"/>
            <w:vMerge w:val="restart"/>
            <w:noWrap/>
            <w:vAlign w:val="center"/>
          </w:tcPr>
          <w:p w14:paraId="7F734DB3">
            <w:pPr>
              <w:spacing w:line="500" w:lineRule="exact"/>
              <w:jc w:val="center"/>
              <w:rPr>
                <w:rFonts w:ascii="宋体" w:hAnsi="宋体" w:cs="宋体"/>
                <w:b/>
                <w:bCs/>
                <w:color w:val="auto"/>
                <w:szCs w:val="21"/>
                <w:highlight w:val="none"/>
              </w:rPr>
            </w:pPr>
            <w:r>
              <w:rPr>
                <w:rFonts w:hint="eastAsia" w:ascii="宋体" w:hAnsi="宋体" w:cs="宋体"/>
                <w:b/>
                <w:bCs/>
                <w:color w:val="auto"/>
                <w:szCs w:val="21"/>
                <w:highlight w:val="none"/>
              </w:rPr>
              <w:t>审查资料</w:t>
            </w:r>
          </w:p>
        </w:tc>
        <w:tc>
          <w:tcPr>
            <w:tcW w:w="6183" w:type="dxa"/>
            <w:noWrap/>
            <w:vAlign w:val="center"/>
          </w:tcPr>
          <w:p w14:paraId="314FD1ED">
            <w:pPr>
              <w:spacing w:line="500" w:lineRule="exact"/>
              <w:rPr>
                <w:rFonts w:ascii="宋体" w:hAnsi="宋体" w:cs="宋体"/>
                <w:color w:val="auto"/>
                <w:szCs w:val="21"/>
                <w:highlight w:val="none"/>
              </w:rPr>
            </w:pPr>
            <w:r>
              <w:rPr>
                <w:rFonts w:hint="eastAsia" w:ascii="宋体" w:hAnsi="宋体" w:cs="宋体"/>
                <w:color w:val="auto"/>
                <w:szCs w:val="21"/>
                <w:highlight w:val="none"/>
              </w:rPr>
              <w:t>法定代表人身份证明文件和本人有效身份证(或法定代表人授权委托书和委托代理人有效身份证)</w:t>
            </w:r>
          </w:p>
        </w:tc>
        <w:tc>
          <w:tcPr>
            <w:tcW w:w="1860" w:type="dxa"/>
            <w:noWrap/>
            <w:vAlign w:val="center"/>
          </w:tcPr>
          <w:p w14:paraId="1B588B9B">
            <w:pPr>
              <w:spacing w:line="500" w:lineRule="exact"/>
              <w:jc w:val="center"/>
              <w:rPr>
                <w:rFonts w:ascii="宋体" w:hAnsi="宋体" w:cs="宋体"/>
                <w:b/>
                <w:color w:val="auto"/>
                <w:szCs w:val="21"/>
                <w:highlight w:val="none"/>
              </w:rPr>
            </w:pPr>
            <w:r>
              <w:rPr>
                <w:rFonts w:hint="eastAsia" w:ascii="宋体" w:hAnsi="宋体" w:cs="宋体"/>
                <w:b/>
                <w:color w:val="auto"/>
                <w:szCs w:val="21"/>
                <w:highlight w:val="none"/>
              </w:rPr>
              <w:t>检验电子标书</w:t>
            </w:r>
          </w:p>
        </w:tc>
      </w:tr>
      <w:tr w14:paraId="40D7E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65" w:type="dxa"/>
            <w:vMerge w:val="continue"/>
            <w:noWrap/>
            <w:vAlign w:val="center"/>
          </w:tcPr>
          <w:p w14:paraId="56EE17C5">
            <w:pPr>
              <w:spacing w:line="500" w:lineRule="exact"/>
              <w:jc w:val="center"/>
              <w:rPr>
                <w:rFonts w:ascii="宋体" w:hAnsi="宋体" w:cs="宋体"/>
                <w:color w:val="auto"/>
                <w:szCs w:val="21"/>
                <w:highlight w:val="none"/>
              </w:rPr>
            </w:pPr>
          </w:p>
        </w:tc>
        <w:tc>
          <w:tcPr>
            <w:tcW w:w="1258" w:type="dxa"/>
            <w:vMerge w:val="continue"/>
            <w:noWrap/>
            <w:vAlign w:val="center"/>
          </w:tcPr>
          <w:p w14:paraId="42DD9DF7">
            <w:pPr>
              <w:spacing w:line="500" w:lineRule="exact"/>
              <w:jc w:val="center"/>
              <w:rPr>
                <w:rFonts w:ascii="宋体" w:hAnsi="宋体" w:cs="宋体"/>
                <w:b/>
                <w:bCs/>
                <w:color w:val="auto"/>
                <w:szCs w:val="21"/>
                <w:highlight w:val="none"/>
              </w:rPr>
            </w:pPr>
          </w:p>
        </w:tc>
        <w:tc>
          <w:tcPr>
            <w:tcW w:w="6183" w:type="dxa"/>
            <w:noWrap/>
            <w:vAlign w:val="center"/>
          </w:tcPr>
          <w:p w14:paraId="5C4AE7AC">
            <w:pPr>
              <w:spacing w:line="500" w:lineRule="exact"/>
              <w:rPr>
                <w:rFonts w:ascii="宋体" w:hAnsi="宋体" w:cs="宋体"/>
                <w:color w:val="auto"/>
                <w:szCs w:val="21"/>
                <w:highlight w:val="none"/>
              </w:rPr>
            </w:pPr>
            <w:r>
              <w:rPr>
                <w:rFonts w:hint="eastAsia" w:ascii="宋体" w:hAnsi="宋体" w:cs="宋体"/>
                <w:color w:val="auto"/>
                <w:szCs w:val="21"/>
                <w:highlight w:val="none"/>
              </w:rPr>
              <w:t>诚信投标承诺书（格式见附件）</w:t>
            </w:r>
          </w:p>
        </w:tc>
        <w:tc>
          <w:tcPr>
            <w:tcW w:w="1860" w:type="dxa"/>
            <w:vMerge w:val="restart"/>
            <w:noWrap/>
            <w:vAlign w:val="center"/>
          </w:tcPr>
          <w:p w14:paraId="64B07F0E">
            <w:pPr>
              <w:spacing w:line="500" w:lineRule="exact"/>
              <w:jc w:val="center"/>
              <w:rPr>
                <w:rFonts w:ascii="宋体" w:hAnsi="宋体" w:cs="宋体"/>
                <w:b/>
                <w:color w:val="auto"/>
                <w:szCs w:val="21"/>
                <w:highlight w:val="none"/>
              </w:rPr>
            </w:pPr>
            <w:r>
              <w:rPr>
                <w:rFonts w:hint="eastAsia" w:ascii="宋体" w:hAnsi="宋体" w:cs="宋体"/>
                <w:b/>
                <w:color w:val="auto"/>
                <w:szCs w:val="21"/>
                <w:highlight w:val="none"/>
              </w:rPr>
              <w:t>检验电子标书</w:t>
            </w:r>
          </w:p>
        </w:tc>
      </w:tr>
      <w:tr w14:paraId="4CBF9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65" w:type="dxa"/>
            <w:vMerge w:val="continue"/>
            <w:noWrap/>
            <w:vAlign w:val="center"/>
          </w:tcPr>
          <w:p w14:paraId="1F4196B4">
            <w:pPr>
              <w:spacing w:line="500" w:lineRule="exact"/>
              <w:jc w:val="center"/>
              <w:rPr>
                <w:rFonts w:ascii="宋体" w:hAnsi="宋体" w:cs="宋体"/>
                <w:color w:val="auto"/>
                <w:szCs w:val="21"/>
                <w:highlight w:val="none"/>
              </w:rPr>
            </w:pPr>
          </w:p>
        </w:tc>
        <w:tc>
          <w:tcPr>
            <w:tcW w:w="1258" w:type="dxa"/>
            <w:vMerge w:val="continue"/>
            <w:noWrap/>
            <w:vAlign w:val="center"/>
          </w:tcPr>
          <w:p w14:paraId="12D1AD1A">
            <w:pPr>
              <w:spacing w:line="500" w:lineRule="exact"/>
              <w:jc w:val="center"/>
              <w:rPr>
                <w:rFonts w:ascii="宋体" w:hAnsi="宋体" w:cs="宋体"/>
                <w:b/>
                <w:bCs/>
                <w:color w:val="auto"/>
                <w:szCs w:val="21"/>
                <w:highlight w:val="none"/>
              </w:rPr>
            </w:pPr>
          </w:p>
        </w:tc>
        <w:tc>
          <w:tcPr>
            <w:tcW w:w="6183" w:type="dxa"/>
            <w:noWrap/>
            <w:vAlign w:val="center"/>
          </w:tcPr>
          <w:p w14:paraId="41F098EF">
            <w:pPr>
              <w:spacing w:line="500" w:lineRule="exact"/>
              <w:rPr>
                <w:rFonts w:ascii="宋体" w:hAnsi="宋体" w:cs="宋体"/>
                <w:color w:val="auto"/>
                <w:szCs w:val="21"/>
                <w:highlight w:val="none"/>
              </w:rPr>
            </w:pPr>
            <w:r>
              <w:rPr>
                <w:rFonts w:hint="eastAsia" w:ascii="宋体" w:hAnsi="宋体" w:cs="宋体"/>
                <w:color w:val="auto"/>
                <w:szCs w:val="21"/>
                <w:highlight w:val="none"/>
              </w:rPr>
              <w:t>企业法人营业执照</w:t>
            </w:r>
          </w:p>
        </w:tc>
        <w:tc>
          <w:tcPr>
            <w:tcW w:w="1860" w:type="dxa"/>
            <w:vMerge w:val="continue"/>
            <w:noWrap/>
            <w:vAlign w:val="center"/>
          </w:tcPr>
          <w:p w14:paraId="64C90BA1">
            <w:pPr>
              <w:spacing w:line="500" w:lineRule="exact"/>
              <w:rPr>
                <w:rFonts w:ascii="宋体" w:hAnsi="宋体" w:cs="宋体"/>
                <w:b/>
                <w:color w:val="auto"/>
                <w:szCs w:val="21"/>
                <w:highlight w:val="none"/>
              </w:rPr>
            </w:pPr>
          </w:p>
        </w:tc>
      </w:tr>
      <w:tr w14:paraId="75BE9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65" w:type="dxa"/>
            <w:vMerge w:val="continue"/>
            <w:noWrap/>
            <w:vAlign w:val="center"/>
          </w:tcPr>
          <w:p w14:paraId="0C90E0DC">
            <w:pPr>
              <w:spacing w:line="500" w:lineRule="exact"/>
              <w:jc w:val="center"/>
              <w:rPr>
                <w:rFonts w:ascii="宋体" w:hAnsi="宋体" w:cs="宋体"/>
                <w:color w:val="auto"/>
                <w:szCs w:val="21"/>
                <w:highlight w:val="none"/>
              </w:rPr>
            </w:pPr>
          </w:p>
        </w:tc>
        <w:tc>
          <w:tcPr>
            <w:tcW w:w="1258" w:type="dxa"/>
            <w:vMerge w:val="continue"/>
            <w:noWrap/>
            <w:vAlign w:val="center"/>
          </w:tcPr>
          <w:p w14:paraId="6A56D459">
            <w:pPr>
              <w:spacing w:line="500" w:lineRule="exact"/>
              <w:jc w:val="center"/>
              <w:rPr>
                <w:rFonts w:ascii="宋体" w:hAnsi="宋体" w:cs="宋体"/>
                <w:b/>
                <w:bCs/>
                <w:color w:val="auto"/>
                <w:szCs w:val="21"/>
                <w:highlight w:val="none"/>
              </w:rPr>
            </w:pPr>
          </w:p>
        </w:tc>
        <w:tc>
          <w:tcPr>
            <w:tcW w:w="6183" w:type="dxa"/>
            <w:noWrap/>
            <w:vAlign w:val="center"/>
          </w:tcPr>
          <w:p w14:paraId="541817D8">
            <w:pPr>
              <w:spacing w:line="500" w:lineRule="exact"/>
              <w:rPr>
                <w:rFonts w:ascii="宋体" w:hAnsi="宋体" w:cs="宋体"/>
                <w:color w:val="auto"/>
                <w:szCs w:val="21"/>
                <w:highlight w:val="none"/>
              </w:rPr>
            </w:pPr>
            <w:r>
              <w:rPr>
                <w:rFonts w:hint="eastAsia" w:ascii="宋体" w:hAnsi="宋体" w:cs="宋体"/>
                <w:color w:val="auto"/>
                <w:szCs w:val="21"/>
                <w:highlight w:val="none"/>
              </w:rPr>
              <w:t>企业资质证书</w:t>
            </w:r>
          </w:p>
        </w:tc>
        <w:tc>
          <w:tcPr>
            <w:tcW w:w="1860" w:type="dxa"/>
            <w:vMerge w:val="continue"/>
            <w:noWrap/>
            <w:vAlign w:val="center"/>
          </w:tcPr>
          <w:p w14:paraId="3A5D91C4">
            <w:pPr>
              <w:spacing w:line="500" w:lineRule="exact"/>
              <w:rPr>
                <w:rFonts w:ascii="宋体" w:hAnsi="宋体" w:cs="宋体"/>
                <w:color w:val="auto"/>
                <w:szCs w:val="21"/>
                <w:highlight w:val="none"/>
              </w:rPr>
            </w:pPr>
          </w:p>
        </w:tc>
      </w:tr>
      <w:tr w14:paraId="30977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65" w:type="dxa"/>
            <w:vMerge w:val="continue"/>
            <w:noWrap/>
            <w:vAlign w:val="center"/>
          </w:tcPr>
          <w:p w14:paraId="25EAD474">
            <w:pPr>
              <w:spacing w:line="500" w:lineRule="exact"/>
              <w:jc w:val="center"/>
              <w:rPr>
                <w:rFonts w:ascii="宋体" w:hAnsi="宋体" w:cs="宋体"/>
                <w:color w:val="auto"/>
                <w:szCs w:val="21"/>
                <w:highlight w:val="none"/>
              </w:rPr>
            </w:pPr>
          </w:p>
        </w:tc>
        <w:tc>
          <w:tcPr>
            <w:tcW w:w="1258" w:type="dxa"/>
            <w:vMerge w:val="continue"/>
            <w:noWrap/>
            <w:vAlign w:val="center"/>
          </w:tcPr>
          <w:p w14:paraId="60743048">
            <w:pPr>
              <w:spacing w:line="500" w:lineRule="exact"/>
              <w:jc w:val="center"/>
              <w:rPr>
                <w:rFonts w:ascii="宋体" w:hAnsi="宋体" w:cs="宋体"/>
                <w:b/>
                <w:bCs/>
                <w:color w:val="auto"/>
                <w:szCs w:val="21"/>
                <w:highlight w:val="none"/>
              </w:rPr>
            </w:pPr>
          </w:p>
        </w:tc>
        <w:tc>
          <w:tcPr>
            <w:tcW w:w="6183" w:type="dxa"/>
            <w:noWrap/>
          </w:tcPr>
          <w:p w14:paraId="6A5E1AF3">
            <w:pPr>
              <w:adjustRightInd w:val="0"/>
              <w:snapToGrid w:val="0"/>
              <w:spacing w:line="500" w:lineRule="exact"/>
              <w:rPr>
                <w:rFonts w:ascii="宋体" w:hAnsi="宋体" w:cs="宋体"/>
                <w:color w:val="auto"/>
                <w:szCs w:val="21"/>
                <w:highlight w:val="none"/>
              </w:rPr>
            </w:pPr>
            <w:r>
              <w:rPr>
                <w:rFonts w:hint="eastAsia" w:ascii="宋体" w:hAnsi="宋体" w:cs="宋体"/>
                <w:color w:val="auto"/>
                <w:szCs w:val="21"/>
                <w:highlight w:val="none"/>
              </w:rPr>
              <w:t>企业安全生产许可证</w:t>
            </w:r>
          </w:p>
        </w:tc>
        <w:tc>
          <w:tcPr>
            <w:tcW w:w="1860" w:type="dxa"/>
            <w:vMerge w:val="continue"/>
            <w:noWrap/>
            <w:vAlign w:val="center"/>
          </w:tcPr>
          <w:p w14:paraId="162E5A79">
            <w:pPr>
              <w:spacing w:line="500" w:lineRule="exact"/>
              <w:rPr>
                <w:rFonts w:ascii="宋体" w:hAnsi="宋体" w:cs="宋体"/>
                <w:color w:val="auto"/>
                <w:szCs w:val="21"/>
                <w:highlight w:val="none"/>
              </w:rPr>
            </w:pPr>
          </w:p>
        </w:tc>
      </w:tr>
      <w:tr w14:paraId="1EFFB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765" w:type="dxa"/>
            <w:vMerge w:val="continue"/>
            <w:noWrap/>
            <w:vAlign w:val="center"/>
          </w:tcPr>
          <w:p w14:paraId="5669FDA3">
            <w:pPr>
              <w:spacing w:line="500" w:lineRule="exact"/>
              <w:jc w:val="center"/>
              <w:rPr>
                <w:rFonts w:ascii="宋体" w:hAnsi="宋体" w:cs="宋体"/>
                <w:color w:val="auto"/>
                <w:szCs w:val="21"/>
                <w:highlight w:val="none"/>
              </w:rPr>
            </w:pPr>
          </w:p>
        </w:tc>
        <w:tc>
          <w:tcPr>
            <w:tcW w:w="1258" w:type="dxa"/>
            <w:vMerge w:val="continue"/>
            <w:noWrap/>
            <w:vAlign w:val="center"/>
          </w:tcPr>
          <w:p w14:paraId="1D2B0074">
            <w:pPr>
              <w:spacing w:line="500" w:lineRule="exact"/>
              <w:jc w:val="center"/>
              <w:rPr>
                <w:rFonts w:ascii="宋体" w:hAnsi="宋体" w:cs="宋体"/>
                <w:b/>
                <w:bCs/>
                <w:color w:val="auto"/>
                <w:szCs w:val="21"/>
                <w:highlight w:val="none"/>
              </w:rPr>
            </w:pPr>
          </w:p>
        </w:tc>
        <w:tc>
          <w:tcPr>
            <w:tcW w:w="6183" w:type="dxa"/>
            <w:noWrap/>
          </w:tcPr>
          <w:p w14:paraId="20189B1E">
            <w:pPr>
              <w:adjustRightInd w:val="0"/>
              <w:snapToGrid w:val="0"/>
              <w:spacing w:line="500" w:lineRule="exact"/>
              <w:rPr>
                <w:rFonts w:ascii="宋体" w:hAnsi="宋体" w:cs="宋体"/>
                <w:color w:val="auto"/>
                <w:szCs w:val="21"/>
                <w:highlight w:val="none"/>
              </w:rPr>
            </w:pPr>
            <w:r>
              <w:rPr>
                <w:rFonts w:hint="eastAsia" w:ascii="宋体" w:hAnsi="宋体" w:cs="宋体"/>
                <w:color w:val="auto"/>
                <w:szCs w:val="21"/>
                <w:highlight w:val="none"/>
              </w:rPr>
              <w:t>项目经理（建造师）有效身份证、注册证书以及安全生产考核合格证书（B证）</w:t>
            </w:r>
          </w:p>
        </w:tc>
        <w:tc>
          <w:tcPr>
            <w:tcW w:w="1860" w:type="dxa"/>
            <w:vMerge w:val="continue"/>
            <w:noWrap/>
            <w:vAlign w:val="center"/>
          </w:tcPr>
          <w:p w14:paraId="7B358A1E">
            <w:pPr>
              <w:spacing w:line="500" w:lineRule="exact"/>
              <w:rPr>
                <w:rFonts w:ascii="宋体" w:hAnsi="宋体" w:cs="宋体"/>
                <w:color w:val="auto"/>
                <w:szCs w:val="21"/>
                <w:highlight w:val="none"/>
              </w:rPr>
            </w:pPr>
          </w:p>
        </w:tc>
      </w:tr>
      <w:tr w14:paraId="239AE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3" w:hRule="atLeast"/>
          <w:jc w:val="center"/>
        </w:trPr>
        <w:tc>
          <w:tcPr>
            <w:tcW w:w="765" w:type="dxa"/>
            <w:vMerge w:val="continue"/>
            <w:noWrap/>
            <w:vAlign w:val="center"/>
          </w:tcPr>
          <w:p w14:paraId="6BFE3B03">
            <w:pPr>
              <w:spacing w:line="500" w:lineRule="exact"/>
              <w:jc w:val="center"/>
              <w:rPr>
                <w:rFonts w:ascii="宋体" w:hAnsi="宋体" w:cs="宋体"/>
                <w:color w:val="auto"/>
                <w:szCs w:val="21"/>
                <w:highlight w:val="none"/>
              </w:rPr>
            </w:pPr>
          </w:p>
        </w:tc>
        <w:tc>
          <w:tcPr>
            <w:tcW w:w="1258" w:type="dxa"/>
            <w:vMerge w:val="continue"/>
            <w:noWrap/>
            <w:vAlign w:val="center"/>
          </w:tcPr>
          <w:p w14:paraId="15D18972">
            <w:pPr>
              <w:spacing w:line="500" w:lineRule="exact"/>
              <w:jc w:val="center"/>
              <w:rPr>
                <w:rFonts w:ascii="宋体" w:hAnsi="宋体" w:cs="宋体"/>
                <w:b/>
                <w:bCs/>
                <w:color w:val="auto"/>
                <w:szCs w:val="21"/>
                <w:highlight w:val="none"/>
              </w:rPr>
            </w:pPr>
          </w:p>
        </w:tc>
        <w:tc>
          <w:tcPr>
            <w:tcW w:w="6183" w:type="dxa"/>
            <w:noWrap/>
          </w:tcPr>
          <w:p w14:paraId="7D7D328F">
            <w:pPr>
              <w:spacing w:line="500" w:lineRule="exact"/>
              <w:rPr>
                <w:rFonts w:ascii="宋体" w:hAnsi="宋体" w:cs="宋体"/>
                <w:color w:val="auto"/>
                <w:highlight w:val="none"/>
              </w:rPr>
            </w:pPr>
            <w:r>
              <w:rPr>
                <w:rFonts w:hint="eastAsia" w:ascii="宋体" w:hAnsi="宋体" w:cs="宋体"/>
                <w:color w:val="auto"/>
                <w:szCs w:val="21"/>
                <w:highlight w:val="none"/>
              </w:rPr>
              <w:t>投标人的法定代表人(或委托代理人)和拟任项目经理（建造师）须持有社保部门出具的本单位为其缴纳的投标前近三个月连续的养老保险证明（证明文件两个月内有效）（同一人担任不同公司法定代表人的，该法定代表人参加本项目投标时须提供本人在其他公司任法定代表人的营业执照及为其缴纳养老保险证明材料），投标人是事业单位的，暂未缴纳养老保险的，须由其主管部门出具证明；</w:t>
            </w:r>
          </w:p>
        </w:tc>
        <w:tc>
          <w:tcPr>
            <w:tcW w:w="1860" w:type="dxa"/>
            <w:vMerge w:val="continue"/>
            <w:noWrap/>
            <w:vAlign w:val="center"/>
          </w:tcPr>
          <w:p w14:paraId="759CA730">
            <w:pPr>
              <w:spacing w:line="500" w:lineRule="exact"/>
              <w:rPr>
                <w:rFonts w:ascii="宋体" w:hAnsi="宋体" w:cs="宋体"/>
                <w:color w:val="auto"/>
                <w:szCs w:val="21"/>
                <w:highlight w:val="none"/>
              </w:rPr>
            </w:pPr>
          </w:p>
        </w:tc>
      </w:tr>
    </w:tbl>
    <w:p w14:paraId="79A69DA1">
      <w:pPr>
        <w:spacing w:line="500" w:lineRule="exact"/>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重要提示：</w:t>
      </w:r>
    </w:p>
    <w:p w14:paraId="5BA9A94D">
      <w:pPr>
        <w:spacing w:line="500" w:lineRule="exact"/>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（1）评标专家在检验电子投标文件过程中，如果由于投标人自身原因导致评标专家无法查看并检验电子投标文件中相关资料的，视为无效标处理。即使投标人将原件携带至现场的，同样按无效标处理。</w:t>
      </w:r>
    </w:p>
    <w:p w14:paraId="3CB31E68">
      <w:pPr>
        <w:spacing w:line="500" w:lineRule="exact"/>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2）投标人拟委任项目经理为注册建造师（含一级、二级）的，须提供有效的纸质版电子证书。投标人打印纸质电子证书后，应由建造师本人在个人签名栏手写本人签名，或附其本人知情承诺，未手写签名或与签名图片笔迹不一致的，该打印的纸质证书无效（其他省份建造师电子证书执行该省现行政策规定）。投标人应对其提供的纸质版电子证书真实性、有效性负责。投标人提供的安徽省新版二级建造师电子注册证书纸质版需在安徽省住房和城乡建设执业资格注册管理系统中打印，打印后应由二级建造师本人在证书的个人签名处手写本人签名，或在新版二级建造师电子注册证书纸质版后附其本人知情承诺（视为个人签名处的手写本人签名），格式自拟。未手写个人签名或未提供二级建造师本人知情承诺的，个人签名或知情承诺签字与签名图片笔迹不一致，此证书无效。其他省份按各省相关规定执行。</w:t>
      </w:r>
    </w:p>
    <w:p w14:paraId="2B167427">
      <w:pPr>
        <w:pStyle w:val="4"/>
        <w:spacing w:beforeLines="50" w:afterLines="50" w:line="500" w:lineRule="exact"/>
        <w:ind w:firstLine="422" w:firstLineChars="200"/>
        <w:rPr>
          <w:rFonts w:ascii="宋体" w:hAnsi="宋体" w:eastAsia="宋体" w:cs="宋体"/>
          <w:color w:val="auto"/>
          <w:highlight w:val="none"/>
        </w:rPr>
      </w:pPr>
      <w:bookmarkStart w:id="726" w:name="_Toc12549"/>
      <w:bookmarkStart w:id="727" w:name="_Toc78803377"/>
      <w:bookmarkStart w:id="728" w:name="_Toc35425108"/>
      <w:bookmarkStart w:id="729" w:name="_Toc35424942"/>
      <w:bookmarkStart w:id="730" w:name="_Toc15058909"/>
      <w:bookmarkStart w:id="731" w:name="_Toc506107320"/>
      <w:bookmarkStart w:id="732" w:name="_Toc324404867"/>
      <w:r>
        <w:rPr>
          <w:rFonts w:hint="eastAsia" w:ascii="宋体" w:hAnsi="宋体" w:eastAsia="宋体" w:cs="宋体"/>
          <w:color w:val="auto"/>
          <w:highlight w:val="none"/>
        </w:rPr>
        <w:t>2.审查办法</w:t>
      </w:r>
      <w:bookmarkEnd w:id="726"/>
      <w:bookmarkEnd w:id="727"/>
      <w:bookmarkEnd w:id="728"/>
      <w:bookmarkEnd w:id="729"/>
      <w:bookmarkEnd w:id="730"/>
      <w:bookmarkEnd w:id="731"/>
      <w:bookmarkEnd w:id="732"/>
    </w:p>
    <w:p w14:paraId="6E01EE89">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由资格审查委员会（评标委员会）按资格审查办法前附表中资格审查必要合格条件评审表要求对投标人审查资料进行核验。</w:t>
      </w:r>
    </w:p>
    <w:p w14:paraId="0F90281E">
      <w:pPr>
        <w:pStyle w:val="4"/>
        <w:spacing w:beforeLines="50" w:afterLines="50" w:line="500" w:lineRule="exact"/>
        <w:ind w:firstLine="422" w:firstLineChars="200"/>
        <w:rPr>
          <w:rFonts w:ascii="宋体" w:hAnsi="宋体" w:eastAsia="宋体" w:cs="宋体"/>
          <w:color w:val="auto"/>
          <w:highlight w:val="none"/>
        </w:rPr>
      </w:pPr>
      <w:bookmarkStart w:id="733" w:name="_Toc35425109"/>
      <w:bookmarkStart w:id="734" w:name="_Toc78803378"/>
      <w:bookmarkStart w:id="735" w:name="_Toc35424943"/>
      <w:bookmarkStart w:id="736" w:name="_Toc506107321"/>
      <w:bookmarkStart w:id="737" w:name="_Toc15058910"/>
      <w:bookmarkStart w:id="738" w:name="_Toc15626"/>
      <w:bookmarkStart w:id="739" w:name="_Toc324404868"/>
      <w:r>
        <w:rPr>
          <w:rFonts w:hint="eastAsia" w:ascii="宋体" w:hAnsi="宋体" w:eastAsia="宋体" w:cs="宋体"/>
          <w:color w:val="auto"/>
          <w:highlight w:val="none"/>
        </w:rPr>
        <w:t>3.资格审查委员会和审查标准</w:t>
      </w:r>
      <w:bookmarkEnd w:id="733"/>
      <w:bookmarkEnd w:id="734"/>
      <w:bookmarkEnd w:id="735"/>
      <w:bookmarkEnd w:id="736"/>
      <w:bookmarkEnd w:id="737"/>
      <w:bookmarkEnd w:id="738"/>
      <w:bookmarkEnd w:id="739"/>
    </w:p>
    <w:p w14:paraId="29F219EE">
      <w:pPr>
        <w:spacing w:line="500" w:lineRule="exact"/>
        <w:ind w:firstLine="420" w:firstLineChars="200"/>
        <w:jc w:val="left"/>
        <w:rPr>
          <w:rFonts w:ascii="宋体" w:hAnsi="宋体" w:cs="宋体"/>
          <w:color w:val="auto"/>
          <w:szCs w:val="21"/>
          <w:highlight w:val="none"/>
        </w:rPr>
      </w:pPr>
      <w:bookmarkStart w:id="740" w:name="_Toc35424944"/>
      <w:bookmarkStart w:id="741" w:name="_Toc10330"/>
      <w:bookmarkStart w:id="742" w:name="_Toc15058911"/>
      <w:bookmarkStart w:id="743" w:name="_Toc506107322"/>
      <w:bookmarkStart w:id="744" w:name="_Toc35425110"/>
      <w:bookmarkStart w:id="745" w:name="_Toc78803379"/>
      <w:bookmarkStart w:id="746" w:name="_Toc324404869"/>
      <w:r>
        <w:rPr>
          <w:rFonts w:hint="eastAsia" w:ascii="宋体" w:hAnsi="宋体" w:cs="宋体"/>
          <w:color w:val="auto"/>
          <w:szCs w:val="21"/>
          <w:highlight w:val="none"/>
        </w:rPr>
        <w:t>3.1资格审查由招标人依法组建的资格审查委员会（或评标委员会）负责。审查标准见资格审查办法前附表。</w:t>
      </w:r>
    </w:p>
    <w:p w14:paraId="0339FE78">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3.2由资格审查委员会（评标委员会）按资格审查办法前附表要求对投标人的审查资料进行核验。投标申请人有下列情形之一的，其资格审查为不合格： </w:t>
      </w:r>
    </w:p>
    <w:p w14:paraId="0685A610">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（1）未上传电子标书或电子标书经审查不合格；</w:t>
      </w:r>
    </w:p>
    <w:p w14:paraId="7E7A0B2A">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（2）未按招标公告要求提交投标保证金的；</w:t>
      </w:r>
    </w:p>
    <w:p w14:paraId="495257AB">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（3）法律、法规规定的其他情形。</w:t>
      </w:r>
    </w:p>
    <w:p w14:paraId="1C43D06B">
      <w:pPr>
        <w:pStyle w:val="4"/>
        <w:spacing w:beforeLines="50" w:afterLines="50" w:line="500" w:lineRule="exact"/>
        <w:ind w:firstLine="422" w:firstLineChars="200"/>
        <w:rPr>
          <w:rFonts w:ascii="宋体" w:hAnsi="宋体" w:eastAsia="宋体" w:cs="宋体"/>
          <w:color w:val="auto"/>
          <w:highlight w:val="none"/>
        </w:rPr>
      </w:pPr>
      <w:r>
        <w:rPr>
          <w:rFonts w:hint="eastAsia" w:ascii="宋体" w:hAnsi="宋体" w:eastAsia="宋体" w:cs="宋体"/>
          <w:color w:val="auto"/>
          <w:highlight w:val="none"/>
        </w:rPr>
        <w:t>4.审查结果</w:t>
      </w:r>
      <w:bookmarkEnd w:id="740"/>
      <w:bookmarkEnd w:id="741"/>
      <w:bookmarkEnd w:id="742"/>
      <w:bookmarkEnd w:id="743"/>
      <w:bookmarkEnd w:id="744"/>
      <w:bookmarkEnd w:id="745"/>
      <w:bookmarkEnd w:id="746"/>
    </w:p>
    <w:p w14:paraId="0CF2AF5E">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highlight w:val="none"/>
        </w:rPr>
        <w:t>只有通过资格审查的投标人才能进入下一步的评标程序。</w:t>
      </w:r>
      <w:bookmarkStart w:id="747" w:name="_Toc506107323"/>
    </w:p>
    <w:p w14:paraId="10BAEF2B">
      <w:pPr>
        <w:pStyle w:val="3"/>
        <w:numPr>
          <w:ilvl w:val="0"/>
          <w:numId w:val="3"/>
        </w:numPr>
        <w:spacing w:beforeLines="50" w:afterLines="50"/>
        <w:rPr>
          <w:rFonts w:hint="eastAsia" w:ascii="Arial" w:hAnsi="Arial"/>
          <w:color w:val="auto"/>
          <w:kern w:val="0"/>
          <w:sz w:val="32"/>
          <w:szCs w:val="32"/>
          <w:highlight w:val="none"/>
        </w:rPr>
      </w:pPr>
      <w:bookmarkStart w:id="748" w:name="_Toc35424945"/>
      <w:bookmarkStart w:id="749" w:name="_Toc35425111"/>
      <w:bookmarkStart w:id="750" w:name="_Toc15058912"/>
      <w:r>
        <w:rPr>
          <w:rFonts w:hint="eastAsia"/>
          <w:color w:val="auto"/>
          <w:highlight w:val="none"/>
        </w:rPr>
        <w:br w:type="page"/>
      </w:r>
      <w:bookmarkEnd w:id="605"/>
      <w:bookmarkEnd w:id="747"/>
      <w:bookmarkEnd w:id="748"/>
      <w:bookmarkEnd w:id="749"/>
      <w:bookmarkEnd w:id="750"/>
      <w:bookmarkStart w:id="751" w:name="_Toc78803380"/>
      <w:bookmarkStart w:id="752" w:name="_Toc23648669"/>
      <w:bookmarkStart w:id="753" w:name="_Toc35424962"/>
      <w:bookmarkStart w:id="754" w:name="_Toc15058927"/>
      <w:bookmarkStart w:id="755" w:name="_Toc35425128"/>
      <w:bookmarkStart w:id="756" w:name="_Toc78803397"/>
      <w:bookmarkStart w:id="757" w:name="_Toc506107333"/>
      <w:bookmarkStart w:id="758" w:name="_Toc152042546"/>
      <w:bookmarkStart w:id="759" w:name="_Toc144974826"/>
      <w:bookmarkStart w:id="760" w:name="_Toc152045767"/>
      <w:bookmarkStart w:id="761" w:name="_Toc179632785"/>
      <w:r>
        <w:rPr>
          <w:rFonts w:hint="eastAsia" w:ascii="Arial" w:hAnsi="Arial"/>
          <w:color w:val="auto"/>
          <w:kern w:val="0"/>
          <w:sz w:val="32"/>
          <w:szCs w:val="32"/>
          <w:highlight w:val="none"/>
        </w:rPr>
        <w:t xml:space="preserve"> </w:t>
      </w:r>
      <w:bookmarkStart w:id="762" w:name="_Toc32602"/>
      <w:bookmarkStart w:id="763" w:name="_Toc30518"/>
      <w:bookmarkStart w:id="764" w:name="_Toc1286"/>
      <w:r>
        <w:rPr>
          <w:rFonts w:hint="eastAsia" w:ascii="Arial" w:hAnsi="Arial"/>
          <w:color w:val="auto"/>
          <w:kern w:val="0"/>
          <w:sz w:val="32"/>
          <w:szCs w:val="32"/>
          <w:highlight w:val="none"/>
        </w:rPr>
        <w:t>评标办法</w:t>
      </w:r>
      <w:bookmarkEnd w:id="751"/>
      <w:bookmarkEnd w:id="762"/>
      <w:bookmarkEnd w:id="763"/>
      <w:bookmarkEnd w:id="764"/>
    </w:p>
    <w:p w14:paraId="375E7FC1">
      <w:pPr>
        <w:pStyle w:val="27"/>
        <w:keepNext w:val="0"/>
        <w:keepLines w:val="0"/>
        <w:pageBreakBefore w:val="0"/>
        <w:widowControl w:val="0"/>
        <w:numPr>
          <w:ilvl w:val="0"/>
          <w:numId w:val="0"/>
        </w:numPr>
        <w:kinsoku/>
        <w:wordWrap/>
        <w:overflowPunct/>
        <w:topLinePunct w:val="0"/>
        <w:autoSpaceDE/>
        <w:autoSpaceDN/>
        <w:bidi w:val="0"/>
        <w:adjustRightInd/>
        <w:snapToGrid/>
        <w:spacing w:before="95" w:beforeLines="30" w:after="95" w:afterLines="30" w:line="440" w:lineRule="exact"/>
        <w:ind w:leftChars="200"/>
        <w:jc w:val="center"/>
        <w:textAlignment w:val="auto"/>
        <w:rPr>
          <w:rFonts w:hint="eastAsia" w:ascii="Times New Roman" w:hAnsi="Times New Roman" w:eastAsia="宋体" w:cs="Times New Roman"/>
          <w:b/>
          <w:color w:val="auto"/>
          <w:sz w:val="24"/>
          <w:szCs w:val="24"/>
          <w:highlight w:val="none"/>
          <w:lang w:val="en-US" w:eastAsia="zh-CN"/>
        </w:rPr>
      </w:pPr>
      <w:r>
        <w:rPr>
          <w:rFonts w:hint="eastAsia" w:ascii="Times New Roman" w:hAnsi="Times New Roman" w:eastAsia="宋体" w:cs="Times New Roman"/>
          <w:b/>
          <w:color w:val="auto"/>
          <w:sz w:val="24"/>
          <w:szCs w:val="24"/>
          <w:highlight w:val="none"/>
          <w:lang w:val="en-US" w:eastAsia="zh-CN"/>
        </w:rPr>
        <w:t>（一）商务标评审</w:t>
      </w:r>
    </w:p>
    <w:tbl>
      <w:tblPr>
        <w:tblStyle w:val="46"/>
        <w:tblW w:w="101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84"/>
        <w:gridCol w:w="776"/>
        <w:gridCol w:w="708"/>
        <w:gridCol w:w="2127"/>
        <w:gridCol w:w="5794"/>
      </w:tblGrid>
      <w:tr w14:paraId="0046D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5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6511C3B">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bookmarkStart w:id="765" w:name="_Toc324404872"/>
            <w:bookmarkStart w:id="766" w:name="_Toc35425113"/>
            <w:bookmarkStart w:id="767" w:name="_Toc246996232"/>
            <w:bookmarkStart w:id="768" w:name="_Toc152045589"/>
            <w:bookmarkStart w:id="769" w:name="_Toc152042366"/>
            <w:bookmarkStart w:id="770" w:name="_Toc179632607"/>
            <w:bookmarkStart w:id="771" w:name="_Toc247085747"/>
            <w:bookmarkStart w:id="772" w:name="_Toc506107324"/>
            <w:bookmarkStart w:id="773" w:name="_Toc35424947"/>
            <w:bookmarkStart w:id="774" w:name="_Toc78803381"/>
            <w:bookmarkStart w:id="775" w:name="_Toc15058913"/>
            <w:bookmarkStart w:id="776" w:name="_Toc6491"/>
            <w:bookmarkStart w:id="777" w:name="_Toc246996975"/>
            <w:bookmarkStart w:id="778" w:name="_Toc144974556"/>
            <w:r>
              <w:rPr>
                <w:rFonts w:hint="eastAsia" w:ascii="宋体" w:hAnsi="宋体" w:eastAsia="宋体" w:cs="宋体"/>
                <w:color w:val="auto"/>
                <w:kern w:val="2"/>
                <w:sz w:val="21"/>
                <w:szCs w:val="21"/>
                <w:highlight w:val="none"/>
                <w:lang w:val="en-US" w:eastAsia="zh-CN" w:bidi="ar"/>
              </w:rPr>
              <w:t>条款号</w:t>
            </w: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B371651">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评审因素</w:t>
            </w:r>
          </w:p>
        </w:tc>
        <w:tc>
          <w:tcPr>
            <w:tcW w:w="5794" w:type="dxa"/>
            <w:tcBorders>
              <w:top w:val="single" w:color="auto" w:sz="4" w:space="0"/>
              <w:left w:val="single" w:color="auto" w:sz="4" w:space="0"/>
              <w:bottom w:val="single" w:color="auto" w:sz="4" w:space="0"/>
              <w:right w:val="single" w:color="auto" w:sz="4" w:space="0"/>
            </w:tcBorders>
            <w:shd w:val="clear" w:color="auto" w:fill="auto"/>
            <w:vAlign w:val="center"/>
          </w:tcPr>
          <w:p w14:paraId="7740CD6B">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评审标准</w:t>
            </w:r>
          </w:p>
        </w:tc>
      </w:tr>
      <w:tr w14:paraId="27517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jc w:val="center"/>
        </w:trPr>
        <w:tc>
          <w:tcPr>
            <w:tcW w:w="784" w:type="dxa"/>
            <w:vMerge w:val="restart"/>
            <w:tcBorders>
              <w:top w:val="nil"/>
              <w:left w:val="single" w:color="auto" w:sz="4" w:space="0"/>
              <w:bottom w:val="single" w:color="auto" w:sz="4" w:space="0"/>
              <w:right w:val="single" w:color="auto" w:sz="4" w:space="0"/>
            </w:tcBorders>
            <w:shd w:val="clear" w:color="auto" w:fill="auto"/>
            <w:vAlign w:val="center"/>
          </w:tcPr>
          <w:p w14:paraId="1C02F810">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4.2.1</w:t>
            </w:r>
          </w:p>
        </w:tc>
        <w:tc>
          <w:tcPr>
            <w:tcW w:w="776" w:type="dxa"/>
            <w:vMerge w:val="restart"/>
            <w:tcBorders>
              <w:top w:val="nil"/>
              <w:left w:val="single" w:color="auto" w:sz="4" w:space="0"/>
              <w:bottom w:val="single" w:color="auto" w:sz="4" w:space="0"/>
              <w:right w:val="single" w:color="auto" w:sz="4" w:space="0"/>
            </w:tcBorders>
            <w:shd w:val="clear" w:color="auto" w:fill="auto"/>
            <w:vAlign w:val="center"/>
          </w:tcPr>
          <w:p w14:paraId="77CD58A7">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形式评审标准</w:t>
            </w: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1880D6B">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投标函签字盖章</w:t>
            </w:r>
          </w:p>
        </w:tc>
        <w:tc>
          <w:tcPr>
            <w:tcW w:w="5794" w:type="dxa"/>
            <w:tcBorders>
              <w:top w:val="single" w:color="auto" w:sz="4" w:space="0"/>
              <w:left w:val="single" w:color="auto" w:sz="4" w:space="0"/>
              <w:bottom w:val="single" w:color="auto" w:sz="4" w:space="0"/>
              <w:right w:val="single" w:color="auto" w:sz="4" w:space="0"/>
            </w:tcBorders>
            <w:shd w:val="clear" w:color="auto" w:fill="auto"/>
            <w:vAlign w:val="center"/>
          </w:tcPr>
          <w:p w14:paraId="4A10AB15">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有投标人及其法定代表人签章。</w:t>
            </w:r>
          </w:p>
        </w:tc>
      </w:tr>
      <w:tr w14:paraId="2FBE6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1" w:hRule="atLeast"/>
          <w:jc w:val="center"/>
        </w:trPr>
        <w:tc>
          <w:tcPr>
            <w:tcW w:w="784" w:type="dxa"/>
            <w:vMerge w:val="continue"/>
            <w:tcBorders>
              <w:top w:val="nil"/>
              <w:left w:val="single" w:color="auto" w:sz="4" w:space="0"/>
              <w:bottom w:val="single" w:color="auto" w:sz="4" w:space="0"/>
              <w:right w:val="single" w:color="auto" w:sz="4" w:space="0"/>
            </w:tcBorders>
            <w:shd w:val="clear" w:color="auto" w:fill="auto"/>
            <w:vAlign w:val="center"/>
          </w:tcPr>
          <w:p w14:paraId="6CB3F487">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76" w:type="dxa"/>
            <w:vMerge w:val="continue"/>
            <w:tcBorders>
              <w:top w:val="nil"/>
              <w:left w:val="single" w:color="auto" w:sz="4" w:space="0"/>
              <w:bottom w:val="single" w:color="auto" w:sz="4" w:space="0"/>
              <w:right w:val="single" w:color="auto" w:sz="4" w:space="0"/>
            </w:tcBorders>
            <w:shd w:val="clear" w:color="auto" w:fill="auto"/>
            <w:vAlign w:val="center"/>
          </w:tcPr>
          <w:p w14:paraId="7D1083D4">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8D85AA8">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投标文件格式</w:t>
            </w:r>
          </w:p>
        </w:tc>
        <w:tc>
          <w:tcPr>
            <w:tcW w:w="5794" w:type="dxa"/>
            <w:tcBorders>
              <w:top w:val="single" w:color="auto" w:sz="4" w:space="0"/>
              <w:left w:val="single" w:color="auto" w:sz="4" w:space="0"/>
              <w:bottom w:val="single" w:color="auto" w:sz="4" w:space="0"/>
              <w:right w:val="single" w:color="auto" w:sz="4" w:space="0"/>
            </w:tcBorders>
            <w:shd w:val="clear" w:color="auto" w:fill="auto"/>
            <w:vAlign w:val="center"/>
          </w:tcPr>
          <w:p w14:paraId="31984171">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符合第八章“投标文件格式”的要求。</w:t>
            </w:r>
          </w:p>
        </w:tc>
      </w:tr>
      <w:tr w14:paraId="3C52D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1" w:hRule="atLeast"/>
          <w:jc w:val="center"/>
        </w:trPr>
        <w:tc>
          <w:tcPr>
            <w:tcW w:w="784" w:type="dxa"/>
            <w:vMerge w:val="continue"/>
            <w:tcBorders>
              <w:top w:val="nil"/>
              <w:left w:val="single" w:color="auto" w:sz="4" w:space="0"/>
              <w:bottom w:val="single" w:color="auto" w:sz="4" w:space="0"/>
              <w:right w:val="single" w:color="auto" w:sz="4" w:space="0"/>
            </w:tcBorders>
            <w:shd w:val="clear" w:color="auto" w:fill="auto"/>
            <w:vAlign w:val="center"/>
          </w:tcPr>
          <w:p w14:paraId="5E44839C">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76" w:type="dxa"/>
            <w:vMerge w:val="continue"/>
            <w:tcBorders>
              <w:top w:val="nil"/>
              <w:left w:val="single" w:color="auto" w:sz="4" w:space="0"/>
              <w:bottom w:val="single" w:color="auto" w:sz="4" w:space="0"/>
              <w:right w:val="single" w:color="auto" w:sz="4" w:space="0"/>
            </w:tcBorders>
            <w:shd w:val="clear" w:color="auto" w:fill="auto"/>
            <w:vAlign w:val="center"/>
          </w:tcPr>
          <w:p w14:paraId="2AA25834">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DF144D4">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商务标签字盖章</w:t>
            </w:r>
          </w:p>
        </w:tc>
        <w:tc>
          <w:tcPr>
            <w:tcW w:w="5794" w:type="dxa"/>
            <w:tcBorders>
              <w:top w:val="single" w:color="auto" w:sz="4" w:space="0"/>
              <w:left w:val="single" w:color="auto" w:sz="4" w:space="0"/>
              <w:bottom w:val="single" w:color="auto" w:sz="4" w:space="0"/>
              <w:right w:val="single" w:color="auto" w:sz="4" w:space="0"/>
            </w:tcBorders>
            <w:shd w:val="clear" w:color="auto" w:fill="auto"/>
            <w:vAlign w:val="center"/>
          </w:tcPr>
          <w:p w14:paraId="190595C6">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按投标文件格式要求签章。</w:t>
            </w:r>
          </w:p>
        </w:tc>
      </w:tr>
      <w:tr w14:paraId="401F7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7" w:hRule="atLeast"/>
          <w:jc w:val="center"/>
        </w:trPr>
        <w:tc>
          <w:tcPr>
            <w:tcW w:w="784" w:type="dxa"/>
            <w:vMerge w:val="continue"/>
            <w:tcBorders>
              <w:top w:val="nil"/>
              <w:left w:val="single" w:color="auto" w:sz="4" w:space="0"/>
              <w:bottom w:val="single" w:color="auto" w:sz="4" w:space="0"/>
              <w:right w:val="single" w:color="auto" w:sz="4" w:space="0"/>
            </w:tcBorders>
            <w:shd w:val="clear" w:color="auto" w:fill="auto"/>
            <w:vAlign w:val="center"/>
          </w:tcPr>
          <w:p w14:paraId="6FCA2909">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76" w:type="dxa"/>
            <w:vMerge w:val="continue"/>
            <w:tcBorders>
              <w:top w:val="nil"/>
              <w:left w:val="single" w:color="auto" w:sz="4" w:space="0"/>
              <w:bottom w:val="single" w:color="auto" w:sz="4" w:space="0"/>
              <w:right w:val="single" w:color="auto" w:sz="4" w:space="0"/>
            </w:tcBorders>
            <w:shd w:val="clear" w:color="auto" w:fill="auto"/>
            <w:vAlign w:val="center"/>
          </w:tcPr>
          <w:p w14:paraId="684DAE6A">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BDB5608">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报价唯一</w:t>
            </w:r>
          </w:p>
        </w:tc>
        <w:tc>
          <w:tcPr>
            <w:tcW w:w="5794" w:type="dxa"/>
            <w:tcBorders>
              <w:top w:val="single" w:color="auto" w:sz="4" w:space="0"/>
              <w:left w:val="single" w:color="auto" w:sz="4" w:space="0"/>
              <w:bottom w:val="single" w:color="auto" w:sz="4" w:space="0"/>
              <w:right w:val="single" w:color="auto" w:sz="4" w:space="0"/>
            </w:tcBorders>
            <w:shd w:val="clear" w:color="auto" w:fill="auto"/>
            <w:vAlign w:val="center"/>
          </w:tcPr>
          <w:p w14:paraId="1CF28EC9">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只能有一个报价。</w:t>
            </w:r>
          </w:p>
        </w:tc>
      </w:tr>
      <w:tr w14:paraId="6175F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3" w:hRule="atLeast"/>
          <w:jc w:val="center"/>
        </w:trPr>
        <w:tc>
          <w:tcPr>
            <w:tcW w:w="784" w:type="dxa"/>
            <w:vMerge w:val="restart"/>
            <w:tcBorders>
              <w:top w:val="nil"/>
              <w:left w:val="single" w:color="auto" w:sz="4" w:space="0"/>
              <w:bottom w:val="single" w:color="auto" w:sz="4" w:space="0"/>
              <w:right w:val="single" w:color="auto" w:sz="4" w:space="0"/>
            </w:tcBorders>
            <w:shd w:val="clear" w:color="auto" w:fill="auto"/>
            <w:vAlign w:val="center"/>
          </w:tcPr>
          <w:p w14:paraId="1A94A973">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4.2.2</w:t>
            </w:r>
          </w:p>
        </w:tc>
        <w:tc>
          <w:tcPr>
            <w:tcW w:w="776" w:type="dxa"/>
            <w:vMerge w:val="restart"/>
            <w:tcBorders>
              <w:top w:val="nil"/>
              <w:left w:val="single" w:color="auto" w:sz="4" w:space="0"/>
              <w:bottom w:val="single" w:color="auto" w:sz="4" w:space="0"/>
              <w:right w:val="single" w:color="auto" w:sz="4" w:space="0"/>
            </w:tcBorders>
            <w:shd w:val="clear" w:color="auto" w:fill="auto"/>
            <w:vAlign w:val="center"/>
          </w:tcPr>
          <w:p w14:paraId="49B9F29C">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响应性评审标准</w:t>
            </w: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1B55EA7">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投标保证金缴纳情况</w:t>
            </w:r>
          </w:p>
        </w:tc>
        <w:tc>
          <w:tcPr>
            <w:tcW w:w="5794" w:type="dxa"/>
            <w:tcBorders>
              <w:top w:val="single" w:color="auto" w:sz="4" w:space="0"/>
              <w:left w:val="single" w:color="auto" w:sz="4" w:space="0"/>
              <w:bottom w:val="single" w:color="auto" w:sz="4" w:space="0"/>
              <w:right w:val="single" w:color="auto" w:sz="4" w:space="0"/>
            </w:tcBorders>
            <w:shd w:val="clear" w:color="auto" w:fill="auto"/>
            <w:vAlign w:val="center"/>
          </w:tcPr>
          <w:p w14:paraId="13D4C6E8">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符合投标须知前附表规定。</w:t>
            </w:r>
          </w:p>
        </w:tc>
      </w:tr>
      <w:tr w14:paraId="76CAC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0" w:hRule="atLeast"/>
          <w:jc w:val="center"/>
        </w:trPr>
        <w:tc>
          <w:tcPr>
            <w:tcW w:w="784" w:type="dxa"/>
            <w:vMerge w:val="continue"/>
            <w:tcBorders>
              <w:top w:val="nil"/>
              <w:left w:val="single" w:color="auto" w:sz="4" w:space="0"/>
              <w:bottom w:val="single" w:color="auto" w:sz="4" w:space="0"/>
              <w:right w:val="single" w:color="auto" w:sz="4" w:space="0"/>
            </w:tcBorders>
            <w:shd w:val="clear" w:color="auto" w:fill="auto"/>
            <w:vAlign w:val="center"/>
          </w:tcPr>
          <w:p w14:paraId="110A35FA">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76" w:type="dxa"/>
            <w:vMerge w:val="continue"/>
            <w:tcBorders>
              <w:top w:val="nil"/>
              <w:left w:val="single" w:color="auto" w:sz="4" w:space="0"/>
              <w:bottom w:val="single" w:color="auto" w:sz="4" w:space="0"/>
              <w:right w:val="single" w:color="auto" w:sz="4" w:space="0"/>
            </w:tcBorders>
            <w:shd w:val="clear" w:color="auto" w:fill="auto"/>
            <w:vAlign w:val="center"/>
          </w:tcPr>
          <w:p w14:paraId="67BD4270">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8BD26FC">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工期</w:t>
            </w:r>
          </w:p>
        </w:tc>
        <w:tc>
          <w:tcPr>
            <w:tcW w:w="5794" w:type="dxa"/>
            <w:tcBorders>
              <w:top w:val="single" w:color="auto" w:sz="4" w:space="0"/>
              <w:left w:val="single" w:color="auto" w:sz="4" w:space="0"/>
              <w:bottom w:val="single" w:color="auto" w:sz="4" w:space="0"/>
              <w:right w:val="single" w:color="auto" w:sz="4" w:space="0"/>
            </w:tcBorders>
            <w:shd w:val="clear" w:color="auto" w:fill="auto"/>
            <w:vAlign w:val="center"/>
          </w:tcPr>
          <w:p w14:paraId="5213A6B2">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符合投标须知前附表规定。</w:t>
            </w:r>
          </w:p>
        </w:tc>
      </w:tr>
      <w:tr w14:paraId="1EDF0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0" w:hRule="atLeast"/>
          <w:jc w:val="center"/>
        </w:trPr>
        <w:tc>
          <w:tcPr>
            <w:tcW w:w="784" w:type="dxa"/>
            <w:vMerge w:val="continue"/>
            <w:tcBorders>
              <w:top w:val="nil"/>
              <w:left w:val="single" w:color="auto" w:sz="4" w:space="0"/>
              <w:bottom w:val="single" w:color="auto" w:sz="4" w:space="0"/>
              <w:right w:val="single" w:color="auto" w:sz="4" w:space="0"/>
            </w:tcBorders>
            <w:shd w:val="clear" w:color="auto" w:fill="auto"/>
            <w:vAlign w:val="center"/>
          </w:tcPr>
          <w:p w14:paraId="5FE00CA2">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76" w:type="dxa"/>
            <w:vMerge w:val="continue"/>
            <w:tcBorders>
              <w:top w:val="nil"/>
              <w:left w:val="single" w:color="auto" w:sz="4" w:space="0"/>
              <w:bottom w:val="single" w:color="auto" w:sz="4" w:space="0"/>
              <w:right w:val="single" w:color="auto" w:sz="4" w:space="0"/>
            </w:tcBorders>
            <w:shd w:val="clear" w:color="auto" w:fill="auto"/>
            <w:vAlign w:val="center"/>
          </w:tcPr>
          <w:p w14:paraId="008F0429">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B1F0708">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工程质量</w:t>
            </w:r>
          </w:p>
        </w:tc>
        <w:tc>
          <w:tcPr>
            <w:tcW w:w="5794" w:type="dxa"/>
            <w:tcBorders>
              <w:top w:val="single" w:color="auto" w:sz="4" w:space="0"/>
              <w:left w:val="single" w:color="auto" w:sz="4" w:space="0"/>
              <w:bottom w:val="single" w:color="auto" w:sz="4" w:space="0"/>
              <w:right w:val="single" w:color="auto" w:sz="4" w:space="0"/>
            </w:tcBorders>
            <w:shd w:val="clear" w:color="auto" w:fill="auto"/>
            <w:vAlign w:val="center"/>
          </w:tcPr>
          <w:p w14:paraId="7A4A6802">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符合投标须知前附表规定。</w:t>
            </w:r>
          </w:p>
        </w:tc>
      </w:tr>
      <w:tr w14:paraId="75416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0" w:hRule="atLeast"/>
          <w:jc w:val="center"/>
        </w:trPr>
        <w:tc>
          <w:tcPr>
            <w:tcW w:w="784" w:type="dxa"/>
            <w:vMerge w:val="continue"/>
            <w:tcBorders>
              <w:top w:val="nil"/>
              <w:left w:val="single" w:color="auto" w:sz="4" w:space="0"/>
              <w:bottom w:val="single" w:color="auto" w:sz="4" w:space="0"/>
              <w:right w:val="single" w:color="auto" w:sz="4" w:space="0"/>
            </w:tcBorders>
            <w:shd w:val="clear" w:color="auto" w:fill="auto"/>
            <w:vAlign w:val="center"/>
          </w:tcPr>
          <w:p w14:paraId="275615D5">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76" w:type="dxa"/>
            <w:vMerge w:val="continue"/>
            <w:tcBorders>
              <w:top w:val="nil"/>
              <w:left w:val="single" w:color="auto" w:sz="4" w:space="0"/>
              <w:bottom w:val="single" w:color="auto" w:sz="4" w:space="0"/>
              <w:right w:val="single" w:color="auto" w:sz="4" w:space="0"/>
            </w:tcBorders>
            <w:shd w:val="clear" w:color="auto" w:fill="auto"/>
            <w:vAlign w:val="center"/>
          </w:tcPr>
          <w:p w14:paraId="4BEA99DD">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C7C012E">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投标有效期</w:t>
            </w:r>
          </w:p>
        </w:tc>
        <w:tc>
          <w:tcPr>
            <w:tcW w:w="5794" w:type="dxa"/>
            <w:tcBorders>
              <w:top w:val="single" w:color="auto" w:sz="4" w:space="0"/>
              <w:left w:val="single" w:color="auto" w:sz="4" w:space="0"/>
              <w:bottom w:val="single" w:color="auto" w:sz="4" w:space="0"/>
              <w:right w:val="single" w:color="auto" w:sz="4" w:space="0"/>
            </w:tcBorders>
            <w:shd w:val="clear" w:color="auto" w:fill="auto"/>
            <w:vAlign w:val="center"/>
          </w:tcPr>
          <w:p w14:paraId="1C99D805">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符合投标须知前附表规定。</w:t>
            </w:r>
          </w:p>
        </w:tc>
      </w:tr>
      <w:tr w14:paraId="33DE7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35" w:hRule="atLeast"/>
          <w:jc w:val="center"/>
        </w:trPr>
        <w:tc>
          <w:tcPr>
            <w:tcW w:w="784" w:type="dxa"/>
            <w:vMerge w:val="continue"/>
            <w:tcBorders>
              <w:top w:val="nil"/>
              <w:left w:val="single" w:color="auto" w:sz="4" w:space="0"/>
              <w:bottom w:val="single" w:color="auto" w:sz="4" w:space="0"/>
              <w:right w:val="single" w:color="auto" w:sz="4" w:space="0"/>
            </w:tcBorders>
            <w:shd w:val="clear" w:color="auto" w:fill="auto"/>
            <w:vAlign w:val="center"/>
          </w:tcPr>
          <w:p w14:paraId="4E17F17D">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76" w:type="dxa"/>
            <w:vMerge w:val="continue"/>
            <w:tcBorders>
              <w:top w:val="nil"/>
              <w:left w:val="single" w:color="auto" w:sz="4" w:space="0"/>
              <w:bottom w:val="single" w:color="auto" w:sz="4" w:space="0"/>
              <w:right w:val="single" w:color="auto" w:sz="4" w:space="0"/>
            </w:tcBorders>
            <w:shd w:val="clear" w:color="auto" w:fill="auto"/>
            <w:vAlign w:val="center"/>
          </w:tcPr>
          <w:p w14:paraId="1C0ACA08">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9A18127">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已标价工程量清单</w:t>
            </w:r>
          </w:p>
        </w:tc>
        <w:tc>
          <w:tcPr>
            <w:tcW w:w="5794" w:type="dxa"/>
            <w:tcBorders>
              <w:top w:val="single" w:color="auto" w:sz="4" w:space="0"/>
              <w:left w:val="single" w:color="auto" w:sz="4" w:space="0"/>
              <w:bottom w:val="single" w:color="auto" w:sz="4" w:space="0"/>
              <w:right w:val="single" w:color="auto" w:sz="4" w:space="0"/>
            </w:tcBorders>
            <w:shd w:val="clear" w:color="auto" w:fill="auto"/>
            <w:vAlign w:val="center"/>
          </w:tcPr>
          <w:p w14:paraId="462CB184">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与招标人发布的招标工程量清单（含需评审材料清单）排序一致</w:t>
            </w:r>
            <w:r>
              <w:rPr>
                <w:rFonts w:hint="eastAsia" w:ascii="宋体" w:hAnsi="宋体" w:cs="宋体"/>
                <w:color w:val="auto"/>
                <w:kern w:val="2"/>
                <w:sz w:val="21"/>
                <w:szCs w:val="21"/>
                <w:highlight w:val="none"/>
                <w:lang w:val="en-US" w:eastAsia="zh-CN" w:bidi="ar"/>
              </w:rPr>
              <w:t>。</w:t>
            </w:r>
          </w:p>
        </w:tc>
      </w:tr>
      <w:tr w14:paraId="49E9B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76" w:hRule="atLeast"/>
          <w:jc w:val="center"/>
        </w:trPr>
        <w:tc>
          <w:tcPr>
            <w:tcW w:w="784" w:type="dxa"/>
            <w:vMerge w:val="continue"/>
            <w:tcBorders>
              <w:top w:val="nil"/>
              <w:left w:val="single" w:color="auto" w:sz="4" w:space="0"/>
              <w:bottom w:val="single" w:color="auto" w:sz="4" w:space="0"/>
              <w:right w:val="single" w:color="auto" w:sz="4" w:space="0"/>
            </w:tcBorders>
            <w:shd w:val="clear" w:color="auto" w:fill="auto"/>
            <w:vAlign w:val="center"/>
          </w:tcPr>
          <w:p w14:paraId="0149E65D">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76" w:type="dxa"/>
            <w:vMerge w:val="continue"/>
            <w:tcBorders>
              <w:top w:val="nil"/>
              <w:left w:val="single" w:color="auto" w:sz="4" w:space="0"/>
              <w:bottom w:val="single" w:color="auto" w:sz="4" w:space="0"/>
              <w:right w:val="single" w:color="auto" w:sz="4" w:space="0"/>
            </w:tcBorders>
            <w:shd w:val="clear" w:color="auto" w:fill="auto"/>
            <w:vAlign w:val="center"/>
          </w:tcPr>
          <w:p w14:paraId="6D5C8402">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6829F11">
            <w:pPr>
              <w:keepNext w:val="0"/>
              <w:keepLines w:val="0"/>
              <w:widowControl w:val="0"/>
              <w:suppressLineNumbers w:val="0"/>
              <w:adjustRightInd w:val="0"/>
              <w:snapToGrid w:val="0"/>
              <w:spacing w:before="0" w:beforeAutospacing="0" w:after="0" w:afterAutospacing="0" w:line="560" w:lineRule="exact"/>
              <w:ind w:left="0" w:leftChars="0" w:right="0" w:right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
              </w:rPr>
              <w:t>投标总价评审</w:t>
            </w:r>
          </w:p>
        </w:tc>
        <w:tc>
          <w:tcPr>
            <w:tcW w:w="5794" w:type="dxa"/>
            <w:tcBorders>
              <w:top w:val="single" w:color="auto" w:sz="4" w:space="0"/>
              <w:left w:val="single" w:color="auto" w:sz="4" w:space="0"/>
              <w:bottom w:val="single" w:color="auto" w:sz="4" w:space="0"/>
              <w:right w:val="single" w:color="auto" w:sz="4" w:space="0"/>
            </w:tcBorders>
            <w:shd w:val="clear" w:color="auto" w:fill="auto"/>
            <w:vAlign w:val="center"/>
          </w:tcPr>
          <w:p w14:paraId="300C93A7">
            <w:pPr>
              <w:keepNext w:val="0"/>
              <w:keepLines w:val="0"/>
              <w:widowControl w:val="0"/>
              <w:suppressLineNumbers w:val="0"/>
              <w:adjustRightInd w:val="0"/>
              <w:snapToGrid w:val="0"/>
              <w:spacing w:before="0" w:beforeAutospacing="0" w:after="0" w:afterAutospacing="0" w:line="560" w:lineRule="exact"/>
              <w:ind w:left="0" w:leftChars="0" w:right="0" w:rightChars="0"/>
              <w:jc w:val="both"/>
              <w:rPr>
                <w:rFonts w:hint="eastAsia" w:ascii="宋体" w:hAnsi="宋体" w:eastAsia="宋体" w:cs="宋体"/>
                <w:color w:val="auto"/>
                <w:spacing w:val="-6"/>
                <w:kern w:val="2"/>
                <w:sz w:val="21"/>
                <w:szCs w:val="21"/>
                <w:highlight w:val="none"/>
                <w:lang w:val="en-US" w:eastAsia="zh-CN" w:bidi="ar-SA"/>
              </w:rPr>
            </w:pPr>
            <w:r>
              <w:rPr>
                <w:rFonts w:hint="eastAsia" w:ascii="宋体" w:hAnsi="宋体" w:eastAsia="宋体" w:cs="宋体"/>
                <w:color w:val="auto"/>
                <w:spacing w:val="-6"/>
                <w:kern w:val="2"/>
                <w:sz w:val="21"/>
                <w:szCs w:val="21"/>
                <w:highlight w:val="none"/>
                <w:lang w:val="en-US" w:eastAsia="zh-CN" w:bidi="ar"/>
              </w:rPr>
              <w:t>不得高于最高投标限价，也不得低于工程成本价。</w:t>
            </w:r>
          </w:p>
        </w:tc>
      </w:tr>
      <w:tr w14:paraId="7289F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75" w:hRule="atLeast"/>
          <w:jc w:val="center"/>
        </w:trPr>
        <w:tc>
          <w:tcPr>
            <w:tcW w:w="784" w:type="dxa"/>
            <w:vMerge w:val="restart"/>
            <w:tcBorders>
              <w:top w:val="nil"/>
              <w:left w:val="single" w:color="auto" w:sz="4" w:space="0"/>
              <w:bottom w:val="single" w:color="auto" w:sz="4" w:space="0"/>
              <w:right w:val="single" w:color="auto" w:sz="4" w:space="0"/>
            </w:tcBorders>
            <w:shd w:val="clear" w:color="auto" w:fill="auto"/>
            <w:vAlign w:val="center"/>
          </w:tcPr>
          <w:p w14:paraId="192FA0DC">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4.2.3</w:t>
            </w:r>
          </w:p>
        </w:tc>
        <w:tc>
          <w:tcPr>
            <w:tcW w:w="776" w:type="dxa"/>
            <w:vMerge w:val="restart"/>
            <w:tcBorders>
              <w:top w:val="nil"/>
              <w:left w:val="single" w:color="auto" w:sz="4" w:space="0"/>
              <w:bottom w:val="single" w:color="auto" w:sz="4" w:space="0"/>
              <w:right w:val="single" w:color="auto" w:sz="4" w:space="0"/>
            </w:tcBorders>
            <w:shd w:val="clear" w:color="auto" w:fill="auto"/>
            <w:vAlign w:val="center"/>
          </w:tcPr>
          <w:p w14:paraId="2FA8CD33">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18"/>
                <w:szCs w:val="18"/>
                <w:highlight w:val="none"/>
                <w:lang w:val="en-US" w:eastAsia="zh-CN" w:bidi="ar"/>
              </w:rPr>
              <w:t>详细评审标准</w:t>
            </w:r>
          </w:p>
        </w:tc>
        <w:tc>
          <w:tcPr>
            <w:tcW w:w="708" w:type="dxa"/>
            <w:vMerge w:val="restart"/>
            <w:tcBorders>
              <w:top w:val="nil"/>
              <w:left w:val="single" w:color="auto" w:sz="4" w:space="0"/>
              <w:bottom w:val="single" w:color="auto" w:sz="4" w:space="0"/>
              <w:right w:val="single" w:color="auto" w:sz="4" w:space="0"/>
            </w:tcBorders>
            <w:shd w:val="clear" w:color="auto" w:fill="auto"/>
            <w:vAlign w:val="center"/>
          </w:tcPr>
          <w:p w14:paraId="0EF29AF0">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工程成本评审</w:t>
            </w:r>
          </w:p>
        </w:tc>
        <w:tc>
          <w:tcPr>
            <w:tcW w:w="792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68D71F0">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lang w:val="en-US" w:eastAsia="zh-CN" w:bidi="ar"/>
              </w:rPr>
              <w:t>投标报价出现下列情形之一的，由评标委员会重点评审后界定其报价是否低于工程成本：</w:t>
            </w:r>
          </w:p>
        </w:tc>
      </w:tr>
      <w:tr w14:paraId="4351B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75" w:hRule="atLeast"/>
          <w:jc w:val="center"/>
        </w:trPr>
        <w:tc>
          <w:tcPr>
            <w:tcW w:w="784" w:type="dxa"/>
            <w:vMerge w:val="continue"/>
            <w:tcBorders>
              <w:top w:val="nil"/>
              <w:left w:val="single" w:color="auto" w:sz="4" w:space="0"/>
              <w:bottom w:val="single" w:color="auto" w:sz="4" w:space="0"/>
              <w:right w:val="single" w:color="auto" w:sz="4" w:space="0"/>
            </w:tcBorders>
            <w:shd w:val="clear" w:color="auto" w:fill="auto"/>
            <w:vAlign w:val="center"/>
          </w:tcPr>
          <w:p w14:paraId="60C3F37E">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76" w:type="dxa"/>
            <w:vMerge w:val="continue"/>
            <w:tcBorders>
              <w:top w:val="nil"/>
              <w:left w:val="single" w:color="auto" w:sz="4" w:space="0"/>
              <w:bottom w:val="single" w:color="auto" w:sz="4" w:space="0"/>
              <w:right w:val="single" w:color="auto" w:sz="4" w:space="0"/>
            </w:tcBorders>
            <w:shd w:val="clear" w:color="auto" w:fill="auto"/>
            <w:vAlign w:val="center"/>
          </w:tcPr>
          <w:p w14:paraId="4152F438">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08" w:type="dxa"/>
            <w:vMerge w:val="continue"/>
            <w:tcBorders>
              <w:top w:val="nil"/>
              <w:left w:val="single" w:color="auto" w:sz="4" w:space="0"/>
              <w:bottom w:val="single" w:color="auto" w:sz="4" w:space="0"/>
              <w:right w:val="single" w:color="auto" w:sz="4" w:space="0"/>
            </w:tcBorders>
            <w:shd w:val="clear" w:color="auto" w:fill="auto"/>
            <w:vAlign w:val="center"/>
          </w:tcPr>
          <w:p w14:paraId="25C773E5">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14:paraId="343DE776">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投标报价</w:t>
            </w:r>
          </w:p>
        </w:tc>
        <w:tc>
          <w:tcPr>
            <w:tcW w:w="5794" w:type="dxa"/>
            <w:tcBorders>
              <w:top w:val="single" w:color="auto" w:sz="4" w:space="0"/>
              <w:left w:val="single" w:color="auto" w:sz="4" w:space="0"/>
              <w:bottom w:val="single" w:color="auto" w:sz="4" w:space="0"/>
              <w:right w:val="single" w:color="auto" w:sz="4" w:space="0"/>
            </w:tcBorders>
            <w:shd w:val="clear" w:color="auto" w:fill="auto"/>
            <w:vAlign w:val="center"/>
          </w:tcPr>
          <w:p w14:paraId="540A4F8B">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投标报价低于本项目通过资信、技术评审且商务标初步评审合格的有效投标报价平均值10%以上。</w:t>
            </w:r>
          </w:p>
        </w:tc>
      </w:tr>
      <w:tr w14:paraId="79440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5" w:hRule="atLeast"/>
          <w:jc w:val="center"/>
        </w:trPr>
        <w:tc>
          <w:tcPr>
            <w:tcW w:w="784" w:type="dxa"/>
            <w:vMerge w:val="continue"/>
            <w:tcBorders>
              <w:top w:val="nil"/>
              <w:left w:val="single" w:color="auto" w:sz="4" w:space="0"/>
              <w:bottom w:val="single" w:color="auto" w:sz="4" w:space="0"/>
              <w:right w:val="single" w:color="auto" w:sz="4" w:space="0"/>
            </w:tcBorders>
            <w:shd w:val="clear" w:color="auto" w:fill="auto"/>
            <w:vAlign w:val="center"/>
          </w:tcPr>
          <w:p w14:paraId="3AE75C89">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76" w:type="dxa"/>
            <w:vMerge w:val="continue"/>
            <w:tcBorders>
              <w:top w:val="nil"/>
              <w:left w:val="single" w:color="auto" w:sz="4" w:space="0"/>
              <w:bottom w:val="single" w:color="auto" w:sz="4" w:space="0"/>
              <w:right w:val="single" w:color="auto" w:sz="4" w:space="0"/>
            </w:tcBorders>
            <w:shd w:val="clear" w:color="auto" w:fill="auto"/>
            <w:vAlign w:val="center"/>
          </w:tcPr>
          <w:p w14:paraId="232BC898">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08" w:type="dxa"/>
            <w:vMerge w:val="continue"/>
            <w:tcBorders>
              <w:top w:val="nil"/>
              <w:left w:val="single" w:color="auto" w:sz="4" w:space="0"/>
              <w:bottom w:val="single" w:color="auto" w:sz="4" w:space="0"/>
              <w:right w:val="single" w:color="auto" w:sz="4" w:space="0"/>
            </w:tcBorders>
            <w:shd w:val="clear" w:color="auto" w:fill="auto"/>
            <w:vAlign w:val="center"/>
          </w:tcPr>
          <w:p w14:paraId="61C3309D">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14:paraId="686CE155">
            <w:pPr>
              <w:keepNext w:val="0"/>
              <w:keepLines w:val="0"/>
              <w:widowControl w:val="0"/>
              <w:suppressLineNumbers w:val="0"/>
              <w:adjustRightInd w:val="0"/>
              <w:snapToGrid w:val="0"/>
              <w:spacing w:before="0" w:beforeAutospacing="0" w:after="0" w:afterAutospacing="0" w:line="560" w:lineRule="exact"/>
              <w:ind w:left="0" w:leftChars="0" w:right="0" w:right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
              </w:rPr>
              <w:t>报价内容完整性</w:t>
            </w:r>
          </w:p>
        </w:tc>
        <w:tc>
          <w:tcPr>
            <w:tcW w:w="5794" w:type="dxa"/>
            <w:tcBorders>
              <w:top w:val="single" w:color="auto" w:sz="4" w:space="0"/>
              <w:left w:val="single" w:color="auto" w:sz="4" w:space="0"/>
              <w:bottom w:val="single" w:color="auto" w:sz="4" w:space="0"/>
              <w:right w:val="single" w:color="auto" w:sz="4" w:space="0"/>
            </w:tcBorders>
            <w:shd w:val="clear" w:color="auto" w:fill="auto"/>
            <w:vAlign w:val="center"/>
          </w:tcPr>
          <w:p w14:paraId="1C0EC205">
            <w:pPr>
              <w:keepNext w:val="0"/>
              <w:keepLines w:val="0"/>
              <w:widowControl w:val="0"/>
              <w:suppressLineNumbers w:val="0"/>
              <w:adjustRightInd w:val="0"/>
              <w:snapToGrid w:val="0"/>
              <w:spacing w:before="0" w:beforeAutospacing="0" w:after="0" w:afterAutospacing="0" w:line="560" w:lineRule="exact"/>
              <w:ind w:left="0" w:leftChars="0" w:right="0" w:right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
              </w:rPr>
              <w:t>因投标人原因造成投标报价清单缺漏，缺漏项总额（多算或多报总额不得抵消缺漏项目总额）累计占本项目通过资信、技术评审且商务标初步评审合格</w:t>
            </w:r>
            <w:r>
              <w:rPr>
                <w:rFonts w:hint="eastAsia" w:ascii="宋体" w:hAnsi="宋体" w:eastAsia="宋体" w:cs="宋体"/>
                <w:color w:val="auto"/>
                <w:spacing w:val="-6"/>
                <w:kern w:val="2"/>
                <w:sz w:val="21"/>
                <w:szCs w:val="21"/>
                <w:highlight w:val="none"/>
                <w:lang w:val="en-US" w:eastAsia="zh-CN" w:bidi="ar"/>
              </w:rPr>
              <w:t>有效投标总报价平均值5%以上。</w:t>
            </w:r>
          </w:p>
        </w:tc>
      </w:tr>
      <w:tr w14:paraId="0FC79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0" w:hRule="atLeast"/>
          <w:jc w:val="center"/>
        </w:trPr>
        <w:tc>
          <w:tcPr>
            <w:tcW w:w="784" w:type="dxa"/>
            <w:vMerge w:val="continue"/>
            <w:tcBorders>
              <w:top w:val="nil"/>
              <w:left w:val="single" w:color="auto" w:sz="4" w:space="0"/>
              <w:bottom w:val="single" w:color="auto" w:sz="4" w:space="0"/>
              <w:right w:val="single" w:color="auto" w:sz="4" w:space="0"/>
            </w:tcBorders>
            <w:shd w:val="clear" w:color="auto" w:fill="auto"/>
            <w:vAlign w:val="center"/>
          </w:tcPr>
          <w:p w14:paraId="0E5BCAC8">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76" w:type="dxa"/>
            <w:vMerge w:val="continue"/>
            <w:tcBorders>
              <w:top w:val="nil"/>
              <w:left w:val="single" w:color="auto" w:sz="4" w:space="0"/>
              <w:bottom w:val="single" w:color="auto" w:sz="4" w:space="0"/>
              <w:right w:val="single" w:color="auto" w:sz="4" w:space="0"/>
            </w:tcBorders>
            <w:shd w:val="clear" w:color="auto" w:fill="auto"/>
            <w:vAlign w:val="center"/>
          </w:tcPr>
          <w:p w14:paraId="2FD21D29">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08" w:type="dxa"/>
            <w:vMerge w:val="restart"/>
            <w:tcBorders>
              <w:top w:val="nil"/>
              <w:left w:val="single" w:color="auto" w:sz="4" w:space="0"/>
              <w:bottom w:val="single" w:color="auto" w:sz="4" w:space="0"/>
              <w:right w:val="single" w:color="auto" w:sz="4" w:space="0"/>
            </w:tcBorders>
            <w:shd w:val="clear" w:color="auto" w:fill="auto"/>
            <w:vAlign w:val="center"/>
          </w:tcPr>
          <w:p w14:paraId="2A9EC3F2">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无效报价</w:t>
            </w: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14:paraId="64040A0C">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暂估价材料、设备</w:t>
            </w:r>
          </w:p>
        </w:tc>
        <w:tc>
          <w:tcPr>
            <w:tcW w:w="5794" w:type="dxa"/>
            <w:tcBorders>
              <w:top w:val="single" w:color="auto" w:sz="4" w:space="0"/>
              <w:left w:val="single" w:color="auto" w:sz="4" w:space="0"/>
              <w:bottom w:val="single" w:color="auto" w:sz="4" w:space="0"/>
              <w:right w:val="single" w:color="auto" w:sz="4" w:space="0"/>
            </w:tcBorders>
            <w:shd w:val="clear" w:color="auto" w:fill="auto"/>
            <w:vAlign w:val="center"/>
          </w:tcPr>
          <w:p w14:paraId="24A31342">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材料、设备暂估价未按要求计入分部分项工程费。</w:t>
            </w:r>
          </w:p>
        </w:tc>
      </w:tr>
      <w:tr w14:paraId="7A96D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75" w:hRule="atLeast"/>
          <w:jc w:val="center"/>
        </w:trPr>
        <w:tc>
          <w:tcPr>
            <w:tcW w:w="784" w:type="dxa"/>
            <w:vMerge w:val="continue"/>
            <w:tcBorders>
              <w:top w:val="nil"/>
              <w:left w:val="single" w:color="auto" w:sz="4" w:space="0"/>
              <w:bottom w:val="single" w:color="auto" w:sz="4" w:space="0"/>
              <w:right w:val="single" w:color="auto" w:sz="4" w:space="0"/>
            </w:tcBorders>
            <w:shd w:val="clear" w:color="auto" w:fill="auto"/>
            <w:vAlign w:val="center"/>
          </w:tcPr>
          <w:p w14:paraId="6907ECCD">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76" w:type="dxa"/>
            <w:vMerge w:val="continue"/>
            <w:tcBorders>
              <w:top w:val="nil"/>
              <w:left w:val="single" w:color="auto" w:sz="4" w:space="0"/>
              <w:bottom w:val="single" w:color="auto" w:sz="4" w:space="0"/>
              <w:right w:val="single" w:color="auto" w:sz="4" w:space="0"/>
            </w:tcBorders>
            <w:shd w:val="clear" w:color="auto" w:fill="auto"/>
            <w:vAlign w:val="center"/>
          </w:tcPr>
          <w:p w14:paraId="5300E81B">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08" w:type="dxa"/>
            <w:vMerge w:val="continue"/>
            <w:tcBorders>
              <w:top w:val="nil"/>
              <w:left w:val="single" w:color="auto" w:sz="4" w:space="0"/>
              <w:bottom w:val="single" w:color="auto" w:sz="4" w:space="0"/>
              <w:right w:val="single" w:color="auto" w:sz="4" w:space="0"/>
            </w:tcBorders>
            <w:shd w:val="clear" w:color="auto" w:fill="auto"/>
            <w:vAlign w:val="center"/>
          </w:tcPr>
          <w:p w14:paraId="791329BD">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14:paraId="50F35719">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不可竞争项目费费率</w:t>
            </w:r>
          </w:p>
        </w:tc>
        <w:tc>
          <w:tcPr>
            <w:tcW w:w="5794" w:type="dxa"/>
            <w:tcBorders>
              <w:top w:val="single" w:color="auto" w:sz="4" w:space="0"/>
              <w:left w:val="single" w:color="auto" w:sz="4" w:space="0"/>
              <w:bottom w:val="single" w:color="auto" w:sz="4" w:space="0"/>
              <w:right w:val="single" w:color="auto" w:sz="4" w:space="0"/>
            </w:tcBorders>
            <w:shd w:val="clear" w:color="auto" w:fill="auto"/>
            <w:vAlign w:val="center"/>
          </w:tcPr>
          <w:p w14:paraId="7254879B">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低于建标〔2021〕42号文规定的费率。</w:t>
            </w:r>
          </w:p>
        </w:tc>
      </w:tr>
      <w:tr w14:paraId="5B731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5" w:hRule="atLeast"/>
          <w:jc w:val="center"/>
        </w:trPr>
        <w:tc>
          <w:tcPr>
            <w:tcW w:w="784" w:type="dxa"/>
            <w:vMerge w:val="continue"/>
            <w:tcBorders>
              <w:top w:val="nil"/>
              <w:left w:val="single" w:color="auto" w:sz="4" w:space="0"/>
              <w:bottom w:val="single" w:color="auto" w:sz="4" w:space="0"/>
              <w:right w:val="single" w:color="auto" w:sz="4" w:space="0"/>
            </w:tcBorders>
            <w:shd w:val="clear" w:color="auto" w:fill="auto"/>
            <w:vAlign w:val="center"/>
          </w:tcPr>
          <w:p w14:paraId="710BB450">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76" w:type="dxa"/>
            <w:vMerge w:val="continue"/>
            <w:tcBorders>
              <w:top w:val="nil"/>
              <w:left w:val="single" w:color="auto" w:sz="4" w:space="0"/>
              <w:bottom w:val="single" w:color="auto" w:sz="4" w:space="0"/>
              <w:right w:val="single" w:color="auto" w:sz="4" w:space="0"/>
            </w:tcBorders>
            <w:shd w:val="clear" w:color="auto" w:fill="auto"/>
            <w:vAlign w:val="center"/>
          </w:tcPr>
          <w:p w14:paraId="0A5ED851">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08" w:type="dxa"/>
            <w:vMerge w:val="continue"/>
            <w:tcBorders>
              <w:top w:val="nil"/>
              <w:left w:val="single" w:color="auto" w:sz="4" w:space="0"/>
              <w:bottom w:val="single" w:color="auto" w:sz="4" w:space="0"/>
              <w:right w:val="single" w:color="auto" w:sz="4" w:space="0"/>
            </w:tcBorders>
            <w:shd w:val="clear" w:color="auto" w:fill="auto"/>
            <w:vAlign w:val="center"/>
          </w:tcPr>
          <w:p w14:paraId="3FA3BFA5">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14:paraId="421BFA46">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税率</w:t>
            </w:r>
          </w:p>
        </w:tc>
        <w:tc>
          <w:tcPr>
            <w:tcW w:w="5794" w:type="dxa"/>
            <w:tcBorders>
              <w:top w:val="single" w:color="auto" w:sz="4" w:space="0"/>
              <w:left w:val="single" w:color="auto" w:sz="4" w:space="0"/>
              <w:bottom w:val="single" w:color="auto" w:sz="4" w:space="0"/>
              <w:right w:val="single" w:color="auto" w:sz="4" w:space="0"/>
            </w:tcBorders>
            <w:shd w:val="clear" w:color="auto" w:fill="auto"/>
            <w:vAlign w:val="center"/>
          </w:tcPr>
          <w:p w14:paraId="0CBAA632">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低于《关于调整我省现行建设工程计价依据增值税税率的通知》（皖造价〔2019〕7号）规定的费率。</w:t>
            </w:r>
          </w:p>
        </w:tc>
      </w:tr>
    </w:tbl>
    <w:p w14:paraId="0756625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eastAsia="zh-CN"/>
        </w:rPr>
        <w:t>评审委员会依据上述标准对投标文件进行评审。有一项不符合评审标准的，作无效投标处理</w:t>
      </w:r>
      <w:r>
        <w:rPr>
          <w:rFonts w:hint="eastAsia" w:ascii="宋体" w:hAnsi="宋体" w:cs="宋体"/>
          <w:color w:val="auto"/>
          <w:szCs w:val="21"/>
          <w:highlight w:val="none"/>
          <w:lang w:val="en-US" w:eastAsia="zh-CN"/>
        </w:rPr>
        <w:t>。</w:t>
      </w:r>
    </w:p>
    <w:p w14:paraId="0C6ABCCB">
      <w:pPr>
        <w:pStyle w:val="4"/>
        <w:pageBreakBefore w:val="0"/>
        <w:widowControl w:val="0"/>
        <w:kinsoku/>
        <w:wordWrap/>
        <w:overflowPunct/>
        <w:topLinePunct w:val="0"/>
        <w:autoSpaceDE/>
        <w:autoSpaceDN/>
        <w:bidi w:val="0"/>
        <w:spacing w:line="440" w:lineRule="exact"/>
        <w:ind w:firstLine="422"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1.评标方法</w:t>
      </w:r>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p>
    <w:p w14:paraId="3AC4AA0C">
      <w:pPr>
        <w:keepNext w:val="0"/>
        <w:keepLines w:val="0"/>
        <w:pageBreakBefore w:val="0"/>
        <w:widowControl w:val="0"/>
        <w:kinsoku/>
        <w:wordWrap/>
        <w:overflowPunct/>
        <w:topLinePunct w:val="0"/>
        <w:autoSpaceDE/>
        <w:autoSpaceDN/>
        <w:bidi w:val="0"/>
        <w:adjustRightInd/>
        <w:snapToGrid/>
        <w:spacing w:line="440" w:lineRule="exact"/>
        <w:ind w:firstLine="422" w:firstLineChars="200"/>
        <w:jc w:val="left"/>
        <w:textAlignment w:val="auto"/>
        <w:rPr>
          <w:rFonts w:hint="eastAsia" w:ascii="宋体" w:hAnsi="宋体" w:cs="宋体"/>
          <w:b/>
          <w:bCs/>
          <w:color w:val="auto"/>
          <w:szCs w:val="21"/>
          <w:highlight w:val="none"/>
          <w:lang w:eastAsia="zh-CN"/>
        </w:rPr>
      </w:pPr>
      <w:bookmarkStart w:id="779" w:name="_Toc78803382"/>
      <w:bookmarkStart w:id="780" w:name="_Toc35424948"/>
      <w:bookmarkStart w:id="781" w:name="_Toc35425114"/>
      <w:bookmarkStart w:id="782" w:name="_Toc324404873"/>
      <w:bookmarkStart w:id="783" w:name="_Toc11945"/>
      <w:bookmarkStart w:id="784" w:name="_Toc506107325"/>
      <w:bookmarkStart w:id="785" w:name="_Toc15058914"/>
      <w:bookmarkStart w:id="786" w:name="_Toc246996976"/>
      <w:bookmarkStart w:id="787" w:name="_Toc246996233"/>
      <w:bookmarkStart w:id="788" w:name="_Toc247085748"/>
      <w:bookmarkStart w:id="789" w:name="_Toc144974557"/>
      <w:bookmarkStart w:id="790" w:name="_Toc296602478"/>
      <w:bookmarkStart w:id="791" w:name="_Toc152042367"/>
      <w:bookmarkStart w:id="792" w:name="_Toc152045590"/>
      <w:bookmarkStart w:id="793" w:name="_Toc179632608"/>
      <w:r>
        <w:rPr>
          <w:rFonts w:hint="eastAsia" w:ascii="宋体" w:hAnsi="宋体" w:eastAsia="宋体" w:cs="宋体"/>
          <w:b/>
          <w:bCs/>
          <w:color w:val="auto"/>
          <w:szCs w:val="21"/>
          <w:highlight w:val="none"/>
        </w:rPr>
        <w:t>本次评标采用</w:t>
      </w:r>
      <w:r>
        <w:rPr>
          <w:rFonts w:hint="eastAsia" w:ascii="宋体" w:hAnsi="宋体" w:cs="宋体"/>
          <w:b/>
          <w:bCs/>
          <w:color w:val="auto"/>
          <w:szCs w:val="21"/>
          <w:highlight w:val="none"/>
          <w:lang w:eastAsia="zh-CN"/>
        </w:rPr>
        <w:t>合理低价法</w:t>
      </w:r>
      <w:r>
        <w:rPr>
          <w:rFonts w:hint="eastAsia" w:ascii="宋体" w:hAnsi="宋体" w:eastAsia="宋体" w:cs="宋体"/>
          <w:b/>
          <w:bCs/>
          <w:color w:val="auto"/>
          <w:szCs w:val="21"/>
          <w:highlight w:val="none"/>
        </w:rPr>
        <w:t>。评标委员会对满足招标文件实质性要求的投标文件，按照合理低价的原则确定中标候选人，投标报价低于所有有效投标报价平均值10%以上的投标单位，招标单位不予选择，在有效报价中按照最低价确定为第一中标候选人，次低的为第二中标候选人，以此类推推荐3名中选候选人。若有效投标报价中最低价有两家或两家以上相同时，由评标委员会主任委员或招标人随机抽取确定排名</w:t>
      </w:r>
      <w:r>
        <w:rPr>
          <w:rFonts w:hint="eastAsia" w:ascii="宋体" w:hAnsi="宋体" w:cs="宋体"/>
          <w:b/>
          <w:bCs/>
          <w:color w:val="auto"/>
          <w:szCs w:val="21"/>
          <w:highlight w:val="none"/>
          <w:lang w:eastAsia="zh-CN"/>
        </w:rPr>
        <w:t>。</w:t>
      </w:r>
    </w:p>
    <w:p w14:paraId="052B9A6D">
      <w:pPr>
        <w:pStyle w:val="4"/>
        <w:pageBreakBefore w:val="0"/>
        <w:widowControl w:val="0"/>
        <w:kinsoku/>
        <w:wordWrap/>
        <w:overflowPunct/>
        <w:topLinePunct w:val="0"/>
        <w:autoSpaceDE/>
        <w:autoSpaceDN/>
        <w:bidi w:val="0"/>
        <w:spacing w:line="440" w:lineRule="exact"/>
        <w:ind w:firstLine="422"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2.评标委员会的职责</w:t>
      </w:r>
      <w:bookmarkEnd w:id="779"/>
      <w:bookmarkEnd w:id="780"/>
      <w:bookmarkEnd w:id="781"/>
      <w:bookmarkEnd w:id="782"/>
      <w:bookmarkEnd w:id="783"/>
      <w:bookmarkEnd w:id="784"/>
      <w:bookmarkEnd w:id="785"/>
    </w:p>
    <w:p w14:paraId="26A8BDAC">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评标委员会应当根据本评标办法，应进行系统地评审和比较，向招标人推荐中标候选人或根据招标人的授权直接确定中标人。各评委必须独立评审，提出评审意见，不受任何单位或者个人的干预。各评委对其各自评审结果负责，并在评标报告上签字确认。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14:paraId="346014B5">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cs="宋体"/>
          <w:color w:val="auto"/>
          <w:szCs w:val="21"/>
          <w:highlight w:val="none"/>
        </w:rPr>
      </w:pPr>
      <w:bookmarkStart w:id="794" w:name="_Toc78803384"/>
      <w:bookmarkStart w:id="795" w:name="_Toc35425115"/>
      <w:bookmarkStart w:id="796" w:name="_Toc35424949"/>
      <w:bookmarkStart w:id="797" w:name="_Toc17377"/>
      <w:bookmarkStart w:id="798" w:name="_Toc506107326"/>
      <w:bookmarkStart w:id="799" w:name="_Toc324404874"/>
      <w:bookmarkStart w:id="800" w:name="_Toc15058915"/>
      <w:r>
        <w:rPr>
          <w:rFonts w:hint="eastAsia" w:ascii="宋体" w:hAnsi="宋体" w:cs="宋体"/>
          <w:color w:val="auto"/>
          <w:szCs w:val="21"/>
          <w:highlight w:val="none"/>
        </w:rPr>
        <w:t>评标委员会应加强对报价合理性审查。评标评审委员会认为拟推荐的中标候选人的报价明显低于其他通过符合性审查投标人的报价，存在异常低价，有可能影响项目质量或者不能诚信履约的，应当要求投标人在评标现场合理的时间内提供书面说明，必要时提交相关证明材料；投标人不能证明其报价合理性的，或评标委员会认定其存在履约及质量安全风险的，评标评审委员会应当将其作为无效投标处理。</w:t>
      </w:r>
    </w:p>
    <w:p w14:paraId="4CEB0BA6">
      <w:pPr>
        <w:pStyle w:val="4"/>
        <w:pageBreakBefore w:val="0"/>
        <w:widowControl w:val="0"/>
        <w:kinsoku/>
        <w:wordWrap/>
        <w:overflowPunct/>
        <w:topLinePunct w:val="0"/>
        <w:autoSpaceDE/>
        <w:autoSpaceDN/>
        <w:bidi w:val="0"/>
        <w:spacing w:line="440" w:lineRule="exact"/>
        <w:ind w:firstLine="422"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3.评标程序</w:t>
      </w:r>
      <w:bookmarkEnd w:id="794"/>
      <w:bookmarkEnd w:id="795"/>
      <w:bookmarkEnd w:id="796"/>
      <w:bookmarkEnd w:id="797"/>
      <w:bookmarkEnd w:id="798"/>
      <w:bookmarkEnd w:id="799"/>
      <w:bookmarkEnd w:id="800"/>
    </w:p>
    <w:p w14:paraId="6D204C9D">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评标先做准备工作，再进行资</w:t>
      </w:r>
      <w:r>
        <w:rPr>
          <w:rFonts w:hint="eastAsia" w:ascii="宋体" w:hAnsi="宋体" w:cs="宋体"/>
          <w:color w:val="auto"/>
          <w:szCs w:val="21"/>
          <w:highlight w:val="none"/>
          <w:lang w:val="en-US" w:eastAsia="zh-CN"/>
        </w:rPr>
        <w:t>信</w:t>
      </w:r>
      <w:r>
        <w:rPr>
          <w:rFonts w:hint="eastAsia" w:ascii="宋体" w:hAnsi="宋体" w:cs="宋体"/>
          <w:color w:val="auto"/>
          <w:szCs w:val="21"/>
          <w:highlight w:val="none"/>
        </w:rPr>
        <w:t>评审，然后进行商务标评审。</w:t>
      </w:r>
    </w:p>
    <w:p w14:paraId="267FE0A5">
      <w:pPr>
        <w:pStyle w:val="4"/>
        <w:pageBreakBefore w:val="0"/>
        <w:widowControl w:val="0"/>
        <w:kinsoku/>
        <w:wordWrap/>
        <w:overflowPunct/>
        <w:topLinePunct w:val="0"/>
        <w:autoSpaceDE/>
        <w:autoSpaceDN/>
        <w:bidi w:val="0"/>
        <w:spacing w:line="440" w:lineRule="exact"/>
        <w:ind w:firstLine="422" w:firstLineChars="200"/>
        <w:textAlignment w:val="auto"/>
        <w:rPr>
          <w:rFonts w:ascii="宋体" w:hAnsi="宋体" w:eastAsia="宋体" w:cs="宋体"/>
          <w:color w:val="auto"/>
          <w:highlight w:val="none"/>
        </w:rPr>
      </w:pPr>
      <w:bookmarkStart w:id="801" w:name="_Toc27389"/>
      <w:bookmarkStart w:id="802" w:name="_Toc35425116"/>
      <w:bookmarkStart w:id="803" w:name="_Toc15058916"/>
      <w:bookmarkStart w:id="804" w:name="_Toc78803385"/>
      <w:bookmarkStart w:id="805" w:name="_Toc35424950"/>
      <w:r>
        <w:rPr>
          <w:rFonts w:hint="eastAsia" w:ascii="宋体" w:hAnsi="宋体" w:eastAsia="宋体" w:cs="宋体"/>
          <w:color w:val="auto"/>
          <w:highlight w:val="none"/>
        </w:rPr>
        <w:t>3.1评标准备工作</w:t>
      </w:r>
      <w:bookmarkEnd w:id="801"/>
      <w:bookmarkEnd w:id="802"/>
      <w:bookmarkEnd w:id="803"/>
      <w:bookmarkEnd w:id="804"/>
      <w:bookmarkEnd w:id="805"/>
    </w:p>
    <w:p w14:paraId="311AD173">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评标委员会熟悉评标工作情况：</w:t>
      </w:r>
    </w:p>
    <w:p w14:paraId="018D9403">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（1）阅读由招标人或者其委托的工程代理机构编制的招标项目情况材料。</w:t>
      </w:r>
    </w:p>
    <w:p w14:paraId="2C0CD95A">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（2）阅读、研究招标文件和相关评标资料，获取评标所需要的重要信息和数据，至少应了解和熟悉以下内容：招标项目的范围和性质，招标文件规定的主要技术要求、标准和商务条款。</w:t>
      </w:r>
    </w:p>
    <w:p w14:paraId="0771DA4A">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（3）熟悉招标文件规定的评标标准和评标方法及在评标过程中需要考虑的相关因素。</w:t>
      </w:r>
    </w:p>
    <w:p w14:paraId="5143744D">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（4）核对评标工作用表。</w:t>
      </w:r>
    </w:p>
    <w:p w14:paraId="0DC00819">
      <w:pPr>
        <w:pStyle w:val="4"/>
        <w:pageBreakBefore w:val="0"/>
        <w:widowControl w:val="0"/>
        <w:kinsoku/>
        <w:wordWrap/>
        <w:overflowPunct/>
        <w:topLinePunct w:val="0"/>
        <w:autoSpaceDE/>
        <w:autoSpaceDN/>
        <w:bidi w:val="0"/>
        <w:spacing w:line="440" w:lineRule="exact"/>
        <w:ind w:firstLine="422" w:firstLineChars="200"/>
        <w:textAlignment w:val="auto"/>
        <w:rPr>
          <w:rFonts w:ascii="宋体" w:hAnsi="宋体" w:eastAsia="宋体" w:cs="宋体"/>
          <w:color w:val="auto"/>
          <w:highlight w:val="none"/>
        </w:rPr>
      </w:pPr>
      <w:bookmarkStart w:id="806" w:name="_Toc35424951"/>
      <w:bookmarkStart w:id="807" w:name="_Toc15058917"/>
      <w:bookmarkStart w:id="808" w:name="_Toc24650"/>
      <w:bookmarkStart w:id="809" w:name="_Toc1299"/>
      <w:bookmarkStart w:id="810" w:name="_Toc78803386"/>
      <w:bookmarkStart w:id="811" w:name="_Toc35425117"/>
      <w:bookmarkStart w:id="812" w:name="_Toc12200"/>
      <w:bookmarkStart w:id="813" w:name="_Toc35425120"/>
      <w:bookmarkStart w:id="814" w:name="_Toc15058919"/>
      <w:bookmarkStart w:id="815" w:name="_Toc35424954"/>
      <w:bookmarkStart w:id="816" w:name="_Toc506107327"/>
      <w:bookmarkStart w:id="817" w:name="_Toc324404875"/>
      <w:r>
        <w:rPr>
          <w:rFonts w:hint="eastAsia" w:ascii="宋体" w:hAnsi="宋体" w:eastAsia="宋体" w:cs="宋体"/>
          <w:color w:val="auto"/>
          <w:highlight w:val="none"/>
        </w:rPr>
        <w:t>3.2</w:t>
      </w:r>
      <w:bookmarkEnd w:id="806"/>
      <w:bookmarkEnd w:id="807"/>
      <w:bookmarkEnd w:id="808"/>
      <w:bookmarkEnd w:id="809"/>
      <w:bookmarkEnd w:id="810"/>
      <w:bookmarkEnd w:id="811"/>
      <w:bookmarkStart w:id="818" w:name="_Toc35425118"/>
      <w:bookmarkStart w:id="819" w:name="_Toc17468"/>
      <w:bookmarkStart w:id="820" w:name="_Toc11990"/>
      <w:bookmarkStart w:id="821" w:name="_Toc78803387"/>
      <w:bookmarkStart w:id="822" w:name="_Toc35424952"/>
      <w:bookmarkStart w:id="823" w:name="_Toc15058918"/>
      <w:r>
        <w:rPr>
          <w:rFonts w:hint="eastAsia" w:ascii="宋体" w:hAnsi="宋体" w:eastAsia="宋体" w:cs="宋体"/>
          <w:color w:val="auto"/>
          <w:highlight w:val="none"/>
        </w:rPr>
        <w:t>商务标评审</w:t>
      </w:r>
      <w:bookmarkEnd w:id="818"/>
      <w:bookmarkEnd w:id="819"/>
      <w:bookmarkEnd w:id="820"/>
      <w:bookmarkEnd w:id="821"/>
      <w:bookmarkEnd w:id="822"/>
      <w:bookmarkEnd w:id="823"/>
    </w:p>
    <w:p w14:paraId="689EEA11">
      <w:pPr>
        <w:pageBreakBefore w:val="0"/>
        <w:widowControl w:val="0"/>
        <w:kinsoku/>
        <w:wordWrap/>
        <w:overflowPunct/>
        <w:topLinePunct w:val="0"/>
        <w:autoSpaceDE/>
        <w:autoSpaceDN/>
        <w:bidi w:val="0"/>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详见商务标评审表。</w:t>
      </w:r>
    </w:p>
    <w:p w14:paraId="25869F54">
      <w:pPr>
        <w:pageBreakBefore w:val="0"/>
        <w:widowControl w:val="0"/>
        <w:kinsoku/>
        <w:wordWrap/>
        <w:overflowPunct/>
        <w:topLinePunct w:val="0"/>
        <w:autoSpaceDE/>
        <w:autoSpaceDN/>
        <w:bidi w:val="0"/>
        <w:spacing w:line="440" w:lineRule="exact"/>
        <w:ind w:firstLine="422" w:firstLineChars="200"/>
        <w:jc w:val="left"/>
        <w:textAlignment w:val="auto"/>
        <w:rPr>
          <w:rStyle w:val="198"/>
          <w:rFonts w:hint="eastAsia" w:ascii="宋体" w:hAnsi="宋体" w:eastAsia="宋体" w:cs="宋体"/>
          <w:color w:val="auto"/>
          <w:highlight w:val="none"/>
        </w:rPr>
      </w:pPr>
      <w:bookmarkStart w:id="824" w:name="_Toc35425119"/>
      <w:bookmarkStart w:id="825" w:name="_Toc78803388"/>
      <w:bookmarkStart w:id="826" w:name="_Toc18087"/>
      <w:bookmarkStart w:id="827" w:name="_Toc35424953"/>
      <w:bookmarkStart w:id="828" w:name="_Toc26895"/>
      <w:r>
        <w:rPr>
          <w:rStyle w:val="198"/>
          <w:rFonts w:hint="eastAsia" w:ascii="宋体" w:hAnsi="宋体" w:eastAsia="宋体" w:cs="宋体"/>
          <w:color w:val="auto"/>
          <w:highlight w:val="none"/>
        </w:rPr>
        <w:t>3.</w:t>
      </w:r>
      <w:r>
        <w:rPr>
          <w:rStyle w:val="198"/>
          <w:rFonts w:hint="eastAsia" w:ascii="宋体" w:hAnsi="宋体" w:cs="宋体"/>
          <w:color w:val="auto"/>
          <w:highlight w:val="none"/>
          <w:lang w:val="en-US"/>
        </w:rPr>
        <w:t>3</w:t>
      </w:r>
      <w:r>
        <w:rPr>
          <w:rStyle w:val="198"/>
          <w:rFonts w:hint="eastAsia" w:ascii="宋体" w:hAnsi="宋体" w:eastAsia="宋体" w:cs="宋体"/>
          <w:color w:val="auto"/>
          <w:highlight w:val="none"/>
        </w:rPr>
        <w:t>推荐中标候选人</w:t>
      </w:r>
      <w:bookmarkEnd w:id="824"/>
      <w:bookmarkEnd w:id="825"/>
      <w:bookmarkEnd w:id="826"/>
      <w:bookmarkEnd w:id="827"/>
      <w:bookmarkEnd w:id="828"/>
    </w:p>
    <w:p w14:paraId="362FA860">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资信评审、技术标评审、商务标评审后，推荐中标候选人，并标明排序。</w:t>
      </w:r>
    </w:p>
    <w:p w14:paraId="696AA247">
      <w:pPr>
        <w:pStyle w:val="4"/>
        <w:pageBreakBefore w:val="0"/>
        <w:widowControl w:val="0"/>
        <w:kinsoku/>
        <w:wordWrap/>
        <w:overflowPunct/>
        <w:topLinePunct w:val="0"/>
        <w:autoSpaceDE/>
        <w:autoSpaceDN/>
        <w:bidi w:val="0"/>
        <w:spacing w:beforeLines="50" w:afterLines="50" w:line="440" w:lineRule="exact"/>
        <w:ind w:firstLine="422" w:firstLineChars="200"/>
        <w:textAlignment w:val="auto"/>
        <w:rPr>
          <w:rFonts w:ascii="宋体" w:hAnsi="宋体" w:eastAsia="宋体" w:cs="宋体"/>
          <w:color w:val="auto"/>
          <w:highlight w:val="none"/>
        </w:rPr>
      </w:pPr>
      <w:bookmarkStart w:id="829" w:name="_Toc78803389"/>
      <w:r>
        <w:rPr>
          <w:rFonts w:hint="eastAsia" w:ascii="宋体" w:hAnsi="宋体" w:eastAsia="宋体" w:cs="宋体"/>
          <w:color w:val="auto"/>
          <w:highlight w:val="none"/>
        </w:rPr>
        <w:t>4.评审内容</w:t>
      </w:r>
      <w:bookmarkEnd w:id="812"/>
      <w:bookmarkEnd w:id="813"/>
      <w:bookmarkEnd w:id="814"/>
      <w:bookmarkEnd w:id="815"/>
      <w:bookmarkEnd w:id="816"/>
      <w:bookmarkEnd w:id="817"/>
      <w:bookmarkEnd w:id="829"/>
    </w:p>
    <w:p w14:paraId="02E73996">
      <w:pPr>
        <w:keepNext w:val="0"/>
        <w:keepLines w:val="0"/>
        <w:widowControl w:val="0"/>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b/>
          <w:bCs/>
          <w:color w:val="auto"/>
          <w:kern w:val="2"/>
          <w:sz w:val="21"/>
          <w:szCs w:val="21"/>
          <w:highlight w:val="none"/>
        </w:rPr>
      </w:pPr>
      <w:bookmarkStart w:id="830" w:name="_Toc9630"/>
      <w:bookmarkStart w:id="831" w:name="_Toc78803390"/>
      <w:r>
        <w:rPr>
          <w:rFonts w:hint="eastAsia" w:ascii="宋体" w:hAnsi="宋体" w:eastAsia="宋体" w:cs="宋体"/>
          <w:color w:val="auto"/>
          <w:highlight w:val="none"/>
        </w:rPr>
        <w:t>4.1</w:t>
      </w:r>
      <w:bookmarkEnd w:id="830"/>
      <w:bookmarkEnd w:id="831"/>
      <w:bookmarkStart w:id="832" w:name="_Toc506107328"/>
      <w:bookmarkStart w:id="833" w:name="_Toc13125"/>
      <w:bookmarkStart w:id="834" w:name="_Toc15058922"/>
      <w:bookmarkStart w:id="835" w:name="_Toc35424957"/>
      <w:bookmarkStart w:id="836" w:name="_Toc324404876"/>
      <w:bookmarkStart w:id="837" w:name="_Toc78803392"/>
      <w:bookmarkStart w:id="838" w:name="_Toc35425123"/>
      <w:r>
        <w:rPr>
          <w:rFonts w:hint="eastAsia" w:ascii="宋体" w:hAnsi="宋体" w:eastAsia="宋体" w:cs="宋体"/>
          <w:b/>
          <w:bCs/>
          <w:color w:val="auto"/>
          <w:kern w:val="2"/>
          <w:sz w:val="21"/>
          <w:szCs w:val="21"/>
          <w:highlight w:val="none"/>
          <w:lang w:val="en-US" w:eastAsia="zh-CN" w:bidi="ar"/>
        </w:rPr>
        <w:t>商务标评审</w:t>
      </w:r>
    </w:p>
    <w:p w14:paraId="2069F3AA">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只有通过技术标评审的投标才能够进入本阶段评审。</w:t>
      </w:r>
    </w:p>
    <w:p w14:paraId="1C35D685">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4.</w:t>
      </w:r>
      <w:r>
        <w:rPr>
          <w:rFonts w:hint="eastAsia" w:ascii="宋体" w:hAnsi="宋体" w:cs="宋体"/>
          <w:color w:val="auto"/>
          <w:kern w:val="2"/>
          <w:sz w:val="21"/>
          <w:szCs w:val="21"/>
          <w:highlight w:val="none"/>
          <w:lang w:val="en-US" w:eastAsia="zh-CN" w:bidi="ar"/>
        </w:rPr>
        <w:t>1</w:t>
      </w:r>
      <w:r>
        <w:rPr>
          <w:rFonts w:hint="eastAsia" w:ascii="宋体" w:hAnsi="宋体" w:eastAsia="宋体" w:cs="宋体"/>
          <w:color w:val="auto"/>
          <w:kern w:val="2"/>
          <w:sz w:val="21"/>
          <w:szCs w:val="21"/>
          <w:highlight w:val="none"/>
          <w:lang w:val="en-US" w:eastAsia="zh-CN" w:bidi="ar"/>
        </w:rPr>
        <w:t>.1形式性评审标准：见商务标评审表。</w:t>
      </w:r>
    </w:p>
    <w:p w14:paraId="230D8317">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4.</w:t>
      </w:r>
      <w:r>
        <w:rPr>
          <w:rFonts w:hint="eastAsia" w:ascii="宋体" w:hAnsi="宋体" w:cs="宋体"/>
          <w:color w:val="auto"/>
          <w:kern w:val="2"/>
          <w:sz w:val="21"/>
          <w:szCs w:val="21"/>
          <w:highlight w:val="none"/>
          <w:lang w:val="en-US" w:eastAsia="zh-CN" w:bidi="ar"/>
        </w:rPr>
        <w:t>1</w:t>
      </w:r>
      <w:r>
        <w:rPr>
          <w:rFonts w:hint="eastAsia" w:ascii="宋体" w:hAnsi="宋体" w:eastAsia="宋体" w:cs="宋体"/>
          <w:color w:val="auto"/>
          <w:kern w:val="2"/>
          <w:sz w:val="21"/>
          <w:szCs w:val="21"/>
          <w:highlight w:val="none"/>
          <w:lang w:val="en-US" w:eastAsia="zh-CN" w:bidi="ar"/>
        </w:rPr>
        <w:t>.2响应性评审标准：见商务标评审表。</w:t>
      </w:r>
    </w:p>
    <w:p w14:paraId="21E13D96">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评标委员会依据上述标准对投标文件进行初步评审。有一项不符合评审标准的，作无效投标处理。</w:t>
      </w:r>
    </w:p>
    <w:p w14:paraId="22CC091E">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4.</w:t>
      </w:r>
      <w:r>
        <w:rPr>
          <w:rFonts w:hint="eastAsia" w:ascii="宋体" w:hAnsi="宋体" w:cs="宋体"/>
          <w:color w:val="auto"/>
          <w:kern w:val="2"/>
          <w:sz w:val="21"/>
          <w:szCs w:val="21"/>
          <w:highlight w:val="none"/>
          <w:lang w:val="en-US" w:eastAsia="zh-CN" w:bidi="ar"/>
        </w:rPr>
        <w:t>1</w:t>
      </w:r>
      <w:r>
        <w:rPr>
          <w:rFonts w:hint="eastAsia" w:ascii="宋体" w:hAnsi="宋体" w:eastAsia="宋体" w:cs="宋体"/>
          <w:color w:val="auto"/>
          <w:kern w:val="2"/>
          <w:sz w:val="21"/>
          <w:szCs w:val="21"/>
          <w:highlight w:val="none"/>
          <w:lang w:val="en-US" w:eastAsia="zh-CN" w:bidi="ar"/>
        </w:rPr>
        <w:t>.3投标报价评审</w:t>
      </w:r>
    </w:p>
    <w:p w14:paraId="5ADDC163">
      <w:pPr>
        <w:pageBreakBefore w:val="0"/>
        <w:widowControl w:val="0"/>
        <w:kinsoku/>
        <w:wordWrap/>
        <w:overflowPunct/>
        <w:topLinePunct w:val="0"/>
        <w:autoSpaceDE/>
        <w:autoSpaceDN/>
        <w:bidi w:val="0"/>
        <w:spacing w:line="440" w:lineRule="exact"/>
        <w:ind w:firstLine="422"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b/>
          <w:bCs/>
          <w:color w:val="auto"/>
          <w:kern w:val="2"/>
          <w:sz w:val="21"/>
          <w:szCs w:val="21"/>
          <w:highlight w:val="none"/>
          <w:lang w:val="en-US" w:eastAsia="zh-CN" w:bidi="ar"/>
        </w:rPr>
        <w:t>评标委员会发现投标人的投标报价明显低于其他投标报价，有可能影响服务质量或者不能诚信履约的，应当要求其在评标现场合理的时间内提供证明材料；投标人不能证明其报价合理性的，评标委员会应当将其作为无效投标处理</w:t>
      </w:r>
      <w:r>
        <w:rPr>
          <w:rFonts w:hint="eastAsia" w:ascii="宋体" w:hAnsi="宋体" w:cs="宋体"/>
          <w:b/>
          <w:bCs/>
          <w:color w:val="auto"/>
          <w:kern w:val="2"/>
          <w:sz w:val="21"/>
          <w:szCs w:val="21"/>
          <w:highlight w:val="none"/>
          <w:lang w:val="en-US" w:eastAsia="zh-CN" w:bidi="ar"/>
        </w:rPr>
        <w:t>。</w:t>
      </w:r>
    </w:p>
    <w:p w14:paraId="36A47C54">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cs="宋体"/>
          <w:color w:val="auto"/>
          <w:kern w:val="2"/>
          <w:sz w:val="21"/>
          <w:szCs w:val="21"/>
          <w:highlight w:val="none"/>
          <w:lang w:val="en-US" w:eastAsia="zh-CN" w:bidi="ar"/>
        </w:rPr>
        <w:t>4.1.4</w:t>
      </w:r>
      <w:r>
        <w:rPr>
          <w:rFonts w:hint="eastAsia" w:ascii="宋体" w:hAnsi="宋体" w:eastAsia="宋体" w:cs="宋体"/>
          <w:color w:val="auto"/>
          <w:kern w:val="2"/>
          <w:sz w:val="21"/>
          <w:szCs w:val="21"/>
          <w:highlight w:val="none"/>
          <w:lang w:val="en-US" w:eastAsia="zh-CN" w:bidi="ar"/>
        </w:rPr>
        <w:t>评标委员会审查投标文件，审核并确认清标结果，包括工程投标报价的校核、审查全部数据计算的正确性、分析各种费用构成的合理性和正确性等内容，看其是否有计算或表达上的错误，投标报价有错误的，评标委员会按以下原则对投标报价进行修正。</w:t>
      </w:r>
    </w:p>
    <w:p w14:paraId="4D9F0ED8">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（1）投标文件中的大写金额与小写金额不一致的，以大写金额为准。</w:t>
      </w:r>
    </w:p>
    <w:p w14:paraId="1F615FA3">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（2）总价金额与依据单价计算出的结果不一致的，以单价金额为准修正总价，但单价金额小数点有明显错误的除外。</w:t>
      </w:r>
    </w:p>
    <w:p w14:paraId="4F2593F6">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（3）工程量清单报价表中综合单价与工程量清单项目价格分析表相对应综合单价不一致时，以工程量清单项目价格分析表中标出的综合单价为准。</w:t>
      </w:r>
    </w:p>
    <w:p w14:paraId="7548F3C0">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kern w:val="2"/>
          <w:sz w:val="21"/>
          <w:szCs w:val="21"/>
          <w:highlight w:val="none"/>
          <w:lang w:val="en-US" w:eastAsia="zh-CN" w:bidi="ar"/>
        </w:rPr>
        <w:t>按上述修正错误的原则及方法调整或修正投标文件的投标报价，调整或修正的价格经投标人书面确认后具有约束力。中标价原则上以调整或修正后的价格为准，调整或修正后的价格与投标报价相比，价格低的为中标价。投标人不接受的，其投标将被拒绝</w:t>
      </w:r>
      <w:r>
        <w:rPr>
          <w:rFonts w:hint="eastAsia" w:ascii="宋体" w:hAnsi="宋体" w:eastAsia="宋体" w:cs="宋体"/>
          <w:color w:val="auto"/>
          <w:highlight w:val="none"/>
        </w:rPr>
        <w:t>。</w:t>
      </w:r>
    </w:p>
    <w:p w14:paraId="51551E98">
      <w:pPr>
        <w:pStyle w:val="4"/>
        <w:pageBreakBefore w:val="0"/>
        <w:widowControl w:val="0"/>
        <w:kinsoku/>
        <w:wordWrap/>
        <w:overflowPunct/>
        <w:topLinePunct w:val="0"/>
        <w:autoSpaceDE/>
        <w:autoSpaceDN/>
        <w:bidi w:val="0"/>
        <w:spacing w:line="440" w:lineRule="exact"/>
        <w:ind w:firstLine="422"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5.无效投标条款</w:t>
      </w:r>
      <w:bookmarkEnd w:id="832"/>
      <w:bookmarkEnd w:id="833"/>
      <w:bookmarkEnd w:id="834"/>
      <w:bookmarkEnd w:id="835"/>
      <w:bookmarkEnd w:id="836"/>
      <w:bookmarkEnd w:id="837"/>
      <w:bookmarkEnd w:id="838"/>
    </w:p>
    <w:p w14:paraId="0591E64A">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5.1投标人存在下列情形的的招标人将拒收投标文件：</w:t>
      </w:r>
    </w:p>
    <w:p w14:paraId="18CF85E1">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（1）未在投标截止时间前通过网上招标投标系统递交有效电子投标文件的，开标系统不予接收，投标将被拒绝。</w:t>
      </w:r>
    </w:p>
    <w:p w14:paraId="2907B0D0">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所有投标人应在规定时间里完成投标文件的解密工作【投标企业接到远程解密指令后，须在规定时间内解密（以网上招投标系统解密倒计时为准）。因投标人自身原因导致投标文件在规定时间内未能解密、解密失败或解密超时，投标文件无效；因招标人或代理公司原因或网上平台发生故障，导致无法按时完成投标文件解密的，经代理公司申请后可延迟解密时间】。</w:t>
      </w:r>
    </w:p>
    <w:p w14:paraId="5D9406E7">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5.</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投标人有下列情形的，经评审后其投标作无效投标处理：</w:t>
      </w:r>
    </w:p>
    <w:p w14:paraId="7BE7357E">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5.</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.1商务标评审</w:t>
      </w:r>
    </w:p>
    <w:p w14:paraId="274DA15A">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(1)评标委员会依据《商务标评审表》进行形式性评审和响应性评审。有一项不符合评审标准的，做无效投标处理；</w:t>
      </w:r>
    </w:p>
    <w:p w14:paraId="15AFBF24">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（2）商务标详细评审标准中有任何一项不能通过评审的，作无效投标处理</w:t>
      </w:r>
      <w:r>
        <w:rPr>
          <w:rFonts w:hint="eastAsia" w:ascii="宋体" w:hAnsi="宋体" w:cs="宋体"/>
          <w:color w:val="auto"/>
          <w:szCs w:val="21"/>
          <w:highlight w:val="none"/>
          <w:lang w:eastAsia="zh-CN"/>
        </w:rPr>
        <w:t>。</w:t>
      </w:r>
    </w:p>
    <w:p w14:paraId="47CFA92A">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5.</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其他无效投标情况：</w:t>
      </w:r>
    </w:p>
    <w:p w14:paraId="2C11B3E2">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评标委员会发现投标人的投标报价明显低于其他投标报价，使得其投标报价可能低于其成本的，应当要求该投标人作出书面说明并提供相应的证明材料。投标人不能合理说明或者不能提供相应证明材料的，由评标委员会认定该投标人以低于成本报价竞标，其投标作无效投标处理。</w:t>
      </w:r>
    </w:p>
    <w:p w14:paraId="39757C0B">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（2）按第三章《评标方法》4.</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.4条款修正错误的原则及方法调整或修正投标文件的投标报价，调整或修正的价格经投标人书面确认后具有约束力。投标人不接修正价格的，其投标将被拒绝。</w:t>
      </w:r>
    </w:p>
    <w:p w14:paraId="3C36C6CB">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）投标人有串通投标、视为串通投标、弄虚作假、行贿等违法行为。</w:t>
      </w:r>
    </w:p>
    <w:p w14:paraId="7954A0F8">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）投标文件没有对招标文件的实质性要求和条件作出响应。</w:t>
      </w:r>
    </w:p>
    <w:p w14:paraId="1706800F">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）未按规定的格式填写导致实质性内容不全以及实质上不响应，或者关键字迹模糊、无法辨认的。</w:t>
      </w:r>
    </w:p>
    <w:p w14:paraId="28C036DC">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）同一投标人提交两个以上不同的投标文件或者投标报价，但招标文件规定提交备选投标的除外。</w:t>
      </w:r>
    </w:p>
    <w:p w14:paraId="185F8D6A">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）投标文件中存在招标人不能接受的其他实质性条件。</w:t>
      </w:r>
    </w:p>
    <w:p w14:paraId="5A814031">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）投标文件中填报的拟任项目经理（建造师）与资格审查通过的项目经理（建造师）前后不一致的。</w:t>
      </w:r>
    </w:p>
    <w:p w14:paraId="73F01E58">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）投标人拒不按照要求对投标文件进行澄清、说明、补正的，或评标委员会根据招标文件的规定对招标文件的计算错误进行修正后，投标人不接受修正的投标报价的。</w:t>
      </w:r>
    </w:p>
    <w:p w14:paraId="2589E5A8">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）投标人单方面出现其他投标人材料。</w:t>
      </w:r>
    </w:p>
    <w:p w14:paraId="50B4F429">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）投标人投标MAC地址一致。</w:t>
      </w:r>
    </w:p>
    <w:p w14:paraId="58F77BC1">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12）评标时查询投标文件制作机器码、文件创建标识码及造价软件加密锁号。若存在投标文件制作机器码或创建标识码或造价软件加密锁号信息与其他投标人雷同的，投标无效</w:t>
      </w:r>
      <w:r>
        <w:rPr>
          <w:rFonts w:hint="eastAsia" w:ascii="宋体" w:hAnsi="宋体" w:cs="宋体"/>
          <w:color w:val="auto"/>
          <w:szCs w:val="21"/>
          <w:highlight w:val="none"/>
          <w:lang w:val="en-US" w:eastAsia="zh-CN"/>
        </w:rPr>
        <w:t>。</w:t>
      </w:r>
    </w:p>
    <w:p w14:paraId="32BA7973">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（13）</w:t>
      </w:r>
      <w:r>
        <w:rPr>
          <w:rFonts w:hint="eastAsia" w:ascii="宋体" w:hAnsi="宋体" w:eastAsia="宋体" w:cs="宋体"/>
          <w:color w:val="auto"/>
          <w:szCs w:val="21"/>
          <w:highlight w:val="none"/>
        </w:rPr>
        <w:t>法律、法规规定的其他情形。</w:t>
      </w:r>
    </w:p>
    <w:p w14:paraId="0353053F">
      <w:pPr>
        <w:pStyle w:val="4"/>
        <w:pageBreakBefore w:val="0"/>
        <w:widowControl w:val="0"/>
        <w:kinsoku/>
        <w:wordWrap/>
        <w:overflowPunct/>
        <w:topLinePunct w:val="0"/>
        <w:autoSpaceDE/>
        <w:autoSpaceDN/>
        <w:bidi w:val="0"/>
        <w:spacing w:line="440" w:lineRule="exact"/>
        <w:ind w:firstLine="422" w:firstLineChars="200"/>
        <w:textAlignment w:val="auto"/>
        <w:rPr>
          <w:rFonts w:hint="eastAsia" w:ascii="宋体" w:hAnsi="宋体" w:eastAsia="宋体" w:cs="宋体"/>
          <w:color w:val="auto"/>
          <w:highlight w:val="none"/>
        </w:rPr>
      </w:pPr>
      <w:bookmarkStart w:id="839" w:name="_Toc506107329"/>
      <w:bookmarkStart w:id="840" w:name="_Toc27846"/>
      <w:bookmarkStart w:id="841" w:name="_Toc324404877"/>
      <w:bookmarkStart w:id="842" w:name="_Toc15058923"/>
      <w:bookmarkStart w:id="843" w:name="_Toc35424958"/>
      <w:bookmarkStart w:id="844" w:name="_Toc35425124"/>
      <w:bookmarkStart w:id="845" w:name="_Toc78803393"/>
      <w:r>
        <w:rPr>
          <w:rFonts w:hint="eastAsia" w:ascii="宋体" w:hAnsi="宋体" w:eastAsia="宋体" w:cs="宋体"/>
          <w:color w:val="auto"/>
          <w:highlight w:val="none"/>
        </w:rPr>
        <w:t>6.投标文件的澄清和补正</w:t>
      </w:r>
      <w:bookmarkEnd w:id="839"/>
      <w:bookmarkEnd w:id="840"/>
      <w:bookmarkEnd w:id="841"/>
      <w:bookmarkEnd w:id="842"/>
      <w:bookmarkEnd w:id="843"/>
      <w:bookmarkEnd w:id="844"/>
      <w:bookmarkEnd w:id="845"/>
    </w:p>
    <w:p w14:paraId="6B60B036">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6.1在评标过程中，评标委员会可以要求投标人对所提交的投标文件中不明确的内容进行书面澄清或说明，或者对细微偏差进行补正。评标委员会不接受投标人主动提出的澄清、说明或补正。</w:t>
      </w:r>
    </w:p>
    <w:p w14:paraId="5566E826">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6.2澄清、说明和补正不得改变投标文件的实质性内容（算术性错误修正的除外）。投标人的书面澄清、说明和补正属于投标文件的组成部分。</w:t>
      </w:r>
    </w:p>
    <w:p w14:paraId="4653CAEA">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6.3评标委员会对投标人提交的澄清、说明和补正有疑问的，可以要求投标人进一步澄清、说明或补正、直至满足评标委员会的要求。</w:t>
      </w:r>
    </w:p>
    <w:p w14:paraId="6940A8EE">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按照投标文件规定进行澄清、补正后的投标报价经投标人的法定代表人或其委托代理人确认后即为该投标人的最终投标报价。投标人一旦中标，此报价即为中标价。</w:t>
      </w:r>
    </w:p>
    <w:p w14:paraId="66DDEAF3">
      <w:pPr>
        <w:pStyle w:val="4"/>
        <w:pageBreakBefore w:val="0"/>
        <w:widowControl w:val="0"/>
        <w:kinsoku/>
        <w:wordWrap/>
        <w:overflowPunct/>
        <w:topLinePunct w:val="0"/>
        <w:autoSpaceDE/>
        <w:autoSpaceDN/>
        <w:bidi w:val="0"/>
        <w:spacing w:line="440" w:lineRule="exact"/>
        <w:ind w:firstLine="422" w:firstLineChars="200"/>
        <w:textAlignment w:val="auto"/>
        <w:rPr>
          <w:rFonts w:hint="eastAsia" w:ascii="宋体" w:hAnsi="宋体" w:eastAsia="宋体" w:cs="宋体"/>
          <w:color w:val="auto"/>
          <w:highlight w:val="none"/>
        </w:rPr>
      </w:pPr>
      <w:bookmarkStart w:id="846" w:name="_Toc35424959"/>
      <w:bookmarkStart w:id="847" w:name="_Toc35425125"/>
      <w:bookmarkStart w:id="848" w:name="_Toc78803394"/>
      <w:bookmarkStart w:id="849" w:name="_Toc15058924"/>
      <w:bookmarkStart w:id="850" w:name="_Toc13990"/>
      <w:bookmarkStart w:id="851" w:name="_Toc324404878"/>
      <w:bookmarkStart w:id="852" w:name="_Toc506107330"/>
      <w:r>
        <w:rPr>
          <w:rFonts w:hint="eastAsia" w:ascii="宋体" w:hAnsi="宋体" w:eastAsia="宋体" w:cs="宋体"/>
          <w:color w:val="auto"/>
          <w:highlight w:val="none"/>
        </w:rPr>
        <w:t>7.评分标准</w:t>
      </w:r>
      <w:bookmarkEnd w:id="846"/>
      <w:bookmarkEnd w:id="847"/>
      <w:bookmarkEnd w:id="848"/>
      <w:bookmarkEnd w:id="849"/>
      <w:bookmarkEnd w:id="850"/>
      <w:bookmarkEnd w:id="851"/>
      <w:bookmarkEnd w:id="852"/>
    </w:p>
    <w:p w14:paraId="573CB804">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评分标准：见商务标评审表。</w:t>
      </w:r>
    </w:p>
    <w:p w14:paraId="045E90A1">
      <w:pPr>
        <w:pStyle w:val="4"/>
        <w:pageBreakBefore w:val="0"/>
        <w:widowControl w:val="0"/>
        <w:kinsoku/>
        <w:wordWrap/>
        <w:overflowPunct/>
        <w:topLinePunct w:val="0"/>
        <w:autoSpaceDE/>
        <w:autoSpaceDN/>
        <w:bidi w:val="0"/>
        <w:spacing w:line="440" w:lineRule="exact"/>
        <w:ind w:firstLine="422" w:firstLineChars="200"/>
        <w:textAlignment w:val="auto"/>
        <w:rPr>
          <w:rFonts w:hint="eastAsia" w:ascii="宋体" w:hAnsi="宋体" w:eastAsia="宋体" w:cs="宋体"/>
          <w:color w:val="auto"/>
          <w:highlight w:val="none"/>
        </w:rPr>
      </w:pPr>
      <w:bookmarkStart w:id="853" w:name="_Toc22863"/>
      <w:bookmarkStart w:id="854" w:name="_Toc78803395"/>
      <w:bookmarkStart w:id="855" w:name="_Toc35425126"/>
      <w:bookmarkStart w:id="856" w:name="_Toc35424960"/>
      <w:bookmarkStart w:id="857" w:name="_Toc506107331"/>
      <w:bookmarkStart w:id="858" w:name="_Toc15058925"/>
      <w:bookmarkStart w:id="859" w:name="_Toc324404879"/>
      <w:r>
        <w:rPr>
          <w:rFonts w:hint="eastAsia" w:ascii="宋体" w:hAnsi="宋体" w:eastAsia="宋体" w:cs="宋体"/>
          <w:color w:val="auto"/>
          <w:highlight w:val="none"/>
        </w:rPr>
        <w:t>8.评审结果</w:t>
      </w:r>
      <w:bookmarkEnd w:id="853"/>
      <w:bookmarkEnd w:id="854"/>
      <w:bookmarkEnd w:id="855"/>
      <w:bookmarkEnd w:id="856"/>
      <w:bookmarkEnd w:id="857"/>
      <w:bookmarkEnd w:id="858"/>
      <w:bookmarkEnd w:id="859"/>
    </w:p>
    <w:p w14:paraId="11A62683">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8.1除投标人须知前附表授权直接确定中标人外，评标委员会按照</w:t>
      </w:r>
      <w:r>
        <w:rPr>
          <w:rFonts w:hint="eastAsia" w:ascii="宋体" w:hAnsi="宋体" w:cs="宋体"/>
          <w:color w:val="auto"/>
          <w:szCs w:val="21"/>
          <w:highlight w:val="none"/>
          <w:lang w:val="en-US" w:eastAsia="zh-CN"/>
        </w:rPr>
        <w:t>评标办法规定</w:t>
      </w:r>
      <w:r>
        <w:rPr>
          <w:rFonts w:hint="eastAsia" w:ascii="宋体" w:hAnsi="宋体" w:cs="宋体"/>
          <w:color w:val="auto"/>
          <w:szCs w:val="21"/>
          <w:highlight w:val="none"/>
        </w:rPr>
        <w:t>推荐中标候选人。</w:t>
      </w:r>
    </w:p>
    <w:p w14:paraId="0E2651CA">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8.2评标委员会完成评标后，应当向招标人提交书面评标报告。评标报告应当如实记载以下内容：</w:t>
      </w:r>
    </w:p>
    <w:p w14:paraId="238F52C8">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（1）基本情况和数据表。</w:t>
      </w:r>
    </w:p>
    <w:p w14:paraId="65B3C4C6">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（2）评标委员会成员名单。</w:t>
      </w:r>
    </w:p>
    <w:p w14:paraId="194474DD">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（3）开标记录。</w:t>
      </w:r>
    </w:p>
    <w:p w14:paraId="791671E4">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（4）符合要求的投标人一览表。</w:t>
      </w:r>
    </w:p>
    <w:p w14:paraId="20299AF4">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（5）否决投标情况说明。</w:t>
      </w:r>
    </w:p>
    <w:p w14:paraId="4CAD0397">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（6）评标标准、评标方法或者评标因素。</w:t>
      </w:r>
    </w:p>
    <w:p w14:paraId="5A1B033F">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（7）评标情况一览表。</w:t>
      </w:r>
    </w:p>
    <w:p w14:paraId="2A48E275">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（8）经评审的投标人排序。</w:t>
      </w:r>
    </w:p>
    <w:p w14:paraId="5F5136D0">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（9）推荐的中标候选人名单与签订合同前要处理的事宜。</w:t>
      </w:r>
    </w:p>
    <w:p w14:paraId="60CB7F22">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（10）澄清、说明、补正事项纪要。</w:t>
      </w:r>
    </w:p>
    <w:p w14:paraId="35FE1E15">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eastAsia="宋体" w:cs="宋体"/>
          <w:color w:val="auto"/>
          <w:szCs w:val="21"/>
          <w:highlight w:val="none"/>
        </w:rPr>
        <w:t>8.3依法必须进行招标的项目，招标人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4EFCF4BC">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依法必须进行招标的项目，除第一中标候选人或者中标人以外的其他投标人存在串通投标、弄虚作假、行贿情形且在评标过程中未被发现的，视为对中标结果没有造成实质性影响，招标人可以依法继续开展招标活动。</w:t>
      </w:r>
    </w:p>
    <w:p w14:paraId="3D7F3DB2">
      <w:pPr>
        <w:pStyle w:val="4"/>
        <w:pageBreakBefore w:val="0"/>
        <w:widowControl w:val="0"/>
        <w:kinsoku/>
        <w:wordWrap/>
        <w:overflowPunct/>
        <w:topLinePunct w:val="0"/>
        <w:autoSpaceDE/>
        <w:autoSpaceDN/>
        <w:bidi w:val="0"/>
        <w:spacing w:line="440" w:lineRule="exact"/>
        <w:ind w:firstLine="422" w:firstLineChars="200"/>
        <w:textAlignment w:val="auto"/>
        <w:rPr>
          <w:rFonts w:hint="eastAsia" w:ascii="宋体" w:hAnsi="宋体" w:eastAsia="宋体" w:cs="宋体"/>
          <w:color w:val="auto"/>
          <w:highlight w:val="none"/>
        </w:rPr>
      </w:pPr>
      <w:bookmarkStart w:id="860" w:name="_Toc15058926"/>
      <w:bookmarkStart w:id="861" w:name="_Toc35424961"/>
      <w:bookmarkStart w:id="862" w:name="_Toc78803396"/>
      <w:bookmarkStart w:id="863" w:name="_Toc35425127"/>
      <w:bookmarkStart w:id="864" w:name="_Toc324404880"/>
      <w:bookmarkStart w:id="865" w:name="_Toc1576"/>
      <w:bookmarkStart w:id="866" w:name="_Toc506107332"/>
      <w:r>
        <w:rPr>
          <w:rFonts w:hint="eastAsia" w:ascii="宋体" w:hAnsi="宋体" w:eastAsia="宋体" w:cs="宋体"/>
          <w:color w:val="auto"/>
          <w:highlight w:val="none"/>
        </w:rPr>
        <w:t>9.其他</w:t>
      </w:r>
      <w:bookmarkEnd w:id="860"/>
      <w:bookmarkEnd w:id="861"/>
      <w:bookmarkEnd w:id="862"/>
      <w:bookmarkEnd w:id="863"/>
      <w:bookmarkEnd w:id="864"/>
      <w:bookmarkEnd w:id="865"/>
      <w:bookmarkEnd w:id="866"/>
    </w:p>
    <w:bookmarkEnd w:id="786"/>
    <w:bookmarkEnd w:id="787"/>
    <w:bookmarkEnd w:id="788"/>
    <w:bookmarkEnd w:id="789"/>
    <w:bookmarkEnd w:id="790"/>
    <w:bookmarkEnd w:id="791"/>
    <w:bookmarkEnd w:id="792"/>
    <w:bookmarkEnd w:id="793"/>
    <w:p w14:paraId="5E753CC7">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投标人提供的与投标文件有关的各类证书、证明、文件、资料等的真实性、合法性由投标人负全责。</w:t>
      </w:r>
    </w:p>
    <w:p w14:paraId="21330EDB">
      <w:pPr>
        <w:rPr>
          <w:color w:val="auto"/>
          <w:highlight w:val="none"/>
        </w:rPr>
      </w:pPr>
    </w:p>
    <w:p w14:paraId="12DA5D6B">
      <w:pPr>
        <w:spacing w:line="500" w:lineRule="exact"/>
        <w:ind w:firstLine="420" w:firstLineChars="200"/>
        <w:jc w:val="left"/>
        <w:rPr>
          <w:rFonts w:ascii="宋体" w:hAnsi="宋体" w:cs="宋体"/>
          <w:color w:val="auto"/>
          <w:szCs w:val="21"/>
          <w:highlight w:val="none"/>
        </w:rPr>
      </w:pPr>
    </w:p>
    <w:bookmarkEnd w:id="752"/>
    <w:p w14:paraId="0096DF9B">
      <w:pPr>
        <w:rPr>
          <w:rFonts w:ascii="宋体" w:hAnsi="宋体" w:cs="宋体"/>
          <w:color w:val="auto"/>
          <w:szCs w:val="21"/>
          <w:highlight w:val="none"/>
        </w:rPr>
      </w:pPr>
    </w:p>
    <w:p w14:paraId="0D2F1045">
      <w:pPr>
        <w:rPr>
          <w:color w:val="auto"/>
          <w:highlight w:val="none"/>
        </w:rPr>
      </w:pPr>
      <w:r>
        <w:rPr>
          <w:rFonts w:hint="eastAsia" w:ascii="宋体" w:hAnsi="宋体" w:cs="宋体"/>
          <w:color w:val="auto"/>
          <w:highlight w:val="none"/>
        </w:rPr>
        <w:br w:type="page"/>
      </w:r>
    </w:p>
    <w:bookmarkEnd w:id="753"/>
    <w:bookmarkEnd w:id="754"/>
    <w:bookmarkEnd w:id="755"/>
    <w:bookmarkEnd w:id="756"/>
    <w:bookmarkEnd w:id="757"/>
    <w:p w14:paraId="46A7A102">
      <w:pPr>
        <w:pStyle w:val="3"/>
        <w:rPr>
          <w:rFonts w:ascii="Arial" w:hAnsi="Arial"/>
          <w:color w:val="auto"/>
          <w:kern w:val="0"/>
          <w:sz w:val="32"/>
          <w:szCs w:val="32"/>
          <w:highlight w:val="none"/>
        </w:rPr>
      </w:pPr>
      <w:bookmarkStart w:id="867" w:name="_Toc16721"/>
    </w:p>
    <w:p w14:paraId="09D6ED5A">
      <w:pPr>
        <w:pStyle w:val="3"/>
        <w:rPr>
          <w:color w:val="auto"/>
          <w:highlight w:val="none"/>
        </w:rPr>
      </w:pPr>
      <w:bookmarkStart w:id="868" w:name="_Toc7231"/>
      <w:bookmarkStart w:id="869" w:name="_Toc27074"/>
      <w:bookmarkStart w:id="870" w:name="_Toc8750"/>
      <w:r>
        <w:rPr>
          <w:rFonts w:hint="eastAsia" w:ascii="Arial" w:hAnsi="Arial"/>
          <w:color w:val="auto"/>
          <w:kern w:val="0"/>
          <w:sz w:val="32"/>
          <w:szCs w:val="32"/>
          <w:highlight w:val="none"/>
        </w:rPr>
        <w:t>第四章  合同条款及格式</w:t>
      </w:r>
      <w:bookmarkEnd w:id="867"/>
      <w:bookmarkEnd w:id="868"/>
      <w:bookmarkEnd w:id="869"/>
      <w:bookmarkEnd w:id="870"/>
    </w:p>
    <w:p w14:paraId="6BBCC0D6">
      <w:pPr>
        <w:snapToGrid w:val="0"/>
        <w:spacing w:line="600" w:lineRule="auto"/>
        <w:jc w:val="center"/>
        <w:rPr>
          <w:rFonts w:hint="eastAsia" w:ascii="宋体" w:hAnsi="宋体" w:cs="宋体"/>
          <w:bCs/>
          <w:color w:val="auto"/>
          <w:szCs w:val="21"/>
          <w:highlight w:val="none"/>
        </w:rPr>
      </w:pPr>
    </w:p>
    <w:p w14:paraId="7C0D3274">
      <w:pPr>
        <w:snapToGrid w:val="0"/>
        <w:spacing w:line="600" w:lineRule="auto"/>
        <w:jc w:val="center"/>
        <w:rPr>
          <w:rFonts w:hint="eastAsia"/>
          <w:color w:val="auto"/>
          <w:highlight w:val="none"/>
          <w:lang w:val="en-US" w:eastAsia="zh-CN"/>
        </w:rPr>
      </w:pPr>
      <w:r>
        <w:rPr>
          <w:rFonts w:hint="eastAsia" w:ascii="宋体" w:hAnsi="宋体" w:cs="宋体"/>
          <w:bCs/>
          <w:color w:val="auto"/>
          <w:szCs w:val="21"/>
          <w:highlight w:val="none"/>
        </w:rPr>
        <w:t>（签订合同时，仅以此文本为基准，补充条款双方协定）</w:t>
      </w:r>
    </w:p>
    <w:p w14:paraId="60FBB2F2">
      <w:pPr>
        <w:spacing w:line="360" w:lineRule="auto"/>
        <w:jc w:val="center"/>
        <w:rPr>
          <w:rFonts w:ascii="仿宋_GB2312" w:eastAsia="仿宋_GB2312"/>
          <w:b/>
          <w:color w:val="auto"/>
          <w:sz w:val="28"/>
          <w:szCs w:val="28"/>
          <w:highlight w:val="none"/>
        </w:rPr>
      </w:pPr>
    </w:p>
    <w:bookmarkEnd w:id="758"/>
    <w:bookmarkEnd w:id="759"/>
    <w:bookmarkEnd w:id="760"/>
    <w:bookmarkEnd w:id="761"/>
    <w:p w14:paraId="058DA28F">
      <w:pPr>
        <w:adjustRightInd w:val="0"/>
        <w:snapToGrid w:val="0"/>
        <w:spacing w:line="560" w:lineRule="exact"/>
        <w:jc w:val="center"/>
        <w:rPr>
          <w:rFonts w:eastAsia="仿宋_GB2312"/>
          <w:bCs/>
          <w:color w:val="auto"/>
          <w:sz w:val="32"/>
          <w:szCs w:val="32"/>
          <w:highlight w:val="none"/>
        </w:rPr>
      </w:pPr>
      <w:bookmarkStart w:id="871" w:name="_Toc23990"/>
      <w:bookmarkStart w:id="872" w:name="_Toc95223515"/>
      <w:bookmarkStart w:id="873" w:name="_Toc4767"/>
      <w:bookmarkStart w:id="874" w:name="_Toc144974855"/>
      <w:bookmarkStart w:id="875" w:name="_Toc152045786"/>
      <w:bookmarkStart w:id="876" w:name="_Toc35425136"/>
      <w:bookmarkStart w:id="877" w:name="_Toc78803398"/>
      <w:bookmarkStart w:id="878" w:name="_Toc35424970"/>
      <w:bookmarkStart w:id="879" w:name="_Toc15058934"/>
      <w:bookmarkStart w:id="880" w:name="_Toc247085872"/>
      <w:bookmarkStart w:id="881" w:name="_Toc246997097"/>
      <w:bookmarkStart w:id="882" w:name="_Toc506107340"/>
      <w:bookmarkStart w:id="883" w:name="_Toc246996354"/>
      <w:bookmarkStart w:id="884" w:name="_Toc179632806"/>
      <w:bookmarkStart w:id="885" w:name="_Toc152042575"/>
      <w:bookmarkStart w:id="886" w:name="_Toc324404888"/>
    </w:p>
    <w:bookmarkEnd w:id="871"/>
    <w:bookmarkEnd w:id="872"/>
    <w:bookmarkEnd w:id="873"/>
    <w:p w14:paraId="4B6B2A8D">
      <w:pPr>
        <w:jc w:val="center"/>
        <w:rPr>
          <w:rFonts w:ascii="宋体" w:hAnsi="宋体" w:cs="宋体"/>
          <w:b/>
          <w:color w:val="auto"/>
          <w:sz w:val="72"/>
          <w:szCs w:val="52"/>
          <w:highlight w:val="none"/>
        </w:rPr>
      </w:pPr>
      <w:bookmarkStart w:id="887" w:name="_Toc25013"/>
      <w:bookmarkStart w:id="888" w:name="_Toc10023"/>
      <w:bookmarkStart w:id="889" w:name="_Toc20597"/>
      <w:r>
        <w:rPr>
          <w:rFonts w:hint="eastAsia" w:ascii="宋体" w:hAnsi="宋体" w:cs="宋体"/>
          <w:b/>
          <w:color w:val="auto"/>
          <w:sz w:val="72"/>
          <w:szCs w:val="52"/>
          <w:highlight w:val="none"/>
        </w:rPr>
        <w:t>建设工程施工合同</w:t>
      </w:r>
    </w:p>
    <w:p w14:paraId="6F786650">
      <w:pPr>
        <w:spacing w:line="500" w:lineRule="exact"/>
        <w:jc w:val="center"/>
        <w:rPr>
          <w:rFonts w:ascii="宋体" w:hAnsi="宋体" w:cs="宋体"/>
          <w:bCs/>
          <w:color w:val="auto"/>
          <w:sz w:val="32"/>
          <w:szCs w:val="32"/>
          <w:highlight w:val="none"/>
        </w:rPr>
      </w:pPr>
    </w:p>
    <w:p w14:paraId="29EB7C03">
      <w:pPr>
        <w:spacing w:line="500" w:lineRule="exact"/>
        <w:jc w:val="center"/>
        <w:rPr>
          <w:rFonts w:ascii="宋体" w:hAnsi="宋体" w:cs="宋体"/>
          <w:bCs/>
          <w:color w:val="auto"/>
          <w:sz w:val="32"/>
          <w:szCs w:val="32"/>
          <w:highlight w:val="none"/>
          <w:u w:val="single"/>
        </w:rPr>
      </w:pPr>
      <w:r>
        <w:rPr>
          <w:rFonts w:hint="eastAsia" w:ascii="宋体" w:hAnsi="宋体" w:cs="宋体"/>
          <w:bCs/>
          <w:color w:val="auto"/>
          <w:sz w:val="32"/>
          <w:szCs w:val="32"/>
          <w:highlight w:val="none"/>
        </w:rPr>
        <w:t>合同编号：</w:t>
      </w:r>
    </w:p>
    <w:p w14:paraId="0EF0DF70">
      <w:pPr>
        <w:spacing w:line="500" w:lineRule="exact"/>
        <w:rPr>
          <w:rFonts w:ascii="宋体" w:hAnsi="宋体" w:cs="宋体"/>
          <w:b/>
          <w:color w:val="auto"/>
          <w:sz w:val="52"/>
          <w:szCs w:val="52"/>
          <w:highlight w:val="none"/>
        </w:rPr>
      </w:pPr>
      <w:r>
        <w:rPr>
          <w:rFonts w:hint="eastAsia" w:ascii="宋体" w:hAnsi="宋体" w:cs="宋体"/>
          <w:b/>
          <w:color w:val="auto"/>
          <w:sz w:val="52"/>
          <w:szCs w:val="52"/>
          <w:highlight w:val="none"/>
        </w:rPr>
        <w:br w:type="textWrapping"/>
      </w:r>
    </w:p>
    <w:p w14:paraId="5E47865D">
      <w:pPr>
        <w:spacing w:line="500" w:lineRule="exact"/>
        <w:jc w:val="center"/>
        <w:rPr>
          <w:rFonts w:ascii="宋体" w:hAnsi="宋体" w:cs="宋体"/>
          <w:b/>
          <w:color w:val="auto"/>
          <w:sz w:val="52"/>
          <w:szCs w:val="52"/>
          <w:highlight w:val="none"/>
        </w:rPr>
      </w:pPr>
    </w:p>
    <w:p w14:paraId="04C3D644">
      <w:pPr>
        <w:spacing w:line="500" w:lineRule="exact"/>
        <w:jc w:val="center"/>
        <w:rPr>
          <w:rFonts w:ascii="宋体" w:hAnsi="宋体" w:cs="宋体"/>
          <w:b/>
          <w:color w:val="auto"/>
          <w:sz w:val="72"/>
          <w:szCs w:val="72"/>
          <w:highlight w:val="none"/>
        </w:rPr>
      </w:pPr>
    </w:p>
    <w:p w14:paraId="2A55A8F5">
      <w:pPr>
        <w:spacing w:line="500" w:lineRule="exact"/>
        <w:jc w:val="center"/>
        <w:rPr>
          <w:rFonts w:ascii="宋体" w:hAnsi="宋体" w:cs="宋体"/>
          <w:b/>
          <w:color w:val="auto"/>
          <w:sz w:val="72"/>
          <w:szCs w:val="72"/>
          <w:highlight w:val="none"/>
        </w:rPr>
      </w:pPr>
    </w:p>
    <w:p w14:paraId="21C9D86F">
      <w:pPr>
        <w:pStyle w:val="45"/>
        <w:ind w:firstLine="1446"/>
        <w:rPr>
          <w:rFonts w:hAnsi="宋体" w:cs="宋体"/>
          <w:b/>
          <w:color w:val="auto"/>
          <w:sz w:val="72"/>
          <w:szCs w:val="72"/>
          <w:highlight w:val="none"/>
        </w:rPr>
      </w:pPr>
    </w:p>
    <w:p w14:paraId="6C0FDCE5">
      <w:pPr>
        <w:rPr>
          <w:rFonts w:ascii="宋体" w:hAnsi="宋体" w:cs="宋体"/>
          <w:b/>
          <w:color w:val="auto"/>
          <w:sz w:val="72"/>
          <w:szCs w:val="72"/>
          <w:highlight w:val="none"/>
        </w:rPr>
      </w:pPr>
    </w:p>
    <w:p w14:paraId="674AC3DF">
      <w:pPr>
        <w:pStyle w:val="45"/>
        <w:ind w:firstLine="420"/>
        <w:rPr>
          <w:color w:val="auto"/>
          <w:highlight w:val="none"/>
        </w:rPr>
      </w:pPr>
    </w:p>
    <w:p w14:paraId="3D7197ED">
      <w:pPr>
        <w:spacing w:line="500" w:lineRule="exact"/>
        <w:jc w:val="center"/>
        <w:rPr>
          <w:rFonts w:ascii="宋体" w:hAnsi="宋体" w:cs="宋体"/>
          <w:b/>
          <w:color w:val="auto"/>
          <w:sz w:val="52"/>
          <w:szCs w:val="52"/>
          <w:highlight w:val="none"/>
        </w:rPr>
      </w:pPr>
    </w:p>
    <w:p w14:paraId="3DD1890E">
      <w:pPr>
        <w:spacing w:line="500" w:lineRule="exact"/>
        <w:rPr>
          <w:rFonts w:ascii="宋体" w:hAnsi="宋体" w:cs="宋体"/>
          <w:b/>
          <w:color w:val="auto"/>
          <w:sz w:val="28"/>
          <w:szCs w:val="28"/>
          <w:highlight w:val="none"/>
        </w:rPr>
      </w:pPr>
    </w:p>
    <w:p w14:paraId="26E9DF8E">
      <w:pPr>
        <w:spacing w:line="500" w:lineRule="exact"/>
        <w:rPr>
          <w:b/>
          <w:color w:val="auto"/>
          <w:sz w:val="28"/>
          <w:szCs w:val="28"/>
          <w:highlight w:val="none"/>
        </w:rPr>
      </w:pPr>
    </w:p>
    <w:p w14:paraId="0EE615B3">
      <w:pPr>
        <w:spacing w:line="500" w:lineRule="exact"/>
        <w:rPr>
          <w:b/>
          <w:color w:val="auto"/>
          <w:sz w:val="28"/>
          <w:szCs w:val="28"/>
          <w:highlight w:val="none"/>
        </w:rPr>
      </w:pPr>
    </w:p>
    <w:p w14:paraId="572F56D8">
      <w:pPr>
        <w:spacing w:line="500" w:lineRule="exact"/>
        <w:jc w:val="center"/>
        <w:rPr>
          <w:b/>
          <w:color w:val="auto"/>
          <w:sz w:val="32"/>
          <w:szCs w:val="28"/>
          <w:highlight w:val="none"/>
        </w:rPr>
      </w:pPr>
      <w:r>
        <w:rPr>
          <w:color w:val="auto"/>
          <w:szCs w:val="22"/>
          <w:highlight w:val="none"/>
        </w:rPr>
        <mc:AlternateContent>
          <mc:Choice Requires="wps">
            <w:drawing>
              <wp:anchor distT="0" distB="0" distL="114300" distR="114300" simplePos="0" relativeHeight="251660288" behindDoc="0" locked="0" layoutInCell="1" allowOverlap="1">
                <wp:simplePos x="0" y="0"/>
                <wp:positionH relativeFrom="column">
                  <wp:posOffset>4076700</wp:posOffset>
                </wp:positionH>
                <wp:positionV relativeFrom="paragraph">
                  <wp:posOffset>165100</wp:posOffset>
                </wp:positionV>
                <wp:extent cx="723900" cy="457200"/>
                <wp:effectExtent l="4445" t="4445" r="14605" b="14605"/>
                <wp:wrapNone/>
                <wp:docPr id="1026" name="矩形 1026"/>
                <wp:cNvGraphicFramePr/>
                <a:graphic xmlns:a="http://schemas.openxmlformats.org/drawingml/2006/main">
                  <a:graphicData uri="http://schemas.microsoft.com/office/word/2010/wordprocessingShape">
                    <wps:wsp>
                      <wps:cNvSpPr/>
                      <wps:spPr>
                        <a:xfrm>
                          <a:off x="0" y="0"/>
                          <a:ext cx="723900" cy="457200"/>
                        </a:xfrm>
                        <a:prstGeom prst="rect">
                          <a:avLst/>
                        </a:prstGeom>
                        <a:noFill/>
                        <a:ln w="9525" cap="flat" cmpd="sng">
                          <a:solidFill>
                            <a:srgbClr val="FFFFFF"/>
                          </a:solidFill>
                          <a:prstDash val="solid"/>
                          <a:miter/>
                          <a:headEnd type="none" w="med" len="med"/>
                          <a:tailEnd type="none" w="med" len="med"/>
                        </a:ln>
                        <a:effectLst/>
                      </wps:spPr>
                      <wps:txbx>
                        <w:txbxContent>
                          <w:p w14:paraId="42E9D023">
                            <w:pPr>
                              <w:rPr>
                                <w:b/>
                                <w:bCs/>
                                <w:sz w:val="32"/>
                              </w:rPr>
                            </w:pPr>
                            <w:r>
                              <w:rPr>
                                <w:rFonts w:hint="eastAsia"/>
                                <w:b/>
                                <w:bCs/>
                                <w:sz w:val="32"/>
                              </w:rPr>
                              <w:t>制定</w:t>
                            </w:r>
                          </w:p>
                        </w:txbxContent>
                      </wps:txbx>
                      <wps:bodyPr upright="1"/>
                    </wps:wsp>
                  </a:graphicData>
                </a:graphic>
              </wp:anchor>
            </w:drawing>
          </mc:Choice>
          <mc:Fallback>
            <w:pict>
              <v:rect id="_x0000_s1026" o:spid="_x0000_s1026" o:spt="1" style="position:absolute;left:0pt;margin-left:321pt;margin-top:13pt;height:36pt;width:57pt;z-index:251660288;mso-width-relative:page;mso-height-relative:page;" filled="f" stroked="t" coordsize="21600,21600" o:gfxdata="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&#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C+gJEnaAAAACQEAAA8AAAAAAAAAAQAgAAAAIgAAAGRy&#10;cy9kb3ducmV2LnhtbFBLAQIUABQAAAAIAIdO4kDEULoxAwIAABMEAAAOAAAAAAAAAAEAIAAAACkB&#10;AABkcnMvZTJvRG9jLnhtbFBLBQYAAAAABgAGAFkBAACeBQAAAAA=&#10;">
                <v:fill on="f" focussize="0,0"/>
                <v:stroke color="#FFFFFF" joinstyle="miter"/>
                <v:imagedata o:title=""/>
                <o:lock v:ext="edit" aspectratio="f"/>
                <v:textbox>
                  <w:txbxContent>
                    <w:p w14:paraId="42E9D023">
                      <w:pPr>
                        <w:rPr>
                          <w:b/>
                          <w:bCs/>
                          <w:sz w:val="32"/>
                        </w:rPr>
                      </w:pPr>
                      <w:r>
                        <w:rPr>
                          <w:rFonts w:hint="eastAsia"/>
                          <w:b/>
                          <w:bCs/>
                          <w:sz w:val="32"/>
                        </w:rPr>
                        <w:t>制定</w:t>
                      </w:r>
                    </w:p>
                  </w:txbxContent>
                </v:textbox>
              </v:rect>
            </w:pict>
          </mc:Fallback>
        </mc:AlternateContent>
      </w:r>
      <w:r>
        <w:rPr>
          <w:rFonts w:hint="eastAsia"/>
          <w:b/>
          <w:color w:val="auto"/>
          <w:sz w:val="32"/>
          <w:szCs w:val="28"/>
          <w:highlight w:val="none"/>
        </w:rPr>
        <w:t>住房和城乡建设部</w:t>
      </w:r>
    </w:p>
    <w:p w14:paraId="31A0EF8F">
      <w:pPr>
        <w:spacing w:line="500" w:lineRule="exact"/>
        <w:jc w:val="center"/>
        <w:rPr>
          <w:rFonts w:ascii="宋体" w:hAnsi="宋体" w:cs="宋体"/>
          <w:color w:val="auto"/>
          <w:szCs w:val="21"/>
          <w:highlight w:val="none"/>
        </w:rPr>
        <w:sectPr>
          <w:footerReference r:id="rId5" w:type="default"/>
          <w:pgSz w:w="11906" w:h="16838"/>
          <w:pgMar w:top="1440" w:right="1486" w:bottom="1440" w:left="1800" w:header="851" w:footer="992" w:gutter="0"/>
          <w:pgNumType w:fmt="decimal" w:start="1"/>
          <w:cols w:space="720" w:num="1"/>
          <w:docGrid w:type="lines" w:linePitch="312" w:charSpace="0"/>
        </w:sectPr>
      </w:pPr>
      <w:r>
        <w:rPr>
          <w:rFonts w:hint="eastAsia"/>
          <w:b/>
          <w:color w:val="auto"/>
          <w:sz w:val="32"/>
          <w:szCs w:val="28"/>
          <w:highlight w:val="none"/>
        </w:rPr>
        <w:t>国家工商行政管理总局</w:t>
      </w:r>
    </w:p>
    <w:p w14:paraId="3CB21063">
      <w:pPr>
        <w:spacing w:line="500" w:lineRule="exact"/>
        <w:jc w:val="center"/>
        <w:outlineLvl w:val="1"/>
        <w:rPr>
          <w:rFonts w:ascii="宋体" w:hAnsi="宋体" w:cs="宋体"/>
          <w:b/>
          <w:color w:val="auto"/>
          <w:sz w:val="32"/>
          <w:szCs w:val="32"/>
          <w:highlight w:val="none"/>
        </w:rPr>
      </w:pPr>
      <w:bookmarkStart w:id="890" w:name="_Toc5764"/>
      <w:r>
        <w:rPr>
          <w:rFonts w:hint="eastAsia" w:ascii="宋体" w:hAnsi="宋体" w:cs="宋体"/>
          <w:b/>
          <w:bCs/>
          <w:color w:val="auto"/>
          <w:sz w:val="32"/>
          <w:szCs w:val="32"/>
          <w:highlight w:val="none"/>
        </w:rPr>
        <w:t>第一部分 合同协议书</w:t>
      </w:r>
      <w:bookmarkEnd w:id="890"/>
    </w:p>
    <w:p w14:paraId="0DA340F0">
      <w:pPr>
        <w:spacing w:line="500" w:lineRule="exact"/>
        <w:ind w:firstLine="422" w:firstLineChars="200"/>
        <w:rPr>
          <w:rFonts w:ascii="宋体" w:hAnsi="宋体" w:cs="宋体"/>
          <w:b/>
          <w:color w:val="auto"/>
          <w:szCs w:val="21"/>
          <w:highlight w:val="none"/>
          <w:u w:val="single"/>
        </w:rPr>
      </w:pPr>
      <w:bookmarkStart w:id="891" w:name="_Toc351203494"/>
      <w:r>
        <w:rPr>
          <w:rFonts w:hint="eastAsia" w:ascii="宋体" w:hAnsi="宋体" w:cs="宋体"/>
          <w:b/>
          <w:color w:val="auto"/>
          <w:szCs w:val="21"/>
          <w:highlight w:val="none"/>
        </w:rPr>
        <w:t>发包人（全称）：</w:t>
      </w:r>
      <w:r>
        <w:rPr>
          <w:rFonts w:hint="eastAsia" w:ascii="宋体" w:hAnsi="宋体" w:cs="宋体"/>
          <w:b/>
          <w:color w:val="auto"/>
          <w:szCs w:val="21"/>
          <w:highlight w:val="none"/>
          <w:u w:val="single"/>
        </w:rPr>
        <w:t xml:space="preserve">                         （以下称发包人）</w:t>
      </w:r>
    </w:p>
    <w:p w14:paraId="1F0E2F70">
      <w:pPr>
        <w:spacing w:line="500" w:lineRule="exact"/>
        <w:ind w:firstLine="422" w:firstLineChars="200"/>
        <w:rPr>
          <w:rFonts w:ascii="宋体" w:hAnsi="宋体" w:cs="宋体"/>
          <w:b/>
          <w:color w:val="auto"/>
          <w:szCs w:val="21"/>
          <w:highlight w:val="none"/>
          <w:u w:val="single"/>
        </w:rPr>
      </w:pPr>
      <w:r>
        <w:rPr>
          <w:rFonts w:hint="eastAsia" w:ascii="宋体" w:hAnsi="宋体" w:cs="宋体"/>
          <w:b/>
          <w:color w:val="auto"/>
          <w:szCs w:val="21"/>
          <w:highlight w:val="none"/>
        </w:rPr>
        <w:t>承包人（全称）：</w:t>
      </w:r>
      <w:r>
        <w:rPr>
          <w:rFonts w:hint="eastAsia" w:ascii="宋体" w:hAnsi="宋体" w:cs="宋体"/>
          <w:b/>
          <w:color w:val="auto"/>
          <w:szCs w:val="21"/>
          <w:highlight w:val="none"/>
          <w:u w:val="single"/>
        </w:rPr>
        <w:t xml:space="preserve">                            （以下称承包人）</w:t>
      </w:r>
    </w:p>
    <w:p w14:paraId="1EA7FDEF">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根据《中华人民共和国民法典》《中华人民共和国建筑法》及有关法律规定，遵循平等、自愿、公平和诚实信用的原则，双方就</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施工及有关事项协商一致，共同达成如下协议：</w:t>
      </w:r>
    </w:p>
    <w:p w14:paraId="728295BA">
      <w:pPr>
        <w:keepNext/>
        <w:keepLines/>
        <w:spacing w:line="5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一、工程概况</w:t>
      </w:r>
    </w:p>
    <w:p w14:paraId="0C415FD7">
      <w:pPr>
        <w:spacing w:line="500" w:lineRule="exact"/>
        <w:ind w:firstLine="420" w:firstLineChars="200"/>
        <w:rPr>
          <w:rFonts w:ascii="宋体" w:hAnsi="宋体" w:cs="宋体"/>
          <w:color w:val="auto"/>
          <w:szCs w:val="21"/>
          <w:highlight w:val="none"/>
          <w:u w:val="single"/>
        </w:rPr>
      </w:pPr>
      <w:r>
        <w:rPr>
          <w:rFonts w:hint="eastAsia" w:ascii="宋体" w:hAnsi="宋体" w:cs="宋体"/>
          <w:bCs/>
          <w:color w:val="auto"/>
          <w:szCs w:val="21"/>
          <w:highlight w:val="none"/>
        </w:rPr>
        <w:t>1.工程名称</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p>
    <w:p w14:paraId="51573EF4">
      <w:pPr>
        <w:spacing w:line="5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2.工程地点：</w:t>
      </w:r>
      <w:r>
        <w:rPr>
          <w:rFonts w:hint="eastAsia" w:ascii="宋体" w:hAnsi="宋体" w:cs="宋体"/>
          <w:color w:val="auto"/>
          <w:szCs w:val="21"/>
          <w:highlight w:val="none"/>
          <w:u w:val="single"/>
        </w:rPr>
        <w:t xml:space="preserve">                      </w:t>
      </w:r>
    </w:p>
    <w:p w14:paraId="26639397">
      <w:pPr>
        <w:spacing w:line="5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3.工程立项批准文号：</w:t>
      </w:r>
      <w:r>
        <w:rPr>
          <w:rFonts w:hint="eastAsia" w:ascii="宋体" w:hAnsi="宋体" w:cs="宋体"/>
          <w:color w:val="auto"/>
          <w:szCs w:val="21"/>
          <w:highlight w:val="none"/>
          <w:u w:val="single"/>
        </w:rPr>
        <w:t xml:space="preserve">  / </w:t>
      </w:r>
    </w:p>
    <w:p w14:paraId="316A54B8">
      <w:pPr>
        <w:spacing w:line="5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4.资金来源：</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自筹</w:t>
      </w:r>
      <w:r>
        <w:rPr>
          <w:rFonts w:hint="eastAsia" w:ascii="宋体" w:hAnsi="宋体" w:cs="宋体"/>
          <w:color w:val="auto"/>
          <w:szCs w:val="21"/>
          <w:highlight w:val="none"/>
          <w:u w:val="single"/>
        </w:rPr>
        <w:t xml:space="preserve">资金 </w:t>
      </w:r>
      <w:r>
        <w:rPr>
          <w:rFonts w:hint="eastAsia" w:ascii="宋体" w:hAnsi="宋体" w:cs="宋体"/>
          <w:bCs/>
          <w:color w:val="auto"/>
          <w:szCs w:val="21"/>
          <w:highlight w:val="none"/>
        </w:rPr>
        <w:t>。</w:t>
      </w:r>
    </w:p>
    <w:p w14:paraId="46A871D9">
      <w:pPr>
        <w:spacing w:line="500" w:lineRule="exact"/>
        <w:ind w:firstLine="420" w:firstLineChars="200"/>
        <w:rPr>
          <w:rFonts w:ascii="宋体" w:hAnsi="宋体" w:cs="宋体"/>
          <w:color w:val="auto"/>
          <w:szCs w:val="21"/>
          <w:highlight w:val="none"/>
        </w:rPr>
      </w:pPr>
      <w:r>
        <w:rPr>
          <w:rFonts w:hint="eastAsia" w:ascii="宋体" w:hAnsi="宋体" w:cs="宋体"/>
          <w:bCs/>
          <w:color w:val="auto"/>
          <w:szCs w:val="21"/>
          <w:highlight w:val="none"/>
        </w:rPr>
        <w:t>5.工程承包内容：</w:t>
      </w:r>
      <w:r>
        <w:rPr>
          <w:rFonts w:hint="eastAsia" w:ascii="宋体" w:hAnsi="宋体" w:cs="宋体"/>
          <w:color w:val="auto"/>
          <w:szCs w:val="21"/>
          <w:highlight w:val="none"/>
          <w:u w:val="single"/>
          <w:lang w:val="en-US" w:eastAsia="zh-CN"/>
        </w:rPr>
        <w:t>项目</w:t>
      </w:r>
      <w:r>
        <w:rPr>
          <w:rFonts w:hint="eastAsia" w:ascii="宋体" w:hAnsi="宋体" w:cs="宋体"/>
          <w:color w:val="auto"/>
          <w:szCs w:val="21"/>
          <w:highlight w:val="none"/>
          <w:u w:val="single"/>
        </w:rPr>
        <w:t>载明的施工内容及施工过程中的变更调整内容</w:t>
      </w:r>
    </w:p>
    <w:p w14:paraId="46F17C34">
      <w:pPr>
        <w:keepNext/>
        <w:keepLines/>
        <w:spacing w:line="5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二、合同工期</w:t>
      </w:r>
    </w:p>
    <w:p w14:paraId="1D1FBAE2">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计划开工日期：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0E914D36">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计划竣工日期：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05D0AD70">
      <w:pPr>
        <w:keepNext/>
        <w:keepLines/>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工期总日历天数：</w:t>
      </w:r>
      <w:r>
        <w:rPr>
          <w:rFonts w:hint="eastAsia" w:ascii="宋体" w:hAnsi="宋体"/>
          <w:color w:val="auto"/>
          <w:sz w:val="24"/>
          <w:highlight w:val="none"/>
        </w:rPr>
        <w:t>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个日历天。投标人自报的承诺工期为考核标准，因施工单位原因导致的工期延误，按1000元/天处以违约金，工期计算以接到招标人通知为准，以最终核定的天数为准。 </w:t>
      </w:r>
    </w:p>
    <w:p w14:paraId="0079443B">
      <w:pPr>
        <w:keepNext/>
        <w:keepLines/>
        <w:spacing w:line="5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三、质量标准</w:t>
      </w:r>
    </w:p>
    <w:p w14:paraId="36CE1267">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工程质量必须达到国家工程施工质量验收</w:t>
      </w:r>
      <w:r>
        <w:rPr>
          <w:rFonts w:hint="eastAsia" w:ascii="宋体" w:hAnsi="宋体" w:cs="宋体"/>
          <w:b/>
          <w:color w:val="auto"/>
          <w:szCs w:val="21"/>
          <w:highlight w:val="none"/>
          <w:u w:val="single"/>
        </w:rPr>
        <w:t xml:space="preserve">  合格  </w:t>
      </w:r>
      <w:r>
        <w:rPr>
          <w:rFonts w:hint="eastAsia" w:ascii="宋体" w:hAnsi="宋体" w:cs="宋体"/>
          <w:color w:val="auto"/>
          <w:szCs w:val="21"/>
          <w:highlight w:val="none"/>
        </w:rPr>
        <w:t>标准。</w:t>
      </w:r>
    </w:p>
    <w:p w14:paraId="12BA1B8D">
      <w:pPr>
        <w:keepNext/>
        <w:keepLines/>
        <w:spacing w:line="5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四、签约合同价与合同价格形式</w:t>
      </w:r>
    </w:p>
    <w:p w14:paraId="6A6E0317">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1.签约合同价为：</w:t>
      </w:r>
    </w:p>
    <w:p w14:paraId="35C5BFF8">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人民币（大写）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元，其中含暂列金额</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w:t>
      </w:r>
    </w:p>
    <w:p w14:paraId="16320EB7">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其中：</w:t>
      </w:r>
    </w:p>
    <w:p w14:paraId="23A2F49D">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（1）安全文明施工费：</w:t>
      </w:r>
    </w:p>
    <w:p w14:paraId="732591AB">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人民币（大写）</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元）；</w:t>
      </w:r>
    </w:p>
    <w:p w14:paraId="73F4C8A6">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（2）材料和工程设备暂估价金额：</w:t>
      </w:r>
    </w:p>
    <w:p w14:paraId="40B44D1F">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人民币（大写）</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元）；</w:t>
      </w:r>
    </w:p>
    <w:p w14:paraId="16C7C69D">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（3）专业工程暂估价金额：</w:t>
      </w:r>
    </w:p>
    <w:p w14:paraId="2F9364BC">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人民币（大写）</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元）；</w:t>
      </w:r>
    </w:p>
    <w:p w14:paraId="159CEEA1">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（4）暂列金额：</w:t>
      </w:r>
    </w:p>
    <w:p w14:paraId="53608337">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人民币（大写）</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元）；</w:t>
      </w:r>
    </w:p>
    <w:p w14:paraId="040E817A">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2.合同价格形式：</w:t>
      </w:r>
      <w:r>
        <w:rPr>
          <w:rFonts w:hint="eastAsia" w:ascii="宋体" w:hAnsi="宋体" w:cs="宋体"/>
          <w:color w:val="auto"/>
          <w:szCs w:val="21"/>
          <w:highlight w:val="none"/>
          <w:u w:val="single"/>
        </w:rPr>
        <w:t xml:space="preserve"> 固定</w:t>
      </w:r>
      <w:r>
        <w:rPr>
          <w:rFonts w:hint="eastAsia" w:ascii="宋体" w:hAnsi="宋体" w:cs="宋体"/>
          <w:color w:val="auto"/>
          <w:szCs w:val="21"/>
          <w:highlight w:val="none"/>
          <w:u w:val="single"/>
          <w:lang w:val="en-US" w:eastAsia="zh-CN"/>
        </w:rPr>
        <w:t>总价</w:t>
      </w:r>
      <w:r>
        <w:rPr>
          <w:rFonts w:hint="eastAsia" w:ascii="宋体" w:hAnsi="宋体" w:cs="宋体"/>
          <w:color w:val="auto"/>
          <w:szCs w:val="21"/>
          <w:highlight w:val="none"/>
          <w:u w:val="single"/>
        </w:rPr>
        <w:t xml:space="preserve">合同  </w:t>
      </w:r>
      <w:r>
        <w:rPr>
          <w:rFonts w:hint="eastAsia" w:ascii="宋体" w:hAnsi="宋体" w:cs="宋体"/>
          <w:color w:val="auto"/>
          <w:szCs w:val="21"/>
          <w:highlight w:val="none"/>
        </w:rPr>
        <w:t>。</w:t>
      </w:r>
    </w:p>
    <w:p w14:paraId="684469C7">
      <w:pPr>
        <w:keepNext/>
        <w:keepLines/>
        <w:spacing w:line="5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五、项目经理及技术负责人</w:t>
      </w:r>
    </w:p>
    <w:p w14:paraId="42A6229D">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承包人项目经理：</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，建造师注册执业号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，联系号码：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70787ACB">
      <w:pPr>
        <w:pStyle w:val="45"/>
        <w:spacing w:line="500" w:lineRule="exact"/>
        <w:ind w:left="0" w:leftChars="0" w:firstLine="422"/>
        <w:rPr>
          <w:rFonts w:hAnsi="宋体" w:cs="宋体"/>
          <w:b/>
          <w:color w:val="auto"/>
          <w:szCs w:val="21"/>
          <w:highlight w:val="none"/>
        </w:rPr>
      </w:pPr>
      <w:r>
        <w:rPr>
          <w:rFonts w:hint="eastAsia" w:hAnsi="宋体" w:cs="宋体"/>
          <w:b/>
          <w:color w:val="auto"/>
          <w:szCs w:val="21"/>
          <w:highlight w:val="none"/>
        </w:rPr>
        <w:t>六、合同文件构成</w:t>
      </w:r>
    </w:p>
    <w:p w14:paraId="3445BA76">
      <w:pPr>
        <w:spacing w:line="5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本协议书与下列文件一起构成合同文件：</w:t>
      </w:r>
    </w:p>
    <w:p w14:paraId="3450FF95">
      <w:pPr>
        <w:autoSpaceDE w:val="0"/>
        <w:autoSpaceDN w:val="0"/>
        <w:adjustRightIn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（1）中标通知书；</w:t>
      </w:r>
    </w:p>
    <w:p w14:paraId="67B049F1">
      <w:pPr>
        <w:autoSpaceDE w:val="0"/>
        <w:autoSpaceDN w:val="0"/>
        <w:adjustRightIn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（2）投标函及其附录； </w:t>
      </w:r>
    </w:p>
    <w:p w14:paraId="3E501288">
      <w:pPr>
        <w:autoSpaceDE w:val="0"/>
        <w:autoSpaceDN w:val="0"/>
        <w:adjustRightIn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（3）专用合同条款及其附件；</w:t>
      </w:r>
    </w:p>
    <w:p w14:paraId="4B495EF7">
      <w:pPr>
        <w:autoSpaceDE w:val="0"/>
        <w:autoSpaceDN w:val="0"/>
        <w:adjustRightIn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（4）通用合同条款；</w:t>
      </w:r>
    </w:p>
    <w:p w14:paraId="4514D04E">
      <w:pPr>
        <w:autoSpaceDE w:val="0"/>
        <w:autoSpaceDN w:val="0"/>
        <w:adjustRightIn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（5）技术标准和要求；</w:t>
      </w:r>
    </w:p>
    <w:p w14:paraId="1EF94737">
      <w:pPr>
        <w:autoSpaceDE w:val="0"/>
        <w:autoSpaceDN w:val="0"/>
        <w:adjustRightIn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（6）图纸；</w:t>
      </w:r>
    </w:p>
    <w:p w14:paraId="0B6B9EA7">
      <w:pPr>
        <w:autoSpaceDE w:val="0"/>
        <w:autoSpaceDN w:val="0"/>
        <w:adjustRightIn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（7）已标价工程量清单或预算书；</w:t>
      </w:r>
    </w:p>
    <w:p w14:paraId="3FDA20C6">
      <w:pPr>
        <w:autoSpaceDE w:val="0"/>
        <w:autoSpaceDN w:val="0"/>
        <w:adjustRightIn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（8）其他合同文件。</w:t>
      </w:r>
    </w:p>
    <w:p w14:paraId="5E6CF9E2">
      <w:pPr>
        <w:spacing w:line="500" w:lineRule="exact"/>
        <w:ind w:firstLine="420" w:firstLineChars="200"/>
        <w:rPr>
          <w:rFonts w:ascii="宋体" w:hAnsi="宋体" w:cs="宋体"/>
          <w:color w:val="auto"/>
          <w:szCs w:val="21"/>
          <w:highlight w:val="none"/>
        </w:rPr>
      </w:pPr>
      <w:r>
        <w:rPr>
          <w:rFonts w:hint="eastAsia" w:ascii="宋体" w:hAnsi="宋体" w:cs="宋体"/>
          <w:bCs/>
          <w:color w:val="auto"/>
          <w:szCs w:val="21"/>
          <w:highlight w:val="none"/>
        </w:rPr>
        <w:t>在合同订立及履行过程中形成的与合同有关的文件均构成合同文件组成部分。上述各项合同文件包括合同当事人就该项合同文件所作出的补充和修改，属于同一项内容的文件，应以最新签署的为准。专用合同条款及其附件须经合同当事人签字或盖章。</w:t>
      </w:r>
    </w:p>
    <w:p w14:paraId="3738626D">
      <w:pPr>
        <w:keepNext/>
        <w:keepLines/>
        <w:spacing w:line="5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七、承诺</w:t>
      </w:r>
    </w:p>
    <w:p w14:paraId="02EC1F83">
      <w:pPr>
        <w:spacing w:line="5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1.发包人承诺按照法律规定履行项目审批手续、筹集工程建设资金并按照合同约定的期限和方式支付合同价款。</w:t>
      </w:r>
    </w:p>
    <w:p w14:paraId="631E86EA">
      <w:pPr>
        <w:spacing w:line="5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2.承包人承诺按照法律规定及合同约定组织完成工程施工，确保工程质量和安全，不进行转包及违法分包，并在缺陷责任期及保修期内承担相应的工程维修责任。</w:t>
      </w:r>
    </w:p>
    <w:p w14:paraId="72724536">
      <w:pPr>
        <w:spacing w:line="5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3.发包人和承包人通过招投标形式签订合同的，双方理解并承诺不再就同一工程另行签订与合同实质性内容相背离的协议。</w:t>
      </w:r>
    </w:p>
    <w:p w14:paraId="696C63B1">
      <w:pPr>
        <w:keepNext/>
        <w:keepLines/>
        <w:spacing w:line="5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八、词语含义</w:t>
      </w:r>
    </w:p>
    <w:p w14:paraId="41D92614">
      <w:pPr>
        <w:spacing w:line="5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本协议书中词语含义与第二部分通用合同条款中赋予的含义相同。</w:t>
      </w:r>
    </w:p>
    <w:p w14:paraId="35133259">
      <w:pPr>
        <w:keepNext/>
        <w:keepLines/>
        <w:spacing w:line="5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九、签订时间</w:t>
      </w:r>
    </w:p>
    <w:p w14:paraId="13EF72CA">
      <w:pPr>
        <w:spacing w:line="5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本合同于</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年</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月</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日签订。</w:t>
      </w:r>
    </w:p>
    <w:p w14:paraId="09150E0A">
      <w:pPr>
        <w:keepNext/>
        <w:keepLines/>
        <w:spacing w:line="5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十、签订地点</w:t>
      </w:r>
    </w:p>
    <w:p w14:paraId="1482A5A8">
      <w:pPr>
        <w:spacing w:line="5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本合同在</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签订。</w:t>
      </w:r>
    </w:p>
    <w:p w14:paraId="6EF65D02">
      <w:pPr>
        <w:keepNext/>
        <w:keepLines/>
        <w:spacing w:line="5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十一、补充协议</w:t>
      </w:r>
    </w:p>
    <w:p w14:paraId="3A60A369">
      <w:pPr>
        <w:spacing w:line="500" w:lineRule="exact"/>
        <w:ind w:firstLine="420" w:firstLineChars="200"/>
        <w:rPr>
          <w:rFonts w:ascii="宋体" w:hAnsi="宋体" w:cs="宋体"/>
          <w:b/>
          <w:bCs/>
          <w:color w:val="auto"/>
          <w:szCs w:val="21"/>
          <w:highlight w:val="none"/>
        </w:rPr>
      </w:pPr>
      <w:r>
        <w:rPr>
          <w:rFonts w:hint="eastAsia" w:ascii="宋体" w:hAnsi="宋体" w:cs="宋体"/>
          <w:bCs/>
          <w:color w:val="auto"/>
          <w:szCs w:val="21"/>
          <w:highlight w:val="none"/>
        </w:rPr>
        <w:t>合同未尽事宜，合同当事人另行签订补充协议，补充协议是合同的组成部分。</w:t>
      </w:r>
    </w:p>
    <w:p w14:paraId="05F080A5">
      <w:pPr>
        <w:keepNext/>
        <w:keepLines/>
        <w:spacing w:line="5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十二、合同生效</w:t>
      </w:r>
    </w:p>
    <w:p w14:paraId="6DF7A53E">
      <w:pPr>
        <w:spacing w:line="5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本合同自</w:t>
      </w:r>
      <w:r>
        <w:rPr>
          <w:rFonts w:hint="eastAsia" w:ascii="宋体" w:hAnsi="宋体" w:cs="宋体"/>
          <w:bCs/>
          <w:color w:val="auto"/>
          <w:szCs w:val="21"/>
          <w:highlight w:val="none"/>
          <w:u w:val="single"/>
        </w:rPr>
        <w:t xml:space="preserve">    双方签字盖章后     </w:t>
      </w:r>
      <w:r>
        <w:rPr>
          <w:rFonts w:hint="eastAsia" w:ascii="宋体" w:hAnsi="宋体" w:cs="宋体"/>
          <w:bCs/>
          <w:color w:val="auto"/>
          <w:szCs w:val="21"/>
          <w:highlight w:val="none"/>
        </w:rPr>
        <w:t>生效。</w:t>
      </w:r>
    </w:p>
    <w:p w14:paraId="57D7A7DA">
      <w:pPr>
        <w:keepNext/>
        <w:keepLines/>
        <w:spacing w:line="5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十三、合同份数</w:t>
      </w:r>
    </w:p>
    <w:p w14:paraId="431ED771">
      <w:pPr>
        <w:widowControl/>
        <w:spacing w:line="500" w:lineRule="exact"/>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本合同一式</w:t>
      </w:r>
      <w:r>
        <w:rPr>
          <w:rFonts w:hint="eastAsia" w:ascii="宋体" w:hAnsi="宋体" w:cs="宋体"/>
          <w:bCs/>
          <w:color w:val="auto"/>
          <w:szCs w:val="21"/>
          <w:highlight w:val="none"/>
          <w:u w:val="single"/>
        </w:rPr>
        <w:t xml:space="preserve"> 陆 </w:t>
      </w:r>
      <w:r>
        <w:rPr>
          <w:rFonts w:hint="eastAsia" w:ascii="宋体" w:hAnsi="宋体" w:cs="宋体"/>
          <w:bCs/>
          <w:color w:val="auto"/>
          <w:szCs w:val="21"/>
          <w:highlight w:val="none"/>
        </w:rPr>
        <w:t>份，均具有同等法律效力，发包人执</w:t>
      </w:r>
      <w:r>
        <w:rPr>
          <w:rFonts w:hint="eastAsia" w:ascii="宋体" w:hAnsi="宋体" w:cs="宋体"/>
          <w:bCs/>
          <w:color w:val="auto"/>
          <w:szCs w:val="21"/>
          <w:highlight w:val="none"/>
          <w:u w:val="single"/>
        </w:rPr>
        <w:t xml:space="preserve"> 肆 </w:t>
      </w:r>
      <w:r>
        <w:rPr>
          <w:rFonts w:hint="eastAsia" w:ascii="宋体" w:hAnsi="宋体" w:cs="宋体"/>
          <w:bCs/>
          <w:color w:val="auto"/>
          <w:szCs w:val="21"/>
          <w:highlight w:val="none"/>
        </w:rPr>
        <w:t>份，承包人执</w:t>
      </w:r>
      <w:r>
        <w:rPr>
          <w:rFonts w:hint="eastAsia" w:ascii="宋体" w:hAnsi="宋体" w:cs="宋体"/>
          <w:bCs/>
          <w:color w:val="auto"/>
          <w:szCs w:val="21"/>
          <w:highlight w:val="none"/>
          <w:u w:val="single"/>
        </w:rPr>
        <w:t xml:space="preserve"> 贰 </w:t>
      </w:r>
      <w:r>
        <w:rPr>
          <w:rFonts w:hint="eastAsia" w:ascii="宋体" w:hAnsi="宋体" w:cs="宋体"/>
          <w:bCs/>
          <w:color w:val="auto"/>
          <w:szCs w:val="21"/>
          <w:highlight w:val="none"/>
        </w:rPr>
        <w:t>份。</w:t>
      </w:r>
    </w:p>
    <w:p w14:paraId="052FA715">
      <w:pPr>
        <w:widowControl/>
        <w:spacing w:line="440" w:lineRule="exact"/>
        <w:ind w:firstLine="420" w:firstLineChars="200"/>
        <w:jc w:val="left"/>
        <w:rPr>
          <w:rFonts w:ascii="宋体" w:hAnsi="宋体" w:cs="宋体"/>
          <w:bCs/>
          <w:color w:val="auto"/>
          <w:szCs w:val="21"/>
          <w:highlight w:val="none"/>
        </w:rPr>
      </w:pPr>
    </w:p>
    <w:tbl>
      <w:tblPr>
        <w:tblStyle w:val="4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44"/>
        <w:gridCol w:w="4644"/>
      </w:tblGrid>
      <w:tr w14:paraId="782E9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44" w:type="dxa"/>
          </w:tcPr>
          <w:p w14:paraId="2D34B5BF">
            <w:pPr>
              <w:spacing w:line="440" w:lineRule="exact"/>
              <w:rPr>
                <w:rFonts w:ascii="宋体" w:hAnsi="宋体" w:cs="宋体"/>
                <w:color w:val="auto"/>
                <w:szCs w:val="21"/>
                <w:highlight w:val="none"/>
              </w:rPr>
            </w:pPr>
            <w:r>
              <w:rPr>
                <w:rFonts w:hint="eastAsia" w:ascii="宋体" w:hAnsi="宋体" w:cs="宋体"/>
                <w:color w:val="auto"/>
                <w:szCs w:val="21"/>
                <w:highlight w:val="none"/>
              </w:rPr>
              <w:t xml:space="preserve">发包人：  (公章）  </w:t>
            </w:r>
          </w:p>
        </w:tc>
        <w:tc>
          <w:tcPr>
            <w:tcW w:w="4644" w:type="dxa"/>
          </w:tcPr>
          <w:p w14:paraId="1A834886">
            <w:pPr>
              <w:spacing w:line="440" w:lineRule="exact"/>
              <w:rPr>
                <w:rFonts w:ascii="宋体" w:hAnsi="宋体" w:cs="宋体"/>
                <w:color w:val="auto"/>
                <w:szCs w:val="21"/>
                <w:highlight w:val="none"/>
              </w:rPr>
            </w:pPr>
            <w:r>
              <w:rPr>
                <w:rFonts w:hint="eastAsia" w:ascii="宋体" w:hAnsi="宋体" w:cs="宋体"/>
                <w:color w:val="auto"/>
                <w:szCs w:val="21"/>
                <w:highlight w:val="none"/>
              </w:rPr>
              <w:t>承包人：        (公章）</w:t>
            </w:r>
          </w:p>
        </w:tc>
      </w:tr>
      <w:tr w14:paraId="12AD1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44" w:type="dxa"/>
          </w:tcPr>
          <w:p w14:paraId="43E17861">
            <w:pPr>
              <w:spacing w:line="440" w:lineRule="exact"/>
              <w:rPr>
                <w:rFonts w:ascii="宋体" w:hAnsi="宋体" w:cs="宋体"/>
                <w:color w:val="auto"/>
                <w:szCs w:val="21"/>
                <w:highlight w:val="none"/>
              </w:rPr>
            </w:pPr>
          </w:p>
        </w:tc>
        <w:tc>
          <w:tcPr>
            <w:tcW w:w="4644" w:type="dxa"/>
          </w:tcPr>
          <w:p w14:paraId="411A328E">
            <w:pPr>
              <w:spacing w:line="440" w:lineRule="exact"/>
              <w:rPr>
                <w:rFonts w:ascii="宋体" w:hAnsi="宋体" w:cs="宋体"/>
                <w:color w:val="auto"/>
                <w:szCs w:val="21"/>
                <w:highlight w:val="none"/>
              </w:rPr>
            </w:pPr>
          </w:p>
        </w:tc>
      </w:tr>
      <w:tr w14:paraId="332BC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44" w:type="dxa"/>
          </w:tcPr>
          <w:p w14:paraId="4E3891F1">
            <w:pPr>
              <w:spacing w:line="440" w:lineRule="exact"/>
              <w:rPr>
                <w:rFonts w:ascii="宋体" w:hAnsi="宋体" w:cs="宋体"/>
                <w:color w:val="auto"/>
                <w:szCs w:val="21"/>
                <w:highlight w:val="none"/>
              </w:rPr>
            </w:pPr>
            <w:r>
              <w:rPr>
                <w:rFonts w:hint="eastAsia" w:ascii="宋体" w:hAnsi="宋体" w:cs="宋体"/>
                <w:color w:val="auto"/>
                <w:szCs w:val="21"/>
                <w:highlight w:val="none"/>
              </w:rPr>
              <w:t>法定代表人或其委托代理人：</w:t>
            </w:r>
          </w:p>
        </w:tc>
        <w:tc>
          <w:tcPr>
            <w:tcW w:w="4644" w:type="dxa"/>
          </w:tcPr>
          <w:p w14:paraId="788C157B">
            <w:pPr>
              <w:spacing w:line="440" w:lineRule="exact"/>
              <w:rPr>
                <w:rFonts w:ascii="宋体" w:hAnsi="宋体" w:cs="宋体"/>
                <w:color w:val="auto"/>
                <w:szCs w:val="21"/>
                <w:highlight w:val="none"/>
              </w:rPr>
            </w:pPr>
            <w:r>
              <w:rPr>
                <w:rFonts w:hint="eastAsia" w:ascii="宋体" w:hAnsi="宋体" w:cs="宋体"/>
                <w:color w:val="auto"/>
                <w:szCs w:val="21"/>
                <w:highlight w:val="none"/>
              </w:rPr>
              <w:t>法定代表人或其委托代理人：</w:t>
            </w:r>
          </w:p>
        </w:tc>
      </w:tr>
      <w:tr w14:paraId="4043B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44" w:type="dxa"/>
          </w:tcPr>
          <w:p w14:paraId="035FAE6B">
            <w:pPr>
              <w:spacing w:line="440" w:lineRule="exact"/>
              <w:rPr>
                <w:rFonts w:ascii="宋体" w:hAnsi="宋体" w:cs="宋体"/>
                <w:color w:val="auto"/>
                <w:szCs w:val="21"/>
                <w:highlight w:val="none"/>
              </w:rPr>
            </w:pPr>
            <w:r>
              <w:rPr>
                <w:rFonts w:hint="eastAsia" w:ascii="宋体" w:hAnsi="宋体" w:cs="宋体"/>
                <w:color w:val="auto"/>
                <w:szCs w:val="21"/>
                <w:highlight w:val="none"/>
              </w:rPr>
              <w:t>（签章）</w:t>
            </w:r>
          </w:p>
        </w:tc>
        <w:tc>
          <w:tcPr>
            <w:tcW w:w="4644" w:type="dxa"/>
          </w:tcPr>
          <w:p w14:paraId="308AB442">
            <w:pPr>
              <w:spacing w:line="440" w:lineRule="exact"/>
              <w:rPr>
                <w:rFonts w:ascii="宋体" w:hAnsi="宋体" w:cs="宋体"/>
                <w:color w:val="auto"/>
                <w:szCs w:val="21"/>
                <w:highlight w:val="none"/>
              </w:rPr>
            </w:pPr>
            <w:r>
              <w:rPr>
                <w:rFonts w:hint="eastAsia" w:ascii="宋体" w:hAnsi="宋体" w:cs="宋体"/>
                <w:color w:val="auto"/>
                <w:szCs w:val="21"/>
                <w:highlight w:val="none"/>
              </w:rPr>
              <w:t>（签章）</w:t>
            </w:r>
          </w:p>
        </w:tc>
      </w:tr>
      <w:tr w14:paraId="53EAE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44" w:type="dxa"/>
          </w:tcPr>
          <w:p w14:paraId="1F59CF49">
            <w:pPr>
              <w:spacing w:line="440" w:lineRule="exact"/>
              <w:rPr>
                <w:rFonts w:ascii="宋体" w:hAnsi="宋体" w:cs="宋体"/>
                <w:color w:val="auto"/>
                <w:szCs w:val="21"/>
                <w:highlight w:val="none"/>
              </w:rPr>
            </w:pPr>
            <w:r>
              <w:rPr>
                <w:rFonts w:hint="eastAsia" w:ascii="宋体" w:hAnsi="宋体" w:cs="宋体"/>
                <w:color w:val="auto"/>
                <w:szCs w:val="21"/>
                <w:highlight w:val="none"/>
              </w:rPr>
              <w:t>组织机构代码：</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w:t>
            </w:r>
          </w:p>
        </w:tc>
        <w:tc>
          <w:tcPr>
            <w:tcW w:w="4644" w:type="dxa"/>
          </w:tcPr>
          <w:p w14:paraId="0AC0D750">
            <w:pPr>
              <w:spacing w:line="440" w:lineRule="exact"/>
              <w:rPr>
                <w:rFonts w:ascii="宋体" w:hAnsi="宋体" w:cs="宋体"/>
                <w:color w:val="auto"/>
                <w:szCs w:val="21"/>
                <w:highlight w:val="none"/>
              </w:rPr>
            </w:pPr>
            <w:r>
              <w:rPr>
                <w:rFonts w:hint="eastAsia" w:ascii="宋体" w:hAnsi="宋体" w:cs="宋体"/>
                <w:color w:val="auto"/>
                <w:szCs w:val="21"/>
                <w:highlight w:val="none"/>
              </w:rPr>
              <w:t>组织机构代码：</w:t>
            </w:r>
            <w:r>
              <w:rPr>
                <w:rFonts w:hint="eastAsia" w:ascii="宋体" w:hAnsi="宋体" w:cs="宋体"/>
                <w:color w:val="auto"/>
                <w:szCs w:val="21"/>
                <w:highlight w:val="none"/>
                <w:u w:val="single"/>
              </w:rPr>
              <w:t xml:space="preserve">                      </w:t>
            </w:r>
          </w:p>
        </w:tc>
      </w:tr>
      <w:tr w14:paraId="6989F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44" w:type="dxa"/>
          </w:tcPr>
          <w:p w14:paraId="6CA2AECB">
            <w:pPr>
              <w:spacing w:line="440" w:lineRule="exact"/>
              <w:rPr>
                <w:rFonts w:ascii="宋体" w:hAnsi="宋体" w:cs="宋体"/>
                <w:color w:val="auto"/>
                <w:szCs w:val="21"/>
                <w:highlight w:val="none"/>
              </w:rPr>
            </w:pPr>
            <w:r>
              <w:rPr>
                <w:rFonts w:hint="eastAsia" w:ascii="宋体" w:hAnsi="宋体" w:cs="宋体"/>
                <w:color w:val="auto"/>
                <w:szCs w:val="21"/>
                <w:highlight w:val="none"/>
              </w:rPr>
              <w:t>地  址：</w:t>
            </w:r>
            <w:r>
              <w:rPr>
                <w:rFonts w:hint="eastAsia" w:ascii="宋体" w:hAnsi="宋体" w:cs="宋体"/>
                <w:color w:val="auto"/>
                <w:szCs w:val="21"/>
                <w:highlight w:val="none"/>
                <w:u w:val="single"/>
              </w:rPr>
              <w:t xml:space="preserve">                      </w:t>
            </w:r>
          </w:p>
        </w:tc>
        <w:tc>
          <w:tcPr>
            <w:tcW w:w="4644" w:type="dxa"/>
          </w:tcPr>
          <w:p w14:paraId="58DF7912">
            <w:pPr>
              <w:spacing w:line="440" w:lineRule="exact"/>
              <w:rPr>
                <w:rFonts w:ascii="宋体" w:hAnsi="宋体" w:cs="宋体"/>
                <w:color w:val="auto"/>
                <w:szCs w:val="21"/>
                <w:highlight w:val="none"/>
              </w:rPr>
            </w:pPr>
            <w:r>
              <w:rPr>
                <w:rFonts w:hint="eastAsia" w:ascii="宋体" w:hAnsi="宋体" w:cs="宋体"/>
                <w:color w:val="auto"/>
                <w:szCs w:val="21"/>
                <w:highlight w:val="none"/>
              </w:rPr>
              <w:t>地  址：</w:t>
            </w:r>
            <w:r>
              <w:rPr>
                <w:rFonts w:hint="eastAsia" w:ascii="宋体" w:hAnsi="宋体" w:cs="宋体"/>
                <w:color w:val="auto"/>
                <w:szCs w:val="21"/>
                <w:highlight w:val="none"/>
                <w:u w:val="single"/>
              </w:rPr>
              <w:t xml:space="preserve">                                </w:t>
            </w:r>
          </w:p>
        </w:tc>
      </w:tr>
      <w:tr w14:paraId="6E369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44" w:type="dxa"/>
          </w:tcPr>
          <w:p w14:paraId="7315CFC1">
            <w:pPr>
              <w:spacing w:line="440" w:lineRule="exact"/>
              <w:rPr>
                <w:rFonts w:ascii="宋体" w:hAnsi="宋体" w:cs="宋体"/>
                <w:color w:val="auto"/>
                <w:szCs w:val="21"/>
                <w:highlight w:val="none"/>
              </w:rPr>
            </w:pPr>
            <w:r>
              <w:rPr>
                <w:rFonts w:hint="eastAsia" w:ascii="宋体" w:hAnsi="宋体" w:cs="宋体"/>
                <w:color w:val="auto"/>
                <w:szCs w:val="21"/>
                <w:highlight w:val="none"/>
              </w:rPr>
              <w:t>邮政编码：</w:t>
            </w:r>
            <w:r>
              <w:rPr>
                <w:rFonts w:hint="eastAsia" w:ascii="宋体" w:hAnsi="宋体" w:cs="宋体"/>
                <w:color w:val="auto"/>
                <w:szCs w:val="21"/>
                <w:highlight w:val="none"/>
                <w:u w:val="single"/>
              </w:rPr>
              <w:t xml:space="preserve">                       </w:t>
            </w:r>
          </w:p>
        </w:tc>
        <w:tc>
          <w:tcPr>
            <w:tcW w:w="4644" w:type="dxa"/>
          </w:tcPr>
          <w:p w14:paraId="0491B7CD">
            <w:pPr>
              <w:spacing w:line="440" w:lineRule="exact"/>
              <w:rPr>
                <w:rFonts w:ascii="宋体" w:hAnsi="宋体" w:cs="宋体"/>
                <w:color w:val="auto"/>
                <w:szCs w:val="21"/>
                <w:highlight w:val="none"/>
              </w:rPr>
            </w:pPr>
            <w:r>
              <w:rPr>
                <w:rFonts w:hint="eastAsia" w:ascii="宋体" w:hAnsi="宋体" w:cs="宋体"/>
                <w:color w:val="auto"/>
                <w:szCs w:val="21"/>
                <w:highlight w:val="none"/>
              </w:rPr>
              <w:t>邮政编码：</w:t>
            </w:r>
            <w:r>
              <w:rPr>
                <w:rFonts w:hint="eastAsia" w:ascii="宋体" w:hAnsi="宋体" w:cs="宋体"/>
                <w:color w:val="auto"/>
                <w:szCs w:val="21"/>
                <w:highlight w:val="none"/>
                <w:u w:val="single"/>
              </w:rPr>
              <w:t xml:space="preserve">                             </w:t>
            </w:r>
          </w:p>
        </w:tc>
      </w:tr>
      <w:tr w14:paraId="68B84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44" w:type="dxa"/>
          </w:tcPr>
          <w:p w14:paraId="19656C9E">
            <w:pPr>
              <w:spacing w:line="440" w:lineRule="exact"/>
              <w:rPr>
                <w:rFonts w:ascii="宋体" w:hAnsi="宋体" w:cs="宋体"/>
                <w:color w:val="auto"/>
                <w:szCs w:val="21"/>
                <w:highlight w:val="none"/>
              </w:rPr>
            </w:pPr>
            <w:r>
              <w:rPr>
                <w:rFonts w:hint="eastAsia" w:ascii="宋体" w:hAnsi="宋体" w:cs="宋体"/>
                <w:color w:val="auto"/>
                <w:szCs w:val="21"/>
                <w:highlight w:val="none"/>
              </w:rPr>
              <w:t>法定代表人：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tc>
        <w:tc>
          <w:tcPr>
            <w:tcW w:w="4644" w:type="dxa"/>
          </w:tcPr>
          <w:p w14:paraId="2C8AC7B4">
            <w:pPr>
              <w:spacing w:line="440" w:lineRule="exact"/>
              <w:rPr>
                <w:rFonts w:ascii="宋体" w:hAnsi="宋体" w:cs="宋体"/>
                <w:color w:val="auto"/>
                <w:szCs w:val="21"/>
                <w:highlight w:val="none"/>
              </w:rPr>
            </w:pPr>
            <w:r>
              <w:rPr>
                <w:rFonts w:hint="eastAsia" w:ascii="宋体" w:hAnsi="宋体" w:cs="宋体"/>
                <w:color w:val="auto"/>
                <w:szCs w:val="21"/>
                <w:highlight w:val="none"/>
              </w:rPr>
              <w:t>法定代表人：</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w:t>
            </w:r>
          </w:p>
        </w:tc>
      </w:tr>
      <w:tr w14:paraId="0C3F5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44" w:type="dxa"/>
          </w:tcPr>
          <w:p w14:paraId="785AED33">
            <w:pPr>
              <w:spacing w:line="440" w:lineRule="exact"/>
              <w:rPr>
                <w:rFonts w:ascii="宋体" w:hAnsi="宋体" w:cs="宋体"/>
                <w:color w:val="auto"/>
                <w:szCs w:val="21"/>
                <w:highlight w:val="none"/>
              </w:rPr>
            </w:pPr>
            <w:r>
              <w:rPr>
                <w:rFonts w:hint="eastAsia" w:ascii="宋体" w:hAnsi="宋体" w:cs="宋体"/>
                <w:color w:val="auto"/>
                <w:szCs w:val="21"/>
                <w:highlight w:val="none"/>
              </w:rPr>
              <w:t>委托代理人：</w:t>
            </w:r>
            <w:r>
              <w:rPr>
                <w:rFonts w:hint="eastAsia" w:ascii="宋体" w:hAnsi="宋体" w:cs="宋体"/>
                <w:color w:val="auto"/>
                <w:szCs w:val="21"/>
                <w:highlight w:val="none"/>
                <w:u w:val="single"/>
              </w:rPr>
              <w:t xml:space="preserve">                     </w:t>
            </w:r>
          </w:p>
        </w:tc>
        <w:tc>
          <w:tcPr>
            <w:tcW w:w="4644" w:type="dxa"/>
          </w:tcPr>
          <w:p w14:paraId="03D4E588">
            <w:pPr>
              <w:spacing w:line="440" w:lineRule="exact"/>
              <w:rPr>
                <w:rFonts w:ascii="宋体" w:hAnsi="宋体" w:cs="宋体"/>
                <w:color w:val="auto"/>
                <w:szCs w:val="21"/>
                <w:highlight w:val="none"/>
              </w:rPr>
            </w:pPr>
            <w:r>
              <w:rPr>
                <w:rFonts w:hint="eastAsia" w:ascii="宋体" w:hAnsi="宋体" w:cs="宋体"/>
                <w:color w:val="auto"/>
                <w:szCs w:val="21"/>
                <w:highlight w:val="none"/>
              </w:rPr>
              <w:t>委托代理人：</w:t>
            </w:r>
            <w:r>
              <w:rPr>
                <w:rFonts w:hint="eastAsia" w:ascii="宋体" w:hAnsi="宋体" w:cs="宋体"/>
                <w:color w:val="auto"/>
                <w:szCs w:val="21"/>
                <w:highlight w:val="none"/>
                <w:u w:val="single"/>
              </w:rPr>
              <w:t xml:space="preserve"> /          </w:t>
            </w:r>
          </w:p>
        </w:tc>
      </w:tr>
      <w:tr w14:paraId="76062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44" w:type="dxa"/>
          </w:tcPr>
          <w:p w14:paraId="00E5B1C9">
            <w:pPr>
              <w:spacing w:line="440" w:lineRule="exact"/>
              <w:rPr>
                <w:rFonts w:ascii="宋体" w:hAnsi="宋体" w:cs="宋体"/>
                <w:color w:val="auto"/>
                <w:szCs w:val="21"/>
                <w:highlight w:val="none"/>
              </w:rPr>
            </w:pPr>
            <w:r>
              <w:rPr>
                <w:rFonts w:hint="eastAsia" w:ascii="宋体" w:hAnsi="宋体" w:cs="宋体"/>
                <w:color w:val="auto"/>
                <w:szCs w:val="21"/>
                <w:highlight w:val="none"/>
              </w:rPr>
              <w:t>电  话：</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tc>
        <w:tc>
          <w:tcPr>
            <w:tcW w:w="4644" w:type="dxa"/>
          </w:tcPr>
          <w:p w14:paraId="37099418">
            <w:pPr>
              <w:spacing w:line="440" w:lineRule="exact"/>
              <w:rPr>
                <w:rFonts w:ascii="宋体" w:hAnsi="宋体" w:cs="宋体"/>
                <w:color w:val="auto"/>
                <w:szCs w:val="21"/>
                <w:highlight w:val="none"/>
              </w:rPr>
            </w:pPr>
            <w:r>
              <w:rPr>
                <w:rFonts w:hint="eastAsia" w:ascii="宋体" w:hAnsi="宋体" w:cs="宋体"/>
                <w:color w:val="auto"/>
                <w:szCs w:val="21"/>
                <w:highlight w:val="none"/>
              </w:rPr>
              <w:t>电  话：</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tc>
      </w:tr>
      <w:tr w14:paraId="2E351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44" w:type="dxa"/>
          </w:tcPr>
          <w:p w14:paraId="40D1D5D2">
            <w:pPr>
              <w:spacing w:line="440" w:lineRule="exact"/>
              <w:rPr>
                <w:rFonts w:ascii="宋体" w:hAnsi="宋体" w:cs="宋体"/>
                <w:color w:val="auto"/>
                <w:szCs w:val="21"/>
                <w:highlight w:val="none"/>
              </w:rPr>
            </w:pPr>
            <w:r>
              <w:rPr>
                <w:rFonts w:hint="eastAsia" w:ascii="宋体" w:hAnsi="宋体" w:cs="宋体"/>
                <w:color w:val="auto"/>
                <w:szCs w:val="21"/>
                <w:highlight w:val="none"/>
              </w:rPr>
              <w:t>传  真：</w:t>
            </w:r>
            <w:r>
              <w:rPr>
                <w:rFonts w:hint="eastAsia" w:ascii="宋体" w:hAnsi="宋体" w:cs="宋体"/>
                <w:color w:val="auto"/>
                <w:szCs w:val="21"/>
                <w:highlight w:val="none"/>
                <w:u w:val="single"/>
              </w:rPr>
              <w:t xml:space="preserve">                          </w:t>
            </w:r>
          </w:p>
        </w:tc>
        <w:tc>
          <w:tcPr>
            <w:tcW w:w="4644" w:type="dxa"/>
          </w:tcPr>
          <w:p w14:paraId="7C6CDE38">
            <w:pPr>
              <w:spacing w:line="440" w:lineRule="exact"/>
              <w:rPr>
                <w:rFonts w:ascii="宋体" w:hAnsi="宋体" w:cs="宋体"/>
                <w:color w:val="auto"/>
                <w:szCs w:val="21"/>
                <w:highlight w:val="none"/>
              </w:rPr>
            </w:pPr>
            <w:r>
              <w:rPr>
                <w:rFonts w:hint="eastAsia" w:ascii="宋体" w:hAnsi="宋体" w:cs="宋体"/>
                <w:color w:val="auto"/>
                <w:szCs w:val="21"/>
                <w:highlight w:val="none"/>
              </w:rPr>
              <w:t>传  真：</w:t>
            </w:r>
            <w:r>
              <w:rPr>
                <w:rFonts w:hint="eastAsia" w:ascii="宋体" w:hAnsi="宋体" w:cs="宋体"/>
                <w:color w:val="auto"/>
                <w:szCs w:val="21"/>
                <w:highlight w:val="none"/>
                <w:u w:val="single"/>
              </w:rPr>
              <w:t xml:space="preserve">    </w:t>
            </w:r>
          </w:p>
        </w:tc>
      </w:tr>
      <w:tr w14:paraId="204C5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44" w:type="dxa"/>
          </w:tcPr>
          <w:p w14:paraId="0B0ED7D5">
            <w:pPr>
              <w:spacing w:line="440" w:lineRule="exact"/>
              <w:rPr>
                <w:rFonts w:ascii="宋体" w:hAnsi="宋体" w:cs="宋体"/>
                <w:color w:val="auto"/>
                <w:szCs w:val="21"/>
                <w:highlight w:val="none"/>
              </w:rPr>
            </w:pPr>
            <w:r>
              <w:rPr>
                <w:rFonts w:hint="eastAsia" w:ascii="宋体" w:hAnsi="宋体" w:cs="宋体"/>
                <w:color w:val="auto"/>
                <w:szCs w:val="21"/>
                <w:highlight w:val="none"/>
              </w:rPr>
              <w:t>电子信箱：</w:t>
            </w:r>
            <w:r>
              <w:rPr>
                <w:rFonts w:hint="eastAsia" w:ascii="宋体" w:hAnsi="宋体" w:cs="宋体"/>
                <w:color w:val="auto"/>
                <w:szCs w:val="21"/>
                <w:highlight w:val="none"/>
                <w:u w:val="single"/>
              </w:rPr>
              <w:t xml:space="preserve">                       </w:t>
            </w:r>
          </w:p>
        </w:tc>
        <w:tc>
          <w:tcPr>
            <w:tcW w:w="4644" w:type="dxa"/>
          </w:tcPr>
          <w:p w14:paraId="04E5797D">
            <w:pPr>
              <w:spacing w:line="440" w:lineRule="exact"/>
              <w:rPr>
                <w:rFonts w:ascii="宋体" w:hAnsi="宋体" w:cs="宋体"/>
                <w:color w:val="auto"/>
                <w:szCs w:val="21"/>
                <w:highlight w:val="none"/>
              </w:rPr>
            </w:pPr>
            <w:r>
              <w:rPr>
                <w:rFonts w:hint="eastAsia" w:ascii="宋体" w:hAnsi="宋体" w:cs="宋体"/>
                <w:color w:val="auto"/>
                <w:szCs w:val="21"/>
                <w:highlight w:val="none"/>
              </w:rPr>
              <w:t>电子信箱：</w:t>
            </w:r>
            <w:r>
              <w:rPr>
                <w:rFonts w:hint="eastAsia" w:ascii="宋体" w:hAnsi="宋体" w:cs="宋体"/>
                <w:color w:val="auto"/>
                <w:szCs w:val="21"/>
                <w:highlight w:val="none"/>
                <w:u w:val="single"/>
              </w:rPr>
              <w:t xml:space="preserve">                 </w:t>
            </w:r>
          </w:p>
        </w:tc>
      </w:tr>
      <w:tr w14:paraId="60C96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44" w:type="dxa"/>
          </w:tcPr>
          <w:p w14:paraId="56242E09">
            <w:pPr>
              <w:spacing w:line="440" w:lineRule="exact"/>
              <w:rPr>
                <w:rFonts w:ascii="宋体" w:hAnsi="宋体" w:cs="宋体"/>
                <w:color w:val="auto"/>
                <w:szCs w:val="21"/>
                <w:highlight w:val="none"/>
              </w:rPr>
            </w:pPr>
            <w:r>
              <w:rPr>
                <w:rFonts w:hint="eastAsia" w:ascii="宋体" w:hAnsi="宋体" w:cs="宋体"/>
                <w:color w:val="auto"/>
                <w:szCs w:val="21"/>
                <w:highlight w:val="none"/>
              </w:rPr>
              <w:t>开户银行：</w:t>
            </w:r>
            <w:r>
              <w:rPr>
                <w:rFonts w:hint="eastAsia" w:ascii="宋体" w:hAnsi="宋体" w:cs="宋体"/>
                <w:color w:val="auto"/>
                <w:szCs w:val="21"/>
                <w:highlight w:val="none"/>
                <w:u w:val="single"/>
              </w:rPr>
              <w:t xml:space="preserve">                     </w:t>
            </w:r>
          </w:p>
        </w:tc>
        <w:tc>
          <w:tcPr>
            <w:tcW w:w="4644" w:type="dxa"/>
          </w:tcPr>
          <w:p w14:paraId="6FEF6BE8">
            <w:pPr>
              <w:spacing w:line="440" w:lineRule="exact"/>
              <w:rPr>
                <w:rFonts w:ascii="宋体" w:hAnsi="宋体" w:cs="宋体"/>
                <w:color w:val="auto"/>
                <w:szCs w:val="21"/>
                <w:highlight w:val="none"/>
              </w:rPr>
            </w:pPr>
            <w:r>
              <w:rPr>
                <w:rFonts w:hint="eastAsia" w:ascii="宋体" w:hAnsi="宋体" w:cs="宋体"/>
                <w:color w:val="auto"/>
                <w:szCs w:val="21"/>
                <w:highlight w:val="none"/>
              </w:rPr>
              <w:t>开户银行：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tc>
      </w:tr>
      <w:tr w14:paraId="1B0F7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44" w:type="dxa"/>
          </w:tcPr>
          <w:p w14:paraId="2BA3EAA3">
            <w:pPr>
              <w:spacing w:line="440" w:lineRule="exact"/>
              <w:rPr>
                <w:rFonts w:ascii="宋体" w:hAnsi="宋体" w:cs="宋体"/>
                <w:color w:val="auto"/>
                <w:szCs w:val="21"/>
                <w:highlight w:val="none"/>
              </w:rPr>
            </w:pPr>
            <w:r>
              <w:rPr>
                <w:rFonts w:hint="eastAsia" w:ascii="宋体" w:hAnsi="宋体" w:cs="宋体"/>
                <w:color w:val="auto"/>
                <w:szCs w:val="21"/>
                <w:highlight w:val="none"/>
              </w:rPr>
              <w:t>账  号：</w:t>
            </w:r>
            <w:r>
              <w:rPr>
                <w:rFonts w:hint="eastAsia" w:ascii="宋体" w:hAnsi="宋体" w:cs="宋体"/>
                <w:color w:val="auto"/>
                <w:szCs w:val="21"/>
                <w:highlight w:val="none"/>
                <w:u w:val="single"/>
              </w:rPr>
              <w:t xml:space="preserve">                         </w:t>
            </w:r>
          </w:p>
        </w:tc>
        <w:tc>
          <w:tcPr>
            <w:tcW w:w="4644" w:type="dxa"/>
          </w:tcPr>
          <w:p w14:paraId="2D20EFE3">
            <w:pPr>
              <w:spacing w:line="440" w:lineRule="exact"/>
              <w:rPr>
                <w:rFonts w:ascii="宋体" w:hAnsi="宋体" w:cs="宋体"/>
                <w:color w:val="auto"/>
                <w:szCs w:val="21"/>
                <w:highlight w:val="none"/>
              </w:rPr>
            </w:pPr>
            <w:r>
              <w:rPr>
                <w:rFonts w:hint="eastAsia" w:ascii="宋体" w:hAnsi="宋体" w:cs="宋体"/>
                <w:color w:val="auto"/>
                <w:szCs w:val="21"/>
                <w:highlight w:val="none"/>
              </w:rPr>
              <w:t>账  号：</w:t>
            </w:r>
            <w:r>
              <w:rPr>
                <w:rFonts w:hint="eastAsia" w:ascii="宋体" w:hAnsi="宋体" w:cs="宋体"/>
                <w:color w:val="auto"/>
                <w:szCs w:val="21"/>
                <w:highlight w:val="none"/>
                <w:u w:val="single"/>
              </w:rPr>
              <w:t xml:space="preserve">                         </w:t>
            </w:r>
          </w:p>
        </w:tc>
      </w:tr>
    </w:tbl>
    <w:p w14:paraId="2CEFF172">
      <w:pPr>
        <w:pStyle w:val="45"/>
        <w:ind w:left="0" w:leftChars="0" w:firstLine="0" w:firstLineChars="0"/>
        <w:rPr>
          <w:color w:val="auto"/>
          <w:highlight w:val="none"/>
        </w:rPr>
      </w:pPr>
    </w:p>
    <w:p w14:paraId="46C5BF6B">
      <w:pPr>
        <w:keepNext/>
        <w:keepLines/>
        <w:spacing w:after="260" w:line="500" w:lineRule="exact"/>
        <w:jc w:val="center"/>
        <w:outlineLvl w:val="1"/>
        <w:rPr>
          <w:rFonts w:ascii="宋体" w:hAnsi="宋体" w:cs="宋体"/>
          <w:b/>
          <w:bCs/>
          <w:color w:val="auto"/>
          <w:sz w:val="32"/>
          <w:szCs w:val="32"/>
          <w:highlight w:val="none"/>
        </w:rPr>
      </w:pPr>
      <w:r>
        <w:rPr>
          <w:rFonts w:hint="eastAsia" w:ascii="宋体" w:hAnsi="宋体" w:cs="宋体"/>
          <w:b/>
          <w:bCs/>
          <w:color w:val="auto"/>
          <w:sz w:val="32"/>
          <w:szCs w:val="32"/>
          <w:highlight w:val="none"/>
        </w:rPr>
        <w:t>第二部分  通用合同条款</w:t>
      </w:r>
      <w:bookmarkEnd w:id="891"/>
      <w:bookmarkStart w:id="892" w:name="_Toc337558727"/>
    </w:p>
    <w:p w14:paraId="1E5E5437">
      <w:pPr>
        <w:spacing w:line="500" w:lineRule="exact"/>
        <w:ind w:right="199" w:rightChars="95"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使用住房城乡建设部、国家工商行政管理局2017年9月22日联合印发的《建设工程施工合同（GF-2017-0201示范文本）》第二部分通用条款。</w:t>
      </w:r>
    </w:p>
    <w:bookmarkEnd w:id="892"/>
    <w:p w14:paraId="0F9C16A5">
      <w:pPr>
        <w:rPr>
          <w:rFonts w:ascii="宋体" w:hAnsi="宋体" w:cs="宋体"/>
          <w:b/>
          <w:bCs/>
          <w:color w:val="auto"/>
          <w:sz w:val="32"/>
          <w:szCs w:val="32"/>
          <w:highlight w:val="none"/>
        </w:rPr>
      </w:pPr>
      <w:bookmarkStart w:id="893" w:name="_Toc351203632"/>
      <w:bookmarkStart w:id="894" w:name="_Toc2274"/>
      <w:r>
        <w:rPr>
          <w:rFonts w:hint="eastAsia" w:ascii="宋体" w:hAnsi="宋体" w:cs="宋体"/>
          <w:b/>
          <w:bCs/>
          <w:color w:val="auto"/>
          <w:sz w:val="32"/>
          <w:szCs w:val="32"/>
          <w:highlight w:val="none"/>
        </w:rPr>
        <w:br w:type="page"/>
      </w:r>
    </w:p>
    <w:p w14:paraId="4BAE56AE">
      <w:pPr>
        <w:spacing w:line="500" w:lineRule="exact"/>
        <w:jc w:val="center"/>
        <w:outlineLvl w:val="1"/>
        <w:rPr>
          <w:rFonts w:ascii="仿宋" w:hAnsi="仿宋" w:eastAsia="仿宋" w:cs="仿宋"/>
          <w:b/>
          <w:bCs/>
          <w:color w:val="auto"/>
          <w:sz w:val="28"/>
          <w:szCs w:val="28"/>
          <w:highlight w:val="none"/>
        </w:rPr>
      </w:pPr>
      <w:r>
        <w:rPr>
          <w:rFonts w:hint="eastAsia" w:ascii="宋体" w:hAnsi="宋体" w:cs="宋体"/>
          <w:b/>
          <w:bCs/>
          <w:color w:val="auto"/>
          <w:sz w:val="32"/>
          <w:szCs w:val="32"/>
          <w:highlight w:val="none"/>
        </w:rPr>
        <w:t>第三部分  专用合同条款</w:t>
      </w:r>
      <w:bookmarkEnd w:id="893"/>
      <w:bookmarkEnd w:id="894"/>
    </w:p>
    <w:p w14:paraId="5B537089">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1.工程价款的支付 </w:t>
      </w:r>
    </w:p>
    <w:p w14:paraId="1F25E136">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1.1 工程预付款：</w:t>
      </w:r>
      <w:r>
        <w:rPr>
          <w:rFonts w:hint="eastAsia" w:ascii="宋体" w:hAnsi="宋体" w:cs="宋体"/>
          <w:color w:val="auto"/>
          <w:szCs w:val="21"/>
          <w:highlight w:val="none"/>
          <w:u w:val="single"/>
        </w:rPr>
        <w:t>不支付预付款。</w:t>
      </w:r>
      <w:r>
        <w:rPr>
          <w:rFonts w:hint="eastAsia" w:ascii="宋体" w:hAnsi="宋体" w:cs="宋体"/>
          <w:color w:val="auto"/>
          <w:szCs w:val="21"/>
          <w:highlight w:val="none"/>
        </w:rPr>
        <w:t xml:space="preserve"> </w:t>
      </w:r>
    </w:p>
    <w:p w14:paraId="391A5915">
      <w:pPr>
        <w:spacing w:line="50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1.2 工程款支付</w:t>
      </w:r>
      <w:r>
        <w:rPr>
          <w:rFonts w:hint="eastAsia" w:ascii="宋体" w:hAnsi="宋体" w:cs="宋体"/>
          <w:color w:val="auto"/>
          <w:szCs w:val="21"/>
          <w:highlight w:val="none"/>
          <w:u w:val="single"/>
        </w:rPr>
        <w:t>：</w:t>
      </w:r>
      <w:r>
        <w:rPr>
          <w:rFonts w:hint="eastAsia" w:ascii="宋体" w:hAnsi="宋体" w:cs="宋体"/>
          <w:b/>
          <w:bCs/>
          <w:color w:val="auto"/>
          <w:szCs w:val="21"/>
          <w:highlight w:val="none"/>
          <w:u w:val="single"/>
        </w:rPr>
        <w:t>项目竣工验收合格付至</w:t>
      </w:r>
      <w:r>
        <w:rPr>
          <w:rFonts w:hint="eastAsia" w:ascii="宋体" w:hAnsi="宋体" w:cs="宋体"/>
          <w:b/>
          <w:bCs/>
          <w:color w:val="auto"/>
          <w:szCs w:val="21"/>
          <w:highlight w:val="none"/>
          <w:u w:val="single"/>
          <w:lang w:val="en-US" w:eastAsia="zh-CN"/>
        </w:rPr>
        <w:t>合同价款</w:t>
      </w:r>
      <w:r>
        <w:rPr>
          <w:rFonts w:hint="eastAsia" w:ascii="宋体" w:hAnsi="宋体" w:cs="宋体"/>
          <w:b/>
          <w:bCs/>
          <w:color w:val="auto"/>
          <w:szCs w:val="21"/>
          <w:highlight w:val="none"/>
          <w:u w:val="single"/>
        </w:rPr>
        <w:t>的</w:t>
      </w:r>
      <w:r>
        <w:rPr>
          <w:rFonts w:hint="eastAsia" w:ascii="宋体" w:hAnsi="宋体" w:cs="宋体"/>
          <w:b/>
          <w:bCs/>
          <w:color w:val="auto"/>
          <w:szCs w:val="21"/>
          <w:highlight w:val="none"/>
          <w:u w:val="single"/>
          <w:lang w:val="en-US" w:eastAsia="zh-CN"/>
        </w:rPr>
        <w:t>97</w:t>
      </w:r>
      <w:r>
        <w:rPr>
          <w:rFonts w:hint="eastAsia" w:ascii="宋体" w:hAnsi="宋体" w:cs="宋体"/>
          <w:b/>
          <w:bCs/>
          <w:color w:val="auto"/>
          <w:szCs w:val="21"/>
          <w:highlight w:val="none"/>
          <w:u w:val="single"/>
        </w:rPr>
        <w:t>%</w:t>
      </w:r>
      <w:r>
        <w:rPr>
          <w:rFonts w:hint="eastAsia" w:ascii="宋体" w:hAnsi="宋体" w:cs="宋体"/>
          <w:b/>
          <w:bCs/>
          <w:color w:val="auto"/>
          <w:szCs w:val="21"/>
          <w:highlight w:val="none"/>
          <w:u w:val="single"/>
          <w:lang w:eastAsia="zh-CN"/>
        </w:rPr>
        <w:t>，</w:t>
      </w:r>
      <w:r>
        <w:rPr>
          <w:rFonts w:hint="eastAsia" w:ascii="宋体" w:hAnsi="宋体" w:cs="宋体"/>
          <w:b/>
          <w:bCs/>
          <w:color w:val="auto"/>
          <w:szCs w:val="21"/>
          <w:highlight w:val="none"/>
          <w:u w:val="single"/>
          <w:lang w:val="en-US" w:eastAsia="zh-CN"/>
        </w:rPr>
        <w:t>剩余3%作为工程质量保证金，在工程质量保修期（自本项目工程竣工验收合格之日起满2年）满后无质量问题一个月内付清。</w:t>
      </w:r>
    </w:p>
    <w:p w14:paraId="3128B544">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1.3 发包人支付承包人工程款后，承包人也应及时支付各方面的工资、费用及材料等款项，如有投诉拖欠，所有责任由承包人承担。 </w:t>
      </w:r>
    </w:p>
    <w:p w14:paraId="00207BE7">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2.合同价款及调整</w:t>
      </w:r>
    </w:p>
    <w:p w14:paraId="46F14107">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2.1本合同价款采用</w:t>
      </w:r>
      <w:r>
        <w:rPr>
          <w:rFonts w:hint="eastAsia" w:ascii="宋体" w:hAnsi="宋体" w:cs="宋体"/>
          <w:color w:val="auto"/>
          <w:szCs w:val="21"/>
          <w:highlight w:val="none"/>
          <w:u w:val="single"/>
        </w:rPr>
        <w:t>固定单价</w:t>
      </w:r>
      <w:r>
        <w:rPr>
          <w:rFonts w:hint="eastAsia" w:ascii="宋体" w:hAnsi="宋体" w:cs="宋体"/>
          <w:color w:val="auto"/>
          <w:szCs w:val="21"/>
          <w:highlight w:val="none"/>
        </w:rPr>
        <w:t xml:space="preserve">确定。 </w:t>
      </w:r>
    </w:p>
    <w:p w14:paraId="01C72710">
      <w:pPr>
        <w:spacing w:line="50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2.2风险费用的计算方法：</w:t>
      </w:r>
      <w:r>
        <w:rPr>
          <w:rFonts w:hint="eastAsia" w:ascii="宋体" w:hAnsi="宋体" w:cs="宋体"/>
          <w:color w:val="auto"/>
          <w:szCs w:val="21"/>
          <w:highlight w:val="none"/>
          <w:u w:val="single"/>
        </w:rPr>
        <w:t xml:space="preserve">风险范围内的单价及有关费用的报价，不再调整，一次性包干。 </w:t>
      </w:r>
    </w:p>
    <w:p w14:paraId="46AECBC7">
      <w:pPr>
        <w:spacing w:line="500" w:lineRule="exact"/>
        <w:ind w:firstLine="422" w:firstLineChars="200"/>
        <w:rPr>
          <w:rFonts w:ascii="宋体" w:hAnsi="宋体" w:cs="宋体"/>
          <w:color w:val="auto"/>
          <w:szCs w:val="21"/>
          <w:highlight w:val="none"/>
        </w:rPr>
      </w:pPr>
      <w:r>
        <w:rPr>
          <w:rFonts w:hint="eastAsia" w:ascii="宋体" w:hAnsi="宋体" w:cs="宋体"/>
          <w:b/>
          <w:bCs/>
          <w:color w:val="auto"/>
          <w:szCs w:val="21"/>
          <w:highlight w:val="none"/>
        </w:rPr>
        <w:t xml:space="preserve">2.3 </w:t>
      </w:r>
      <w:r>
        <w:rPr>
          <w:rFonts w:hint="eastAsia" w:ascii="宋体" w:hAnsi="宋体" w:cs="宋体"/>
          <w:color w:val="auto"/>
          <w:szCs w:val="21"/>
          <w:highlight w:val="none"/>
        </w:rPr>
        <w:t>结算价=中标价±工程量增减×中标综合单价±（新增工程量清单项目数量×审定签证综合单价）×A±合理工程索赔。（A为投标让利幅度，A=</w:t>
      </w:r>
      <w:r>
        <w:rPr>
          <w:rFonts w:hint="eastAsia" w:ascii="宋体" w:hAnsi="宋体" w:cs="宋体"/>
          <w:color w:val="auto"/>
          <w:szCs w:val="21"/>
          <w:highlight w:val="none"/>
          <w:u w:val="single"/>
        </w:rPr>
        <w:t>中标价/最高投标限价，比例式中的中标价、最高限价均不含暂列金暂估价部分，下同）</w:t>
      </w:r>
      <w:r>
        <w:rPr>
          <w:rFonts w:hint="eastAsia" w:ascii="宋体" w:hAnsi="宋体" w:cs="宋体"/>
          <w:color w:val="auto"/>
          <w:szCs w:val="21"/>
          <w:highlight w:val="none"/>
        </w:rPr>
        <w:t xml:space="preserve">。 </w:t>
      </w:r>
    </w:p>
    <w:p w14:paraId="71724EC7">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2.4.1工程量变更造价：</w:t>
      </w:r>
    </w:p>
    <w:p w14:paraId="52D98199">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2.4.1.1因工程变更引起已标价工程量清单项目或者工程数量发生变化时，当工程量增加15％以上时，且原合同内综合单价超过招标控制价综合单价的，增加部分工程量的综合单价=招标控制价中综合单价*中标价/控制价（中标价和控制价均应扣除暂列金额和暂估价部分）。</w:t>
      </w:r>
    </w:p>
    <w:p w14:paraId="5EA41E8C">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2.4.1.2发包人提供的工程量清单项目漏项、设计变更、新的需求引起新的工程项目，其相应综合单价的确定方法为：</w:t>
      </w:r>
    </w:p>
    <w:p w14:paraId="4AFD245D">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（1）合同中有类似工程项目综合单价的，可参照合同中类似项目的综合单价计算确定。 </w:t>
      </w:r>
    </w:p>
    <w:p w14:paraId="0E057BCB">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2）合同中没有类似工程项目综合单价的，由承包人提出适当的综合单价，经发包人或其委托的工程造价咨询单位注册造价工程师审定后乘以投标让利幅度作为结算依据。投标让利幅度=（成交价-暂列金-暂估价）/（最高投标限价-暂列金-暂估价）。 </w:t>
      </w:r>
    </w:p>
    <w:p w14:paraId="7D42B2DD">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（3）清单项目中项目特征或工程内容发生部分变更的，应以原综合单价为基础，仅就变更部分调整其综合单价。</w:t>
      </w:r>
    </w:p>
    <w:p w14:paraId="42A8B198">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2.4.2工程索赔引起合同价的调整 </w:t>
      </w:r>
    </w:p>
    <w:p w14:paraId="070D136A">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工程索赔是指在合同履行过程中，对于并非自己的过错，而是由于对方责任所造成的实际损失，向对方提出经济补偿的行为。</w:t>
      </w:r>
    </w:p>
    <w:p w14:paraId="2628F906">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索赔方依据合同约定和法律法规的规定，按照索赔处理的原则和程序，在规定的时间内提出包括索赔事件、索赔理由、索赔费用及有效证据的索赔报告。被索赔方或其委托方应及时对索赔事件、 费用、理由、证据进行调查、分析、判断及计算，核定索赔费用。凡索赔成立的，应按工程量清单项目漏项的合同价调整方式，进行调整。 </w:t>
      </w:r>
    </w:p>
    <w:p w14:paraId="4FD16050">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2.4.3措施项目变动引起合同价的调整</w:t>
      </w:r>
    </w:p>
    <w:p w14:paraId="3C6C9B00">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2.4.3.1由于承包人擅自改变施工技术措施，造成的价格变动，价格不予调整。 </w:t>
      </w:r>
    </w:p>
    <w:p w14:paraId="2C2A6D7A">
      <w:pPr>
        <w:pStyle w:val="45"/>
        <w:spacing w:line="500" w:lineRule="exact"/>
        <w:ind w:left="0" w:leftChars="0" w:firstLine="420"/>
        <w:rPr>
          <w:rFonts w:hAnsi="宋体" w:cs="宋体"/>
          <w:color w:val="auto"/>
          <w:szCs w:val="21"/>
          <w:highlight w:val="none"/>
        </w:rPr>
      </w:pPr>
      <w:r>
        <w:rPr>
          <w:rFonts w:hint="eastAsia" w:hAnsi="宋体" w:cs="宋体"/>
          <w:color w:val="auto"/>
          <w:szCs w:val="21"/>
          <w:highlight w:val="none"/>
        </w:rPr>
        <w:t xml:space="preserve">2.4.4本项目中的人、材、机等其他因素引起的价格变化的，其价格不作调整。 </w:t>
      </w:r>
    </w:p>
    <w:p w14:paraId="44EB20D1">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3.安全文明施工与环境保护 </w:t>
      </w:r>
    </w:p>
    <w:p w14:paraId="00CB1A1E">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3.1 安全文明施工 </w:t>
      </w:r>
    </w:p>
    <w:p w14:paraId="43336328">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3.1.1 项目安全生产的达标目标及相应事项的约定：零安全生产事故的发生，否则按 4.1.5 条款执行。 </w:t>
      </w:r>
    </w:p>
    <w:p w14:paraId="2583669C">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3.1.2 关于治安保卫的特别约定：由承包人负责。关于编制施工场地治安管理计划的约定：由承包人负责。 </w:t>
      </w:r>
    </w:p>
    <w:p w14:paraId="1695F3ED">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3.1.3 文明施工合同当事人对文明施工的要求：执行通用条款。 </w:t>
      </w:r>
    </w:p>
    <w:p w14:paraId="736FEDC5">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3.1.4 关于安全文明施工费支付比例和支付期限的约定：无。 </w:t>
      </w:r>
    </w:p>
    <w:p w14:paraId="02CE5B58">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3.1.5 发生安全事故，承包人应按照有关规定立即上报有关部门并通知工程师，同时按照政府有关要求处理，由事故责任方承担发生的费用。发包人根据事故的分类对承包人进行处以违约：（1）特别重大事故，发包人对承包人处以50万元的人民币违约金；（2）重大事故，发包人对承包人处以30万元的人民币违约金；（3）较大事故，发包人对承包人处以20万元的人民币违约金；（4）一般事故，发包人对承包人处以10万元的人民币违约金；并承担因施工安全事故给本工程建设单位、项目管理单位和监理人带来的经济损失。</w:t>
      </w:r>
    </w:p>
    <w:p w14:paraId="0D309443">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3.1.6 发生质量事故，承包人应按照有关规定立即上报有关部门并通知工程师，同时按照政府有关要求处理，由事故责任方承担发生的费用。发包人根据事故的分类对承包人进行处以违约：（1）特别重大质量事故，发包人对承包人处以50万元的人民币违约金；（2）重大质量事故，发包人对承包人处以30万元的人民币违约金；（3）严重质量事故，发包人对承包人处以20万元的人民币违约金；（4）一般质量事故，发包人对承包人处以10万元的人民币违约金；并承担因施工质量事故给本工程建设单位、项目管理单位和监理人带来的经济损失。</w:t>
      </w:r>
    </w:p>
    <w:p w14:paraId="39C4304E">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 监理人  （☑委托监理，</w:t>
      </w:r>
      <w:r>
        <w:rPr>
          <w:rFonts w:hint="eastAsia" w:ascii="宋体" w:hAnsi="宋体" w:cs="宋体"/>
          <w:color w:val="auto"/>
          <w:szCs w:val="21"/>
          <w:highlight w:val="none"/>
          <w:u w:val="single"/>
        </w:rPr>
        <w:t xml:space="preserve"> 详见监理合同</w:t>
      </w:r>
      <w:r>
        <w:rPr>
          <w:rFonts w:hint="eastAsia" w:ascii="宋体" w:hAnsi="宋体" w:cs="宋体"/>
          <w:color w:val="auto"/>
          <w:szCs w:val="21"/>
          <w:highlight w:val="none"/>
        </w:rPr>
        <w:t xml:space="preserve"> ；□ 建设单位自管）</w:t>
      </w:r>
    </w:p>
    <w:p w14:paraId="5A547A95">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4.1监理人的一般规定</w:t>
      </w:r>
    </w:p>
    <w:p w14:paraId="40452330">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4.1.1 监理人的监理内容：</w:t>
      </w:r>
      <w:r>
        <w:rPr>
          <w:rFonts w:hint="eastAsia" w:ascii="宋体" w:hAnsi="宋体" w:cs="宋体"/>
          <w:color w:val="auto"/>
          <w:szCs w:val="21"/>
          <w:highlight w:val="none"/>
          <w:u w:val="single"/>
        </w:rPr>
        <w:t xml:space="preserve">  详见监理合同</w:t>
      </w:r>
      <w:r>
        <w:rPr>
          <w:rFonts w:hint="eastAsia" w:ascii="宋体" w:hAnsi="宋体" w:cs="宋体"/>
          <w:color w:val="auto"/>
          <w:szCs w:val="21"/>
          <w:highlight w:val="none"/>
        </w:rPr>
        <w:t xml:space="preserve"> 。</w:t>
      </w:r>
    </w:p>
    <w:p w14:paraId="3C189207">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4.1.2 监理人的监理权限：</w:t>
      </w:r>
      <w:r>
        <w:rPr>
          <w:rFonts w:hint="eastAsia" w:ascii="宋体" w:hAnsi="宋体" w:cs="宋体"/>
          <w:color w:val="auto"/>
          <w:szCs w:val="21"/>
          <w:highlight w:val="none"/>
          <w:u w:val="single"/>
        </w:rPr>
        <w:t>工程质量的监督权；工程上使用的材料和施工质量检验权、确认权；工程施工进度、安全的检查、监督权；工程款支付的审核权；向承包人提出施工组织设计和技术方案的建议权；发包人和承包人之间的组织协调的主持权；撤换承包人的不合格的项目管理人员的建议权；承包人的资质及能力的审查权及《建设工程监理规范》规定的法定职权等</w:t>
      </w:r>
      <w:r>
        <w:rPr>
          <w:rFonts w:hint="eastAsia" w:ascii="宋体" w:hAnsi="宋体" w:cs="宋体"/>
          <w:color w:val="auto"/>
          <w:szCs w:val="21"/>
          <w:highlight w:val="none"/>
        </w:rPr>
        <w:t>。</w:t>
      </w:r>
    </w:p>
    <w:p w14:paraId="6901943B">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4.1.3 监理人在施工现场的办公场所、监理费用承担的约定：发包人提供和承担。</w:t>
      </w:r>
    </w:p>
    <w:p w14:paraId="2D3EC485">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4.2 监理人员</w:t>
      </w:r>
    </w:p>
    <w:p w14:paraId="15362572">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总监理工程师：</w:t>
      </w:r>
    </w:p>
    <w:p w14:paraId="0272EF0F">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姓    名：</w:t>
      </w:r>
      <w:r>
        <w:rPr>
          <w:rFonts w:hint="eastAsia" w:ascii="宋体" w:hAnsi="宋体" w:cs="宋体"/>
          <w:color w:val="auto"/>
          <w:szCs w:val="21"/>
          <w:highlight w:val="none"/>
          <w:u w:val="single"/>
        </w:rPr>
        <w:t>详见监理合同 </w:t>
      </w:r>
      <w:r>
        <w:rPr>
          <w:rFonts w:hint="eastAsia" w:ascii="宋体" w:hAnsi="宋体" w:cs="宋体"/>
          <w:color w:val="auto"/>
          <w:szCs w:val="21"/>
          <w:highlight w:val="none"/>
        </w:rPr>
        <w:t>；</w:t>
      </w:r>
    </w:p>
    <w:p w14:paraId="292C8605">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职    务：</w:t>
      </w:r>
      <w:r>
        <w:rPr>
          <w:rFonts w:hint="eastAsia" w:ascii="宋体" w:hAnsi="宋体" w:cs="宋体"/>
          <w:color w:val="auto"/>
          <w:szCs w:val="21"/>
          <w:highlight w:val="none"/>
          <w:u w:val="single"/>
        </w:rPr>
        <w:t>详见监理合同 </w:t>
      </w:r>
      <w:r>
        <w:rPr>
          <w:rFonts w:hint="eastAsia" w:ascii="宋体" w:hAnsi="宋体" w:cs="宋体"/>
          <w:color w:val="auto"/>
          <w:szCs w:val="21"/>
          <w:highlight w:val="none"/>
        </w:rPr>
        <w:t>；</w:t>
      </w:r>
    </w:p>
    <w:p w14:paraId="42EE555B">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监理工程师执业资格证书号：</w:t>
      </w:r>
      <w:r>
        <w:rPr>
          <w:rFonts w:hint="eastAsia" w:ascii="宋体" w:hAnsi="宋体" w:cs="宋体"/>
          <w:color w:val="auto"/>
          <w:szCs w:val="21"/>
          <w:highlight w:val="none"/>
          <w:u w:val="single"/>
        </w:rPr>
        <w:t>详见监理合同</w:t>
      </w:r>
      <w:r>
        <w:rPr>
          <w:rFonts w:hint="eastAsia" w:ascii="宋体" w:hAnsi="宋体" w:cs="宋体"/>
          <w:color w:val="auto"/>
          <w:szCs w:val="21"/>
          <w:highlight w:val="none"/>
        </w:rPr>
        <w:t>；</w:t>
      </w:r>
    </w:p>
    <w:p w14:paraId="3B4BCCC9">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联系电话：</w:t>
      </w:r>
      <w:r>
        <w:rPr>
          <w:rFonts w:hint="eastAsia" w:ascii="宋体" w:hAnsi="宋体" w:cs="宋体"/>
          <w:color w:val="auto"/>
          <w:szCs w:val="21"/>
          <w:highlight w:val="none"/>
          <w:u w:val="single"/>
        </w:rPr>
        <w:t>详见监理合同</w:t>
      </w:r>
      <w:r>
        <w:rPr>
          <w:rFonts w:hint="eastAsia" w:ascii="宋体" w:hAnsi="宋体" w:cs="宋体"/>
          <w:color w:val="auto"/>
          <w:szCs w:val="21"/>
          <w:highlight w:val="none"/>
        </w:rPr>
        <w:t>；</w:t>
      </w:r>
    </w:p>
    <w:p w14:paraId="1713C601">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电子信箱：</w:t>
      </w:r>
      <w:r>
        <w:rPr>
          <w:rFonts w:hint="eastAsia" w:ascii="宋体" w:hAnsi="宋体" w:cs="宋体"/>
          <w:color w:val="auto"/>
          <w:szCs w:val="21"/>
          <w:highlight w:val="none"/>
          <w:u w:val="single"/>
        </w:rPr>
        <w:t>详见监理合同</w:t>
      </w:r>
      <w:r>
        <w:rPr>
          <w:rFonts w:hint="eastAsia" w:ascii="宋体" w:hAnsi="宋体" w:cs="宋体"/>
          <w:color w:val="auto"/>
          <w:szCs w:val="21"/>
          <w:highlight w:val="none"/>
        </w:rPr>
        <w:t>；</w:t>
      </w:r>
    </w:p>
    <w:p w14:paraId="31A11E41">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通信地址：</w:t>
      </w:r>
      <w:r>
        <w:rPr>
          <w:rFonts w:hint="eastAsia" w:ascii="宋体" w:hAnsi="宋体" w:cs="宋体"/>
          <w:color w:val="auto"/>
          <w:szCs w:val="21"/>
          <w:highlight w:val="none"/>
          <w:u w:val="single"/>
        </w:rPr>
        <w:t>详见监理合同 ；</w:t>
      </w:r>
    </w:p>
    <w:p w14:paraId="0E5232F7">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关于监理人的其他约定</w:t>
      </w:r>
      <w:r>
        <w:rPr>
          <w:rFonts w:hint="eastAsia" w:ascii="宋体" w:hAnsi="宋体" w:cs="宋体"/>
          <w:color w:val="auto"/>
          <w:szCs w:val="21"/>
          <w:highlight w:val="none"/>
          <w:u w:val="single"/>
        </w:rPr>
        <w:t xml:space="preserve"> 详见监理合同 </w:t>
      </w:r>
      <w:r>
        <w:rPr>
          <w:rFonts w:hint="eastAsia" w:ascii="宋体" w:hAnsi="宋体" w:cs="宋体"/>
          <w:color w:val="auto"/>
          <w:szCs w:val="21"/>
          <w:highlight w:val="none"/>
        </w:rPr>
        <w:t>；</w:t>
      </w:r>
    </w:p>
    <w:p w14:paraId="55A38517">
      <w:pPr>
        <w:pStyle w:val="15"/>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5.质保期要求</w:t>
      </w:r>
    </w:p>
    <w:p w14:paraId="39E59251">
      <w:pPr>
        <w:pStyle w:val="15"/>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工程质保期为</w:t>
      </w:r>
      <w:r>
        <w:rPr>
          <w:rFonts w:hint="eastAsia" w:ascii="宋体" w:hAnsi="宋体" w:cs="宋体"/>
          <w:color w:val="auto"/>
          <w:szCs w:val="21"/>
          <w:highlight w:val="none"/>
          <w:u w:val="single"/>
          <w:lang w:val="en-US" w:eastAsia="zh-CN"/>
        </w:rPr>
        <w:t>2</w:t>
      </w:r>
      <w:r>
        <w:rPr>
          <w:rFonts w:hint="eastAsia" w:ascii="宋体" w:hAnsi="宋体" w:cs="宋体"/>
          <w:color w:val="auto"/>
          <w:szCs w:val="21"/>
          <w:highlight w:val="none"/>
        </w:rPr>
        <w:t>年。</w:t>
      </w:r>
      <w:r>
        <w:rPr>
          <w:rFonts w:hint="eastAsia" w:ascii="宋体" w:hAnsi="宋体" w:cs="宋体"/>
          <w:color w:val="auto"/>
          <w:szCs w:val="21"/>
          <w:highlight w:val="none"/>
          <w:lang w:val="zh-CN"/>
        </w:rPr>
        <w:t>质保期内发生设备运行故障等问题，</w:t>
      </w:r>
      <w:r>
        <w:rPr>
          <w:rFonts w:hint="eastAsia" w:ascii="宋体" w:hAnsi="宋体" w:cs="宋体"/>
          <w:color w:val="auto"/>
          <w:szCs w:val="21"/>
          <w:highlight w:val="none"/>
        </w:rPr>
        <w:t>承包人</w:t>
      </w:r>
      <w:r>
        <w:rPr>
          <w:rFonts w:hint="eastAsia" w:ascii="宋体" w:hAnsi="宋体" w:cs="宋体"/>
          <w:color w:val="auto"/>
          <w:szCs w:val="21"/>
          <w:highlight w:val="none"/>
          <w:lang w:val="zh-CN"/>
        </w:rPr>
        <w:t>收到</w:t>
      </w:r>
      <w:r>
        <w:rPr>
          <w:rFonts w:hint="eastAsia" w:ascii="宋体" w:hAnsi="宋体" w:cs="宋体"/>
          <w:color w:val="auto"/>
          <w:szCs w:val="21"/>
          <w:highlight w:val="none"/>
        </w:rPr>
        <w:t>发包人</w:t>
      </w:r>
      <w:r>
        <w:rPr>
          <w:rFonts w:hint="eastAsia" w:ascii="宋体" w:hAnsi="宋体" w:cs="宋体"/>
          <w:color w:val="auto"/>
          <w:szCs w:val="21"/>
          <w:highlight w:val="none"/>
          <w:lang w:val="zh-CN"/>
        </w:rPr>
        <w:t>通知时，应在3小时到达现场查看问题，符合维修条件时，3天内完成修复，如遇紧急情况，按</w:t>
      </w:r>
      <w:r>
        <w:rPr>
          <w:rFonts w:hint="eastAsia" w:ascii="宋体" w:hAnsi="宋体" w:cs="宋体"/>
          <w:color w:val="auto"/>
          <w:szCs w:val="21"/>
          <w:highlight w:val="none"/>
        </w:rPr>
        <w:t>发包人</w:t>
      </w:r>
      <w:r>
        <w:rPr>
          <w:rFonts w:hint="eastAsia" w:ascii="宋体" w:hAnsi="宋体" w:cs="宋体"/>
          <w:color w:val="auto"/>
          <w:szCs w:val="21"/>
          <w:highlight w:val="none"/>
          <w:lang w:val="zh-CN"/>
        </w:rPr>
        <w:t>要求执行。不能按</w:t>
      </w:r>
      <w:r>
        <w:rPr>
          <w:rFonts w:hint="eastAsia" w:ascii="宋体" w:hAnsi="宋体" w:cs="宋体"/>
          <w:color w:val="auto"/>
          <w:szCs w:val="21"/>
          <w:highlight w:val="none"/>
        </w:rPr>
        <w:t>发包人</w:t>
      </w:r>
      <w:r>
        <w:rPr>
          <w:rFonts w:hint="eastAsia" w:ascii="宋体" w:hAnsi="宋体" w:cs="宋体"/>
          <w:color w:val="auto"/>
          <w:szCs w:val="21"/>
          <w:highlight w:val="none"/>
          <w:lang w:val="zh-CN"/>
        </w:rPr>
        <w:t>要求及时到达及时维修的，由</w:t>
      </w:r>
      <w:r>
        <w:rPr>
          <w:rFonts w:hint="eastAsia" w:ascii="宋体" w:hAnsi="宋体" w:cs="宋体"/>
          <w:color w:val="auto"/>
          <w:szCs w:val="21"/>
          <w:highlight w:val="none"/>
        </w:rPr>
        <w:t>发包人</w:t>
      </w:r>
      <w:r>
        <w:rPr>
          <w:rFonts w:hint="eastAsia" w:ascii="宋体" w:hAnsi="宋体" w:cs="宋体"/>
          <w:color w:val="auto"/>
          <w:szCs w:val="21"/>
          <w:highlight w:val="none"/>
          <w:lang w:val="zh-CN"/>
        </w:rPr>
        <w:t>组织维修，费用从质保金中支付，其发生的费用无需征得</w:t>
      </w:r>
      <w:r>
        <w:rPr>
          <w:rFonts w:hint="eastAsia" w:ascii="宋体" w:hAnsi="宋体" w:cs="宋体"/>
          <w:color w:val="auto"/>
          <w:szCs w:val="21"/>
          <w:highlight w:val="none"/>
        </w:rPr>
        <w:t>承包人</w:t>
      </w:r>
      <w:r>
        <w:rPr>
          <w:rFonts w:hint="eastAsia" w:ascii="宋体" w:hAnsi="宋体" w:cs="宋体"/>
          <w:color w:val="auto"/>
          <w:szCs w:val="21"/>
          <w:highlight w:val="none"/>
          <w:lang w:val="zh-CN"/>
        </w:rPr>
        <w:t>同意。质保金费用不足以支付的，应由</w:t>
      </w:r>
      <w:r>
        <w:rPr>
          <w:rFonts w:hint="eastAsia" w:ascii="宋体" w:hAnsi="宋体" w:cs="宋体"/>
          <w:color w:val="auto"/>
          <w:szCs w:val="21"/>
          <w:highlight w:val="none"/>
        </w:rPr>
        <w:t>承包人</w:t>
      </w:r>
      <w:r>
        <w:rPr>
          <w:rFonts w:hint="eastAsia" w:ascii="宋体" w:hAnsi="宋体" w:cs="宋体"/>
          <w:color w:val="auto"/>
          <w:szCs w:val="21"/>
          <w:highlight w:val="none"/>
          <w:lang w:val="zh-CN"/>
        </w:rPr>
        <w:t>另行支付。质保期内同一地点同一故障累计发生2次以上的，全额扣除质量保证金。</w:t>
      </w:r>
      <w:r>
        <w:rPr>
          <w:rFonts w:hint="eastAsia" w:ascii="宋体" w:hAnsi="宋体" w:cs="宋体"/>
          <w:color w:val="auto"/>
          <w:szCs w:val="21"/>
          <w:highlight w:val="none"/>
        </w:rPr>
        <w:t>承包人</w:t>
      </w:r>
      <w:r>
        <w:rPr>
          <w:rFonts w:hint="eastAsia" w:ascii="宋体" w:hAnsi="宋体" w:cs="宋体"/>
          <w:color w:val="auto"/>
          <w:szCs w:val="21"/>
          <w:highlight w:val="none"/>
          <w:lang w:val="zh-CN"/>
        </w:rPr>
        <w:t>不服从</w:t>
      </w:r>
      <w:r>
        <w:rPr>
          <w:rFonts w:hint="eastAsia" w:ascii="宋体" w:hAnsi="宋体" w:cs="宋体"/>
          <w:color w:val="auto"/>
          <w:szCs w:val="21"/>
          <w:highlight w:val="none"/>
        </w:rPr>
        <w:t>发包人</w:t>
      </w:r>
      <w:r>
        <w:rPr>
          <w:rFonts w:hint="eastAsia" w:ascii="宋体" w:hAnsi="宋体" w:cs="宋体"/>
          <w:color w:val="auto"/>
          <w:szCs w:val="21"/>
          <w:highlight w:val="none"/>
          <w:lang w:val="zh-CN"/>
        </w:rPr>
        <w:t>要求，给</w:t>
      </w:r>
      <w:r>
        <w:rPr>
          <w:rFonts w:hint="eastAsia" w:ascii="宋体" w:hAnsi="宋体" w:cs="宋体"/>
          <w:color w:val="auto"/>
          <w:szCs w:val="21"/>
          <w:highlight w:val="none"/>
        </w:rPr>
        <w:t>发包人</w:t>
      </w:r>
      <w:r>
        <w:rPr>
          <w:rFonts w:hint="eastAsia" w:ascii="宋体" w:hAnsi="宋体" w:cs="宋体"/>
          <w:color w:val="auto"/>
          <w:szCs w:val="21"/>
          <w:highlight w:val="none"/>
          <w:lang w:val="zh-CN"/>
        </w:rPr>
        <w:t>造成损失或社会不良影响的，视为违约行为，</w:t>
      </w:r>
      <w:r>
        <w:rPr>
          <w:rFonts w:hint="eastAsia" w:ascii="宋体" w:hAnsi="宋体" w:cs="宋体"/>
          <w:color w:val="auto"/>
          <w:szCs w:val="21"/>
          <w:highlight w:val="none"/>
        </w:rPr>
        <w:t>发包人</w:t>
      </w:r>
      <w:r>
        <w:rPr>
          <w:rFonts w:hint="eastAsia" w:ascii="宋体" w:hAnsi="宋体" w:cs="宋体"/>
          <w:color w:val="auto"/>
          <w:szCs w:val="21"/>
          <w:highlight w:val="none"/>
          <w:lang w:val="zh-CN"/>
        </w:rPr>
        <w:t>依法依规追究其法律责任。</w:t>
      </w:r>
    </w:p>
    <w:p w14:paraId="5D46BCB2">
      <w:pPr>
        <w:pStyle w:val="15"/>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6.其他要求</w:t>
      </w:r>
    </w:p>
    <w:p w14:paraId="3D017536">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6.1 项目负责人驻场要求：不得更换项目负责人。项目负责人驻场时间不得低于实际工期的80%，不得无故脱离施工现场，不得无故不参加采购人组织的例会，缺勤一天（次）按1000元/天（次）从工程结算价抵扣，连续缺勤3天、累计缺勤5天或在施工关键技术环节缺勤的，采购人终止合同并对已完工程不予以计量计价，视为成交人违约并承担一切损失和赔偿。因工艺需求停工或采购人原因的停工（完工）除外。</w:t>
      </w:r>
    </w:p>
    <w:p w14:paraId="537B34C2">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6.2 承包人在施工期间，做好发包人既有设施设备的保护和管理，因施工给发包人带来损失的，应予以修复或赔偿，赔偿款从工程结算款中抵扣。工程结束后提交验收前应做好现场保洁，确保整洁干净。</w:t>
      </w:r>
    </w:p>
    <w:p w14:paraId="6ABC3A42">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6.3承包人施工过程中，每批次施工材料进场前，应经发包人或监理人认可，未经发包人或监理人认可，不得使用，承包人应承担所发生的一切费用。</w:t>
      </w:r>
    </w:p>
    <w:p w14:paraId="500A6FFC">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6.4 施工工艺、工序以及隐蔽工程质量管理按建设工程质量管理和监理规范标准执行。</w:t>
      </w:r>
    </w:p>
    <w:p w14:paraId="29817D4E">
      <w:pPr>
        <w:pStyle w:val="15"/>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7.本合同文本未尽事宜，由合同签订双方友好协商。协商不成，向</w:t>
      </w:r>
      <w:r>
        <w:rPr>
          <w:rFonts w:hint="eastAsia" w:ascii="宋体" w:hAnsi="宋体" w:cs="宋体"/>
          <w:color w:val="auto"/>
          <w:szCs w:val="21"/>
          <w:highlight w:val="none"/>
          <w:u w:val="single"/>
          <w:lang w:val="en-US" w:eastAsia="zh-CN"/>
        </w:rPr>
        <w:t>项目所在地</w:t>
      </w:r>
      <w:r>
        <w:rPr>
          <w:rFonts w:hint="eastAsia" w:ascii="宋体" w:hAnsi="宋体" w:cs="宋体"/>
          <w:color w:val="auto"/>
          <w:szCs w:val="21"/>
          <w:highlight w:val="none"/>
          <w:u w:val="single"/>
        </w:rPr>
        <w:t>人民法院</w:t>
      </w:r>
      <w:r>
        <w:rPr>
          <w:rFonts w:hint="eastAsia" w:ascii="宋体" w:hAnsi="宋体" w:cs="宋体"/>
          <w:color w:val="auto"/>
          <w:szCs w:val="21"/>
          <w:highlight w:val="none"/>
        </w:rPr>
        <w:t>起诉。</w:t>
      </w:r>
    </w:p>
    <w:p w14:paraId="1670B8CF">
      <w:pPr>
        <w:pStyle w:val="42"/>
        <w:spacing w:beforeLines="50" w:afterLines="50" w:line="440" w:lineRule="exact"/>
        <w:rPr>
          <w:bCs/>
          <w:color w:val="auto"/>
          <w:szCs w:val="32"/>
          <w:highlight w:val="none"/>
        </w:rPr>
      </w:pPr>
      <w:r>
        <w:rPr>
          <w:rFonts w:hint="eastAsia" w:ascii="宋体" w:hAnsi="宋体" w:cs="宋体"/>
          <w:color w:val="auto"/>
          <w:szCs w:val="21"/>
          <w:highlight w:val="none"/>
        </w:rPr>
        <w:br w:type="page"/>
      </w:r>
    </w:p>
    <w:bookmarkEnd w:id="887"/>
    <w:bookmarkEnd w:id="888"/>
    <w:bookmarkEnd w:id="889"/>
    <w:p w14:paraId="22204934">
      <w:pPr>
        <w:pStyle w:val="42"/>
        <w:spacing w:beforeLines="50" w:afterLines="50" w:line="440" w:lineRule="exact"/>
        <w:rPr>
          <w:bCs/>
          <w:color w:val="auto"/>
          <w:sz w:val="36"/>
          <w:szCs w:val="36"/>
          <w:highlight w:val="none"/>
        </w:rPr>
      </w:pPr>
      <w:bookmarkStart w:id="895" w:name="_Toc8272"/>
      <w:bookmarkStart w:id="896" w:name="_Toc5279"/>
      <w:bookmarkStart w:id="897" w:name="_Toc10062"/>
      <w:r>
        <w:rPr>
          <w:rFonts w:hint="eastAsia"/>
          <w:bCs/>
          <w:color w:val="auto"/>
          <w:sz w:val="36"/>
          <w:szCs w:val="36"/>
          <w:highlight w:val="none"/>
        </w:rPr>
        <w:t>第五章  工程量清单</w:t>
      </w:r>
    </w:p>
    <w:tbl>
      <w:tblPr>
        <w:tblStyle w:val="46"/>
        <w:tblW w:w="9900" w:type="dxa"/>
        <w:tblInd w:w="10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91"/>
        <w:gridCol w:w="2019"/>
        <w:gridCol w:w="1745"/>
        <w:gridCol w:w="927"/>
        <w:gridCol w:w="1132"/>
        <w:gridCol w:w="996"/>
        <w:gridCol w:w="831"/>
        <w:gridCol w:w="1159"/>
      </w:tblGrid>
      <w:tr w14:paraId="23A3A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91" w:type="dxa"/>
            <w:tcBorders>
              <w:top w:val="single" w:color="000000" w:sz="4" w:space="0"/>
              <w:left w:val="single" w:color="000000" w:sz="4" w:space="0"/>
              <w:bottom w:val="single" w:color="000000" w:sz="4" w:space="0"/>
              <w:right w:val="single" w:color="000000" w:sz="4" w:space="0"/>
            </w:tcBorders>
            <w:noWrap w:val="0"/>
            <w:vAlign w:val="center"/>
          </w:tcPr>
          <w:p w14:paraId="3E11619C">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序号</w:t>
            </w:r>
          </w:p>
        </w:tc>
        <w:tc>
          <w:tcPr>
            <w:tcW w:w="2019" w:type="dxa"/>
            <w:tcBorders>
              <w:top w:val="single" w:color="000000" w:sz="4" w:space="0"/>
              <w:left w:val="single" w:color="000000" w:sz="4" w:space="0"/>
              <w:bottom w:val="single" w:color="000000" w:sz="4" w:space="0"/>
              <w:right w:val="single" w:color="000000" w:sz="4" w:space="0"/>
            </w:tcBorders>
            <w:noWrap w:val="0"/>
            <w:vAlign w:val="center"/>
          </w:tcPr>
          <w:p w14:paraId="212B5A49">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名称</w:t>
            </w:r>
          </w:p>
        </w:tc>
        <w:tc>
          <w:tcPr>
            <w:tcW w:w="1745" w:type="dxa"/>
            <w:tcBorders>
              <w:top w:val="single" w:color="000000" w:sz="4" w:space="0"/>
              <w:left w:val="single" w:color="000000" w:sz="4" w:space="0"/>
              <w:bottom w:val="single" w:color="000000" w:sz="4" w:space="0"/>
              <w:right w:val="single" w:color="000000" w:sz="4" w:space="0"/>
            </w:tcBorders>
            <w:noWrap w:val="0"/>
            <w:vAlign w:val="center"/>
          </w:tcPr>
          <w:p w14:paraId="1F1F727B">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型号</w:t>
            </w:r>
          </w:p>
        </w:tc>
        <w:tc>
          <w:tcPr>
            <w:tcW w:w="927" w:type="dxa"/>
            <w:tcBorders>
              <w:top w:val="single" w:color="000000" w:sz="4" w:space="0"/>
              <w:left w:val="single" w:color="000000" w:sz="4" w:space="0"/>
              <w:bottom w:val="single" w:color="000000" w:sz="4" w:space="0"/>
              <w:right w:val="single" w:color="000000" w:sz="4" w:space="0"/>
            </w:tcBorders>
            <w:noWrap w:val="0"/>
            <w:vAlign w:val="center"/>
          </w:tcPr>
          <w:p w14:paraId="0FBFDA8D">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单位</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E7F2C7C">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数量</w:t>
            </w:r>
          </w:p>
        </w:tc>
        <w:tc>
          <w:tcPr>
            <w:tcW w:w="996" w:type="dxa"/>
            <w:tcBorders>
              <w:top w:val="single" w:color="000000" w:sz="4" w:space="0"/>
              <w:left w:val="single" w:color="000000" w:sz="4" w:space="0"/>
              <w:bottom w:val="single" w:color="000000" w:sz="4" w:space="0"/>
              <w:right w:val="single" w:color="000000" w:sz="4" w:space="0"/>
            </w:tcBorders>
            <w:noWrap w:val="0"/>
            <w:vAlign w:val="center"/>
          </w:tcPr>
          <w:p w14:paraId="6366F336">
            <w:pPr>
              <w:keepNext w:val="0"/>
              <w:keepLines w:val="0"/>
              <w:widowControl/>
              <w:suppressLineNumbers w:val="0"/>
              <w:jc w:val="center"/>
              <w:textAlignment w:val="center"/>
              <w:rPr>
                <w:rFonts w:hint="default" w:ascii="宋体" w:hAnsi="宋体" w:eastAsia="宋体" w:cs="宋体"/>
                <w:b/>
                <w:bCs/>
                <w:i w:val="0"/>
                <w:iCs w:val="0"/>
                <w:color w:val="auto"/>
                <w:sz w:val="20"/>
                <w:szCs w:val="20"/>
                <w:highlight w:val="none"/>
                <w:u w:val="none"/>
                <w:lang w:val="en-US"/>
              </w:rPr>
            </w:pPr>
            <w:r>
              <w:rPr>
                <w:rFonts w:hint="eastAsia" w:ascii="宋体" w:hAnsi="宋体" w:eastAsia="宋体" w:cs="宋体"/>
                <w:b/>
                <w:bCs/>
                <w:i w:val="0"/>
                <w:iCs w:val="0"/>
                <w:color w:val="auto"/>
                <w:kern w:val="0"/>
                <w:sz w:val="20"/>
                <w:szCs w:val="20"/>
                <w:highlight w:val="none"/>
                <w:u w:val="none"/>
                <w:lang w:val="en-US" w:eastAsia="zh-CN" w:bidi="ar"/>
              </w:rPr>
              <w:t>单价（元）</w:t>
            </w:r>
          </w:p>
        </w:tc>
        <w:tc>
          <w:tcPr>
            <w:tcW w:w="831" w:type="dxa"/>
            <w:tcBorders>
              <w:top w:val="single" w:color="000000" w:sz="4" w:space="0"/>
              <w:left w:val="single" w:color="000000" w:sz="4" w:space="0"/>
              <w:bottom w:val="single" w:color="000000" w:sz="4" w:space="0"/>
              <w:right w:val="single" w:color="000000" w:sz="4" w:space="0"/>
            </w:tcBorders>
            <w:noWrap w:val="0"/>
            <w:vAlign w:val="center"/>
          </w:tcPr>
          <w:p w14:paraId="6F2B6E57">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合价（元）</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46ECAD26">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备注</w:t>
            </w:r>
          </w:p>
        </w:tc>
      </w:tr>
      <w:tr w14:paraId="523F2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91" w:type="dxa"/>
            <w:tcBorders>
              <w:top w:val="single" w:color="000000" w:sz="4" w:space="0"/>
              <w:left w:val="single" w:color="000000" w:sz="4" w:space="0"/>
              <w:bottom w:val="single" w:color="000000" w:sz="4" w:space="0"/>
              <w:right w:val="single" w:color="000000" w:sz="4" w:space="0"/>
            </w:tcBorders>
            <w:noWrap/>
            <w:vAlign w:val="center"/>
          </w:tcPr>
          <w:p w14:paraId="702E341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2019" w:type="dxa"/>
            <w:tcBorders>
              <w:top w:val="single" w:color="000000" w:sz="4" w:space="0"/>
              <w:left w:val="single" w:color="000000" w:sz="4" w:space="0"/>
              <w:bottom w:val="single" w:color="000000" w:sz="4" w:space="0"/>
              <w:right w:val="single" w:color="000000" w:sz="4" w:space="0"/>
            </w:tcBorders>
            <w:noWrap/>
            <w:vAlign w:val="center"/>
          </w:tcPr>
          <w:p w14:paraId="469914E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总柜铜排</w:t>
            </w:r>
          </w:p>
        </w:tc>
        <w:tc>
          <w:tcPr>
            <w:tcW w:w="1745" w:type="dxa"/>
            <w:tcBorders>
              <w:top w:val="single" w:color="000000" w:sz="4" w:space="0"/>
              <w:left w:val="single" w:color="000000" w:sz="4" w:space="0"/>
              <w:bottom w:val="single" w:color="000000" w:sz="4" w:space="0"/>
              <w:right w:val="single" w:color="000000" w:sz="4" w:space="0"/>
            </w:tcBorders>
            <w:noWrap w:val="0"/>
            <w:vAlign w:val="center"/>
          </w:tcPr>
          <w:p w14:paraId="3448633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TMY 1*80*8</w:t>
            </w:r>
          </w:p>
        </w:tc>
        <w:tc>
          <w:tcPr>
            <w:tcW w:w="927" w:type="dxa"/>
            <w:tcBorders>
              <w:top w:val="single" w:color="000000" w:sz="4" w:space="0"/>
              <w:left w:val="single" w:color="000000" w:sz="4" w:space="0"/>
              <w:bottom w:val="single" w:color="000000" w:sz="4" w:space="0"/>
              <w:right w:val="single" w:color="000000" w:sz="4" w:space="0"/>
            </w:tcBorders>
            <w:noWrap/>
            <w:vAlign w:val="center"/>
          </w:tcPr>
          <w:p w14:paraId="64F6371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米</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49297C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w:t>
            </w:r>
          </w:p>
        </w:tc>
        <w:tc>
          <w:tcPr>
            <w:tcW w:w="996" w:type="dxa"/>
            <w:tcBorders>
              <w:top w:val="single" w:color="000000" w:sz="4" w:space="0"/>
              <w:left w:val="single" w:color="000000" w:sz="4" w:space="0"/>
              <w:bottom w:val="single" w:color="000000" w:sz="4" w:space="0"/>
              <w:right w:val="single" w:color="000000" w:sz="4" w:space="0"/>
            </w:tcBorders>
            <w:noWrap w:val="0"/>
            <w:vAlign w:val="center"/>
          </w:tcPr>
          <w:p w14:paraId="7A7446D1">
            <w:pPr>
              <w:jc w:val="center"/>
              <w:rPr>
                <w:rFonts w:hint="eastAsia" w:ascii="宋体" w:hAnsi="宋体" w:eastAsia="宋体" w:cs="宋体"/>
                <w:i w:val="0"/>
                <w:iCs w:val="0"/>
                <w:color w:val="auto"/>
                <w:sz w:val="20"/>
                <w:szCs w:val="20"/>
                <w:highlight w:val="none"/>
                <w:u w:val="none"/>
              </w:rPr>
            </w:pPr>
          </w:p>
        </w:tc>
        <w:tc>
          <w:tcPr>
            <w:tcW w:w="831" w:type="dxa"/>
            <w:tcBorders>
              <w:top w:val="single" w:color="000000" w:sz="4" w:space="0"/>
              <w:left w:val="single" w:color="000000" w:sz="4" w:space="0"/>
              <w:bottom w:val="single" w:color="000000" w:sz="4" w:space="0"/>
              <w:right w:val="single" w:color="000000" w:sz="4" w:space="0"/>
            </w:tcBorders>
            <w:noWrap w:val="0"/>
            <w:vAlign w:val="center"/>
          </w:tcPr>
          <w:p w14:paraId="5BC49015">
            <w:pPr>
              <w:jc w:val="center"/>
              <w:rPr>
                <w:rFonts w:hint="eastAsia" w:ascii="宋体" w:hAnsi="宋体" w:eastAsia="宋体" w:cs="宋体"/>
                <w:i w:val="0"/>
                <w:iCs w:val="0"/>
                <w:color w:val="auto"/>
                <w:sz w:val="20"/>
                <w:szCs w:val="20"/>
                <w:highlight w:val="none"/>
                <w:u w:val="none"/>
              </w:rPr>
            </w:pP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32EA450F">
            <w:pPr>
              <w:jc w:val="center"/>
              <w:rPr>
                <w:rFonts w:hint="eastAsia" w:ascii="宋体" w:hAnsi="宋体" w:eastAsia="宋体" w:cs="宋体"/>
                <w:i w:val="0"/>
                <w:iCs w:val="0"/>
                <w:color w:val="auto"/>
                <w:sz w:val="20"/>
                <w:szCs w:val="20"/>
                <w:highlight w:val="none"/>
                <w:u w:val="none"/>
              </w:rPr>
            </w:pPr>
          </w:p>
        </w:tc>
      </w:tr>
      <w:tr w14:paraId="17424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91" w:type="dxa"/>
            <w:tcBorders>
              <w:top w:val="single" w:color="000000" w:sz="4" w:space="0"/>
              <w:left w:val="single" w:color="000000" w:sz="4" w:space="0"/>
              <w:bottom w:val="single" w:color="000000" w:sz="4" w:space="0"/>
              <w:right w:val="single" w:color="000000" w:sz="4" w:space="0"/>
            </w:tcBorders>
            <w:noWrap/>
            <w:vAlign w:val="center"/>
          </w:tcPr>
          <w:p w14:paraId="797E13E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2019" w:type="dxa"/>
            <w:tcBorders>
              <w:top w:val="single" w:color="000000" w:sz="4" w:space="0"/>
              <w:left w:val="single" w:color="000000" w:sz="4" w:space="0"/>
              <w:bottom w:val="single" w:color="000000" w:sz="4" w:space="0"/>
              <w:right w:val="single" w:color="000000" w:sz="4" w:space="0"/>
            </w:tcBorders>
            <w:noWrap/>
            <w:vAlign w:val="center"/>
          </w:tcPr>
          <w:p w14:paraId="4946E3A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电容柜铜排</w:t>
            </w:r>
          </w:p>
        </w:tc>
        <w:tc>
          <w:tcPr>
            <w:tcW w:w="1745" w:type="dxa"/>
            <w:tcBorders>
              <w:top w:val="single" w:color="000000" w:sz="4" w:space="0"/>
              <w:left w:val="single" w:color="000000" w:sz="4" w:space="0"/>
              <w:bottom w:val="single" w:color="000000" w:sz="4" w:space="0"/>
              <w:right w:val="single" w:color="000000" w:sz="4" w:space="0"/>
            </w:tcBorders>
            <w:noWrap w:val="0"/>
            <w:vAlign w:val="center"/>
          </w:tcPr>
          <w:p w14:paraId="25D7485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TMY 1*80*8</w:t>
            </w:r>
          </w:p>
        </w:tc>
        <w:tc>
          <w:tcPr>
            <w:tcW w:w="927" w:type="dxa"/>
            <w:tcBorders>
              <w:top w:val="single" w:color="000000" w:sz="4" w:space="0"/>
              <w:left w:val="single" w:color="000000" w:sz="4" w:space="0"/>
              <w:bottom w:val="single" w:color="000000" w:sz="4" w:space="0"/>
              <w:right w:val="single" w:color="000000" w:sz="4" w:space="0"/>
            </w:tcBorders>
            <w:noWrap/>
            <w:vAlign w:val="center"/>
          </w:tcPr>
          <w:p w14:paraId="0F50C70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米</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034327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996" w:type="dxa"/>
            <w:tcBorders>
              <w:top w:val="single" w:color="000000" w:sz="4" w:space="0"/>
              <w:left w:val="single" w:color="000000" w:sz="4" w:space="0"/>
              <w:bottom w:val="single" w:color="000000" w:sz="4" w:space="0"/>
              <w:right w:val="single" w:color="000000" w:sz="4" w:space="0"/>
            </w:tcBorders>
            <w:noWrap w:val="0"/>
            <w:vAlign w:val="center"/>
          </w:tcPr>
          <w:p w14:paraId="76C43BAA">
            <w:pPr>
              <w:jc w:val="center"/>
              <w:rPr>
                <w:rFonts w:hint="eastAsia" w:ascii="宋体" w:hAnsi="宋体" w:eastAsia="宋体" w:cs="宋体"/>
                <w:i w:val="0"/>
                <w:iCs w:val="0"/>
                <w:color w:val="auto"/>
                <w:sz w:val="20"/>
                <w:szCs w:val="20"/>
                <w:highlight w:val="none"/>
                <w:u w:val="none"/>
              </w:rPr>
            </w:pPr>
          </w:p>
        </w:tc>
        <w:tc>
          <w:tcPr>
            <w:tcW w:w="831" w:type="dxa"/>
            <w:tcBorders>
              <w:top w:val="single" w:color="000000" w:sz="4" w:space="0"/>
              <w:left w:val="single" w:color="000000" w:sz="4" w:space="0"/>
              <w:bottom w:val="single" w:color="000000" w:sz="4" w:space="0"/>
              <w:right w:val="single" w:color="000000" w:sz="4" w:space="0"/>
            </w:tcBorders>
            <w:noWrap w:val="0"/>
            <w:vAlign w:val="center"/>
          </w:tcPr>
          <w:p w14:paraId="362D83F5">
            <w:pPr>
              <w:jc w:val="center"/>
              <w:rPr>
                <w:rFonts w:hint="eastAsia" w:ascii="宋体" w:hAnsi="宋体" w:eastAsia="宋体" w:cs="宋体"/>
                <w:i w:val="0"/>
                <w:iCs w:val="0"/>
                <w:color w:val="auto"/>
                <w:sz w:val="20"/>
                <w:szCs w:val="20"/>
                <w:highlight w:val="none"/>
                <w:u w:val="none"/>
              </w:rPr>
            </w:pP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5262AC4E">
            <w:pPr>
              <w:jc w:val="center"/>
              <w:rPr>
                <w:rFonts w:hint="eastAsia" w:ascii="宋体" w:hAnsi="宋体" w:eastAsia="宋体" w:cs="宋体"/>
                <w:i w:val="0"/>
                <w:iCs w:val="0"/>
                <w:color w:val="auto"/>
                <w:sz w:val="20"/>
                <w:szCs w:val="20"/>
                <w:highlight w:val="none"/>
                <w:u w:val="none"/>
              </w:rPr>
            </w:pPr>
          </w:p>
        </w:tc>
      </w:tr>
      <w:tr w14:paraId="1B8D9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91" w:type="dxa"/>
            <w:tcBorders>
              <w:top w:val="single" w:color="000000" w:sz="4" w:space="0"/>
              <w:left w:val="single" w:color="000000" w:sz="4" w:space="0"/>
              <w:bottom w:val="single" w:color="000000" w:sz="4" w:space="0"/>
              <w:right w:val="single" w:color="000000" w:sz="4" w:space="0"/>
            </w:tcBorders>
            <w:noWrap/>
            <w:vAlign w:val="center"/>
          </w:tcPr>
          <w:p w14:paraId="5B11F4D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2019" w:type="dxa"/>
            <w:tcBorders>
              <w:top w:val="single" w:color="000000" w:sz="4" w:space="0"/>
              <w:left w:val="single" w:color="000000" w:sz="4" w:space="0"/>
              <w:bottom w:val="single" w:color="000000" w:sz="4" w:space="0"/>
              <w:right w:val="single" w:color="000000" w:sz="4" w:space="0"/>
            </w:tcBorders>
            <w:noWrap/>
            <w:vAlign w:val="center"/>
          </w:tcPr>
          <w:p w14:paraId="0EB322C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出线柜铜排</w:t>
            </w:r>
          </w:p>
        </w:tc>
        <w:tc>
          <w:tcPr>
            <w:tcW w:w="1745" w:type="dxa"/>
            <w:tcBorders>
              <w:top w:val="single" w:color="000000" w:sz="4" w:space="0"/>
              <w:left w:val="single" w:color="000000" w:sz="4" w:space="0"/>
              <w:bottom w:val="single" w:color="000000" w:sz="4" w:space="0"/>
              <w:right w:val="single" w:color="000000" w:sz="4" w:space="0"/>
            </w:tcBorders>
            <w:noWrap w:val="0"/>
            <w:vAlign w:val="center"/>
          </w:tcPr>
          <w:p w14:paraId="2887DFB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TMY 1*80*8</w:t>
            </w:r>
          </w:p>
        </w:tc>
        <w:tc>
          <w:tcPr>
            <w:tcW w:w="927" w:type="dxa"/>
            <w:tcBorders>
              <w:top w:val="single" w:color="000000" w:sz="4" w:space="0"/>
              <w:left w:val="single" w:color="000000" w:sz="4" w:space="0"/>
              <w:bottom w:val="single" w:color="000000" w:sz="4" w:space="0"/>
              <w:right w:val="single" w:color="000000" w:sz="4" w:space="0"/>
            </w:tcBorders>
            <w:noWrap/>
            <w:vAlign w:val="center"/>
          </w:tcPr>
          <w:p w14:paraId="6757DBE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米</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F1A00C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996" w:type="dxa"/>
            <w:tcBorders>
              <w:top w:val="single" w:color="000000" w:sz="4" w:space="0"/>
              <w:left w:val="single" w:color="000000" w:sz="4" w:space="0"/>
              <w:bottom w:val="single" w:color="000000" w:sz="4" w:space="0"/>
              <w:right w:val="single" w:color="000000" w:sz="4" w:space="0"/>
            </w:tcBorders>
            <w:noWrap w:val="0"/>
            <w:vAlign w:val="center"/>
          </w:tcPr>
          <w:p w14:paraId="047F9130">
            <w:pPr>
              <w:jc w:val="center"/>
              <w:rPr>
                <w:rFonts w:hint="eastAsia" w:ascii="宋体" w:hAnsi="宋体" w:eastAsia="宋体" w:cs="宋体"/>
                <w:i w:val="0"/>
                <w:iCs w:val="0"/>
                <w:color w:val="auto"/>
                <w:sz w:val="20"/>
                <w:szCs w:val="20"/>
                <w:highlight w:val="none"/>
                <w:u w:val="none"/>
              </w:rPr>
            </w:pPr>
          </w:p>
        </w:tc>
        <w:tc>
          <w:tcPr>
            <w:tcW w:w="831" w:type="dxa"/>
            <w:tcBorders>
              <w:top w:val="single" w:color="000000" w:sz="4" w:space="0"/>
              <w:left w:val="single" w:color="000000" w:sz="4" w:space="0"/>
              <w:bottom w:val="single" w:color="000000" w:sz="4" w:space="0"/>
              <w:right w:val="single" w:color="000000" w:sz="4" w:space="0"/>
            </w:tcBorders>
            <w:noWrap w:val="0"/>
            <w:vAlign w:val="center"/>
          </w:tcPr>
          <w:p w14:paraId="4F107A56">
            <w:pPr>
              <w:jc w:val="center"/>
              <w:rPr>
                <w:rFonts w:hint="eastAsia" w:ascii="宋体" w:hAnsi="宋体" w:eastAsia="宋体" w:cs="宋体"/>
                <w:i w:val="0"/>
                <w:iCs w:val="0"/>
                <w:color w:val="auto"/>
                <w:sz w:val="20"/>
                <w:szCs w:val="20"/>
                <w:highlight w:val="none"/>
                <w:u w:val="none"/>
              </w:rPr>
            </w:pP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347E1B0C">
            <w:pPr>
              <w:jc w:val="center"/>
              <w:rPr>
                <w:rFonts w:hint="eastAsia" w:ascii="宋体" w:hAnsi="宋体" w:eastAsia="宋体" w:cs="宋体"/>
                <w:i w:val="0"/>
                <w:iCs w:val="0"/>
                <w:color w:val="auto"/>
                <w:sz w:val="20"/>
                <w:szCs w:val="20"/>
                <w:highlight w:val="none"/>
                <w:u w:val="none"/>
              </w:rPr>
            </w:pPr>
          </w:p>
        </w:tc>
      </w:tr>
      <w:tr w14:paraId="4B550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91" w:type="dxa"/>
            <w:tcBorders>
              <w:top w:val="single" w:color="000000" w:sz="4" w:space="0"/>
              <w:left w:val="single" w:color="000000" w:sz="4" w:space="0"/>
              <w:bottom w:val="single" w:color="000000" w:sz="4" w:space="0"/>
              <w:right w:val="single" w:color="000000" w:sz="4" w:space="0"/>
            </w:tcBorders>
            <w:noWrap/>
            <w:vAlign w:val="center"/>
          </w:tcPr>
          <w:p w14:paraId="6CD853A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2019" w:type="dxa"/>
            <w:tcBorders>
              <w:top w:val="single" w:color="000000" w:sz="4" w:space="0"/>
              <w:left w:val="single" w:color="000000" w:sz="4" w:space="0"/>
              <w:bottom w:val="single" w:color="000000" w:sz="4" w:space="0"/>
              <w:right w:val="single" w:color="000000" w:sz="4" w:space="0"/>
            </w:tcBorders>
            <w:noWrap/>
            <w:vAlign w:val="center"/>
          </w:tcPr>
          <w:p w14:paraId="3B95C9F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出线柜铜排</w:t>
            </w:r>
          </w:p>
        </w:tc>
        <w:tc>
          <w:tcPr>
            <w:tcW w:w="1745" w:type="dxa"/>
            <w:tcBorders>
              <w:top w:val="single" w:color="000000" w:sz="4" w:space="0"/>
              <w:left w:val="single" w:color="000000" w:sz="4" w:space="0"/>
              <w:bottom w:val="single" w:color="000000" w:sz="4" w:space="0"/>
              <w:right w:val="single" w:color="000000" w:sz="4" w:space="0"/>
            </w:tcBorders>
            <w:noWrap w:val="0"/>
            <w:vAlign w:val="center"/>
          </w:tcPr>
          <w:p w14:paraId="5517545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TMY 1*80*8</w:t>
            </w:r>
          </w:p>
        </w:tc>
        <w:tc>
          <w:tcPr>
            <w:tcW w:w="927" w:type="dxa"/>
            <w:tcBorders>
              <w:top w:val="single" w:color="000000" w:sz="4" w:space="0"/>
              <w:left w:val="single" w:color="000000" w:sz="4" w:space="0"/>
              <w:bottom w:val="single" w:color="000000" w:sz="4" w:space="0"/>
              <w:right w:val="single" w:color="000000" w:sz="4" w:space="0"/>
            </w:tcBorders>
            <w:noWrap/>
            <w:vAlign w:val="center"/>
          </w:tcPr>
          <w:p w14:paraId="6B31CC5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米</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DB9F7F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996" w:type="dxa"/>
            <w:tcBorders>
              <w:top w:val="single" w:color="000000" w:sz="4" w:space="0"/>
              <w:left w:val="single" w:color="000000" w:sz="4" w:space="0"/>
              <w:bottom w:val="single" w:color="000000" w:sz="4" w:space="0"/>
              <w:right w:val="single" w:color="000000" w:sz="4" w:space="0"/>
            </w:tcBorders>
            <w:noWrap w:val="0"/>
            <w:vAlign w:val="center"/>
          </w:tcPr>
          <w:p w14:paraId="62A01C45">
            <w:pPr>
              <w:jc w:val="center"/>
              <w:rPr>
                <w:rFonts w:hint="eastAsia" w:ascii="宋体" w:hAnsi="宋体" w:eastAsia="宋体" w:cs="宋体"/>
                <w:i w:val="0"/>
                <w:iCs w:val="0"/>
                <w:color w:val="auto"/>
                <w:sz w:val="20"/>
                <w:szCs w:val="20"/>
                <w:highlight w:val="none"/>
                <w:u w:val="none"/>
              </w:rPr>
            </w:pPr>
          </w:p>
        </w:tc>
        <w:tc>
          <w:tcPr>
            <w:tcW w:w="831" w:type="dxa"/>
            <w:tcBorders>
              <w:top w:val="single" w:color="000000" w:sz="4" w:space="0"/>
              <w:left w:val="single" w:color="000000" w:sz="4" w:space="0"/>
              <w:bottom w:val="single" w:color="000000" w:sz="4" w:space="0"/>
              <w:right w:val="single" w:color="000000" w:sz="4" w:space="0"/>
            </w:tcBorders>
            <w:noWrap w:val="0"/>
            <w:vAlign w:val="center"/>
          </w:tcPr>
          <w:p w14:paraId="2EA08FA8">
            <w:pPr>
              <w:jc w:val="center"/>
              <w:rPr>
                <w:rFonts w:hint="eastAsia" w:ascii="宋体" w:hAnsi="宋体" w:eastAsia="宋体" w:cs="宋体"/>
                <w:i w:val="0"/>
                <w:iCs w:val="0"/>
                <w:color w:val="auto"/>
                <w:sz w:val="20"/>
                <w:szCs w:val="20"/>
                <w:highlight w:val="none"/>
                <w:u w:val="none"/>
              </w:rPr>
            </w:pP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36D5D430">
            <w:pPr>
              <w:jc w:val="center"/>
              <w:rPr>
                <w:rFonts w:hint="eastAsia" w:ascii="宋体" w:hAnsi="宋体" w:eastAsia="宋体" w:cs="宋体"/>
                <w:i w:val="0"/>
                <w:iCs w:val="0"/>
                <w:color w:val="auto"/>
                <w:sz w:val="20"/>
                <w:szCs w:val="20"/>
                <w:highlight w:val="none"/>
                <w:u w:val="none"/>
              </w:rPr>
            </w:pPr>
          </w:p>
        </w:tc>
      </w:tr>
      <w:tr w14:paraId="706AC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91" w:type="dxa"/>
            <w:tcBorders>
              <w:top w:val="single" w:color="000000" w:sz="4" w:space="0"/>
              <w:left w:val="single" w:color="000000" w:sz="4" w:space="0"/>
              <w:bottom w:val="single" w:color="000000" w:sz="4" w:space="0"/>
              <w:right w:val="single" w:color="000000" w:sz="4" w:space="0"/>
            </w:tcBorders>
            <w:noWrap/>
            <w:vAlign w:val="center"/>
          </w:tcPr>
          <w:p w14:paraId="69FBA4E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2019" w:type="dxa"/>
            <w:tcBorders>
              <w:top w:val="single" w:color="000000" w:sz="4" w:space="0"/>
              <w:left w:val="single" w:color="000000" w:sz="4" w:space="0"/>
              <w:bottom w:val="single" w:color="000000" w:sz="4" w:space="0"/>
              <w:right w:val="single" w:color="000000" w:sz="4" w:space="0"/>
            </w:tcBorders>
            <w:noWrap/>
            <w:vAlign w:val="center"/>
          </w:tcPr>
          <w:p w14:paraId="4AA3F8E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桥架铜排</w:t>
            </w:r>
          </w:p>
        </w:tc>
        <w:tc>
          <w:tcPr>
            <w:tcW w:w="1745" w:type="dxa"/>
            <w:tcBorders>
              <w:top w:val="single" w:color="000000" w:sz="4" w:space="0"/>
              <w:left w:val="single" w:color="000000" w:sz="4" w:space="0"/>
              <w:bottom w:val="single" w:color="000000" w:sz="4" w:space="0"/>
              <w:right w:val="single" w:color="000000" w:sz="4" w:space="0"/>
            </w:tcBorders>
            <w:noWrap w:val="0"/>
            <w:vAlign w:val="center"/>
          </w:tcPr>
          <w:p w14:paraId="275BE7A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TMY 1*80*8</w:t>
            </w:r>
          </w:p>
        </w:tc>
        <w:tc>
          <w:tcPr>
            <w:tcW w:w="927" w:type="dxa"/>
            <w:tcBorders>
              <w:top w:val="single" w:color="000000" w:sz="4" w:space="0"/>
              <w:left w:val="single" w:color="000000" w:sz="4" w:space="0"/>
              <w:bottom w:val="single" w:color="000000" w:sz="4" w:space="0"/>
              <w:right w:val="single" w:color="000000" w:sz="4" w:space="0"/>
            </w:tcBorders>
            <w:noWrap/>
            <w:vAlign w:val="center"/>
          </w:tcPr>
          <w:p w14:paraId="5A01647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米</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9A9C28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w:t>
            </w:r>
          </w:p>
        </w:tc>
        <w:tc>
          <w:tcPr>
            <w:tcW w:w="996" w:type="dxa"/>
            <w:tcBorders>
              <w:top w:val="single" w:color="000000" w:sz="4" w:space="0"/>
              <w:left w:val="single" w:color="000000" w:sz="4" w:space="0"/>
              <w:bottom w:val="single" w:color="000000" w:sz="4" w:space="0"/>
              <w:right w:val="single" w:color="000000" w:sz="4" w:space="0"/>
            </w:tcBorders>
            <w:noWrap w:val="0"/>
            <w:vAlign w:val="center"/>
          </w:tcPr>
          <w:p w14:paraId="264541DC">
            <w:pPr>
              <w:jc w:val="center"/>
              <w:rPr>
                <w:rFonts w:hint="eastAsia" w:ascii="宋体" w:hAnsi="宋体" w:eastAsia="宋体" w:cs="宋体"/>
                <w:i w:val="0"/>
                <w:iCs w:val="0"/>
                <w:color w:val="auto"/>
                <w:sz w:val="20"/>
                <w:szCs w:val="20"/>
                <w:highlight w:val="none"/>
                <w:u w:val="none"/>
              </w:rPr>
            </w:pPr>
          </w:p>
        </w:tc>
        <w:tc>
          <w:tcPr>
            <w:tcW w:w="831" w:type="dxa"/>
            <w:tcBorders>
              <w:top w:val="single" w:color="000000" w:sz="4" w:space="0"/>
              <w:left w:val="single" w:color="000000" w:sz="4" w:space="0"/>
              <w:bottom w:val="single" w:color="000000" w:sz="4" w:space="0"/>
              <w:right w:val="single" w:color="000000" w:sz="4" w:space="0"/>
            </w:tcBorders>
            <w:noWrap w:val="0"/>
            <w:vAlign w:val="center"/>
          </w:tcPr>
          <w:p w14:paraId="05284CF9">
            <w:pPr>
              <w:jc w:val="center"/>
              <w:rPr>
                <w:rFonts w:hint="eastAsia" w:ascii="宋体" w:hAnsi="宋体" w:eastAsia="宋体" w:cs="宋体"/>
                <w:i w:val="0"/>
                <w:iCs w:val="0"/>
                <w:color w:val="auto"/>
                <w:sz w:val="20"/>
                <w:szCs w:val="20"/>
                <w:highlight w:val="none"/>
                <w:u w:val="none"/>
              </w:rPr>
            </w:pP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55382188">
            <w:pPr>
              <w:jc w:val="center"/>
              <w:rPr>
                <w:rFonts w:hint="eastAsia" w:ascii="宋体" w:hAnsi="宋体" w:eastAsia="宋体" w:cs="宋体"/>
                <w:i w:val="0"/>
                <w:iCs w:val="0"/>
                <w:color w:val="auto"/>
                <w:sz w:val="20"/>
                <w:szCs w:val="20"/>
                <w:highlight w:val="none"/>
                <w:u w:val="none"/>
              </w:rPr>
            </w:pPr>
          </w:p>
        </w:tc>
      </w:tr>
      <w:tr w14:paraId="44017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91" w:type="dxa"/>
            <w:tcBorders>
              <w:top w:val="single" w:color="000000" w:sz="4" w:space="0"/>
              <w:left w:val="single" w:color="000000" w:sz="4" w:space="0"/>
              <w:bottom w:val="single" w:color="000000" w:sz="4" w:space="0"/>
              <w:right w:val="single" w:color="000000" w:sz="4" w:space="0"/>
            </w:tcBorders>
            <w:noWrap/>
            <w:vAlign w:val="center"/>
          </w:tcPr>
          <w:p w14:paraId="10FF231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2019" w:type="dxa"/>
            <w:tcBorders>
              <w:top w:val="single" w:color="000000" w:sz="4" w:space="0"/>
              <w:left w:val="single" w:color="000000" w:sz="4" w:space="0"/>
              <w:bottom w:val="single" w:color="000000" w:sz="4" w:space="0"/>
              <w:right w:val="single" w:color="000000" w:sz="4" w:space="0"/>
            </w:tcBorders>
            <w:noWrap/>
            <w:vAlign w:val="center"/>
          </w:tcPr>
          <w:p w14:paraId="50EC645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变压器连接铜排</w:t>
            </w:r>
          </w:p>
        </w:tc>
        <w:tc>
          <w:tcPr>
            <w:tcW w:w="1745" w:type="dxa"/>
            <w:tcBorders>
              <w:top w:val="single" w:color="000000" w:sz="4" w:space="0"/>
              <w:left w:val="single" w:color="000000" w:sz="4" w:space="0"/>
              <w:bottom w:val="single" w:color="000000" w:sz="4" w:space="0"/>
              <w:right w:val="single" w:color="000000" w:sz="4" w:space="0"/>
            </w:tcBorders>
            <w:noWrap w:val="0"/>
            <w:vAlign w:val="center"/>
          </w:tcPr>
          <w:p w14:paraId="071F929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TMY 1*80*8</w:t>
            </w:r>
          </w:p>
        </w:tc>
        <w:tc>
          <w:tcPr>
            <w:tcW w:w="927" w:type="dxa"/>
            <w:tcBorders>
              <w:top w:val="single" w:color="000000" w:sz="4" w:space="0"/>
              <w:left w:val="single" w:color="000000" w:sz="4" w:space="0"/>
              <w:bottom w:val="single" w:color="000000" w:sz="4" w:space="0"/>
              <w:right w:val="single" w:color="000000" w:sz="4" w:space="0"/>
            </w:tcBorders>
            <w:noWrap/>
            <w:vAlign w:val="center"/>
          </w:tcPr>
          <w:p w14:paraId="14358EA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米</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0C3B59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w:t>
            </w:r>
          </w:p>
        </w:tc>
        <w:tc>
          <w:tcPr>
            <w:tcW w:w="996" w:type="dxa"/>
            <w:tcBorders>
              <w:top w:val="single" w:color="000000" w:sz="4" w:space="0"/>
              <w:left w:val="single" w:color="000000" w:sz="4" w:space="0"/>
              <w:bottom w:val="single" w:color="000000" w:sz="4" w:space="0"/>
              <w:right w:val="single" w:color="000000" w:sz="4" w:space="0"/>
            </w:tcBorders>
            <w:noWrap w:val="0"/>
            <w:vAlign w:val="center"/>
          </w:tcPr>
          <w:p w14:paraId="577F57AB">
            <w:pPr>
              <w:jc w:val="center"/>
              <w:rPr>
                <w:rFonts w:hint="eastAsia" w:ascii="宋体" w:hAnsi="宋体" w:eastAsia="宋体" w:cs="宋体"/>
                <w:i w:val="0"/>
                <w:iCs w:val="0"/>
                <w:color w:val="auto"/>
                <w:sz w:val="20"/>
                <w:szCs w:val="20"/>
                <w:highlight w:val="none"/>
                <w:u w:val="none"/>
              </w:rPr>
            </w:pPr>
          </w:p>
        </w:tc>
        <w:tc>
          <w:tcPr>
            <w:tcW w:w="831" w:type="dxa"/>
            <w:tcBorders>
              <w:top w:val="single" w:color="000000" w:sz="4" w:space="0"/>
              <w:left w:val="single" w:color="000000" w:sz="4" w:space="0"/>
              <w:bottom w:val="single" w:color="000000" w:sz="4" w:space="0"/>
              <w:right w:val="single" w:color="000000" w:sz="4" w:space="0"/>
            </w:tcBorders>
            <w:noWrap w:val="0"/>
            <w:vAlign w:val="center"/>
          </w:tcPr>
          <w:p w14:paraId="021DF0E2">
            <w:pPr>
              <w:jc w:val="center"/>
              <w:rPr>
                <w:rFonts w:hint="eastAsia" w:ascii="宋体" w:hAnsi="宋体" w:eastAsia="宋体" w:cs="宋体"/>
                <w:i w:val="0"/>
                <w:iCs w:val="0"/>
                <w:color w:val="auto"/>
                <w:sz w:val="20"/>
                <w:szCs w:val="20"/>
                <w:highlight w:val="none"/>
                <w:u w:val="none"/>
              </w:rPr>
            </w:pP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44E460AB">
            <w:pPr>
              <w:jc w:val="center"/>
              <w:rPr>
                <w:rFonts w:hint="eastAsia" w:ascii="宋体" w:hAnsi="宋体" w:eastAsia="宋体" w:cs="宋体"/>
                <w:i w:val="0"/>
                <w:iCs w:val="0"/>
                <w:color w:val="auto"/>
                <w:sz w:val="20"/>
                <w:szCs w:val="20"/>
                <w:highlight w:val="none"/>
                <w:u w:val="none"/>
              </w:rPr>
            </w:pPr>
          </w:p>
        </w:tc>
      </w:tr>
      <w:tr w14:paraId="450AA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91" w:type="dxa"/>
            <w:tcBorders>
              <w:top w:val="single" w:color="000000" w:sz="4" w:space="0"/>
              <w:left w:val="single" w:color="000000" w:sz="4" w:space="0"/>
              <w:bottom w:val="single" w:color="000000" w:sz="4" w:space="0"/>
              <w:right w:val="single" w:color="000000" w:sz="4" w:space="0"/>
            </w:tcBorders>
            <w:noWrap/>
            <w:vAlign w:val="center"/>
          </w:tcPr>
          <w:p w14:paraId="2C8B757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2019" w:type="dxa"/>
            <w:tcBorders>
              <w:top w:val="single" w:color="000000" w:sz="4" w:space="0"/>
              <w:left w:val="single" w:color="000000" w:sz="4" w:space="0"/>
              <w:bottom w:val="single" w:color="000000" w:sz="4" w:space="0"/>
              <w:right w:val="single" w:color="000000" w:sz="4" w:space="0"/>
            </w:tcBorders>
            <w:noWrap/>
            <w:vAlign w:val="center"/>
          </w:tcPr>
          <w:p w14:paraId="575BA60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水平母线框</w:t>
            </w:r>
          </w:p>
        </w:tc>
        <w:tc>
          <w:tcPr>
            <w:tcW w:w="1745" w:type="dxa"/>
            <w:tcBorders>
              <w:top w:val="single" w:color="000000" w:sz="4" w:space="0"/>
              <w:left w:val="single" w:color="000000" w:sz="4" w:space="0"/>
              <w:bottom w:val="single" w:color="000000" w:sz="4" w:space="0"/>
              <w:right w:val="single" w:color="000000" w:sz="4" w:space="0"/>
            </w:tcBorders>
            <w:noWrap w:val="0"/>
            <w:vAlign w:val="center"/>
          </w:tcPr>
          <w:p w14:paraId="30D5E94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水平母线框（实价）</w:t>
            </w:r>
          </w:p>
        </w:tc>
        <w:tc>
          <w:tcPr>
            <w:tcW w:w="927" w:type="dxa"/>
            <w:tcBorders>
              <w:top w:val="single" w:color="000000" w:sz="4" w:space="0"/>
              <w:left w:val="single" w:color="000000" w:sz="4" w:space="0"/>
              <w:bottom w:val="single" w:color="000000" w:sz="4" w:space="0"/>
              <w:right w:val="single" w:color="000000" w:sz="4" w:space="0"/>
            </w:tcBorders>
            <w:noWrap/>
            <w:vAlign w:val="center"/>
          </w:tcPr>
          <w:p w14:paraId="1111390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只</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6540E5C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996" w:type="dxa"/>
            <w:tcBorders>
              <w:top w:val="single" w:color="000000" w:sz="4" w:space="0"/>
              <w:left w:val="single" w:color="000000" w:sz="4" w:space="0"/>
              <w:bottom w:val="single" w:color="000000" w:sz="4" w:space="0"/>
              <w:right w:val="single" w:color="000000" w:sz="4" w:space="0"/>
            </w:tcBorders>
            <w:noWrap w:val="0"/>
            <w:vAlign w:val="center"/>
          </w:tcPr>
          <w:p w14:paraId="084AC690">
            <w:pPr>
              <w:jc w:val="center"/>
              <w:rPr>
                <w:rFonts w:hint="eastAsia" w:ascii="宋体" w:hAnsi="宋体" w:eastAsia="宋体" w:cs="宋体"/>
                <w:i w:val="0"/>
                <w:iCs w:val="0"/>
                <w:color w:val="auto"/>
                <w:sz w:val="20"/>
                <w:szCs w:val="20"/>
                <w:highlight w:val="none"/>
                <w:u w:val="none"/>
              </w:rPr>
            </w:pPr>
          </w:p>
        </w:tc>
        <w:tc>
          <w:tcPr>
            <w:tcW w:w="831" w:type="dxa"/>
            <w:tcBorders>
              <w:top w:val="single" w:color="000000" w:sz="4" w:space="0"/>
              <w:left w:val="single" w:color="000000" w:sz="4" w:space="0"/>
              <w:bottom w:val="single" w:color="000000" w:sz="4" w:space="0"/>
              <w:right w:val="single" w:color="000000" w:sz="4" w:space="0"/>
            </w:tcBorders>
            <w:noWrap w:val="0"/>
            <w:vAlign w:val="center"/>
          </w:tcPr>
          <w:p w14:paraId="19B13555">
            <w:pPr>
              <w:jc w:val="center"/>
              <w:rPr>
                <w:rFonts w:hint="eastAsia" w:ascii="宋体" w:hAnsi="宋体" w:eastAsia="宋体" w:cs="宋体"/>
                <w:i w:val="0"/>
                <w:iCs w:val="0"/>
                <w:color w:val="auto"/>
                <w:sz w:val="20"/>
                <w:szCs w:val="20"/>
                <w:highlight w:val="none"/>
                <w:u w:val="none"/>
              </w:rPr>
            </w:pP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1988EF45">
            <w:pPr>
              <w:jc w:val="center"/>
              <w:rPr>
                <w:rFonts w:hint="eastAsia" w:ascii="宋体" w:hAnsi="宋体" w:eastAsia="宋体" w:cs="宋体"/>
                <w:i w:val="0"/>
                <w:iCs w:val="0"/>
                <w:color w:val="auto"/>
                <w:sz w:val="20"/>
                <w:szCs w:val="20"/>
                <w:highlight w:val="none"/>
                <w:u w:val="none"/>
              </w:rPr>
            </w:pPr>
          </w:p>
        </w:tc>
      </w:tr>
      <w:tr w14:paraId="61F5F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91" w:type="dxa"/>
            <w:tcBorders>
              <w:top w:val="single" w:color="000000" w:sz="4" w:space="0"/>
              <w:left w:val="single" w:color="000000" w:sz="4" w:space="0"/>
              <w:bottom w:val="single" w:color="000000" w:sz="4" w:space="0"/>
              <w:right w:val="single" w:color="000000" w:sz="4" w:space="0"/>
            </w:tcBorders>
            <w:noWrap/>
            <w:vAlign w:val="center"/>
          </w:tcPr>
          <w:p w14:paraId="779503A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2019" w:type="dxa"/>
            <w:tcBorders>
              <w:top w:val="single" w:color="000000" w:sz="4" w:space="0"/>
              <w:left w:val="single" w:color="000000" w:sz="4" w:space="0"/>
              <w:bottom w:val="single" w:color="000000" w:sz="4" w:space="0"/>
              <w:right w:val="single" w:color="000000" w:sz="4" w:space="0"/>
            </w:tcBorders>
            <w:noWrap/>
            <w:vAlign w:val="center"/>
          </w:tcPr>
          <w:p w14:paraId="206345B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一次费用</w:t>
            </w:r>
          </w:p>
        </w:tc>
        <w:tc>
          <w:tcPr>
            <w:tcW w:w="1745" w:type="dxa"/>
            <w:tcBorders>
              <w:top w:val="single" w:color="000000" w:sz="4" w:space="0"/>
              <w:left w:val="single" w:color="000000" w:sz="4" w:space="0"/>
              <w:bottom w:val="single" w:color="000000" w:sz="4" w:space="0"/>
              <w:right w:val="single" w:color="000000" w:sz="4" w:space="0"/>
            </w:tcBorders>
            <w:noWrap w:val="0"/>
            <w:vAlign w:val="center"/>
          </w:tcPr>
          <w:p w14:paraId="4071455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一次费用</w:t>
            </w:r>
          </w:p>
        </w:tc>
        <w:tc>
          <w:tcPr>
            <w:tcW w:w="927" w:type="dxa"/>
            <w:tcBorders>
              <w:top w:val="single" w:color="000000" w:sz="4" w:space="0"/>
              <w:left w:val="single" w:color="000000" w:sz="4" w:space="0"/>
              <w:bottom w:val="single" w:color="000000" w:sz="4" w:space="0"/>
              <w:right w:val="single" w:color="000000" w:sz="4" w:space="0"/>
            </w:tcBorders>
            <w:noWrap/>
            <w:vAlign w:val="center"/>
          </w:tcPr>
          <w:p w14:paraId="1F62D7D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人/天</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B2C48D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996" w:type="dxa"/>
            <w:tcBorders>
              <w:top w:val="single" w:color="000000" w:sz="4" w:space="0"/>
              <w:left w:val="single" w:color="000000" w:sz="4" w:space="0"/>
              <w:bottom w:val="single" w:color="000000" w:sz="4" w:space="0"/>
              <w:right w:val="single" w:color="000000" w:sz="4" w:space="0"/>
            </w:tcBorders>
            <w:noWrap w:val="0"/>
            <w:vAlign w:val="center"/>
          </w:tcPr>
          <w:p w14:paraId="071E7CCD">
            <w:pPr>
              <w:jc w:val="center"/>
              <w:rPr>
                <w:rFonts w:hint="eastAsia" w:ascii="宋体" w:hAnsi="宋体" w:eastAsia="宋体" w:cs="宋体"/>
                <w:i w:val="0"/>
                <w:iCs w:val="0"/>
                <w:color w:val="auto"/>
                <w:sz w:val="20"/>
                <w:szCs w:val="20"/>
                <w:highlight w:val="none"/>
                <w:u w:val="none"/>
              </w:rPr>
            </w:pPr>
          </w:p>
        </w:tc>
        <w:tc>
          <w:tcPr>
            <w:tcW w:w="831" w:type="dxa"/>
            <w:tcBorders>
              <w:top w:val="single" w:color="000000" w:sz="4" w:space="0"/>
              <w:left w:val="single" w:color="000000" w:sz="4" w:space="0"/>
              <w:bottom w:val="single" w:color="000000" w:sz="4" w:space="0"/>
              <w:right w:val="single" w:color="000000" w:sz="4" w:space="0"/>
            </w:tcBorders>
            <w:noWrap w:val="0"/>
            <w:vAlign w:val="center"/>
          </w:tcPr>
          <w:p w14:paraId="7686D67D">
            <w:pPr>
              <w:jc w:val="center"/>
              <w:rPr>
                <w:rFonts w:hint="eastAsia" w:ascii="宋体" w:hAnsi="宋体" w:eastAsia="宋体" w:cs="宋体"/>
                <w:i w:val="0"/>
                <w:iCs w:val="0"/>
                <w:color w:val="auto"/>
                <w:sz w:val="20"/>
                <w:szCs w:val="20"/>
                <w:highlight w:val="none"/>
                <w:u w:val="none"/>
              </w:rPr>
            </w:pP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1FD72657">
            <w:pPr>
              <w:jc w:val="center"/>
              <w:rPr>
                <w:rFonts w:hint="eastAsia" w:ascii="宋体" w:hAnsi="宋体" w:eastAsia="宋体" w:cs="宋体"/>
                <w:i w:val="0"/>
                <w:iCs w:val="0"/>
                <w:color w:val="auto"/>
                <w:sz w:val="20"/>
                <w:szCs w:val="20"/>
                <w:highlight w:val="none"/>
                <w:u w:val="none"/>
              </w:rPr>
            </w:pPr>
          </w:p>
        </w:tc>
      </w:tr>
      <w:tr w14:paraId="42D5C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91" w:type="dxa"/>
            <w:tcBorders>
              <w:top w:val="single" w:color="000000" w:sz="4" w:space="0"/>
              <w:left w:val="single" w:color="000000" w:sz="4" w:space="0"/>
              <w:bottom w:val="single" w:color="000000" w:sz="4" w:space="0"/>
              <w:right w:val="single" w:color="000000" w:sz="4" w:space="0"/>
            </w:tcBorders>
            <w:noWrap/>
            <w:vAlign w:val="center"/>
          </w:tcPr>
          <w:p w14:paraId="198BB78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w:t>
            </w:r>
          </w:p>
        </w:tc>
        <w:tc>
          <w:tcPr>
            <w:tcW w:w="2019" w:type="dxa"/>
            <w:tcBorders>
              <w:top w:val="single" w:color="000000" w:sz="4" w:space="0"/>
              <w:left w:val="single" w:color="000000" w:sz="4" w:space="0"/>
              <w:bottom w:val="single" w:color="000000" w:sz="4" w:space="0"/>
              <w:right w:val="single" w:color="000000" w:sz="4" w:space="0"/>
            </w:tcBorders>
            <w:noWrap/>
            <w:vAlign w:val="center"/>
          </w:tcPr>
          <w:p w14:paraId="45A15E5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二次费用</w:t>
            </w:r>
          </w:p>
        </w:tc>
        <w:tc>
          <w:tcPr>
            <w:tcW w:w="1745" w:type="dxa"/>
            <w:tcBorders>
              <w:top w:val="single" w:color="000000" w:sz="4" w:space="0"/>
              <w:left w:val="single" w:color="000000" w:sz="4" w:space="0"/>
              <w:bottom w:val="single" w:color="000000" w:sz="4" w:space="0"/>
              <w:right w:val="single" w:color="000000" w:sz="4" w:space="0"/>
            </w:tcBorders>
            <w:noWrap w:val="0"/>
            <w:vAlign w:val="center"/>
          </w:tcPr>
          <w:p w14:paraId="7F5BAB9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二次费用</w:t>
            </w:r>
          </w:p>
        </w:tc>
        <w:tc>
          <w:tcPr>
            <w:tcW w:w="927" w:type="dxa"/>
            <w:tcBorders>
              <w:top w:val="single" w:color="000000" w:sz="4" w:space="0"/>
              <w:left w:val="single" w:color="000000" w:sz="4" w:space="0"/>
              <w:bottom w:val="single" w:color="000000" w:sz="4" w:space="0"/>
              <w:right w:val="single" w:color="000000" w:sz="4" w:space="0"/>
            </w:tcBorders>
            <w:noWrap/>
            <w:vAlign w:val="center"/>
          </w:tcPr>
          <w:p w14:paraId="581AC81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人/天</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139ADA8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996" w:type="dxa"/>
            <w:tcBorders>
              <w:top w:val="single" w:color="000000" w:sz="4" w:space="0"/>
              <w:left w:val="single" w:color="000000" w:sz="4" w:space="0"/>
              <w:bottom w:val="single" w:color="000000" w:sz="4" w:space="0"/>
              <w:right w:val="single" w:color="000000" w:sz="4" w:space="0"/>
            </w:tcBorders>
            <w:noWrap w:val="0"/>
            <w:vAlign w:val="center"/>
          </w:tcPr>
          <w:p w14:paraId="0136A71E">
            <w:pPr>
              <w:jc w:val="center"/>
              <w:rPr>
                <w:rFonts w:hint="eastAsia" w:ascii="宋体" w:hAnsi="宋体" w:eastAsia="宋体" w:cs="宋体"/>
                <w:i w:val="0"/>
                <w:iCs w:val="0"/>
                <w:color w:val="auto"/>
                <w:sz w:val="20"/>
                <w:szCs w:val="20"/>
                <w:highlight w:val="none"/>
                <w:u w:val="none"/>
              </w:rPr>
            </w:pPr>
          </w:p>
        </w:tc>
        <w:tc>
          <w:tcPr>
            <w:tcW w:w="831" w:type="dxa"/>
            <w:tcBorders>
              <w:top w:val="single" w:color="000000" w:sz="4" w:space="0"/>
              <w:left w:val="single" w:color="000000" w:sz="4" w:space="0"/>
              <w:bottom w:val="single" w:color="000000" w:sz="4" w:space="0"/>
              <w:right w:val="single" w:color="000000" w:sz="4" w:space="0"/>
            </w:tcBorders>
            <w:noWrap w:val="0"/>
            <w:vAlign w:val="center"/>
          </w:tcPr>
          <w:p w14:paraId="75D7ECB7">
            <w:pPr>
              <w:jc w:val="center"/>
              <w:rPr>
                <w:rFonts w:hint="eastAsia" w:ascii="宋体" w:hAnsi="宋体" w:eastAsia="宋体" w:cs="宋体"/>
                <w:i w:val="0"/>
                <w:iCs w:val="0"/>
                <w:color w:val="auto"/>
                <w:sz w:val="20"/>
                <w:szCs w:val="20"/>
                <w:highlight w:val="none"/>
                <w:u w:val="none"/>
              </w:rPr>
            </w:pP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3E685AC4">
            <w:pPr>
              <w:jc w:val="center"/>
              <w:rPr>
                <w:rFonts w:hint="eastAsia" w:ascii="宋体" w:hAnsi="宋体" w:eastAsia="宋体" w:cs="宋体"/>
                <w:i w:val="0"/>
                <w:iCs w:val="0"/>
                <w:color w:val="auto"/>
                <w:sz w:val="20"/>
                <w:szCs w:val="20"/>
                <w:highlight w:val="none"/>
                <w:u w:val="none"/>
              </w:rPr>
            </w:pPr>
          </w:p>
        </w:tc>
      </w:tr>
      <w:tr w14:paraId="16DA7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91" w:type="dxa"/>
            <w:tcBorders>
              <w:top w:val="single" w:color="000000" w:sz="4" w:space="0"/>
              <w:left w:val="single" w:color="000000" w:sz="4" w:space="0"/>
              <w:bottom w:val="single" w:color="000000" w:sz="4" w:space="0"/>
              <w:right w:val="single" w:color="000000" w:sz="4" w:space="0"/>
            </w:tcBorders>
            <w:noWrap/>
            <w:vAlign w:val="center"/>
          </w:tcPr>
          <w:p w14:paraId="4AFC32B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2019" w:type="dxa"/>
            <w:tcBorders>
              <w:top w:val="single" w:color="000000" w:sz="4" w:space="0"/>
              <w:left w:val="single" w:color="000000" w:sz="4" w:space="0"/>
              <w:bottom w:val="single" w:color="000000" w:sz="4" w:space="0"/>
              <w:right w:val="single" w:color="000000" w:sz="4" w:space="0"/>
            </w:tcBorders>
            <w:noWrap/>
            <w:vAlign w:val="center"/>
          </w:tcPr>
          <w:p w14:paraId="521ABB4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低压柜测量、检测费用</w:t>
            </w:r>
          </w:p>
        </w:tc>
        <w:tc>
          <w:tcPr>
            <w:tcW w:w="1745" w:type="dxa"/>
            <w:tcBorders>
              <w:top w:val="single" w:color="000000" w:sz="4" w:space="0"/>
              <w:left w:val="single" w:color="000000" w:sz="4" w:space="0"/>
              <w:bottom w:val="single" w:color="000000" w:sz="4" w:space="0"/>
              <w:right w:val="single" w:color="000000" w:sz="4" w:space="0"/>
            </w:tcBorders>
            <w:noWrap w:val="0"/>
            <w:vAlign w:val="center"/>
          </w:tcPr>
          <w:p w14:paraId="7F94F74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测量、检测费用</w:t>
            </w:r>
          </w:p>
        </w:tc>
        <w:tc>
          <w:tcPr>
            <w:tcW w:w="927" w:type="dxa"/>
            <w:tcBorders>
              <w:top w:val="single" w:color="000000" w:sz="4" w:space="0"/>
              <w:left w:val="single" w:color="000000" w:sz="4" w:space="0"/>
              <w:bottom w:val="single" w:color="000000" w:sz="4" w:space="0"/>
              <w:right w:val="single" w:color="000000" w:sz="4" w:space="0"/>
            </w:tcBorders>
            <w:noWrap/>
            <w:vAlign w:val="center"/>
          </w:tcPr>
          <w:p w14:paraId="3EDA6E5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19935AE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996" w:type="dxa"/>
            <w:tcBorders>
              <w:top w:val="single" w:color="000000" w:sz="4" w:space="0"/>
              <w:left w:val="single" w:color="000000" w:sz="4" w:space="0"/>
              <w:bottom w:val="single" w:color="000000" w:sz="4" w:space="0"/>
              <w:right w:val="single" w:color="000000" w:sz="4" w:space="0"/>
            </w:tcBorders>
            <w:noWrap w:val="0"/>
            <w:vAlign w:val="center"/>
          </w:tcPr>
          <w:p w14:paraId="58798768">
            <w:pPr>
              <w:jc w:val="center"/>
              <w:rPr>
                <w:rFonts w:hint="eastAsia" w:ascii="宋体" w:hAnsi="宋体" w:eastAsia="宋体" w:cs="宋体"/>
                <w:i w:val="0"/>
                <w:iCs w:val="0"/>
                <w:color w:val="auto"/>
                <w:sz w:val="20"/>
                <w:szCs w:val="20"/>
                <w:highlight w:val="none"/>
                <w:u w:val="none"/>
              </w:rPr>
            </w:pPr>
          </w:p>
        </w:tc>
        <w:tc>
          <w:tcPr>
            <w:tcW w:w="831" w:type="dxa"/>
            <w:tcBorders>
              <w:top w:val="single" w:color="000000" w:sz="4" w:space="0"/>
              <w:left w:val="single" w:color="000000" w:sz="4" w:space="0"/>
              <w:bottom w:val="single" w:color="000000" w:sz="4" w:space="0"/>
              <w:right w:val="single" w:color="000000" w:sz="4" w:space="0"/>
            </w:tcBorders>
            <w:noWrap w:val="0"/>
            <w:vAlign w:val="center"/>
          </w:tcPr>
          <w:p w14:paraId="10E55E79">
            <w:pPr>
              <w:jc w:val="center"/>
              <w:rPr>
                <w:rFonts w:hint="eastAsia" w:ascii="宋体" w:hAnsi="宋体" w:eastAsia="宋体" w:cs="宋体"/>
                <w:i w:val="0"/>
                <w:iCs w:val="0"/>
                <w:color w:val="auto"/>
                <w:sz w:val="20"/>
                <w:szCs w:val="20"/>
                <w:highlight w:val="none"/>
                <w:u w:val="none"/>
              </w:rPr>
            </w:pP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00F1D08F">
            <w:pPr>
              <w:jc w:val="center"/>
              <w:rPr>
                <w:rFonts w:hint="eastAsia" w:ascii="宋体" w:hAnsi="宋体" w:eastAsia="宋体" w:cs="宋体"/>
                <w:i w:val="0"/>
                <w:iCs w:val="0"/>
                <w:color w:val="auto"/>
                <w:sz w:val="20"/>
                <w:szCs w:val="20"/>
                <w:highlight w:val="none"/>
                <w:u w:val="none"/>
              </w:rPr>
            </w:pPr>
          </w:p>
        </w:tc>
      </w:tr>
      <w:tr w14:paraId="6AD46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91" w:type="dxa"/>
            <w:tcBorders>
              <w:top w:val="single" w:color="000000" w:sz="4" w:space="0"/>
              <w:left w:val="single" w:color="000000" w:sz="4" w:space="0"/>
              <w:bottom w:val="single" w:color="000000" w:sz="4" w:space="0"/>
              <w:right w:val="single" w:color="000000" w:sz="4" w:space="0"/>
            </w:tcBorders>
            <w:noWrap/>
            <w:vAlign w:val="center"/>
          </w:tcPr>
          <w:p w14:paraId="6FF66A4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w:t>
            </w:r>
          </w:p>
        </w:tc>
        <w:tc>
          <w:tcPr>
            <w:tcW w:w="2019" w:type="dxa"/>
            <w:tcBorders>
              <w:top w:val="single" w:color="000000" w:sz="4" w:space="0"/>
              <w:left w:val="single" w:color="000000" w:sz="4" w:space="0"/>
              <w:bottom w:val="single" w:color="000000" w:sz="4" w:space="0"/>
              <w:right w:val="single" w:color="000000" w:sz="4" w:space="0"/>
            </w:tcBorders>
            <w:noWrap/>
            <w:vAlign w:val="center"/>
          </w:tcPr>
          <w:p w14:paraId="7132A92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刀开关</w:t>
            </w:r>
          </w:p>
        </w:tc>
        <w:tc>
          <w:tcPr>
            <w:tcW w:w="1745" w:type="dxa"/>
            <w:tcBorders>
              <w:top w:val="single" w:color="000000" w:sz="4" w:space="0"/>
              <w:left w:val="single" w:color="000000" w:sz="4" w:space="0"/>
              <w:bottom w:val="single" w:color="000000" w:sz="4" w:space="0"/>
              <w:right w:val="single" w:color="000000" w:sz="4" w:space="0"/>
            </w:tcBorders>
            <w:noWrap w:val="0"/>
            <w:vAlign w:val="center"/>
          </w:tcPr>
          <w:p w14:paraId="4D32D5B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HD13BX-1500/31（实价）</w:t>
            </w:r>
          </w:p>
        </w:tc>
        <w:tc>
          <w:tcPr>
            <w:tcW w:w="927" w:type="dxa"/>
            <w:tcBorders>
              <w:top w:val="single" w:color="000000" w:sz="4" w:space="0"/>
              <w:left w:val="single" w:color="000000" w:sz="4" w:space="0"/>
              <w:bottom w:val="single" w:color="000000" w:sz="4" w:space="0"/>
              <w:right w:val="single" w:color="000000" w:sz="4" w:space="0"/>
            </w:tcBorders>
            <w:noWrap/>
            <w:vAlign w:val="center"/>
          </w:tcPr>
          <w:p w14:paraId="17ED578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只</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1569EBF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996" w:type="dxa"/>
            <w:tcBorders>
              <w:top w:val="single" w:color="000000" w:sz="4" w:space="0"/>
              <w:left w:val="single" w:color="000000" w:sz="4" w:space="0"/>
              <w:bottom w:val="single" w:color="000000" w:sz="4" w:space="0"/>
              <w:right w:val="single" w:color="000000" w:sz="4" w:space="0"/>
            </w:tcBorders>
            <w:noWrap w:val="0"/>
            <w:vAlign w:val="center"/>
          </w:tcPr>
          <w:p w14:paraId="5AFBAD6D">
            <w:pPr>
              <w:jc w:val="center"/>
              <w:rPr>
                <w:rFonts w:hint="eastAsia" w:ascii="宋体" w:hAnsi="宋体" w:eastAsia="宋体" w:cs="宋体"/>
                <w:i w:val="0"/>
                <w:iCs w:val="0"/>
                <w:color w:val="auto"/>
                <w:sz w:val="20"/>
                <w:szCs w:val="20"/>
                <w:highlight w:val="none"/>
                <w:u w:val="none"/>
              </w:rPr>
            </w:pPr>
          </w:p>
        </w:tc>
        <w:tc>
          <w:tcPr>
            <w:tcW w:w="831" w:type="dxa"/>
            <w:tcBorders>
              <w:top w:val="single" w:color="000000" w:sz="4" w:space="0"/>
              <w:left w:val="single" w:color="000000" w:sz="4" w:space="0"/>
              <w:bottom w:val="single" w:color="000000" w:sz="4" w:space="0"/>
              <w:right w:val="single" w:color="000000" w:sz="4" w:space="0"/>
            </w:tcBorders>
            <w:noWrap w:val="0"/>
            <w:vAlign w:val="center"/>
          </w:tcPr>
          <w:p w14:paraId="2C397299">
            <w:pPr>
              <w:jc w:val="center"/>
              <w:rPr>
                <w:rFonts w:hint="eastAsia" w:ascii="宋体" w:hAnsi="宋体" w:eastAsia="宋体" w:cs="宋体"/>
                <w:i w:val="0"/>
                <w:iCs w:val="0"/>
                <w:color w:val="auto"/>
                <w:sz w:val="20"/>
                <w:szCs w:val="20"/>
                <w:highlight w:val="none"/>
                <w:u w:val="none"/>
              </w:rPr>
            </w:pP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510B4F2A">
            <w:pPr>
              <w:jc w:val="center"/>
              <w:rPr>
                <w:rFonts w:hint="eastAsia" w:ascii="宋体" w:hAnsi="宋体" w:eastAsia="宋体" w:cs="宋体"/>
                <w:i w:val="0"/>
                <w:iCs w:val="0"/>
                <w:color w:val="auto"/>
                <w:sz w:val="20"/>
                <w:szCs w:val="20"/>
                <w:highlight w:val="none"/>
                <w:u w:val="none"/>
              </w:rPr>
            </w:pPr>
          </w:p>
        </w:tc>
      </w:tr>
      <w:tr w14:paraId="583E9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91" w:type="dxa"/>
            <w:tcBorders>
              <w:top w:val="single" w:color="000000" w:sz="4" w:space="0"/>
              <w:left w:val="single" w:color="000000" w:sz="4" w:space="0"/>
              <w:bottom w:val="single" w:color="000000" w:sz="4" w:space="0"/>
              <w:right w:val="single" w:color="000000" w:sz="4" w:space="0"/>
            </w:tcBorders>
            <w:noWrap/>
            <w:vAlign w:val="center"/>
          </w:tcPr>
          <w:p w14:paraId="21EA44F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w:t>
            </w:r>
          </w:p>
        </w:tc>
        <w:tc>
          <w:tcPr>
            <w:tcW w:w="2019" w:type="dxa"/>
            <w:tcBorders>
              <w:top w:val="single" w:color="000000" w:sz="4" w:space="0"/>
              <w:left w:val="single" w:color="000000" w:sz="4" w:space="0"/>
              <w:bottom w:val="single" w:color="000000" w:sz="4" w:space="0"/>
              <w:right w:val="single" w:color="000000" w:sz="4" w:space="0"/>
            </w:tcBorders>
            <w:noWrap/>
            <w:vAlign w:val="center"/>
          </w:tcPr>
          <w:p w14:paraId="6320279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铜排</w:t>
            </w:r>
          </w:p>
        </w:tc>
        <w:tc>
          <w:tcPr>
            <w:tcW w:w="1745" w:type="dxa"/>
            <w:tcBorders>
              <w:top w:val="single" w:color="000000" w:sz="4" w:space="0"/>
              <w:left w:val="single" w:color="000000" w:sz="4" w:space="0"/>
              <w:bottom w:val="single" w:color="000000" w:sz="4" w:space="0"/>
              <w:right w:val="single" w:color="000000" w:sz="4" w:space="0"/>
            </w:tcBorders>
            <w:noWrap w:val="0"/>
            <w:vAlign w:val="center"/>
          </w:tcPr>
          <w:p w14:paraId="5397766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TMY 1*30*4</w:t>
            </w:r>
          </w:p>
        </w:tc>
        <w:tc>
          <w:tcPr>
            <w:tcW w:w="927" w:type="dxa"/>
            <w:tcBorders>
              <w:top w:val="single" w:color="000000" w:sz="4" w:space="0"/>
              <w:left w:val="single" w:color="000000" w:sz="4" w:space="0"/>
              <w:bottom w:val="single" w:color="000000" w:sz="4" w:space="0"/>
              <w:right w:val="single" w:color="000000" w:sz="4" w:space="0"/>
            </w:tcBorders>
            <w:noWrap/>
            <w:vAlign w:val="center"/>
          </w:tcPr>
          <w:p w14:paraId="1E2FEFB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米</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1BEBED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996" w:type="dxa"/>
            <w:tcBorders>
              <w:top w:val="single" w:color="000000" w:sz="4" w:space="0"/>
              <w:left w:val="single" w:color="000000" w:sz="4" w:space="0"/>
              <w:bottom w:val="single" w:color="000000" w:sz="4" w:space="0"/>
              <w:right w:val="single" w:color="000000" w:sz="4" w:space="0"/>
            </w:tcBorders>
            <w:noWrap w:val="0"/>
            <w:vAlign w:val="center"/>
          </w:tcPr>
          <w:p w14:paraId="7382CF69">
            <w:pPr>
              <w:jc w:val="center"/>
              <w:rPr>
                <w:rFonts w:hint="eastAsia" w:ascii="宋体" w:hAnsi="宋体" w:eastAsia="宋体" w:cs="宋体"/>
                <w:i w:val="0"/>
                <w:iCs w:val="0"/>
                <w:color w:val="auto"/>
                <w:sz w:val="20"/>
                <w:szCs w:val="20"/>
                <w:highlight w:val="none"/>
                <w:u w:val="none"/>
              </w:rPr>
            </w:pPr>
          </w:p>
        </w:tc>
        <w:tc>
          <w:tcPr>
            <w:tcW w:w="831" w:type="dxa"/>
            <w:tcBorders>
              <w:top w:val="single" w:color="000000" w:sz="4" w:space="0"/>
              <w:left w:val="single" w:color="000000" w:sz="4" w:space="0"/>
              <w:bottom w:val="single" w:color="000000" w:sz="4" w:space="0"/>
              <w:right w:val="single" w:color="000000" w:sz="4" w:space="0"/>
            </w:tcBorders>
            <w:noWrap w:val="0"/>
            <w:vAlign w:val="center"/>
          </w:tcPr>
          <w:p w14:paraId="7B952102">
            <w:pPr>
              <w:jc w:val="center"/>
              <w:rPr>
                <w:rFonts w:hint="eastAsia" w:ascii="宋体" w:hAnsi="宋体" w:eastAsia="宋体" w:cs="宋体"/>
                <w:i w:val="0"/>
                <w:iCs w:val="0"/>
                <w:color w:val="auto"/>
                <w:sz w:val="20"/>
                <w:szCs w:val="20"/>
                <w:highlight w:val="none"/>
                <w:u w:val="none"/>
              </w:rPr>
            </w:pP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10545EC3">
            <w:pPr>
              <w:jc w:val="center"/>
              <w:rPr>
                <w:rFonts w:hint="eastAsia" w:ascii="宋体" w:hAnsi="宋体" w:eastAsia="宋体" w:cs="宋体"/>
                <w:i w:val="0"/>
                <w:iCs w:val="0"/>
                <w:color w:val="auto"/>
                <w:sz w:val="20"/>
                <w:szCs w:val="20"/>
                <w:highlight w:val="none"/>
                <w:u w:val="none"/>
              </w:rPr>
            </w:pPr>
          </w:p>
        </w:tc>
      </w:tr>
      <w:tr w14:paraId="1664F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91" w:type="dxa"/>
            <w:tcBorders>
              <w:top w:val="single" w:color="000000" w:sz="4" w:space="0"/>
              <w:left w:val="single" w:color="000000" w:sz="4" w:space="0"/>
              <w:bottom w:val="single" w:color="000000" w:sz="4" w:space="0"/>
              <w:right w:val="single" w:color="000000" w:sz="4" w:space="0"/>
            </w:tcBorders>
            <w:noWrap/>
            <w:vAlign w:val="center"/>
          </w:tcPr>
          <w:p w14:paraId="1547F2B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w:t>
            </w:r>
          </w:p>
        </w:tc>
        <w:tc>
          <w:tcPr>
            <w:tcW w:w="2019" w:type="dxa"/>
            <w:tcBorders>
              <w:top w:val="single" w:color="000000" w:sz="4" w:space="0"/>
              <w:left w:val="single" w:color="000000" w:sz="4" w:space="0"/>
              <w:bottom w:val="single" w:color="000000" w:sz="4" w:space="0"/>
              <w:right w:val="single" w:color="000000" w:sz="4" w:space="0"/>
            </w:tcBorders>
            <w:noWrap/>
            <w:vAlign w:val="center"/>
          </w:tcPr>
          <w:p w14:paraId="386A652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出线柜分支铜排</w:t>
            </w:r>
          </w:p>
        </w:tc>
        <w:tc>
          <w:tcPr>
            <w:tcW w:w="1745" w:type="dxa"/>
            <w:tcBorders>
              <w:top w:val="single" w:color="000000" w:sz="4" w:space="0"/>
              <w:left w:val="single" w:color="000000" w:sz="4" w:space="0"/>
              <w:bottom w:val="single" w:color="000000" w:sz="4" w:space="0"/>
              <w:right w:val="single" w:color="000000" w:sz="4" w:space="0"/>
            </w:tcBorders>
            <w:noWrap w:val="0"/>
            <w:vAlign w:val="center"/>
          </w:tcPr>
          <w:p w14:paraId="737C4C1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TMY 1*80*8</w:t>
            </w:r>
          </w:p>
        </w:tc>
        <w:tc>
          <w:tcPr>
            <w:tcW w:w="927" w:type="dxa"/>
            <w:tcBorders>
              <w:top w:val="single" w:color="000000" w:sz="4" w:space="0"/>
              <w:left w:val="single" w:color="000000" w:sz="4" w:space="0"/>
              <w:bottom w:val="single" w:color="000000" w:sz="4" w:space="0"/>
              <w:right w:val="single" w:color="000000" w:sz="4" w:space="0"/>
            </w:tcBorders>
            <w:noWrap/>
            <w:vAlign w:val="center"/>
          </w:tcPr>
          <w:p w14:paraId="456E5C4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米</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63A6594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5.4</w:t>
            </w:r>
          </w:p>
        </w:tc>
        <w:tc>
          <w:tcPr>
            <w:tcW w:w="996" w:type="dxa"/>
            <w:tcBorders>
              <w:top w:val="single" w:color="000000" w:sz="4" w:space="0"/>
              <w:left w:val="single" w:color="000000" w:sz="4" w:space="0"/>
              <w:bottom w:val="single" w:color="000000" w:sz="4" w:space="0"/>
              <w:right w:val="single" w:color="000000" w:sz="4" w:space="0"/>
            </w:tcBorders>
            <w:noWrap w:val="0"/>
            <w:vAlign w:val="center"/>
          </w:tcPr>
          <w:p w14:paraId="73E7AE33">
            <w:pPr>
              <w:jc w:val="center"/>
              <w:rPr>
                <w:rFonts w:hint="eastAsia" w:ascii="宋体" w:hAnsi="宋体" w:eastAsia="宋体" w:cs="宋体"/>
                <w:i w:val="0"/>
                <w:iCs w:val="0"/>
                <w:color w:val="auto"/>
                <w:sz w:val="20"/>
                <w:szCs w:val="20"/>
                <w:highlight w:val="none"/>
                <w:u w:val="none"/>
              </w:rPr>
            </w:pPr>
          </w:p>
        </w:tc>
        <w:tc>
          <w:tcPr>
            <w:tcW w:w="831" w:type="dxa"/>
            <w:tcBorders>
              <w:top w:val="single" w:color="000000" w:sz="4" w:space="0"/>
              <w:left w:val="single" w:color="000000" w:sz="4" w:space="0"/>
              <w:bottom w:val="single" w:color="000000" w:sz="4" w:space="0"/>
              <w:right w:val="single" w:color="000000" w:sz="4" w:space="0"/>
            </w:tcBorders>
            <w:noWrap w:val="0"/>
            <w:vAlign w:val="center"/>
          </w:tcPr>
          <w:p w14:paraId="650DAD1B">
            <w:pPr>
              <w:jc w:val="center"/>
              <w:rPr>
                <w:rFonts w:hint="eastAsia" w:ascii="宋体" w:hAnsi="宋体" w:eastAsia="宋体" w:cs="宋体"/>
                <w:i w:val="0"/>
                <w:iCs w:val="0"/>
                <w:color w:val="auto"/>
                <w:sz w:val="20"/>
                <w:szCs w:val="20"/>
                <w:highlight w:val="none"/>
                <w:u w:val="none"/>
              </w:rPr>
            </w:pP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1796D54B">
            <w:pPr>
              <w:jc w:val="center"/>
              <w:rPr>
                <w:rFonts w:hint="eastAsia" w:ascii="宋体" w:hAnsi="宋体" w:eastAsia="宋体" w:cs="宋体"/>
                <w:i w:val="0"/>
                <w:iCs w:val="0"/>
                <w:color w:val="auto"/>
                <w:sz w:val="20"/>
                <w:szCs w:val="20"/>
                <w:highlight w:val="none"/>
                <w:u w:val="none"/>
              </w:rPr>
            </w:pPr>
          </w:p>
        </w:tc>
      </w:tr>
      <w:tr w14:paraId="6FD2B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91" w:type="dxa"/>
            <w:tcBorders>
              <w:top w:val="single" w:color="000000" w:sz="4" w:space="0"/>
              <w:left w:val="single" w:color="000000" w:sz="4" w:space="0"/>
              <w:bottom w:val="single" w:color="000000" w:sz="4" w:space="0"/>
              <w:right w:val="single" w:color="000000" w:sz="4" w:space="0"/>
            </w:tcBorders>
            <w:noWrap/>
            <w:vAlign w:val="center"/>
          </w:tcPr>
          <w:p w14:paraId="0D63F60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w:t>
            </w:r>
          </w:p>
        </w:tc>
        <w:tc>
          <w:tcPr>
            <w:tcW w:w="2019" w:type="dxa"/>
            <w:tcBorders>
              <w:top w:val="single" w:color="000000" w:sz="4" w:space="0"/>
              <w:left w:val="single" w:color="000000" w:sz="4" w:space="0"/>
              <w:bottom w:val="single" w:color="000000" w:sz="4" w:space="0"/>
              <w:right w:val="single" w:color="000000" w:sz="4" w:space="0"/>
            </w:tcBorders>
            <w:noWrap/>
            <w:vAlign w:val="center"/>
          </w:tcPr>
          <w:p w14:paraId="5B8311F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出线柜分支铜排</w:t>
            </w:r>
          </w:p>
        </w:tc>
        <w:tc>
          <w:tcPr>
            <w:tcW w:w="1745" w:type="dxa"/>
            <w:tcBorders>
              <w:top w:val="single" w:color="000000" w:sz="4" w:space="0"/>
              <w:left w:val="single" w:color="000000" w:sz="4" w:space="0"/>
              <w:bottom w:val="single" w:color="000000" w:sz="4" w:space="0"/>
              <w:right w:val="single" w:color="000000" w:sz="4" w:space="0"/>
            </w:tcBorders>
            <w:noWrap w:val="0"/>
            <w:vAlign w:val="center"/>
          </w:tcPr>
          <w:p w14:paraId="7596710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TMY 1*80*8</w:t>
            </w:r>
          </w:p>
        </w:tc>
        <w:tc>
          <w:tcPr>
            <w:tcW w:w="927" w:type="dxa"/>
            <w:tcBorders>
              <w:top w:val="single" w:color="000000" w:sz="4" w:space="0"/>
              <w:left w:val="single" w:color="000000" w:sz="4" w:space="0"/>
              <w:bottom w:val="single" w:color="000000" w:sz="4" w:space="0"/>
              <w:right w:val="single" w:color="000000" w:sz="4" w:space="0"/>
            </w:tcBorders>
            <w:noWrap/>
            <w:vAlign w:val="center"/>
          </w:tcPr>
          <w:p w14:paraId="7B77B29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米</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271CA6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5.4</w:t>
            </w:r>
          </w:p>
        </w:tc>
        <w:tc>
          <w:tcPr>
            <w:tcW w:w="996" w:type="dxa"/>
            <w:tcBorders>
              <w:top w:val="single" w:color="000000" w:sz="4" w:space="0"/>
              <w:left w:val="single" w:color="000000" w:sz="4" w:space="0"/>
              <w:bottom w:val="single" w:color="000000" w:sz="4" w:space="0"/>
              <w:right w:val="single" w:color="000000" w:sz="4" w:space="0"/>
            </w:tcBorders>
            <w:noWrap w:val="0"/>
            <w:vAlign w:val="center"/>
          </w:tcPr>
          <w:p w14:paraId="01786250">
            <w:pPr>
              <w:jc w:val="center"/>
              <w:rPr>
                <w:rFonts w:hint="eastAsia" w:ascii="宋体" w:hAnsi="宋体" w:eastAsia="宋体" w:cs="宋体"/>
                <w:i w:val="0"/>
                <w:iCs w:val="0"/>
                <w:color w:val="auto"/>
                <w:sz w:val="20"/>
                <w:szCs w:val="20"/>
                <w:highlight w:val="none"/>
                <w:u w:val="none"/>
              </w:rPr>
            </w:pPr>
          </w:p>
        </w:tc>
        <w:tc>
          <w:tcPr>
            <w:tcW w:w="831" w:type="dxa"/>
            <w:tcBorders>
              <w:top w:val="single" w:color="000000" w:sz="4" w:space="0"/>
              <w:left w:val="single" w:color="000000" w:sz="4" w:space="0"/>
              <w:bottom w:val="single" w:color="000000" w:sz="4" w:space="0"/>
              <w:right w:val="single" w:color="000000" w:sz="4" w:space="0"/>
            </w:tcBorders>
            <w:noWrap w:val="0"/>
            <w:vAlign w:val="center"/>
          </w:tcPr>
          <w:p w14:paraId="3A0B265E">
            <w:pPr>
              <w:jc w:val="center"/>
              <w:rPr>
                <w:rFonts w:hint="eastAsia" w:ascii="宋体" w:hAnsi="宋体" w:eastAsia="宋体" w:cs="宋体"/>
                <w:i w:val="0"/>
                <w:iCs w:val="0"/>
                <w:color w:val="auto"/>
                <w:sz w:val="20"/>
                <w:szCs w:val="20"/>
                <w:highlight w:val="none"/>
                <w:u w:val="none"/>
              </w:rPr>
            </w:pP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7E3FFCAD">
            <w:pPr>
              <w:jc w:val="center"/>
              <w:rPr>
                <w:rFonts w:hint="eastAsia" w:ascii="宋体" w:hAnsi="宋体" w:eastAsia="宋体" w:cs="宋体"/>
                <w:i w:val="0"/>
                <w:iCs w:val="0"/>
                <w:color w:val="auto"/>
                <w:sz w:val="20"/>
                <w:szCs w:val="20"/>
                <w:highlight w:val="none"/>
                <w:u w:val="none"/>
              </w:rPr>
            </w:pPr>
          </w:p>
        </w:tc>
      </w:tr>
      <w:tr w14:paraId="5AD61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91" w:type="dxa"/>
            <w:tcBorders>
              <w:top w:val="single" w:color="000000" w:sz="4" w:space="0"/>
              <w:left w:val="single" w:color="000000" w:sz="4" w:space="0"/>
              <w:bottom w:val="single" w:color="000000" w:sz="4" w:space="0"/>
              <w:right w:val="single" w:color="000000" w:sz="4" w:space="0"/>
            </w:tcBorders>
            <w:noWrap/>
            <w:vAlign w:val="center"/>
          </w:tcPr>
          <w:p w14:paraId="14CD44E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w:t>
            </w:r>
          </w:p>
        </w:tc>
        <w:tc>
          <w:tcPr>
            <w:tcW w:w="2019" w:type="dxa"/>
            <w:tcBorders>
              <w:top w:val="single" w:color="000000" w:sz="4" w:space="0"/>
              <w:left w:val="single" w:color="000000" w:sz="4" w:space="0"/>
              <w:bottom w:val="single" w:color="000000" w:sz="4" w:space="0"/>
              <w:right w:val="single" w:color="000000" w:sz="4" w:space="0"/>
            </w:tcBorders>
            <w:noWrap/>
            <w:vAlign w:val="center"/>
          </w:tcPr>
          <w:p w14:paraId="0BE6931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出线柜分支铜排</w:t>
            </w:r>
          </w:p>
        </w:tc>
        <w:tc>
          <w:tcPr>
            <w:tcW w:w="1745" w:type="dxa"/>
            <w:tcBorders>
              <w:top w:val="single" w:color="000000" w:sz="4" w:space="0"/>
              <w:left w:val="single" w:color="000000" w:sz="4" w:space="0"/>
              <w:bottom w:val="single" w:color="000000" w:sz="4" w:space="0"/>
              <w:right w:val="single" w:color="000000" w:sz="4" w:space="0"/>
            </w:tcBorders>
            <w:noWrap w:val="0"/>
            <w:vAlign w:val="center"/>
          </w:tcPr>
          <w:p w14:paraId="02A0C1E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TMY 1*80*8</w:t>
            </w:r>
          </w:p>
        </w:tc>
        <w:tc>
          <w:tcPr>
            <w:tcW w:w="927" w:type="dxa"/>
            <w:tcBorders>
              <w:top w:val="single" w:color="000000" w:sz="4" w:space="0"/>
              <w:left w:val="single" w:color="000000" w:sz="4" w:space="0"/>
              <w:bottom w:val="single" w:color="000000" w:sz="4" w:space="0"/>
              <w:right w:val="single" w:color="000000" w:sz="4" w:space="0"/>
            </w:tcBorders>
            <w:noWrap/>
            <w:vAlign w:val="center"/>
          </w:tcPr>
          <w:p w14:paraId="319F39D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米</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492B2F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5.4</w:t>
            </w:r>
          </w:p>
        </w:tc>
        <w:tc>
          <w:tcPr>
            <w:tcW w:w="996" w:type="dxa"/>
            <w:tcBorders>
              <w:top w:val="single" w:color="000000" w:sz="4" w:space="0"/>
              <w:left w:val="single" w:color="000000" w:sz="4" w:space="0"/>
              <w:bottom w:val="single" w:color="000000" w:sz="4" w:space="0"/>
              <w:right w:val="single" w:color="000000" w:sz="4" w:space="0"/>
            </w:tcBorders>
            <w:noWrap w:val="0"/>
            <w:vAlign w:val="center"/>
          </w:tcPr>
          <w:p w14:paraId="0E2804AF">
            <w:pPr>
              <w:jc w:val="center"/>
              <w:rPr>
                <w:rFonts w:hint="eastAsia" w:ascii="宋体" w:hAnsi="宋体" w:eastAsia="宋体" w:cs="宋体"/>
                <w:i w:val="0"/>
                <w:iCs w:val="0"/>
                <w:color w:val="auto"/>
                <w:sz w:val="20"/>
                <w:szCs w:val="20"/>
                <w:highlight w:val="none"/>
                <w:u w:val="none"/>
              </w:rPr>
            </w:pPr>
          </w:p>
        </w:tc>
        <w:tc>
          <w:tcPr>
            <w:tcW w:w="831" w:type="dxa"/>
            <w:tcBorders>
              <w:top w:val="single" w:color="000000" w:sz="4" w:space="0"/>
              <w:left w:val="single" w:color="000000" w:sz="4" w:space="0"/>
              <w:bottom w:val="single" w:color="000000" w:sz="4" w:space="0"/>
              <w:right w:val="single" w:color="000000" w:sz="4" w:space="0"/>
            </w:tcBorders>
            <w:noWrap w:val="0"/>
            <w:vAlign w:val="center"/>
          </w:tcPr>
          <w:p w14:paraId="0A662F32">
            <w:pPr>
              <w:jc w:val="center"/>
              <w:rPr>
                <w:rFonts w:hint="eastAsia" w:ascii="宋体" w:hAnsi="宋体" w:eastAsia="宋体" w:cs="宋体"/>
                <w:i w:val="0"/>
                <w:iCs w:val="0"/>
                <w:color w:val="auto"/>
                <w:sz w:val="20"/>
                <w:szCs w:val="20"/>
                <w:highlight w:val="none"/>
                <w:u w:val="none"/>
              </w:rPr>
            </w:pP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7E64230E">
            <w:pPr>
              <w:jc w:val="center"/>
              <w:rPr>
                <w:rFonts w:hint="eastAsia" w:ascii="宋体" w:hAnsi="宋体" w:eastAsia="宋体" w:cs="宋体"/>
                <w:i w:val="0"/>
                <w:iCs w:val="0"/>
                <w:color w:val="auto"/>
                <w:sz w:val="20"/>
                <w:szCs w:val="20"/>
                <w:highlight w:val="none"/>
                <w:u w:val="none"/>
              </w:rPr>
            </w:pPr>
          </w:p>
        </w:tc>
      </w:tr>
      <w:tr w14:paraId="1BE93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91" w:type="dxa"/>
            <w:tcBorders>
              <w:top w:val="single" w:color="000000" w:sz="4" w:space="0"/>
              <w:left w:val="single" w:color="000000" w:sz="4" w:space="0"/>
              <w:bottom w:val="single" w:color="000000" w:sz="4" w:space="0"/>
              <w:right w:val="single" w:color="000000" w:sz="4" w:space="0"/>
            </w:tcBorders>
            <w:noWrap/>
            <w:vAlign w:val="center"/>
          </w:tcPr>
          <w:p w14:paraId="58FAB5C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w:t>
            </w:r>
          </w:p>
        </w:tc>
        <w:tc>
          <w:tcPr>
            <w:tcW w:w="2019" w:type="dxa"/>
            <w:tcBorders>
              <w:top w:val="single" w:color="000000" w:sz="4" w:space="0"/>
              <w:left w:val="single" w:color="000000" w:sz="4" w:space="0"/>
              <w:bottom w:val="single" w:color="000000" w:sz="4" w:space="0"/>
              <w:right w:val="single" w:color="000000" w:sz="4" w:space="0"/>
            </w:tcBorders>
            <w:noWrap/>
            <w:vAlign w:val="center"/>
          </w:tcPr>
          <w:p w14:paraId="2AF675A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铜排</w:t>
            </w:r>
          </w:p>
        </w:tc>
        <w:tc>
          <w:tcPr>
            <w:tcW w:w="1745" w:type="dxa"/>
            <w:tcBorders>
              <w:top w:val="single" w:color="000000" w:sz="4" w:space="0"/>
              <w:left w:val="single" w:color="000000" w:sz="4" w:space="0"/>
              <w:bottom w:val="single" w:color="000000" w:sz="4" w:space="0"/>
              <w:right w:val="single" w:color="000000" w:sz="4" w:space="0"/>
            </w:tcBorders>
            <w:noWrap w:val="0"/>
            <w:vAlign w:val="center"/>
          </w:tcPr>
          <w:p w14:paraId="0968110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TMY 1*20*4</w:t>
            </w:r>
          </w:p>
        </w:tc>
        <w:tc>
          <w:tcPr>
            <w:tcW w:w="927" w:type="dxa"/>
            <w:tcBorders>
              <w:top w:val="single" w:color="000000" w:sz="4" w:space="0"/>
              <w:left w:val="single" w:color="000000" w:sz="4" w:space="0"/>
              <w:bottom w:val="single" w:color="000000" w:sz="4" w:space="0"/>
              <w:right w:val="single" w:color="000000" w:sz="4" w:space="0"/>
            </w:tcBorders>
            <w:noWrap/>
            <w:vAlign w:val="center"/>
          </w:tcPr>
          <w:p w14:paraId="3DD8C5E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米</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98A7E4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w:t>
            </w:r>
          </w:p>
        </w:tc>
        <w:tc>
          <w:tcPr>
            <w:tcW w:w="996" w:type="dxa"/>
            <w:tcBorders>
              <w:top w:val="single" w:color="000000" w:sz="4" w:space="0"/>
              <w:left w:val="single" w:color="000000" w:sz="4" w:space="0"/>
              <w:bottom w:val="single" w:color="000000" w:sz="4" w:space="0"/>
              <w:right w:val="single" w:color="000000" w:sz="4" w:space="0"/>
            </w:tcBorders>
            <w:noWrap w:val="0"/>
            <w:vAlign w:val="center"/>
          </w:tcPr>
          <w:p w14:paraId="6105AF59">
            <w:pPr>
              <w:jc w:val="center"/>
              <w:rPr>
                <w:rFonts w:hint="eastAsia" w:ascii="宋体" w:hAnsi="宋体" w:eastAsia="宋体" w:cs="宋体"/>
                <w:i w:val="0"/>
                <w:iCs w:val="0"/>
                <w:color w:val="auto"/>
                <w:sz w:val="20"/>
                <w:szCs w:val="20"/>
                <w:highlight w:val="none"/>
                <w:u w:val="none"/>
              </w:rPr>
            </w:pPr>
          </w:p>
        </w:tc>
        <w:tc>
          <w:tcPr>
            <w:tcW w:w="831" w:type="dxa"/>
            <w:tcBorders>
              <w:top w:val="single" w:color="000000" w:sz="4" w:space="0"/>
              <w:left w:val="single" w:color="000000" w:sz="4" w:space="0"/>
              <w:bottom w:val="single" w:color="000000" w:sz="4" w:space="0"/>
              <w:right w:val="single" w:color="000000" w:sz="4" w:space="0"/>
            </w:tcBorders>
            <w:noWrap w:val="0"/>
            <w:vAlign w:val="center"/>
          </w:tcPr>
          <w:p w14:paraId="43A1BF6C">
            <w:pPr>
              <w:jc w:val="center"/>
              <w:rPr>
                <w:rFonts w:hint="eastAsia" w:ascii="宋体" w:hAnsi="宋体" w:eastAsia="宋体" w:cs="宋体"/>
                <w:i w:val="0"/>
                <w:iCs w:val="0"/>
                <w:color w:val="auto"/>
                <w:sz w:val="20"/>
                <w:szCs w:val="20"/>
                <w:highlight w:val="none"/>
                <w:u w:val="none"/>
              </w:rPr>
            </w:pP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74CED8AF">
            <w:pPr>
              <w:jc w:val="center"/>
              <w:rPr>
                <w:rFonts w:hint="eastAsia" w:ascii="宋体" w:hAnsi="宋体" w:eastAsia="宋体" w:cs="宋体"/>
                <w:i w:val="0"/>
                <w:iCs w:val="0"/>
                <w:color w:val="auto"/>
                <w:sz w:val="20"/>
                <w:szCs w:val="20"/>
                <w:highlight w:val="none"/>
                <w:u w:val="none"/>
              </w:rPr>
            </w:pPr>
          </w:p>
        </w:tc>
      </w:tr>
      <w:tr w14:paraId="5C513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91" w:type="dxa"/>
            <w:tcBorders>
              <w:top w:val="single" w:color="000000" w:sz="4" w:space="0"/>
              <w:left w:val="single" w:color="000000" w:sz="4" w:space="0"/>
              <w:bottom w:val="single" w:color="000000" w:sz="4" w:space="0"/>
              <w:right w:val="single" w:color="000000" w:sz="4" w:space="0"/>
            </w:tcBorders>
            <w:noWrap/>
            <w:vAlign w:val="center"/>
          </w:tcPr>
          <w:p w14:paraId="3D55BE0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w:t>
            </w:r>
          </w:p>
        </w:tc>
        <w:tc>
          <w:tcPr>
            <w:tcW w:w="2019" w:type="dxa"/>
            <w:tcBorders>
              <w:top w:val="single" w:color="000000" w:sz="4" w:space="0"/>
              <w:left w:val="single" w:color="000000" w:sz="4" w:space="0"/>
              <w:bottom w:val="single" w:color="000000" w:sz="4" w:space="0"/>
              <w:right w:val="single" w:color="000000" w:sz="4" w:space="0"/>
            </w:tcBorders>
            <w:noWrap/>
            <w:vAlign w:val="center"/>
          </w:tcPr>
          <w:p w14:paraId="0398972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铜排</w:t>
            </w:r>
          </w:p>
        </w:tc>
        <w:tc>
          <w:tcPr>
            <w:tcW w:w="1745" w:type="dxa"/>
            <w:tcBorders>
              <w:top w:val="single" w:color="000000" w:sz="4" w:space="0"/>
              <w:left w:val="single" w:color="000000" w:sz="4" w:space="0"/>
              <w:bottom w:val="single" w:color="000000" w:sz="4" w:space="0"/>
              <w:right w:val="single" w:color="000000" w:sz="4" w:space="0"/>
            </w:tcBorders>
            <w:noWrap w:val="0"/>
            <w:vAlign w:val="center"/>
          </w:tcPr>
          <w:p w14:paraId="45F4934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TMY 1*20*3</w:t>
            </w:r>
          </w:p>
        </w:tc>
        <w:tc>
          <w:tcPr>
            <w:tcW w:w="927" w:type="dxa"/>
            <w:tcBorders>
              <w:top w:val="single" w:color="000000" w:sz="4" w:space="0"/>
              <w:left w:val="single" w:color="000000" w:sz="4" w:space="0"/>
              <w:bottom w:val="single" w:color="000000" w:sz="4" w:space="0"/>
              <w:right w:val="single" w:color="000000" w:sz="4" w:space="0"/>
            </w:tcBorders>
            <w:noWrap/>
            <w:vAlign w:val="center"/>
          </w:tcPr>
          <w:p w14:paraId="244C1B4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米</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D98F25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996" w:type="dxa"/>
            <w:tcBorders>
              <w:top w:val="single" w:color="000000" w:sz="4" w:space="0"/>
              <w:left w:val="single" w:color="000000" w:sz="4" w:space="0"/>
              <w:bottom w:val="single" w:color="000000" w:sz="4" w:space="0"/>
              <w:right w:val="single" w:color="000000" w:sz="4" w:space="0"/>
            </w:tcBorders>
            <w:noWrap w:val="0"/>
            <w:vAlign w:val="center"/>
          </w:tcPr>
          <w:p w14:paraId="7827A0C4">
            <w:pPr>
              <w:jc w:val="center"/>
              <w:rPr>
                <w:rFonts w:hint="eastAsia" w:ascii="宋体" w:hAnsi="宋体" w:eastAsia="宋体" w:cs="宋体"/>
                <w:i w:val="0"/>
                <w:iCs w:val="0"/>
                <w:color w:val="auto"/>
                <w:sz w:val="20"/>
                <w:szCs w:val="20"/>
                <w:highlight w:val="none"/>
                <w:u w:val="none"/>
              </w:rPr>
            </w:pPr>
          </w:p>
        </w:tc>
        <w:tc>
          <w:tcPr>
            <w:tcW w:w="831" w:type="dxa"/>
            <w:tcBorders>
              <w:top w:val="single" w:color="000000" w:sz="4" w:space="0"/>
              <w:left w:val="single" w:color="000000" w:sz="4" w:space="0"/>
              <w:bottom w:val="single" w:color="000000" w:sz="4" w:space="0"/>
              <w:right w:val="single" w:color="000000" w:sz="4" w:space="0"/>
            </w:tcBorders>
            <w:noWrap w:val="0"/>
            <w:vAlign w:val="center"/>
          </w:tcPr>
          <w:p w14:paraId="2AE65E97">
            <w:pPr>
              <w:jc w:val="center"/>
              <w:rPr>
                <w:rFonts w:hint="eastAsia" w:ascii="宋体" w:hAnsi="宋体" w:eastAsia="宋体" w:cs="宋体"/>
                <w:i w:val="0"/>
                <w:iCs w:val="0"/>
                <w:color w:val="auto"/>
                <w:sz w:val="20"/>
                <w:szCs w:val="20"/>
                <w:highlight w:val="none"/>
                <w:u w:val="none"/>
              </w:rPr>
            </w:pP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14D09116">
            <w:pPr>
              <w:jc w:val="center"/>
              <w:rPr>
                <w:rFonts w:hint="eastAsia" w:ascii="宋体" w:hAnsi="宋体" w:eastAsia="宋体" w:cs="宋体"/>
                <w:i w:val="0"/>
                <w:iCs w:val="0"/>
                <w:color w:val="auto"/>
                <w:sz w:val="20"/>
                <w:szCs w:val="20"/>
                <w:highlight w:val="none"/>
                <w:u w:val="none"/>
              </w:rPr>
            </w:pPr>
          </w:p>
        </w:tc>
      </w:tr>
      <w:tr w14:paraId="5E26F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91" w:type="dxa"/>
            <w:tcBorders>
              <w:top w:val="single" w:color="000000" w:sz="4" w:space="0"/>
              <w:left w:val="single" w:color="000000" w:sz="4" w:space="0"/>
              <w:bottom w:val="single" w:color="000000" w:sz="4" w:space="0"/>
              <w:right w:val="single" w:color="000000" w:sz="4" w:space="0"/>
            </w:tcBorders>
            <w:noWrap/>
            <w:vAlign w:val="center"/>
          </w:tcPr>
          <w:p w14:paraId="3223ECC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w:t>
            </w:r>
          </w:p>
        </w:tc>
        <w:tc>
          <w:tcPr>
            <w:tcW w:w="2019" w:type="dxa"/>
            <w:tcBorders>
              <w:top w:val="single" w:color="000000" w:sz="4" w:space="0"/>
              <w:left w:val="single" w:color="000000" w:sz="4" w:space="0"/>
              <w:bottom w:val="single" w:color="000000" w:sz="4" w:space="0"/>
              <w:right w:val="single" w:color="000000" w:sz="4" w:space="0"/>
            </w:tcBorders>
            <w:noWrap/>
            <w:vAlign w:val="center"/>
          </w:tcPr>
          <w:p w14:paraId="461EB1D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熔断器体</w:t>
            </w:r>
          </w:p>
        </w:tc>
        <w:tc>
          <w:tcPr>
            <w:tcW w:w="1745" w:type="dxa"/>
            <w:tcBorders>
              <w:top w:val="single" w:color="000000" w:sz="4" w:space="0"/>
              <w:left w:val="single" w:color="000000" w:sz="4" w:space="0"/>
              <w:bottom w:val="single" w:color="000000" w:sz="4" w:space="0"/>
              <w:right w:val="single" w:color="000000" w:sz="4" w:space="0"/>
            </w:tcBorders>
            <w:noWrap w:val="0"/>
            <w:vAlign w:val="center"/>
          </w:tcPr>
          <w:p w14:paraId="668B9A0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RT16-000 100A+RT16-00Z</w:t>
            </w:r>
          </w:p>
        </w:tc>
        <w:tc>
          <w:tcPr>
            <w:tcW w:w="927" w:type="dxa"/>
            <w:tcBorders>
              <w:top w:val="single" w:color="000000" w:sz="4" w:space="0"/>
              <w:left w:val="single" w:color="000000" w:sz="4" w:space="0"/>
              <w:bottom w:val="single" w:color="000000" w:sz="4" w:space="0"/>
              <w:right w:val="single" w:color="000000" w:sz="4" w:space="0"/>
            </w:tcBorders>
            <w:noWrap/>
            <w:vAlign w:val="center"/>
          </w:tcPr>
          <w:p w14:paraId="4EEA095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只</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3AC6A2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996" w:type="dxa"/>
            <w:tcBorders>
              <w:top w:val="single" w:color="000000" w:sz="4" w:space="0"/>
              <w:left w:val="single" w:color="000000" w:sz="4" w:space="0"/>
              <w:bottom w:val="single" w:color="000000" w:sz="4" w:space="0"/>
              <w:right w:val="single" w:color="000000" w:sz="4" w:space="0"/>
            </w:tcBorders>
            <w:noWrap w:val="0"/>
            <w:vAlign w:val="center"/>
          </w:tcPr>
          <w:p w14:paraId="30DD741F">
            <w:pPr>
              <w:jc w:val="center"/>
              <w:rPr>
                <w:rFonts w:hint="eastAsia" w:ascii="宋体" w:hAnsi="宋体" w:eastAsia="宋体" w:cs="宋体"/>
                <w:i w:val="0"/>
                <w:iCs w:val="0"/>
                <w:color w:val="auto"/>
                <w:sz w:val="20"/>
                <w:szCs w:val="20"/>
                <w:highlight w:val="none"/>
                <w:u w:val="none"/>
              </w:rPr>
            </w:pPr>
          </w:p>
        </w:tc>
        <w:tc>
          <w:tcPr>
            <w:tcW w:w="831" w:type="dxa"/>
            <w:tcBorders>
              <w:top w:val="single" w:color="000000" w:sz="4" w:space="0"/>
              <w:left w:val="single" w:color="000000" w:sz="4" w:space="0"/>
              <w:bottom w:val="single" w:color="000000" w:sz="4" w:space="0"/>
              <w:right w:val="single" w:color="000000" w:sz="4" w:space="0"/>
            </w:tcBorders>
            <w:noWrap w:val="0"/>
            <w:vAlign w:val="center"/>
          </w:tcPr>
          <w:p w14:paraId="70686871">
            <w:pPr>
              <w:jc w:val="center"/>
              <w:rPr>
                <w:rFonts w:hint="eastAsia" w:ascii="宋体" w:hAnsi="宋体" w:eastAsia="宋体" w:cs="宋体"/>
                <w:i w:val="0"/>
                <w:iCs w:val="0"/>
                <w:color w:val="auto"/>
                <w:sz w:val="20"/>
                <w:szCs w:val="20"/>
                <w:highlight w:val="none"/>
                <w:u w:val="none"/>
              </w:rPr>
            </w:pP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1E6817AE">
            <w:pPr>
              <w:jc w:val="center"/>
              <w:rPr>
                <w:rFonts w:hint="eastAsia" w:ascii="宋体" w:hAnsi="宋体" w:eastAsia="宋体" w:cs="宋体"/>
                <w:i w:val="0"/>
                <w:iCs w:val="0"/>
                <w:color w:val="auto"/>
                <w:sz w:val="20"/>
                <w:szCs w:val="20"/>
                <w:highlight w:val="none"/>
                <w:u w:val="none"/>
              </w:rPr>
            </w:pPr>
          </w:p>
        </w:tc>
      </w:tr>
      <w:tr w14:paraId="749F6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091" w:type="dxa"/>
            <w:tcBorders>
              <w:top w:val="single" w:color="000000" w:sz="4" w:space="0"/>
              <w:left w:val="single" w:color="000000" w:sz="4" w:space="0"/>
              <w:bottom w:val="single" w:color="000000" w:sz="4" w:space="0"/>
              <w:right w:val="single" w:color="000000" w:sz="4" w:space="0"/>
            </w:tcBorders>
            <w:noWrap/>
            <w:vAlign w:val="center"/>
          </w:tcPr>
          <w:p w14:paraId="1F8426B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19</w:t>
            </w:r>
          </w:p>
        </w:tc>
        <w:tc>
          <w:tcPr>
            <w:tcW w:w="2019" w:type="dxa"/>
            <w:tcBorders>
              <w:top w:val="single" w:color="000000" w:sz="4" w:space="0"/>
              <w:left w:val="single" w:color="000000" w:sz="4" w:space="0"/>
              <w:bottom w:val="single" w:color="000000" w:sz="4" w:space="0"/>
              <w:right w:val="single" w:color="000000" w:sz="4" w:space="0"/>
            </w:tcBorders>
            <w:noWrap/>
            <w:vAlign w:val="center"/>
          </w:tcPr>
          <w:p w14:paraId="54C8E87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电流互感器</w:t>
            </w:r>
          </w:p>
        </w:tc>
        <w:tc>
          <w:tcPr>
            <w:tcW w:w="1745" w:type="dxa"/>
            <w:tcBorders>
              <w:top w:val="single" w:color="000000" w:sz="4" w:space="0"/>
              <w:left w:val="single" w:color="000000" w:sz="4" w:space="0"/>
              <w:bottom w:val="single" w:color="000000" w:sz="4" w:space="0"/>
              <w:right w:val="single" w:color="000000" w:sz="4" w:space="0"/>
            </w:tcBorders>
            <w:noWrap w:val="0"/>
            <w:vAlign w:val="center"/>
          </w:tcPr>
          <w:p w14:paraId="51B0EF1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LMK-0.66 0.5级 250/5 φ30 1匝</w:t>
            </w:r>
          </w:p>
        </w:tc>
        <w:tc>
          <w:tcPr>
            <w:tcW w:w="927" w:type="dxa"/>
            <w:tcBorders>
              <w:top w:val="single" w:color="000000" w:sz="4" w:space="0"/>
              <w:left w:val="single" w:color="000000" w:sz="4" w:space="0"/>
              <w:bottom w:val="single" w:color="000000" w:sz="4" w:space="0"/>
              <w:right w:val="single" w:color="000000" w:sz="4" w:space="0"/>
            </w:tcBorders>
            <w:noWrap/>
            <w:vAlign w:val="center"/>
          </w:tcPr>
          <w:p w14:paraId="2036D6D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只</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3C44FF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w:t>
            </w:r>
          </w:p>
        </w:tc>
        <w:tc>
          <w:tcPr>
            <w:tcW w:w="996" w:type="dxa"/>
            <w:tcBorders>
              <w:top w:val="single" w:color="000000" w:sz="4" w:space="0"/>
              <w:left w:val="single" w:color="000000" w:sz="4" w:space="0"/>
              <w:bottom w:val="single" w:color="000000" w:sz="4" w:space="0"/>
              <w:right w:val="single" w:color="000000" w:sz="4" w:space="0"/>
            </w:tcBorders>
            <w:noWrap w:val="0"/>
            <w:vAlign w:val="center"/>
          </w:tcPr>
          <w:p w14:paraId="326590F3">
            <w:pPr>
              <w:jc w:val="center"/>
              <w:rPr>
                <w:rFonts w:hint="eastAsia" w:ascii="宋体" w:hAnsi="宋体" w:eastAsia="宋体" w:cs="宋体"/>
                <w:i w:val="0"/>
                <w:iCs w:val="0"/>
                <w:color w:val="auto"/>
                <w:sz w:val="20"/>
                <w:szCs w:val="20"/>
                <w:highlight w:val="none"/>
                <w:u w:val="none"/>
              </w:rPr>
            </w:pPr>
          </w:p>
        </w:tc>
        <w:tc>
          <w:tcPr>
            <w:tcW w:w="831" w:type="dxa"/>
            <w:tcBorders>
              <w:top w:val="single" w:color="000000" w:sz="4" w:space="0"/>
              <w:left w:val="single" w:color="000000" w:sz="4" w:space="0"/>
              <w:bottom w:val="single" w:color="000000" w:sz="4" w:space="0"/>
              <w:right w:val="single" w:color="000000" w:sz="4" w:space="0"/>
            </w:tcBorders>
            <w:noWrap w:val="0"/>
            <w:vAlign w:val="center"/>
          </w:tcPr>
          <w:p w14:paraId="3C0522F7">
            <w:pPr>
              <w:jc w:val="center"/>
              <w:rPr>
                <w:rFonts w:hint="eastAsia" w:ascii="宋体" w:hAnsi="宋体" w:eastAsia="宋体" w:cs="宋体"/>
                <w:i w:val="0"/>
                <w:iCs w:val="0"/>
                <w:color w:val="auto"/>
                <w:sz w:val="20"/>
                <w:szCs w:val="20"/>
                <w:highlight w:val="none"/>
                <w:u w:val="none"/>
              </w:rPr>
            </w:pP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6CDAFF1B">
            <w:pPr>
              <w:jc w:val="center"/>
              <w:rPr>
                <w:rFonts w:hint="eastAsia" w:ascii="宋体" w:hAnsi="宋体" w:eastAsia="宋体" w:cs="宋体"/>
                <w:i w:val="0"/>
                <w:iCs w:val="0"/>
                <w:color w:val="auto"/>
                <w:sz w:val="20"/>
                <w:szCs w:val="20"/>
                <w:highlight w:val="none"/>
                <w:u w:val="none"/>
              </w:rPr>
            </w:pPr>
          </w:p>
        </w:tc>
      </w:tr>
      <w:tr w14:paraId="0486C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091" w:type="dxa"/>
            <w:tcBorders>
              <w:top w:val="single" w:color="000000" w:sz="4" w:space="0"/>
              <w:left w:val="single" w:color="000000" w:sz="4" w:space="0"/>
              <w:bottom w:val="single" w:color="000000" w:sz="4" w:space="0"/>
              <w:right w:val="single" w:color="000000" w:sz="4" w:space="0"/>
            </w:tcBorders>
            <w:noWrap/>
            <w:vAlign w:val="center"/>
          </w:tcPr>
          <w:p w14:paraId="038AD517">
            <w:pPr>
              <w:jc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20</w:t>
            </w:r>
          </w:p>
        </w:tc>
        <w:tc>
          <w:tcPr>
            <w:tcW w:w="2019" w:type="dxa"/>
            <w:tcBorders>
              <w:top w:val="single" w:color="000000" w:sz="4" w:space="0"/>
              <w:left w:val="single" w:color="000000" w:sz="4" w:space="0"/>
              <w:bottom w:val="single" w:color="000000" w:sz="4" w:space="0"/>
              <w:right w:val="single" w:color="000000" w:sz="4" w:space="0"/>
            </w:tcBorders>
            <w:noWrap/>
            <w:vAlign w:val="center"/>
          </w:tcPr>
          <w:p w14:paraId="470EA92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北湖电力电缆</w:t>
            </w:r>
          </w:p>
        </w:tc>
        <w:tc>
          <w:tcPr>
            <w:tcW w:w="1745" w:type="dxa"/>
            <w:tcBorders>
              <w:top w:val="single" w:color="000000" w:sz="4" w:space="0"/>
              <w:left w:val="single" w:color="000000" w:sz="4" w:space="0"/>
              <w:bottom w:val="single" w:color="000000" w:sz="4" w:space="0"/>
              <w:right w:val="single" w:color="000000" w:sz="4" w:space="0"/>
            </w:tcBorders>
            <w:noWrap w:val="0"/>
            <w:vAlign w:val="center"/>
          </w:tcPr>
          <w:p w14:paraId="28C2F24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YJV22</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4*50+1*25</w:t>
            </w:r>
          </w:p>
        </w:tc>
        <w:tc>
          <w:tcPr>
            <w:tcW w:w="927" w:type="dxa"/>
            <w:tcBorders>
              <w:top w:val="single" w:color="000000" w:sz="4" w:space="0"/>
              <w:left w:val="single" w:color="000000" w:sz="4" w:space="0"/>
              <w:bottom w:val="single" w:color="000000" w:sz="4" w:space="0"/>
              <w:right w:val="single" w:color="000000" w:sz="4" w:space="0"/>
            </w:tcBorders>
            <w:noWrap/>
            <w:vAlign w:val="center"/>
          </w:tcPr>
          <w:p w14:paraId="24EAED4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米</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20E059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120</w:t>
            </w:r>
          </w:p>
        </w:tc>
        <w:tc>
          <w:tcPr>
            <w:tcW w:w="996" w:type="dxa"/>
            <w:tcBorders>
              <w:top w:val="single" w:color="000000" w:sz="4" w:space="0"/>
              <w:left w:val="single" w:color="000000" w:sz="4" w:space="0"/>
              <w:bottom w:val="single" w:color="000000" w:sz="4" w:space="0"/>
              <w:right w:val="single" w:color="000000" w:sz="4" w:space="0"/>
            </w:tcBorders>
            <w:noWrap w:val="0"/>
            <w:vAlign w:val="center"/>
          </w:tcPr>
          <w:p w14:paraId="1B9E4AF0">
            <w:pPr>
              <w:jc w:val="center"/>
              <w:rPr>
                <w:rFonts w:hint="eastAsia" w:ascii="宋体" w:hAnsi="宋体" w:eastAsia="宋体" w:cs="宋体"/>
                <w:i w:val="0"/>
                <w:iCs w:val="0"/>
                <w:color w:val="auto"/>
                <w:sz w:val="20"/>
                <w:szCs w:val="20"/>
                <w:highlight w:val="none"/>
                <w:u w:val="none"/>
              </w:rPr>
            </w:pPr>
          </w:p>
        </w:tc>
        <w:tc>
          <w:tcPr>
            <w:tcW w:w="831" w:type="dxa"/>
            <w:tcBorders>
              <w:top w:val="single" w:color="000000" w:sz="4" w:space="0"/>
              <w:left w:val="single" w:color="000000" w:sz="4" w:space="0"/>
              <w:bottom w:val="single" w:color="000000" w:sz="4" w:space="0"/>
              <w:right w:val="single" w:color="000000" w:sz="4" w:space="0"/>
            </w:tcBorders>
            <w:noWrap w:val="0"/>
            <w:vAlign w:val="center"/>
          </w:tcPr>
          <w:p w14:paraId="1A3BFC56">
            <w:pPr>
              <w:jc w:val="center"/>
              <w:rPr>
                <w:rFonts w:hint="eastAsia" w:ascii="宋体" w:hAnsi="宋体" w:eastAsia="宋体" w:cs="宋体"/>
                <w:i w:val="0"/>
                <w:iCs w:val="0"/>
                <w:color w:val="auto"/>
                <w:sz w:val="20"/>
                <w:szCs w:val="20"/>
                <w:highlight w:val="none"/>
                <w:u w:val="none"/>
              </w:rPr>
            </w:pP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3ED25EAB">
            <w:pPr>
              <w:jc w:val="center"/>
              <w:rPr>
                <w:rFonts w:hint="eastAsia" w:ascii="宋体" w:hAnsi="宋体" w:eastAsia="宋体" w:cs="宋体"/>
                <w:i w:val="0"/>
                <w:iCs w:val="0"/>
                <w:color w:val="auto"/>
                <w:sz w:val="20"/>
                <w:szCs w:val="20"/>
                <w:highlight w:val="none"/>
                <w:u w:val="none"/>
              </w:rPr>
            </w:pPr>
          </w:p>
        </w:tc>
      </w:tr>
      <w:tr w14:paraId="2718A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091" w:type="dxa"/>
            <w:tcBorders>
              <w:top w:val="single" w:color="000000" w:sz="4" w:space="0"/>
              <w:left w:val="single" w:color="000000" w:sz="4" w:space="0"/>
              <w:bottom w:val="single" w:color="000000" w:sz="4" w:space="0"/>
              <w:right w:val="single" w:color="000000" w:sz="4" w:space="0"/>
            </w:tcBorders>
            <w:noWrap/>
            <w:vAlign w:val="center"/>
          </w:tcPr>
          <w:p w14:paraId="568B8483">
            <w:pPr>
              <w:jc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21</w:t>
            </w:r>
          </w:p>
        </w:tc>
        <w:tc>
          <w:tcPr>
            <w:tcW w:w="2019" w:type="dxa"/>
            <w:tcBorders>
              <w:top w:val="single" w:color="000000" w:sz="4" w:space="0"/>
              <w:left w:val="single" w:color="000000" w:sz="4" w:space="0"/>
              <w:bottom w:val="single" w:color="000000" w:sz="4" w:space="0"/>
              <w:right w:val="single" w:color="000000" w:sz="4" w:space="0"/>
            </w:tcBorders>
            <w:noWrap/>
            <w:vAlign w:val="center"/>
          </w:tcPr>
          <w:p w14:paraId="384DEC0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北湖电缆施工</w:t>
            </w:r>
          </w:p>
        </w:tc>
        <w:tc>
          <w:tcPr>
            <w:tcW w:w="1745" w:type="dxa"/>
            <w:tcBorders>
              <w:top w:val="single" w:color="000000" w:sz="4" w:space="0"/>
              <w:left w:val="single" w:color="000000" w:sz="4" w:space="0"/>
              <w:bottom w:val="single" w:color="000000" w:sz="4" w:space="0"/>
              <w:right w:val="single" w:color="000000" w:sz="4" w:space="0"/>
            </w:tcBorders>
            <w:noWrap w:val="0"/>
            <w:vAlign w:val="center"/>
          </w:tcPr>
          <w:p w14:paraId="01EFF74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抽、放</w:t>
            </w:r>
          </w:p>
        </w:tc>
        <w:tc>
          <w:tcPr>
            <w:tcW w:w="927" w:type="dxa"/>
            <w:tcBorders>
              <w:top w:val="single" w:color="000000" w:sz="4" w:space="0"/>
              <w:left w:val="single" w:color="000000" w:sz="4" w:space="0"/>
              <w:bottom w:val="single" w:color="000000" w:sz="4" w:space="0"/>
              <w:right w:val="single" w:color="000000" w:sz="4" w:space="0"/>
            </w:tcBorders>
            <w:noWrap/>
            <w:vAlign w:val="center"/>
          </w:tcPr>
          <w:p w14:paraId="5B304BA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米</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03883FD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120</w:t>
            </w:r>
          </w:p>
        </w:tc>
        <w:tc>
          <w:tcPr>
            <w:tcW w:w="996" w:type="dxa"/>
            <w:tcBorders>
              <w:top w:val="single" w:color="000000" w:sz="4" w:space="0"/>
              <w:left w:val="single" w:color="000000" w:sz="4" w:space="0"/>
              <w:bottom w:val="single" w:color="000000" w:sz="4" w:space="0"/>
              <w:right w:val="single" w:color="000000" w:sz="4" w:space="0"/>
            </w:tcBorders>
            <w:noWrap w:val="0"/>
            <w:vAlign w:val="center"/>
          </w:tcPr>
          <w:p w14:paraId="4B4905E0">
            <w:pPr>
              <w:jc w:val="center"/>
              <w:rPr>
                <w:rFonts w:hint="eastAsia" w:ascii="宋体" w:hAnsi="宋体" w:eastAsia="宋体" w:cs="宋体"/>
                <w:i w:val="0"/>
                <w:iCs w:val="0"/>
                <w:color w:val="auto"/>
                <w:sz w:val="20"/>
                <w:szCs w:val="20"/>
                <w:highlight w:val="none"/>
                <w:u w:val="none"/>
              </w:rPr>
            </w:pPr>
          </w:p>
        </w:tc>
        <w:tc>
          <w:tcPr>
            <w:tcW w:w="831" w:type="dxa"/>
            <w:tcBorders>
              <w:top w:val="single" w:color="000000" w:sz="4" w:space="0"/>
              <w:left w:val="single" w:color="000000" w:sz="4" w:space="0"/>
              <w:bottom w:val="single" w:color="000000" w:sz="4" w:space="0"/>
              <w:right w:val="single" w:color="000000" w:sz="4" w:space="0"/>
            </w:tcBorders>
            <w:noWrap w:val="0"/>
            <w:vAlign w:val="center"/>
          </w:tcPr>
          <w:p w14:paraId="7BADB243">
            <w:pPr>
              <w:jc w:val="center"/>
              <w:rPr>
                <w:rFonts w:hint="eastAsia" w:ascii="宋体" w:hAnsi="宋体" w:eastAsia="宋体" w:cs="宋体"/>
                <w:i w:val="0"/>
                <w:iCs w:val="0"/>
                <w:color w:val="auto"/>
                <w:sz w:val="20"/>
                <w:szCs w:val="20"/>
                <w:highlight w:val="none"/>
                <w:u w:val="none"/>
              </w:rPr>
            </w:pP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7B7232F9">
            <w:pPr>
              <w:jc w:val="center"/>
              <w:rPr>
                <w:rFonts w:hint="eastAsia" w:ascii="宋体" w:hAnsi="宋体" w:eastAsia="宋体" w:cs="宋体"/>
                <w:i w:val="0"/>
                <w:iCs w:val="0"/>
                <w:color w:val="auto"/>
                <w:sz w:val="20"/>
                <w:szCs w:val="20"/>
                <w:highlight w:val="none"/>
                <w:u w:val="none"/>
              </w:rPr>
            </w:pPr>
          </w:p>
        </w:tc>
      </w:tr>
      <w:tr w14:paraId="64BB4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4E2BE">
            <w:pPr>
              <w:keepNext w:val="0"/>
              <w:keepLines w:val="0"/>
              <w:widowControl/>
              <w:suppressLineNumbers w:val="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22</w:t>
            </w:r>
          </w:p>
        </w:tc>
        <w:tc>
          <w:tcPr>
            <w:tcW w:w="2019" w:type="dxa"/>
            <w:tcBorders>
              <w:top w:val="single" w:color="000000" w:sz="4" w:space="0"/>
              <w:left w:val="single" w:color="000000" w:sz="4" w:space="0"/>
              <w:bottom w:val="single" w:color="000000" w:sz="4" w:space="0"/>
              <w:right w:val="single" w:color="000000" w:sz="4" w:space="0"/>
            </w:tcBorders>
            <w:noWrap/>
            <w:vAlign w:val="center"/>
          </w:tcPr>
          <w:p w14:paraId="684DEF1C">
            <w:pPr>
              <w:keepNext w:val="0"/>
              <w:keepLines w:val="0"/>
              <w:widowControl/>
              <w:suppressLineNumbers w:val="0"/>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北湖废旧电缆回收抵扣</w:t>
            </w:r>
          </w:p>
        </w:tc>
        <w:tc>
          <w:tcPr>
            <w:tcW w:w="1745" w:type="dxa"/>
            <w:tcBorders>
              <w:top w:val="single" w:color="000000" w:sz="4" w:space="0"/>
              <w:left w:val="single" w:color="000000" w:sz="4" w:space="0"/>
              <w:bottom w:val="single" w:color="000000" w:sz="4" w:space="0"/>
              <w:right w:val="single" w:color="000000" w:sz="4" w:space="0"/>
            </w:tcBorders>
            <w:noWrap w:val="0"/>
            <w:vAlign w:val="center"/>
          </w:tcPr>
          <w:p w14:paraId="78529ECB">
            <w:pPr>
              <w:keepNext w:val="0"/>
              <w:keepLines w:val="0"/>
              <w:widowControl/>
              <w:suppressLineNumbers w:val="0"/>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YJV22</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w:t>
            </w:r>
            <w:r>
              <w:rPr>
                <w:rFonts w:hint="eastAsia" w:ascii="宋体" w:hAnsi="宋体" w:cs="宋体"/>
                <w:i w:val="0"/>
                <w:iCs w:val="0"/>
                <w:color w:val="auto"/>
                <w:kern w:val="0"/>
                <w:sz w:val="20"/>
                <w:szCs w:val="20"/>
                <w:highlight w:val="none"/>
                <w:u w:val="none"/>
                <w:lang w:val="en-US" w:eastAsia="zh-CN" w:bidi="ar"/>
              </w:rPr>
              <w:t>25</w:t>
            </w:r>
            <w:r>
              <w:rPr>
                <w:rFonts w:hint="eastAsia" w:ascii="宋体" w:hAnsi="宋体" w:eastAsia="宋体" w:cs="宋体"/>
                <w:i w:val="0"/>
                <w:iCs w:val="0"/>
                <w:color w:val="auto"/>
                <w:kern w:val="0"/>
                <w:sz w:val="20"/>
                <w:szCs w:val="20"/>
                <w:highlight w:val="none"/>
                <w:u w:val="none"/>
                <w:lang w:val="en-US" w:eastAsia="zh-CN" w:bidi="ar"/>
              </w:rPr>
              <w:t>+1*</w:t>
            </w:r>
            <w:r>
              <w:rPr>
                <w:rFonts w:hint="eastAsia" w:ascii="宋体" w:hAnsi="宋体" w:cs="宋体"/>
                <w:i w:val="0"/>
                <w:iCs w:val="0"/>
                <w:color w:val="auto"/>
                <w:kern w:val="0"/>
                <w:sz w:val="20"/>
                <w:szCs w:val="20"/>
                <w:highlight w:val="none"/>
                <w:u w:val="none"/>
                <w:lang w:val="en-US" w:eastAsia="zh-CN" w:bidi="ar"/>
              </w:rPr>
              <w:t>16</w:t>
            </w:r>
          </w:p>
        </w:tc>
        <w:tc>
          <w:tcPr>
            <w:tcW w:w="927" w:type="dxa"/>
            <w:tcBorders>
              <w:top w:val="single" w:color="000000" w:sz="4" w:space="0"/>
              <w:left w:val="single" w:color="000000" w:sz="4" w:space="0"/>
              <w:bottom w:val="single" w:color="000000" w:sz="4" w:space="0"/>
              <w:right w:val="single" w:color="000000" w:sz="4" w:space="0"/>
            </w:tcBorders>
            <w:noWrap/>
            <w:vAlign w:val="center"/>
          </w:tcPr>
          <w:p w14:paraId="640D4091">
            <w:pPr>
              <w:keepNext w:val="0"/>
              <w:keepLines w:val="0"/>
              <w:widowControl/>
              <w:suppressLineNumbers w:val="0"/>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米</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02B4F93">
            <w:pPr>
              <w:keepNext w:val="0"/>
              <w:keepLines w:val="0"/>
              <w:widowControl/>
              <w:suppressLineNumbers w:val="0"/>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120</w:t>
            </w:r>
          </w:p>
        </w:tc>
        <w:tc>
          <w:tcPr>
            <w:tcW w:w="996" w:type="dxa"/>
            <w:tcBorders>
              <w:top w:val="single" w:color="000000" w:sz="4" w:space="0"/>
              <w:left w:val="single" w:color="000000" w:sz="4" w:space="0"/>
              <w:bottom w:val="single" w:color="000000" w:sz="4" w:space="0"/>
              <w:right w:val="single" w:color="000000" w:sz="4" w:space="0"/>
            </w:tcBorders>
            <w:noWrap w:val="0"/>
            <w:vAlign w:val="center"/>
          </w:tcPr>
          <w:p w14:paraId="111C03D8">
            <w:pPr>
              <w:jc w:val="center"/>
              <w:rPr>
                <w:rFonts w:hint="eastAsia" w:ascii="宋体" w:hAnsi="宋体" w:eastAsia="宋体" w:cs="宋体"/>
                <w:i w:val="0"/>
                <w:iCs w:val="0"/>
                <w:color w:val="auto"/>
                <w:sz w:val="20"/>
                <w:szCs w:val="20"/>
                <w:highlight w:val="none"/>
                <w:u w:val="none"/>
              </w:rPr>
            </w:pPr>
          </w:p>
        </w:tc>
        <w:tc>
          <w:tcPr>
            <w:tcW w:w="831" w:type="dxa"/>
            <w:tcBorders>
              <w:top w:val="single" w:color="000000" w:sz="4" w:space="0"/>
              <w:left w:val="single" w:color="000000" w:sz="4" w:space="0"/>
              <w:bottom w:val="single" w:color="000000" w:sz="4" w:space="0"/>
              <w:right w:val="single" w:color="000000" w:sz="4" w:space="0"/>
            </w:tcBorders>
            <w:noWrap w:val="0"/>
            <w:vAlign w:val="center"/>
          </w:tcPr>
          <w:p w14:paraId="2C8904BF">
            <w:pPr>
              <w:jc w:val="center"/>
              <w:rPr>
                <w:rFonts w:hint="eastAsia" w:ascii="宋体" w:hAnsi="宋体" w:eastAsia="宋体" w:cs="宋体"/>
                <w:i w:val="0"/>
                <w:iCs w:val="0"/>
                <w:color w:val="auto"/>
                <w:sz w:val="20"/>
                <w:szCs w:val="20"/>
                <w:highlight w:val="none"/>
                <w:u w:val="none"/>
              </w:rPr>
            </w:pP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4BFA8E7E">
            <w:pPr>
              <w:jc w:val="center"/>
              <w:rPr>
                <w:rFonts w:hint="eastAsia" w:ascii="宋体" w:hAnsi="宋体" w:eastAsia="宋体" w:cs="宋体"/>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由各投标人自行报价回收，回收费用直接抵扣本次项目工程款。</w:t>
            </w:r>
          </w:p>
        </w:tc>
      </w:tr>
      <w:tr w14:paraId="60003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DA5D5">
            <w:pPr>
              <w:keepNext w:val="0"/>
              <w:keepLines w:val="0"/>
              <w:widowControl/>
              <w:suppressLineNumbers w:val="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23</w:t>
            </w:r>
          </w:p>
        </w:tc>
        <w:tc>
          <w:tcPr>
            <w:tcW w:w="2019" w:type="dxa"/>
            <w:tcBorders>
              <w:top w:val="single" w:color="000000" w:sz="4" w:space="0"/>
              <w:left w:val="single" w:color="000000" w:sz="4" w:space="0"/>
              <w:bottom w:val="single" w:color="000000" w:sz="4" w:space="0"/>
              <w:right w:val="single" w:color="000000" w:sz="4" w:space="0"/>
            </w:tcBorders>
            <w:noWrap/>
            <w:vAlign w:val="center"/>
          </w:tcPr>
          <w:p w14:paraId="52D9319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辅料</w:t>
            </w:r>
          </w:p>
        </w:tc>
        <w:tc>
          <w:tcPr>
            <w:tcW w:w="1745" w:type="dxa"/>
            <w:tcBorders>
              <w:top w:val="single" w:color="000000" w:sz="4" w:space="0"/>
              <w:left w:val="single" w:color="000000" w:sz="4" w:space="0"/>
              <w:bottom w:val="single" w:color="000000" w:sz="4" w:space="0"/>
              <w:right w:val="single" w:color="000000" w:sz="4" w:space="0"/>
            </w:tcBorders>
            <w:noWrap w:val="0"/>
            <w:vAlign w:val="center"/>
          </w:tcPr>
          <w:p w14:paraId="0D5166C4">
            <w:pPr>
              <w:jc w:val="center"/>
              <w:rPr>
                <w:rFonts w:hint="eastAsia" w:ascii="宋体" w:hAnsi="宋体" w:eastAsia="宋体" w:cs="宋体"/>
                <w:i w:val="0"/>
                <w:iCs w:val="0"/>
                <w:color w:val="auto"/>
                <w:sz w:val="20"/>
                <w:szCs w:val="20"/>
                <w:highlight w:val="none"/>
                <w:u w:val="none"/>
              </w:rPr>
            </w:pPr>
          </w:p>
        </w:tc>
        <w:tc>
          <w:tcPr>
            <w:tcW w:w="927" w:type="dxa"/>
            <w:tcBorders>
              <w:top w:val="single" w:color="000000" w:sz="4" w:space="0"/>
              <w:left w:val="single" w:color="000000" w:sz="4" w:space="0"/>
              <w:bottom w:val="single" w:color="000000" w:sz="4" w:space="0"/>
              <w:right w:val="single" w:color="000000" w:sz="4" w:space="0"/>
            </w:tcBorders>
            <w:noWrap/>
            <w:vAlign w:val="center"/>
          </w:tcPr>
          <w:p w14:paraId="4E1D019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4C89C7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996" w:type="dxa"/>
            <w:tcBorders>
              <w:top w:val="single" w:color="000000" w:sz="4" w:space="0"/>
              <w:left w:val="single" w:color="000000" w:sz="4" w:space="0"/>
              <w:bottom w:val="single" w:color="000000" w:sz="4" w:space="0"/>
              <w:right w:val="single" w:color="000000" w:sz="4" w:space="0"/>
            </w:tcBorders>
            <w:noWrap w:val="0"/>
            <w:vAlign w:val="center"/>
          </w:tcPr>
          <w:p w14:paraId="2FCB44BC">
            <w:pPr>
              <w:jc w:val="center"/>
              <w:rPr>
                <w:rFonts w:hint="eastAsia" w:ascii="宋体" w:hAnsi="宋体" w:eastAsia="宋体" w:cs="宋体"/>
                <w:i w:val="0"/>
                <w:iCs w:val="0"/>
                <w:color w:val="auto"/>
                <w:sz w:val="20"/>
                <w:szCs w:val="20"/>
                <w:highlight w:val="none"/>
                <w:u w:val="none"/>
              </w:rPr>
            </w:pPr>
          </w:p>
        </w:tc>
        <w:tc>
          <w:tcPr>
            <w:tcW w:w="831" w:type="dxa"/>
            <w:tcBorders>
              <w:top w:val="single" w:color="000000" w:sz="4" w:space="0"/>
              <w:left w:val="single" w:color="000000" w:sz="4" w:space="0"/>
              <w:bottom w:val="single" w:color="000000" w:sz="4" w:space="0"/>
              <w:right w:val="single" w:color="000000" w:sz="4" w:space="0"/>
            </w:tcBorders>
            <w:noWrap w:val="0"/>
            <w:vAlign w:val="center"/>
          </w:tcPr>
          <w:p w14:paraId="03022C7C">
            <w:pPr>
              <w:jc w:val="center"/>
              <w:rPr>
                <w:rFonts w:hint="eastAsia" w:ascii="宋体" w:hAnsi="宋体" w:eastAsia="宋体" w:cs="宋体"/>
                <w:i w:val="0"/>
                <w:iCs w:val="0"/>
                <w:color w:val="auto"/>
                <w:sz w:val="20"/>
                <w:szCs w:val="20"/>
                <w:highlight w:val="none"/>
                <w:u w:val="none"/>
              </w:rPr>
            </w:pP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510A488F">
            <w:pPr>
              <w:jc w:val="center"/>
              <w:rPr>
                <w:rFonts w:hint="eastAsia" w:ascii="宋体" w:hAnsi="宋体" w:eastAsia="宋体" w:cs="宋体"/>
                <w:i w:val="0"/>
                <w:iCs w:val="0"/>
                <w:color w:val="auto"/>
                <w:sz w:val="20"/>
                <w:szCs w:val="20"/>
                <w:highlight w:val="none"/>
                <w:u w:val="none"/>
              </w:rPr>
            </w:pPr>
          </w:p>
        </w:tc>
      </w:tr>
      <w:tr w14:paraId="1C626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A5F68">
            <w:pPr>
              <w:keepNext w:val="0"/>
              <w:keepLines w:val="0"/>
              <w:widowControl/>
              <w:suppressLineNumbers w:val="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24</w:t>
            </w:r>
          </w:p>
        </w:tc>
        <w:tc>
          <w:tcPr>
            <w:tcW w:w="2019" w:type="dxa"/>
            <w:tcBorders>
              <w:top w:val="single" w:color="000000" w:sz="4" w:space="0"/>
              <w:left w:val="single" w:color="000000" w:sz="4" w:space="0"/>
              <w:bottom w:val="single" w:color="000000" w:sz="4" w:space="0"/>
              <w:right w:val="single" w:color="000000" w:sz="4" w:space="0"/>
            </w:tcBorders>
            <w:noWrap/>
            <w:vAlign w:val="center"/>
          </w:tcPr>
          <w:p w14:paraId="2B4C236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试验费</w:t>
            </w:r>
          </w:p>
        </w:tc>
        <w:tc>
          <w:tcPr>
            <w:tcW w:w="1745" w:type="dxa"/>
            <w:tcBorders>
              <w:top w:val="single" w:color="000000" w:sz="4" w:space="0"/>
              <w:left w:val="single" w:color="000000" w:sz="4" w:space="0"/>
              <w:bottom w:val="single" w:color="000000" w:sz="4" w:space="0"/>
              <w:right w:val="single" w:color="000000" w:sz="4" w:space="0"/>
            </w:tcBorders>
            <w:noWrap w:val="0"/>
            <w:vAlign w:val="center"/>
          </w:tcPr>
          <w:p w14:paraId="11A3012F">
            <w:pPr>
              <w:jc w:val="center"/>
              <w:rPr>
                <w:rFonts w:hint="eastAsia" w:ascii="宋体" w:hAnsi="宋体" w:eastAsia="宋体" w:cs="宋体"/>
                <w:i w:val="0"/>
                <w:iCs w:val="0"/>
                <w:color w:val="auto"/>
                <w:sz w:val="20"/>
                <w:szCs w:val="20"/>
                <w:highlight w:val="none"/>
                <w:u w:val="none"/>
              </w:rPr>
            </w:pPr>
          </w:p>
        </w:tc>
        <w:tc>
          <w:tcPr>
            <w:tcW w:w="927" w:type="dxa"/>
            <w:tcBorders>
              <w:top w:val="single" w:color="000000" w:sz="4" w:space="0"/>
              <w:left w:val="single" w:color="000000" w:sz="4" w:space="0"/>
              <w:bottom w:val="single" w:color="000000" w:sz="4" w:space="0"/>
              <w:right w:val="single" w:color="000000" w:sz="4" w:space="0"/>
            </w:tcBorders>
            <w:noWrap/>
            <w:vAlign w:val="center"/>
          </w:tcPr>
          <w:p w14:paraId="0C8F0BA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06B8E22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996" w:type="dxa"/>
            <w:tcBorders>
              <w:top w:val="single" w:color="000000" w:sz="4" w:space="0"/>
              <w:left w:val="single" w:color="000000" w:sz="4" w:space="0"/>
              <w:bottom w:val="single" w:color="000000" w:sz="4" w:space="0"/>
              <w:right w:val="single" w:color="000000" w:sz="4" w:space="0"/>
            </w:tcBorders>
            <w:noWrap w:val="0"/>
            <w:vAlign w:val="center"/>
          </w:tcPr>
          <w:p w14:paraId="4FEF8818">
            <w:pPr>
              <w:jc w:val="center"/>
              <w:rPr>
                <w:rFonts w:hint="eastAsia" w:ascii="宋体" w:hAnsi="宋体" w:eastAsia="宋体" w:cs="宋体"/>
                <w:i w:val="0"/>
                <w:iCs w:val="0"/>
                <w:color w:val="auto"/>
                <w:sz w:val="20"/>
                <w:szCs w:val="20"/>
                <w:highlight w:val="none"/>
                <w:u w:val="none"/>
              </w:rPr>
            </w:pPr>
          </w:p>
        </w:tc>
        <w:tc>
          <w:tcPr>
            <w:tcW w:w="831" w:type="dxa"/>
            <w:tcBorders>
              <w:top w:val="single" w:color="000000" w:sz="4" w:space="0"/>
              <w:left w:val="single" w:color="000000" w:sz="4" w:space="0"/>
              <w:bottom w:val="single" w:color="000000" w:sz="4" w:space="0"/>
              <w:right w:val="single" w:color="000000" w:sz="4" w:space="0"/>
            </w:tcBorders>
            <w:noWrap w:val="0"/>
            <w:vAlign w:val="center"/>
          </w:tcPr>
          <w:p w14:paraId="1EE3217D">
            <w:pPr>
              <w:jc w:val="center"/>
              <w:rPr>
                <w:rFonts w:hint="eastAsia" w:ascii="宋体" w:hAnsi="宋体" w:eastAsia="宋体" w:cs="宋体"/>
                <w:i w:val="0"/>
                <w:iCs w:val="0"/>
                <w:color w:val="auto"/>
                <w:sz w:val="20"/>
                <w:szCs w:val="20"/>
                <w:highlight w:val="none"/>
                <w:u w:val="none"/>
              </w:rPr>
            </w:pP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355C65BE">
            <w:pPr>
              <w:jc w:val="center"/>
              <w:rPr>
                <w:rFonts w:hint="eastAsia" w:ascii="宋体" w:hAnsi="宋体" w:eastAsia="宋体" w:cs="宋体"/>
                <w:i w:val="0"/>
                <w:iCs w:val="0"/>
                <w:color w:val="auto"/>
                <w:sz w:val="20"/>
                <w:szCs w:val="20"/>
                <w:highlight w:val="none"/>
                <w:u w:val="none"/>
              </w:rPr>
            </w:pPr>
          </w:p>
        </w:tc>
      </w:tr>
      <w:tr w14:paraId="7F053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0D503">
            <w:pPr>
              <w:keepNext w:val="0"/>
              <w:keepLines w:val="0"/>
              <w:widowControl/>
              <w:suppressLineNumbers w:val="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25</w:t>
            </w:r>
          </w:p>
        </w:tc>
        <w:tc>
          <w:tcPr>
            <w:tcW w:w="2019" w:type="dxa"/>
            <w:tcBorders>
              <w:top w:val="single" w:color="000000" w:sz="4" w:space="0"/>
              <w:left w:val="single" w:color="000000" w:sz="4" w:space="0"/>
              <w:bottom w:val="single" w:color="000000" w:sz="4" w:space="0"/>
              <w:right w:val="single" w:color="000000" w:sz="4" w:space="0"/>
            </w:tcBorders>
            <w:noWrap/>
            <w:vAlign w:val="center"/>
          </w:tcPr>
          <w:p w14:paraId="0357375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人工费</w:t>
            </w:r>
          </w:p>
        </w:tc>
        <w:tc>
          <w:tcPr>
            <w:tcW w:w="1745" w:type="dxa"/>
            <w:tcBorders>
              <w:top w:val="single" w:color="000000" w:sz="4" w:space="0"/>
              <w:left w:val="single" w:color="000000" w:sz="4" w:space="0"/>
              <w:bottom w:val="single" w:color="000000" w:sz="4" w:space="0"/>
              <w:right w:val="single" w:color="000000" w:sz="4" w:space="0"/>
            </w:tcBorders>
            <w:noWrap w:val="0"/>
            <w:vAlign w:val="center"/>
          </w:tcPr>
          <w:p w14:paraId="6BE2E519">
            <w:pPr>
              <w:jc w:val="center"/>
              <w:rPr>
                <w:rFonts w:hint="eastAsia" w:ascii="宋体" w:hAnsi="宋体" w:eastAsia="宋体" w:cs="宋体"/>
                <w:i w:val="0"/>
                <w:iCs w:val="0"/>
                <w:color w:val="auto"/>
                <w:sz w:val="20"/>
                <w:szCs w:val="20"/>
                <w:highlight w:val="none"/>
                <w:u w:val="none"/>
              </w:rPr>
            </w:pPr>
          </w:p>
        </w:tc>
        <w:tc>
          <w:tcPr>
            <w:tcW w:w="927" w:type="dxa"/>
            <w:tcBorders>
              <w:top w:val="single" w:color="000000" w:sz="4" w:space="0"/>
              <w:left w:val="single" w:color="000000" w:sz="4" w:space="0"/>
              <w:bottom w:val="single" w:color="000000" w:sz="4" w:space="0"/>
              <w:right w:val="single" w:color="000000" w:sz="4" w:space="0"/>
            </w:tcBorders>
            <w:noWrap/>
            <w:vAlign w:val="center"/>
          </w:tcPr>
          <w:p w14:paraId="3B61C5F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D1FA4D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996" w:type="dxa"/>
            <w:tcBorders>
              <w:top w:val="single" w:color="000000" w:sz="4" w:space="0"/>
              <w:left w:val="single" w:color="000000" w:sz="4" w:space="0"/>
              <w:bottom w:val="single" w:color="000000" w:sz="4" w:space="0"/>
              <w:right w:val="single" w:color="000000" w:sz="4" w:space="0"/>
            </w:tcBorders>
            <w:noWrap w:val="0"/>
            <w:vAlign w:val="center"/>
          </w:tcPr>
          <w:p w14:paraId="3527A87D">
            <w:pPr>
              <w:jc w:val="center"/>
              <w:rPr>
                <w:rFonts w:hint="eastAsia" w:ascii="宋体" w:hAnsi="宋体" w:eastAsia="宋体" w:cs="宋体"/>
                <w:i w:val="0"/>
                <w:iCs w:val="0"/>
                <w:color w:val="auto"/>
                <w:sz w:val="20"/>
                <w:szCs w:val="20"/>
                <w:highlight w:val="none"/>
                <w:u w:val="none"/>
              </w:rPr>
            </w:pPr>
          </w:p>
        </w:tc>
        <w:tc>
          <w:tcPr>
            <w:tcW w:w="831" w:type="dxa"/>
            <w:tcBorders>
              <w:top w:val="single" w:color="000000" w:sz="4" w:space="0"/>
              <w:left w:val="single" w:color="000000" w:sz="4" w:space="0"/>
              <w:bottom w:val="single" w:color="000000" w:sz="4" w:space="0"/>
              <w:right w:val="single" w:color="000000" w:sz="4" w:space="0"/>
            </w:tcBorders>
            <w:noWrap w:val="0"/>
            <w:vAlign w:val="center"/>
          </w:tcPr>
          <w:p w14:paraId="3AAE04AB">
            <w:pPr>
              <w:jc w:val="center"/>
              <w:rPr>
                <w:rFonts w:hint="eastAsia" w:ascii="宋体" w:hAnsi="宋体" w:eastAsia="宋体" w:cs="宋体"/>
                <w:i w:val="0"/>
                <w:iCs w:val="0"/>
                <w:color w:val="auto"/>
                <w:sz w:val="20"/>
                <w:szCs w:val="20"/>
                <w:highlight w:val="none"/>
                <w:u w:val="none"/>
              </w:rPr>
            </w:pP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4C0EF7B3">
            <w:pPr>
              <w:jc w:val="center"/>
              <w:rPr>
                <w:rFonts w:hint="eastAsia" w:ascii="宋体" w:hAnsi="宋体" w:eastAsia="宋体" w:cs="宋体"/>
                <w:i w:val="0"/>
                <w:iCs w:val="0"/>
                <w:color w:val="auto"/>
                <w:sz w:val="20"/>
                <w:szCs w:val="20"/>
                <w:highlight w:val="none"/>
                <w:u w:val="none"/>
              </w:rPr>
            </w:pPr>
          </w:p>
        </w:tc>
      </w:tr>
      <w:tr w14:paraId="62449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91" w:type="dxa"/>
            <w:tcBorders>
              <w:top w:val="single" w:color="000000" w:sz="4" w:space="0"/>
              <w:left w:val="single" w:color="000000" w:sz="4" w:space="0"/>
              <w:bottom w:val="single" w:color="000000" w:sz="4" w:space="0"/>
              <w:right w:val="single" w:color="000000" w:sz="4" w:space="0"/>
            </w:tcBorders>
            <w:noWrap/>
            <w:vAlign w:val="center"/>
          </w:tcPr>
          <w:p w14:paraId="628D4D9E">
            <w:pPr>
              <w:keepNext w:val="0"/>
              <w:keepLines w:val="0"/>
              <w:widowControl/>
              <w:suppressLineNumbers w:val="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2</w:t>
            </w:r>
            <w:r>
              <w:rPr>
                <w:rFonts w:hint="eastAsia" w:ascii="宋体" w:hAnsi="宋体" w:cs="宋体"/>
                <w:i w:val="0"/>
                <w:iCs w:val="0"/>
                <w:color w:val="auto"/>
                <w:kern w:val="0"/>
                <w:sz w:val="20"/>
                <w:szCs w:val="20"/>
                <w:highlight w:val="none"/>
                <w:u w:val="none"/>
                <w:lang w:val="en-US" w:eastAsia="zh-CN" w:bidi="ar"/>
              </w:rPr>
              <w:t>6</w:t>
            </w:r>
          </w:p>
        </w:tc>
        <w:tc>
          <w:tcPr>
            <w:tcW w:w="2019" w:type="dxa"/>
            <w:tcBorders>
              <w:top w:val="single" w:color="000000" w:sz="4" w:space="0"/>
              <w:left w:val="single" w:color="000000" w:sz="4" w:space="0"/>
              <w:bottom w:val="single" w:color="000000" w:sz="4" w:space="0"/>
              <w:right w:val="single" w:color="000000" w:sz="4" w:space="0"/>
            </w:tcBorders>
            <w:noWrap w:val="0"/>
            <w:vAlign w:val="center"/>
          </w:tcPr>
          <w:p w14:paraId="5E3597A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税金</w:t>
            </w:r>
          </w:p>
        </w:tc>
        <w:tc>
          <w:tcPr>
            <w:tcW w:w="1745" w:type="dxa"/>
            <w:tcBorders>
              <w:top w:val="single" w:color="000000" w:sz="4" w:space="0"/>
              <w:left w:val="single" w:color="000000" w:sz="4" w:space="0"/>
              <w:bottom w:val="single" w:color="000000" w:sz="4" w:space="0"/>
              <w:right w:val="single" w:color="000000" w:sz="4" w:space="0"/>
            </w:tcBorders>
            <w:noWrap w:val="0"/>
            <w:vAlign w:val="center"/>
          </w:tcPr>
          <w:p w14:paraId="5C03D81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9%专票</w:t>
            </w:r>
          </w:p>
        </w:tc>
        <w:tc>
          <w:tcPr>
            <w:tcW w:w="927" w:type="dxa"/>
            <w:tcBorders>
              <w:top w:val="single" w:color="000000" w:sz="4" w:space="0"/>
              <w:left w:val="single" w:color="000000" w:sz="4" w:space="0"/>
              <w:bottom w:val="single" w:color="000000" w:sz="4" w:space="0"/>
              <w:right w:val="single" w:color="000000" w:sz="4" w:space="0"/>
            </w:tcBorders>
            <w:noWrap/>
            <w:vAlign w:val="center"/>
          </w:tcPr>
          <w:p w14:paraId="6227DFF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57DCC6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996" w:type="dxa"/>
            <w:tcBorders>
              <w:top w:val="single" w:color="000000" w:sz="4" w:space="0"/>
              <w:left w:val="single" w:color="000000" w:sz="4" w:space="0"/>
              <w:bottom w:val="single" w:color="000000" w:sz="4" w:space="0"/>
              <w:right w:val="single" w:color="000000" w:sz="4" w:space="0"/>
            </w:tcBorders>
            <w:noWrap w:val="0"/>
            <w:vAlign w:val="center"/>
          </w:tcPr>
          <w:p w14:paraId="797CC01C">
            <w:pPr>
              <w:jc w:val="center"/>
              <w:rPr>
                <w:rFonts w:hint="eastAsia" w:ascii="宋体" w:hAnsi="宋体" w:eastAsia="宋体" w:cs="宋体"/>
                <w:i w:val="0"/>
                <w:iCs w:val="0"/>
                <w:color w:val="auto"/>
                <w:sz w:val="20"/>
                <w:szCs w:val="20"/>
                <w:highlight w:val="none"/>
                <w:u w:val="none"/>
              </w:rPr>
            </w:pPr>
          </w:p>
        </w:tc>
        <w:tc>
          <w:tcPr>
            <w:tcW w:w="831" w:type="dxa"/>
            <w:tcBorders>
              <w:top w:val="single" w:color="000000" w:sz="4" w:space="0"/>
              <w:left w:val="single" w:color="000000" w:sz="4" w:space="0"/>
              <w:bottom w:val="single" w:color="000000" w:sz="4" w:space="0"/>
              <w:right w:val="single" w:color="000000" w:sz="4" w:space="0"/>
            </w:tcBorders>
            <w:noWrap w:val="0"/>
            <w:vAlign w:val="center"/>
          </w:tcPr>
          <w:p w14:paraId="20B591B6">
            <w:pPr>
              <w:jc w:val="center"/>
              <w:rPr>
                <w:rFonts w:hint="eastAsia" w:ascii="宋体" w:hAnsi="宋体" w:eastAsia="宋体" w:cs="宋体"/>
                <w:i w:val="0"/>
                <w:iCs w:val="0"/>
                <w:color w:val="auto"/>
                <w:sz w:val="20"/>
                <w:szCs w:val="20"/>
                <w:highlight w:val="none"/>
                <w:u w:val="none"/>
              </w:rPr>
            </w:pP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044C7FA6">
            <w:pPr>
              <w:jc w:val="center"/>
              <w:rPr>
                <w:rFonts w:hint="eastAsia" w:ascii="宋体" w:hAnsi="宋体" w:eastAsia="宋体" w:cs="宋体"/>
                <w:i w:val="0"/>
                <w:iCs w:val="0"/>
                <w:color w:val="auto"/>
                <w:sz w:val="20"/>
                <w:szCs w:val="20"/>
                <w:highlight w:val="none"/>
                <w:u w:val="none"/>
              </w:rPr>
            </w:pPr>
          </w:p>
        </w:tc>
      </w:tr>
      <w:tr w14:paraId="696FF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110" w:type="dxa"/>
            <w:gridSpan w:val="2"/>
            <w:tcBorders>
              <w:top w:val="single" w:color="000000" w:sz="4" w:space="0"/>
              <w:left w:val="single" w:color="000000" w:sz="4" w:space="0"/>
              <w:bottom w:val="single" w:color="000000" w:sz="4" w:space="0"/>
              <w:right w:val="single" w:color="000000" w:sz="4" w:space="0"/>
            </w:tcBorders>
            <w:noWrap/>
            <w:vAlign w:val="center"/>
          </w:tcPr>
          <w:p w14:paraId="0DFD1F6E">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合计</w:t>
            </w:r>
          </w:p>
        </w:tc>
        <w:tc>
          <w:tcPr>
            <w:tcW w:w="6790" w:type="dxa"/>
            <w:gridSpan w:val="6"/>
            <w:tcBorders>
              <w:top w:val="single" w:color="000000" w:sz="4" w:space="0"/>
              <w:left w:val="single" w:color="000000" w:sz="4" w:space="0"/>
              <w:bottom w:val="single" w:color="000000" w:sz="4" w:space="0"/>
              <w:right w:val="single" w:color="000000" w:sz="4" w:space="0"/>
            </w:tcBorders>
            <w:noWrap w:val="0"/>
            <w:vAlign w:val="center"/>
          </w:tcPr>
          <w:p w14:paraId="76B7D6EA">
            <w:pPr>
              <w:jc w:val="center"/>
              <w:rPr>
                <w:rFonts w:hint="eastAsia" w:ascii="宋体" w:hAnsi="宋体" w:eastAsia="宋体" w:cs="宋体"/>
                <w:i w:val="0"/>
                <w:iCs w:val="0"/>
                <w:color w:val="auto"/>
                <w:sz w:val="20"/>
                <w:szCs w:val="20"/>
                <w:highlight w:val="none"/>
                <w:u w:val="none"/>
              </w:rPr>
            </w:pPr>
          </w:p>
        </w:tc>
      </w:tr>
      <w:tr w14:paraId="0A12C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9900" w:type="dxa"/>
            <w:gridSpan w:val="8"/>
            <w:tcBorders>
              <w:top w:val="single" w:color="000000" w:sz="4" w:space="0"/>
              <w:left w:val="single" w:color="000000" w:sz="4" w:space="0"/>
              <w:bottom w:val="single" w:color="000000" w:sz="4" w:space="0"/>
              <w:right w:val="single" w:color="000000" w:sz="4" w:space="0"/>
            </w:tcBorders>
            <w:noWrap w:val="0"/>
            <w:vAlign w:val="center"/>
          </w:tcPr>
          <w:p w14:paraId="350516BB">
            <w:pPr>
              <w:keepNext w:val="0"/>
              <w:keepLines w:val="0"/>
              <w:widowControl/>
              <w:suppressLineNumbers w:val="0"/>
              <w:spacing w:line="360" w:lineRule="auto"/>
              <w:jc w:val="left"/>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注：</w:t>
            </w:r>
            <w:r>
              <w:rPr>
                <w:rFonts w:hint="eastAsia" w:ascii="宋体" w:hAnsi="宋体" w:cs="宋体"/>
                <w:b/>
                <w:bCs/>
                <w:i w:val="0"/>
                <w:iCs w:val="0"/>
                <w:color w:val="auto"/>
                <w:kern w:val="0"/>
                <w:sz w:val="21"/>
                <w:szCs w:val="21"/>
                <w:highlight w:val="none"/>
                <w:u w:val="none"/>
                <w:lang w:val="en-US" w:eastAsia="zh-CN" w:bidi="ar"/>
              </w:rPr>
              <w:t>1.</w:t>
            </w:r>
            <w:r>
              <w:rPr>
                <w:rFonts w:hint="eastAsia" w:ascii="宋体" w:hAnsi="宋体" w:eastAsia="宋体" w:cs="宋体"/>
                <w:b/>
                <w:bCs/>
                <w:i w:val="0"/>
                <w:iCs w:val="0"/>
                <w:color w:val="auto"/>
                <w:kern w:val="0"/>
                <w:sz w:val="21"/>
                <w:szCs w:val="21"/>
                <w:highlight w:val="none"/>
                <w:u w:val="none"/>
                <w:lang w:val="en-US" w:eastAsia="zh-CN" w:bidi="ar"/>
              </w:rPr>
              <w:t>清单中数量为预估量，具体由投标人结合结合图纸，自行踏勘现场，考虑报价，本项目为总价报价，即投标报价为完成本项目所有内容的价格，后期实施中招标人不再为此项目另外支付费用。</w:t>
            </w:r>
          </w:p>
          <w:p w14:paraId="7EE0740A">
            <w:pPr>
              <w:pStyle w:val="45"/>
              <w:spacing w:line="360" w:lineRule="auto"/>
              <w:ind w:left="0" w:leftChars="0" w:firstLine="0" w:firstLineChars="0"/>
              <w:jc w:val="left"/>
              <w:rPr>
                <w:rFonts w:hAnsi="宋体" w:cs="宋体"/>
                <w:b/>
                <w:bCs/>
                <w:color w:val="auto"/>
                <w:szCs w:val="21"/>
                <w:highlight w:val="none"/>
              </w:rPr>
            </w:pPr>
            <w:r>
              <w:rPr>
                <w:rFonts w:hint="eastAsia" w:hAnsi="宋体" w:cs="宋体"/>
                <w:b/>
                <w:bCs/>
                <w:color w:val="auto"/>
                <w:szCs w:val="21"/>
                <w:highlight w:val="none"/>
                <w:lang w:val="en-US" w:eastAsia="zh-CN"/>
              </w:rPr>
              <w:t>2</w:t>
            </w:r>
            <w:r>
              <w:rPr>
                <w:rFonts w:hint="eastAsia" w:hAnsi="宋体" w:cs="宋体"/>
                <w:b/>
                <w:bCs/>
                <w:color w:val="auto"/>
                <w:szCs w:val="21"/>
                <w:highlight w:val="none"/>
              </w:rPr>
              <w:t>.高压出线柜须带保护+断路器（满足供电公司验收要求）。</w:t>
            </w:r>
          </w:p>
          <w:p w14:paraId="190B4A7F">
            <w:pPr>
              <w:pStyle w:val="45"/>
              <w:spacing w:line="360" w:lineRule="auto"/>
              <w:ind w:left="0" w:leftChars="0" w:firstLine="0" w:firstLineChars="0"/>
              <w:jc w:val="left"/>
              <w:rPr>
                <w:rFonts w:hint="eastAsia" w:hAnsi="宋体" w:cs="宋体"/>
                <w:b/>
                <w:bCs/>
                <w:color w:val="auto"/>
                <w:szCs w:val="21"/>
                <w:highlight w:val="none"/>
              </w:rPr>
            </w:pPr>
            <w:r>
              <w:rPr>
                <w:rFonts w:hint="eastAsia" w:hAnsi="宋体" w:cs="宋体"/>
                <w:b/>
                <w:bCs/>
                <w:color w:val="auto"/>
                <w:szCs w:val="21"/>
                <w:highlight w:val="none"/>
                <w:lang w:val="en-US" w:eastAsia="zh-CN"/>
              </w:rPr>
              <w:t>3</w:t>
            </w:r>
            <w:r>
              <w:rPr>
                <w:rFonts w:hint="eastAsia" w:hAnsi="宋体" w:cs="宋体"/>
                <w:b/>
                <w:bCs/>
                <w:color w:val="auto"/>
                <w:szCs w:val="21"/>
                <w:highlight w:val="none"/>
              </w:rPr>
              <w:t>.本项目所涉及的所有拆除、安装等施工费用均含在投标总价中，招标人不单独支付额外费用。</w:t>
            </w:r>
          </w:p>
          <w:p w14:paraId="6C2451A1">
            <w:pPr>
              <w:spacing w:line="360" w:lineRule="auto"/>
              <w:rPr>
                <w:rFonts w:hint="eastAsia" w:ascii="宋体" w:hAnsi="宋体" w:eastAsia="宋体" w:cs="宋体"/>
                <w:b/>
                <w:bCs/>
                <w:color w:val="auto"/>
                <w:kern w:val="2"/>
                <w:sz w:val="21"/>
                <w:szCs w:val="21"/>
                <w:highlight w:val="none"/>
                <w:lang w:val="en-US" w:eastAsia="zh-CN" w:bidi="ar-SA"/>
              </w:rPr>
            </w:pPr>
            <w:r>
              <w:rPr>
                <w:rFonts w:hint="eastAsia" w:ascii="宋体" w:hAnsi="宋体" w:cs="宋体"/>
                <w:b/>
                <w:bCs/>
                <w:color w:val="auto"/>
                <w:kern w:val="2"/>
                <w:sz w:val="21"/>
                <w:szCs w:val="21"/>
                <w:highlight w:val="none"/>
                <w:lang w:val="en-US" w:eastAsia="zh-CN" w:bidi="ar-SA"/>
              </w:rPr>
              <w:t>4</w:t>
            </w:r>
            <w:r>
              <w:rPr>
                <w:rFonts w:hint="eastAsia" w:ascii="宋体" w:hAnsi="宋体" w:eastAsia="宋体" w:cs="宋体"/>
                <w:b/>
                <w:bCs/>
                <w:color w:val="auto"/>
                <w:kern w:val="2"/>
                <w:sz w:val="21"/>
                <w:szCs w:val="21"/>
                <w:highlight w:val="none"/>
                <w:lang w:val="en-US" w:eastAsia="zh-CN" w:bidi="ar-SA"/>
              </w:rPr>
              <w:t>.本次招标将废旧电缆由中标单位回收纳入投标内容，由各投标人对废旧电缆回收事项自行报价，废旧电缆处置所得费用直接抵扣本次项目工程款。</w:t>
            </w:r>
          </w:p>
          <w:p w14:paraId="0344CF85">
            <w:pPr>
              <w:pStyle w:val="2"/>
              <w:rPr>
                <w:rFonts w:hint="default"/>
                <w:color w:val="auto"/>
                <w:highlight w:val="none"/>
                <w:lang w:val="en-US" w:eastAsia="zh-CN"/>
              </w:rPr>
            </w:pPr>
            <w:r>
              <w:rPr>
                <w:rFonts w:hint="eastAsia" w:ascii="宋体" w:hAnsi="宋体" w:cs="宋体"/>
                <w:b/>
                <w:bCs/>
                <w:color w:val="auto"/>
                <w:kern w:val="2"/>
                <w:sz w:val="21"/>
                <w:szCs w:val="21"/>
                <w:highlight w:val="none"/>
                <w:lang w:val="en-US" w:eastAsia="zh-CN" w:bidi="ar-SA"/>
              </w:rPr>
              <w:t>5</w:t>
            </w:r>
            <w:r>
              <w:rPr>
                <w:rFonts w:hint="eastAsia" w:ascii="宋体" w:hAnsi="宋体" w:eastAsia="宋体" w:cs="宋体"/>
                <w:b/>
                <w:bCs/>
                <w:color w:val="auto"/>
                <w:kern w:val="2"/>
                <w:sz w:val="21"/>
                <w:szCs w:val="21"/>
                <w:highlight w:val="none"/>
                <w:lang w:val="en-US" w:eastAsia="zh-CN" w:bidi="ar-SA"/>
              </w:rPr>
              <w:t>.</w:t>
            </w:r>
            <w:r>
              <w:rPr>
                <w:rFonts w:hint="eastAsia" w:ascii="Courier New" w:hAnsi="Courier New" w:cs="Times New Roman"/>
                <w:b/>
                <w:bCs/>
                <w:color w:val="auto"/>
                <w:kern w:val="2"/>
                <w:sz w:val="21"/>
                <w:szCs w:val="21"/>
                <w:highlight w:val="none"/>
                <w:lang w:val="en-US" w:eastAsia="zh-CN" w:bidi="ar-SA"/>
              </w:rPr>
              <w:t>报价包含9%增值税专用发票，成交总价不作调整，后期不再另行增加费用。</w:t>
            </w:r>
          </w:p>
        </w:tc>
      </w:tr>
    </w:tbl>
    <w:p w14:paraId="62FA9509">
      <w:pPr>
        <w:rPr>
          <w:bCs/>
          <w:color w:val="auto"/>
          <w:szCs w:val="32"/>
          <w:highlight w:val="none"/>
        </w:rPr>
      </w:pPr>
    </w:p>
    <w:p w14:paraId="36CF168B">
      <w:pPr>
        <w:rPr>
          <w:bCs/>
          <w:color w:val="auto"/>
          <w:szCs w:val="32"/>
          <w:highlight w:val="none"/>
        </w:rPr>
      </w:pPr>
      <w:r>
        <w:rPr>
          <w:rFonts w:hint="eastAsia"/>
          <w:bCs/>
          <w:color w:val="auto"/>
          <w:szCs w:val="32"/>
          <w:highlight w:val="none"/>
        </w:rPr>
        <w:br w:type="page"/>
      </w:r>
    </w:p>
    <w:p w14:paraId="7F5DF220">
      <w:pPr>
        <w:pStyle w:val="42"/>
        <w:spacing w:beforeLines="50" w:afterLines="50" w:line="440" w:lineRule="exact"/>
        <w:rPr>
          <w:bCs/>
          <w:color w:val="auto"/>
          <w:szCs w:val="32"/>
          <w:highlight w:val="none"/>
        </w:rPr>
      </w:pPr>
      <w:r>
        <w:rPr>
          <w:rFonts w:hint="eastAsia"/>
          <w:bCs/>
          <w:color w:val="auto"/>
          <w:szCs w:val="32"/>
          <w:highlight w:val="none"/>
        </w:rPr>
        <w:t>第六章  投标文件格式</w:t>
      </w:r>
      <w:bookmarkEnd w:id="874"/>
      <w:bookmarkEnd w:id="875"/>
      <w:bookmarkEnd w:id="876"/>
      <w:bookmarkEnd w:id="877"/>
      <w:bookmarkEnd w:id="878"/>
      <w:bookmarkEnd w:id="879"/>
      <w:bookmarkEnd w:id="880"/>
      <w:bookmarkEnd w:id="881"/>
      <w:bookmarkEnd w:id="882"/>
      <w:bookmarkEnd w:id="883"/>
      <w:bookmarkEnd w:id="884"/>
      <w:bookmarkEnd w:id="885"/>
      <w:bookmarkEnd w:id="886"/>
      <w:bookmarkEnd w:id="895"/>
      <w:bookmarkEnd w:id="896"/>
      <w:bookmarkEnd w:id="897"/>
    </w:p>
    <w:p w14:paraId="710DB539">
      <w:pPr>
        <w:rPr>
          <w:color w:val="auto"/>
          <w:highlight w:val="none"/>
        </w:rPr>
      </w:pPr>
    </w:p>
    <w:p w14:paraId="735EAB87">
      <w:pPr>
        <w:rPr>
          <w:color w:val="auto"/>
          <w:highlight w:val="none"/>
        </w:rPr>
      </w:pPr>
    </w:p>
    <w:p w14:paraId="54E08D40">
      <w:pPr>
        <w:rPr>
          <w:color w:val="auto"/>
          <w:highlight w:val="none"/>
        </w:rPr>
      </w:pPr>
    </w:p>
    <w:p w14:paraId="34461B79">
      <w:pPr>
        <w:jc w:val="center"/>
        <w:rPr>
          <w:rFonts w:eastAsia="黑体"/>
          <w:color w:val="auto"/>
          <w:sz w:val="28"/>
          <w:szCs w:val="28"/>
          <w:highlight w:val="none"/>
        </w:rPr>
      </w:pPr>
    </w:p>
    <w:p w14:paraId="09735E68">
      <w:pPr>
        <w:jc w:val="center"/>
        <w:rPr>
          <w:rFonts w:eastAsia="黑体"/>
          <w:color w:val="auto"/>
          <w:sz w:val="28"/>
          <w:szCs w:val="28"/>
          <w:highlight w:val="none"/>
        </w:rPr>
      </w:pPr>
    </w:p>
    <w:p w14:paraId="10A64FC8">
      <w:pPr>
        <w:jc w:val="center"/>
        <w:rPr>
          <w:rFonts w:eastAsia="黑体"/>
          <w:color w:val="auto"/>
          <w:sz w:val="20"/>
          <w:szCs w:val="20"/>
          <w:highlight w:val="none"/>
        </w:rPr>
      </w:pPr>
      <w:r>
        <w:rPr>
          <w:rFonts w:eastAsia="黑体"/>
          <w:color w:val="auto"/>
          <w:sz w:val="28"/>
          <w:szCs w:val="28"/>
          <w:highlight w:val="none"/>
        </w:rPr>
        <w:t>（项目名称）</w:t>
      </w:r>
    </w:p>
    <w:p w14:paraId="1E436368">
      <w:pPr>
        <w:jc w:val="center"/>
        <w:rPr>
          <w:rFonts w:eastAsia="黑体"/>
          <w:color w:val="auto"/>
          <w:sz w:val="20"/>
          <w:szCs w:val="20"/>
          <w:highlight w:val="none"/>
        </w:rPr>
      </w:pPr>
    </w:p>
    <w:p w14:paraId="74C2A21F">
      <w:pPr>
        <w:jc w:val="center"/>
        <w:rPr>
          <w:rFonts w:eastAsia="黑体"/>
          <w:color w:val="auto"/>
          <w:sz w:val="20"/>
          <w:szCs w:val="20"/>
          <w:highlight w:val="none"/>
        </w:rPr>
      </w:pPr>
    </w:p>
    <w:p w14:paraId="51D62DA2">
      <w:pPr>
        <w:jc w:val="center"/>
        <w:rPr>
          <w:rFonts w:eastAsia="黑体"/>
          <w:color w:val="auto"/>
          <w:sz w:val="20"/>
          <w:szCs w:val="20"/>
          <w:highlight w:val="none"/>
        </w:rPr>
      </w:pPr>
    </w:p>
    <w:p w14:paraId="5ED91DE6">
      <w:pPr>
        <w:rPr>
          <w:rFonts w:eastAsia="黑体"/>
          <w:color w:val="auto"/>
          <w:sz w:val="20"/>
          <w:szCs w:val="20"/>
          <w:highlight w:val="none"/>
        </w:rPr>
      </w:pPr>
    </w:p>
    <w:p w14:paraId="4A9FAA76">
      <w:pPr>
        <w:jc w:val="center"/>
        <w:rPr>
          <w:rFonts w:eastAsia="黑体"/>
          <w:color w:val="auto"/>
          <w:sz w:val="44"/>
          <w:szCs w:val="44"/>
          <w:highlight w:val="none"/>
        </w:rPr>
      </w:pPr>
      <w:r>
        <w:rPr>
          <w:rFonts w:eastAsia="黑体"/>
          <w:color w:val="auto"/>
          <w:sz w:val="44"/>
          <w:szCs w:val="44"/>
          <w:highlight w:val="none"/>
        </w:rPr>
        <w:t>投  标  文  件</w:t>
      </w:r>
      <w:r>
        <w:rPr>
          <w:rFonts w:hint="eastAsia" w:eastAsia="黑体"/>
          <w:color w:val="auto"/>
          <w:sz w:val="44"/>
          <w:szCs w:val="44"/>
          <w:highlight w:val="none"/>
        </w:rPr>
        <w:t xml:space="preserve"> </w:t>
      </w:r>
    </w:p>
    <w:p w14:paraId="13CD678E">
      <w:pPr>
        <w:rPr>
          <w:rFonts w:eastAsia="黑体"/>
          <w:color w:val="auto"/>
          <w:sz w:val="28"/>
          <w:szCs w:val="28"/>
          <w:highlight w:val="none"/>
        </w:rPr>
      </w:pPr>
    </w:p>
    <w:p w14:paraId="411BDA64">
      <w:pPr>
        <w:rPr>
          <w:rFonts w:eastAsia="黑体"/>
          <w:color w:val="auto"/>
          <w:sz w:val="28"/>
          <w:szCs w:val="28"/>
          <w:highlight w:val="none"/>
        </w:rPr>
      </w:pPr>
    </w:p>
    <w:p w14:paraId="586617BF">
      <w:pPr>
        <w:rPr>
          <w:rFonts w:eastAsia="黑体"/>
          <w:color w:val="auto"/>
          <w:sz w:val="28"/>
          <w:szCs w:val="28"/>
          <w:highlight w:val="none"/>
        </w:rPr>
      </w:pPr>
    </w:p>
    <w:p w14:paraId="382E4EDF">
      <w:pPr>
        <w:rPr>
          <w:rFonts w:eastAsia="黑体"/>
          <w:color w:val="auto"/>
          <w:sz w:val="28"/>
          <w:szCs w:val="28"/>
          <w:highlight w:val="none"/>
        </w:rPr>
      </w:pPr>
    </w:p>
    <w:p w14:paraId="7FB9850B">
      <w:pPr>
        <w:pStyle w:val="45"/>
        <w:ind w:firstLine="420"/>
        <w:rPr>
          <w:rFonts w:ascii="Times New Roman"/>
          <w:color w:val="auto"/>
          <w:szCs w:val="24"/>
          <w:highlight w:val="none"/>
        </w:rPr>
      </w:pPr>
    </w:p>
    <w:p w14:paraId="4DCDFD83">
      <w:pPr>
        <w:rPr>
          <w:color w:val="auto"/>
          <w:highlight w:val="none"/>
        </w:rPr>
      </w:pPr>
    </w:p>
    <w:p w14:paraId="01422854">
      <w:pPr>
        <w:pStyle w:val="45"/>
        <w:ind w:firstLine="420"/>
        <w:rPr>
          <w:rFonts w:ascii="Times New Roman"/>
          <w:color w:val="auto"/>
          <w:szCs w:val="24"/>
          <w:highlight w:val="none"/>
        </w:rPr>
      </w:pPr>
    </w:p>
    <w:p w14:paraId="68A9B1D6">
      <w:pPr>
        <w:rPr>
          <w:color w:val="auto"/>
          <w:highlight w:val="none"/>
        </w:rPr>
      </w:pPr>
    </w:p>
    <w:p w14:paraId="6B40CF4C">
      <w:pPr>
        <w:pStyle w:val="45"/>
        <w:ind w:firstLine="420"/>
        <w:rPr>
          <w:color w:val="auto"/>
          <w:highlight w:val="none"/>
        </w:rPr>
      </w:pPr>
    </w:p>
    <w:p w14:paraId="21C8CAE0">
      <w:pPr>
        <w:rPr>
          <w:color w:val="auto"/>
          <w:highlight w:val="none"/>
        </w:rPr>
      </w:pPr>
    </w:p>
    <w:p w14:paraId="342A21D4">
      <w:pPr>
        <w:pStyle w:val="27"/>
        <w:rPr>
          <w:color w:val="auto"/>
          <w:highlight w:val="none"/>
        </w:rPr>
      </w:pPr>
    </w:p>
    <w:p w14:paraId="3D916DEB">
      <w:pPr>
        <w:pStyle w:val="45"/>
        <w:ind w:firstLine="420"/>
        <w:rPr>
          <w:color w:val="auto"/>
          <w:highlight w:val="none"/>
        </w:rPr>
      </w:pPr>
    </w:p>
    <w:p w14:paraId="26788C57">
      <w:pPr>
        <w:rPr>
          <w:color w:val="auto"/>
          <w:highlight w:val="none"/>
        </w:rPr>
      </w:pPr>
    </w:p>
    <w:p w14:paraId="676E30FC">
      <w:pPr>
        <w:pStyle w:val="27"/>
        <w:rPr>
          <w:color w:val="auto"/>
          <w:highlight w:val="none"/>
        </w:rPr>
      </w:pPr>
    </w:p>
    <w:p w14:paraId="2F198330">
      <w:pPr>
        <w:pStyle w:val="27"/>
        <w:rPr>
          <w:color w:val="auto"/>
          <w:highlight w:val="none"/>
        </w:rPr>
      </w:pPr>
    </w:p>
    <w:p w14:paraId="17A34F62">
      <w:pPr>
        <w:pStyle w:val="27"/>
        <w:rPr>
          <w:color w:val="auto"/>
          <w:highlight w:val="none"/>
        </w:rPr>
      </w:pPr>
    </w:p>
    <w:p w14:paraId="07EB0199">
      <w:pPr>
        <w:pStyle w:val="27"/>
        <w:rPr>
          <w:color w:val="auto"/>
          <w:highlight w:val="none"/>
        </w:rPr>
      </w:pPr>
    </w:p>
    <w:p w14:paraId="15707DEC">
      <w:pPr>
        <w:pStyle w:val="27"/>
        <w:rPr>
          <w:color w:val="auto"/>
          <w:highlight w:val="none"/>
        </w:rPr>
      </w:pPr>
    </w:p>
    <w:p w14:paraId="54D7C079">
      <w:pPr>
        <w:rPr>
          <w:rFonts w:eastAsia="黑体"/>
          <w:color w:val="auto"/>
          <w:sz w:val="28"/>
          <w:szCs w:val="28"/>
          <w:highlight w:val="none"/>
        </w:rPr>
      </w:pPr>
    </w:p>
    <w:p w14:paraId="3F1DACC1">
      <w:pPr>
        <w:rPr>
          <w:rFonts w:eastAsia="黑体"/>
          <w:color w:val="auto"/>
          <w:sz w:val="28"/>
          <w:szCs w:val="28"/>
          <w:highlight w:val="none"/>
        </w:rPr>
      </w:pPr>
    </w:p>
    <w:p w14:paraId="11D2B2EA">
      <w:pPr>
        <w:spacing w:line="720" w:lineRule="exact"/>
        <w:jc w:val="center"/>
        <w:rPr>
          <w:rFonts w:eastAsia="黑体"/>
          <w:color w:val="auto"/>
          <w:sz w:val="28"/>
          <w:szCs w:val="28"/>
          <w:highlight w:val="none"/>
          <w:u w:val="single"/>
        </w:rPr>
      </w:pPr>
      <w:r>
        <w:rPr>
          <w:rFonts w:hint="eastAsia" w:eastAsia="黑体"/>
          <w:color w:val="auto"/>
          <w:sz w:val="28"/>
          <w:szCs w:val="28"/>
          <w:highlight w:val="none"/>
        </w:rPr>
        <w:t xml:space="preserve"> 投标人</w:t>
      </w:r>
      <w:r>
        <w:rPr>
          <w:rFonts w:eastAsia="黑体"/>
          <w:color w:val="auto"/>
          <w:sz w:val="28"/>
          <w:szCs w:val="28"/>
          <w:highlight w:val="none"/>
        </w:rPr>
        <w:t>：</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eastAsia="黑体"/>
          <w:color w:val="auto"/>
          <w:sz w:val="28"/>
          <w:szCs w:val="28"/>
          <w:highlight w:val="none"/>
        </w:rPr>
        <w:t>（</w:t>
      </w:r>
      <w:r>
        <w:rPr>
          <w:rFonts w:hint="eastAsia" w:eastAsia="黑体"/>
          <w:color w:val="auto"/>
          <w:sz w:val="28"/>
          <w:szCs w:val="28"/>
          <w:highlight w:val="none"/>
        </w:rPr>
        <w:t>盖</w:t>
      </w:r>
      <w:r>
        <w:rPr>
          <w:rFonts w:eastAsia="黑体"/>
          <w:color w:val="auto"/>
          <w:sz w:val="28"/>
          <w:szCs w:val="28"/>
          <w:highlight w:val="none"/>
        </w:rPr>
        <w:t>章）</w:t>
      </w:r>
    </w:p>
    <w:p w14:paraId="062A127D">
      <w:pPr>
        <w:spacing w:line="720" w:lineRule="exact"/>
        <w:jc w:val="center"/>
        <w:rPr>
          <w:rFonts w:eastAsia="黑体"/>
          <w:color w:val="auto"/>
          <w:sz w:val="28"/>
          <w:szCs w:val="28"/>
          <w:highlight w:val="none"/>
        </w:rPr>
      </w:pPr>
      <w:r>
        <w:rPr>
          <w:rFonts w:hint="eastAsia" w:eastAsia="黑体"/>
          <w:color w:val="auto"/>
          <w:sz w:val="28"/>
          <w:szCs w:val="28"/>
          <w:highlight w:val="none"/>
        </w:rPr>
        <w:t xml:space="preserve">   </w:t>
      </w:r>
      <w:r>
        <w:rPr>
          <w:rFonts w:eastAsia="黑体"/>
          <w:color w:val="auto"/>
          <w:sz w:val="28"/>
          <w:szCs w:val="28"/>
          <w:highlight w:val="none"/>
        </w:rPr>
        <w:t>法定代表人</w:t>
      </w:r>
      <w:r>
        <w:rPr>
          <w:rFonts w:hint="eastAsia" w:eastAsia="黑体"/>
          <w:color w:val="auto"/>
          <w:sz w:val="28"/>
          <w:szCs w:val="28"/>
          <w:highlight w:val="none"/>
        </w:rPr>
        <w:t>或授权委托人</w:t>
      </w:r>
      <w:r>
        <w:rPr>
          <w:rFonts w:eastAsia="黑体"/>
          <w:color w:val="auto"/>
          <w:sz w:val="28"/>
          <w:szCs w:val="28"/>
          <w:highlight w:val="none"/>
        </w:rPr>
        <w:t>：</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eastAsia="黑体"/>
          <w:color w:val="auto"/>
          <w:sz w:val="28"/>
          <w:szCs w:val="28"/>
          <w:highlight w:val="none"/>
        </w:rPr>
        <w:t>（</w:t>
      </w:r>
      <w:r>
        <w:rPr>
          <w:rFonts w:hint="eastAsia" w:eastAsia="黑体"/>
          <w:color w:val="auto"/>
          <w:sz w:val="28"/>
          <w:szCs w:val="28"/>
          <w:highlight w:val="none"/>
        </w:rPr>
        <w:t>签字或盖章</w:t>
      </w:r>
      <w:r>
        <w:rPr>
          <w:rFonts w:eastAsia="黑体"/>
          <w:color w:val="auto"/>
          <w:sz w:val="28"/>
          <w:szCs w:val="28"/>
          <w:highlight w:val="none"/>
        </w:rPr>
        <w:t>）</w:t>
      </w:r>
    </w:p>
    <w:p w14:paraId="5DEFD47F">
      <w:pPr>
        <w:spacing w:line="720" w:lineRule="exact"/>
        <w:jc w:val="center"/>
        <w:rPr>
          <w:rFonts w:eastAsia="黑体"/>
          <w:color w:val="auto"/>
          <w:sz w:val="28"/>
          <w:szCs w:val="28"/>
          <w:highlight w:val="none"/>
        </w:rPr>
      </w:pPr>
      <w:r>
        <w:rPr>
          <w:rFonts w:hint="eastAsia" w:eastAsia="黑体"/>
          <w:color w:val="auto"/>
          <w:sz w:val="28"/>
          <w:szCs w:val="28"/>
          <w:highlight w:val="none"/>
          <w:u w:val="single"/>
        </w:rPr>
        <w:t xml:space="preserve">      </w:t>
      </w:r>
      <w:r>
        <w:rPr>
          <w:rFonts w:eastAsia="黑体"/>
          <w:color w:val="auto"/>
          <w:sz w:val="28"/>
          <w:szCs w:val="28"/>
          <w:highlight w:val="none"/>
        </w:rPr>
        <w:t>年</w:t>
      </w:r>
      <w:r>
        <w:rPr>
          <w:rFonts w:hint="eastAsia" w:eastAsia="黑体"/>
          <w:color w:val="auto"/>
          <w:sz w:val="28"/>
          <w:szCs w:val="28"/>
          <w:highlight w:val="none"/>
          <w:u w:val="single"/>
        </w:rPr>
        <w:t xml:space="preserve">     </w:t>
      </w:r>
      <w:r>
        <w:rPr>
          <w:rFonts w:eastAsia="黑体"/>
          <w:color w:val="auto"/>
          <w:sz w:val="28"/>
          <w:szCs w:val="28"/>
          <w:highlight w:val="none"/>
        </w:rPr>
        <w:t>月</w:t>
      </w:r>
      <w:r>
        <w:rPr>
          <w:rFonts w:hint="eastAsia" w:eastAsia="黑体"/>
          <w:color w:val="auto"/>
          <w:sz w:val="28"/>
          <w:szCs w:val="28"/>
          <w:highlight w:val="none"/>
          <w:u w:val="single"/>
        </w:rPr>
        <w:t xml:space="preserve">     </w:t>
      </w:r>
      <w:r>
        <w:rPr>
          <w:rFonts w:eastAsia="黑体"/>
          <w:color w:val="auto"/>
          <w:sz w:val="28"/>
          <w:szCs w:val="28"/>
          <w:highlight w:val="none"/>
        </w:rPr>
        <w:t>日</w:t>
      </w:r>
    </w:p>
    <w:p w14:paraId="651134EE">
      <w:pPr>
        <w:rPr>
          <w:color w:val="auto"/>
          <w:highlight w:val="none"/>
        </w:rPr>
      </w:pPr>
      <w:bookmarkStart w:id="898" w:name="_Toc12683"/>
      <w:bookmarkStart w:id="899" w:name="_Toc35425137"/>
      <w:bookmarkStart w:id="900" w:name="_Toc35424971"/>
    </w:p>
    <w:p w14:paraId="3C7EDDE4">
      <w:pPr>
        <w:spacing w:beforeLines="50" w:afterLines="50" w:line="440" w:lineRule="exact"/>
        <w:ind w:firstLine="643" w:firstLineChars="200"/>
        <w:jc w:val="center"/>
        <w:rPr>
          <w:rFonts w:ascii="宋体" w:hAnsi="宋体" w:cs="宋体"/>
          <w:b/>
          <w:color w:val="auto"/>
          <w:sz w:val="28"/>
          <w:szCs w:val="28"/>
          <w:highlight w:val="none"/>
        </w:rPr>
      </w:pPr>
      <w:bookmarkStart w:id="901" w:name="_Toc78803399"/>
      <w:r>
        <w:rPr>
          <w:rStyle w:val="65"/>
          <w:rFonts w:hint="eastAsia" w:ascii="宋体" w:hAnsi="宋体" w:cs="宋体"/>
          <w:color w:val="auto"/>
          <w:sz w:val="32"/>
          <w:highlight w:val="none"/>
        </w:rPr>
        <w:br w:type="page"/>
      </w:r>
      <w:bookmarkEnd w:id="898"/>
      <w:bookmarkEnd w:id="899"/>
      <w:bookmarkEnd w:id="900"/>
      <w:bookmarkEnd w:id="901"/>
      <w:r>
        <w:rPr>
          <w:rFonts w:hint="eastAsia" w:ascii="宋体" w:hAnsi="宋体" w:cs="宋体"/>
          <w:b/>
          <w:color w:val="auto"/>
          <w:sz w:val="28"/>
          <w:szCs w:val="28"/>
          <w:highlight w:val="none"/>
        </w:rPr>
        <w:t>目录</w:t>
      </w:r>
    </w:p>
    <w:p w14:paraId="66EB39CE">
      <w:pPr>
        <w:spacing w:line="500" w:lineRule="exact"/>
        <w:ind w:right="-168" w:rightChars="-80" w:firstLine="420" w:firstLineChars="200"/>
        <w:jc w:val="left"/>
        <w:rPr>
          <w:rFonts w:ascii="宋体" w:hAnsi="宋体" w:cs="宋体"/>
          <w:color w:val="auto"/>
          <w:szCs w:val="21"/>
          <w:highlight w:val="none"/>
        </w:rPr>
      </w:pPr>
      <w:r>
        <w:rPr>
          <w:rFonts w:hint="eastAsia" w:ascii="宋体" w:hAnsi="宋体" w:cs="宋体"/>
          <w:color w:val="auto"/>
          <w:szCs w:val="21"/>
          <w:highlight w:val="none"/>
        </w:rPr>
        <w:t>（1）法定代表人身份证明和本人有效身份证(或法定代表人授权委托书和委托代理人有效身份证)；</w:t>
      </w:r>
    </w:p>
    <w:p w14:paraId="54FC0C70">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（2）诚信投标承诺书（格式见附件）；</w:t>
      </w:r>
    </w:p>
    <w:p w14:paraId="1D6F506D">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（3）企业法人营业执照；</w:t>
      </w:r>
    </w:p>
    <w:p w14:paraId="636D442A">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（4）企业资质证书；</w:t>
      </w:r>
    </w:p>
    <w:p w14:paraId="56B25496">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（5）企业安全生产许可证；</w:t>
      </w:r>
    </w:p>
    <w:p w14:paraId="160ECF88">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（6）项目经理（建造师）有效身份证、注册证书以及安全生产考核合格证书（B证）；</w:t>
      </w:r>
    </w:p>
    <w:p w14:paraId="49901FFD">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投标人的法定代表人(或委托代理人)和拟任项目经理（建造师）须持有社保部门出具的本单位为其缴纳的投标前近三个月连续的养老保险证明（证明文件两个月内有效）（同一人担任不同公司法定代表人的，该法定代表人参加本项目投标时须提供本人在其他公司任法定代表人的营业执照及为其缴纳养老保险证明材料），投标人是事业单位的，暂未缴纳养老保险的，须由其主管部门出具证明；</w:t>
      </w:r>
    </w:p>
    <w:p w14:paraId="458520A7">
      <w:pPr>
        <w:spacing w:line="500" w:lineRule="exact"/>
        <w:ind w:firstLine="420" w:firstLineChars="200"/>
        <w:jc w:val="left"/>
        <w:rPr>
          <w:rFonts w:ascii="宋体" w:hAnsi="宋体" w:cs="宋体"/>
          <w:color w:val="auto"/>
          <w:highlight w:val="none"/>
        </w:rPr>
      </w:pPr>
      <w:r>
        <w:rPr>
          <w:rFonts w:hint="eastAsia" w:ascii="宋体" w:hAnsi="宋体" w:cs="宋体"/>
          <w:color w:val="auto"/>
          <w:highlight w:val="none"/>
        </w:rPr>
        <w:t>（8）投标函（格式见附件）；</w:t>
      </w:r>
    </w:p>
    <w:p w14:paraId="0EBCBC50">
      <w:pPr>
        <w:spacing w:line="500" w:lineRule="exact"/>
        <w:ind w:firstLine="420" w:firstLineChars="200"/>
        <w:jc w:val="left"/>
        <w:rPr>
          <w:rFonts w:ascii="宋体" w:hAnsi="宋体" w:cs="宋体"/>
          <w:color w:val="auto"/>
          <w:highlight w:val="none"/>
        </w:rPr>
      </w:pPr>
      <w:r>
        <w:rPr>
          <w:rFonts w:hint="eastAsia" w:ascii="宋体" w:hAnsi="宋体" w:cs="宋体"/>
          <w:color w:val="auto"/>
          <w:highlight w:val="none"/>
        </w:rPr>
        <w:t>（9）分项报价清单（格式见附件）；</w:t>
      </w:r>
    </w:p>
    <w:p w14:paraId="0AC1B52D">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highlight w:val="none"/>
        </w:rPr>
        <w:t>（10）</w:t>
      </w:r>
      <w:r>
        <w:rPr>
          <w:rFonts w:hint="eastAsia" w:ascii="宋体" w:hAnsi="宋体" w:cs="宋体"/>
          <w:color w:val="auto"/>
          <w:szCs w:val="21"/>
          <w:highlight w:val="none"/>
        </w:rPr>
        <w:t>投标人认为需要的其它证明材料（如有）。</w:t>
      </w:r>
    </w:p>
    <w:p w14:paraId="233897A5">
      <w:pPr>
        <w:spacing w:line="360" w:lineRule="auto"/>
        <w:jc w:val="center"/>
        <w:rPr>
          <w:rFonts w:ascii="宋体"/>
          <w:b/>
          <w:color w:val="auto"/>
          <w:sz w:val="28"/>
          <w:szCs w:val="28"/>
          <w:highlight w:val="none"/>
        </w:rPr>
      </w:pPr>
      <w:r>
        <w:rPr>
          <w:rFonts w:hint="eastAsia"/>
          <w:b/>
          <w:color w:val="auto"/>
          <w:sz w:val="28"/>
          <w:szCs w:val="28"/>
          <w:highlight w:val="none"/>
        </w:rPr>
        <w:br w:type="page"/>
      </w:r>
      <w:r>
        <w:rPr>
          <w:rFonts w:hint="eastAsia"/>
          <w:b/>
          <w:color w:val="auto"/>
          <w:sz w:val="28"/>
          <w:szCs w:val="28"/>
          <w:highlight w:val="none"/>
        </w:rPr>
        <w:t>（1）法定代表人身份证明或授权委托书</w:t>
      </w:r>
    </w:p>
    <w:p w14:paraId="36843AB5">
      <w:pPr>
        <w:pStyle w:val="77"/>
        <w:spacing w:beforeLines="50" w:afterLines="50" w:line="440" w:lineRule="exact"/>
        <w:rPr>
          <w:rFonts w:ascii="宋体"/>
          <w:b/>
          <w:color w:val="auto"/>
          <w:sz w:val="24"/>
          <w:szCs w:val="24"/>
          <w:highlight w:val="none"/>
        </w:rPr>
      </w:pPr>
      <w:bookmarkStart w:id="902" w:name="_Toc503196197"/>
      <w:bookmarkStart w:id="903" w:name="_Toc26598"/>
      <w:bookmarkStart w:id="904" w:name="_Toc506107356"/>
      <w:r>
        <w:rPr>
          <w:rFonts w:hint="eastAsia" w:ascii="宋体"/>
          <w:color w:val="auto"/>
          <w:sz w:val="24"/>
          <w:szCs w:val="24"/>
          <w:highlight w:val="none"/>
        </w:rPr>
        <w:t>1、法定代表人身份证明</w:t>
      </w:r>
    </w:p>
    <w:p w14:paraId="5F22A676">
      <w:pPr>
        <w:spacing w:line="440" w:lineRule="exact"/>
        <w:rPr>
          <w:rFonts w:ascii="宋体"/>
          <w:color w:val="auto"/>
          <w:sz w:val="24"/>
          <w:highlight w:val="none"/>
        </w:rPr>
      </w:pPr>
      <w:r>
        <w:rPr>
          <w:rFonts w:hint="eastAsia" w:ascii="宋体"/>
          <w:color w:val="auto"/>
          <w:sz w:val="24"/>
          <w:highlight w:val="none"/>
        </w:rPr>
        <w:t>投标人名称：</w:t>
      </w:r>
      <w:r>
        <w:rPr>
          <w:rFonts w:hint="eastAsia" w:ascii="宋体"/>
          <w:color w:val="auto"/>
          <w:sz w:val="24"/>
          <w:highlight w:val="none"/>
          <w:u w:val="single"/>
        </w:rPr>
        <w:t xml:space="preserve">                            </w:t>
      </w:r>
    </w:p>
    <w:p w14:paraId="6B4C5B98">
      <w:pPr>
        <w:spacing w:line="440" w:lineRule="exact"/>
        <w:rPr>
          <w:rFonts w:ascii="宋体"/>
          <w:color w:val="auto"/>
          <w:sz w:val="24"/>
          <w:highlight w:val="none"/>
        </w:rPr>
      </w:pPr>
      <w:r>
        <w:rPr>
          <w:rFonts w:hint="eastAsia" w:ascii="宋体"/>
          <w:color w:val="auto"/>
          <w:sz w:val="24"/>
          <w:highlight w:val="none"/>
        </w:rPr>
        <w:t>单位性质：</w:t>
      </w:r>
      <w:r>
        <w:rPr>
          <w:rFonts w:hint="eastAsia" w:ascii="宋体"/>
          <w:color w:val="auto"/>
          <w:sz w:val="24"/>
          <w:highlight w:val="none"/>
          <w:u w:val="single"/>
        </w:rPr>
        <w:t xml:space="preserve">                              </w:t>
      </w:r>
    </w:p>
    <w:p w14:paraId="1476C165">
      <w:pPr>
        <w:spacing w:line="440" w:lineRule="exact"/>
        <w:rPr>
          <w:rFonts w:ascii="宋体"/>
          <w:color w:val="auto"/>
          <w:sz w:val="24"/>
          <w:highlight w:val="none"/>
        </w:rPr>
      </w:pPr>
      <w:r>
        <w:rPr>
          <w:rFonts w:hint="eastAsia" w:ascii="宋体"/>
          <w:color w:val="auto"/>
          <w:sz w:val="24"/>
          <w:highlight w:val="none"/>
        </w:rPr>
        <w:t>地    址：</w:t>
      </w:r>
      <w:r>
        <w:rPr>
          <w:rFonts w:hint="eastAsia" w:ascii="宋体"/>
          <w:color w:val="auto"/>
          <w:sz w:val="24"/>
          <w:highlight w:val="none"/>
          <w:u w:val="single"/>
        </w:rPr>
        <w:t xml:space="preserve">                              </w:t>
      </w:r>
    </w:p>
    <w:p w14:paraId="77F2680D">
      <w:pPr>
        <w:spacing w:line="440" w:lineRule="exact"/>
        <w:rPr>
          <w:rFonts w:ascii="宋体"/>
          <w:color w:val="auto"/>
          <w:sz w:val="24"/>
          <w:highlight w:val="none"/>
        </w:rPr>
      </w:pPr>
      <w:r>
        <w:rPr>
          <w:rFonts w:hint="eastAsia" w:ascii="宋体"/>
          <w:color w:val="auto"/>
          <w:sz w:val="24"/>
          <w:highlight w:val="none"/>
        </w:rPr>
        <w:t>成立时间：</w:t>
      </w:r>
      <w:r>
        <w:rPr>
          <w:rFonts w:hint="eastAsia" w:ascii="宋体"/>
          <w:color w:val="auto"/>
          <w:sz w:val="24"/>
          <w:highlight w:val="none"/>
          <w:u w:val="single"/>
        </w:rPr>
        <w:t xml:space="preserve">     </w:t>
      </w:r>
      <w:r>
        <w:rPr>
          <w:rFonts w:hint="eastAsia" w:ascii="宋体"/>
          <w:color w:val="auto"/>
          <w:sz w:val="24"/>
          <w:highlight w:val="none"/>
        </w:rPr>
        <w:t>年</w:t>
      </w:r>
      <w:r>
        <w:rPr>
          <w:rFonts w:hint="eastAsia" w:ascii="宋体"/>
          <w:color w:val="auto"/>
          <w:sz w:val="24"/>
          <w:highlight w:val="none"/>
          <w:u w:val="single"/>
        </w:rPr>
        <w:t xml:space="preserve">   </w:t>
      </w:r>
      <w:r>
        <w:rPr>
          <w:rFonts w:hint="eastAsia" w:ascii="宋体"/>
          <w:color w:val="auto"/>
          <w:sz w:val="24"/>
          <w:highlight w:val="none"/>
        </w:rPr>
        <w:t>月</w:t>
      </w:r>
      <w:r>
        <w:rPr>
          <w:rFonts w:hint="eastAsia" w:ascii="宋体"/>
          <w:color w:val="auto"/>
          <w:sz w:val="24"/>
          <w:highlight w:val="none"/>
          <w:u w:val="single"/>
        </w:rPr>
        <w:t xml:space="preserve">   </w:t>
      </w:r>
      <w:r>
        <w:rPr>
          <w:rFonts w:hint="eastAsia" w:ascii="宋体"/>
          <w:color w:val="auto"/>
          <w:sz w:val="24"/>
          <w:highlight w:val="none"/>
        </w:rPr>
        <w:t>日</w:t>
      </w:r>
    </w:p>
    <w:p w14:paraId="04CDD72B">
      <w:pPr>
        <w:spacing w:line="440" w:lineRule="exact"/>
        <w:rPr>
          <w:rFonts w:ascii="宋体"/>
          <w:color w:val="auto"/>
          <w:sz w:val="24"/>
          <w:highlight w:val="none"/>
        </w:rPr>
      </w:pPr>
      <w:r>
        <w:rPr>
          <w:rFonts w:hint="eastAsia" w:ascii="宋体"/>
          <w:color w:val="auto"/>
          <w:sz w:val="24"/>
          <w:highlight w:val="none"/>
        </w:rPr>
        <w:t>经营期限：</w:t>
      </w:r>
      <w:r>
        <w:rPr>
          <w:rFonts w:hint="eastAsia" w:ascii="宋体"/>
          <w:color w:val="auto"/>
          <w:sz w:val="24"/>
          <w:highlight w:val="none"/>
          <w:u w:val="single"/>
        </w:rPr>
        <w:t xml:space="preserve">                              </w:t>
      </w:r>
    </w:p>
    <w:p w14:paraId="24484A27">
      <w:pPr>
        <w:spacing w:line="440" w:lineRule="exact"/>
        <w:jc w:val="left"/>
        <w:rPr>
          <w:rFonts w:ascii="宋体"/>
          <w:color w:val="auto"/>
          <w:sz w:val="24"/>
          <w:highlight w:val="none"/>
          <w:u w:val="single"/>
        </w:rPr>
      </w:pPr>
      <w:r>
        <w:rPr>
          <w:rFonts w:hint="eastAsia" w:ascii="宋体"/>
          <w:color w:val="auto"/>
          <w:spacing w:val="240"/>
          <w:sz w:val="24"/>
          <w:highlight w:val="none"/>
        </w:rPr>
        <w:t>姓</w:t>
      </w:r>
      <w:r>
        <w:rPr>
          <w:rFonts w:hint="eastAsia" w:ascii="宋体"/>
          <w:color w:val="auto"/>
          <w:sz w:val="24"/>
          <w:highlight w:val="none"/>
        </w:rPr>
        <w:t>名：</w:t>
      </w:r>
      <w:r>
        <w:rPr>
          <w:rFonts w:hint="eastAsia" w:ascii="宋体"/>
          <w:color w:val="auto"/>
          <w:sz w:val="24"/>
          <w:highlight w:val="none"/>
          <w:u w:val="single"/>
        </w:rPr>
        <w:t xml:space="preserve">     </w:t>
      </w:r>
      <w:r>
        <w:rPr>
          <w:rFonts w:hint="eastAsia" w:ascii="宋体"/>
          <w:color w:val="auto"/>
          <w:sz w:val="24"/>
          <w:highlight w:val="none"/>
        </w:rPr>
        <w:t>身份证号码：</w:t>
      </w:r>
      <w:r>
        <w:rPr>
          <w:rFonts w:hint="eastAsia" w:ascii="宋体"/>
          <w:color w:val="auto"/>
          <w:sz w:val="24"/>
          <w:highlight w:val="none"/>
          <w:u w:val="single"/>
        </w:rPr>
        <w:t xml:space="preserve">     </w:t>
      </w:r>
      <w:r>
        <w:rPr>
          <w:rFonts w:hint="eastAsia" w:ascii="宋体"/>
          <w:color w:val="auto"/>
          <w:sz w:val="24"/>
          <w:highlight w:val="none"/>
        </w:rPr>
        <w:t>性别</w:t>
      </w:r>
      <w:r>
        <w:rPr>
          <w:rFonts w:hint="eastAsia" w:ascii="宋体"/>
          <w:color w:val="auto"/>
          <w:sz w:val="24"/>
          <w:highlight w:val="none"/>
          <w:u w:val="single"/>
        </w:rPr>
        <w:t xml:space="preserve">：    </w:t>
      </w:r>
      <w:r>
        <w:rPr>
          <w:rFonts w:hint="eastAsia" w:ascii="宋体"/>
          <w:color w:val="auto"/>
          <w:sz w:val="24"/>
          <w:highlight w:val="none"/>
        </w:rPr>
        <w:t>年龄：</w:t>
      </w:r>
      <w:r>
        <w:rPr>
          <w:rFonts w:hint="eastAsia" w:ascii="宋体"/>
          <w:color w:val="auto"/>
          <w:sz w:val="24"/>
          <w:highlight w:val="none"/>
          <w:u w:val="single"/>
        </w:rPr>
        <w:t xml:space="preserve">   </w:t>
      </w:r>
      <w:r>
        <w:rPr>
          <w:rFonts w:hint="eastAsia" w:ascii="宋体"/>
          <w:color w:val="auto"/>
          <w:sz w:val="24"/>
          <w:highlight w:val="none"/>
        </w:rPr>
        <w:t>职务：</w:t>
      </w:r>
      <w:r>
        <w:rPr>
          <w:rFonts w:hint="eastAsia" w:ascii="宋体"/>
          <w:color w:val="auto"/>
          <w:sz w:val="24"/>
          <w:highlight w:val="none"/>
          <w:u w:val="single"/>
        </w:rPr>
        <w:t xml:space="preserve">     </w:t>
      </w:r>
      <w:r>
        <w:rPr>
          <w:rFonts w:hint="eastAsia" w:ascii="宋体"/>
          <w:color w:val="auto"/>
          <w:sz w:val="24"/>
          <w:highlight w:val="none"/>
        </w:rPr>
        <w:t>，系</w:t>
      </w:r>
      <w:r>
        <w:rPr>
          <w:rFonts w:hint="eastAsia" w:ascii="宋体"/>
          <w:color w:val="auto"/>
          <w:sz w:val="24"/>
          <w:highlight w:val="none"/>
          <w:u w:val="single"/>
        </w:rPr>
        <w:t xml:space="preserve">     （投标人名称）</w:t>
      </w:r>
      <w:r>
        <w:rPr>
          <w:rFonts w:hint="eastAsia" w:ascii="宋体"/>
          <w:color w:val="auto"/>
          <w:sz w:val="24"/>
          <w:highlight w:val="none"/>
        </w:rPr>
        <w:t>的法定代表人。</w:t>
      </w:r>
    </w:p>
    <w:p w14:paraId="002A50A5">
      <w:pPr>
        <w:spacing w:line="440" w:lineRule="exact"/>
        <w:rPr>
          <w:rFonts w:ascii="宋体"/>
          <w:color w:val="auto"/>
          <w:sz w:val="24"/>
          <w:highlight w:val="none"/>
        </w:rPr>
      </w:pPr>
      <w:r>
        <w:rPr>
          <w:rFonts w:hint="eastAsia" w:ascii="宋体"/>
          <w:color w:val="auto"/>
          <w:sz w:val="24"/>
          <w:highlight w:val="none"/>
        </w:rPr>
        <w:t>特此证明。</w:t>
      </w:r>
    </w:p>
    <w:p w14:paraId="06F35014">
      <w:pPr>
        <w:spacing w:line="440" w:lineRule="exact"/>
        <w:ind w:firstLine="3720" w:firstLineChars="1550"/>
        <w:rPr>
          <w:rFonts w:ascii="宋体"/>
          <w:color w:val="auto"/>
          <w:sz w:val="24"/>
          <w:highlight w:val="none"/>
        </w:rPr>
      </w:pPr>
      <w:r>
        <w:rPr>
          <w:rFonts w:hint="eastAsia" w:ascii="宋体"/>
          <w:color w:val="auto"/>
          <w:sz w:val="24"/>
          <w:highlight w:val="none"/>
        </w:rPr>
        <w:t>投标人：</w:t>
      </w:r>
      <w:r>
        <w:rPr>
          <w:rFonts w:hint="eastAsia" w:ascii="宋体"/>
          <w:color w:val="auto"/>
          <w:sz w:val="24"/>
          <w:highlight w:val="none"/>
          <w:u w:val="single"/>
        </w:rPr>
        <w:t xml:space="preserve">            （盖章）</w:t>
      </w:r>
    </w:p>
    <w:p w14:paraId="204FD50C">
      <w:pPr>
        <w:spacing w:line="440" w:lineRule="exact"/>
        <w:rPr>
          <w:rFonts w:ascii="宋体"/>
          <w:color w:val="auto"/>
          <w:sz w:val="24"/>
          <w:highlight w:val="none"/>
        </w:rPr>
      </w:pPr>
      <w:r>
        <w:rPr>
          <w:rFonts w:hint="eastAsia" w:ascii="宋体"/>
          <w:color w:val="auto"/>
          <w:sz w:val="24"/>
          <w:highlight w:val="none"/>
        </w:rPr>
        <w:t xml:space="preserve">                                        年    月     日</w:t>
      </w:r>
    </w:p>
    <w:p w14:paraId="788DF4B0">
      <w:pPr>
        <w:spacing w:line="240" w:lineRule="atLeast"/>
        <w:rPr>
          <w:color w:val="auto"/>
          <w:highlight w:val="none"/>
        </w:rPr>
      </w:pPr>
    </w:p>
    <w:p w14:paraId="286B7605">
      <w:pPr>
        <w:pStyle w:val="77"/>
        <w:spacing w:beforeLines="50" w:afterLines="50" w:line="440" w:lineRule="exact"/>
        <w:rPr>
          <w:rFonts w:ascii="宋体"/>
          <w:color w:val="auto"/>
          <w:sz w:val="24"/>
          <w:szCs w:val="24"/>
          <w:highlight w:val="none"/>
        </w:rPr>
      </w:pPr>
      <w:r>
        <w:rPr>
          <w:rFonts w:hint="eastAsia" w:ascii="宋体"/>
          <w:color w:val="auto"/>
          <w:sz w:val="24"/>
          <w:szCs w:val="24"/>
          <w:highlight w:val="none"/>
        </w:rPr>
        <w:t>或1、授权委托书</w:t>
      </w:r>
    </w:p>
    <w:p w14:paraId="3DDA27B7">
      <w:pPr>
        <w:spacing w:line="440" w:lineRule="exact"/>
        <w:ind w:firstLine="480" w:firstLineChars="200"/>
        <w:jc w:val="left"/>
        <w:rPr>
          <w:rFonts w:ascii="宋体"/>
          <w:color w:val="auto"/>
          <w:sz w:val="24"/>
          <w:highlight w:val="none"/>
        </w:rPr>
      </w:pPr>
      <w:r>
        <w:rPr>
          <w:rFonts w:hint="eastAsia" w:ascii="宋体"/>
          <w:color w:val="auto"/>
          <w:sz w:val="24"/>
          <w:highlight w:val="none"/>
        </w:rPr>
        <w:t>本人</w:t>
      </w:r>
      <w:r>
        <w:rPr>
          <w:rFonts w:hint="eastAsia" w:ascii="宋体"/>
          <w:color w:val="auto"/>
          <w:sz w:val="24"/>
          <w:highlight w:val="none"/>
          <w:u w:val="single"/>
        </w:rPr>
        <w:t xml:space="preserve"> （姓名）</w:t>
      </w:r>
      <w:r>
        <w:rPr>
          <w:rFonts w:hint="eastAsia" w:ascii="宋体"/>
          <w:color w:val="auto"/>
          <w:sz w:val="24"/>
          <w:highlight w:val="none"/>
        </w:rPr>
        <w:t>系</w:t>
      </w:r>
      <w:r>
        <w:rPr>
          <w:rFonts w:hint="eastAsia" w:ascii="宋体"/>
          <w:color w:val="auto"/>
          <w:sz w:val="24"/>
          <w:highlight w:val="none"/>
          <w:u w:val="single"/>
        </w:rPr>
        <w:t>（投标人）</w:t>
      </w:r>
      <w:r>
        <w:rPr>
          <w:rFonts w:hint="eastAsia" w:ascii="宋体"/>
          <w:color w:val="auto"/>
          <w:sz w:val="24"/>
          <w:highlight w:val="none"/>
        </w:rPr>
        <w:t>的法定代表人，现委托</w:t>
      </w:r>
      <w:r>
        <w:rPr>
          <w:rFonts w:hint="eastAsia" w:ascii="宋体"/>
          <w:color w:val="auto"/>
          <w:sz w:val="24"/>
          <w:highlight w:val="none"/>
          <w:u w:val="single"/>
        </w:rPr>
        <w:t>（姓名）</w:t>
      </w:r>
      <w:r>
        <w:rPr>
          <w:rFonts w:hint="eastAsia" w:ascii="宋体"/>
          <w:color w:val="auto"/>
          <w:sz w:val="24"/>
          <w:highlight w:val="none"/>
        </w:rPr>
        <w:t>为我方代理人。代理人根据授权，以我方名义签署、澄清、说明、补正、递交、撤回、修改</w:t>
      </w:r>
      <w:r>
        <w:rPr>
          <w:rFonts w:hint="eastAsia" w:ascii="宋体"/>
          <w:color w:val="auto"/>
          <w:sz w:val="24"/>
          <w:highlight w:val="none"/>
          <w:u w:val="single"/>
        </w:rPr>
        <w:t xml:space="preserve"> “   ”(项目名称）</w:t>
      </w:r>
      <w:r>
        <w:rPr>
          <w:rFonts w:hint="eastAsia" w:ascii="宋体"/>
          <w:color w:val="auto"/>
          <w:sz w:val="24"/>
          <w:highlight w:val="none"/>
        </w:rPr>
        <w:t>投标文件，全权处理与该项目投标、评审答疑、签订合同以及与合同执行有关的一切事务，其法律后果由我方承担。</w:t>
      </w:r>
    </w:p>
    <w:p w14:paraId="3030126C">
      <w:pPr>
        <w:spacing w:line="440" w:lineRule="exact"/>
        <w:ind w:firstLine="480" w:firstLineChars="200"/>
        <w:rPr>
          <w:rFonts w:ascii="宋体"/>
          <w:color w:val="auto"/>
          <w:sz w:val="24"/>
          <w:highlight w:val="none"/>
        </w:rPr>
      </w:pPr>
      <w:r>
        <w:rPr>
          <w:rFonts w:hint="eastAsia" w:ascii="宋体"/>
          <w:color w:val="auto"/>
          <w:sz w:val="24"/>
          <w:highlight w:val="none"/>
        </w:rPr>
        <w:t>委托期限：</w:t>
      </w:r>
      <w:r>
        <w:rPr>
          <w:rFonts w:hint="eastAsia" w:ascii="宋体"/>
          <w:color w:val="auto"/>
          <w:sz w:val="24"/>
          <w:highlight w:val="none"/>
          <w:u w:val="single"/>
        </w:rPr>
        <w:t xml:space="preserve">              </w:t>
      </w:r>
      <w:r>
        <w:rPr>
          <w:rFonts w:hint="eastAsia" w:ascii="宋体" w:cs="宋体"/>
          <w:color w:val="auto"/>
          <w:sz w:val="24"/>
          <w:highlight w:val="none"/>
        </w:rPr>
        <w:t>。</w:t>
      </w:r>
    </w:p>
    <w:p w14:paraId="21E39363">
      <w:pPr>
        <w:spacing w:line="440" w:lineRule="exact"/>
        <w:ind w:firstLine="480" w:firstLineChars="200"/>
        <w:rPr>
          <w:rFonts w:ascii="宋体"/>
          <w:color w:val="auto"/>
          <w:sz w:val="24"/>
          <w:highlight w:val="none"/>
        </w:rPr>
      </w:pPr>
      <w:r>
        <w:rPr>
          <w:rFonts w:hint="eastAsia" w:ascii="宋体"/>
          <w:color w:val="auto"/>
          <w:sz w:val="24"/>
          <w:highlight w:val="none"/>
        </w:rPr>
        <w:t>代理人无转委托权。</w:t>
      </w:r>
    </w:p>
    <w:p w14:paraId="22C08227">
      <w:pPr>
        <w:spacing w:line="440" w:lineRule="exact"/>
        <w:ind w:firstLine="480" w:firstLineChars="200"/>
        <w:rPr>
          <w:rFonts w:ascii="宋体"/>
          <w:b/>
          <w:color w:val="auto"/>
          <w:sz w:val="24"/>
          <w:highlight w:val="none"/>
        </w:rPr>
      </w:pPr>
      <w:r>
        <w:rPr>
          <w:rFonts w:hint="eastAsia" w:ascii="宋体"/>
          <w:color w:val="auto"/>
          <w:sz w:val="24"/>
          <w:highlight w:val="none"/>
        </w:rPr>
        <w:t>附：</w:t>
      </w:r>
      <w:r>
        <w:rPr>
          <w:rFonts w:hint="eastAsia" w:ascii="宋体"/>
          <w:b/>
          <w:color w:val="auto"/>
          <w:sz w:val="24"/>
          <w:highlight w:val="none"/>
        </w:rPr>
        <w:t>委托代理人有效身份证扫描件</w:t>
      </w:r>
    </w:p>
    <w:p w14:paraId="0C1A46A1">
      <w:pPr>
        <w:spacing w:line="440" w:lineRule="exact"/>
        <w:ind w:firstLine="964" w:firstLineChars="400"/>
        <w:rPr>
          <w:rFonts w:ascii="宋体"/>
          <w:b/>
          <w:color w:val="auto"/>
          <w:sz w:val="24"/>
          <w:highlight w:val="none"/>
        </w:rPr>
      </w:pPr>
      <w:r>
        <w:rPr>
          <w:rFonts w:hint="eastAsia" w:ascii="宋体"/>
          <w:b/>
          <w:color w:val="auto"/>
          <w:sz w:val="24"/>
          <w:highlight w:val="none"/>
        </w:rPr>
        <w:t>法定代表人有效身份证扫描件</w:t>
      </w:r>
    </w:p>
    <w:p w14:paraId="189A42EF">
      <w:pPr>
        <w:spacing w:line="440" w:lineRule="exact"/>
        <w:ind w:firstLine="833" w:firstLineChars="397"/>
        <w:rPr>
          <w:color w:val="auto"/>
          <w:highlight w:val="none"/>
        </w:rPr>
      </w:pPr>
    </w:p>
    <w:p w14:paraId="4E394BC7">
      <w:pPr>
        <w:spacing w:line="440" w:lineRule="exact"/>
        <w:ind w:firstLine="3720" w:firstLineChars="1550"/>
        <w:rPr>
          <w:rFonts w:ascii="宋体"/>
          <w:color w:val="auto"/>
          <w:sz w:val="24"/>
          <w:highlight w:val="none"/>
        </w:rPr>
      </w:pPr>
      <w:r>
        <w:rPr>
          <w:rFonts w:hint="eastAsia" w:ascii="宋体"/>
          <w:color w:val="auto"/>
          <w:sz w:val="24"/>
          <w:highlight w:val="none"/>
        </w:rPr>
        <w:t xml:space="preserve"> 投标人（盖章）：</w:t>
      </w:r>
    </w:p>
    <w:p w14:paraId="3682960A">
      <w:pPr>
        <w:spacing w:line="440" w:lineRule="exact"/>
        <w:ind w:firstLine="3720" w:firstLineChars="1550"/>
        <w:rPr>
          <w:rFonts w:ascii="宋体"/>
          <w:color w:val="auto"/>
          <w:sz w:val="24"/>
          <w:highlight w:val="none"/>
        </w:rPr>
      </w:pPr>
      <w:r>
        <w:rPr>
          <w:rFonts w:hint="eastAsia" w:ascii="宋体"/>
          <w:color w:val="auto"/>
          <w:sz w:val="24"/>
          <w:highlight w:val="none"/>
        </w:rPr>
        <w:t>法定代表人（身份证号码）：    （签字或盖章）</w:t>
      </w:r>
    </w:p>
    <w:p w14:paraId="1930F53E">
      <w:pPr>
        <w:spacing w:line="440" w:lineRule="exact"/>
        <w:ind w:firstLine="5640" w:firstLineChars="2350"/>
        <w:rPr>
          <w:rFonts w:ascii="宋体"/>
          <w:color w:val="auto"/>
          <w:sz w:val="24"/>
          <w:highlight w:val="none"/>
        </w:rPr>
      </w:pPr>
      <w:r>
        <w:rPr>
          <w:rFonts w:hint="eastAsia" w:ascii="宋体"/>
          <w:color w:val="auto"/>
          <w:sz w:val="24"/>
          <w:highlight w:val="none"/>
        </w:rPr>
        <w:t>联系电话：</w:t>
      </w:r>
    </w:p>
    <w:p w14:paraId="4051B354">
      <w:pPr>
        <w:spacing w:line="440" w:lineRule="exact"/>
        <w:ind w:firstLine="3720" w:firstLineChars="1550"/>
        <w:rPr>
          <w:rFonts w:ascii="宋体"/>
          <w:color w:val="auto"/>
          <w:sz w:val="24"/>
          <w:highlight w:val="none"/>
        </w:rPr>
      </w:pPr>
      <w:r>
        <w:rPr>
          <w:rFonts w:hint="eastAsia" w:ascii="宋体"/>
          <w:color w:val="auto"/>
          <w:sz w:val="24"/>
          <w:highlight w:val="none"/>
        </w:rPr>
        <w:t>委托代理人（身份证号码）：    （签字或盖章）</w:t>
      </w:r>
    </w:p>
    <w:p w14:paraId="7D304E3E">
      <w:pPr>
        <w:spacing w:line="440" w:lineRule="exact"/>
        <w:ind w:firstLine="5040" w:firstLineChars="2100"/>
        <w:rPr>
          <w:rFonts w:ascii="宋体"/>
          <w:color w:val="auto"/>
          <w:sz w:val="24"/>
          <w:highlight w:val="none"/>
        </w:rPr>
      </w:pPr>
      <w:r>
        <w:rPr>
          <w:rFonts w:hint="eastAsia" w:ascii="宋体"/>
          <w:color w:val="auto"/>
          <w:sz w:val="24"/>
          <w:highlight w:val="none"/>
        </w:rPr>
        <w:t xml:space="preserve">     联系电话：</w:t>
      </w:r>
    </w:p>
    <w:p w14:paraId="6F4517F8">
      <w:pPr>
        <w:spacing w:line="440" w:lineRule="exact"/>
        <w:ind w:firstLine="5700" w:firstLineChars="2375"/>
        <w:rPr>
          <w:rFonts w:ascii="宋体"/>
          <w:color w:val="auto"/>
          <w:sz w:val="24"/>
          <w:highlight w:val="none"/>
        </w:rPr>
      </w:pPr>
      <w:r>
        <w:rPr>
          <w:rFonts w:hint="eastAsia" w:ascii="宋体"/>
          <w:color w:val="auto"/>
          <w:sz w:val="24"/>
          <w:highlight w:val="none"/>
        </w:rPr>
        <w:t>年    月    日</w:t>
      </w:r>
    </w:p>
    <w:p w14:paraId="58575351">
      <w:pPr>
        <w:spacing w:line="360" w:lineRule="exact"/>
        <w:jc w:val="center"/>
        <w:rPr>
          <w:b/>
          <w:color w:val="auto"/>
          <w:sz w:val="28"/>
          <w:szCs w:val="28"/>
          <w:highlight w:val="none"/>
        </w:rPr>
      </w:pPr>
    </w:p>
    <w:p w14:paraId="1F6905D5">
      <w:pPr>
        <w:rPr>
          <w:b/>
          <w:color w:val="auto"/>
          <w:sz w:val="28"/>
          <w:szCs w:val="28"/>
          <w:highlight w:val="none"/>
        </w:rPr>
      </w:pPr>
      <w:r>
        <w:rPr>
          <w:rFonts w:hint="eastAsia"/>
          <w:b/>
          <w:color w:val="auto"/>
          <w:sz w:val="28"/>
          <w:szCs w:val="28"/>
          <w:highlight w:val="none"/>
        </w:rPr>
        <w:br w:type="page"/>
      </w:r>
    </w:p>
    <w:p w14:paraId="70A49E3B">
      <w:pPr>
        <w:spacing w:line="360" w:lineRule="exact"/>
        <w:jc w:val="center"/>
        <w:rPr>
          <w:b/>
          <w:color w:val="auto"/>
          <w:sz w:val="28"/>
          <w:szCs w:val="28"/>
          <w:highlight w:val="none"/>
        </w:rPr>
      </w:pPr>
      <w:r>
        <w:rPr>
          <w:rFonts w:hint="eastAsia"/>
          <w:b/>
          <w:color w:val="auto"/>
          <w:sz w:val="28"/>
          <w:szCs w:val="28"/>
          <w:highlight w:val="none"/>
        </w:rPr>
        <w:t>（2）诚信投标承诺书</w:t>
      </w:r>
      <w:bookmarkEnd w:id="902"/>
      <w:bookmarkEnd w:id="903"/>
      <w:bookmarkEnd w:id="904"/>
    </w:p>
    <w:p w14:paraId="3507BAC4">
      <w:pPr>
        <w:spacing w:line="360" w:lineRule="exact"/>
        <w:rPr>
          <w:rFonts w:ascii="宋体" w:hAnsi="宋体"/>
          <w:color w:val="auto"/>
          <w:szCs w:val="21"/>
          <w:highlight w:val="none"/>
        </w:rPr>
      </w:pPr>
      <w:r>
        <w:rPr>
          <w:rFonts w:hint="eastAsia" w:ascii="宋体" w:hAnsi="宋体"/>
          <w:color w:val="auto"/>
          <w:szCs w:val="21"/>
          <w:highlight w:val="none"/>
        </w:rPr>
        <w:t>本人以企业法定代表人的身份郑重承诺：</w:t>
      </w:r>
    </w:p>
    <w:p w14:paraId="1DC0F223">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一、将遵循公开、公正和诚实信用的原则自愿参加</w:t>
      </w:r>
      <w:r>
        <w:rPr>
          <w:rFonts w:hint="eastAsia" w:ascii="宋体" w:hAnsi="宋体"/>
          <w:color w:val="auto"/>
          <w:szCs w:val="21"/>
          <w:highlight w:val="none"/>
          <w:u w:val="single"/>
        </w:rPr>
        <w:t xml:space="preserve">       （项目名称）        </w:t>
      </w:r>
      <w:r>
        <w:rPr>
          <w:rFonts w:hint="eastAsia" w:ascii="宋体" w:hAnsi="宋体"/>
          <w:color w:val="auto"/>
          <w:szCs w:val="21"/>
          <w:highlight w:val="none"/>
        </w:rPr>
        <w:t>项目的投标；</w:t>
      </w:r>
    </w:p>
    <w:p w14:paraId="06CF7E26">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二、所提供的一切材料都是真实、有效、合法的；</w:t>
      </w:r>
    </w:p>
    <w:p w14:paraId="14E267F2">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三、不出借、转让资质证书，不让他人挂靠投标，不以他人名义投标或者以其他方式弄虚作假，骗取中标；</w:t>
      </w:r>
    </w:p>
    <w:p w14:paraId="1365D0AD">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四、不与其他投标人相互串通投标报价，不排挤其他投标人的公平竞争、损害招标人的合法权益；</w:t>
      </w:r>
    </w:p>
    <w:p w14:paraId="100944C2">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五、不与招标人、招标代理机构或其他投标人串通投标，损害国家利益、社会公共利益或者他人的合法权益；</w:t>
      </w:r>
    </w:p>
    <w:p w14:paraId="75C0C585">
      <w:pPr>
        <w:spacing w:line="360" w:lineRule="exact"/>
        <w:ind w:firstLine="420" w:firstLineChars="200"/>
        <w:rPr>
          <w:color w:val="auto"/>
          <w:szCs w:val="21"/>
          <w:highlight w:val="none"/>
        </w:rPr>
      </w:pPr>
      <w:r>
        <w:rPr>
          <w:rFonts w:hint="eastAsia" w:ascii="宋体" w:hAnsi="宋体"/>
          <w:color w:val="auto"/>
          <w:szCs w:val="21"/>
          <w:highlight w:val="none"/>
        </w:rPr>
        <w:t>六、</w:t>
      </w:r>
      <w:r>
        <w:rPr>
          <w:rFonts w:hint="eastAsia" w:ascii="宋体" w:hAnsi="宋体"/>
          <w:color w:val="auto"/>
          <w:szCs w:val="21"/>
          <w:highlight w:val="none"/>
          <w:u w:val="single"/>
        </w:rPr>
        <w:t>我公司</w:t>
      </w:r>
      <w:r>
        <w:rPr>
          <w:rFonts w:hint="eastAsia" w:ascii="宋体" w:hAnsi="宋体"/>
          <w:color w:val="auto"/>
          <w:szCs w:val="21"/>
          <w:highlight w:val="none"/>
        </w:rPr>
        <w:t>没有下列情形：</w:t>
      </w:r>
      <w:bookmarkStart w:id="905" w:name="OLE_LINK134"/>
      <w:bookmarkStart w:id="906" w:name="OLE_LINK133"/>
      <w:r>
        <w:rPr>
          <w:rFonts w:hint="eastAsia" w:ascii="宋体" w:hAnsi="宋体"/>
          <w:color w:val="auto"/>
          <w:szCs w:val="21"/>
          <w:highlight w:val="none"/>
        </w:rPr>
        <w:t>①被列入“信用中国”网站“失信被执行人”的;②被列入“信用中国”网站“重大税收违法失信主体”的；③被列入“信用中国”网站“拖欠农民工工资失信联合惩戒对象名单”的；④被列入“信用中国”网站“严重失信主体名单”的；⑤在“信用中国”网站上披露的仍在公示期的严重失信行为(具体行为类别及判定依据见附件2)的。⑥被列入国家企业信用信息公示系统网站“经营异常名录”或者“严重违法失信名单”的。⑦前三年有行贿犯罪行为的单位和个人；⑧被滁州市县两级公管部门及各行业主管部门取消在一定期限内的投标资格且在取消期限内的；⑨因拖欠农民工工资被县级及以上有关行政主管部门限制投标资格且在限制期限内的；⑩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bookmarkEnd w:id="905"/>
      <w:bookmarkEnd w:id="906"/>
      <w:r>
        <w:rPr>
          <w:rFonts w:hint="eastAsia" w:ascii="宋体" w:hAnsi="宋体"/>
          <w:color w:val="auto"/>
          <w:szCs w:val="21"/>
          <w:highlight w:val="none"/>
        </w:rPr>
        <w:t>若招标文件对投标人所属分公司、办事处等分支机构有上述1-10项信誉要求，在此一并承诺我公司所属分公司、办事处等分支机构没有上述1-10项情形）</w:t>
      </w:r>
    </w:p>
    <w:p w14:paraId="3BD6DDB8">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七、严格遵守开标现场纪律，服从监管人员管理；</w:t>
      </w:r>
    </w:p>
    <w:p w14:paraId="030F1495">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八、保证中标后不转包及使用挂靠施工队伍，若有分包征得建设单位同意；</w:t>
      </w:r>
    </w:p>
    <w:p w14:paraId="7B635CBE">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九、保证中标之后，按照投标文件承诺派驻管理人员及投入机械设备，如有违反，同意接受建设单位违约处罚；</w:t>
      </w:r>
    </w:p>
    <w:p w14:paraId="63D48D41">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十、保证企业及所属相关人员在本次投标中无行贿等犯罪行为；</w:t>
      </w:r>
    </w:p>
    <w:p w14:paraId="7EB73E91">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十一、如在投标过程和公示期间发生投诉行为，依法进行投诉。投诉内容符合要求，投诉材料加盖企业公章或由法定代表人授权委托人签字，并附有关身份证明复印件。不恶意投诉，对本公司提供的投诉线索的真实性负责，否则愿接受有关部门的处罚；</w:t>
      </w:r>
    </w:p>
    <w:p w14:paraId="5F0DA1B2">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十二、如我公司中标，按照国务院《关于全面治理拖欠农民工工资问题的意见》（国办发[2016]1号）及国家住建部和人社部关于《建筑工人实名制管理办法》（建市[2019]18号）的规定，总承包单位对所承建的工程项目的建筑工人实名制管理负总责，对建筑工人实行实名制管理；实行人工费用与其他工程款分账管理制度；建筑工程承包单位必须开设农民工工资专户；建设单位在支付工程款时，应将人工费部分按规定汇入建筑工程承包单位的农民工工资专户，由建筑工程承包单位按劳动合同约定，通过农民工工资专户按月足额将工资发放给建筑工人；</w:t>
      </w:r>
    </w:p>
    <w:p w14:paraId="7CDC93CA">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以上内容我已仔细阅读，本公司若有违反承诺内容的行为，自愿接受取消投标或者中标资格、记入不良行为记录等有关处理，愿意承担法律责任，给招标人造成损失的，依法承担赔偿责任。</w:t>
      </w:r>
    </w:p>
    <w:p w14:paraId="1DA1E523">
      <w:pPr>
        <w:spacing w:line="360" w:lineRule="exact"/>
        <w:ind w:firstLine="420" w:firstLineChars="200"/>
        <w:rPr>
          <w:rFonts w:ascii="宋体" w:hAnsi="宋体"/>
          <w:color w:val="auto"/>
          <w:szCs w:val="21"/>
          <w:highlight w:val="none"/>
        </w:rPr>
      </w:pPr>
    </w:p>
    <w:p w14:paraId="6BD7B923">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开户银行：                          基本账户：</w:t>
      </w:r>
    </w:p>
    <w:p w14:paraId="30C698D9">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投标人（盖章）：                     法定代表人（签字或盖章）：</w:t>
      </w:r>
    </w:p>
    <w:p w14:paraId="69D21315">
      <w:pPr>
        <w:spacing w:line="360" w:lineRule="exact"/>
        <w:ind w:firstLine="5250" w:firstLineChars="2500"/>
        <w:rPr>
          <w:rFonts w:ascii="宋体" w:hAnsi="宋体"/>
          <w:color w:val="auto"/>
          <w:szCs w:val="21"/>
          <w:highlight w:val="none"/>
        </w:rPr>
      </w:pPr>
      <w:r>
        <w:rPr>
          <w:rFonts w:hint="eastAsia" w:ascii="宋体" w:hAnsi="宋体"/>
          <w:color w:val="auto"/>
          <w:szCs w:val="21"/>
          <w:highlight w:val="none"/>
        </w:rPr>
        <w:t>日期：    年   月   日</w:t>
      </w:r>
    </w:p>
    <w:p w14:paraId="5D566DD1">
      <w:pPr>
        <w:rPr>
          <w:color w:val="auto"/>
          <w:highlight w:val="none"/>
        </w:rPr>
      </w:pPr>
      <w:r>
        <w:rPr>
          <w:rFonts w:hint="eastAsia"/>
          <w:color w:val="auto"/>
          <w:highlight w:val="none"/>
        </w:rPr>
        <w:br w:type="page"/>
      </w:r>
    </w:p>
    <w:p w14:paraId="25DB7A3C">
      <w:pPr>
        <w:jc w:val="center"/>
        <w:rPr>
          <w:rFonts w:ascii="宋体" w:hAnsi="宋体"/>
          <w:b/>
          <w:color w:val="auto"/>
          <w:sz w:val="32"/>
          <w:szCs w:val="32"/>
          <w:highlight w:val="none"/>
        </w:rPr>
      </w:pPr>
      <w:r>
        <w:rPr>
          <w:rFonts w:hint="eastAsia" w:ascii="宋体" w:hAnsi="宋体"/>
          <w:b/>
          <w:color w:val="auto"/>
          <w:sz w:val="32"/>
          <w:szCs w:val="32"/>
          <w:highlight w:val="none"/>
        </w:rPr>
        <w:t>（3）投 标 函</w:t>
      </w:r>
    </w:p>
    <w:p w14:paraId="31FB51FD">
      <w:pPr>
        <w:adjustRightInd w:val="0"/>
        <w:snapToGrid w:val="0"/>
        <w:spacing w:line="560" w:lineRule="exact"/>
        <w:rPr>
          <w:rFonts w:ascii="宋体" w:hAnsi="宋体"/>
          <w:color w:val="auto"/>
          <w:sz w:val="24"/>
          <w:highlight w:val="none"/>
          <w:u w:val="single"/>
        </w:rPr>
      </w:pPr>
      <w:bookmarkStart w:id="907" w:name="_Toc35424974"/>
      <w:bookmarkStart w:id="908" w:name="_Toc35425140"/>
      <w:bookmarkStart w:id="909" w:name="_Toc15058950"/>
      <w:bookmarkStart w:id="910" w:name="_Toc506107366"/>
      <w:r>
        <w:rPr>
          <w:rFonts w:hint="eastAsia" w:ascii="宋体" w:hAnsi="宋体"/>
          <w:color w:val="auto"/>
          <w:sz w:val="24"/>
          <w:highlight w:val="none"/>
        </w:rPr>
        <w:t>致：</w:t>
      </w:r>
      <w:r>
        <w:rPr>
          <w:rFonts w:ascii="宋体" w:hAnsi="宋体"/>
          <w:color w:val="auto"/>
          <w:sz w:val="24"/>
          <w:highlight w:val="none"/>
          <w:u w:val="single"/>
        </w:rPr>
        <w:t xml:space="preserve">        </w:t>
      </w:r>
      <w:r>
        <w:rPr>
          <w:rFonts w:hint="eastAsia" w:ascii="宋体" w:hAnsi="宋体"/>
          <w:color w:val="auto"/>
          <w:sz w:val="24"/>
          <w:highlight w:val="none"/>
          <w:u w:val="single"/>
        </w:rPr>
        <w:t>（招标人）</w:t>
      </w:r>
      <w:r>
        <w:rPr>
          <w:rFonts w:ascii="宋体" w:hAnsi="宋体"/>
          <w:color w:val="auto"/>
          <w:sz w:val="24"/>
          <w:highlight w:val="none"/>
          <w:u w:val="single"/>
        </w:rPr>
        <w:t xml:space="preserve">      </w:t>
      </w:r>
    </w:p>
    <w:p w14:paraId="0747CAE9">
      <w:pPr>
        <w:adjustRightInd w:val="0"/>
        <w:snapToGrid w:val="0"/>
        <w:spacing w:line="560" w:lineRule="exact"/>
        <w:ind w:firstLine="480" w:firstLineChars="200"/>
        <w:rPr>
          <w:rFonts w:ascii="宋体" w:hAnsi="宋体"/>
          <w:color w:val="auto"/>
          <w:sz w:val="24"/>
          <w:highlight w:val="none"/>
        </w:rPr>
      </w:pPr>
      <w:r>
        <w:rPr>
          <w:rFonts w:hint="eastAsia" w:ascii="宋体" w:hAnsi="宋体"/>
          <w:color w:val="auto"/>
          <w:sz w:val="24"/>
          <w:highlight w:val="none"/>
        </w:rPr>
        <w:t>1、根据你方招</w:t>
      </w:r>
      <w:bookmarkStart w:id="911" w:name="_Toc60061591"/>
      <w:r>
        <w:rPr>
          <w:rFonts w:hint="eastAsia" w:ascii="宋体" w:hAnsi="宋体"/>
          <w:color w:val="auto"/>
          <w:sz w:val="24"/>
          <w:highlight w:val="none"/>
        </w:rPr>
        <w:t>标项目编号为</w:t>
      </w:r>
      <w:r>
        <w:rPr>
          <w:rFonts w:ascii="宋体" w:hAnsi="宋体"/>
          <w:color w:val="auto"/>
          <w:sz w:val="24"/>
          <w:highlight w:val="none"/>
          <w:u w:val="single"/>
        </w:rPr>
        <w:t xml:space="preserve">  </w:t>
      </w:r>
      <w:bookmarkEnd w:id="911"/>
      <w:r>
        <w:rPr>
          <w:rFonts w:ascii="宋体" w:hAnsi="宋体"/>
          <w:color w:val="auto"/>
          <w:sz w:val="24"/>
          <w:highlight w:val="none"/>
          <w:u w:val="single"/>
        </w:rPr>
        <w:t xml:space="preserve">      </w:t>
      </w:r>
      <w:r>
        <w:rPr>
          <w:rFonts w:ascii="宋体" w:hAnsi="宋体"/>
          <w:color w:val="auto"/>
          <w:sz w:val="24"/>
          <w:highlight w:val="none"/>
        </w:rPr>
        <w:t xml:space="preserve"> </w:t>
      </w:r>
      <w:r>
        <w:rPr>
          <w:rFonts w:hint="eastAsia" w:ascii="宋体" w:hAnsi="宋体"/>
          <w:color w:val="auto"/>
          <w:sz w:val="24"/>
          <w:highlight w:val="none"/>
        </w:rPr>
        <w:t>的</w:t>
      </w:r>
      <w:r>
        <w:rPr>
          <w:rFonts w:ascii="宋体" w:hAnsi="宋体"/>
          <w:color w:val="auto"/>
          <w:sz w:val="24"/>
          <w:highlight w:val="none"/>
        </w:rPr>
        <w:t xml:space="preserve"> </w:t>
      </w:r>
      <w:r>
        <w:rPr>
          <w:rFonts w:ascii="宋体" w:hAnsi="宋体"/>
          <w:color w:val="auto"/>
          <w:sz w:val="24"/>
          <w:highlight w:val="none"/>
          <w:u w:val="single"/>
        </w:rPr>
        <w:t xml:space="preserve">                </w:t>
      </w:r>
      <w:r>
        <w:rPr>
          <w:rFonts w:hint="eastAsia" w:ascii="宋体" w:hAnsi="宋体"/>
          <w:color w:val="auto"/>
          <w:sz w:val="24"/>
          <w:highlight w:val="none"/>
        </w:rPr>
        <w:t>招标文件，遵照《中华人民共和国招标投标法》等有关规定，经踏勘项目现场和研究上述招标文件的投标须知、合同条件、技术规范、图纸、工程量清单和其他有关文件后，我方愿以</w:t>
      </w:r>
      <w:r>
        <w:rPr>
          <w:rFonts w:hint="eastAsia" w:ascii="宋体" w:hAnsi="宋体"/>
          <w:color w:val="auto"/>
          <w:sz w:val="24"/>
          <w:highlight w:val="none"/>
          <w:u w:val="single"/>
        </w:rPr>
        <w:t>人民币           元</w:t>
      </w:r>
      <w:r>
        <w:rPr>
          <w:rFonts w:hint="eastAsia" w:ascii="宋体" w:hAnsi="宋体"/>
          <w:color w:val="auto"/>
          <w:sz w:val="24"/>
          <w:highlight w:val="none"/>
        </w:rPr>
        <w:t>的投标报价承包本项目所有内容，并承担任何质量缺陷保修责任。</w:t>
      </w:r>
    </w:p>
    <w:p w14:paraId="1CDE4C9B">
      <w:pPr>
        <w:tabs>
          <w:tab w:val="left" w:pos="840"/>
        </w:tabs>
        <w:adjustRightInd w:val="0"/>
        <w:snapToGrid w:val="0"/>
        <w:spacing w:line="560" w:lineRule="exact"/>
        <w:ind w:firstLine="480" w:firstLineChars="200"/>
        <w:rPr>
          <w:rFonts w:ascii="宋体" w:hAnsi="宋体"/>
          <w:color w:val="auto"/>
          <w:sz w:val="24"/>
          <w:highlight w:val="none"/>
        </w:rPr>
      </w:pPr>
      <w:r>
        <w:rPr>
          <w:rFonts w:hint="eastAsia" w:ascii="宋体" w:hAnsi="宋体"/>
          <w:color w:val="auto"/>
          <w:sz w:val="24"/>
          <w:highlight w:val="none"/>
        </w:rPr>
        <w:t>2、我方已详细审核全部招标文件及有关附件，承诺招标文件及有关附件中所有条款。</w:t>
      </w:r>
    </w:p>
    <w:p w14:paraId="558AAE5B">
      <w:pPr>
        <w:adjustRightInd w:val="0"/>
        <w:snapToGrid w:val="0"/>
        <w:spacing w:line="560" w:lineRule="exact"/>
        <w:ind w:firstLine="480" w:firstLineChars="200"/>
        <w:rPr>
          <w:rFonts w:ascii="宋体" w:hAnsi="宋体"/>
          <w:color w:val="auto"/>
          <w:sz w:val="24"/>
          <w:highlight w:val="none"/>
        </w:rPr>
      </w:pPr>
      <w:r>
        <w:rPr>
          <w:rFonts w:hint="eastAsia" w:ascii="宋体" w:hAnsi="宋体"/>
          <w:color w:val="auto"/>
          <w:sz w:val="24"/>
          <w:highlight w:val="none"/>
        </w:rPr>
        <w:t>3、一旦我方中标，我方将派出</w:t>
      </w:r>
      <w:r>
        <w:rPr>
          <w:rFonts w:hint="eastAsia" w:ascii="宋体" w:hAnsi="宋体"/>
          <w:color w:val="auto"/>
          <w:sz w:val="24"/>
          <w:highlight w:val="none"/>
          <w:u w:val="single"/>
        </w:rPr>
        <w:t xml:space="preserve">           </w:t>
      </w:r>
      <w:r>
        <w:rPr>
          <w:rFonts w:hint="eastAsia" w:ascii="宋体" w:hAnsi="宋体"/>
          <w:color w:val="auto"/>
          <w:sz w:val="24"/>
          <w:highlight w:val="none"/>
        </w:rPr>
        <w:t>建造师为本工程项目经理，保证按照招标人要求开始本工程的施工，并在</w:t>
      </w:r>
      <w:r>
        <w:rPr>
          <w:rFonts w:ascii="宋体" w:hAnsi="宋体"/>
          <w:color w:val="auto"/>
          <w:sz w:val="24"/>
          <w:highlight w:val="none"/>
          <w:u w:val="single"/>
        </w:rPr>
        <w:t xml:space="preserve">       </w:t>
      </w:r>
      <w:r>
        <w:rPr>
          <w:rFonts w:hint="eastAsia" w:ascii="宋体" w:hAnsi="宋体"/>
          <w:color w:val="auto"/>
          <w:sz w:val="24"/>
          <w:highlight w:val="none"/>
        </w:rPr>
        <w:t>个日历天内完成本合同的施工，并移交整个工程，工程质量达到合格标准，并通过相关主管部门验收。</w:t>
      </w:r>
    </w:p>
    <w:p w14:paraId="30EC55D0">
      <w:pPr>
        <w:adjustRightInd w:val="0"/>
        <w:snapToGrid w:val="0"/>
        <w:spacing w:line="560" w:lineRule="exact"/>
        <w:ind w:firstLine="480" w:firstLineChars="200"/>
        <w:rPr>
          <w:rFonts w:ascii="宋体" w:hAnsi="宋体"/>
          <w:color w:val="auto"/>
          <w:sz w:val="24"/>
          <w:highlight w:val="none"/>
        </w:rPr>
      </w:pPr>
      <w:r>
        <w:rPr>
          <w:rFonts w:hint="eastAsia" w:ascii="宋体" w:hAnsi="宋体"/>
          <w:color w:val="auto"/>
          <w:sz w:val="24"/>
          <w:highlight w:val="none"/>
        </w:rPr>
        <w:t>4、随本投标书，我方同时按照招标文件的要求提交投标保证金。如果我方在投标截止后撤销投标文件，或在中标后无正当理由不与招标人订立合同，在签订合同时向招标人提出附加条件，或者不按照招标文件要求提交履约保证金，贵单位有权不予退还投标保证金。</w:t>
      </w:r>
    </w:p>
    <w:p w14:paraId="3CEA8507">
      <w:pPr>
        <w:adjustRightInd w:val="0"/>
        <w:snapToGrid w:val="0"/>
        <w:spacing w:line="560" w:lineRule="exact"/>
        <w:ind w:firstLine="480" w:firstLineChars="200"/>
        <w:jc w:val="left"/>
        <w:rPr>
          <w:rFonts w:ascii="宋体" w:hAnsi="宋体"/>
          <w:color w:val="auto"/>
          <w:sz w:val="24"/>
          <w:highlight w:val="none"/>
        </w:rPr>
      </w:pPr>
      <w:r>
        <w:rPr>
          <w:rFonts w:hint="eastAsia" w:ascii="宋体" w:hAnsi="宋体"/>
          <w:color w:val="auto"/>
          <w:sz w:val="24"/>
          <w:highlight w:val="none"/>
        </w:rPr>
        <w:t>5、我方承诺在招标文件规定的投标有效期内不撤销投标文件。</w:t>
      </w:r>
    </w:p>
    <w:p w14:paraId="3AD995E7">
      <w:pPr>
        <w:adjustRightInd w:val="0"/>
        <w:snapToGrid w:val="0"/>
        <w:spacing w:line="560" w:lineRule="exact"/>
        <w:ind w:firstLine="480" w:firstLineChars="200"/>
        <w:jc w:val="left"/>
        <w:rPr>
          <w:rFonts w:ascii="宋体" w:hAnsi="宋体"/>
          <w:color w:val="auto"/>
          <w:sz w:val="24"/>
          <w:highlight w:val="none"/>
        </w:rPr>
      </w:pPr>
      <w:r>
        <w:rPr>
          <w:rFonts w:hint="eastAsia" w:ascii="宋体" w:hAnsi="宋体"/>
          <w:color w:val="auto"/>
          <w:sz w:val="24"/>
          <w:highlight w:val="none"/>
        </w:rPr>
        <w:t>6、我单位提供如下通讯地址：</w:t>
      </w:r>
      <w:r>
        <w:rPr>
          <w:rFonts w:hint="eastAsia" w:ascii="宋体" w:hAnsi="宋体"/>
          <w:color w:val="auto"/>
          <w:sz w:val="24"/>
          <w:highlight w:val="none"/>
          <w:u w:val="single"/>
        </w:rPr>
        <w:t xml:space="preserve">                </w:t>
      </w:r>
      <w:r>
        <w:rPr>
          <w:rFonts w:hint="eastAsia" w:ascii="宋体" w:hAnsi="宋体"/>
          <w:color w:val="auto"/>
          <w:sz w:val="24"/>
          <w:highlight w:val="none"/>
        </w:rPr>
        <w:t>电子邮箱（地址），确认本项目相关法律文书均通过提供的以上地址送达，相关文书只要发送至以上电子邮箱（地址）即视为送达，投标人愿意承担一切法律后果。</w:t>
      </w:r>
    </w:p>
    <w:p w14:paraId="01C1BF4D">
      <w:pPr>
        <w:adjustRightInd w:val="0"/>
        <w:snapToGrid w:val="0"/>
        <w:spacing w:line="560" w:lineRule="exact"/>
        <w:ind w:firstLine="480" w:firstLineChars="200"/>
        <w:jc w:val="left"/>
        <w:rPr>
          <w:rFonts w:ascii="宋体" w:hAnsi="宋体"/>
          <w:color w:val="auto"/>
          <w:sz w:val="24"/>
          <w:highlight w:val="none"/>
        </w:rPr>
      </w:pPr>
      <w:r>
        <w:rPr>
          <w:rFonts w:hint="eastAsia" w:ascii="宋体" w:hAnsi="宋体"/>
          <w:color w:val="auto"/>
          <w:sz w:val="24"/>
          <w:highlight w:val="none"/>
        </w:rPr>
        <w:t>7、</w:t>
      </w:r>
      <w:r>
        <w:rPr>
          <w:rFonts w:hint="eastAsia" w:ascii="宋体" w:hAnsi="宋体"/>
          <w:color w:val="auto"/>
          <w:sz w:val="24"/>
          <w:highlight w:val="none"/>
          <w:u w:val="single"/>
        </w:rPr>
        <w:t xml:space="preserve">                           </w:t>
      </w:r>
      <w:r>
        <w:rPr>
          <w:rFonts w:hint="eastAsia" w:ascii="宋体" w:hAnsi="宋体"/>
          <w:color w:val="auto"/>
          <w:sz w:val="24"/>
          <w:highlight w:val="none"/>
        </w:rPr>
        <w:t>（其他补充说明）。</w:t>
      </w:r>
    </w:p>
    <w:p w14:paraId="53DBFE9E">
      <w:pPr>
        <w:adjustRightInd w:val="0"/>
        <w:snapToGrid w:val="0"/>
        <w:spacing w:line="560" w:lineRule="exact"/>
        <w:ind w:firstLine="480" w:firstLineChars="200"/>
        <w:rPr>
          <w:rFonts w:ascii="宋体" w:hAnsi="宋体"/>
          <w:color w:val="auto"/>
          <w:sz w:val="24"/>
          <w:highlight w:val="none"/>
        </w:rPr>
      </w:pPr>
    </w:p>
    <w:p w14:paraId="156CDEAD">
      <w:pPr>
        <w:adjustRightInd w:val="0"/>
        <w:snapToGrid w:val="0"/>
        <w:spacing w:line="560" w:lineRule="exact"/>
        <w:ind w:firstLine="480" w:firstLineChars="200"/>
        <w:rPr>
          <w:rFonts w:ascii="宋体" w:hAnsi="宋体"/>
          <w:color w:val="auto"/>
          <w:sz w:val="24"/>
          <w:highlight w:val="none"/>
        </w:rPr>
      </w:pPr>
      <w:r>
        <w:rPr>
          <w:rFonts w:hint="eastAsia" w:ascii="宋体" w:hAnsi="宋体"/>
          <w:color w:val="auto"/>
          <w:sz w:val="24"/>
          <w:highlight w:val="none"/>
        </w:rPr>
        <w:t>投标人：</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（签章）</w:t>
      </w:r>
    </w:p>
    <w:p w14:paraId="7D663675">
      <w:pPr>
        <w:adjustRightInd w:val="0"/>
        <w:snapToGrid w:val="0"/>
        <w:spacing w:line="560" w:lineRule="exact"/>
        <w:ind w:firstLine="480" w:firstLineChars="200"/>
        <w:rPr>
          <w:rFonts w:ascii="宋体" w:hAnsi="宋体"/>
          <w:color w:val="auto"/>
          <w:sz w:val="24"/>
          <w:highlight w:val="none"/>
        </w:rPr>
      </w:pPr>
      <w:r>
        <w:rPr>
          <w:rFonts w:hint="eastAsia" w:ascii="宋体" w:hAnsi="宋体"/>
          <w:color w:val="auto"/>
          <w:sz w:val="24"/>
          <w:highlight w:val="none"/>
        </w:rPr>
        <w:t>法定代表人：</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（签章）联系人：</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 xml:space="preserve">                 </w:t>
      </w:r>
    </w:p>
    <w:p w14:paraId="468F25E3">
      <w:pPr>
        <w:adjustRightInd w:val="0"/>
        <w:snapToGrid w:val="0"/>
        <w:spacing w:line="560" w:lineRule="exact"/>
        <w:ind w:firstLine="480" w:firstLineChars="200"/>
        <w:rPr>
          <w:rFonts w:ascii="宋体" w:hAnsi="宋体"/>
          <w:color w:val="auto"/>
          <w:sz w:val="24"/>
          <w:highlight w:val="none"/>
        </w:rPr>
      </w:pPr>
      <w:r>
        <w:rPr>
          <w:rFonts w:hint="eastAsia" w:ascii="宋体" w:hAnsi="宋体"/>
          <w:color w:val="auto"/>
          <w:sz w:val="24"/>
          <w:highlight w:val="none"/>
        </w:rPr>
        <w:t>单位地址：</w:t>
      </w:r>
      <w:r>
        <w:rPr>
          <w:rFonts w:hint="eastAsia" w:ascii="宋体" w:hAnsi="宋体"/>
          <w:color w:val="auto"/>
          <w:sz w:val="24"/>
          <w:highlight w:val="none"/>
          <w:u w:val="single"/>
        </w:rPr>
        <w:t xml:space="preserve">                                       </w:t>
      </w:r>
    </w:p>
    <w:p w14:paraId="1AC5E8FC">
      <w:pPr>
        <w:adjustRightInd w:val="0"/>
        <w:snapToGrid w:val="0"/>
        <w:spacing w:line="560" w:lineRule="exact"/>
        <w:ind w:firstLine="480" w:firstLineChars="200"/>
        <w:rPr>
          <w:rFonts w:ascii="宋体" w:hAnsi="宋体"/>
          <w:color w:val="auto"/>
          <w:sz w:val="24"/>
          <w:highlight w:val="none"/>
          <w:u w:val="single"/>
        </w:rPr>
      </w:pPr>
      <w:r>
        <w:rPr>
          <w:rFonts w:hint="eastAsia" w:ascii="宋体" w:hAnsi="宋体"/>
          <w:color w:val="auto"/>
          <w:sz w:val="24"/>
          <w:highlight w:val="none"/>
        </w:rPr>
        <w:t>邮政编码：</w:t>
      </w:r>
      <w:r>
        <w:rPr>
          <w:rFonts w:ascii="宋体" w:hAnsi="宋体"/>
          <w:color w:val="auto"/>
          <w:sz w:val="24"/>
          <w:highlight w:val="none"/>
          <w:u w:val="single"/>
        </w:rPr>
        <w:t xml:space="preserve">            </w:t>
      </w:r>
      <w:r>
        <w:rPr>
          <w:rFonts w:hint="eastAsia" w:ascii="宋体" w:hAnsi="宋体"/>
          <w:color w:val="auto"/>
          <w:sz w:val="24"/>
          <w:highlight w:val="none"/>
        </w:rPr>
        <w:t>联系人手机号码：</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传真：</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p>
    <w:p w14:paraId="643875FD">
      <w:pPr>
        <w:adjustRightInd w:val="0"/>
        <w:snapToGrid w:val="0"/>
        <w:spacing w:line="560" w:lineRule="exact"/>
        <w:ind w:firstLine="480" w:firstLineChars="200"/>
        <w:rPr>
          <w:color w:val="auto"/>
          <w:szCs w:val="21"/>
          <w:highlight w:val="none"/>
          <w:u w:val="single"/>
        </w:rPr>
      </w:pPr>
      <w:r>
        <w:rPr>
          <w:rFonts w:hint="eastAsia" w:ascii="宋体" w:hAnsi="宋体"/>
          <w:color w:val="auto"/>
          <w:sz w:val="24"/>
          <w:highlight w:val="none"/>
        </w:rPr>
        <w:t>日期：</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年</w:t>
      </w:r>
      <w:r>
        <w:rPr>
          <w:rFonts w:ascii="宋体" w:hAnsi="宋体"/>
          <w:color w:val="auto"/>
          <w:sz w:val="24"/>
          <w:highlight w:val="none"/>
        </w:rPr>
        <w:t xml:space="preserve"> </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月</w:t>
      </w:r>
      <w:r>
        <w:rPr>
          <w:rFonts w:ascii="宋体" w:hAnsi="宋体"/>
          <w:color w:val="auto"/>
          <w:sz w:val="24"/>
          <w:highlight w:val="none"/>
        </w:rPr>
        <w:t xml:space="preserve"> </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日</w:t>
      </w:r>
    </w:p>
    <w:p w14:paraId="394CC66B">
      <w:pPr>
        <w:pStyle w:val="2"/>
        <w:adjustRightInd w:val="0"/>
        <w:snapToGrid w:val="0"/>
        <w:spacing w:line="560" w:lineRule="exact"/>
        <w:jc w:val="center"/>
        <w:rPr>
          <w:color w:val="auto"/>
          <w:highlight w:val="none"/>
        </w:rPr>
        <w:sectPr>
          <w:headerReference r:id="rId6" w:type="default"/>
          <w:footerReference r:id="rId7" w:type="default"/>
          <w:pgSz w:w="11910" w:h="16840"/>
          <w:pgMar w:top="1060" w:right="910" w:bottom="1020" w:left="1120" w:header="0" w:footer="833" w:gutter="0"/>
          <w:pgNumType w:fmt="decimal"/>
          <w:cols w:space="720" w:num="1"/>
        </w:sectPr>
      </w:pPr>
      <w:bookmarkStart w:id="912" w:name="_Toc95223544"/>
    </w:p>
    <w:bookmarkEnd w:id="912"/>
    <w:p w14:paraId="0BA6BD50">
      <w:pPr>
        <w:pStyle w:val="2"/>
        <w:adjustRightInd w:val="0"/>
        <w:snapToGrid w:val="0"/>
        <w:spacing w:line="560" w:lineRule="exact"/>
        <w:jc w:val="center"/>
        <w:rPr>
          <w:color w:val="auto"/>
          <w:highlight w:val="none"/>
        </w:rPr>
      </w:pPr>
      <w:bookmarkStart w:id="913" w:name="_Toc95223545"/>
      <w:r>
        <w:rPr>
          <w:rFonts w:hint="eastAsia"/>
          <w:color w:val="auto"/>
          <w:highlight w:val="none"/>
        </w:rPr>
        <w:t>（4）分项报价清单</w:t>
      </w:r>
    </w:p>
    <w:p w14:paraId="5082E22D">
      <w:pPr>
        <w:jc w:val="center"/>
        <w:rPr>
          <w:rFonts w:ascii="Calibri" w:hAnsi="Calibri"/>
          <w:color w:val="auto"/>
          <w:sz w:val="32"/>
          <w:szCs w:val="32"/>
          <w:highlight w:val="none"/>
        </w:rPr>
      </w:pPr>
    </w:p>
    <w:bookmarkEnd w:id="7"/>
    <w:bookmarkEnd w:id="8"/>
    <w:bookmarkEnd w:id="9"/>
    <w:bookmarkEnd w:id="10"/>
    <w:bookmarkEnd w:id="11"/>
    <w:bookmarkEnd w:id="907"/>
    <w:bookmarkEnd w:id="908"/>
    <w:bookmarkEnd w:id="909"/>
    <w:bookmarkEnd w:id="910"/>
    <w:bookmarkEnd w:id="913"/>
    <w:tbl>
      <w:tblPr>
        <w:tblStyle w:val="46"/>
        <w:tblW w:w="5063" w:type="pct"/>
        <w:tblInd w:w="2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32"/>
        <w:gridCol w:w="1681"/>
        <w:gridCol w:w="789"/>
        <w:gridCol w:w="791"/>
        <w:gridCol w:w="1746"/>
        <w:gridCol w:w="1670"/>
        <w:gridCol w:w="2714"/>
      </w:tblGrid>
      <w:tr w14:paraId="2E5F9E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07" w:type="pct"/>
            <w:tcBorders>
              <w:top w:val="single" w:color="auto" w:sz="4" w:space="0"/>
              <w:left w:val="single" w:color="auto" w:sz="4" w:space="0"/>
              <w:bottom w:val="single" w:color="auto" w:sz="4" w:space="0"/>
              <w:right w:val="single" w:color="auto" w:sz="4" w:space="0"/>
            </w:tcBorders>
            <w:vAlign w:val="center"/>
          </w:tcPr>
          <w:p w14:paraId="3AD8A4E1">
            <w:pPr>
              <w:adjustRightInd w:val="0"/>
              <w:snapToGrid w:val="0"/>
              <w:spacing w:line="500" w:lineRule="exact"/>
              <w:jc w:val="center"/>
              <w:rPr>
                <w:rFonts w:ascii="宋体" w:hAnsi="宋体" w:cs="宋体"/>
                <w:b/>
                <w:bCs/>
                <w:color w:val="auto"/>
                <w:kern w:val="0"/>
                <w:szCs w:val="21"/>
                <w:highlight w:val="none"/>
              </w:rPr>
            </w:pPr>
            <w:bookmarkStart w:id="914" w:name="_Toc29114"/>
            <w:bookmarkStart w:id="915" w:name="_Toc15593"/>
            <w:bookmarkStart w:id="916" w:name="_Toc78803402"/>
            <w:bookmarkStart w:id="917" w:name="_Toc8955"/>
            <w:r>
              <w:rPr>
                <w:rFonts w:hint="eastAsia" w:ascii="宋体" w:hAnsi="宋体" w:cs="宋体"/>
                <w:b/>
                <w:bCs/>
                <w:color w:val="auto"/>
                <w:kern w:val="0"/>
                <w:szCs w:val="21"/>
                <w:highlight w:val="none"/>
              </w:rPr>
              <w:t>序号</w:t>
            </w:r>
          </w:p>
        </w:tc>
        <w:tc>
          <w:tcPr>
            <w:tcW w:w="822" w:type="pct"/>
            <w:tcBorders>
              <w:top w:val="single" w:color="auto" w:sz="4" w:space="0"/>
              <w:left w:val="single" w:color="auto" w:sz="4" w:space="0"/>
              <w:bottom w:val="single" w:color="auto" w:sz="4" w:space="0"/>
              <w:right w:val="single" w:color="auto" w:sz="4" w:space="0"/>
            </w:tcBorders>
            <w:vAlign w:val="center"/>
          </w:tcPr>
          <w:p w14:paraId="1E2F2CAE">
            <w:pPr>
              <w:adjustRightInd w:val="0"/>
              <w:snapToGrid w:val="0"/>
              <w:spacing w:line="50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名称</w:t>
            </w:r>
          </w:p>
        </w:tc>
        <w:tc>
          <w:tcPr>
            <w:tcW w:w="386" w:type="pct"/>
            <w:tcBorders>
              <w:top w:val="single" w:color="auto" w:sz="4" w:space="0"/>
              <w:left w:val="single" w:color="auto" w:sz="4" w:space="0"/>
              <w:bottom w:val="single" w:color="auto" w:sz="4" w:space="0"/>
              <w:right w:val="single" w:color="auto" w:sz="4" w:space="0"/>
            </w:tcBorders>
            <w:vAlign w:val="center"/>
          </w:tcPr>
          <w:p w14:paraId="4B89555E">
            <w:pPr>
              <w:adjustRightInd w:val="0"/>
              <w:snapToGrid w:val="0"/>
              <w:spacing w:line="50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单位</w:t>
            </w:r>
          </w:p>
        </w:tc>
        <w:tc>
          <w:tcPr>
            <w:tcW w:w="387" w:type="pct"/>
            <w:tcBorders>
              <w:top w:val="single" w:color="auto" w:sz="4" w:space="0"/>
              <w:left w:val="single" w:color="auto" w:sz="4" w:space="0"/>
              <w:bottom w:val="single" w:color="auto" w:sz="4" w:space="0"/>
              <w:right w:val="single" w:color="auto" w:sz="4" w:space="0"/>
            </w:tcBorders>
            <w:shd w:val="clear" w:color="auto" w:fill="auto"/>
            <w:vAlign w:val="center"/>
          </w:tcPr>
          <w:p w14:paraId="194EC0EE">
            <w:pPr>
              <w:adjustRightInd w:val="0"/>
              <w:snapToGrid w:val="0"/>
              <w:spacing w:line="50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数量</w:t>
            </w:r>
          </w:p>
        </w:tc>
        <w:tc>
          <w:tcPr>
            <w:tcW w:w="854" w:type="pct"/>
            <w:tcBorders>
              <w:top w:val="single" w:color="auto" w:sz="4" w:space="0"/>
              <w:left w:val="single" w:color="auto" w:sz="4" w:space="0"/>
              <w:bottom w:val="single" w:color="auto" w:sz="4" w:space="0"/>
              <w:right w:val="single" w:color="auto" w:sz="4" w:space="0"/>
            </w:tcBorders>
            <w:vAlign w:val="center"/>
          </w:tcPr>
          <w:p w14:paraId="0EAC5E16">
            <w:pPr>
              <w:adjustRightInd w:val="0"/>
              <w:snapToGrid w:val="0"/>
              <w:spacing w:line="50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综合单价（元）</w:t>
            </w:r>
          </w:p>
        </w:tc>
        <w:tc>
          <w:tcPr>
            <w:tcW w:w="817" w:type="pct"/>
            <w:tcBorders>
              <w:top w:val="single" w:color="auto" w:sz="4" w:space="0"/>
              <w:left w:val="single" w:color="auto" w:sz="4" w:space="0"/>
              <w:bottom w:val="single" w:color="auto" w:sz="4" w:space="0"/>
              <w:right w:val="single" w:color="auto" w:sz="4" w:space="0"/>
            </w:tcBorders>
            <w:vAlign w:val="center"/>
          </w:tcPr>
          <w:p w14:paraId="3EAF2D3C">
            <w:pPr>
              <w:adjustRightInd w:val="0"/>
              <w:snapToGrid w:val="0"/>
              <w:spacing w:line="50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小计（元）</w:t>
            </w:r>
          </w:p>
        </w:tc>
        <w:tc>
          <w:tcPr>
            <w:tcW w:w="1322" w:type="pct"/>
            <w:tcBorders>
              <w:top w:val="single" w:color="auto" w:sz="4" w:space="0"/>
              <w:left w:val="single" w:color="auto" w:sz="4" w:space="0"/>
              <w:bottom w:val="single" w:color="auto" w:sz="4" w:space="0"/>
              <w:right w:val="single" w:color="auto" w:sz="4" w:space="0"/>
            </w:tcBorders>
            <w:vAlign w:val="center"/>
          </w:tcPr>
          <w:p w14:paraId="3E14AA44">
            <w:pPr>
              <w:adjustRightInd w:val="0"/>
              <w:snapToGrid w:val="0"/>
              <w:spacing w:line="50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备注</w:t>
            </w:r>
          </w:p>
        </w:tc>
      </w:tr>
      <w:tr w14:paraId="0891AE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07" w:type="pct"/>
            <w:tcBorders>
              <w:top w:val="single" w:color="auto" w:sz="4" w:space="0"/>
              <w:left w:val="single" w:color="auto" w:sz="4" w:space="0"/>
              <w:bottom w:val="single" w:color="auto" w:sz="4" w:space="0"/>
              <w:right w:val="single" w:color="auto" w:sz="4" w:space="0"/>
            </w:tcBorders>
            <w:vAlign w:val="center"/>
          </w:tcPr>
          <w:p w14:paraId="4ED686E7">
            <w:pPr>
              <w:adjustRightInd w:val="0"/>
              <w:snapToGrid w:val="0"/>
              <w:spacing w:line="500" w:lineRule="exact"/>
              <w:jc w:val="center"/>
              <w:rPr>
                <w:rFonts w:hint="eastAsia" w:ascii="宋体" w:hAnsi="宋体" w:cs="宋体"/>
                <w:b/>
                <w:bCs/>
                <w:color w:val="auto"/>
                <w:kern w:val="0"/>
                <w:szCs w:val="21"/>
                <w:highlight w:val="none"/>
              </w:rPr>
            </w:pPr>
          </w:p>
        </w:tc>
        <w:tc>
          <w:tcPr>
            <w:tcW w:w="822" w:type="pct"/>
            <w:tcBorders>
              <w:top w:val="single" w:color="auto" w:sz="4" w:space="0"/>
              <w:left w:val="single" w:color="auto" w:sz="4" w:space="0"/>
              <w:bottom w:val="single" w:color="auto" w:sz="4" w:space="0"/>
              <w:right w:val="single" w:color="auto" w:sz="4" w:space="0"/>
            </w:tcBorders>
            <w:vAlign w:val="center"/>
          </w:tcPr>
          <w:p w14:paraId="42A495C2">
            <w:pPr>
              <w:adjustRightInd w:val="0"/>
              <w:snapToGrid w:val="0"/>
              <w:spacing w:line="500" w:lineRule="exact"/>
              <w:jc w:val="center"/>
              <w:rPr>
                <w:rFonts w:hint="eastAsia" w:ascii="宋体" w:hAnsi="宋体" w:cs="宋体"/>
                <w:b/>
                <w:bCs/>
                <w:color w:val="auto"/>
                <w:kern w:val="0"/>
                <w:szCs w:val="21"/>
                <w:highlight w:val="none"/>
              </w:rPr>
            </w:pPr>
          </w:p>
        </w:tc>
        <w:tc>
          <w:tcPr>
            <w:tcW w:w="386" w:type="pct"/>
            <w:tcBorders>
              <w:top w:val="single" w:color="auto" w:sz="4" w:space="0"/>
              <w:left w:val="single" w:color="auto" w:sz="4" w:space="0"/>
              <w:bottom w:val="single" w:color="auto" w:sz="4" w:space="0"/>
              <w:right w:val="single" w:color="auto" w:sz="4" w:space="0"/>
            </w:tcBorders>
            <w:vAlign w:val="center"/>
          </w:tcPr>
          <w:p w14:paraId="5D1DD323">
            <w:pPr>
              <w:adjustRightInd w:val="0"/>
              <w:snapToGrid w:val="0"/>
              <w:spacing w:line="500" w:lineRule="exact"/>
              <w:jc w:val="center"/>
              <w:rPr>
                <w:rFonts w:hint="eastAsia" w:ascii="宋体" w:hAnsi="宋体" w:cs="宋体"/>
                <w:b/>
                <w:bCs/>
                <w:color w:val="auto"/>
                <w:kern w:val="0"/>
                <w:szCs w:val="21"/>
                <w:highlight w:val="none"/>
              </w:rPr>
            </w:pPr>
          </w:p>
        </w:tc>
        <w:tc>
          <w:tcPr>
            <w:tcW w:w="387" w:type="pct"/>
            <w:tcBorders>
              <w:top w:val="single" w:color="auto" w:sz="4" w:space="0"/>
              <w:left w:val="single" w:color="auto" w:sz="4" w:space="0"/>
              <w:bottom w:val="single" w:color="auto" w:sz="4" w:space="0"/>
              <w:right w:val="single" w:color="auto" w:sz="4" w:space="0"/>
            </w:tcBorders>
            <w:shd w:val="clear" w:color="auto" w:fill="auto"/>
            <w:vAlign w:val="center"/>
          </w:tcPr>
          <w:p w14:paraId="5192C329">
            <w:pPr>
              <w:adjustRightInd w:val="0"/>
              <w:snapToGrid w:val="0"/>
              <w:spacing w:line="500" w:lineRule="exact"/>
              <w:jc w:val="center"/>
              <w:rPr>
                <w:rFonts w:hint="eastAsia" w:ascii="宋体" w:hAnsi="宋体" w:cs="宋体"/>
                <w:b/>
                <w:bCs/>
                <w:color w:val="auto"/>
                <w:kern w:val="0"/>
                <w:szCs w:val="21"/>
                <w:highlight w:val="none"/>
              </w:rPr>
            </w:pPr>
          </w:p>
        </w:tc>
        <w:tc>
          <w:tcPr>
            <w:tcW w:w="854" w:type="pct"/>
            <w:tcBorders>
              <w:top w:val="single" w:color="auto" w:sz="4" w:space="0"/>
              <w:left w:val="single" w:color="auto" w:sz="4" w:space="0"/>
              <w:bottom w:val="single" w:color="auto" w:sz="4" w:space="0"/>
              <w:right w:val="single" w:color="auto" w:sz="4" w:space="0"/>
            </w:tcBorders>
            <w:vAlign w:val="center"/>
          </w:tcPr>
          <w:p w14:paraId="5D35ABE1">
            <w:pPr>
              <w:adjustRightInd w:val="0"/>
              <w:snapToGrid w:val="0"/>
              <w:spacing w:line="500" w:lineRule="exact"/>
              <w:jc w:val="center"/>
              <w:rPr>
                <w:rFonts w:hint="eastAsia" w:ascii="宋体" w:hAnsi="宋体" w:cs="宋体"/>
                <w:b/>
                <w:bCs/>
                <w:color w:val="auto"/>
                <w:kern w:val="0"/>
                <w:szCs w:val="21"/>
                <w:highlight w:val="none"/>
              </w:rPr>
            </w:pPr>
          </w:p>
        </w:tc>
        <w:tc>
          <w:tcPr>
            <w:tcW w:w="817" w:type="pct"/>
            <w:tcBorders>
              <w:top w:val="single" w:color="auto" w:sz="4" w:space="0"/>
              <w:left w:val="single" w:color="auto" w:sz="4" w:space="0"/>
              <w:bottom w:val="single" w:color="auto" w:sz="4" w:space="0"/>
              <w:right w:val="single" w:color="auto" w:sz="4" w:space="0"/>
            </w:tcBorders>
            <w:vAlign w:val="center"/>
          </w:tcPr>
          <w:p w14:paraId="4FE90BE1">
            <w:pPr>
              <w:adjustRightInd w:val="0"/>
              <w:snapToGrid w:val="0"/>
              <w:spacing w:line="500" w:lineRule="exact"/>
              <w:jc w:val="center"/>
              <w:rPr>
                <w:rFonts w:hint="eastAsia" w:ascii="宋体" w:hAnsi="宋体" w:cs="宋体"/>
                <w:b/>
                <w:bCs/>
                <w:color w:val="auto"/>
                <w:kern w:val="0"/>
                <w:szCs w:val="21"/>
                <w:highlight w:val="none"/>
              </w:rPr>
            </w:pPr>
          </w:p>
        </w:tc>
        <w:tc>
          <w:tcPr>
            <w:tcW w:w="1322" w:type="pct"/>
            <w:tcBorders>
              <w:top w:val="single" w:color="auto" w:sz="4" w:space="0"/>
              <w:left w:val="single" w:color="auto" w:sz="4" w:space="0"/>
              <w:bottom w:val="single" w:color="auto" w:sz="4" w:space="0"/>
              <w:right w:val="single" w:color="auto" w:sz="4" w:space="0"/>
            </w:tcBorders>
            <w:vAlign w:val="center"/>
          </w:tcPr>
          <w:p w14:paraId="06C24AF6">
            <w:pPr>
              <w:adjustRightInd w:val="0"/>
              <w:snapToGrid w:val="0"/>
              <w:spacing w:line="500" w:lineRule="exact"/>
              <w:jc w:val="center"/>
              <w:rPr>
                <w:rFonts w:hint="eastAsia" w:ascii="宋体" w:hAnsi="宋体" w:cs="宋体"/>
                <w:b/>
                <w:bCs/>
                <w:color w:val="auto"/>
                <w:kern w:val="0"/>
                <w:szCs w:val="21"/>
                <w:highlight w:val="none"/>
              </w:rPr>
            </w:pPr>
          </w:p>
        </w:tc>
      </w:tr>
      <w:tr w14:paraId="1283C0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07" w:type="pct"/>
            <w:tcBorders>
              <w:top w:val="single" w:color="auto" w:sz="4" w:space="0"/>
              <w:left w:val="single" w:color="auto" w:sz="4" w:space="0"/>
              <w:bottom w:val="single" w:color="auto" w:sz="4" w:space="0"/>
              <w:right w:val="single" w:color="auto" w:sz="4" w:space="0"/>
            </w:tcBorders>
            <w:vAlign w:val="center"/>
          </w:tcPr>
          <w:p w14:paraId="0A5CC89D">
            <w:pPr>
              <w:adjustRightInd w:val="0"/>
              <w:snapToGrid w:val="0"/>
              <w:spacing w:line="500" w:lineRule="exact"/>
              <w:jc w:val="center"/>
              <w:rPr>
                <w:rFonts w:hint="eastAsia" w:ascii="宋体" w:hAnsi="宋体" w:cs="宋体"/>
                <w:b/>
                <w:bCs/>
                <w:color w:val="auto"/>
                <w:kern w:val="0"/>
                <w:szCs w:val="21"/>
                <w:highlight w:val="none"/>
              </w:rPr>
            </w:pPr>
          </w:p>
        </w:tc>
        <w:tc>
          <w:tcPr>
            <w:tcW w:w="822" w:type="pct"/>
            <w:tcBorders>
              <w:top w:val="single" w:color="auto" w:sz="4" w:space="0"/>
              <w:left w:val="single" w:color="auto" w:sz="4" w:space="0"/>
              <w:bottom w:val="single" w:color="auto" w:sz="4" w:space="0"/>
              <w:right w:val="single" w:color="auto" w:sz="4" w:space="0"/>
            </w:tcBorders>
            <w:vAlign w:val="center"/>
          </w:tcPr>
          <w:p w14:paraId="7B6FFF2E">
            <w:pPr>
              <w:adjustRightInd w:val="0"/>
              <w:snapToGrid w:val="0"/>
              <w:spacing w:line="500" w:lineRule="exact"/>
              <w:jc w:val="center"/>
              <w:rPr>
                <w:rFonts w:hint="eastAsia" w:ascii="宋体" w:hAnsi="宋体" w:cs="宋体"/>
                <w:b/>
                <w:bCs/>
                <w:color w:val="auto"/>
                <w:kern w:val="0"/>
                <w:szCs w:val="21"/>
                <w:highlight w:val="none"/>
              </w:rPr>
            </w:pPr>
          </w:p>
        </w:tc>
        <w:tc>
          <w:tcPr>
            <w:tcW w:w="386" w:type="pct"/>
            <w:tcBorders>
              <w:top w:val="single" w:color="auto" w:sz="4" w:space="0"/>
              <w:left w:val="single" w:color="auto" w:sz="4" w:space="0"/>
              <w:bottom w:val="single" w:color="auto" w:sz="4" w:space="0"/>
              <w:right w:val="single" w:color="auto" w:sz="4" w:space="0"/>
            </w:tcBorders>
            <w:vAlign w:val="center"/>
          </w:tcPr>
          <w:p w14:paraId="0C2BE892">
            <w:pPr>
              <w:adjustRightInd w:val="0"/>
              <w:snapToGrid w:val="0"/>
              <w:spacing w:line="500" w:lineRule="exact"/>
              <w:jc w:val="center"/>
              <w:rPr>
                <w:rFonts w:hint="eastAsia" w:ascii="宋体" w:hAnsi="宋体" w:cs="宋体"/>
                <w:b/>
                <w:bCs/>
                <w:color w:val="auto"/>
                <w:kern w:val="0"/>
                <w:szCs w:val="21"/>
                <w:highlight w:val="none"/>
              </w:rPr>
            </w:pPr>
          </w:p>
        </w:tc>
        <w:tc>
          <w:tcPr>
            <w:tcW w:w="387" w:type="pct"/>
            <w:tcBorders>
              <w:top w:val="single" w:color="auto" w:sz="4" w:space="0"/>
              <w:left w:val="single" w:color="auto" w:sz="4" w:space="0"/>
              <w:bottom w:val="single" w:color="auto" w:sz="4" w:space="0"/>
              <w:right w:val="single" w:color="auto" w:sz="4" w:space="0"/>
            </w:tcBorders>
            <w:shd w:val="clear" w:color="auto" w:fill="auto"/>
            <w:vAlign w:val="center"/>
          </w:tcPr>
          <w:p w14:paraId="70B9E2F2">
            <w:pPr>
              <w:adjustRightInd w:val="0"/>
              <w:snapToGrid w:val="0"/>
              <w:spacing w:line="500" w:lineRule="exact"/>
              <w:jc w:val="center"/>
              <w:rPr>
                <w:rFonts w:hint="eastAsia" w:ascii="宋体" w:hAnsi="宋体" w:cs="宋体"/>
                <w:b/>
                <w:bCs/>
                <w:color w:val="auto"/>
                <w:kern w:val="0"/>
                <w:szCs w:val="21"/>
                <w:highlight w:val="none"/>
              </w:rPr>
            </w:pPr>
          </w:p>
        </w:tc>
        <w:tc>
          <w:tcPr>
            <w:tcW w:w="854" w:type="pct"/>
            <w:tcBorders>
              <w:top w:val="single" w:color="auto" w:sz="4" w:space="0"/>
              <w:left w:val="single" w:color="auto" w:sz="4" w:space="0"/>
              <w:bottom w:val="single" w:color="auto" w:sz="4" w:space="0"/>
              <w:right w:val="single" w:color="auto" w:sz="4" w:space="0"/>
            </w:tcBorders>
            <w:vAlign w:val="center"/>
          </w:tcPr>
          <w:p w14:paraId="7B057128">
            <w:pPr>
              <w:adjustRightInd w:val="0"/>
              <w:snapToGrid w:val="0"/>
              <w:spacing w:line="500" w:lineRule="exact"/>
              <w:jc w:val="center"/>
              <w:rPr>
                <w:rFonts w:hint="eastAsia" w:ascii="宋体" w:hAnsi="宋体" w:cs="宋体"/>
                <w:b/>
                <w:bCs/>
                <w:color w:val="auto"/>
                <w:kern w:val="0"/>
                <w:szCs w:val="21"/>
                <w:highlight w:val="none"/>
              </w:rPr>
            </w:pPr>
          </w:p>
        </w:tc>
        <w:tc>
          <w:tcPr>
            <w:tcW w:w="817" w:type="pct"/>
            <w:tcBorders>
              <w:top w:val="single" w:color="auto" w:sz="4" w:space="0"/>
              <w:left w:val="single" w:color="auto" w:sz="4" w:space="0"/>
              <w:bottom w:val="single" w:color="auto" w:sz="4" w:space="0"/>
              <w:right w:val="single" w:color="auto" w:sz="4" w:space="0"/>
            </w:tcBorders>
            <w:vAlign w:val="center"/>
          </w:tcPr>
          <w:p w14:paraId="0D1F862F">
            <w:pPr>
              <w:adjustRightInd w:val="0"/>
              <w:snapToGrid w:val="0"/>
              <w:spacing w:line="500" w:lineRule="exact"/>
              <w:jc w:val="center"/>
              <w:rPr>
                <w:rFonts w:hint="eastAsia" w:ascii="宋体" w:hAnsi="宋体" w:cs="宋体"/>
                <w:b/>
                <w:bCs/>
                <w:color w:val="auto"/>
                <w:kern w:val="0"/>
                <w:szCs w:val="21"/>
                <w:highlight w:val="none"/>
              </w:rPr>
            </w:pPr>
          </w:p>
        </w:tc>
        <w:tc>
          <w:tcPr>
            <w:tcW w:w="1322" w:type="pct"/>
            <w:tcBorders>
              <w:top w:val="single" w:color="auto" w:sz="4" w:space="0"/>
              <w:left w:val="single" w:color="auto" w:sz="4" w:space="0"/>
              <w:bottom w:val="single" w:color="auto" w:sz="4" w:space="0"/>
              <w:right w:val="single" w:color="auto" w:sz="4" w:space="0"/>
            </w:tcBorders>
            <w:vAlign w:val="center"/>
          </w:tcPr>
          <w:p w14:paraId="1A8084C8">
            <w:pPr>
              <w:adjustRightInd w:val="0"/>
              <w:snapToGrid w:val="0"/>
              <w:spacing w:line="500" w:lineRule="exact"/>
              <w:jc w:val="center"/>
              <w:rPr>
                <w:rFonts w:hint="eastAsia" w:ascii="宋体" w:hAnsi="宋体" w:cs="宋体"/>
                <w:b/>
                <w:bCs/>
                <w:color w:val="auto"/>
                <w:kern w:val="0"/>
                <w:szCs w:val="21"/>
                <w:highlight w:val="none"/>
              </w:rPr>
            </w:pPr>
          </w:p>
        </w:tc>
      </w:tr>
      <w:tr w14:paraId="08E791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07" w:type="pct"/>
            <w:tcBorders>
              <w:top w:val="single" w:color="auto" w:sz="4" w:space="0"/>
              <w:left w:val="single" w:color="auto" w:sz="4" w:space="0"/>
              <w:bottom w:val="single" w:color="auto" w:sz="4" w:space="0"/>
              <w:right w:val="single" w:color="auto" w:sz="4" w:space="0"/>
            </w:tcBorders>
            <w:vAlign w:val="center"/>
          </w:tcPr>
          <w:p w14:paraId="43E42262">
            <w:pPr>
              <w:adjustRightInd w:val="0"/>
              <w:snapToGrid w:val="0"/>
              <w:spacing w:line="500" w:lineRule="exact"/>
              <w:jc w:val="center"/>
              <w:rPr>
                <w:rFonts w:hint="eastAsia" w:ascii="宋体" w:hAnsi="宋体" w:cs="宋体"/>
                <w:b/>
                <w:bCs/>
                <w:color w:val="auto"/>
                <w:kern w:val="0"/>
                <w:szCs w:val="21"/>
                <w:highlight w:val="none"/>
              </w:rPr>
            </w:pPr>
          </w:p>
        </w:tc>
        <w:tc>
          <w:tcPr>
            <w:tcW w:w="822" w:type="pct"/>
            <w:tcBorders>
              <w:top w:val="single" w:color="auto" w:sz="4" w:space="0"/>
              <w:left w:val="single" w:color="auto" w:sz="4" w:space="0"/>
              <w:bottom w:val="single" w:color="auto" w:sz="4" w:space="0"/>
              <w:right w:val="single" w:color="auto" w:sz="4" w:space="0"/>
            </w:tcBorders>
            <w:vAlign w:val="center"/>
          </w:tcPr>
          <w:p w14:paraId="5B0C04CA">
            <w:pPr>
              <w:adjustRightInd w:val="0"/>
              <w:snapToGrid w:val="0"/>
              <w:spacing w:line="500" w:lineRule="exact"/>
              <w:jc w:val="center"/>
              <w:rPr>
                <w:rFonts w:hint="eastAsia" w:ascii="宋体" w:hAnsi="宋体" w:cs="宋体"/>
                <w:b/>
                <w:bCs/>
                <w:color w:val="auto"/>
                <w:kern w:val="0"/>
                <w:szCs w:val="21"/>
                <w:highlight w:val="none"/>
              </w:rPr>
            </w:pPr>
          </w:p>
        </w:tc>
        <w:tc>
          <w:tcPr>
            <w:tcW w:w="386" w:type="pct"/>
            <w:tcBorders>
              <w:top w:val="single" w:color="auto" w:sz="4" w:space="0"/>
              <w:left w:val="single" w:color="auto" w:sz="4" w:space="0"/>
              <w:bottom w:val="single" w:color="auto" w:sz="4" w:space="0"/>
              <w:right w:val="single" w:color="auto" w:sz="4" w:space="0"/>
            </w:tcBorders>
            <w:vAlign w:val="center"/>
          </w:tcPr>
          <w:p w14:paraId="4A9B8C11">
            <w:pPr>
              <w:adjustRightInd w:val="0"/>
              <w:snapToGrid w:val="0"/>
              <w:spacing w:line="500" w:lineRule="exact"/>
              <w:jc w:val="center"/>
              <w:rPr>
                <w:rFonts w:hint="eastAsia" w:ascii="宋体" w:hAnsi="宋体" w:cs="宋体"/>
                <w:b/>
                <w:bCs/>
                <w:color w:val="auto"/>
                <w:kern w:val="0"/>
                <w:szCs w:val="21"/>
                <w:highlight w:val="none"/>
              </w:rPr>
            </w:pPr>
          </w:p>
        </w:tc>
        <w:tc>
          <w:tcPr>
            <w:tcW w:w="387" w:type="pct"/>
            <w:tcBorders>
              <w:top w:val="single" w:color="auto" w:sz="4" w:space="0"/>
              <w:left w:val="single" w:color="auto" w:sz="4" w:space="0"/>
              <w:bottom w:val="single" w:color="auto" w:sz="4" w:space="0"/>
              <w:right w:val="single" w:color="auto" w:sz="4" w:space="0"/>
            </w:tcBorders>
            <w:shd w:val="clear" w:color="auto" w:fill="auto"/>
            <w:vAlign w:val="center"/>
          </w:tcPr>
          <w:p w14:paraId="0BD456E0">
            <w:pPr>
              <w:adjustRightInd w:val="0"/>
              <w:snapToGrid w:val="0"/>
              <w:spacing w:line="500" w:lineRule="exact"/>
              <w:jc w:val="center"/>
              <w:rPr>
                <w:rFonts w:hint="eastAsia" w:ascii="宋体" w:hAnsi="宋体" w:cs="宋体"/>
                <w:b/>
                <w:bCs/>
                <w:color w:val="auto"/>
                <w:kern w:val="0"/>
                <w:szCs w:val="21"/>
                <w:highlight w:val="none"/>
              </w:rPr>
            </w:pPr>
          </w:p>
        </w:tc>
        <w:tc>
          <w:tcPr>
            <w:tcW w:w="854" w:type="pct"/>
            <w:tcBorders>
              <w:top w:val="single" w:color="auto" w:sz="4" w:space="0"/>
              <w:left w:val="single" w:color="auto" w:sz="4" w:space="0"/>
              <w:bottom w:val="single" w:color="auto" w:sz="4" w:space="0"/>
              <w:right w:val="single" w:color="auto" w:sz="4" w:space="0"/>
            </w:tcBorders>
            <w:vAlign w:val="center"/>
          </w:tcPr>
          <w:p w14:paraId="42D9FBB0">
            <w:pPr>
              <w:adjustRightInd w:val="0"/>
              <w:snapToGrid w:val="0"/>
              <w:spacing w:line="500" w:lineRule="exact"/>
              <w:jc w:val="center"/>
              <w:rPr>
                <w:rFonts w:hint="eastAsia" w:ascii="宋体" w:hAnsi="宋体" w:cs="宋体"/>
                <w:b/>
                <w:bCs/>
                <w:color w:val="auto"/>
                <w:kern w:val="0"/>
                <w:szCs w:val="21"/>
                <w:highlight w:val="none"/>
              </w:rPr>
            </w:pPr>
          </w:p>
        </w:tc>
        <w:tc>
          <w:tcPr>
            <w:tcW w:w="817" w:type="pct"/>
            <w:tcBorders>
              <w:top w:val="single" w:color="auto" w:sz="4" w:space="0"/>
              <w:left w:val="single" w:color="auto" w:sz="4" w:space="0"/>
              <w:bottom w:val="single" w:color="auto" w:sz="4" w:space="0"/>
              <w:right w:val="single" w:color="auto" w:sz="4" w:space="0"/>
            </w:tcBorders>
            <w:vAlign w:val="center"/>
          </w:tcPr>
          <w:p w14:paraId="2A9713E0">
            <w:pPr>
              <w:adjustRightInd w:val="0"/>
              <w:snapToGrid w:val="0"/>
              <w:spacing w:line="500" w:lineRule="exact"/>
              <w:jc w:val="center"/>
              <w:rPr>
                <w:rFonts w:hint="eastAsia" w:ascii="宋体" w:hAnsi="宋体" w:cs="宋体"/>
                <w:b/>
                <w:bCs/>
                <w:color w:val="auto"/>
                <w:kern w:val="0"/>
                <w:szCs w:val="21"/>
                <w:highlight w:val="none"/>
              </w:rPr>
            </w:pPr>
          </w:p>
        </w:tc>
        <w:tc>
          <w:tcPr>
            <w:tcW w:w="1322" w:type="pct"/>
            <w:tcBorders>
              <w:top w:val="single" w:color="auto" w:sz="4" w:space="0"/>
              <w:left w:val="single" w:color="auto" w:sz="4" w:space="0"/>
              <w:bottom w:val="single" w:color="auto" w:sz="4" w:space="0"/>
              <w:right w:val="single" w:color="auto" w:sz="4" w:space="0"/>
            </w:tcBorders>
            <w:vAlign w:val="center"/>
          </w:tcPr>
          <w:p w14:paraId="759D7168">
            <w:pPr>
              <w:adjustRightInd w:val="0"/>
              <w:snapToGrid w:val="0"/>
              <w:spacing w:line="500" w:lineRule="exact"/>
              <w:jc w:val="center"/>
              <w:rPr>
                <w:rFonts w:hint="eastAsia" w:ascii="宋体" w:hAnsi="宋体" w:cs="宋体"/>
                <w:b/>
                <w:bCs/>
                <w:color w:val="auto"/>
                <w:kern w:val="0"/>
                <w:szCs w:val="21"/>
                <w:highlight w:val="none"/>
              </w:rPr>
            </w:pPr>
          </w:p>
        </w:tc>
      </w:tr>
      <w:tr w14:paraId="13D866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07" w:type="pct"/>
            <w:tcBorders>
              <w:top w:val="single" w:color="auto" w:sz="4" w:space="0"/>
              <w:left w:val="single" w:color="auto" w:sz="4" w:space="0"/>
              <w:bottom w:val="single" w:color="auto" w:sz="4" w:space="0"/>
              <w:right w:val="single" w:color="auto" w:sz="4" w:space="0"/>
            </w:tcBorders>
            <w:vAlign w:val="center"/>
          </w:tcPr>
          <w:p w14:paraId="6B900A47">
            <w:pPr>
              <w:adjustRightInd w:val="0"/>
              <w:snapToGrid w:val="0"/>
              <w:spacing w:line="500" w:lineRule="exact"/>
              <w:jc w:val="center"/>
              <w:rPr>
                <w:rFonts w:hint="eastAsia" w:ascii="宋体" w:hAnsi="宋体" w:cs="宋体"/>
                <w:b/>
                <w:bCs/>
                <w:color w:val="auto"/>
                <w:kern w:val="0"/>
                <w:szCs w:val="21"/>
                <w:highlight w:val="none"/>
              </w:rPr>
            </w:pPr>
          </w:p>
        </w:tc>
        <w:tc>
          <w:tcPr>
            <w:tcW w:w="822" w:type="pct"/>
            <w:tcBorders>
              <w:top w:val="single" w:color="auto" w:sz="4" w:space="0"/>
              <w:left w:val="single" w:color="auto" w:sz="4" w:space="0"/>
              <w:bottom w:val="single" w:color="auto" w:sz="4" w:space="0"/>
              <w:right w:val="single" w:color="auto" w:sz="4" w:space="0"/>
            </w:tcBorders>
            <w:vAlign w:val="center"/>
          </w:tcPr>
          <w:p w14:paraId="07E2B75D">
            <w:pPr>
              <w:adjustRightInd w:val="0"/>
              <w:snapToGrid w:val="0"/>
              <w:spacing w:line="500" w:lineRule="exact"/>
              <w:jc w:val="center"/>
              <w:rPr>
                <w:rFonts w:hint="eastAsia" w:ascii="宋体" w:hAnsi="宋体" w:cs="宋体"/>
                <w:b/>
                <w:bCs/>
                <w:color w:val="auto"/>
                <w:kern w:val="0"/>
                <w:szCs w:val="21"/>
                <w:highlight w:val="none"/>
              </w:rPr>
            </w:pPr>
          </w:p>
        </w:tc>
        <w:tc>
          <w:tcPr>
            <w:tcW w:w="386" w:type="pct"/>
            <w:tcBorders>
              <w:top w:val="single" w:color="auto" w:sz="4" w:space="0"/>
              <w:left w:val="single" w:color="auto" w:sz="4" w:space="0"/>
              <w:bottom w:val="single" w:color="auto" w:sz="4" w:space="0"/>
              <w:right w:val="single" w:color="auto" w:sz="4" w:space="0"/>
            </w:tcBorders>
            <w:vAlign w:val="center"/>
          </w:tcPr>
          <w:p w14:paraId="16655C44">
            <w:pPr>
              <w:adjustRightInd w:val="0"/>
              <w:snapToGrid w:val="0"/>
              <w:spacing w:line="500" w:lineRule="exact"/>
              <w:jc w:val="center"/>
              <w:rPr>
                <w:rFonts w:hint="eastAsia" w:ascii="宋体" w:hAnsi="宋体" w:cs="宋体"/>
                <w:b/>
                <w:bCs/>
                <w:color w:val="auto"/>
                <w:kern w:val="0"/>
                <w:szCs w:val="21"/>
                <w:highlight w:val="none"/>
              </w:rPr>
            </w:pPr>
          </w:p>
        </w:tc>
        <w:tc>
          <w:tcPr>
            <w:tcW w:w="387" w:type="pct"/>
            <w:tcBorders>
              <w:top w:val="single" w:color="auto" w:sz="4" w:space="0"/>
              <w:left w:val="single" w:color="auto" w:sz="4" w:space="0"/>
              <w:bottom w:val="single" w:color="auto" w:sz="4" w:space="0"/>
              <w:right w:val="single" w:color="auto" w:sz="4" w:space="0"/>
            </w:tcBorders>
            <w:shd w:val="clear" w:color="auto" w:fill="auto"/>
            <w:vAlign w:val="center"/>
          </w:tcPr>
          <w:p w14:paraId="556966A2">
            <w:pPr>
              <w:adjustRightInd w:val="0"/>
              <w:snapToGrid w:val="0"/>
              <w:spacing w:line="500" w:lineRule="exact"/>
              <w:jc w:val="center"/>
              <w:rPr>
                <w:rFonts w:hint="eastAsia" w:ascii="宋体" w:hAnsi="宋体" w:cs="宋体"/>
                <w:b/>
                <w:bCs/>
                <w:color w:val="auto"/>
                <w:kern w:val="0"/>
                <w:szCs w:val="21"/>
                <w:highlight w:val="none"/>
              </w:rPr>
            </w:pPr>
          </w:p>
        </w:tc>
        <w:tc>
          <w:tcPr>
            <w:tcW w:w="854" w:type="pct"/>
            <w:tcBorders>
              <w:top w:val="single" w:color="auto" w:sz="4" w:space="0"/>
              <w:left w:val="single" w:color="auto" w:sz="4" w:space="0"/>
              <w:bottom w:val="single" w:color="auto" w:sz="4" w:space="0"/>
              <w:right w:val="single" w:color="auto" w:sz="4" w:space="0"/>
            </w:tcBorders>
            <w:vAlign w:val="center"/>
          </w:tcPr>
          <w:p w14:paraId="01645667">
            <w:pPr>
              <w:adjustRightInd w:val="0"/>
              <w:snapToGrid w:val="0"/>
              <w:spacing w:line="500" w:lineRule="exact"/>
              <w:jc w:val="center"/>
              <w:rPr>
                <w:rFonts w:hint="eastAsia" w:ascii="宋体" w:hAnsi="宋体" w:cs="宋体"/>
                <w:b/>
                <w:bCs/>
                <w:color w:val="auto"/>
                <w:kern w:val="0"/>
                <w:szCs w:val="21"/>
                <w:highlight w:val="none"/>
              </w:rPr>
            </w:pPr>
          </w:p>
        </w:tc>
        <w:tc>
          <w:tcPr>
            <w:tcW w:w="817" w:type="pct"/>
            <w:tcBorders>
              <w:top w:val="single" w:color="auto" w:sz="4" w:space="0"/>
              <w:left w:val="single" w:color="auto" w:sz="4" w:space="0"/>
              <w:bottom w:val="single" w:color="auto" w:sz="4" w:space="0"/>
              <w:right w:val="single" w:color="auto" w:sz="4" w:space="0"/>
            </w:tcBorders>
            <w:vAlign w:val="center"/>
          </w:tcPr>
          <w:p w14:paraId="27522CB9">
            <w:pPr>
              <w:adjustRightInd w:val="0"/>
              <w:snapToGrid w:val="0"/>
              <w:spacing w:line="500" w:lineRule="exact"/>
              <w:jc w:val="center"/>
              <w:rPr>
                <w:rFonts w:hint="eastAsia" w:ascii="宋体" w:hAnsi="宋体" w:cs="宋体"/>
                <w:b/>
                <w:bCs/>
                <w:color w:val="auto"/>
                <w:kern w:val="0"/>
                <w:szCs w:val="21"/>
                <w:highlight w:val="none"/>
              </w:rPr>
            </w:pPr>
          </w:p>
        </w:tc>
        <w:tc>
          <w:tcPr>
            <w:tcW w:w="1322" w:type="pct"/>
            <w:tcBorders>
              <w:top w:val="single" w:color="auto" w:sz="4" w:space="0"/>
              <w:left w:val="single" w:color="auto" w:sz="4" w:space="0"/>
              <w:bottom w:val="single" w:color="auto" w:sz="4" w:space="0"/>
              <w:right w:val="single" w:color="auto" w:sz="4" w:space="0"/>
            </w:tcBorders>
            <w:vAlign w:val="center"/>
          </w:tcPr>
          <w:p w14:paraId="6A3BEEA0">
            <w:pPr>
              <w:adjustRightInd w:val="0"/>
              <w:snapToGrid w:val="0"/>
              <w:spacing w:line="500" w:lineRule="exact"/>
              <w:jc w:val="center"/>
              <w:rPr>
                <w:rFonts w:hint="eastAsia" w:ascii="宋体" w:hAnsi="宋体" w:cs="宋体"/>
                <w:b/>
                <w:bCs/>
                <w:color w:val="auto"/>
                <w:kern w:val="0"/>
                <w:szCs w:val="21"/>
                <w:highlight w:val="none"/>
              </w:rPr>
            </w:pPr>
          </w:p>
        </w:tc>
      </w:tr>
      <w:tr w14:paraId="17CBF8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07" w:type="pct"/>
            <w:tcBorders>
              <w:top w:val="single" w:color="auto" w:sz="4" w:space="0"/>
              <w:left w:val="single" w:color="auto" w:sz="4" w:space="0"/>
              <w:bottom w:val="single" w:color="auto" w:sz="4" w:space="0"/>
              <w:right w:val="single" w:color="auto" w:sz="4" w:space="0"/>
            </w:tcBorders>
            <w:vAlign w:val="center"/>
          </w:tcPr>
          <w:p w14:paraId="2B7B2997">
            <w:pPr>
              <w:adjustRightInd w:val="0"/>
              <w:snapToGrid w:val="0"/>
              <w:spacing w:line="500" w:lineRule="exact"/>
              <w:jc w:val="center"/>
              <w:rPr>
                <w:rFonts w:hint="eastAsia" w:ascii="宋体" w:hAnsi="宋体" w:cs="宋体"/>
                <w:b/>
                <w:bCs/>
                <w:color w:val="auto"/>
                <w:kern w:val="0"/>
                <w:szCs w:val="21"/>
                <w:highlight w:val="none"/>
              </w:rPr>
            </w:pPr>
          </w:p>
        </w:tc>
        <w:tc>
          <w:tcPr>
            <w:tcW w:w="822" w:type="pct"/>
            <w:tcBorders>
              <w:top w:val="single" w:color="auto" w:sz="4" w:space="0"/>
              <w:left w:val="single" w:color="auto" w:sz="4" w:space="0"/>
              <w:bottom w:val="single" w:color="auto" w:sz="4" w:space="0"/>
              <w:right w:val="single" w:color="auto" w:sz="4" w:space="0"/>
            </w:tcBorders>
            <w:vAlign w:val="center"/>
          </w:tcPr>
          <w:p w14:paraId="2E7FEF16">
            <w:pPr>
              <w:adjustRightInd w:val="0"/>
              <w:snapToGrid w:val="0"/>
              <w:spacing w:line="500" w:lineRule="exact"/>
              <w:jc w:val="center"/>
              <w:rPr>
                <w:rFonts w:hint="eastAsia" w:ascii="宋体" w:hAnsi="宋体" w:cs="宋体"/>
                <w:b/>
                <w:bCs/>
                <w:color w:val="auto"/>
                <w:kern w:val="0"/>
                <w:szCs w:val="21"/>
                <w:highlight w:val="none"/>
              </w:rPr>
            </w:pPr>
          </w:p>
        </w:tc>
        <w:tc>
          <w:tcPr>
            <w:tcW w:w="386" w:type="pct"/>
            <w:tcBorders>
              <w:top w:val="single" w:color="auto" w:sz="4" w:space="0"/>
              <w:left w:val="single" w:color="auto" w:sz="4" w:space="0"/>
              <w:bottom w:val="single" w:color="auto" w:sz="4" w:space="0"/>
              <w:right w:val="single" w:color="auto" w:sz="4" w:space="0"/>
            </w:tcBorders>
            <w:vAlign w:val="center"/>
          </w:tcPr>
          <w:p w14:paraId="553310C6">
            <w:pPr>
              <w:adjustRightInd w:val="0"/>
              <w:snapToGrid w:val="0"/>
              <w:spacing w:line="500" w:lineRule="exact"/>
              <w:jc w:val="center"/>
              <w:rPr>
                <w:rFonts w:hint="eastAsia" w:ascii="宋体" w:hAnsi="宋体" w:cs="宋体"/>
                <w:b/>
                <w:bCs/>
                <w:color w:val="auto"/>
                <w:kern w:val="0"/>
                <w:szCs w:val="21"/>
                <w:highlight w:val="none"/>
              </w:rPr>
            </w:pPr>
          </w:p>
        </w:tc>
        <w:tc>
          <w:tcPr>
            <w:tcW w:w="387" w:type="pct"/>
            <w:tcBorders>
              <w:top w:val="single" w:color="auto" w:sz="4" w:space="0"/>
              <w:left w:val="single" w:color="auto" w:sz="4" w:space="0"/>
              <w:bottom w:val="single" w:color="auto" w:sz="4" w:space="0"/>
              <w:right w:val="single" w:color="auto" w:sz="4" w:space="0"/>
            </w:tcBorders>
            <w:shd w:val="clear" w:color="auto" w:fill="auto"/>
            <w:vAlign w:val="center"/>
          </w:tcPr>
          <w:p w14:paraId="2054249F">
            <w:pPr>
              <w:adjustRightInd w:val="0"/>
              <w:snapToGrid w:val="0"/>
              <w:spacing w:line="500" w:lineRule="exact"/>
              <w:jc w:val="center"/>
              <w:rPr>
                <w:rFonts w:hint="eastAsia" w:ascii="宋体" w:hAnsi="宋体" w:cs="宋体"/>
                <w:b/>
                <w:bCs/>
                <w:color w:val="auto"/>
                <w:kern w:val="0"/>
                <w:szCs w:val="21"/>
                <w:highlight w:val="none"/>
              </w:rPr>
            </w:pPr>
          </w:p>
        </w:tc>
        <w:tc>
          <w:tcPr>
            <w:tcW w:w="854" w:type="pct"/>
            <w:tcBorders>
              <w:top w:val="single" w:color="auto" w:sz="4" w:space="0"/>
              <w:left w:val="single" w:color="auto" w:sz="4" w:space="0"/>
              <w:bottom w:val="single" w:color="auto" w:sz="4" w:space="0"/>
              <w:right w:val="single" w:color="auto" w:sz="4" w:space="0"/>
            </w:tcBorders>
            <w:vAlign w:val="center"/>
          </w:tcPr>
          <w:p w14:paraId="20900688">
            <w:pPr>
              <w:adjustRightInd w:val="0"/>
              <w:snapToGrid w:val="0"/>
              <w:spacing w:line="500" w:lineRule="exact"/>
              <w:jc w:val="center"/>
              <w:rPr>
                <w:rFonts w:hint="eastAsia" w:ascii="宋体" w:hAnsi="宋体" w:cs="宋体"/>
                <w:b/>
                <w:bCs/>
                <w:color w:val="auto"/>
                <w:kern w:val="0"/>
                <w:szCs w:val="21"/>
                <w:highlight w:val="none"/>
              </w:rPr>
            </w:pPr>
          </w:p>
        </w:tc>
        <w:tc>
          <w:tcPr>
            <w:tcW w:w="817" w:type="pct"/>
            <w:tcBorders>
              <w:top w:val="single" w:color="auto" w:sz="4" w:space="0"/>
              <w:left w:val="single" w:color="auto" w:sz="4" w:space="0"/>
              <w:bottom w:val="single" w:color="auto" w:sz="4" w:space="0"/>
              <w:right w:val="single" w:color="auto" w:sz="4" w:space="0"/>
            </w:tcBorders>
            <w:vAlign w:val="center"/>
          </w:tcPr>
          <w:p w14:paraId="044C6579">
            <w:pPr>
              <w:adjustRightInd w:val="0"/>
              <w:snapToGrid w:val="0"/>
              <w:spacing w:line="500" w:lineRule="exact"/>
              <w:jc w:val="center"/>
              <w:rPr>
                <w:rFonts w:hint="eastAsia" w:ascii="宋体" w:hAnsi="宋体" w:cs="宋体"/>
                <w:b/>
                <w:bCs/>
                <w:color w:val="auto"/>
                <w:kern w:val="0"/>
                <w:szCs w:val="21"/>
                <w:highlight w:val="none"/>
              </w:rPr>
            </w:pPr>
          </w:p>
        </w:tc>
        <w:tc>
          <w:tcPr>
            <w:tcW w:w="1322" w:type="pct"/>
            <w:tcBorders>
              <w:top w:val="single" w:color="auto" w:sz="4" w:space="0"/>
              <w:left w:val="single" w:color="auto" w:sz="4" w:space="0"/>
              <w:bottom w:val="single" w:color="auto" w:sz="4" w:space="0"/>
              <w:right w:val="single" w:color="auto" w:sz="4" w:space="0"/>
            </w:tcBorders>
            <w:vAlign w:val="center"/>
          </w:tcPr>
          <w:p w14:paraId="063AEDB4">
            <w:pPr>
              <w:adjustRightInd w:val="0"/>
              <w:snapToGrid w:val="0"/>
              <w:spacing w:line="500" w:lineRule="exact"/>
              <w:jc w:val="center"/>
              <w:rPr>
                <w:rFonts w:hint="eastAsia" w:ascii="宋体" w:hAnsi="宋体" w:cs="宋体"/>
                <w:b/>
                <w:bCs/>
                <w:color w:val="auto"/>
                <w:kern w:val="0"/>
                <w:szCs w:val="21"/>
                <w:highlight w:val="none"/>
              </w:rPr>
            </w:pPr>
          </w:p>
        </w:tc>
      </w:tr>
      <w:tr w14:paraId="7174A5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000" w:type="pct"/>
            <w:gridSpan w:val="7"/>
            <w:tcBorders>
              <w:top w:val="single" w:color="auto" w:sz="4" w:space="0"/>
              <w:left w:val="single" w:color="auto" w:sz="4" w:space="0"/>
              <w:bottom w:val="single" w:color="auto" w:sz="4" w:space="0"/>
              <w:right w:val="single" w:color="auto" w:sz="4" w:space="0"/>
            </w:tcBorders>
            <w:vAlign w:val="center"/>
          </w:tcPr>
          <w:p w14:paraId="72481367">
            <w:pPr>
              <w:adjustRightInd w:val="0"/>
              <w:snapToGrid w:val="0"/>
              <w:spacing w:line="500" w:lineRule="exact"/>
              <w:rPr>
                <w:rFonts w:ascii="宋体" w:hAnsi="宋体" w:cs="宋体"/>
                <w:color w:val="auto"/>
                <w:kern w:val="0"/>
                <w:szCs w:val="21"/>
                <w:highlight w:val="none"/>
              </w:rPr>
            </w:pPr>
            <w:r>
              <w:rPr>
                <w:rFonts w:hint="eastAsia" w:ascii="宋体" w:hAnsi="宋体" w:cs="宋体"/>
                <w:color w:val="auto"/>
                <w:kern w:val="0"/>
                <w:szCs w:val="21"/>
                <w:highlight w:val="none"/>
              </w:rPr>
              <w:t xml:space="preserve">投标总价：（大写）              （小写）      </w:t>
            </w:r>
          </w:p>
        </w:tc>
      </w:tr>
    </w:tbl>
    <w:p w14:paraId="4C55986C">
      <w:pPr>
        <w:adjustRightInd w:val="0"/>
        <w:snapToGrid w:val="0"/>
        <w:spacing w:line="560" w:lineRule="exact"/>
        <w:ind w:firstLine="422" w:firstLineChars="200"/>
        <w:rPr>
          <w:rFonts w:hint="eastAsia" w:hAnsi="宋体" w:cs="宋体"/>
          <w:b/>
          <w:bCs/>
          <w:color w:val="auto"/>
          <w:szCs w:val="21"/>
          <w:highlight w:val="none"/>
        </w:rPr>
      </w:pPr>
      <w:r>
        <w:rPr>
          <w:rFonts w:hint="eastAsia" w:hAnsi="宋体" w:cs="宋体"/>
          <w:b/>
          <w:bCs/>
          <w:color w:val="auto"/>
          <w:szCs w:val="21"/>
          <w:highlight w:val="none"/>
        </w:rPr>
        <w:t>说明：1.清单中数量为预估量，具体由投标人结合结合图纸，自行踏勘现场，考虑报价，本项目为总价报价，即投标报价为完成本项目所有内容的价格，后期实施中招标人不再为此项目另外支付费用。</w:t>
      </w:r>
    </w:p>
    <w:p w14:paraId="77DF6AF8">
      <w:pPr>
        <w:adjustRightInd w:val="0"/>
        <w:snapToGrid w:val="0"/>
        <w:spacing w:line="560" w:lineRule="exact"/>
        <w:ind w:firstLine="422" w:firstLineChars="200"/>
        <w:rPr>
          <w:rFonts w:hint="eastAsia" w:hAnsi="宋体" w:cs="宋体"/>
          <w:b/>
          <w:bCs/>
          <w:color w:val="auto"/>
          <w:szCs w:val="21"/>
          <w:highlight w:val="none"/>
        </w:rPr>
      </w:pPr>
      <w:r>
        <w:rPr>
          <w:rFonts w:hint="eastAsia" w:hAnsi="宋体" w:cs="宋体"/>
          <w:b/>
          <w:bCs/>
          <w:color w:val="auto"/>
          <w:szCs w:val="21"/>
          <w:highlight w:val="none"/>
        </w:rPr>
        <w:t>2.高压出线柜须带保护+断路器（满足供电公司验收要求）。</w:t>
      </w:r>
    </w:p>
    <w:p w14:paraId="5AFB0DB1">
      <w:pPr>
        <w:adjustRightInd w:val="0"/>
        <w:snapToGrid w:val="0"/>
        <w:spacing w:line="560" w:lineRule="exact"/>
        <w:ind w:firstLine="422" w:firstLineChars="200"/>
        <w:rPr>
          <w:rFonts w:hint="eastAsia" w:hAnsi="宋体" w:cs="宋体"/>
          <w:b/>
          <w:bCs/>
          <w:color w:val="auto"/>
          <w:szCs w:val="21"/>
          <w:highlight w:val="none"/>
        </w:rPr>
      </w:pPr>
      <w:r>
        <w:rPr>
          <w:rFonts w:hint="eastAsia" w:hAnsi="宋体" w:cs="宋体"/>
          <w:b/>
          <w:bCs/>
          <w:color w:val="auto"/>
          <w:szCs w:val="21"/>
          <w:highlight w:val="none"/>
        </w:rPr>
        <w:t>3.本项目所涉及的所有拆除、安装等施工费用均含在投标总价中，招标人不单独支付额外费用。</w:t>
      </w:r>
    </w:p>
    <w:p w14:paraId="710440C2">
      <w:pPr>
        <w:adjustRightInd w:val="0"/>
        <w:snapToGrid w:val="0"/>
        <w:spacing w:line="560" w:lineRule="exact"/>
        <w:ind w:firstLine="422" w:firstLineChars="200"/>
        <w:rPr>
          <w:rFonts w:hint="eastAsia" w:hAnsi="宋体" w:cs="宋体"/>
          <w:b/>
          <w:bCs/>
          <w:color w:val="auto"/>
          <w:szCs w:val="21"/>
          <w:highlight w:val="none"/>
        </w:rPr>
      </w:pPr>
      <w:r>
        <w:rPr>
          <w:rFonts w:hint="eastAsia" w:hAnsi="宋体" w:cs="宋体"/>
          <w:b/>
          <w:bCs/>
          <w:color w:val="auto"/>
          <w:szCs w:val="21"/>
          <w:highlight w:val="none"/>
        </w:rPr>
        <w:t>4.本次招标将废旧电缆由中标单位回收纳入投标内容，由各投标人对废旧电缆回收事项自行报价，废旧电缆处置所得费用直接抵扣本次项目工程款。</w:t>
      </w:r>
    </w:p>
    <w:p w14:paraId="26A999B6">
      <w:pPr>
        <w:adjustRightInd w:val="0"/>
        <w:snapToGrid w:val="0"/>
        <w:spacing w:line="560" w:lineRule="exact"/>
        <w:ind w:firstLine="422" w:firstLineChars="200"/>
        <w:rPr>
          <w:rFonts w:hint="eastAsia" w:hAnsi="宋体" w:cs="宋体"/>
          <w:b/>
          <w:bCs/>
          <w:color w:val="auto"/>
          <w:szCs w:val="21"/>
          <w:highlight w:val="none"/>
        </w:rPr>
      </w:pPr>
      <w:r>
        <w:rPr>
          <w:rFonts w:hint="eastAsia" w:hAnsi="宋体" w:cs="宋体"/>
          <w:b/>
          <w:bCs/>
          <w:color w:val="auto"/>
          <w:szCs w:val="21"/>
          <w:highlight w:val="none"/>
        </w:rPr>
        <w:t>5.报价包含9%增值税专用发票，成交总价不作调整，后期不再另行增加费用。</w:t>
      </w:r>
    </w:p>
    <w:p w14:paraId="5AD314DC">
      <w:pPr>
        <w:adjustRightInd w:val="0"/>
        <w:snapToGrid w:val="0"/>
        <w:spacing w:line="560" w:lineRule="exact"/>
        <w:ind w:firstLine="480" w:firstLineChars="200"/>
        <w:rPr>
          <w:rFonts w:hint="eastAsia" w:ascii="宋体" w:hAnsi="宋体"/>
          <w:color w:val="auto"/>
          <w:sz w:val="24"/>
          <w:highlight w:val="none"/>
        </w:rPr>
      </w:pPr>
    </w:p>
    <w:p w14:paraId="4EB997C5">
      <w:pPr>
        <w:adjustRightInd w:val="0"/>
        <w:snapToGrid w:val="0"/>
        <w:spacing w:line="560" w:lineRule="exact"/>
        <w:ind w:firstLine="480" w:firstLineChars="200"/>
        <w:rPr>
          <w:rFonts w:ascii="宋体" w:hAnsi="宋体"/>
          <w:color w:val="auto"/>
          <w:sz w:val="24"/>
          <w:highlight w:val="none"/>
        </w:rPr>
      </w:pPr>
      <w:r>
        <w:rPr>
          <w:rFonts w:hint="eastAsia" w:ascii="宋体" w:hAnsi="宋体"/>
          <w:color w:val="auto"/>
          <w:sz w:val="24"/>
          <w:highlight w:val="none"/>
        </w:rPr>
        <w:t>投标人：</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（签章）</w:t>
      </w:r>
    </w:p>
    <w:p w14:paraId="603884F9">
      <w:pPr>
        <w:adjustRightInd w:val="0"/>
        <w:snapToGrid w:val="0"/>
        <w:spacing w:line="560" w:lineRule="exact"/>
        <w:ind w:firstLine="480" w:firstLineChars="200"/>
        <w:rPr>
          <w:rFonts w:ascii="宋体" w:hAnsi="宋体"/>
          <w:color w:val="auto"/>
          <w:sz w:val="24"/>
          <w:highlight w:val="none"/>
        </w:rPr>
      </w:pPr>
      <w:r>
        <w:rPr>
          <w:rFonts w:hint="eastAsia" w:ascii="宋体" w:hAnsi="宋体"/>
          <w:color w:val="auto"/>
          <w:sz w:val="24"/>
          <w:highlight w:val="none"/>
        </w:rPr>
        <w:t>法定代表人：</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（签章）联系人：</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 xml:space="preserve">                 </w:t>
      </w:r>
    </w:p>
    <w:p w14:paraId="570AFA51">
      <w:pPr>
        <w:adjustRightInd w:val="0"/>
        <w:snapToGrid w:val="0"/>
        <w:spacing w:line="560" w:lineRule="exact"/>
        <w:ind w:firstLine="480" w:firstLineChars="200"/>
        <w:rPr>
          <w:color w:val="auto"/>
          <w:highlight w:val="none"/>
        </w:rPr>
        <w:sectPr>
          <w:headerReference r:id="rId8" w:type="default"/>
          <w:footerReference r:id="rId9" w:type="default"/>
          <w:pgSz w:w="11910" w:h="16840"/>
          <w:pgMar w:top="1060" w:right="910" w:bottom="1020" w:left="1120" w:header="0" w:footer="833" w:gutter="0"/>
          <w:pgNumType w:fmt="decimal"/>
          <w:cols w:space="720" w:num="1"/>
        </w:sectPr>
      </w:pPr>
      <w:r>
        <w:rPr>
          <w:rFonts w:hint="eastAsia" w:ascii="宋体" w:hAnsi="宋体"/>
          <w:color w:val="auto"/>
          <w:sz w:val="24"/>
          <w:highlight w:val="none"/>
        </w:rPr>
        <w:t>日期：</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年</w:t>
      </w:r>
      <w:r>
        <w:rPr>
          <w:rFonts w:ascii="宋体" w:hAnsi="宋体"/>
          <w:color w:val="auto"/>
          <w:sz w:val="24"/>
          <w:highlight w:val="none"/>
        </w:rPr>
        <w:t xml:space="preserve"> </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月</w:t>
      </w:r>
      <w:r>
        <w:rPr>
          <w:rFonts w:ascii="宋体" w:hAnsi="宋体"/>
          <w:color w:val="auto"/>
          <w:sz w:val="24"/>
          <w:highlight w:val="none"/>
        </w:rPr>
        <w:t xml:space="preserve"> </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日</w:t>
      </w:r>
    </w:p>
    <w:bookmarkEnd w:id="914"/>
    <w:bookmarkEnd w:id="915"/>
    <w:bookmarkEnd w:id="916"/>
    <w:bookmarkEnd w:id="917"/>
    <w:p w14:paraId="02B05709">
      <w:pPr>
        <w:keepNext/>
        <w:keepLines/>
        <w:spacing w:before="200" w:after="200" w:line="600" w:lineRule="exact"/>
        <w:outlineLvl w:val="0"/>
        <w:rPr>
          <w:rFonts w:ascii="黑体" w:hAnsi="黑体" w:eastAsia="黑体"/>
          <w:b/>
          <w:bCs/>
          <w:color w:val="auto"/>
          <w:kern w:val="44"/>
          <w:sz w:val="28"/>
          <w:szCs w:val="28"/>
          <w:highlight w:val="none"/>
        </w:rPr>
      </w:pPr>
      <w:bookmarkStart w:id="918" w:name="OLE_LINK7"/>
      <w:bookmarkStart w:id="919" w:name="OLE_LINK24"/>
      <w:bookmarkStart w:id="920" w:name="OLE_LINK25"/>
      <w:r>
        <w:rPr>
          <w:rFonts w:hint="eastAsia" w:ascii="黑体" w:hAnsi="黑体" w:eastAsia="黑体"/>
          <w:b/>
          <w:bCs/>
          <w:color w:val="auto"/>
          <w:kern w:val="44"/>
          <w:sz w:val="36"/>
          <w:szCs w:val="28"/>
          <w:highlight w:val="none"/>
        </w:rPr>
        <w:t>附件1 关于联合惩戒失信行为加强信用查询管理的通知</w:t>
      </w:r>
    </w:p>
    <w:bookmarkEnd w:id="918"/>
    <w:p w14:paraId="1113F6E1">
      <w:pPr>
        <w:adjustRightInd w:val="0"/>
        <w:snapToGrid w:val="0"/>
        <w:spacing w:line="560" w:lineRule="exact"/>
        <w:ind w:firstLine="562" w:firstLineChars="200"/>
        <w:rPr>
          <w:rFonts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一、失信行为联合惩戒的范围和查询渠道</w:t>
      </w:r>
    </w:p>
    <w:p w14:paraId="442BAC5B">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在我市公共资源交易活动中对存在下列失信行为的投标人、法定代表人及其项目经理（建造师）实施联合惩戒，禁止参与我市公共资源交易活动。</w:t>
      </w:r>
    </w:p>
    <w:p w14:paraId="3B263CAD">
      <w:pPr>
        <w:adjustRightInd w:val="0"/>
        <w:snapToGrid w:val="0"/>
        <w:spacing w:line="560" w:lineRule="exact"/>
        <w:ind w:firstLine="562" w:firstLineChars="200"/>
        <w:rPr>
          <w:rFonts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（一）工程建设项目</w:t>
      </w:r>
    </w:p>
    <w:bookmarkEnd w:id="919"/>
    <w:bookmarkEnd w:id="920"/>
    <w:p w14:paraId="7EDC0D3C">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1、“信用中国”网站（www.creditchina.gov.cn）查询</w:t>
      </w:r>
      <w:bookmarkStart w:id="921" w:name="OLE_LINK103"/>
      <w:bookmarkStart w:id="922" w:name="OLE_LINK92"/>
      <w:bookmarkStart w:id="923" w:name="OLE_LINK91"/>
      <w:bookmarkStart w:id="924" w:name="OLE_LINK93"/>
      <w:r>
        <w:rPr>
          <w:rFonts w:hint="eastAsia" w:ascii="仿宋_GB2312" w:hAnsi="宋体" w:eastAsia="仿宋_GB2312"/>
          <w:color w:val="auto"/>
          <w:sz w:val="28"/>
          <w:szCs w:val="28"/>
          <w:highlight w:val="none"/>
        </w:rPr>
        <w:t>投标人、法定代表人及其项目经理(建造师)</w:t>
      </w:r>
      <w:bookmarkEnd w:id="921"/>
      <w:bookmarkEnd w:id="922"/>
      <w:bookmarkEnd w:id="923"/>
      <w:bookmarkEnd w:id="924"/>
      <w:r>
        <w:rPr>
          <w:rFonts w:hint="eastAsia" w:ascii="仿宋_GB2312" w:hAnsi="宋体" w:eastAsia="仿宋_GB2312"/>
          <w:color w:val="auto"/>
          <w:sz w:val="28"/>
          <w:szCs w:val="28"/>
          <w:highlight w:val="none"/>
        </w:rPr>
        <w:t>以下失信行为：</w:t>
      </w:r>
    </w:p>
    <w:p w14:paraId="0D643F0B">
      <w:pPr>
        <w:adjustRightInd w:val="0"/>
        <w:snapToGrid w:val="0"/>
        <w:spacing w:line="560" w:lineRule="exact"/>
        <w:ind w:firstLine="560" w:firstLineChars="200"/>
        <w:rPr>
          <w:rFonts w:ascii="仿宋_GB2312" w:hAnsi="宋体" w:eastAsia="仿宋_GB2312"/>
          <w:color w:val="auto"/>
          <w:sz w:val="28"/>
          <w:szCs w:val="28"/>
          <w:highlight w:val="none"/>
        </w:rPr>
      </w:pPr>
      <w:bookmarkStart w:id="925" w:name="OLE_LINK94"/>
      <w:bookmarkStart w:id="926" w:name="OLE_LINK86"/>
      <w:bookmarkStart w:id="927" w:name="OLE_LINK119"/>
      <w:bookmarkStart w:id="928" w:name="OLE_LINK87"/>
      <w:r>
        <w:rPr>
          <w:rFonts w:hint="eastAsia" w:ascii="仿宋_GB2312" w:hAnsi="宋体" w:eastAsia="仿宋_GB2312"/>
          <w:color w:val="auto"/>
          <w:sz w:val="28"/>
          <w:szCs w:val="28"/>
          <w:highlight w:val="none"/>
        </w:rPr>
        <w:t>①被列入“失信被执行人”的;</w:t>
      </w:r>
    </w:p>
    <w:p w14:paraId="3A7E633A">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②被列入</w:t>
      </w:r>
      <w:bookmarkStart w:id="929" w:name="OLE_LINK118"/>
      <w:bookmarkStart w:id="930" w:name="OLE_LINK117"/>
      <w:bookmarkStart w:id="931" w:name="OLE_LINK116"/>
      <w:bookmarkStart w:id="932" w:name="OLE_LINK115"/>
      <w:r>
        <w:rPr>
          <w:rFonts w:hint="eastAsia" w:ascii="仿宋_GB2312" w:hAnsi="宋体" w:eastAsia="仿宋_GB2312"/>
          <w:color w:val="auto"/>
          <w:sz w:val="28"/>
          <w:szCs w:val="28"/>
          <w:highlight w:val="none"/>
        </w:rPr>
        <w:t>“重大税收违法失信主体”</w:t>
      </w:r>
      <w:bookmarkEnd w:id="929"/>
      <w:bookmarkEnd w:id="930"/>
      <w:bookmarkEnd w:id="931"/>
      <w:bookmarkEnd w:id="932"/>
      <w:r>
        <w:rPr>
          <w:rFonts w:hint="eastAsia" w:ascii="仿宋_GB2312" w:hAnsi="宋体" w:eastAsia="仿宋_GB2312"/>
          <w:color w:val="auto"/>
          <w:sz w:val="28"/>
          <w:szCs w:val="28"/>
          <w:highlight w:val="none"/>
        </w:rPr>
        <w:t>的；</w:t>
      </w:r>
    </w:p>
    <w:p w14:paraId="1A73D039">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③被列入“拖欠</w:t>
      </w:r>
      <w:bookmarkStart w:id="933" w:name="OLE_LINK84"/>
      <w:bookmarkStart w:id="934" w:name="OLE_LINK85"/>
      <w:r>
        <w:rPr>
          <w:rFonts w:hint="eastAsia" w:ascii="仿宋_GB2312" w:hAnsi="宋体" w:eastAsia="仿宋_GB2312"/>
          <w:color w:val="auto"/>
          <w:sz w:val="28"/>
          <w:szCs w:val="28"/>
          <w:highlight w:val="none"/>
        </w:rPr>
        <w:t>农民工工资失信联合惩戒对象</w:t>
      </w:r>
      <w:bookmarkEnd w:id="933"/>
      <w:bookmarkEnd w:id="934"/>
      <w:r>
        <w:rPr>
          <w:rFonts w:hint="eastAsia" w:ascii="仿宋_GB2312" w:hAnsi="宋体" w:eastAsia="仿宋_GB2312"/>
          <w:color w:val="auto"/>
          <w:sz w:val="28"/>
          <w:szCs w:val="28"/>
          <w:highlight w:val="none"/>
        </w:rPr>
        <w:t>名单”的；</w:t>
      </w:r>
    </w:p>
    <w:p w14:paraId="6F0914D1">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④被列入 “严重失信主体名单”的；</w:t>
      </w:r>
    </w:p>
    <w:p w14:paraId="6B424DC5">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⑤在“信用中国”网站上披露的仍在公示期的严重失信行为(具体行为类别及判定依据见附件2)的。</w:t>
      </w:r>
    </w:p>
    <w:bookmarkEnd w:id="925"/>
    <w:bookmarkEnd w:id="926"/>
    <w:bookmarkEnd w:id="927"/>
    <w:bookmarkEnd w:id="928"/>
    <w:p w14:paraId="150C0B0A">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2、</w:t>
      </w:r>
      <w:bookmarkStart w:id="935" w:name="OLE_LINK130"/>
      <w:r>
        <w:rPr>
          <w:rFonts w:hint="eastAsia" w:ascii="仿宋_GB2312" w:hAnsi="宋体" w:eastAsia="仿宋_GB2312"/>
          <w:color w:val="auto"/>
          <w:sz w:val="28"/>
          <w:szCs w:val="28"/>
          <w:highlight w:val="none"/>
        </w:rPr>
        <w:t>国家企业信用信息公示系统网站</w:t>
      </w:r>
      <w:bookmarkEnd w:id="935"/>
      <w:r>
        <w:rPr>
          <w:rFonts w:hint="eastAsia" w:ascii="仿宋_GB2312" w:hAnsi="宋体" w:eastAsia="仿宋_GB2312"/>
          <w:color w:val="auto"/>
          <w:sz w:val="28"/>
          <w:szCs w:val="28"/>
          <w:highlight w:val="none"/>
        </w:rPr>
        <w:t>（</w:t>
      </w:r>
      <w:r>
        <w:rPr>
          <w:color w:val="auto"/>
          <w:highlight w:val="none"/>
        </w:rPr>
        <w:fldChar w:fldCharType="begin"/>
      </w:r>
      <w:r>
        <w:rPr>
          <w:color w:val="auto"/>
          <w:highlight w:val="none"/>
        </w:rPr>
        <w:instrText xml:space="preserve"> HYPERLINK "http://www.gsxt.gov.cn）查询" </w:instrText>
      </w:r>
      <w:r>
        <w:rPr>
          <w:color w:val="auto"/>
          <w:highlight w:val="none"/>
        </w:rPr>
        <w:fldChar w:fldCharType="separate"/>
      </w:r>
      <w:bookmarkStart w:id="936" w:name="OLE_LINK90"/>
      <w:bookmarkStart w:id="937" w:name="OLE_LINK89"/>
      <w:r>
        <w:rPr>
          <w:rStyle w:val="57"/>
          <w:rFonts w:hint="eastAsia" w:ascii="仿宋_GB2312" w:hAnsi="宋体" w:eastAsia="仿宋_GB2312"/>
          <w:color w:val="auto"/>
          <w:sz w:val="28"/>
          <w:szCs w:val="28"/>
          <w:highlight w:val="none"/>
        </w:rPr>
        <w:t>www.gsxt.gov.cn</w:t>
      </w:r>
      <w:bookmarkEnd w:id="936"/>
      <w:bookmarkEnd w:id="937"/>
      <w:r>
        <w:rPr>
          <w:rStyle w:val="57"/>
          <w:rFonts w:hint="eastAsia" w:ascii="仿宋_GB2312" w:hAnsi="宋体" w:eastAsia="仿宋_GB2312"/>
          <w:color w:val="auto"/>
          <w:sz w:val="28"/>
          <w:szCs w:val="28"/>
          <w:highlight w:val="none"/>
        </w:rPr>
        <w:t>）</w:t>
      </w:r>
      <w:r>
        <w:rPr>
          <w:rStyle w:val="57"/>
          <w:rFonts w:hint="eastAsia" w:ascii="仿宋_GB2312" w:hAnsi="宋体" w:eastAsia="仿宋_GB2312"/>
          <w:color w:val="auto"/>
          <w:sz w:val="28"/>
          <w:szCs w:val="28"/>
          <w:highlight w:val="none"/>
        </w:rPr>
        <w:fldChar w:fldCharType="end"/>
      </w:r>
      <w:r>
        <w:rPr>
          <w:rFonts w:hint="eastAsia" w:ascii="仿宋_GB2312" w:hAnsi="宋体" w:eastAsia="仿宋_GB2312"/>
          <w:color w:val="auto"/>
          <w:sz w:val="28"/>
          <w:szCs w:val="28"/>
          <w:highlight w:val="none"/>
        </w:rPr>
        <w:t>查询投标人以下失信行为：</w:t>
      </w:r>
    </w:p>
    <w:p w14:paraId="6EB44736">
      <w:pPr>
        <w:adjustRightInd w:val="0"/>
        <w:snapToGrid w:val="0"/>
        <w:spacing w:line="560" w:lineRule="exact"/>
        <w:ind w:firstLine="560" w:firstLineChars="200"/>
        <w:rPr>
          <w:rFonts w:ascii="仿宋_GB2312" w:hAnsi="宋体" w:eastAsia="仿宋_GB2312"/>
          <w:color w:val="auto"/>
          <w:sz w:val="28"/>
          <w:szCs w:val="28"/>
          <w:highlight w:val="none"/>
        </w:rPr>
      </w:pPr>
      <w:bookmarkStart w:id="938" w:name="OLE_LINK120"/>
      <w:bookmarkStart w:id="939" w:name="OLE_LINK121"/>
      <w:bookmarkStart w:id="940" w:name="OLE_LINK122"/>
      <w:r>
        <w:rPr>
          <w:rFonts w:hint="eastAsia" w:ascii="仿宋_GB2312" w:hAnsi="宋体" w:eastAsia="仿宋_GB2312"/>
          <w:color w:val="auto"/>
          <w:sz w:val="28"/>
          <w:szCs w:val="28"/>
          <w:highlight w:val="none"/>
        </w:rPr>
        <w:t>①被列入“经营异常名录”或者“严重违法失信名单”的。</w:t>
      </w:r>
      <w:bookmarkEnd w:id="938"/>
      <w:bookmarkEnd w:id="939"/>
      <w:bookmarkEnd w:id="940"/>
    </w:p>
    <w:p w14:paraId="23268F38">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3、由</w:t>
      </w:r>
      <w:r>
        <w:rPr>
          <w:rFonts w:hint="eastAsia" w:ascii="仿宋_GB2312" w:hAnsi="宋体" w:eastAsia="仿宋_GB2312"/>
          <w:color w:val="auto"/>
          <w:kern w:val="0"/>
          <w:sz w:val="28"/>
          <w:szCs w:val="28"/>
          <w:highlight w:val="none"/>
        </w:rPr>
        <w:t>投标人、法定代表人及其项目经理(建造师)</w:t>
      </w:r>
      <w:r>
        <w:rPr>
          <w:rFonts w:hint="eastAsia" w:ascii="仿宋_GB2312" w:hAnsi="宋体" w:eastAsia="仿宋_GB2312"/>
          <w:color w:val="auto"/>
          <w:sz w:val="28"/>
          <w:szCs w:val="28"/>
          <w:highlight w:val="none"/>
        </w:rPr>
        <w:t>进行承诺，不进行现场网上信用查询的失信行为：</w:t>
      </w:r>
    </w:p>
    <w:p w14:paraId="4B048691">
      <w:pPr>
        <w:adjustRightInd w:val="0"/>
        <w:snapToGrid w:val="0"/>
        <w:spacing w:line="560" w:lineRule="exact"/>
        <w:ind w:firstLine="560" w:firstLineChars="200"/>
        <w:rPr>
          <w:rFonts w:ascii="仿宋_GB2312" w:hAnsi="宋体" w:eastAsia="仿宋_GB2312" w:cs="楷体"/>
          <w:color w:val="auto"/>
          <w:sz w:val="28"/>
          <w:szCs w:val="28"/>
          <w:highlight w:val="none"/>
        </w:rPr>
      </w:pPr>
      <w:bookmarkStart w:id="941" w:name="OLE_LINK124"/>
      <w:bookmarkStart w:id="942" w:name="OLE_LINK123"/>
      <w:r>
        <w:rPr>
          <w:rFonts w:hint="eastAsia" w:ascii="仿宋_GB2312" w:hAnsi="宋体" w:eastAsia="仿宋_GB2312"/>
          <w:color w:val="auto"/>
          <w:sz w:val="28"/>
          <w:szCs w:val="28"/>
          <w:highlight w:val="none"/>
        </w:rPr>
        <w:t>①</w:t>
      </w:r>
      <w:r>
        <w:rPr>
          <w:rFonts w:hint="eastAsia" w:ascii="仿宋_GB2312" w:hAnsi="宋体" w:eastAsia="仿宋_GB2312" w:cs="楷体"/>
          <w:color w:val="auto"/>
          <w:sz w:val="28"/>
          <w:szCs w:val="28"/>
          <w:highlight w:val="none"/>
        </w:rPr>
        <w:t>前三年有行贿犯罪行为的单位和个人；</w:t>
      </w:r>
    </w:p>
    <w:p w14:paraId="15744810">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②被滁州市县两级公管部门取消在一定期限内的投标资格且在取消期限内的；</w:t>
      </w:r>
    </w:p>
    <w:p w14:paraId="7FD2D176">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③被滁州市县两级各行业主管部门取消在一定期限内的投标资格且在取消期限内的；</w:t>
      </w:r>
    </w:p>
    <w:p w14:paraId="5C96E2EC">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④因拖欠农民工工资被</w:t>
      </w:r>
      <w:bookmarkStart w:id="943" w:name="OLE_LINK108"/>
      <w:bookmarkStart w:id="944" w:name="OLE_LINK107"/>
      <w:r>
        <w:rPr>
          <w:rFonts w:hint="eastAsia" w:ascii="仿宋_GB2312" w:hAnsi="宋体" w:eastAsia="仿宋_GB2312"/>
          <w:color w:val="auto"/>
          <w:sz w:val="28"/>
          <w:szCs w:val="28"/>
          <w:highlight w:val="none"/>
        </w:rPr>
        <w:t>县级及以上有关行政主管部门限制投标资格且在限制期限内的</w:t>
      </w:r>
      <w:bookmarkEnd w:id="943"/>
      <w:bookmarkEnd w:id="944"/>
      <w:r>
        <w:rPr>
          <w:rFonts w:hint="eastAsia" w:ascii="仿宋_GB2312" w:hAnsi="宋体" w:eastAsia="仿宋_GB2312"/>
          <w:color w:val="auto"/>
          <w:sz w:val="28"/>
          <w:szCs w:val="28"/>
          <w:highlight w:val="none"/>
        </w:rPr>
        <w:t>；</w:t>
      </w:r>
    </w:p>
    <w:p w14:paraId="130E515C">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⑤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p>
    <w:bookmarkEnd w:id="941"/>
    <w:bookmarkEnd w:id="942"/>
    <w:p w14:paraId="5A6CD988">
      <w:pPr>
        <w:adjustRightInd w:val="0"/>
        <w:snapToGrid w:val="0"/>
        <w:spacing w:line="560" w:lineRule="exact"/>
        <w:ind w:firstLine="562" w:firstLineChars="200"/>
        <w:rPr>
          <w:rFonts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（二）政府采购项目</w:t>
      </w:r>
    </w:p>
    <w:p w14:paraId="7E698BB0">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1、“信用中国”网站</w:t>
      </w:r>
      <w:r>
        <w:rPr>
          <w:rFonts w:hint="eastAsia" w:ascii="仿宋" w:hAnsi="仿宋" w:eastAsia="仿宋"/>
          <w:color w:val="auto"/>
          <w:sz w:val="28"/>
          <w:szCs w:val="28"/>
          <w:highlight w:val="none"/>
        </w:rPr>
        <w:t>（</w:t>
      </w:r>
      <w:r>
        <w:rPr>
          <w:rStyle w:val="57"/>
          <w:rFonts w:hint="eastAsia" w:ascii="仿宋" w:hAnsi="仿宋" w:eastAsia="仿宋"/>
          <w:color w:val="auto"/>
          <w:sz w:val="28"/>
          <w:szCs w:val="28"/>
          <w:highlight w:val="none"/>
        </w:rPr>
        <w:t>www.creditchina.gov.cn</w:t>
      </w:r>
      <w:r>
        <w:rPr>
          <w:rFonts w:hint="eastAsia" w:ascii="仿宋" w:hAnsi="仿宋" w:eastAsia="仿宋"/>
          <w:color w:val="auto"/>
          <w:sz w:val="28"/>
          <w:szCs w:val="28"/>
          <w:highlight w:val="none"/>
        </w:rPr>
        <w:t>）</w:t>
      </w:r>
      <w:r>
        <w:rPr>
          <w:rFonts w:hint="eastAsia" w:ascii="仿宋_GB2312" w:hAnsi="宋体" w:eastAsia="仿宋_GB2312"/>
          <w:color w:val="auto"/>
          <w:sz w:val="28"/>
          <w:szCs w:val="28"/>
          <w:highlight w:val="none"/>
        </w:rPr>
        <w:t>查询供应商、法定代表人及其项目负责人以下失信行为：</w:t>
      </w:r>
    </w:p>
    <w:p w14:paraId="05857F74">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①被列入“失信被执行人”的;</w:t>
      </w:r>
    </w:p>
    <w:p w14:paraId="465AB47D">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②被列入“重大税收违法失信主体”的；</w:t>
      </w:r>
    </w:p>
    <w:p w14:paraId="5A8FC003">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③被列入“拖欠农民工工资失信联合惩戒对象名单”的；</w:t>
      </w:r>
    </w:p>
    <w:p w14:paraId="24123263">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④被列入 “严重失信主体名单”的；</w:t>
      </w:r>
    </w:p>
    <w:p w14:paraId="5572DD6B">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⑤在“信用中国”网站上披露的仍在公示期的严重失信行为(具体行为类别及判定依据见附件2)的。</w:t>
      </w:r>
    </w:p>
    <w:p w14:paraId="04C7B33D">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2、国家企业信用信息公示系统网站</w:t>
      </w:r>
      <w:r>
        <w:rPr>
          <w:rFonts w:hint="eastAsia" w:ascii="仿宋" w:hAnsi="仿宋" w:eastAsia="仿宋"/>
          <w:color w:val="auto"/>
          <w:sz w:val="28"/>
          <w:szCs w:val="28"/>
          <w:highlight w:val="none"/>
        </w:rPr>
        <w:t>（</w:t>
      </w:r>
      <w:r>
        <w:rPr>
          <w:color w:val="auto"/>
          <w:highlight w:val="none"/>
        </w:rPr>
        <w:fldChar w:fldCharType="begin"/>
      </w:r>
      <w:r>
        <w:rPr>
          <w:color w:val="auto"/>
          <w:highlight w:val="none"/>
        </w:rPr>
        <w:instrText xml:space="preserve"> HYPERLINK "http://www.gsxt.gov.cn）查询" </w:instrText>
      </w:r>
      <w:r>
        <w:rPr>
          <w:color w:val="auto"/>
          <w:highlight w:val="none"/>
        </w:rPr>
        <w:fldChar w:fldCharType="separate"/>
      </w:r>
      <w:r>
        <w:rPr>
          <w:rStyle w:val="57"/>
          <w:rFonts w:hint="eastAsia" w:ascii="仿宋" w:hAnsi="仿宋" w:eastAsia="仿宋"/>
          <w:color w:val="auto"/>
          <w:sz w:val="28"/>
          <w:szCs w:val="28"/>
          <w:highlight w:val="none"/>
        </w:rPr>
        <w:t>www.gsxt.gov.cn）</w:t>
      </w:r>
      <w:r>
        <w:rPr>
          <w:rStyle w:val="57"/>
          <w:rFonts w:hint="eastAsia" w:ascii="仿宋" w:hAnsi="仿宋" w:eastAsia="仿宋"/>
          <w:color w:val="auto"/>
          <w:sz w:val="28"/>
          <w:szCs w:val="28"/>
          <w:highlight w:val="none"/>
        </w:rPr>
        <w:fldChar w:fldCharType="end"/>
      </w:r>
      <w:r>
        <w:rPr>
          <w:rFonts w:hint="eastAsia" w:ascii="仿宋_GB2312" w:hAnsi="宋体" w:eastAsia="仿宋_GB2312"/>
          <w:color w:val="auto"/>
          <w:sz w:val="28"/>
          <w:szCs w:val="28"/>
          <w:highlight w:val="none"/>
        </w:rPr>
        <w:t>查询供应商以下失信行为：</w:t>
      </w:r>
    </w:p>
    <w:p w14:paraId="22EE584A">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①</w:t>
      </w:r>
      <w:bookmarkStart w:id="945" w:name="OLE_LINK102"/>
      <w:bookmarkStart w:id="946" w:name="OLE_LINK100"/>
      <w:bookmarkStart w:id="947" w:name="OLE_LINK101"/>
      <w:r>
        <w:rPr>
          <w:rFonts w:hint="eastAsia" w:ascii="仿宋_GB2312" w:hAnsi="宋体" w:eastAsia="仿宋_GB2312"/>
          <w:color w:val="auto"/>
          <w:sz w:val="28"/>
          <w:szCs w:val="28"/>
          <w:highlight w:val="none"/>
        </w:rPr>
        <w:t>被列入“经营异常名录”或者“严重违法失信名单”的</w:t>
      </w:r>
      <w:bookmarkEnd w:id="945"/>
      <w:bookmarkEnd w:id="946"/>
      <w:bookmarkEnd w:id="947"/>
      <w:r>
        <w:rPr>
          <w:rFonts w:hint="eastAsia" w:ascii="仿宋_GB2312" w:hAnsi="宋体" w:eastAsia="仿宋_GB2312"/>
          <w:color w:val="auto"/>
          <w:sz w:val="28"/>
          <w:szCs w:val="28"/>
          <w:highlight w:val="none"/>
        </w:rPr>
        <w:t>。</w:t>
      </w:r>
    </w:p>
    <w:p w14:paraId="37333291">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3、中国政府采购网站</w:t>
      </w:r>
      <w:r>
        <w:rPr>
          <w:rFonts w:hint="eastAsia" w:ascii="仿宋" w:hAnsi="仿宋" w:eastAsia="仿宋"/>
          <w:color w:val="auto"/>
          <w:sz w:val="28"/>
          <w:szCs w:val="28"/>
          <w:highlight w:val="none"/>
        </w:rPr>
        <w:t>（</w:t>
      </w:r>
      <w:bookmarkStart w:id="948" w:name="OLE_LINK96"/>
      <w:bookmarkStart w:id="949" w:name="OLE_LINK95"/>
      <w:r>
        <w:rPr>
          <w:rFonts w:ascii="仿宋" w:hAnsi="仿宋" w:eastAsia="仿宋"/>
          <w:color w:val="auto"/>
          <w:sz w:val="28"/>
          <w:szCs w:val="28"/>
          <w:highlight w:val="none"/>
        </w:rPr>
        <w:fldChar w:fldCharType="begin"/>
      </w:r>
      <w:r>
        <w:rPr>
          <w:rFonts w:ascii="仿宋" w:hAnsi="仿宋" w:eastAsia="仿宋"/>
          <w:color w:val="auto"/>
          <w:sz w:val="28"/>
          <w:szCs w:val="28"/>
          <w:highlight w:val="none"/>
        </w:rPr>
        <w:instrText xml:space="preserve"> HYPERLINK "http://www.ccgp.gov.cn" </w:instrText>
      </w:r>
      <w:r>
        <w:rPr>
          <w:rFonts w:ascii="仿宋" w:hAnsi="仿宋" w:eastAsia="仿宋"/>
          <w:color w:val="auto"/>
          <w:sz w:val="28"/>
          <w:szCs w:val="28"/>
          <w:highlight w:val="none"/>
        </w:rPr>
        <w:fldChar w:fldCharType="separate"/>
      </w:r>
      <w:r>
        <w:rPr>
          <w:rStyle w:val="57"/>
          <w:rFonts w:hint="eastAsia" w:ascii="仿宋" w:hAnsi="仿宋" w:eastAsia="仿宋"/>
          <w:color w:val="auto"/>
          <w:sz w:val="28"/>
          <w:szCs w:val="28"/>
          <w:highlight w:val="none"/>
        </w:rPr>
        <w:t>www.ccgp.gov.cn</w:t>
      </w:r>
      <w:r>
        <w:rPr>
          <w:rFonts w:ascii="仿宋" w:hAnsi="仿宋" w:eastAsia="仿宋"/>
          <w:color w:val="auto"/>
          <w:sz w:val="28"/>
          <w:szCs w:val="28"/>
          <w:highlight w:val="none"/>
        </w:rPr>
        <w:fldChar w:fldCharType="end"/>
      </w:r>
      <w:bookmarkEnd w:id="948"/>
      <w:bookmarkEnd w:id="949"/>
      <w:r>
        <w:rPr>
          <w:rFonts w:hint="eastAsia" w:ascii="仿宋" w:hAnsi="仿宋" w:eastAsia="仿宋"/>
          <w:color w:val="auto"/>
          <w:sz w:val="28"/>
          <w:szCs w:val="28"/>
          <w:highlight w:val="none"/>
        </w:rPr>
        <w:t>）</w:t>
      </w:r>
      <w:r>
        <w:rPr>
          <w:rFonts w:hint="eastAsia" w:ascii="仿宋_GB2312" w:hAnsi="宋体" w:eastAsia="仿宋_GB2312"/>
          <w:color w:val="auto"/>
          <w:sz w:val="28"/>
          <w:szCs w:val="28"/>
          <w:highlight w:val="none"/>
        </w:rPr>
        <w:t>查询以下失信行为：</w:t>
      </w:r>
    </w:p>
    <w:p w14:paraId="2C906E18">
      <w:pPr>
        <w:adjustRightInd w:val="0"/>
        <w:snapToGrid w:val="0"/>
        <w:spacing w:line="560" w:lineRule="exact"/>
        <w:ind w:firstLine="560" w:firstLineChars="200"/>
        <w:rPr>
          <w:rFonts w:ascii="仿宋_GB2312" w:hAnsi="宋体" w:eastAsia="仿宋_GB2312" w:cs="楷体"/>
          <w:color w:val="auto"/>
          <w:sz w:val="28"/>
          <w:szCs w:val="28"/>
          <w:highlight w:val="none"/>
        </w:rPr>
      </w:pPr>
      <w:r>
        <w:rPr>
          <w:rFonts w:hint="eastAsia" w:ascii="仿宋_GB2312" w:hAnsi="宋体" w:eastAsia="仿宋_GB2312"/>
          <w:color w:val="auto"/>
          <w:sz w:val="28"/>
          <w:szCs w:val="28"/>
          <w:highlight w:val="none"/>
        </w:rPr>
        <w:t>①</w:t>
      </w:r>
      <w:bookmarkStart w:id="950" w:name="OLE_LINK104"/>
      <w:bookmarkStart w:id="951" w:name="OLE_LINK105"/>
      <w:bookmarkStart w:id="952" w:name="OLE_LINK106"/>
      <w:r>
        <w:rPr>
          <w:rFonts w:hint="eastAsia" w:ascii="仿宋_GB2312" w:hAnsi="宋体" w:eastAsia="仿宋_GB2312"/>
          <w:color w:val="auto"/>
          <w:sz w:val="28"/>
          <w:szCs w:val="28"/>
          <w:highlight w:val="none"/>
        </w:rPr>
        <w:t>被列入“政府采购严重违法失信行为信息记录”的</w:t>
      </w:r>
      <w:bookmarkEnd w:id="950"/>
      <w:bookmarkEnd w:id="951"/>
      <w:bookmarkEnd w:id="952"/>
      <w:r>
        <w:rPr>
          <w:rFonts w:hint="eastAsia" w:ascii="仿宋_GB2312" w:hAnsi="宋体" w:eastAsia="仿宋_GB2312" w:cs="楷体"/>
          <w:color w:val="auto"/>
          <w:sz w:val="28"/>
          <w:szCs w:val="28"/>
          <w:highlight w:val="none"/>
        </w:rPr>
        <w:t>。</w:t>
      </w:r>
    </w:p>
    <w:p w14:paraId="5153C682">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4、由竞争主体进行承诺，不进行现场网上信用查询的失信行为：</w:t>
      </w:r>
    </w:p>
    <w:p w14:paraId="3B6A0C3F">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①</w:t>
      </w:r>
      <w:r>
        <w:rPr>
          <w:rFonts w:hint="eastAsia" w:ascii="仿宋_GB2312" w:hAnsi="宋体" w:eastAsia="仿宋_GB2312" w:cs="楷体"/>
          <w:color w:val="auto"/>
          <w:sz w:val="28"/>
          <w:szCs w:val="28"/>
          <w:highlight w:val="none"/>
        </w:rPr>
        <w:t>前三年有行贿犯罪行为的单位和个人</w:t>
      </w:r>
      <w:r>
        <w:rPr>
          <w:rFonts w:hint="eastAsia" w:ascii="仿宋_GB2312" w:hAnsi="宋体" w:eastAsia="仿宋_GB2312"/>
          <w:color w:val="auto"/>
          <w:sz w:val="28"/>
          <w:szCs w:val="28"/>
          <w:highlight w:val="none"/>
        </w:rPr>
        <w:t>。</w:t>
      </w:r>
    </w:p>
    <w:p w14:paraId="004E0BEB">
      <w:pPr>
        <w:adjustRightInd w:val="0"/>
        <w:snapToGrid w:val="0"/>
        <w:spacing w:line="560" w:lineRule="exact"/>
        <w:ind w:firstLine="562" w:firstLineChars="200"/>
        <w:rPr>
          <w:rFonts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二、在开评标活动中的查询程序</w:t>
      </w:r>
    </w:p>
    <w:p w14:paraId="3BF2F070">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1、实行有限数量制资格审查的项目，由项目单位（代理机构）对入围的投标人、法定代表人及其项目经理（建造师）是否存在上述要求查询的失信行为进行网上核查；若核查结果与投标人承诺不一致，则提交评标委员会取消其入围资格，依次进行替补，并对替补单位进行核查。评审结论以核查后入围的结果重新计算最终评标基准价。</w:t>
      </w:r>
    </w:p>
    <w:p w14:paraId="3C557361">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2、不实行有限数量制资格审查的项目，由项目单位（代理机构）对预中标候选人、法定代表人及其项目经理（建造师）是否存在上述要求查询的失信行为进行网上核查后，提交网站截图等查询记录给评标委员会复核。若核查结果不符合招标文件规定的投标人资格条件信誉要求，由评标委员会取消其预中标候选人资格，并依次替补，再次对替补单位进行核查。如评标现场未发现问题但标后质疑（异议）、投诉发现中标候选人存在信誉问题，则组织评标委员会重新启动复核程序。核查结果不改变原评标基准价。</w:t>
      </w:r>
    </w:p>
    <w:p w14:paraId="21AF4A00">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3、项目单位及其委托的代理机构应当做好信用查询结果截图和记录留存。</w:t>
      </w:r>
    </w:p>
    <w:p w14:paraId="08707BAA">
      <w:pPr>
        <w:adjustRightInd w:val="0"/>
        <w:snapToGrid w:val="0"/>
        <w:spacing w:line="560" w:lineRule="exact"/>
        <w:ind w:firstLine="562" w:firstLineChars="200"/>
        <w:rPr>
          <w:rFonts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三、相关要求</w:t>
      </w:r>
    </w:p>
    <w:p w14:paraId="0204AAD6">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1、参与公共资源交易活动的竞争主体根据上述范围查询的内容进行自查并承诺，出具《诚信投标承诺书》（诚信投标承诺书包括但不限于上述自查并承诺内容）并注明承诺日期（投标截止时间前5日内）。</w:t>
      </w:r>
    </w:p>
    <w:p w14:paraId="2CC1799B">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经核查，竞争主体在承诺日期之前（没有承诺日期的以资格审查日或开标日之前）有上述失信行为进行虚假承诺的，将视作不诚信行为，资格审查委员会或评标委员会及代理机构应当及时报告公共资源监管部门，依法依规予以处理。</w:t>
      </w:r>
    </w:p>
    <w:p w14:paraId="4004FE04">
      <w:pPr>
        <w:wordWrap w:val="0"/>
        <w:adjustRightInd w:val="0"/>
        <w:snapToGrid w:val="0"/>
        <w:spacing w:line="560" w:lineRule="exact"/>
        <w:ind w:firstLine="560" w:firstLineChars="200"/>
        <w:rPr>
          <w:color w:val="auto"/>
          <w:highlight w:val="none"/>
        </w:rPr>
      </w:pPr>
      <w:r>
        <w:rPr>
          <w:rFonts w:hint="eastAsia" w:ascii="仿宋_GB2312" w:hAnsi="宋体" w:eastAsia="仿宋_GB2312"/>
          <w:color w:val="auto"/>
          <w:sz w:val="28"/>
          <w:szCs w:val="28"/>
          <w:highlight w:val="none"/>
        </w:rPr>
        <w:t xml:space="preserve">注册地在安徽省内且未在安徽省外开展业务、省外无违法违规行为的企业可通过安徽政务服务网开具由安徽省公共信用信息服务中心出具的《公共信用信息报告（无违法违规证明版或核查版）》代替《诚信投标承诺书》。《公共信用信息报告（无违法违规证明版或核查版）》可通过 “信用中国(安徽)”网站信用报告核验系统 ( </w:t>
      </w:r>
      <w:r>
        <w:rPr>
          <w:color w:val="auto"/>
          <w:highlight w:val="none"/>
        </w:rPr>
        <w:fldChar w:fldCharType="begin"/>
      </w:r>
      <w:r>
        <w:rPr>
          <w:color w:val="auto"/>
          <w:highlight w:val="none"/>
        </w:rPr>
        <w:instrText xml:space="preserve"> HYPERLINK "https://credit.ah.gov.cn/xinyong-fuwu/xvbahv/index.html" </w:instrText>
      </w:r>
      <w:r>
        <w:rPr>
          <w:color w:val="auto"/>
          <w:highlight w:val="none"/>
        </w:rPr>
        <w:fldChar w:fldCharType="separate"/>
      </w:r>
      <w:r>
        <w:rPr>
          <w:rStyle w:val="57"/>
          <w:rFonts w:hint="eastAsia" w:ascii="仿宋_GB2312" w:hAnsi="宋体" w:eastAsia="仿宋_GB2312"/>
          <w:color w:val="auto"/>
          <w:sz w:val="28"/>
          <w:szCs w:val="28"/>
          <w:highlight w:val="none"/>
        </w:rPr>
        <w:t>https://credit.ah.gov.cn/xinyong-fuwu/xvbahv/index.html</w:t>
      </w:r>
      <w:r>
        <w:rPr>
          <w:rStyle w:val="57"/>
          <w:rFonts w:hint="eastAsia" w:ascii="仿宋_GB2312" w:hAnsi="宋体" w:eastAsia="仿宋_GB2312"/>
          <w:color w:val="auto"/>
          <w:sz w:val="28"/>
          <w:szCs w:val="28"/>
          <w:highlight w:val="none"/>
        </w:rPr>
        <w:fldChar w:fldCharType="end"/>
      </w:r>
      <w:r>
        <w:rPr>
          <w:rFonts w:hint="eastAsia" w:ascii="仿宋_GB2312" w:hAnsi="宋体" w:eastAsia="仿宋_GB2312"/>
          <w:color w:val="auto"/>
          <w:sz w:val="28"/>
          <w:szCs w:val="28"/>
          <w:highlight w:val="none"/>
        </w:rPr>
        <w:t>)进行核验。核验不一致或提交《公共信用信息报告（无违法违规证明版或核查版）》的企业在省外有失信行为的将视作不诚信行为，资格审查委员会或评标委员会及代理机构应当及时报告公共资源监管部门，依法依规予以处理。</w:t>
      </w:r>
    </w:p>
    <w:p w14:paraId="2D336DF5">
      <w:pPr>
        <w:adjustRightInd w:val="0"/>
        <w:snapToGrid w:val="0"/>
        <w:spacing w:line="560" w:lineRule="exact"/>
        <w:ind w:firstLine="562" w:firstLineChars="200"/>
        <w:rPr>
          <w:rFonts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2、“信用中国”查询的严重失信行为判定依据为各行业主管部门下发的联合惩戒文件中规定的行为（按附件2执行）。</w:t>
      </w:r>
    </w:p>
    <w:p w14:paraId="777813DB">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3、资格预审的项目以递交资格预审申请文件截止时间查询为准；资格后审的项目以递交投标文件截止时间查询为准。</w:t>
      </w:r>
    </w:p>
    <w:p w14:paraId="5A65F8C5">
      <w:pPr>
        <w:ind w:right="960"/>
        <w:rPr>
          <w:rFonts w:ascii="仿宋" w:hAnsi="仿宋" w:eastAsia="仿宋"/>
          <w:color w:val="auto"/>
          <w:sz w:val="32"/>
          <w:szCs w:val="32"/>
          <w:highlight w:val="none"/>
        </w:rPr>
      </w:pPr>
    </w:p>
    <w:p w14:paraId="25C24F30">
      <w:pPr>
        <w:ind w:right="960"/>
        <w:rPr>
          <w:rFonts w:ascii="仿宋" w:hAnsi="仿宋" w:eastAsia="仿宋"/>
          <w:color w:val="auto"/>
          <w:sz w:val="32"/>
          <w:szCs w:val="32"/>
          <w:highlight w:val="none"/>
        </w:rPr>
      </w:pPr>
    </w:p>
    <w:p w14:paraId="530FDD06">
      <w:pPr>
        <w:ind w:right="960"/>
        <w:rPr>
          <w:rFonts w:ascii="仿宋" w:hAnsi="仿宋" w:eastAsia="仿宋"/>
          <w:color w:val="auto"/>
          <w:sz w:val="32"/>
          <w:szCs w:val="32"/>
          <w:highlight w:val="none"/>
        </w:rPr>
      </w:pPr>
    </w:p>
    <w:p w14:paraId="1303C0BD">
      <w:pPr>
        <w:ind w:right="960"/>
        <w:rPr>
          <w:rFonts w:ascii="仿宋" w:hAnsi="仿宋" w:eastAsia="仿宋"/>
          <w:color w:val="auto"/>
          <w:sz w:val="32"/>
          <w:szCs w:val="32"/>
          <w:highlight w:val="none"/>
        </w:rPr>
      </w:pPr>
    </w:p>
    <w:p w14:paraId="1D6DF256">
      <w:pPr>
        <w:ind w:right="960"/>
        <w:rPr>
          <w:rFonts w:ascii="仿宋" w:hAnsi="仿宋" w:eastAsia="仿宋"/>
          <w:color w:val="auto"/>
          <w:sz w:val="32"/>
          <w:szCs w:val="32"/>
          <w:highlight w:val="none"/>
        </w:rPr>
      </w:pPr>
    </w:p>
    <w:p w14:paraId="352A1496">
      <w:pPr>
        <w:ind w:right="960"/>
        <w:rPr>
          <w:rFonts w:ascii="仿宋" w:hAnsi="仿宋" w:eastAsia="仿宋"/>
          <w:color w:val="auto"/>
          <w:sz w:val="32"/>
          <w:szCs w:val="32"/>
          <w:highlight w:val="none"/>
        </w:rPr>
      </w:pPr>
    </w:p>
    <w:p w14:paraId="131F9611">
      <w:pPr>
        <w:ind w:right="960"/>
        <w:rPr>
          <w:rFonts w:ascii="仿宋" w:hAnsi="仿宋" w:eastAsia="仿宋"/>
          <w:color w:val="auto"/>
          <w:sz w:val="32"/>
          <w:szCs w:val="32"/>
          <w:highlight w:val="none"/>
        </w:rPr>
      </w:pPr>
    </w:p>
    <w:p w14:paraId="2F56A790">
      <w:pPr>
        <w:ind w:right="960"/>
        <w:rPr>
          <w:rFonts w:ascii="仿宋" w:hAnsi="仿宋" w:eastAsia="仿宋"/>
          <w:color w:val="auto"/>
          <w:sz w:val="32"/>
          <w:szCs w:val="32"/>
          <w:highlight w:val="none"/>
        </w:rPr>
      </w:pPr>
    </w:p>
    <w:p w14:paraId="79074B97">
      <w:pPr>
        <w:pStyle w:val="45"/>
        <w:ind w:firstLine="420"/>
        <w:rPr>
          <w:color w:val="auto"/>
          <w:highlight w:val="none"/>
        </w:rPr>
      </w:pPr>
    </w:p>
    <w:p w14:paraId="2778F0CF">
      <w:pPr>
        <w:rPr>
          <w:color w:val="auto"/>
          <w:highlight w:val="none"/>
        </w:rPr>
      </w:pPr>
    </w:p>
    <w:p w14:paraId="0AF5AC62">
      <w:pPr>
        <w:pStyle w:val="45"/>
        <w:ind w:firstLine="420"/>
        <w:rPr>
          <w:color w:val="auto"/>
          <w:highlight w:val="none"/>
        </w:rPr>
      </w:pPr>
    </w:p>
    <w:p w14:paraId="248BFCBF">
      <w:pPr>
        <w:rPr>
          <w:color w:val="auto"/>
          <w:highlight w:val="none"/>
        </w:rPr>
      </w:pPr>
    </w:p>
    <w:p w14:paraId="1097494C">
      <w:pPr>
        <w:pStyle w:val="45"/>
        <w:ind w:firstLine="420"/>
        <w:rPr>
          <w:color w:val="auto"/>
          <w:highlight w:val="none"/>
        </w:rPr>
      </w:pPr>
    </w:p>
    <w:p w14:paraId="5924DB33">
      <w:pPr>
        <w:rPr>
          <w:color w:val="auto"/>
          <w:highlight w:val="none"/>
        </w:rPr>
      </w:pPr>
    </w:p>
    <w:p w14:paraId="121B618C">
      <w:pPr>
        <w:pStyle w:val="45"/>
        <w:ind w:firstLine="420"/>
        <w:rPr>
          <w:color w:val="auto"/>
          <w:highlight w:val="none"/>
        </w:rPr>
      </w:pPr>
    </w:p>
    <w:p w14:paraId="774469CD">
      <w:pPr>
        <w:rPr>
          <w:color w:val="auto"/>
          <w:highlight w:val="none"/>
        </w:rPr>
      </w:pPr>
    </w:p>
    <w:p w14:paraId="505C831C">
      <w:pPr>
        <w:ind w:right="960"/>
        <w:rPr>
          <w:rFonts w:ascii="仿宋" w:hAnsi="仿宋" w:eastAsia="仿宋"/>
          <w:color w:val="auto"/>
          <w:sz w:val="32"/>
          <w:szCs w:val="32"/>
          <w:highlight w:val="none"/>
        </w:rPr>
      </w:pPr>
    </w:p>
    <w:p w14:paraId="5EA2150F">
      <w:pPr>
        <w:ind w:right="960"/>
        <w:rPr>
          <w:rFonts w:ascii="仿宋" w:hAnsi="仿宋" w:eastAsia="仿宋"/>
          <w:color w:val="auto"/>
          <w:sz w:val="32"/>
          <w:szCs w:val="32"/>
          <w:highlight w:val="none"/>
        </w:rPr>
      </w:pPr>
    </w:p>
    <w:p w14:paraId="440E24E9">
      <w:pPr>
        <w:keepNext/>
        <w:keepLines/>
        <w:spacing w:before="200" w:after="200" w:line="600" w:lineRule="exact"/>
        <w:outlineLvl w:val="0"/>
        <w:rPr>
          <w:rFonts w:ascii="黑体" w:hAnsi="黑体" w:eastAsia="黑体"/>
          <w:b/>
          <w:bCs/>
          <w:color w:val="auto"/>
          <w:kern w:val="44"/>
          <w:sz w:val="36"/>
          <w:szCs w:val="28"/>
          <w:highlight w:val="none"/>
        </w:rPr>
      </w:pPr>
      <w:bookmarkStart w:id="953" w:name="_Toc95223549"/>
      <w:bookmarkStart w:id="954" w:name="OLE_LINK31"/>
      <w:bookmarkStart w:id="955" w:name="OLE_LINK32"/>
      <w:bookmarkStart w:id="956" w:name="OLE_LINK41"/>
      <w:r>
        <w:rPr>
          <w:rFonts w:hint="eastAsia" w:ascii="黑体" w:hAnsi="黑体" w:eastAsia="黑体"/>
          <w:b/>
          <w:bCs/>
          <w:color w:val="auto"/>
          <w:kern w:val="44"/>
          <w:sz w:val="36"/>
          <w:szCs w:val="28"/>
          <w:highlight w:val="none"/>
        </w:rPr>
        <w:t xml:space="preserve">附件2 </w:t>
      </w:r>
      <w:bookmarkStart w:id="957" w:name="OLE_LINK75"/>
      <w:bookmarkStart w:id="958" w:name="OLE_LINK74"/>
      <w:r>
        <w:rPr>
          <w:rFonts w:hint="eastAsia" w:ascii="黑体" w:hAnsi="黑体" w:eastAsia="黑体"/>
          <w:b/>
          <w:bCs/>
          <w:color w:val="auto"/>
          <w:kern w:val="44"/>
          <w:sz w:val="36"/>
          <w:szCs w:val="28"/>
          <w:highlight w:val="none"/>
        </w:rPr>
        <w:t>“信用中国”查询的严重失信行为</w:t>
      </w:r>
      <w:bookmarkStart w:id="959" w:name="OLE_LINK76"/>
      <w:bookmarkStart w:id="960" w:name="OLE_LINK40"/>
      <w:r>
        <w:rPr>
          <w:rFonts w:hint="eastAsia" w:ascii="黑体" w:hAnsi="黑体" w:eastAsia="黑体"/>
          <w:b/>
          <w:bCs/>
          <w:color w:val="auto"/>
          <w:kern w:val="44"/>
          <w:sz w:val="36"/>
          <w:szCs w:val="28"/>
          <w:highlight w:val="none"/>
        </w:rPr>
        <w:t>类别及判定依据</w:t>
      </w:r>
      <w:bookmarkEnd w:id="953"/>
      <w:bookmarkEnd w:id="957"/>
      <w:bookmarkEnd w:id="958"/>
      <w:bookmarkEnd w:id="959"/>
      <w:bookmarkEnd w:id="960"/>
    </w:p>
    <w:bookmarkEnd w:id="954"/>
    <w:bookmarkEnd w:id="955"/>
    <w:bookmarkEnd w:id="956"/>
    <w:p w14:paraId="4B73A91C">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32"/>
          <w:szCs w:val="32"/>
          <w:highlight w:val="none"/>
        </w:rPr>
        <w:t>“</w:t>
      </w:r>
      <w:r>
        <w:rPr>
          <w:rFonts w:hint="eastAsia" w:ascii="仿宋_GB2312" w:hAnsi="宋体" w:eastAsia="仿宋_GB2312"/>
          <w:color w:val="auto"/>
          <w:sz w:val="28"/>
          <w:szCs w:val="28"/>
          <w:highlight w:val="none"/>
        </w:rPr>
        <w:t>信用中国”查询的严重失信行为判定依据为各行业主管部门下发的联合惩戒文件中规定的行为。下面将部分类别的严重失信行为列举如下：</w:t>
      </w:r>
    </w:p>
    <w:p w14:paraId="119426A6">
      <w:pPr>
        <w:adjustRightInd w:val="0"/>
        <w:snapToGrid w:val="0"/>
        <w:spacing w:line="560" w:lineRule="exact"/>
        <w:ind w:firstLine="645"/>
        <w:jc w:val="left"/>
        <w:rPr>
          <w:rFonts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一、安全生产领域严重失信行为：</w:t>
      </w:r>
    </w:p>
    <w:p w14:paraId="2742CB26">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（一）下列发生生产安全事故的生产经营单位及其有关人员应当列入严重失信主体名单：</w:t>
      </w:r>
    </w:p>
    <w:p w14:paraId="7E443AE3">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1、发生特别重大、重大生产安全事故的生产经营单位及其主要负责人，以及经调查认定对该事故发生负有责任，应当列入名单的其他单位和人员；</w:t>
      </w:r>
    </w:p>
    <w:p w14:paraId="719BC775">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2、12个月内累计发生2起以上较大生产安全事故的生产经营单位及其主要负责人；</w:t>
      </w:r>
    </w:p>
    <w:p w14:paraId="12626ABE">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3、发生生产安全事故，情节特别严重、影响特别恶劣，依照《中华人民共和国安全生产法》第一百一十四条的规定被处以罚款数额2倍以上5倍以下罚款的生产经营单位及其主要负责人；</w:t>
      </w:r>
    </w:p>
    <w:p w14:paraId="641C9852">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4、瞒报、谎报生产安全事故的生产经营单位及其有关责任人员；</w:t>
      </w:r>
    </w:p>
    <w:p w14:paraId="2ADFB43D">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5、发生生产安全事故后，不立即组织抢救或者在事故调查处理期间擅离职守或者逃匿的生产经营单位主要负责人。</w:t>
      </w:r>
    </w:p>
    <w:p w14:paraId="1070463D">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（二）下列未发生生产安全事故，但因安全生产违法行为，受到行政处罚的生产经营单位或者机构及其有关人员，应当列入严重失信主体名单：</w:t>
      </w:r>
    </w:p>
    <w:p w14:paraId="420F1A74">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1、未依法取得安全生产相关许可或者许可被暂扣、吊销期间从事相关生产经营活动的生产经营单位及其主要负责人；</w:t>
      </w:r>
    </w:p>
    <w:p w14:paraId="759D1673">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2、承担安全评价、认证、检测、检验职责的机构及其直接责任人员租借资质、挂靠、出具虚假报告或者证书的；</w:t>
      </w:r>
    </w:p>
    <w:p w14:paraId="362F85D4">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3、在应急管理部门作出行政处罚后，有执行能力拒不执行或者逃避执行的生产经营单位及其主要负责人；</w:t>
      </w:r>
    </w:p>
    <w:p w14:paraId="2E0A2579">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4、其他违反安全生产法律法规受到行政处罚，且性质恶劣、情节严重的。</w:t>
      </w:r>
    </w:p>
    <w:p w14:paraId="3FD49F90">
      <w:pPr>
        <w:adjustRightInd w:val="0"/>
        <w:snapToGrid w:val="0"/>
        <w:spacing w:line="560" w:lineRule="exact"/>
        <w:ind w:firstLine="645"/>
        <w:jc w:val="left"/>
        <w:rPr>
          <w:rFonts w:ascii="仿宋_GB2312" w:eastAsia="仿宋_GB2312"/>
          <w:b/>
          <w:color w:val="auto"/>
          <w:sz w:val="28"/>
          <w:szCs w:val="28"/>
          <w:highlight w:val="none"/>
        </w:rPr>
      </w:pPr>
      <w:r>
        <w:rPr>
          <w:rFonts w:hint="eastAsia" w:ascii="仿宋_GB2312" w:hAnsi="宋体" w:eastAsia="仿宋_GB2312"/>
          <w:b/>
          <w:color w:val="auto"/>
          <w:sz w:val="28"/>
          <w:szCs w:val="28"/>
          <w:highlight w:val="none"/>
        </w:rPr>
        <w:t>依据：《安全生产严重失信主体名单管理办法》</w:t>
      </w:r>
      <w:r>
        <w:rPr>
          <w:rFonts w:hint="eastAsia" w:ascii="仿宋_GB2312" w:eastAsia="仿宋_GB2312"/>
          <w:b/>
          <w:color w:val="auto"/>
          <w:sz w:val="28"/>
          <w:szCs w:val="28"/>
          <w:highlight w:val="none"/>
        </w:rPr>
        <w:t>（2023年8月8日应急管理部令第11号）</w:t>
      </w:r>
    </w:p>
    <w:p w14:paraId="6E6289CF">
      <w:pPr>
        <w:adjustRightInd w:val="0"/>
        <w:snapToGrid w:val="0"/>
        <w:spacing w:line="560" w:lineRule="exact"/>
        <w:ind w:firstLine="645"/>
        <w:jc w:val="left"/>
        <w:rPr>
          <w:rFonts w:ascii="仿宋_GB2312" w:hAnsi="宋体" w:eastAsia="仿宋_GB2312"/>
          <w:b/>
          <w:color w:val="auto"/>
          <w:sz w:val="28"/>
          <w:szCs w:val="28"/>
          <w:highlight w:val="none"/>
        </w:rPr>
      </w:pPr>
    </w:p>
    <w:p w14:paraId="617C5FD1">
      <w:pPr>
        <w:adjustRightInd w:val="0"/>
        <w:snapToGrid w:val="0"/>
        <w:spacing w:line="560" w:lineRule="exact"/>
        <w:ind w:firstLine="645"/>
        <w:jc w:val="left"/>
        <w:rPr>
          <w:rFonts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二、环境保护领域严重失信行为：</w:t>
      </w:r>
    </w:p>
    <w:p w14:paraId="098EC20F">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（一）因为环境违法构成</w:t>
      </w:r>
      <w:r>
        <w:rPr>
          <w:color w:val="auto"/>
          <w:highlight w:val="none"/>
        </w:rPr>
        <w:fldChar w:fldCharType="begin"/>
      </w:r>
      <w:r>
        <w:rPr>
          <w:color w:val="auto"/>
          <w:highlight w:val="none"/>
        </w:rPr>
        <w:instrText xml:space="preserve"> HYPERLINK "https://baike.sogou.com/m/fullLemma?lid=10403954&amp;g_ut=3" \t "https://baike.sogou.com/m/_blank" </w:instrText>
      </w:r>
      <w:r>
        <w:rPr>
          <w:color w:val="auto"/>
          <w:highlight w:val="none"/>
        </w:rPr>
        <w:fldChar w:fldCharType="separate"/>
      </w:r>
      <w:r>
        <w:rPr>
          <w:rStyle w:val="57"/>
          <w:rFonts w:hint="eastAsia" w:ascii="仿宋_GB2312" w:hAnsi="宋体" w:eastAsia="仿宋_GB2312"/>
          <w:color w:val="auto"/>
          <w:sz w:val="28"/>
          <w:szCs w:val="28"/>
          <w:highlight w:val="none"/>
        </w:rPr>
        <w:t>环境犯罪</w:t>
      </w:r>
      <w:r>
        <w:rPr>
          <w:rStyle w:val="57"/>
          <w:rFonts w:hint="eastAsia" w:ascii="仿宋_GB2312" w:hAnsi="宋体" w:eastAsia="仿宋_GB2312"/>
          <w:color w:val="auto"/>
          <w:sz w:val="28"/>
          <w:szCs w:val="28"/>
          <w:highlight w:val="none"/>
        </w:rPr>
        <w:fldChar w:fldCharType="end"/>
      </w:r>
      <w:r>
        <w:rPr>
          <w:rFonts w:hint="eastAsia" w:ascii="仿宋_GB2312" w:hAnsi="宋体" w:eastAsia="仿宋_GB2312"/>
          <w:color w:val="auto"/>
          <w:sz w:val="28"/>
          <w:szCs w:val="28"/>
          <w:highlight w:val="none"/>
        </w:rPr>
        <w:t>的；</w:t>
      </w:r>
    </w:p>
    <w:p w14:paraId="72E197DE">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（二）</w:t>
      </w:r>
      <w:r>
        <w:rPr>
          <w:color w:val="auto"/>
          <w:highlight w:val="none"/>
        </w:rPr>
        <w:fldChar w:fldCharType="begin"/>
      </w:r>
      <w:r>
        <w:rPr>
          <w:color w:val="auto"/>
          <w:highlight w:val="none"/>
        </w:rPr>
        <w:instrText xml:space="preserve"> HYPERLINK "https://baike.sogou.com/m/fullLemma?lid=76033123&amp;g_ut=3" \t "https://baike.sogou.com/m/_blank" </w:instrText>
      </w:r>
      <w:r>
        <w:rPr>
          <w:color w:val="auto"/>
          <w:highlight w:val="none"/>
        </w:rPr>
        <w:fldChar w:fldCharType="separate"/>
      </w:r>
      <w:r>
        <w:rPr>
          <w:rStyle w:val="57"/>
          <w:rFonts w:hint="eastAsia" w:ascii="仿宋_GB2312" w:hAnsi="宋体" w:eastAsia="仿宋_GB2312"/>
          <w:color w:val="auto"/>
          <w:sz w:val="28"/>
          <w:szCs w:val="28"/>
          <w:highlight w:val="none"/>
        </w:rPr>
        <w:t>建设项目环境影响评价</w:t>
      </w:r>
      <w:r>
        <w:rPr>
          <w:rStyle w:val="57"/>
          <w:rFonts w:hint="eastAsia" w:ascii="仿宋_GB2312" w:hAnsi="宋体" w:eastAsia="仿宋_GB2312"/>
          <w:color w:val="auto"/>
          <w:sz w:val="28"/>
          <w:szCs w:val="28"/>
          <w:highlight w:val="none"/>
        </w:rPr>
        <w:fldChar w:fldCharType="end"/>
      </w:r>
      <w:r>
        <w:rPr>
          <w:rFonts w:hint="eastAsia" w:ascii="仿宋_GB2312" w:hAnsi="宋体" w:eastAsia="仿宋_GB2312"/>
          <w:color w:val="auto"/>
          <w:sz w:val="28"/>
          <w:szCs w:val="28"/>
          <w:highlight w:val="none"/>
        </w:rPr>
        <w:t>文件未按规定通过审批，擅自开工建设的；</w:t>
      </w:r>
    </w:p>
    <w:p w14:paraId="48ED7C85">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（三）建设项目环保设施未建成、环保措施未落实、未通过</w:t>
      </w:r>
      <w:r>
        <w:rPr>
          <w:color w:val="auto"/>
          <w:highlight w:val="none"/>
        </w:rPr>
        <w:fldChar w:fldCharType="begin"/>
      </w:r>
      <w:r>
        <w:rPr>
          <w:color w:val="auto"/>
          <w:highlight w:val="none"/>
        </w:rPr>
        <w:instrText xml:space="preserve"> HYPERLINK "https://baike.sogou.com/m/fullLemma?lid=6470550&amp;g_ut=3" \t "https://baike.sogou.com/m/_blank" </w:instrText>
      </w:r>
      <w:r>
        <w:rPr>
          <w:color w:val="auto"/>
          <w:highlight w:val="none"/>
        </w:rPr>
        <w:fldChar w:fldCharType="separate"/>
      </w:r>
      <w:r>
        <w:rPr>
          <w:rStyle w:val="57"/>
          <w:rFonts w:hint="eastAsia" w:ascii="仿宋_GB2312" w:hAnsi="宋体" w:eastAsia="仿宋_GB2312"/>
          <w:color w:val="auto"/>
          <w:sz w:val="28"/>
          <w:szCs w:val="28"/>
          <w:highlight w:val="none"/>
        </w:rPr>
        <w:t>竣工环保验收</w:t>
      </w:r>
      <w:r>
        <w:rPr>
          <w:rStyle w:val="57"/>
          <w:rFonts w:hint="eastAsia" w:ascii="仿宋_GB2312" w:hAnsi="宋体" w:eastAsia="仿宋_GB2312"/>
          <w:color w:val="auto"/>
          <w:sz w:val="28"/>
          <w:szCs w:val="28"/>
          <w:highlight w:val="none"/>
        </w:rPr>
        <w:fldChar w:fldCharType="end"/>
      </w:r>
      <w:r>
        <w:rPr>
          <w:rFonts w:hint="eastAsia" w:ascii="仿宋_GB2312" w:hAnsi="宋体" w:eastAsia="仿宋_GB2312"/>
          <w:color w:val="auto"/>
          <w:sz w:val="28"/>
          <w:szCs w:val="28"/>
          <w:highlight w:val="none"/>
        </w:rPr>
        <w:t>或者验收不合格，主体工程正式投入生产或者使用的；</w:t>
      </w:r>
    </w:p>
    <w:p w14:paraId="2513F3E3">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（四）建设项目性质、规模、地点、采用的生产工艺或者防治污染、防止生态破坏的措施发生重大变动，未重新报批环境影响评价文件，擅自投入生产或者使用的；</w:t>
      </w:r>
    </w:p>
    <w:p w14:paraId="4F9601C7">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（五）主要污染物排放总量超过控制指标的；</w:t>
      </w:r>
    </w:p>
    <w:p w14:paraId="6302B1ED">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（六）私设暗管或者利用</w:t>
      </w:r>
      <w:r>
        <w:rPr>
          <w:color w:val="auto"/>
          <w:highlight w:val="none"/>
        </w:rPr>
        <w:fldChar w:fldCharType="begin"/>
      </w:r>
      <w:r>
        <w:rPr>
          <w:color w:val="auto"/>
          <w:highlight w:val="none"/>
        </w:rPr>
        <w:instrText xml:space="preserve"> HYPERLINK "https://baike.sogou.com/m/fullLemma?lid=41657319&amp;g_ut=3" \t "https://baike.sogou.com/m/_blank" </w:instrText>
      </w:r>
      <w:r>
        <w:rPr>
          <w:color w:val="auto"/>
          <w:highlight w:val="none"/>
        </w:rPr>
        <w:fldChar w:fldCharType="separate"/>
      </w:r>
      <w:r>
        <w:rPr>
          <w:rStyle w:val="57"/>
          <w:rFonts w:hint="eastAsia" w:ascii="仿宋_GB2312" w:hAnsi="宋体" w:eastAsia="仿宋_GB2312"/>
          <w:color w:val="auto"/>
          <w:sz w:val="28"/>
          <w:szCs w:val="28"/>
          <w:highlight w:val="none"/>
        </w:rPr>
        <w:t>渗井</w:t>
      </w:r>
      <w:r>
        <w:rPr>
          <w:rStyle w:val="57"/>
          <w:rFonts w:hint="eastAsia" w:ascii="仿宋_GB2312" w:hAnsi="宋体" w:eastAsia="仿宋_GB2312"/>
          <w:color w:val="auto"/>
          <w:sz w:val="28"/>
          <w:szCs w:val="28"/>
          <w:highlight w:val="none"/>
        </w:rPr>
        <w:fldChar w:fldCharType="end"/>
      </w:r>
      <w:r>
        <w:rPr>
          <w:rFonts w:hint="eastAsia" w:ascii="仿宋_GB2312" w:hAnsi="宋体" w:eastAsia="仿宋_GB2312"/>
          <w:color w:val="auto"/>
          <w:sz w:val="28"/>
          <w:szCs w:val="28"/>
          <w:highlight w:val="none"/>
        </w:rPr>
        <w:t>、渗坑、裂隙、溶洞等排放、倾倒、处置水污染物，或者通过私设旁路排放</w:t>
      </w:r>
      <w:r>
        <w:rPr>
          <w:color w:val="auto"/>
          <w:highlight w:val="none"/>
        </w:rPr>
        <w:fldChar w:fldCharType="begin"/>
      </w:r>
      <w:r>
        <w:rPr>
          <w:color w:val="auto"/>
          <w:highlight w:val="none"/>
        </w:rPr>
        <w:instrText xml:space="preserve"> HYPERLINK "https://baike.sogou.com/m/fullLemma?lid=7758328&amp;g_ut=3" \t "https://baike.sogou.com/m/_blank" </w:instrText>
      </w:r>
      <w:r>
        <w:rPr>
          <w:color w:val="auto"/>
          <w:highlight w:val="none"/>
        </w:rPr>
        <w:fldChar w:fldCharType="separate"/>
      </w:r>
      <w:r>
        <w:rPr>
          <w:rStyle w:val="57"/>
          <w:rFonts w:hint="eastAsia" w:ascii="仿宋_GB2312" w:hAnsi="宋体" w:eastAsia="仿宋_GB2312"/>
          <w:color w:val="auto"/>
          <w:sz w:val="28"/>
          <w:szCs w:val="28"/>
          <w:highlight w:val="none"/>
        </w:rPr>
        <w:t>大气污染物</w:t>
      </w:r>
      <w:r>
        <w:rPr>
          <w:rStyle w:val="57"/>
          <w:rFonts w:hint="eastAsia" w:ascii="仿宋_GB2312" w:hAnsi="宋体" w:eastAsia="仿宋_GB2312"/>
          <w:color w:val="auto"/>
          <w:sz w:val="28"/>
          <w:szCs w:val="28"/>
          <w:highlight w:val="none"/>
        </w:rPr>
        <w:fldChar w:fldCharType="end"/>
      </w:r>
      <w:r>
        <w:rPr>
          <w:rFonts w:hint="eastAsia" w:ascii="仿宋_GB2312" w:hAnsi="宋体" w:eastAsia="仿宋_GB2312"/>
          <w:color w:val="auto"/>
          <w:sz w:val="28"/>
          <w:szCs w:val="28"/>
          <w:highlight w:val="none"/>
        </w:rPr>
        <w:t>的；</w:t>
      </w:r>
    </w:p>
    <w:p w14:paraId="7FE59D0F">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（七）非法排放、倾倒、处置危险废物，或者向无</w:t>
      </w:r>
      <w:r>
        <w:rPr>
          <w:color w:val="auto"/>
          <w:highlight w:val="none"/>
        </w:rPr>
        <w:fldChar w:fldCharType="begin"/>
      </w:r>
      <w:r>
        <w:rPr>
          <w:color w:val="auto"/>
          <w:highlight w:val="none"/>
        </w:rPr>
        <w:instrText xml:space="preserve"> HYPERLINK "https://baike.sogou.com/m/fullLemma?lid=5923292&amp;g_ut=3" \t "https://baike.sogou.com/m/_blank" </w:instrText>
      </w:r>
      <w:r>
        <w:rPr>
          <w:color w:val="auto"/>
          <w:highlight w:val="none"/>
        </w:rPr>
        <w:fldChar w:fldCharType="separate"/>
      </w:r>
      <w:r>
        <w:rPr>
          <w:rStyle w:val="57"/>
          <w:rFonts w:hint="eastAsia" w:ascii="仿宋_GB2312" w:hAnsi="宋体" w:eastAsia="仿宋_GB2312"/>
          <w:color w:val="auto"/>
          <w:sz w:val="28"/>
          <w:szCs w:val="28"/>
          <w:highlight w:val="none"/>
        </w:rPr>
        <w:t>经营许可证</w:t>
      </w:r>
      <w:r>
        <w:rPr>
          <w:rStyle w:val="57"/>
          <w:rFonts w:hint="eastAsia" w:ascii="仿宋_GB2312" w:hAnsi="宋体" w:eastAsia="仿宋_GB2312"/>
          <w:color w:val="auto"/>
          <w:sz w:val="28"/>
          <w:szCs w:val="28"/>
          <w:highlight w:val="none"/>
        </w:rPr>
        <w:fldChar w:fldCharType="end"/>
      </w:r>
      <w:r>
        <w:rPr>
          <w:rFonts w:hint="eastAsia" w:ascii="仿宋_GB2312" w:hAnsi="宋体" w:eastAsia="仿宋_GB2312"/>
          <w:color w:val="auto"/>
          <w:sz w:val="28"/>
          <w:szCs w:val="28"/>
          <w:highlight w:val="none"/>
        </w:rPr>
        <w:t>或者超出经营许可范围的单位或个人提供或者委托其收集、贮存、利用、处置危险废物的；</w:t>
      </w:r>
    </w:p>
    <w:p w14:paraId="48CCCCD0">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（八）</w:t>
      </w:r>
      <w:r>
        <w:rPr>
          <w:color w:val="auto"/>
          <w:highlight w:val="none"/>
        </w:rPr>
        <w:fldChar w:fldCharType="begin"/>
      </w:r>
      <w:r>
        <w:rPr>
          <w:color w:val="auto"/>
          <w:highlight w:val="none"/>
        </w:rPr>
        <w:instrText xml:space="preserve"> HYPERLINK "https://baike.sogou.com/m/fullLemma?lid=167759803&amp;g_ut=3" \t "https://baike.sogou.com/m/_blank" </w:instrText>
      </w:r>
      <w:r>
        <w:rPr>
          <w:color w:val="auto"/>
          <w:highlight w:val="none"/>
        </w:rPr>
        <w:fldChar w:fldCharType="separate"/>
      </w:r>
      <w:r>
        <w:rPr>
          <w:rStyle w:val="57"/>
          <w:rFonts w:hint="eastAsia" w:ascii="仿宋_GB2312" w:hAnsi="宋体" w:eastAsia="仿宋_GB2312"/>
          <w:color w:val="auto"/>
          <w:sz w:val="28"/>
          <w:szCs w:val="28"/>
          <w:highlight w:val="none"/>
        </w:rPr>
        <w:t>环境违法行为</w:t>
      </w:r>
      <w:r>
        <w:rPr>
          <w:rStyle w:val="57"/>
          <w:rFonts w:hint="eastAsia" w:ascii="仿宋_GB2312" w:hAnsi="宋体" w:eastAsia="仿宋_GB2312"/>
          <w:color w:val="auto"/>
          <w:sz w:val="28"/>
          <w:szCs w:val="28"/>
          <w:highlight w:val="none"/>
        </w:rPr>
        <w:fldChar w:fldCharType="end"/>
      </w:r>
      <w:r>
        <w:rPr>
          <w:rFonts w:hint="eastAsia" w:ascii="仿宋_GB2312" w:hAnsi="宋体" w:eastAsia="仿宋_GB2312"/>
          <w:color w:val="auto"/>
          <w:sz w:val="28"/>
          <w:szCs w:val="28"/>
          <w:highlight w:val="none"/>
        </w:rPr>
        <w:t>造成集中式生活饮用水水源取水中断的；</w:t>
      </w:r>
    </w:p>
    <w:p w14:paraId="4C2C2C6A">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（九）环境违法行为对生活饮用水水源保护区、自然保护区、</w:t>
      </w:r>
      <w:r>
        <w:rPr>
          <w:color w:val="auto"/>
          <w:highlight w:val="none"/>
        </w:rPr>
        <w:fldChar w:fldCharType="begin"/>
      </w:r>
      <w:r>
        <w:rPr>
          <w:color w:val="auto"/>
          <w:highlight w:val="none"/>
        </w:rPr>
        <w:instrText xml:space="preserve"> HYPERLINK "https://baike.sogou.com/m/fullLemma?lid=155199213&amp;g_ut=3" \t "https://baike.sogou.com/m/_blank" </w:instrText>
      </w:r>
      <w:r>
        <w:rPr>
          <w:color w:val="auto"/>
          <w:highlight w:val="none"/>
        </w:rPr>
        <w:fldChar w:fldCharType="separate"/>
      </w:r>
      <w:r>
        <w:rPr>
          <w:rStyle w:val="57"/>
          <w:rFonts w:hint="eastAsia" w:ascii="仿宋_GB2312" w:hAnsi="宋体" w:eastAsia="仿宋_GB2312"/>
          <w:color w:val="auto"/>
          <w:sz w:val="28"/>
          <w:szCs w:val="28"/>
          <w:highlight w:val="none"/>
        </w:rPr>
        <w:t>国家重点生态功能区</w:t>
      </w:r>
      <w:r>
        <w:rPr>
          <w:rStyle w:val="57"/>
          <w:rFonts w:hint="eastAsia" w:ascii="仿宋_GB2312" w:hAnsi="宋体" w:eastAsia="仿宋_GB2312"/>
          <w:color w:val="auto"/>
          <w:sz w:val="28"/>
          <w:szCs w:val="28"/>
          <w:highlight w:val="none"/>
        </w:rPr>
        <w:fldChar w:fldCharType="end"/>
      </w:r>
      <w:r>
        <w:rPr>
          <w:rFonts w:hint="eastAsia" w:ascii="仿宋_GB2312" w:hAnsi="宋体" w:eastAsia="仿宋_GB2312"/>
          <w:color w:val="auto"/>
          <w:sz w:val="28"/>
          <w:szCs w:val="28"/>
          <w:highlight w:val="none"/>
        </w:rPr>
        <w:t>、风景名胜区、居住功能区、</w:t>
      </w:r>
      <w:r>
        <w:rPr>
          <w:color w:val="auto"/>
          <w:highlight w:val="none"/>
        </w:rPr>
        <w:fldChar w:fldCharType="begin"/>
      </w:r>
      <w:r>
        <w:rPr>
          <w:color w:val="auto"/>
          <w:highlight w:val="none"/>
        </w:rPr>
        <w:instrText xml:space="preserve"> HYPERLINK "https://baike.sogou.com/m/fullLemma?lid=7757164&amp;g_ut=3" \t "https://baike.sogou.com/m/_blank" </w:instrText>
      </w:r>
      <w:r>
        <w:rPr>
          <w:color w:val="auto"/>
          <w:highlight w:val="none"/>
        </w:rPr>
        <w:fldChar w:fldCharType="separate"/>
      </w:r>
      <w:r>
        <w:rPr>
          <w:rStyle w:val="57"/>
          <w:rFonts w:hint="eastAsia" w:ascii="仿宋_GB2312" w:hAnsi="宋体" w:eastAsia="仿宋_GB2312"/>
          <w:color w:val="auto"/>
          <w:sz w:val="28"/>
          <w:szCs w:val="28"/>
          <w:highlight w:val="none"/>
        </w:rPr>
        <w:t>基本农田保护区</w:t>
      </w:r>
      <w:r>
        <w:rPr>
          <w:rStyle w:val="57"/>
          <w:rFonts w:hint="eastAsia" w:ascii="仿宋_GB2312" w:hAnsi="宋体" w:eastAsia="仿宋_GB2312"/>
          <w:color w:val="auto"/>
          <w:sz w:val="28"/>
          <w:szCs w:val="28"/>
          <w:highlight w:val="none"/>
        </w:rPr>
        <w:fldChar w:fldCharType="end"/>
      </w:r>
      <w:r>
        <w:rPr>
          <w:rFonts w:hint="eastAsia" w:ascii="仿宋_GB2312" w:hAnsi="宋体" w:eastAsia="仿宋_GB2312"/>
          <w:color w:val="auto"/>
          <w:sz w:val="28"/>
          <w:szCs w:val="28"/>
          <w:highlight w:val="none"/>
        </w:rPr>
        <w:t>等环境敏感区造成重大不利影响的；</w:t>
      </w:r>
    </w:p>
    <w:p w14:paraId="3B3B17B1">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（十）违法从事自然资源开发、交通基础设施建设，以及其他开发建设活动，造成严重生态破坏的；</w:t>
      </w:r>
    </w:p>
    <w:p w14:paraId="44ED39A9">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（十一）发生较大及以上突发环境事件的；</w:t>
      </w:r>
    </w:p>
    <w:p w14:paraId="1176498D">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（十二）被环保部门挂牌督办，整改逾期未完成的；</w:t>
      </w:r>
    </w:p>
    <w:p w14:paraId="22A3E000">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（十三）以暴力、威胁等方式拒绝、阻挠环保部门工作人员现场检查的；</w:t>
      </w:r>
    </w:p>
    <w:p w14:paraId="2EEF0B45">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（十四）违反重污染天气应急预案有关规定，对重污染天气响应不力的。</w:t>
      </w:r>
    </w:p>
    <w:p w14:paraId="70256D8E">
      <w:pPr>
        <w:adjustRightInd w:val="0"/>
        <w:snapToGrid w:val="0"/>
        <w:spacing w:line="560" w:lineRule="exact"/>
        <w:ind w:firstLine="645"/>
        <w:jc w:val="left"/>
        <w:rPr>
          <w:rFonts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依据：《</w:t>
      </w:r>
      <w:bookmarkStart w:id="961" w:name="OLE_LINK9"/>
      <w:bookmarkStart w:id="962" w:name="OLE_LINK8"/>
      <w:bookmarkStart w:id="963" w:name="OLE_LINK10"/>
      <w:r>
        <w:rPr>
          <w:rFonts w:hint="eastAsia" w:ascii="仿宋_GB2312" w:hAnsi="宋体" w:eastAsia="仿宋_GB2312"/>
          <w:b/>
          <w:color w:val="auto"/>
          <w:sz w:val="28"/>
          <w:szCs w:val="28"/>
          <w:highlight w:val="none"/>
        </w:rPr>
        <w:t>关于对环境保护领域失信生产经营单位及其有关人员开展联合惩戒的合作备忘录</w:t>
      </w:r>
      <w:bookmarkEnd w:id="961"/>
      <w:bookmarkEnd w:id="962"/>
      <w:bookmarkEnd w:id="963"/>
      <w:r>
        <w:rPr>
          <w:rFonts w:hint="eastAsia" w:ascii="仿宋_GB2312" w:hAnsi="宋体" w:eastAsia="仿宋_GB2312"/>
          <w:b/>
          <w:color w:val="auto"/>
          <w:sz w:val="28"/>
          <w:szCs w:val="28"/>
          <w:highlight w:val="none"/>
        </w:rPr>
        <w:t>》、《</w:t>
      </w:r>
      <w:bookmarkStart w:id="964" w:name="OLE_LINK11"/>
      <w:bookmarkStart w:id="965" w:name="OLE_LINK12"/>
      <w:r>
        <w:rPr>
          <w:rFonts w:hint="eastAsia" w:ascii="仿宋_GB2312" w:hAnsi="宋体" w:eastAsia="仿宋_GB2312"/>
          <w:b/>
          <w:color w:val="auto"/>
          <w:sz w:val="28"/>
          <w:szCs w:val="28"/>
          <w:highlight w:val="none"/>
        </w:rPr>
        <w:t>企业环境信用评价办法（试行）</w:t>
      </w:r>
      <w:bookmarkEnd w:id="964"/>
      <w:bookmarkEnd w:id="965"/>
      <w:r>
        <w:rPr>
          <w:rFonts w:hint="eastAsia" w:ascii="仿宋_GB2312" w:hAnsi="宋体" w:eastAsia="仿宋_GB2312"/>
          <w:b/>
          <w:color w:val="auto"/>
          <w:sz w:val="28"/>
          <w:szCs w:val="28"/>
          <w:highlight w:val="none"/>
        </w:rPr>
        <w:t>》（环发〔2013〕150号）</w:t>
      </w:r>
    </w:p>
    <w:p w14:paraId="38082211">
      <w:pPr>
        <w:adjustRightInd w:val="0"/>
        <w:snapToGrid w:val="0"/>
        <w:spacing w:line="560" w:lineRule="exact"/>
        <w:ind w:firstLine="645"/>
        <w:jc w:val="left"/>
        <w:rPr>
          <w:rFonts w:ascii="仿宋_GB2312" w:hAnsi="宋体" w:eastAsia="仿宋_GB2312"/>
          <w:b/>
          <w:color w:val="auto"/>
          <w:sz w:val="28"/>
          <w:szCs w:val="28"/>
          <w:highlight w:val="none"/>
        </w:rPr>
      </w:pPr>
    </w:p>
    <w:p w14:paraId="4F364184">
      <w:pPr>
        <w:adjustRightInd w:val="0"/>
        <w:snapToGrid w:val="0"/>
        <w:spacing w:line="560" w:lineRule="exact"/>
        <w:ind w:firstLine="645"/>
        <w:jc w:val="left"/>
        <w:rPr>
          <w:rFonts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三、</w:t>
      </w:r>
      <w:r>
        <w:rPr>
          <w:rFonts w:hint="eastAsia" w:ascii="仿宋_GB2312" w:hAnsi="宋体" w:eastAsia="仿宋_GB2312"/>
          <w:b/>
          <w:bCs/>
          <w:color w:val="auto"/>
          <w:sz w:val="28"/>
          <w:szCs w:val="28"/>
          <w:highlight w:val="none"/>
        </w:rPr>
        <w:t>公共资源交易领域严重失信行为</w:t>
      </w:r>
    </w:p>
    <w:p w14:paraId="2A42155D">
      <w:pPr>
        <w:adjustRightInd w:val="0"/>
        <w:snapToGrid w:val="0"/>
        <w:spacing w:line="560" w:lineRule="exact"/>
        <w:ind w:firstLine="64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（一）违反法律规定，必须进行招标的项目而不招标的，将必须进行招标的项目化整为零或者以其他任何方式规避招标的； </w:t>
      </w:r>
    </w:p>
    <w:p w14:paraId="4CAB7C5B">
      <w:pPr>
        <w:adjustRightInd w:val="0"/>
        <w:snapToGrid w:val="0"/>
        <w:spacing w:line="560" w:lineRule="exact"/>
        <w:ind w:firstLine="64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（二）招标代理机构违反法律规定，泄露应当保密的与招标投标活动有关的情况和资料的，或者与招标人、投标人串通损害 国家利益、社会公共利益或者他人合法权益的；</w:t>
      </w:r>
    </w:p>
    <w:p w14:paraId="25660D90">
      <w:pPr>
        <w:adjustRightInd w:val="0"/>
        <w:snapToGrid w:val="0"/>
        <w:spacing w:line="560" w:lineRule="exact"/>
        <w:ind w:firstLine="560" w:firstLineChars="2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（三）招标人以不合理的条件限制或者排斥潜在投标人的，对潜在投标人实行歧视待遇的，强制要求投标人组成联合体共同 投标的，或者限制投标人之间竞争的；</w:t>
      </w:r>
    </w:p>
    <w:p w14:paraId="04075274">
      <w:pPr>
        <w:adjustRightInd w:val="0"/>
        <w:snapToGrid w:val="0"/>
        <w:spacing w:line="560" w:lineRule="exact"/>
        <w:ind w:firstLine="560" w:firstLineChars="2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（四）依法必须进行招标的项目的招标人向他人透露已获取招标文件的潜在投标人的名称、数量或者可能影响公平竞争的有 关招标投标的其他情况的，或者泄露标底的；</w:t>
      </w:r>
    </w:p>
    <w:p w14:paraId="20941271">
      <w:pPr>
        <w:adjustRightInd w:val="0"/>
        <w:snapToGrid w:val="0"/>
        <w:spacing w:line="560" w:lineRule="exact"/>
        <w:ind w:firstLine="560" w:firstLineChars="2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（五）投标人相互串通投标或者与招标人串通投标的，投标人以向招标人或者评标委员会成员行贿的手段谋取中标的； </w:t>
      </w:r>
    </w:p>
    <w:p w14:paraId="4AFAAD6D">
      <w:pPr>
        <w:adjustRightInd w:val="0"/>
        <w:snapToGrid w:val="0"/>
        <w:spacing w:line="560" w:lineRule="exact"/>
        <w:ind w:firstLine="560" w:firstLineChars="2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（六）投标人以他人名义投标或者以其他方式弄虚作假，骗取中标的；</w:t>
      </w:r>
    </w:p>
    <w:p w14:paraId="4EADD3CE">
      <w:pPr>
        <w:adjustRightInd w:val="0"/>
        <w:snapToGrid w:val="0"/>
        <w:spacing w:line="560" w:lineRule="exact"/>
        <w:ind w:firstLine="560" w:firstLineChars="2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（七）依法必须进行招标的项目，招标人违反法律规定，与投标人就投标价格、投标方案等实质性内容进行谈判的；</w:t>
      </w:r>
    </w:p>
    <w:p w14:paraId="1ED42691">
      <w:pPr>
        <w:adjustRightInd w:val="0"/>
        <w:snapToGrid w:val="0"/>
        <w:spacing w:line="560" w:lineRule="exact"/>
        <w:ind w:firstLine="64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（八）评标委员会成员收受投标人的财物或者其他好处的，评标委员会成员或者参加评标的有关工作人员向他人透露对投 标文件的评审和比较、中标候选人的推荐以及与评标有关的其他 情况的； </w:t>
      </w:r>
    </w:p>
    <w:p w14:paraId="6452AAFB">
      <w:pPr>
        <w:adjustRightInd w:val="0"/>
        <w:snapToGrid w:val="0"/>
        <w:spacing w:line="560" w:lineRule="exact"/>
        <w:ind w:firstLine="64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（九）招标人在评标委员会依法推荐的中标候选人以外确定中标人的，依法必须进行招标的项目在所有投标被评标委员会否 决后自行确定中标人的； </w:t>
      </w:r>
    </w:p>
    <w:p w14:paraId="779379C5">
      <w:pPr>
        <w:adjustRightInd w:val="0"/>
        <w:snapToGrid w:val="0"/>
        <w:spacing w:line="560" w:lineRule="exact"/>
        <w:ind w:firstLine="64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（十）中标人将中标项目转让给他人的，将中标项目肢解后分别转让给他人的，违反法律规定将中标项目的部分主体、关键 性工作分包给他人的，或者分包人再次分包的； </w:t>
      </w:r>
    </w:p>
    <w:p w14:paraId="1191F0D9">
      <w:pPr>
        <w:adjustRightInd w:val="0"/>
        <w:snapToGrid w:val="0"/>
        <w:spacing w:line="560" w:lineRule="exact"/>
        <w:ind w:firstLine="64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（十一）招标人与中标人不按照招标文件和中标人的投标文件订立合同的，或者招标人、中标人订立背离合同实质性内容的 协议的； </w:t>
      </w:r>
    </w:p>
    <w:p w14:paraId="5EA67906">
      <w:pPr>
        <w:adjustRightInd w:val="0"/>
        <w:snapToGrid w:val="0"/>
        <w:spacing w:line="560" w:lineRule="exact"/>
        <w:ind w:firstLine="64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（十二）中标人不按照与招标人订立的合同履行义务，情节严重的； </w:t>
      </w:r>
    </w:p>
    <w:p w14:paraId="6D3CB901">
      <w:pPr>
        <w:adjustRightInd w:val="0"/>
        <w:snapToGrid w:val="0"/>
        <w:spacing w:line="560" w:lineRule="exact"/>
        <w:ind w:firstLine="64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（十三）采购人、采购代理机构存在应当采用公开招标方式而擅自采用其他方式采购，擅自提高采购标准，以不合理的条件 对供应商实行差别待遇或者歧视待遇，在招标采购过程中与投标 人进行协商谈判，中标、成交通知书发出后不与中标、成交供应商签订采购合同，或者拒绝有关部门依法实施监督检查等情形的；</w:t>
      </w:r>
    </w:p>
    <w:p w14:paraId="3CFF5223">
      <w:pPr>
        <w:adjustRightInd w:val="0"/>
        <w:snapToGrid w:val="0"/>
        <w:spacing w:line="560" w:lineRule="exact"/>
        <w:ind w:firstLine="64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（十四）采购人、采购代理机构及其工作人员存在与供应商 或者采购代理机构恶意串通，在采购过程中接受贿赂或者获取其 他不正当利益，在有关部门依法实施的监督检查中提供虚假情况， 或者开标前泄露标底等情形的；</w:t>
      </w:r>
    </w:p>
    <w:p w14:paraId="626AF9E9">
      <w:pPr>
        <w:adjustRightInd w:val="0"/>
        <w:snapToGrid w:val="0"/>
        <w:spacing w:line="560" w:lineRule="exact"/>
        <w:ind w:firstLine="64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（十五）采购人对应当实行集中采购的政府采购项目，不委托集中采购机构实行集中采购的； </w:t>
      </w:r>
    </w:p>
    <w:p w14:paraId="4A1B1C26">
      <w:pPr>
        <w:adjustRightInd w:val="0"/>
        <w:snapToGrid w:val="0"/>
        <w:spacing w:line="560" w:lineRule="exact"/>
        <w:ind w:firstLine="64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（十六）采购人、采购代理机构违反法律规定隐匿、销毁应当保存的采购文件或者伪造、变造采购文件的； </w:t>
      </w:r>
    </w:p>
    <w:p w14:paraId="090D1646">
      <w:pPr>
        <w:adjustRightInd w:val="0"/>
        <w:snapToGrid w:val="0"/>
        <w:spacing w:line="560" w:lineRule="exact"/>
        <w:ind w:firstLine="64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（十七）供应商存在提供虚假材料谋取中标、成交，采取不 正当手段诋毁、排挤其他供应商，与采购人、其他供应商或者采 购代理机构恶意串通，向采购人、采购代理机构行贿或者提供其 他不正当利益，在招标采购过程中与采购人进行协商谈判，或拒 绝有关部门监督检查或者提供虚假情况等情形的； </w:t>
      </w:r>
    </w:p>
    <w:p w14:paraId="1945ABBC">
      <w:pPr>
        <w:adjustRightInd w:val="0"/>
        <w:snapToGrid w:val="0"/>
        <w:spacing w:line="560" w:lineRule="exact"/>
        <w:ind w:left="141" w:leftChars="67"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（十八）疫苗生产企业向县级疾病预防控制机构以外的单位或者个人销售第二类疫苗的； </w:t>
      </w:r>
    </w:p>
    <w:p w14:paraId="32DEE7A9">
      <w:pPr>
        <w:adjustRightInd w:val="0"/>
        <w:snapToGrid w:val="0"/>
        <w:spacing w:line="560" w:lineRule="exact"/>
        <w:ind w:left="141" w:leftChars="67" w:firstLine="420" w:firstLineChars="150"/>
        <w:jc w:val="left"/>
        <w:rPr>
          <w:rFonts w:ascii="仿宋_GB2312" w:hAnsi="宋体" w:eastAsia="仿宋_GB2312"/>
          <w:color w:val="auto"/>
          <w:sz w:val="28"/>
          <w:szCs w:val="28"/>
          <w:highlight w:val="none"/>
        </w:rPr>
      </w:pPr>
      <w:r>
        <w:rPr>
          <w:rFonts w:hint="eastAsia" w:ascii="仿宋_GB2312" w:eastAsia="仿宋_GB2312"/>
          <w:color w:val="auto"/>
          <w:sz w:val="28"/>
          <w:szCs w:val="28"/>
          <w:highlight w:val="none"/>
        </w:rPr>
        <w:t>（十九）存在其他违反公共资源交易法律法规行为的。</w:t>
      </w:r>
    </w:p>
    <w:p w14:paraId="4E99D757">
      <w:pPr>
        <w:adjustRightInd w:val="0"/>
        <w:snapToGrid w:val="0"/>
        <w:spacing w:line="560" w:lineRule="exact"/>
        <w:ind w:firstLine="894" w:firstLineChars="318"/>
        <w:jc w:val="left"/>
        <w:rPr>
          <w:rFonts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依据：《</w:t>
      </w:r>
      <w:bookmarkStart w:id="966" w:name="OLE_LINK14"/>
      <w:bookmarkStart w:id="967" w:name="OLE_LINK13"/>
      <w:r>
        <w:rPr>
          <w:rFonts w:hint="eastAsia" w:ascii="仿宋_GB2312" w:hAnsi="宋体" w:eastAsia="仿宋_GB2312"/>
          <w:b/>
          <w:color w:val="auto"/>
          <w:sz w:val="28"/>
          <w:szCs w:val="28"/>
          <w:highlight w:val="none"/>
        </w:rPr>
        <w:t>关于对公共资源交易领域严重失信主体开展联合惩戒的备忘录</w:t>
      </w:r>
      <w:bookmarkEnd w:id="966"/>
      <w:bookmarkEnd w:id="967"/>
      <w:r>
        <w:rPr>
          <w:rFonts w:hint="eastAsia" w:ascii="仿宋_GB2312" w:hAnsi="宋体" w:eastAsia="仿宋_GB2312"/>
          <w:b/>
          <w:color w:val="auto"/>
          <w:sz w:val="28"/>
          <w:szCs w:val="28"/>
          <w:highlight w:val="none"/>
        </w:rPr>
        <w:t>》（发改法规〔2018〕457号）</w:t>
      </w:r>
    </w:p>
    <w:p w14:paraId="4A141E6F">
      <w:pPr>
        <w:adjustRightInd w:val="0"/>
        <w:snapToGrid w:val="0"/>
        <w:spacing w:line="560" w:lineRule="exact"/>
        <w:ind w:firstLine="645"/>
        <w:jc w:val="left"/>
        <w:rPr>
          <w:rFonts w:ascii="仿宋_GB2312" w:hAnsi="宋体" w:eastAsia="仿宋_GB2312"/>
          <w:color w:val="auto"/>
          <w:sz w:val="28"/>
          <w:szCs w:val="28"/>
          <w:highlight w:val="none"/>
        </w:rPr>
      </w:pPr>
    </w:p>
    <w:p w14:paraId="69B868CD">
      <w:pPr>
        <w:adjustRightInd w:val="0"/>
        <w:snapToGrid w:val="0"/>
        <w:spacing w:line="560" w:lineRule="exact"/>
        <w:ind w:firstLine="645"/>
        <w:jc w:val="left"/>
        <w:rPr>
          <w:rFonts w:ascii="仿宋_GB2312" w:hAnsi="宋体" w:eastAsia="仿宋_GB2312"/>
          <w:b/>
          <w:bCs/>
          <w:color w:val="auto"/>
          <w:sz w:val="28"/>
          <w:szCs w:val="28"/>
          <w:highlight w:val="none"/>
        </w:rPr>
      </w:pPr>
      <w:r>
        <w:rPr>
          <w:rFonts w:hint="eastAsia" w:ascii="仿宋_GB2312" w:hAnsi="宋体" w:eastAsia="仿宋_GB2312"/>
          <w:b/>
          <w:color w:val="auto"/>
          <w:sz w:val="28"/>
          <w:szCs w:val="28"/>
          <w:highlight w:val="none"/>
        </w:rPr>
        <w:t>四、</w:t>
      </w:r>
      <w:r>
        <w:rPr>
          <w:rFonts w:hint="eastAsia" w:ascii="仿宋_GB2312" w:hAnsi="宋体" w:eastAsia="仿宋_GB2312"/>
          <w:b/>
          <w:bCs/>
          <w:color w:val="auto"/>
          <w:sz w:val="28"/>
          <w:szCs w:val="28"/>
          <w:highlight w:val="none"/>
        </w:rPr>
        <w:t>社会保险领域严重失信行为</w:t>
      </w:r>
    </w:p>
    <w:p w14:paraId="68352613">
      <w:pPr>
        <w:adjustRightInd w:val="0"/>
        <w:snapToGrid w:val="0"/>
        <w:spacing w:line="560" w:lineRule="exact"/>
        <w:ind w:left="141" w:leftChars="67"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（一）用人单位未按相关规定参加社会保险且拒不整改的； </w:t>
      </w:r>
    </w:p>
    <w:p w14:paraId="0437D6FE">
      <w:pPr>
        <w:adjustRightInd w:val="0"/>
        <w:snapToGrid w:val="0"/>
        <w:spacing w:line="560" w:lineRule="exact"/>
        <w:ind w:left="141" w:leftChars="67"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（二）用人单位未如实申报社会保险缴费基数且拒不整改的； </w:t>
      </w:r>
    </w:p>
    <w:p w14:paraId="343452A8">
      <w:pPr>
        <w:adjustRightInd w:val="0"/>
        <w:snapToGrid w:val="0"/>
        <w:spacing w:line="560" w:lineRule="exact"/>
        <w:ind w:left="141" w:leftChars="67"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（三）应缴纳社会保险费却拒不缴纳的； </w:t>
      </w:r>
    </w:p>
    <w:p w14:paraId="33AF4720">
      <w:pPr>
        <w:adjustRightInd w:val="0"/>
        <w:snapToGrid w:val="0"/>
        <w:spacing w:line="560" w:lineRule="exact"/>
        <w:ind w:left="141" w:leftChars="67"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（四）隐匿、转移、侵占、挪用社会保险费款、基金或者违规投资运营的；</w:t>
      </w:r>
    </w:p>
    <w:p w14:paraId="6AAA46A2">
      <w:pPr>
        <w:adjustRightInd w:val="0"/>
        <w:snapToGrid w:val="0"/>
        <w:spacing w:line="560" w:lineRule="exact"/>
        <w:ind w:left="141" w:leftChars="67"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（五）以欺诈、伪造证明材料或者其他手段参加、申报社会保险和骗取社会保险基金支出或社会保险待遇的； </w:t>
      </w:r>
    </w:p>
    <w:p w14:paraId="7A231690">
      <w:pPr>
        <w:adjustRightInd w:val="0"/>
        <w:snapToGrid w:val="0"/>
        <w:spacing w:line="560" w:lineRule="exact"/>
        <w:ind w:left="141" w:leftChars="67"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（六）非法获取、出售或变相交易社会保险个人权益数据的； </w:t>
      </w:r>
    </w:p>
    <w:p w14:paraId="1B7E0FF8">
      <w:pPr>
        <w:adjustRightInd w:val="0"/>
        <w:snapToGrid w:val="0"/>
        <w:spacing w:line="560" w:lineRule="exact"/>
        <w:ind w:left="141" w:leftChars="67"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（七）社会保险服务机构违反服务协议或相关规定的； </w:t>
      </w:r>
    </w:p>
    <w:p w14:paraId="4E435216">
      <w:pPr>
        <w:adjustRightInd w:val="0"/>
        <w:snapToGrid w:val="0"/>
        <w:spacing w:line="560" w:lineRule="exact"/>
        <w:ind w:left="141" w:leftChars="67"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（八）拒绝协助社会保险行政部门、经办机构对事故和问题进 行调查核实的；拒绝接受或协助税务部门对社会保险实施监督检查， 不如实提供与社会保险相关各项资料的； </w:t>
      </w:r>
    </w:p>
    <w:p w14:paraId="7657107E">
      <w:pPr>
        <w:adjustRightInd w:val="0"/>
        <w:snapToGrid w:val="0"/>
        <w:spacing w:line="560" w:lineRule="exact"/>
        <w:ind w:left="141" w:leftChars="67"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（九）其他违反法律法规规定的。</w:t>
      </w:r>
    </w:p>
    <w:p w14:paraId="31966735">
      <w:pPr>
        <w:adjustRightInd w:val="0"/>
        <w:snapToGrid w:val="0"/>
        <w:spacing w:line="560" w:lineRule="exact"/>
        <w:ind w:firstLine="551" w:firstLineChars="196"/>
        <w:jc w:val="left"/>
        <w:rPr>
          <w:rFonts w:ascii="仿宋_GB2312" w:eastAsia="仿宋_GB2312"/>
          <w:color w:val="auto"/>
          <w:sz w:val="28"/>
          <w:szCs w:val="28"/>
          <w:highlight w:val="none"/>
        </w:rPr>
      </w:pPr>
      <w:r>
        <w:rPr>
          <w:rFonts w:hint="eastAsia" w:ascii="仿宋_GB2312" w:eastAsia="仿宋_GB2312"/>
          <w:b/>
          <w:color w:val="auto"/>
          <w:sz w:val="28"/>
          <w:szCs w:val="28"/>
          <w:highlight w:val="none"/>
        </w:rPr>
        <w:t>依据：《</w:t>
      </w:r>
      <w:bookmarkStart w:id="968" w:name="OLE_LINK15"/>
      <w:bookmarkStart w:id="969" w:name="OLE_LINK16"/>
      <w:r>
        <w:rPr>
          <w:rFonts w:hint="eastAsia" w:ascii="仿宋_GB2312" w:eastAsia="仿宋_GB2312"/>
          <w:b/>
          <w:color w:val="auto"/>
          <w:sz w:val="28"/>
          <w:szCs w:val="28"/>
          <w:highlight w:val="none"/>
        </w:rPr>
        <w:t>关于对社会保险领域严重失信企业及其有关人员实施联合惩戒的合作备忘录</w:t>
      </w:r>
      <w:bookmarkEnd w:id="968"/>
      <w:bookmarkEnd w:id="969"/>
      <w:r>
        <w:rPr>
          <w:rFonts w:hint="eastAsia" w:ascii="仿宋_GB2312" w:eastAsia="仿宋_GB2312"/>
          <w:b/>
          <w:color w:val="auto"/>
          <w:sz w:val="28"/>
          <w:szCs w:val="28"/>
          <w:highlight w:val="none"/>
        </w:rPr>
        <w:t>》（发改财金〔2018〕1704号）</w:t>
      </w:r>
    </w:p>
    <w:p w14:paraId="461E97AE">
      <w:pPr>
        <w:adjustRightInd w:val="0"/>
        <w:snapToGrid w:val="0"/>
        <w:spacing w:line="560" w:lineRule="exact"/>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w:t>
      </w:r>
    </w:p>
    <w:p w14:paraId="3E2A7199">
      <w:pPr>
        <w:adjustRightInd w:val="0"/>
        <w:snapToGrid w:val="0"/>
        <w:spacing w:line="560" w:lineRule="exact"/>
        <w:ind w:firstLine="562" w:firstLineChars="200"/>
        <w:jc w:val="left"/>
        <w:rPr>
          <w:rFonts w:ascii="仿宋_GB2312" w:hAnsi="宋体" w:eastAsia="仿宋_GB2312"/>
          <w:b/>
          <w:bCs/>
          <w:color w:val="auto"/>
          <w:sz w:val="28"/>
          <w:szCs w:val="28"/>
          <w:highlight w:val="none"/>
        </w:rPr>
      </w:pPr>
      <w:r>
        <w:rPr>
          <w:rFonts w:hint="eastAsia" w:ascii="仿宋_GB2312" w:hAnsi="宋体" w:eastAsia="仿宋_GB2312"/>
          <w:b/>
          <w:color w:val="auto"/>
          <w:sz w:val="28"/>
          <w:szCs w:val="28"/>
          <w:highlight w:val="none"/>
        </w:rPr>
        <w:t>五、建筑市场领域</w:t>
      </w:r>
      <w:r>
        <w:rPr>
          <w:rFonts w:hint="eastAsia" w:ascii="仿宋_GB2312" w:hAnsi="宋体" w:eastAsia="仿宋_GB2312"/>
          <w:b/>
          <w:bCs/>
          <w:color w:val="auto"/>
          <w:sz w:val="28"/>
          <w:szCs w:val="28"/>
          <w:highlight w:val="none"/>
        </w:rPr>
        <w:t>严重失信行为</w:t>
      </w:r>
    </w:p>
    <w:p w14:paraId="601612DD">
      <w:pPr>
        <w:adjustRightInd w:val="0"/>
        <w:snapToGrid w:val="0"/>
        <w:spacing w:line="560" w:lineRule="exact"/>
        <w:ind w:firstLine="560" w:firstLineChars="2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（一）利用虚假材料、以欺骗手段取得企业资质的；</w:t>
      </w:r>
    </w:p>
    <w:p w14:paraId="56DA942A">
      <w:pPr>
        <w:adjustRightInd w:val="0"/>
        <w:snapToGrid w:val="0"/>
        <w:spacing w:line="560" w:lineRule="exact"/>
        <w:ind w:firstLine="560" w:firstLineChars="2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（二）发生转包、出借资质，受到行政处罚的；</w:t>
      </w:r>
    </w:p>
    <w:p w14:paraId="558776EF">
      <w:pPr>
        <w:adjustRightInd w:val="0"/>
        <w:snapToGrid w:val="0"/>
        <w:spacing w:line="560" w:lineRule="exact"/>
        <w:ind w:firstLine="560" w:firstLineChars="2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（三）发生重大及以上工程质量安全事故，或1年内累计发生2次及以上较大工程质量安全事故，或发生性质恶劣、危害性严重、社会影响大的较大工程质量安全事故，受到行政处罚的；</w:t>
      </w:r>
    </w:p>
    <w:p w14:paraId="69290508">
      <w:pPr>
        <w:adjustRightInd w:val="0"/>
        <w:snapToGrid w:val="0"/>
        <w:spacing w:line="560" w:lineRule="exact"/>
        <w:ind w:firstLine="560" w:firstLineChars="2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（四）经法院判决或仲裁机构裁决，认定为拖欠工程款,且拒不履行生效法律文书确定的义务的。</w:t>
      </w:r>
    </w:p>
    <w:p w14:paraId="6225BAC3">
      <w:pPr>
        <w:adjustRightInd w:val="0"/>
        <w:snapToGrid w:val="0"/>
        <w:spacing w:line="560" w:lineRule="exact"/>
        <w:ind w:firstLine="560" w:firstLineChars="2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各级住房城乡建设主管部门应当参照建筑市场主体“黑名单”，对被人力资源社会保障行政部门列入拖欠农民工工资“黑名单”的建筑市场各方主体加强监管。</w:t>
      </w:r>
    </w:p>
    <w:p w14:paraId="406D158E">
      <w:pPr>
        <w:ind w:firstLine="562" w:firstLineChars="200"/>
        <w:jc w:val="left"/>
        <w:rPr>
          <w:rFonts w:ascii="宋体" w:hAnsi="宋体"/>
          <w:color w:val="auto"/>
          <w:sz w:val="28"/>
          <w:szCs w:val="28"/>
          <w:highlight w:val="none"/>
        </w:rPr>
      </w:pPr>
      <w:r>
        <w:rPr>
          <w:rFonts w:hint="eastAsia" w:ascii="仿宋_GB2312" w:eastAsia="仿宋_GB2312"/>
          <w:b/>
          <w:color w:val="auto"/>
          <w:sz w:val="28"/>
          <w:szCs w:val="28"/>
          <w:highlight w:val="none"/>
        </w:rPr>
        <w:t>依据：《</w:t>
      </w:r>
      <w:bookmarkStart w:id="970" w:name="OLE_LINK17"/>
      <w:bookmarkStart w:id="971" w:name="OLE_LINK18"/>
      <w:r>
        <w:rPr>
          <w:rFonts w:hint="eastAsia" w:ascii="仿宋_GB2312" w:eastAsia="仿宋_GB2312"/>
          <w:b/>
          <w:color w:val="auto"/>
          <w:sz w:val="28"/>
          <w:szCs w:val="28"/>
          <w:highlight w:val="none"/>
        </w:rPr>
        <w:t>建筑市场信用管理暂行办法</w:t>
      </w:r>
      <w:bookmarkEnd w:id="970"/>
      <w:bookmarkEnd w:id="971"/>
      <w:r>
        <w:rPr>
          <w:rFonts w:hint="eastAsia" w:ascii="仿宋_GB2312" w:eastAsia="仿宋_GB2312"/>
          <w:b/>
          <w:color w:val="auto"/>
          <w:sz w:val="28"/>
          <w:szCs w:val="28"/>
          <w:highlight w:val="none"/>
        </w:rPr>
        <w:t>》（建市〔2017〕241号）</w:t>
      </w:r>
    </w:p>
    <w:p w14:paraId="16A0B19B">
      <w:pPr>
        <w:adjustRightInd w:val="0"/>
        <w:snapToGrid w:val="0"/>
        <w:spacing w:line="560" w:lineRule="exact"/>
        <w:rPr>
          <w:rFonts w:ascii="仿宋_GB2312" w:hAnsi="宋体" w:eastAsia="仿宋_GB2312"/>
          <w:b/>
          <w:color w:val="auto"/>
          <w:sz w:val="28"/>
          <w:szCs w:val="28"/>
          <w:highlight w:val="none"/>
        </w:rPr>
      </w:pPr>
    </w:p>
    <w:p w14:paraId="2837E8F0">
      <w:pPr>
        <w:adjustRightInd w:val="0"/>
        <w:snapToGrid w:val="0"/>
        <w:spacing w:line="560" w:lineRule="exact"/>
        <w:ind w:firstLine="562" w:firstLineChars="200"/>
        <w:rPr>
          <w:rFonts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六、</w:t>
      </w:r>
      <w:bookmarkStart w:id="972" w:name="OLE_LINK20"/>
      <w:bookmarkStart w:id="973" w:name="OLE_LINK19"/>
      <w:r>
        <w:rPr>
          <w:rFonts w:hint="eastAsia" w:ascii="仿宋_GB2312" w:hAnsi="宋体" w:eastAsia="仿宋_GB2312"/>
          <w:b/>
          <w:color w:val="auto"/>
          <w:sz w:val="28"/>
          <w:szCs w:val="28"/>
          <w:highlight w:val="none"/>
        </w:rPr>
        <w:t>政府采购严重失信行为</w:t>
      </w:r>
      <w:bookmarkEnd w:id="972"/>
      <w:bookmarkEnd w:id="973"/>
    </w:p>
    <w:p w14:paraId="1FC2D737">
      <w:pPr>
        <w:adjustRightInd w:val="0"/>
        <w:snapToGrid w:val="0"/>
        <w:spacing w:line="560" w:lineRule="exact"/>
        <w:ind w:firstLine="615"/>
        <w:rPr>
          <w:rFonts w:ascii="仿宋_GB2312" w:eastAsia="仿宋_GB2312"/>
          <w:color w:val="auto"/>
          <w:sz w:val="28"/>
          <w:szCs w:val="28"/>
          <w:highlight w:val="none"/>
        </w:rPr>
      </w:pPr>
      <w:r>
        <w:rPr>
          <w:rFonts w:hint="eastAsia" w:ascii="仿宋_GB2312" w:eastAsia="仿宋_GB2312"/>
          <w:color w:val="auto"/>
          <w:sz w:val="28"/>
          <w:szCs w:val="28"/>
          <w:highlight w:val="none"/>
        </w:rPr>
        <w:t>供应商、采购代理机构在三年内受到财政部门作出下列情形之一的行政处罚，列入政府采购严重违法失信行为记录名单。</w:t>
      </w:r>
      <w:r>
        <w:rPr>
          <w:rFonts w:hint="eastAsia" w:ascii="仿宋_GB2312" w:eastAsia="仿宋_GB2312"/>
          <w:color w:val="auto"/>
          <w:sz w:val="28"/>
          <w:szCs w:val="28"/>
          <w:highlight w:val="none"/>
        </w:rPr>
        <w:br w:type="textWrapping"/>
      </w:r>
      <w:r>
        <w:rPr>
          <w:rFonts w:hint="eastAsia" w:ascii="仿宋_GB2312" w:eastAsia="仿宋_GB2312"/>
          <w:color w:val="auto"/>
          <w:sz w:val="28"/>
          <w:szCs w:val="28"/>
          <w:highlight w:val="none"/>
        </w:rPr>
        <w:t>　　（一）三万元以上罚款；</w:t>
      </w:r>
      <w:r>
        <w:rPr>
          <w:rFonts w:hint="eastAsia" w:ascii="仿宋_GB2312" w:eastAsia="仿宋_GB2312"/>
          <w:color w:val="auto"/>
          <w:sz w:val="28"/>
          <w:szCs w:val="28"/>
          <w:highlight w:val="none"/>
        </w:rPr>
        <w:br w:type="textWrapping"/>
      </w:r>
      <w:r>
        <w:rPr>
          <w:rFonts w:hint="eastAsia" w:ascii="仿宋_GB2312" w:eastAsia="仿宋_GB2312"/>
          <w:color w:val="auto"/>
          <w:sz w:val="28"/>
          <w:szCs w:val="28"/>
          <w:highlight w:val="none"/>
        </w:rPr>
        <w:t>　　（二）在一至三年内禁止参加政府采购活动（处罚期限届满的除外）；</w:t>
      </w:r>
      <w:r>
        <w:rPr>
          <w:rFonts w:hint="eastAsia" w:ascii="仿宋_GB2312" w:eastAsia="仿宋_GB2312"/>
          <w:color w:val="auto"/>
          <w:sz w:val="28"/>
          <w:szCs w:val="28"/>
          <w:highlight w:val="none"/>
        </w:rPr>
        <w:br w:type="textWrapping"/>
      </w:r>
      <w:r>
        <w:rPr>
          <w:rFonts w:hint="eastAsia" w:ascii="仿宋_GB2312" w:eastAsia="仿宋_GB2312"/>
          <w:color w:val="auto"/>
          <w:sz w:val="28"/>
          <w:szCs w:val="28"/>
          <w:highlight w:val="none"/>
        </w:rPr>
        <w:t>　　（三）在一至三年内禁止代理政府采购业务（处罚期限届满的除外）；</w:t>
      </w:r>
      <w:r>
        <w:rPr>
          <w:rFonts w:hint="eastAsia" w:ascii="仿宋_GB2312" w:eastAsia="仿宋_GB2312"/>
          <w:color w:val="auto"/>
          <w:sz w:val="28"/>
          <w:szCs w:val="28"/>
          <w:highlight w:val="none"/>
        </w:rPr>
        <w:br w:type="textWrapping"/>
      </w:r>
      <w:r>
        <w:rPr>
          <w:rFonts w:hint="eastAsia" w:ascii="仿宋_GB2312" w:hAnsi="宋体" w:eastAsia="仿宋_GB2312"/>
          <w:color w:val="auto"/>
          <w:sz w:val="28"/>
          <w:szCs w:val="28"/>
          <w:highlight w:val="none"/>
        </w:rPr>
        <w:t xml:space="preserve">　 </w:t>
      </w:r>
      <w:r>
        <w:rPr>
          <w:rFonts w:hint="eastAsia" w:ascii="仿宋_GB2312" w:eastAsia="仿宋_GB2312"/>
          <w:color w:val="auto"/>
          <w:sz w:val="28"/>
          <w:szCs w:val="28"/>
          <w:highlight w:val="none"/>
        </w:rPr>
        <w:t>（四）撤销政府采购代理机构资格（仅针对《政府采购法》第78条修改前作出的处罚决定）。</w:t>
      </w:r>
    </w:p>
    <w:p w14:paraId="5A2B39E0">
      <w:pPr>
        <w:adjustRightInd w:val="0"/>
        <w:snapToGrid w:val="0"/>
        <w:spacing w:line="560" w:lineRule="exact"/>
        <w:ind w:firstLine="562" w:firstLineChars="200"/>
        <w:jc w:val="left"/>
        <w:rPr>
          <w:rFonts w:ascii="仿宋_GB2312" w:eastAsia="仿宋_GB2312"/>
          <w:b/>
          <w:color w:val="auto"/>
          <w:sz w:val="28"/>
          <w:szCs w:val="28"/>
          <w:highlight w:val="none"/>
        </w:rPr>
      </w:pPr>
      <w:r>
        <w:rPr>
          <w:rFonts w:hint="eastAsia" w:ascii="仿宋_GB2312" w:eastAsia="仿宋_GB2312"/>
          <w:b/>
          <w:color w:val="auto"/>
          <w:sz w:val="28"/>
          <w:szCs w:val="28"/>
          <w:highlight w:val="none"/>
        </w:rPr>
        <w:t>依据：《关于报送政府采购严重违法失信行为信息记录的通知》</w:t>
      </w:r>
      <w:r>
        <w:rPr>
          <w:rFonts w:hint="eastAsia"/>
          <w:b/>
          <w:color w:val="auto"/>
          <w:sz w:val="28"/>
          <w:szCs w:val="28"/>
          <w:highlight w:val="none"/>
        </w:rPr>
        <w:t>（财办库〔</w:t>
      </w:r>
      <w:r>
        <w:rPr>
          <w:b/>
          <w:color w:val="auto"/>
          <w:sz w:val="28"/>
          <w:szCs w:val="28"/>
          <w:highlight w:val="none"/>
        </w:rPr>
        <w:t>2014</w:t>
      </w:r>
      <w:r>
        <w:rPr>
          <w:rFonts w:hint="eastAsia"/>
          <w:b/>
          <w:color w:val="auto"/>
          <w:sz w:val="28"/>
          <w:szCs w:val="28"/>
          <w:highlight w:val="none"/>
        </w:rPr>
        <w:t>〕</w:t>
      </w:r>
      <w:r>
        <w:rPr>
          <w:b/>
          <w:color w:val="auto"/>
          <w:sz w:val="28"/>
          <w:szCs w:val="28"/>
          <w:highlight w:val="none"/>
        </w:rPr>
        <w:t>526</w:t>
      </w:r>
      <w:r>
        <w:rPr>
          <w:rFonts w:hint="eastAsia"/>
          <w:b/>
          <w:color w:val="auto"/>
          <w:sz w:val="28"/>
          <w:szCs w:val="28"/>
          <w:highlight w:val="none"/>
        </w:rPr>
        <w:t>号）</w:t>
      </w:r>
    </w:p>
    <w:p w14:paraId="6459CECD">
      <w:pPr>
        <w:adjustRightInd w:val="0"/>
        <w:snapToGrid w:val="0"/>
        <w:spacing w:line="560" w:lineRule="exact"/>
        <w:ind w:firstLine="615"/>
        <w:rPr>
          <w:rFonts w:ascii="仿宋_GB2312" w:eastAsia="仿宋_GB2312"/>
          <w:b/>
          <w:color w:val="auto"/>
          <w:sz w:val="32"/>
          <w:szCs w:val="32"/>
          <w:highlight w:val="none"/>
        </w:rPr>
      </w:pPr>
      <w:r>
        <w:rPr>
          <w:rFonts w:hint="eastAsia" w:ascii="仿宋_GB2312" w:hAnsi="宋体" w:eastAsia="仿宋_GB2312"/>
          <w:b/>
          <w:color w:val="auto"/>
          <w:sz w:val="28"/>
          <w:szCs w:val="28"/>
          <w:highlight w:val="none"/>
        </w:rPr>
        <w:t>未列出的其他类别严重失信行为，由招标人（代理机构）根据各类别行业主管部门下发的联合惩戒文件进行判</w:t>
      </w:r>
      <w:r>
        <w:rPr>
          <w:rFonts w:hint="eastAsia" w:ascii="仿宋_GB2312" w:hAnsi="宋体" w:eastAsia="仿宋_GB2312"/>
          <w:b/>
          <w:color w:val="auto"/>
          <w:sz w:val="32"/>
          <w:szCs w:val="32"/>
          <w:highlight w:val="none"/>
        </w:rPr>
        <w:t>断。</w:t>
      </w:r>
    </w:p>
    <w:p w14:paraId="62A47599">
      <w:pPr>
        <w:rPr>
          <w:color w:val="auto"/>
          <w:highlight w:val="none"/>
        </w:rPr>
      </w:pPr>
    </w:p>
    <w:p w14:paraId="65348B2F">
      <w:pPr>
        <w:rPr>
          <w:color w:val="auto"/>
          <w:highlight w:val="none"/>
        </w:rPr>
      </w:pPr>
    </w:p>
    <w:p w14:paraId="275AE55C">
      <w:pPr>
        <w:rPr>
          <w:color w:val="auto"/>
          <w:highlight w:val="none"/>
        </w:rPr>
      </w:pPr>
    </w:p>
    <w:p w14:paraId="4B41AB89">
      <w:pPr>
        <w:pStyle w:val="42"/>
        <w:spacing w:beforeLines="50" w:afterLines="50" w:line="440" w:lineRule="exact"/>
        <w:rPr>
          <w:rFonts w:hint="eastAsia"/>
          <w:bCs/>
          <w:color w:val="auto"/>
          <w:szCs w:val="32"/>
          <w:highlight w:val="none"/>
        </w:rPr>
      </w:pPr>
    </w:p>
    <w:p w14:paraId="4B2C0707">
      <w:pPr>
        <w:pStyle w:val="42"/>
        <w:spacing w:beforeLines="50" w:afterLines="50" w:line="440" w:lineRule="exact"/>
        <w:rPr>
          <w:rFonts w:hint="eastAsia"/>
          <w:bCs/>
          <w:color w:val="auto"/>
          <w:szCs w:val="32"/>
          <w:highlight w:val="none"/>
        </w:rPr>
      </w:pPr>
    </w:p>
    <w:p w14:paraId="06718831">
      <w:pPr>
        <w:pStyle w:val="42"/>
        <w:spacing w:beforeLines="50" w:afterLines="50" w:line="440" w:lineRule="exact"/>
        <w:rPr>
          <w:rFonts w:hint="eastAsia"/>
          <w:bCs/>
          <w:color w:val="auto"/>
          <w:szCs w:val="32"/>
          <w:highlight w:val="none"/>
        </w:rPr>
      </w:pPr>
    </w:p>
    <w:p w14:paraId="7FBAB4CB">
      <w:pPr>
        <w:pStyle w:val="42"/>
        <w:spacing w:beforeLines="50" w:afterLines="50" w:line="440" w:lineRule="exact"/>
        <w:rPr>
          <w:rFonts w:hint="eastAsia"/>
          <w:bCs/>
          <w:color w:val="auto"/>
          <w:szCs w:val="32"/>
          <w:highlight w:val="none"/>
        </w:rPr>
      </w:pPr>
    </w:p>
    <w:p w14:paraId="71377E60">
      <w:pPr>
        <w:pStyle w:val="42"/>
        <w:spacing w:beforeLines="50" w:afterLines="50" w:line="440" w:lineRule="exact"/>
        <w:rPr>
          <w:rFonts w:hint="eastAsia"/>
          <w:bCs/>
          <w:color w:val="auto"/>
          <w:szCs w:val="32"/>
          <w:highlight w:val="none"/>
        </w:rPr>
      </w:pPr>
    </w:p>
    <w:p w14:paraId="63DF8E66">
      <w:pPr>
        <w:pStyle w:val="42"/>
        <w:spacing w:beforeLines="50" w:afterLines="50" w:line="440" w:lineRule="exact"/>
        <w:rPr>
          <w:rFonts w:hint="eastAsia"/>
          <w:bCs/>
          <w:color w:val="auto"/>
          <w:szCs w:val="32"/>
          <w:highlight w:val="none"/>
        </w:rPr>
      </w:pPr>
    </w:p>
    <w:p w14:paraId="26D2A5DE">
      <w:pPr>
        <w:pStyle w:val="42"/>
        <w:spacing w:beforeLines="50" w:afterLines="50" w:line="440" w:lineRule="exact"/>
        <w:rPr>
          <w:rFonts w:hint="eastAsia"/>
          <w:bCs/>
          <w:color w:val="auto"/>
          <w:szCs w:val="32"/>
          <w:highlight w:val="none"/>
        </w:rPr>
      </w:pPr>
    </w:p>
    <w:p w14:paraId="622936C2">
      <w:pPr>
        <w:pStyle w:val="42"/>
        <w:spacing w:beforeLines="50" w:afterLines="50" w:line="440" w:lineRule="exact"/>
        <w:rPr>
          <w:rFonts w:hint="eastAsia"/>
          <w:bCs/>
          <w:color w:val="auto"/>
          <w:szCs w:val="32"/>
          <w:highlight w:val="none"/>
        </w:rPr>
      </w:pPr>
    </w:p>
    <w:p w14:paraId="6108220E">
      <w:pPr>
        <w:pStyle w:val="42"/>
        <w:spacing w:beforeLines="50" w:afterLines="50" w:line="440" w:lineRule="exact"/>
        <w:rPr>
          <w:rFonts w:hint="eastAsia"/>
          <w:bCs/>
          <w:color w:val="auto"/>
          <w:szCs w:val="32"/>
          <w:highlight w:val="none"/>
        </w:rPr>
      </w:pPr>
    </w:p>
    <w:p w14:paraId="1C1FA6AD">
      <w:pPr>
        <w:pStyle w:val="42"/>
        <w:spacing w:beforeLines="50" w:afterLines="50" w:line="440" w:lineRule="exact"/>
        <w:rPr>
          <w:rFonts w:hint="eastAsia"/>
          <w:bCs/>
          <w:color w:val="auto"/>
          <w:szCs w:val="32"/>
          <w:highlight w:val="none"/>
        </w:rPr>
      </w:pPr>
    </w:p>
    <w:p w14:paraId="57423BF7">
      <w:pPr>
        <w:pStyle w:val="42"/>
        <w:spacing w:beforeLines="50" w:afterLines="50" w:line="440" w:lineRule="exact"/>
        <w:rPr>
          <w:rFonts w:hint="eastAsia"/>
          <w:bCs/>
          <w:color w:val="auto"/>
          <w:szCs w:val="32"/>
          <w:highlight w:val="none"/>
        </w:rPr>
      </w:pPr>
    </w:p>
    <w:p w14:paraId="62E22EA8">
      <w:pPr>
        <w:pStyle w:val="42"/>
        <w:spacing w:beforeLines="50" w:afterLines="50" w:line="440" w:lineRule="exact"/>
        <w:rPr>
          <w:rFonts w:hint="eastAsia"/>
          <w:bCs/>
          <w:color w:val="auto"/>
          <w:szCs w:val="32"/>
          <w:highlight w:val="none"/>
        </w:rPr>
      </w:pPr>
    </w:p>
    <w:p w14:paraId="4E46B88C">
      <w:pPr>
        <w:pStyle w:val="42"/>
        <w:spacing w:beforeLines="50" w:afterLines="50" w:line="440" w:lineRule="exact"/>
        <w:rPr>
          <w:rFonts w:hint="eastAsia"/>
          <w:bCs/>
          <w:color w:val="auto"/>
          <w:szCs w:val="32"/>
          <w:highlight w:val="none"/>
        </w:rPr>
      </w:pPr>
    </w:p>
    <w:p w14:paraId="0FFF6323">
      <w:pPr>
        <w:pStyle w:val="42"/>
        <w:spacing w:beforeLines="50" w:afterLines="50" w:line="440" w:lineRule="exact"/>
        <w:rPr>
          <w:rFonts w:hint="eastAsia"/>
          <w:bCs/>
          <w:color w:val="auto"/>
          <w:szCs w:val="32"/>
          <w:highlight w:val="none"/>
        </w:rPr>
      </w:pPr>
    </w:p>
    <w:p w14:paraId="4A5B6A4A">
      <w:pPr>
        <w:pStyle w:val="42"/>
        <w:spacing w:beforeLines="50" w:afterLines="50" w:line="440" w:lineRule="exact"/>
        <w:rPr>
          <w:rFonts w:hint="eastAsia"/>
          <w:bCs/>
          <w:color w:val="auto"/>
          <w:szCs w:val="32"/>
          <w:highlight w:val="none"/>
        </w:rPr>
      </w:pPr>
    </w:p>
    <w:p w14:paraId="6244AC76">
      <w:pPr>
        <w:pStyle w:val="42"/>
        <w:spacing w:beforeLines="50" w:afterLines="50" w:line="440" w:lineRule="exact"/>
        <w:rPr>
          <w:rFonts w:hint="eastAsia"/>
          <w:bCs/>
          <w:color w:val="auto"/>
          <w:szCs w:val="32"/>
          <w:highlight w:val="none"/>
        </w:rPr>
      </w:pPr>
    </w:p>
    <w:p w14:paraId="0B0AEAA1">
      <w:pPr>
        <w:pStyle w:val="42"/>
        <w:spacing w:beforeLines="50" w:afterLines="50" w:line="440" w:lineRule="exact"/>
        <w:rPr>
          <w:rFonts w:hint="eastAsia"/>
          <w:bCs/>
          <w:color w:val="auto"/>
          <w:szCs w:val="32"/>
          <w:highlight w:val="none"/>
        </w:rPr>
      </w:pPr>
    </w:p>
    <w:p w14:paraId="519B45A7">
      <w:pPr>
        <w:pStyle w:val="42"/>
        <w:spacing w:beforeLines="50" w:afterLines="50" w:line="440" w:lineRule="exact"/>
        <w:rPr>
          <w:bCs/>
          <w:color w:val="auto"/>
          <w:szCs w:val="32"/>
          <w:highlight w:val="none"/>
        </w:rPr>
      </w:pPr>
      <w:r>
        <w:rPr>
          <w:rFonts w:hint="eastAsia"/>
          <w:bCs/>
          <w:color w:val="auto"/>
          <w:szCs w:val="32"/>
          <w:highlight w:val="none"/>
        </w:rPr>
        <w:t>第七章  招标单位、招标代理机构对本招标文件的确认</w:t>
      </w:r>
    </w:p>
    <w:p w14:paraId="748EC554">
      <w:pPr>
        <w:pStyle w:val="17"/>
        <w:rPr>
          <w:color w:val="auto"/>
          <w:highlight w:val="none"/>
        </w:rPr>
      </w:pPr>
    </w:p>
    <w:tbl>
      <w:tblPr>
        <w:tblStyle w:val="46"/>
        <w:tblW w:w="95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0"/>
      </w:tblGrid>
      <w:tr w14:paraId="2C6E5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9" w:hRule="atLeast"/>
          <w:jc w:val="center"/>
        </w:trPr>
        <w:tc>
          <w:tcPr>
            <w:tcW w:w="9580" w:type="dxa"/>
            <w:noWrap/>
          </w:tcPr>
          <w:p w14:paraId="2036DDD4">
            <w:pPr>
              <w:wordWrap w:val="0"/>
              <w:adjustRightInd w:val="0"/>
              <w:snapToGrid w:val="0"/>
              <w:spacing w:line="560" w:lineRule="exact"/>
              <w:rPr>
                <w:color w:val="auto"/>
                <w:sz w:val="30"/>
                <w:highlight w:val="none"/>
              </w:rPr>
            </w:pPr>
          </w:p>
          <w:p w14:paraId="7B5D47E8">
            <w:pPr>
              <w:spacing w:line="560" w:lineRule="exact"/>
              <w:ind w:firstLine="560" w:firstLineChars="200"/>
              <w:rPr>
                <w:color w:val="auto"/>
                <w:sz w:val="28"/>
                <w:szCs w:val="28"/>
                <w:highlight w:val="none"/>
              </w:rPr>
            </w:pPr>
            <w:r>
              <w:rPr>
                <w:rFonts w:hint="eastAsia"/>
                <w:color w:val="auto"/>
                <w:sz w:val="28"/>
                <w:szCs w:val="28"/>
                <w:highlight w:val="none"/>
              </w:rPr>
              <w:t>我单位对</w:t>
            </w:r>
            <w:r>
              <w:rPr>
                <w:rFonts w:hint="eastAsia"/>
                <w:color w:val="auto"/>
                <w:sz w:val="28"/>
                <w:szCs w:val="28"/>
                <w:highlight w:val="none"/>
                <w:u w:val="single"/>
              </w:rPr>
              <w:t xml:space="preserve"> </w:t>
            </w:r>
            <w:r>
              <w:rPr>
                <w:rFonts w:hint="eastAsia"/>
                <w:color w:val="auto"/>
                <w:sz w:val="28"/>
                <w:szCs w:val="28"/>
                <w:highlight w:val="none"/>
                <w:u w:val="single"/>
                <w:lang w:eastAsia="zh-CN"/>
              </w:rPr>
              <w:t>城北工业园公交首末站630kVA箱变（含北湖维修）维修项目</w:t>
            </w:r>
            <w:r>
              <w:rPr>
                <w:rFonts w:hint="eastAsia"/>
                <w:color w:val="auto"/>
                <w:sz w:val="28"/>
                <w:szCs w:val="28"/>
                <w:highlight w:val="none"/>
                <w:u w:val="single"/>
              </w:rPr>
              <w:t xml:space="preserve"> </w:t>
            </w:r>
            <w:r>
              <w:rPr>
                <w:rFonts w:hint="eastAsia"/>
                <w:color w:val="auto"/>
                <w:sz w:val="28"/>
                <w:szCs w:val="28"/>
                <w:highlight w:val="none"/>
              </w:rPr>
              <w:t>的招标文件进行确认。</w:t>
            </w:r>
          </w:p>
          <w:p w14:paraId="501A43F2">
            <w:pPr>
              <w:spacing w:line="560" w:lineRule="exact"/>
              <w:ind w:firstLine="560" w:firstLineChars="200"/>
              <w:rPr>
                <w:rFonts w:ascii="宋体" w:hAnsi="宋体"/>
                <w:color w:val="auto"/>
                <w:sz w:val="28"/>
                <w:szCs w:val="28"/>
                <w:highlight w:val="none"/>
              </w:rPr>
            </w:pPr>
            <w:r>
              <w:rPr>
                <w:rFonts w:hint="eastAsia" w:ascii="宋体" w:hAnsi="宋体"/>
                <w:color w:val="auto"/>
                <w:sz w:val="28"/>
                <w:szCs w:val="28"/>
                <w:highlight w:val="none"/>
              </w:rPr>
              <w:t>招标人：</w:t>
            </w:r>
            <w:r>
              <w:rPr>
                <w:rFonts w:hint="eastAsia" w:ascii="宋体" w:hAnsi="宋体"/>
                <w:color w:val="auto"/>
                <w:sz w:val="28"/>
                <w:szCs w:val="28"/>
                <w:highlight w:val="none"/>
                <w:lang w:eastAsia="zh-CN"/>
              </w:rPr>
              <w:t>滁州市公共交通有限公司</w:t>
            </w:r>
            <w:r>
              <w:rPr>
                <w:rFonts w:hint="eastAsia" w:ascii="宋体" w:hAnsi="宋体"/>
                <w:color w:val="auto"/>
                <w:sz w:val="28"/>
                <w:szCs w:val="28"/>
                <w:highlight w:val="none"/>
              </w:rPr>
              <w:t xml:space="preserve"> </w:t>
            </w:r>
          </w:p>
          <w:p w14:paraId="0BFCAFB2">
            <w:pPr>
              <w:spacing w:line="560" w:lineRule="exact"/>
              <w:ind w:firstLine="560" w:firstLineChars="200"/>
              <w:rPr>
                <w:rFonts w:ascii="宋体" w:hAnsi="宋体"/>
                <w:color w:val="auto"/>
                <w:sz w:val="28"/>
                <w:szCs w:val="28"/>
                <w:highlight w:val="none"/>
              </w:rPr>
            </w:pPr>
            <w:r>
              <w:rPr>
                <w:rFonts w:hint="eastAsia" w:ascii="宋体" w:hAnsi="宋体"/>
                <w:color w:val="auto"/>
                <w:sz w:val="28"/>
                <w:szCs w:val="28"/>
                <w:highlight w:val="none"/>
              </w:rPr>
              <w:t>联 系 人：</w:t>
            </w:r>
            <w:r>
              <w:rPr>
                <w:rFonts w:hint="eastAsia" w:ascii="宋体" w:hAnsi="宋体"/>
                <w:color w:val="auto"/>
                <w:sz w:val="28"/>
                <w:szCs w:val="28"/>
                <w:highlight w:val="none"/>
                <w:lang w:eastAsia="zh-CN"/>
              </w:rPr>
              <w:t>安孝武</w:t>
            </w:r>
            <w:r>
              <w:rPr>
                <w:rFonts w:hint="eastAsia" w:ascii="宋体" w:hAnsi="宋体" w:cs="宋体"/>
                <w:color w:val="auto"/>
                <w:sz w:val="28"/>
                <w:szCs w:val="28"/>
                <w:highlight w:val="none"/>
              </w:rPr>
              <w:t xml:space="preserve"> </w:t>
            </w:r>
          </w:p>
          <w:p w14:paraId="212E41F0">
            <w:pPr>
              <w:spacing w:line="560" w:lineRule="exact"/>
              <w:ind w:firstLine="560" w:firstLineChars="200"/>
              <w:rPr>
                <w:rFonts w:ascii="宋体" w:hAnsi="宋体" w:cs="宋体"/>
                <w:color w:val="auto"/>
                <w:sz w:val="28"/>
                <w:szCs w:val="28"/>
                <w:highlight w:val="none"/>
              </w:rPr>
            </w:pPr>
            <w:r>
              <w:rPr>
                <w:rFonts w:hint="eastAsia" w:ascii="宋体" w:hAnsi="宋体"/>
                <w:color w:val="auto"/>
                <w:sz w:val="28"/>
                <w:szCs w:val="28"/>
                <w:highlight w:val="none"/>
              </w:rPr>
              <w:t>联系电话：</w:t>
            </w:r>
            <w:r>
              <w:rPr>
                <w:rFonts w:hint="eastAsia" w:ascii="宋体" w:hAnsi="宋体"/>
                <w:color w:val="auto"/>
                <w:sz w:val="28"/>
                <w:szCs w:val="28"/>
                <w:highlight w:val="none"/>
                <w:lang w:eastAsia="zh-CN"/>
              </w:rPr>
              <w:t>18365290581</w:t>
            </w:r>
            <w:r>
              <w:rPr>
                <w:rFonts w:hint="eastAsia" w:ascii="宋体" w:hAnsi="宋体" w:cs="宋体"/>
                <w:color w:val="auto"/>
                <w:sz w:val="28"/>
                <w:szCs w:val="28"/>
                <w:highlight w:val="none"/>
              </w:rPr>
              <w:t xml:space="preserve"> </w:t>
            </w:r>
          </w:p>
          <w:p w14:paraId="609C78C4">
            <w:pPr>
              <w:wordWrap w:val="0"/>
              <w:spacing w:line="560" w:lineRule="exact"/>
              <w:ind w:firstLine="560" w:firstLineChars="200"/>
              <w:rPr>
                <w:rFonts w:ascii="宋体" w:hAnsi="宋体"/>
                <w:color w:val="auto"/>
                <w:sz w:val="28"/>
                <w:szCs w:val="28"/>
                <w:highlight w:val="none"/>
              </w:rPr>
            </w:pPr>
            <w:r>
              <w:rPr>
                <w:rFonts w:hint="eastAsia" w:ascii="宋体" w:hAnsi="宋体"/>
                <w:color w:val="auto"/>
                <w:sz w:val="28"/>
                <w:szCs w:val="28"/>
                <w:highlight w:val="none"/>
              </w:rPr>
              <w:t xml:space="preserve">        </w:t>
            </w:r>
          </w:p>
          <w:p w14:paraId="38B4244E">
            <w:pPr>
              <w:wordWrap w:val="0"/>
              <w:spacing w:line="560" w:lineRule="exact"/>
              <w:ind w:firstLine="560" w:firstLineChars="200"/>
              <w:rPr>
                <w:rFonts w:ascii="宋体" w:hAnsi="宋体"/>
                <w:color w:val="auto"/>
                <w:sz w:val="28"/>
                <w:szCs w:val="28"/>
                <w:highlight w:val="none"/>
              </w:rPr>
            </w:pPr>
          </w:p>
          <w:p w14:paraId="6BF4E4A9">
            <w:pPr>
              <w:wordWrap w:val="0"/>
              <w:spacing w:line="560" w:lineRule="exact"/>
              <w:ind w:firstLine="560" w:firstLineChars="200"/>
              <w:rPr>
                <w:rFonts w:ascii="宋体" w:hAnsi="宋体"/>
                <w:color w:val="auto"/>
                <w:sz w:val="28"/>
                <w:szCs w:val="28"/>
                <w:highlight w:val="none"/>
              </w:rPr>
            </w:pPr>
          </w:p>
          <w:p w14:paraId="0227BD5B">
            <w:pPr>
              <w:wordWrap w:val="0"/>
              <w:spacing w:line="560" w:lineRule="exact"/>
              <w:ind w:firstLine="5740" w:firstLineChars="2050"/>
              <w:rPr>
                <w:rFonts w:ascii="宋体" w:hAnsi="宋体"/>
                <w:color w:val="auto"/>
                <w:sz w:val="28"/>
                <w:szCs w:val="28"/>
                <w:highlight w:val="none"/>
              </w:rPr>
            </w:pPr>
            <w:r>
              <w:rPr>
                <w:rFonts w:hint="eastAsia" w:ascii="宋体" w:hAnsi="宋体"/>
                <w:color w:val="auto"/>
                <w:sz w:val="28"/>
                <w:szCs w:val="28"/>
                <w:highlight w:val="none"/>
              </w:rPr>
              <w:t>（单位盖章）</w:t>
            </w:r>
          </w:p>
          <w:p w14:paraId="4ACBD9D4">
            <w:pPr>
              <w:spacing w:line="560" w:lineRule="exact"/>
              <w:ind w:firstLine="5880" w:firstLineChars="2100"/>
              <w:rPr>
                <w:rFonts w:ascii="宋体" w:hAnsi="宋体"/>
                <w:color w:val="auto"/>
                <w:sz w:val="28"/>
                <w:szCs w:val="28"/>
                <w:highlight w:val="none"/>
              </w:rPr>
            </w:pPr>
            <w:r>
              <w:rPr>
                <w:rFonts w:hint="eastAsia" w:ascii="宋体" w:hAnsi="宋体"/>
                <w:color w:val="auto"/>
                <w:sz w:val="28"/>
                <w:szCs w:val="28"/>
                <w:highlight w:val="none"/>
              </w:rPr>
              <w:t>202</w:t>
            </w:r>
            <w:r>
              <w:rPr>
                <w:rFonts w:hint="eastAsia" w:ascii="宋体" w:hAnsi="宋体"/>
                <w:color w:val="auto"/>
                <w:sz w:val="28"/>
                <w:szCs w:val="28"/>
                <w:highlight w:val="none"/>
                <w:lang w:val="en-US" w:eastAsia="zh-CN"/>
              </w:rPr>
              <w:t>6</w:t>
            </w:r>
            <w:r>
              <w:rPr>
                <w:rFonts w:hint="eastAsia" w:ascii="宋体" w:hAnsi="宋体"/>
                <w:color w:val="auto"/>
                <w:sz w:val="28"/>
                <w:szCs w:val="28"/>
                <w:highlight w:val="none"/>
              </w:rPr>
              <w:t>年</w:t>
            </w:r>
            <w:r>
              <w:rPr>
                <w:rFonts w:hint="eastAsia" w:ascii="宋体" w:hAnsi="宋体"/>
                <w:color w:val="auto"/>
                <w:sz w:val="28"/>
                <w:szCs w:val="28"/>
                <w:highlight w:val="none"/>
                <w:lang w:val="en-US" w:eastAsia="zh-CN"/>
              </w:rPr>
              <w:t>6</w:t>
            </w:r>
            <w:r>
              <w:rPr>
                <w:rFonts w:hint="eastAsia" w:ascii="宋体" w:hAnsi="宋体"/>
                <w:color w:val="auto"/>
                <w:sz w:val="28"/>
                <w:szCs w:val="28"/>
                <w:highlight w:val="none"/>
              </w:rPr>
              <w:t>月</w:t>
            </w:r>
          </w:p>
          <w:p w14:paraId="67D0A47A">
            <w:pPr>
              <w:pStyle w:val="45"/>
              <w:ind w:firstLine="420"/>
              <w:rPr>
                <w:color w:val="auto"/>
                <w:highlight w:val="none"/>
              </w:rPr>
            </w:pPr>
          </w:p>
        </w:tc>
      </w:tr>
      <w:tr w14:paraId="01DC3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6" w:hRule="atLeast"/>
          <w:jc w:val="center"/>
        </w:trPr>
        <w:tc>
          <w:tcPr>
            <w:tcW w:w="9580" w:type="dxa"/>
            <w:noWrap/>
          </w:tcPr>
          <w:p w14:paraId="199F5E64">
            <w:pPr>
              <w:spacing w:line="560" w:lineRule="exact"/>
              <w:ind w:firstLine="560" w:firstLineChars="200"/>
              <w:rPr>
                <w:rFonts w:ascii="宋体" w:hAnsi="宋体" w:cs="宋体"/>
                <w:color w:val="auto"/>
                <w:sz w:val="28"/>
                <w:szCs w:val="28"/>
                <w:highlight w:val="none"/>
              </w:rPr>
            </w:pPr>
          </w:p>
          <w:p w14:paraId="5E9B7037">
            <w:pPr>
              <w:spacing w:line="560" w:lineRule="exact"/>
              <w:ind w:firstLine="560" w:firstLineChars="200"/>
              <w:rPr>
                <w:rFonts w:ascii="宋体" w:hAnsi="宋体" w:cs="宋体"/>
                <w:color w:val="auto"/>
                <w:sz w:val="28"/>
                <w:szCs w:val="28"/>
                <w:highlight w:val="none"/>
                <w:u w:val="single"/>
              </w:rPr>
            </w:pPr>
            <w:r>
              <w:rPr>
                <w:rFonts w:hint="eastAsia" w:ascii="宋体" w:hAnsi="宋体" w:cs="宋体"/>
                <w:color w:val="auto"/>
                <w:sz w:val="28"/>
                <w:szCs w:val="28"/>
                <w:highlight w:val="none"/>
              </w:rPr>
              <w:t>招标代理机构：</w:t>
            </w:r>
            <w:r>
              <w:rPr>
                <w:rFonts w:hint="eastAsia"/>
                <w:color w:val="auto"/>
                <w:sz w:val="28"/>
                <w:szCs w:val="28"/>
                <w:highlight w:val="none"/>
              </w:rPr>
              <w:t>滁州市城投工程咨询管理有限公司</w:t>
            </w:r>
          </w:p>
          <w:p w14:paraId="2BE91BF6">
            <w:pPr>
              <w:spacing w:line="560" w:lineRule="exact"/>
              <w:ind w:firstLine="560" w:firstLineChars="200"/>
              <w:rPr>
                <w:rFonts w:hint="eastAsia" w:ascii="宋体" w:hAnsi="宋体" w:eastAsia="宋体" w:cs="宋体"/>
                <w:color w:val="auto"/>
                <w:sz w:val="28"/>
                <w:szCs w:val="28"/>
                <w:highlight w:val="none"/>
                <w:lang w:eastAsia="zh-CN"/>
              </w:rPr>
            </w:pPr>
            <w:r>
              <w:rPr>
                <w:rFonts w:hint="eastAsia" w:ascii="宋体" w:hAnsi="宋体" w:cs="宋体"/>
                <w:color w:val="auto"/>
                <w:sz w:val="28"/>
                <w:szCs w:val="28"/>
                <w:highlight w:val="none"/>
              </w:rPr>
              <w:t>联 系 人：</w:t>
            </w:r>
            <w:r>
              <w:rPr>
                <w:rFonts w:hint="eastAsia" w:ascii="宋体" w:hAnsi="宋体" w:cs="宋体"/>
                <w:color w:val="auto"/>
                <w:sz w:val="28"/>
                <w:szCs w:val="28"/>
                <w:highlight w:val="none"/>
                <w:lang w:eastAsia="zh-CN"/>
              </w:rPr>
              <w:t>周晓培</w:t>
            </w:r>
          </w:p>
          <w:p w14:paraId="18819B70">
            <w:pPr>
              <w:spacing w:line="560" w:lineRule="exact"/>
              <w:ind w:firstLine="560" w:firstLineChars="200"/>
              <w:rPr>
                <w:rFonts w:hint="eastAsia" w:ascii="宋体" w:hAnsi="宋体" w:eastAsia="宋体" w:cs="宋体"/>
                <w:color w:val="auto"/>
                <w:sz w:val="28"/>
                <w:szCs w:val="28"/>
                <w:highlight w:val="none"/>
                <w:lang w:eastAsia="zh-CN"/>
              </w:rPr>
            </w:pPr>
            <w:r>
              <w:rPr>
                <w:rFonts w:hint="eastAsia" w:ascii="宋体" w:hAnsi="宋体" w:cs="宋体"/>
                <w:color w:val="auto"/>
                <w:sz w:val="28"/>
                <w:szCs w:val="28"/>
                <w:highlight w:val="none"/>
              </w:rPr>
              <w:t>联系方式：</w:t>
            </w:r>
            <w:r>
              <w:rPr>
                <w:rFonts w:hint="eastAsia" w:ascii="宋体" w:hAnsi="宋体" w:cs="宋体"/>
                <w:color w:val="auto"/>
                <w:sz w:val="28"/>
                <w:szCs w:val="28"/>
                <w:highlight w:val="none"/>
                <w:lang w:eastAsia="zh-CN"/>
              </w:rPr>
              <w:t>0550-3519512</w:t>
            </w:r>
            <w:r>
              <w:rPr>
                <w:rFonts w:hint="eastAsia" w:ascii="宋体" w:hAnsi="宋体" w:cs="宋体"/>
                <w:color w:val="auto"/>
                <w:sz w:val="28"/>
                <w:szCs w:val="28"/>
                <w:highlight w:val="none"/>
              </w:rPr>
              <w:t>、</w:t>
            </w:r>
            <w:r>
              <w:rPr>
                <w:rFonts w:hint="eastAsia" w:ascii="宋体" w:hAnsi="宋体" w:cs="宋体"/>
                <w:color w:val="auto"/>
                <w:sz w:val="28"/>
                <w:szCs w:val="28"/>
                <w:highlight w:val="none"/>
                <w:lang w:eastAsia="zh-CN"/>
              </w:rPr>
              <w:t>18255055896</w:t>
            </w:r>
          </w:p>
          <w:p w14:paraId="1855F930">
            <w:pPr>
              <w:spacing w:line="560" w:lineRule="exact"/>
              <w:ind w:firstLine="5040" w:firstLineChars="1800"/>
              <w:rPr>
                <w:rFonts w:ascii="宋体" w:hAnsi="宋体" w:cs="宋体"/>
                <w:color w:val="auto"/>
                <w:sz w:val="28"/>
                <w:szCs w:val="28"/>
                <w:highlight w:val="none"/>
              </w:rPr>
            </w:pPr>
          </w:p>
          <w:p w14:paraId="3185935B">
            <w:pPr>
              <w:spacing w:line="560" w:lineRule="exact"/>
              <w:ind w:firstLine="5460" w:firstLineChars="1950"/>
              <w:rPr>
                <w:rFonts w:ascii="宋体" w:hAnsi="宋体" w:cs="宋体"/>
                <w:color w:val="auto"/>
                <w:sz w:val="28"/>
                <w:szCs w:val="28"/>
                <w:highlight w:val="none"/>
              </w:rPr>
            </w:pPr>
          </w:p>
          <w:p w14:paraId="5E0262E6">
            <w:pPr>
              <w:spacing w:line="560" w:lineRule="exact"/>
              <w:ind w:firstLine="5880" w:firstLineChars="2100"/>
              <w:rPr>
                <w:rFonts w:ascii="宋体" w:hAnsi="宋体" w:cs="宋体"/>
                <w:color w:val="auto"/>
                <w:sz w:val="28"/>
                <w:szCs w:val="28"/>
                <w:highlight w:val="none"/>
              </w:rPr>
            </w:pPr>
            <w:r>
              <w:rPr>
                <w:rFonts w:hint="eastAsia" w:ascii="宋体" w:hAnsi="宋体" w:cs="宋体"/>
                <w:color w:val="auto"/>
                <w:sz w:val="28"/>
                <w:szCs w:val="28"/>
                <w:highlight w:val="none"/>
              </w:rPr>
              <w:t>（单位盖章）</w:t>
            </w:r>
          </w:p>
          <w:p w14:paraId="66D82031">
            <w:pPr>
              <w:spacing w:line="560" w:lineRule="exact"/>
              <w:ind w:firstLine="6020" w:firstLineChars="2150"/>
              <w:rPr>
                <w:rFonts w:ascii="宋体" w:hAnsi="宋体"/>
                <w:color w:val="auto"/>
                <w:sz w:val="28"/>
                <w:szCs w:val="28"/>
                <w:highlight w:val="none"/>
              </w:rPr>
            </w:pPr>
            <w:r>
              <w:rPr>
                <w:rFonts w:hint="eastAsia" w:ascii="宋体" w:hAnsi="宋体"/>
                <w:color w:val="auto"/>
                <w:sz w:val="28"/>
                <w:szCs w:val="28"/>
                <w:highlight w:val="none"/>
              </w:rPr>
              <w:t>202</w:t>
            </w:r>
            <w:r>
              <w:rPr>
                <w:rFonts w:hint="eastAsia" w:ascii="宋体" w:hAnsi="宋体"/>
                <w:color w:val="auto"/>
                <w:sz w:val="28"/>
                <w:szCs w:val="28"/>
                <w:highlight w:val="none"/>
                <w:lang w:val="en-US" w:eastAsia="zh-CN"/>
              </w:rPr>
              <w:t>6</w:t>
            </w:r>
            <w:r>
              <w:rPr>
                <w:rFonts w:hint="eastAsia" w:ascii="宋体" w:hAnsi="宋体"/>
                <w:color w:val="auto"/>
                <w:sz w:val="28"/>
                <w:szCs w:val="28"/>
                <w:highlight w:val="none"/>
              </w:rPr>
              <w:t>年</w:t>
            </w:r>
            <w:r>
              <w:rPr>
                <w:rFonts w:hint="eastAsia" w:ascii="宋体" w:hAnsi="宋体"/>
                <w:color w:val="auto"/>
                <w:sz w:val="28"/>
                <w:szCs w:val="28"/>
                <w:highlight w:val="none"/>
                <w:lang w:val="en-US" w:eastAsia="zh-CN"/>
              </w:rPr>
              <w:t>6</w:t>
            </w:r>
            <w:r>
              <w:rPr>
                <w:rFonts w:hint="eastAsia" w:ascii="宋体" w:hAnsi="宋体"/>
                <w:color w:val="auto"/>
                <w:sz w:val="28"/>
                <w:szCs w:val="28"/>
                <w:highlight w:val="none"/>
              </w:rPr>
              <w:t>月</w:t>
            </w:r>
          </w:p>
          <w:p w14:paraId="2EC94C8C">
            <w:pPr>
              <w:pStyle w:val="45"/>
              <w:ind w:firstLine="420"/>
              <w:rPr>
                <w:color w:val="auto"/>
                <w:highlight w:val="none"/>
              </w:rPr>
            </w:pPr>
          </w:p>
        </w:tc>
      </w:tr>
    </w:tbl>
    <w:p w14:paraId="0BEEFBBF">
      <w:pPr>
        <w:rPr>
          <w:color w:val="auto"/>
          <w:highlight w:val="none"/>
        </w:rPr>
      </w:pPr>
    </w:p>
    <w:sectPr>
      <w:headerReference r:id="rId10" w:type="default"/>
      <w:footerReference r:id="rId11" w:type="default"/>
      <w:pgSz w:w="11906" w:h="16838"/>
      <w:pgMar w:top="1134" w:right="1417" w:bottom="1134" w:left="141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D61B7B">
    <w:pPr>
      <w:pStyle w:val="29"/>
      <w:rPr>
        <w:rStyle w:val="50"/>
      </w:rPr>
    </w:pPr>
  </w:p>
  <w:p w14:paraId="4CE5B1C6">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3B569B">
    <w:pPr>
      <w:snapToGrid w:val="0"/>
      <w:jc w:val="left"/>
      <w:rPr>
        <w:sz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3AF49E">
                          <w:pPr>
                            <w:pStyle w:val="2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03AF49E">
                    <w:pPr>
                      <w:pStyle w:val="2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149879">
    <w:pPr>
      <w:spacing w:line="219" w:lineRule="auto"/>
      <w:ind w:left="4189"/>
      <w:rPr>
        <w:rFonts w:ascii="宋体" w:hAnsi="宋体" w:cs="宋体"/>
        <w:sz w:val="18"/>
        <w:szCs w:val="18"/>
        <w:highlight w:val="yellow"/>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E38542">
                          <w:pPr>
                            <w:pStyle w:val="29"/>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5E38542">
                    <w:pPr>
                      <w:pStyle w:val="29"/>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FED464">
    <w:pPr>
      <w:spacing w:line="219" w:lineRule="auto"/>
      <w:ind w:left="4189"/>
      <w:rPr>
        <w:rFonts w:ascii="宋体" w:hAnsi="宋体" w:cs="宋体"/>
        <w:sz w:val="18"/>
        <w:szCs w:val="18"/>
        <w:highlight w:val="yellow"/>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4A26E9">
                          <w:pPr>
                            <w:pStyle w:val="29"/>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B4A26E9">
                    <w:pPr>
                      <w:pStyle w:val="29"/>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0684F0">
    <w:pPr>
      <w:pStyle w:val="29"/>
      <w:rPr>
        <w:rStyle w:val="50"/>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FC8593">
                          <w:pPr>
                            <w:pStyle w:val="29"/>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30FC8593">
                    <w:pPr>
                      <w:pStyle w:val="29"/>
                    </w:pPr>
                    <w:r>
                      <w:fldChar w:fldCharType="begin"/>
                    </w:r>
                    <w:r>
                      <w:instrText xml:space="preserve"> PAGE  \* MERGEFORMAT </w:instrText>
                    </w:r>
                    <w:r>
                      <w:fldChar w:fldCharType="separate"/>
                    </w:r>
                    <w:r>
                      <w:t>42</w:t>
                    </w:r>
                    <w:r>
                      <w:fldChar w:fldCharType="end"/>
                    </w:r>
                  </w:p>
                </w:txbxContent>
              </v:textbox>
            </v:shape>
          </w:pict>
        </mc:Fallback>
      </mc:AlternateContent>
    </w:r>
  </w:p>
  <w:p w14:paraId="3E28D64A">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A1A22F">
    <w:pPr>
      <w:pStyle w:val="3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EE8711">
    <w:pPr>
      <w:pStyle w:val="30"/>
      <w:pBdr>
        <w:bottom w:val="none" w:color="auto" w:sz="0" w:space="0"/>
      </w:pBdr>
      <w:jc w:val="right"/>
      <w:rPr>
        <w:b/>
        <w:bC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9B91D2">
    <w:pPr>
      <w:pStyle w:val="30"/>
      <w:pBdr>
        <w:bottom w:val="none" w:color="auto" w:sz="0" w:space="0"/>
      </w:pBdr>
      <w:jc w:val="right"/>
      <w:rPr>
        <w:b/>
        <w:bCs/>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E8882E">
    <w:pPr>
      <w:pStyle w:val="3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D0D545"/>
    <w:multiLevelType w:val="singleLevel"/>
    <w:tmpl w:val="BFD0D545"/>
    <w:lvl w:ilvl="0" w:tentative="0">
      <w:start w:val="3"/>
      <w:numFmt w:val="decimal"/>
      <w:suff w:val="nothing"/>
      <w:lvlText w:val="（%1）"/>
      <w:lvlJc w:val="left"/>
    </w:lvl>
  </w:abstractNum>
  <w:abstractNum w:abstractNumId="1">
    <w:nsid w:val="D5B19CE4"/>
    <w:multiLevelType w:val="singleLevel"/>
    <w:tmpl w:val="D5B19CE4"/>
    <w:lvl w:ilvl="0" w:tentative="0">
      <w:start w:val="1"/>
      <w:numFmt w:val="decimal"/>
      <w:suff w:val="nothing"/>
      <w:lvlText w:val="（%1）"/>
      <w:lvlJc w:val="left"/>
    </w:lvl>
  </w:abstractNum>
  <w:abstractNum w:abstractNumId="2">
    <w:nsid w:val="1E80E6C8"/>
    <w:multiLevelType w:val="singleLevel"/>
    <w:tmpl w:val="1E80E6C8"/>
    <w:lvl w:ilvl="0" w:tentative="0">
      <w:start w:val="3"/>
      <w:numFmt w:val="chineseCounting"/>
      <w:suff w:val="space"/>
      <w:lvlText w:val="第%1章"/>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2YjY1ZDQ4YjFjYTVkNDM0YTJmYjQ2ZjhhNmFiODUifQ=="/>
  </w:docVars>
  <w:rsids>
    <w:rsidRoot w:val="00172A27"/>
    <w:rsid w:val="0000197A"/>
    <w:rsid w:val="00002E1B"/>
    <w:rsid w:val="000046EA"/>
    <w:rsid w:val="00004E34"/>
    <w:rsid w:val="00005CD8"/>
    <w:rsid w:val="00006123"/>
    <w:rsid w:val="000070B7"/>
    <w:rsid w:val="0000758B"/>
    <w:rsid w:val="00010F4B"/>
    <w:rsid w:val="0001111D"/>
    <w:rsid w:val="00011A14"/>
    <w:rsid w:val="00012844"/>
    <w:rsid w:val="00012D1D"/>
    <w:rsid w:val="00017114"/>
    <w:rsid w:val="00017EFA"/>
    <w:rsid w:val="00020FE0"/>
    <w:rsid w:val="00021BDB"/>
    <w:rsid w:val="000225E0"/>
    <w:rsid w:val="00022A89"/>
    <w:rsid w:val="00023D05"/>
    <w:rsid w:val="00026E12"/>
    <w:rsid w:val="000273CC"/>
    <w:rsid w:val="000330C1"/>
    <w:rsid w:val="000335C0"/>
    <w:rsid w:val="00033D98"/>
    <w:rsid w:val="00034C73"/>
    <w:rsid w:val="0003719A"/>
    <w:rsid w:val="00037B93"/>
    <w:rsid w:val="00040224"/>
    <w:rsid w:val="0004332D"/>
    <w:rsid w:val="00044907"/>
    <w:rsid w:val="0004695D"/>
    <w:rsid w:val="00046C34"/>
    <w:rsid w:val="00057DBF"/>
    <w:rsid w:val="000617FE"/>
    <w:rsid w:val="0006411D"/>
    <w:rsid w:val="000642AF"/>
    <w:rsid w:val="00066792"/>
    <w:rsid w:val="00072090"/>
    <w:rsid w:val="00076B75"/>
    <w:rsid w:val="00076F1D"/>
    <w:rsid w:val="00077234"/>
    <w:rsid w:val="000837EF"/>
    <w:rsid w:val="00083ADA"/>
    <w:rsid w:val="0008659F"/>
    <w:rsid w:val="00086C18"/>
    <w:rsid w:val="00090A07"/>
    <w:rsid w:val="00090F90"/>
    <w:rsid w:val="00093100"/>
    <w:rsid w:val="000939B1"/>
    <w:rsid w:val="00094E9D"/>
    <w:rsid w:val="000A078C"/>
    <w:rsid w:val="000A11AD"/>
    <w:rsid w:val="000A2C9F"/>
    <w:rsid w:val="000A475B"/>
    <w:rsid w:val="000A65EE"/>
    <w:rsid w:val="000B0DC9"/>
    <w:rsid w:val="000B3A75"/>
    <w:rsid w:val="000B4B76"/>
    <w:rsid w:val="000B547D"/>
    <w:rsid w:val="000B7A7E"/>
    <w:rsid w:val="000B7EE6"/>
    <w:rsid w:val="000C10AA"/>
    <w:rsid w:val="000C26FD"/>
    <w:rsid w:val="000D08DE"/>
    <w:rsid w:val="000D203E"/>
    <w:rsid w:val="000D2C3D"/>
    <w:rsid w:val="000D2ECE"/>
    <w:rsid w:val="000D4E9E"/>
    <w:rsid w:val="000D7F9C"/>
    <w:rsid w:val="000E0020"/>
    <w:rsid w:val="000E1F7F"/>
    <w:rsid w:val="000E227E"/>
    <w:rsid w:val="000E24EC"/>
    <w:rsid w:val="000E3D3D"/>
    <w:rsid w:val="000F7312"/>
    <w:rsid w:val="000F740E"/>
    <w:rsid w:val="00104E44"/>
    <w:rsid w:val="001063CB"/>
    <w:rsid w:val="0011140E"/>
    <w:rsid w:val="00114707"/>
    <w:rsid w:val="00115943"/>
    <w:rsid w:val="00116988"/>
    <w:rsid w:val="00120E5D"/>
    <w:rsid w:val="00125553"/>
    <w:rsid w:val="0012738D"/>
    <w:rsid w:val="00130FBA"/>
    <w:rsid w:val="00131494"/>
    <w:rsid w:val="00132E3D"/>
    <w:rsid w:val="0014049F"/>
    <w:rsid w:val="00140BFD"/>
    <w:rsid w:val="00142868"/>
    <w:rsid w:val="00146B5E"/>
    <w:rsid w:val="0015292B"/>
    <w:rsid w:val="0015363F"/>
    <w:rsid w:val="00154C59"/>
    <w:rsid w:val="0015552E"/>
    <w:rsid w:val="00155F6F"/>
    <w:rsid w:val="001564C3"/>
    <w:rsid w:val="001620D9"/>
    <w:rsid w:val="00164FB7"/>
    <w:rsid w:val="0016514F"/>
    <w:rsid w:val="00165414"/>
    <w:rsid w:val="00165F97"/>
    <w:rsid w:val="00167090"/>
    <w:rsid w:val="00167507"/>
    <w:rsid w:val="00172A27"/>
    <w:rsid w:val="00173108"/>
    <w:rsid w:val="00173D37"/>
    <w:rsid w:val="00174E43"/>
    <w:rsid w:val="0018238C"/>
    <w:rsid w:val="00182D4C"/>
    <w:rsid w:val="001834BA"/>
    <w:rsid w:val="001843D3"/>
    <w:rsid w:val="00184866"/>
    <w:rsid w:val="00185DBC"/>
    <w:rsid w:val="001867E2"/>
    <w:rsid w:val="001919D1"/>
    <w:rsid w:val="00191DD8"/>
    <w:rsid w:val="00193AE6"/>
    <w:rsid w:val="00194AEF"/>
    <w:rsid w:val="001963BD"/>
    <w:rsid w:val="001A120B"/>
    <w:rsid w:val="001A184C"/>
    <w:rsid w:val="001A274E"/>
    <w:rsid w:val="001A2C88"/>
    <w:rsid w:val="001A37E0"/>
    <w:rsid w:val="001A3EC9"/>
    <w:rsid w:val="001A50F2"/>
    <w:rsid w:val="001A6EF7"/>
    <w:rsid w:val="001B1DF0"/>
    <w:rsid w:val="001B21A5"/>
    <w:rsid w:val="001B45D5"/>
    <w:rsid w:val="001B4675"/>
    <w:rsid w:val="001B4BDE"/>
    <w:rsid w:val="001B59E9"/>
    <w:rsid w:val="001B62B0"/>
    <w:rsid w:val="001B6A78"/>
    <w:rsid w:val="001C1FC2"/>
    <w:rsid w:val="001C4E01"/>
    <w:rsid w:val="001C7AB4"/>
    <w:rsid w:val="001D0C94"/>
    <w:rsid w:val="001D3498"/>
    <w:rsid w:val="001E1380"/>
    <w:rsid w:val="001E5247"/>
    <w:rsid w:val="001F23AB"/>
    <w:rsid w:val="001F32ED"/>
    <w:rsid w:val="001F4F95"/>
    <w:rsid w:val="001F7E70"/>
    <w:rsid w:val="00200459"/>
    <w:rsid w:val="00202DB7"/>
    <w:rsid w:val="00207065"/>
    <w:rsid w:val="00207999"/>
    <w:rsid w:val="00212D04"/>
    <w:rsid w:val="00213FCA"/>
    <w:rsid w:val="00214988"/>
    <w:rsid w:val="00214B43"/>
    <w:rsid w:val="00214F76"/>
    <w:rsid w:val="002202CE"/>
    <w:rsid w:val="0022219A"/>
    <w:rsid w:val="00222521"/>
    <w:rsid w:val="00227461"/>
    <w:rsid w:val="0022783F"/>
    <w:rsid w:val="00230392"/>
    <w:rsid w:val="00230583"/>
    <w:rsid w:val="00230A2B"/>
    <w:rsid w:val="00231547"/>
    <w:rsid w:val="002334EC"/>
    <w:rsid w:val="00235B32"/>
    <w:rsid w:val="00236AD7"/>
    <w:rsid w:val="00237688"/>
    <w:rsid w:val="00240423"/>
    <w:rsid w:val="00243B18"/>
    <w:rsid w:val="00246AD7"/>
    <w:rsid w:val="00246B91"/>
    <w:rsid w:val="00247A64"/>
    <w:rsid w:val="00250013"/>
    <w:rsid w:val="00250BCF"/>
    <w:rsid w:val="00253591"/>
    <w:rsid w:val="00255670"/>
    <w:rsid w:val="00256780"/>
    <w:rsid w:val="00262ABE"/>
    <w:rsid w:val="002657EE"/>
    <w:rsid w:val="00276F57"/>
    <w:rsid w:val="00277D06"/>
    <w:rsid w:val="002816D4"/>
    <w:rsid w:val="00286980"/>
    <w:rsid w:val="002928CE"/>
    <w:rsid w:val="00292C87"/>
    <w:rsid w:val="0029757E"/>
    <w:rsid w:val="002A1A66"/>
    <w:rsid w:val="002A39EF"/>
    <w:rsid w:val="002A599F"/>
    <w:rsid w:val="002A6E04"/>
    <w:rsid w:val="002B4BA8"/>
    <w:rsid w:val="002B7071"/>
    <w:rsid w:val="002B7117"/>
    <w:rsid w:val="002B714A"/>
    <w:rsid w:val="002B718A"/>
    <w:rsid w:val="002B7621"/>
    <w:rsid w:val="002C2E22"/>
    <w:rsid w:val="002C4A57"/>
    <w:rsid w:val="002C528E"/>
    <w:rsid w:val="002C5643"/>
    <w:rsid w:val="002E13EC"/>
    <w:rsid w:val="002E41CC"/>
    <w:rsid w:val="002F05E9"/>
    <w:rsid w:val="002F2C99"/>
    <w:rsid w:val="002F3D6A"/>
    <w:rsid w:val="002F794D"/>
    <w:rsid w:val="003029B3"/>
    <w:rsid w:val="00303019"/>
    <w:rsid w:val="00306787"/>
    <w:rsid w:val="00306966"/>
    <w:rsid w:val="0031113D"/>
    <w:rsid w:val="00311AAC"/>
    <w:rsid w:val="00313CA4"/>
    <w:rsid w:val="00314E82"/>
    <w:rsid w:val="003150CE"/>
    <w:rsid w:val="00315FF9"/>
    <w:rsid w:val="00316270"/>
    <w:rsid w:val="00321598"/>
    <w:rsid w:val="00321FDB"/>
    <w:rsid w:val="00323870"/>
    <w:rsid w:val="00323FFD"/>
    <w:rsid w:val="00324847"/>
    <w:rsid w:val="00324A5E"/>
    <w:rsid w:val="00325624"/>
    <w:rsid w:val="0032611D"/>
    <w:rsid w:val="003264EB"/>
    <w:rsid w:val="00326940"/>
    <w:rsid w:val="00330CCD"/>
    <w:rsid w:val="00332891"/>
    <w:rsid w:val="00332BBD"/>
    <w:rsid w:val="00333810"/>
    <w:rsid w:val="003343C0"/>
    <w:rsid w:val="00340804"/>
    <w:rsid w:val="00342D97"/>
    <w:rsid w:val="00343375"/>
    <w:rsid w:val="003448C2"/>
    <w:rsid w:val="00344CD6"/>
    <w:rsid w:val="0034662F"/>
    <w:rsid w:val="003510D2"/>
    <w:rsid w:val="00351A8E"/>
    <w:rsid w:val="0035447B"/>
    <w:rsid w:val="00355040"/>
    <w:rsid w:val="00356B27"/>
    <w:rsid w:val="00356B90"/>
    <w:rsid w:val="00357C8A"/>
    <w:rsid w:val="00360C29"/>
    <w:rsid w:val="0036101B"/>
    <w:rsid w:val="003613C6"/>
    <w:rsid w:val="00361CBA"/>
    <w:rsid w:val="00362EE3"/>
    <w:rsid w:val="0036593D"/>
    <w:rsid w:val="00366951"/>
    <w:rsid w:val="00370107"/>
    <w:rsid w:val="003720A1"/>
    <w:rsid w:val="003745F9"/>
    <w:rsid w:val="00376808"/>
    <w:rsid w:val="0037767C"/>
    <w:rsid w:val="003817E6"/>
    <w:rsid w:val="00381E22"/>
    <w:rsid w:val="0038244A"/>
    <w:rsid w:val="00382545"/>
    <w:rsid w:val="00383221"/>
    <w:rsid w:val="00384090"/>
    <w:rsid w:val="003844ED"/>
    <w:rsid w:val="00386132"/>
    <w:rsid w:val="003871B4"/>
    <w:rsid w:val="00393016"/>
    <w:rsid w:val="00394BA5"/>
    <w:rsid w:val="00394D82"/>
    <w:rsid w:val="003A70F7"/>
    <w:rsid w:val="003B39C6"/>
    <w:rsid w:val="003B4CDE"/>
    <w:rsid w:val="003B5919"/>
    <w:rsid w:val="003B7075"/>
    <w:rsid w:val="003B7983"/>
    <w:rsid w:val="003C24F4"/>
    <w:rsid w:val="003C4452"/>
    <w:rsid w:val="003C4CBD"/>
    <w:rsid w:val="003C7646"/>
    <w:rsid w:val="003D0BFC"/>
    <w:rsid w:val="003D206A"/>
    <w:rsid w:val="003D27B4"/>
    <w:rsid w:val="003D34ED"/>
    <w:rsid w:val="003D60ED"/>
    <w:rsid w:val="003D7852"/>
    <w:rsid w:val="003E0F27"/>
    <w:rsid w:val="003E15AB"/>
    <w:rsid w:val="003E3274"/>
    <w:rsid w:val="003E441B"/>
    <w:rsid w:val="003E528B"/>
    <w:rsid w:val="003E62C9"/>
    <w:rsid w:val="003E64A4"/>
    <w:rsid w:val="003F1184"/>
    <w:rsid w:val="003F19CD"/>
    <w:rsid w:val="003F34D1"/>
    <w:rsid w:val="003F5214"/>
    <w:rsid w:val="003F56BE"/>
    <w:rsid w:val="003F72A7"/>
    <w:rsid w:val="00403578"/>
    <w:rsid w:val="0040419B"/>
    <w:rsid w:val="00404AFD"/>
    <w:rsid w:val="0041061A"/>
    <w:rsid w:val="00411B9C"/>
    <w:rsid w:val="004139CC"/>
    <w:rsid w:val="00416BD0"/>
    <w:rsid w:val="004179E4"/>
    <w:rsid w:val="00422908"/>
    <w:rsid w:val="0042416B"/>
    <w:rsid w:val="004249BA"/>
    <w:rsid w:val="0042531B"/>
    <w:rsid w:val="004306D8"/>
    <w:rsid w:val="00430F18"/>
    <w:rsid w:val="00432BC1"/>
    <w:rsid w:val="00433924"/>
    <w:rsid w:val="00434AAC"/>
    <w:rsid w:val="0043512B"/>
    <w:rsid w:val="00435537"/>
    <w:rsid w:val="004355FE"/>
    <w:rsid w:val="00441E58"/>
    <w:rsid w:val="00445715"/>
    <w:rsid w:val="00445E0F"/>
    <w:rsid w:val="00446179"/>
    <w:rsid w:val="004506F7"/>
    <w:rsid w:val="0045199B"/>
    <w:rsid w:val="00451F70"/>
    <w:rsid w:val="00454C0F"/>
    <w:rsid w:val="00454F95"/>
    <w:rsid w:val="004571AF"/>
    <w:rsid w:val="00460EB5"/>
    <w:rsid w:val="00462043"/>
    <w:rsid w:val="0046380E"/>
    <w:rsid w:val="00466093"/>
    <w:rsid w:val="004712B0"/>
    <w:rsid w:val="00471B5C"/>
    <w:rsid w:val="00473006"/>
    <w:rsid w:val="00473509"/>
    <w:rsid w:val="00473BA0"/>
    <w:rsid w:val="00474B17"/>
    <w:rsid w:val="0047678B"/>
    <w:rsid w:val="00477FF4"/>
    <w:rsid w:val="00482303"/>
    <w:rsid w:val="00487C57"/>
    <w:rsid w:val="00494CD7"/>
    <w:rsid w:val="004A3117"/>
    <w:rsid w:val="004A394F"/>
    <w:rsid w:val="004A7299"/>
    <w:rsid w:val="004B15C6"/>
    <w:rsid w:val="004C0130"/>
    <w:rsid w:val="004C1E7E"/>
    <w:rsid w:val="004C2BF2"/>
    <w:rsid w:val="004C4C36"/>
    <w:rsid w:val="004C791A"/>
    <w:rsid w:val="004D0871"/>
    <w:rsid w:val="004D31D7"/>
    <w:rsid w:val="004D6B92"/>
    <w:rsid w:val="004E085C"/>
    <w:rsid w:val="004E0F8D"/>
    <w:rsid w:val="004F0E30"/>
    <w:rsid w:val="004F1D3D"/>
    <w:rsid w:val="004F3C9D"/>
    <w:rsid w:val="004F5CF2"/>
    <w:rsid w:val="004F77A5"/>
    <w:rsid w:val="00504F99"/>
    <w:rsid w:val="00505F69"/>
    <w:rsid w:val="005078D7"/>
    <w:rsid w:val="00510F89"/>
    <w:rsid w:val="00512B81"/>
    <w:rsid w:val="00513D1E"/>
    <w:rsid w:val="0052022B"/>
    <w:rsid w:val="005212B3"/>
    <w:rsid w:val="00525D5C"/>
    <w:rsid w:val="00526B90"/>
    <w:rsid w:val="00527D18"/>
    <w:rsid w:val="005324F1"/>
    <w:rsid w:val="005345CF"/>
    <w:rsid w:val="00534798"/>
    <w:rsid w:val="00534AB4"/>
    <w:rsid w:val="005362C3"/>
    <w:rsid w:val="00536BAD"/>
    <w:rsid w:val="00537141"/>
    <w:rsid w:val="005408F8"/>
    <w:rsid w:val="00543A1A"/>
    <w:rsid w:val="00543D1A"/>
    <w:rsid w:val="00545A63"/>
    <w:rsid w:val="00550A8B"/>
    <w:rsid w:val="00551ABE"/>
    <w:rsid w:val="00551F3F"/>
    <w:rsid w:val="00553C28"/>
    <w:rsid w:val="00555711"/>
    <w:rsid w:val="0055655B"/>
    <w:rsid w:val="005575EF"/>
    <w:rsid w:val="00557CAA"/>
    <w:rsid w:val="005610A7"/>
    <w:rsid w:val="00562097"/>
    <w:rsid w:val="00562642"/>
    <w:rsid w:val="00562653"/>
    <w:rsid w:val="00563B31"/>
    <w:rsid w:val="00564616"/>
    <w:rsid w:val="00565E25"/>
    <w:rsid w:val="00566512"/>
    <w:rsid w:val="005677A2"/>
    <w:rsid w:val="00571668"/>
    <w:rsid w:val="00573193"/>
    <w:rsid w:val="005736B2"/>
    <w:rsid w:val="0057643A"/>
    <w:rsid w:val="00580342"/>
    <w:rsid w:val="00582213"/>
    <w:rsid w:val="005901E1"/>
    <w:rsid w:val="005915F5"/>
    <w:rsid w:val="00591F58"/>
    <w:rsid w:val="00592834"/>
    <w:rsid w:val="00594FBF"/>
    <w:rsid w:val="0059693D"/>
    <w:rsid w:val="00597823"/>
    <w:rsid w:val="005A3405"/>
    <w:rsid w:val="005A5E6E"/>
    <w:rsid w:val="005A65D3"/>
    <w:rsid w:val="005A71BD"/>
    <w:rsid w:val="005A7C75"/>
    <w:rsid w:val="005B3CFB"/>
    <w:rsid w:val="005B4AA4"/>
    <w:rsid w:val="005B5C42"/>
    <w:rsid w:val="005B682A"/>
    <w:rsid w:val="005B705D"/>
    <w:rsid w:val="005C0054"/>
    <w:rsid w:val="005D0BCF"/>
    <w:rsid w:val="005D1D33"/>
    <w:rsid w:val="005D1E1A"/>
    <w:rsid w:val="005D2808"/>
    <w:rsid w:val="005D49DC"/>
    <w:rsid w:val="005D6EDB"/>
    <w:rsid w:val="005E4BD5"/>
    <w:rsid w:val="005E6D8D"/>
    <w:rsid w:val="005E7874"/>
    <w:rsid w:val="005F2C58"/>
    <w:rsid w:val="005F3CD8"/>
    <w:rsid w:val="005F6D4E"/>
    <w:rsid w:val="00601231"/>
    <w:rsid w:val="006015AA"/>
    <w:rsid w:val="006053A4"/>
    <w:rsid w:val="00610D91"/>
    <w:rsid w:val="0061143B"/>
    <w:rsid w:val="006173D9"/>
    <w:rsid w:val="006174D0"/>
    <w:rsid w:val="00617B19"/>
    <w:rsid w:val="00620E0C"/>
    <w:rsid w:val="0062507F"/>
    <w:rsid w:val="00626412"/>
    <w:rsid w:val="00627097"/>
    <w:rsid w:val="00627F07"/>
    <w:rsid w:val="00630701"/>
    <w:rsid w:val="00630A52"/>
    <w:rsid w:val="006314EC"/>
    <w:rsid w:val="006317D9"/>
    <w:rsid w:val="006319A4"/>
    <w:rsid w:val="006320EC"/>
    <w:rsid w:val="00632505"/>
    <w:rsid w:val="0063261C"/>
    <w:rsid w:val="00634E49"/>
    <w:rsid w:val="006404B8"/>
    <w:rsid w:val="00640732"/>
    <w:rsid w:val="00640CD1"/>
    <w:rsid w:val="006411FA"/>
    <w:rsid w:val="006468C4"/>
    <w:rsid w:val="00656322"/>
    <w:rsid w:val="0065656C"/>
    <w:rsid w:val="00662C9C"/>
    <w:rsid w:val="00664CCB"/>
    <w:rsid w:val="0066501C"/>
    <w:rsid w:val="00667847"/>
    <w:rsid w:val="00667E21"/>
    <w:rsid w:val="00672253"/>
    <w:rsid w:val="00672477"/>
    <w:rsid w:val="006803F2"/>
    <w:rsid w:val="00680EED"/>
    <w:rsid w:val="00683A32"/>
    <w:rsid w:val="00686C3A"/>
    <w:rsid w:val="0069751D"/>
    <w:rsid w:val="00697E3A"/>
    <w:rsid w:val="006A5A61"/>
    <w:rsid w:val="006A6C9D"/>
    <w:rsid w:val="006B06AF"/>
    <w:rsid w:val="006B3780"/>
    <w:rsid w:val="006B3913"/>
    <w:rsid w:val="006B5F0A"/>
    <w:rsid w:val="006B7B67"/>
    <w:rsid w:val="006C004B"/>
    <w:rsid w:val="006C09E3"/>
    <w:rsid w:val="006C12A2"/>
    <w:rsid w:val="006C1EAD"/>
    <w:rsid w:val="006C3056"/>
    <w:rsid w:val="006C3E9D"/>
    <w:rsid w:val="006C4608"/>
    <w:rsid w:val="006E29E7"/>
    <w:rsid w:val="006E3C5D"/>
    <w:rsid w:val="006E4C81"/>
    <w:rsid w:val="006F3D17"/>
    <w:rsid w:val="007010A6"/>
    <w:rsid w:val="007010E6"/>
    <w:rsid w:val="007013D6"/>
    <w:rsid w:val="00704877"/>
    <w:rsid w:val="007056DC"/>
    <w:rsid w:val="00707B0D"/>
    <w:rsid w:val="00707F33"/>
    <w:rsid w:val="00707FB8"/>
    <w:rsid w:val="00710E91"/>
    <w:rsid w:val="00712094"/>
    <w:rsid w:val="00712899"/>
    <w:rsid w:val="00716F04"/>
    <w:rsid w:val="007220FC"/>
    <w:rsid w:val="007224C8"/>
    <w:rsid w:val="00731F87"/>
    <w:rsid w:val="00734057"/>
    <w:rsid w:val="007347A9"/>
    <w:rsid w:val="00734A59"/>
    <w:rsid w:val="00737389"/>
    <w:rsid w:val="00740EA7"/>
    <w:rsid w:val="00741E7A"/>
    <w:rsid w:val="00743A79"/>
    <w:rsid w:val="00746374"/>
    <w:rsid w:val="0074694C"/>
    <w:rsid w:val="00750DC6"/>
    <w:rsid w:val="00751F36"/>
    <w:rsid w:val="00752ABA"/>
    <w:rsid w:val="007544B3"/>
    <w:rsid w:val="00754953"/>
    <w:rsid w:val="00755F4B"/>
    <w:rsid w:val="007569BF"/>
    <w:rsid w:val="00764F21"/>
    <w:rsid w:val="007650EA"/>
    <w:rsid w:val="00771225"/>
    <w:rsid w:val="007716E8"/>
    <w:rsid w:val="00771EE2"/>
    <w:rsid w:val="00772F61"/>
    <w:rsid w:val="007735D0"/>
    <w:rsid w:val="00776CE6"/>
    <w:rsid w:val="0077709D"/>
    <w:rsid w:val="0077725B"/>
    <w:rsid w:val="0078232E"/>
    <w:rsid w:val="007825BB"/>
    <w:rsid w:val="0078387C"/>
    <w:rsid w:val="007846BD"/>
    <w:rsid w:val="007852C4"/>
    <w:rsid w:val="00785C7C"/>
    <w:rsid w:val="00791072"/>
    <w:rsid w:val="00791620"/>
    <w:rsid w:val="00792C93"/>
    <w:rsid w:val="0079603B"/>
    <w:rsid w:val="00796119"/>
    <w:rsid w:val="00797F29"/>
    <w:rsid w:val="00797F99"/>
    <w:rsid w:val="007A3AD3"/>
    <w:rsid w:val="007A5486"/>
    <w:rsid w:val="007A59DE"/>
    <w:rsid w:val="007B10BC"/>
    <w:rsid w:val="007B2FBF"/>
    <w:rsid w:val="007B6549"/>
    <w:rsid w:val="007B7D18"/>
    <w:rsid w:val="007C065A"/>
    <w:rsid w:val="007C313C"/>
    <w:rsid w:val="007C5C10"/>
    <w:rsid w:val="007C5C4D"/>
    <w:rsid w:val="007D2547"/>
    <w:rsid w:val="007D3552"/>
    <w:rsid w:val="007D5303"/>
    <w:rsid w:val="007D6C61"/>
    <w:rsid w:val="007D7027"/>
    <w:rsid w:val="007E1D6E"/>
    <w:rsid w:val="007E60BB"/>
    <w:rsid w:val="007E66F0"/>
    <w:rsid w:val="007E6E71"/>
    <w:rsid w:val="007F0879"/>
    <w:rsid w:val="007F2072"/>
    <w:rsid w:val="007F7CC1"/>
    <w:rsid w:val="00801530"/>
    <w:rsid w:val="00803277"/>
    <w:rsid w:val="00803BC6"/>
    <w:rsid w:val="008044D7"/>
    <w:rsid w:val="00811BC8"/>
    <w:rsid w:val="00812181"/>
    <w:rsid w:val="0081385B"/>
    <w:rsid w:val="00816600"/>
    <w:rsid w:val="00821645"/>
    <w:rsid w:val="00822D2E"/>
    <w:rsid w:val="00827EA0"/>
    <w:rsid w:val="0083345E"/>
    <w:rsid w:val="00834EAE"/>
    <w:rsid w:val="00841403"/>
    <w:rsid w:val="0084190B"/>
    <w:rsid w:val="0084411B"/>
    <w:rsid w:val="00844951"/>
    <w:rsid w:val="00844D6E"/>
    <w:rsid w:val="00845A5D"/>
    <w:rsid w:val="008462FB"/>
    <w:rsid w:val="008465CD"/>
    <w:rsid w:val="0084663D"/>
    <w:rsid w:val="008515C0"/>
    <w:rsid w:val="00854873"/>
    <w:rsid w:val="00855E83"/>
    <w:rsid w:val="00856515"/>
    <w:rsid w:val="0086292A"/>
    <w:rsid w:val="00864FC6"/>
    <w:rsid w:val="00865B48"/>
    <w:rsid w:val="00872E7D"/>
    <w:rsid w:val="00874549"/>
    <w:rsid w:val="008756B7"/>
    <w:rsid w:val="008757B7"/>
    <w:rsid w:val="00880472"/>
    <w:rsid w:val="008813F9"/>
    <w:rsid w:val="0088144C"/>
    <w:rsid w:val="00881587"/>
    <w:rsid w:val="0088218C"/>
    <w:rsid w:val="00884060"/>
    <w:rsid w:val="00890796"/>
    <w:rsid w:val="0089321E"/>
    <w:rsid w:val="008933DF"/>
    <w:rsid w:val="00894C08"/>
    <w:rsid w:val="00895001"/>
    <w:rsid w:val="0089560E"/>
    <w:rsid w:val="008A0CBD"/>
    <w:rsid w:val="008A0D2A"/>
    <w:rsid w:val="008A1DEE"/>
    <w:rsid w:val="008A3970"/>
    <w:rsid w:val="008A5701"/>
    <w:rsid w:val="008B3DFF"/>
    <w:rsid w:val="008B3F28"/>
    <w:rsid w:val="008C49D3"/>
    <w:rsid w:val="008C5947"/>
    <w:rsid w:val="008C6DA1"/>
    <w:rsid w:val="008C72A6"/>
    <w:rsid w:val="008C7854"/>
    <w:rsid w:val="008D3D94"/>
    <w:rsid w:val="008D618A"/>
    <w:rsid w:val="008E1DC0"/>
    <w:rsid w:val="008E30BF"/>
    <w:rsid w:val="008E35A0"/>
    <w:rsid w:val="008E3A25"/>
    <w:rsid w:val="008E5038"/>
    <w:rsid w:val="008F031C"/>
    <w:rsid w:val="008F1463"/>
    <w:rsid w:val="008F1F11"/>
    <w:rsid w:val="008F31C7"/>
    <w:rsid w:val="008F7358"/>
    <w:rsid w:val="008F7394"/>
    <w:rsid w:val="008F79D7"/>
    <w:rsid w:val="009006DF"/>
    <w:rsid w:val="00910153"/>
    <w:rsid w:val="00910A19"/>
    <w:rsid w:val="00910BDC"/>
    <w:rsid w:val="00910F4E"/>
    <w:rsid w:val="00911695"/>
    <w:rsid w:val="00911E55"/>
    <w:rsid w:val="00913F05"/>
    <w:rsid w:val="0091562C"/>
    <w:rsid w:val="009177B6"/>
    <w:rsid w:val="00917A27"/>
    <w:rsid w:val="00923CD3"/>
    <w:rsid w:val="00924202"/>
    <w:rsid w:val="00924E50"/>
    <w:rsid w:val="00925CC6"/>
    <w:rsid w:val="00926ABF"/>
    <w:rsid w:val="00927A26"/>
    <w:rsid w:val="00927D00"/>
    <w:rsid w:val="00930969"/>
    <w:rsid w:val="0093269F"/>
    <w:rsid w:val="00935C27"/>
    <w:rsid w:val="00936433"/>
    <w:rsid w:val="009412CD"/>
    <w:rsid w:val="0095349A"/>
    <w:rsid w:val="00955204"/>
    <w:rsid w:val="00960CAB"/>
    <w:rsid w:val="00960CCB"/>
    <w:rsid w:val="00961359"/>
    <w:rsid w:val="00962A0B"/>
    <w:rsid w:val="00962C4D"/>
    <w:rsid w:val="00964D34"/>
    <w:rsid w:val="00966F72"/>
    <w:rsid w:val="0096757C"/>
    <w:rsid w:val="00967A23"/>
    <w:rsid w:val="00972946"/>
    <w:rsid w:val="00972E84"/>
    <w:rsid w:val="00974691"/>
    <w:rsid w:val="00976022"/>
    <w:rsid w:val="00976169"/>
    <w:rsid w:val="00976580"/>
    <w:rsid w:val="00977C3F"/>
    <w:rsid w:val="00977CC3"/>
    <w:rsid w:val="00980102"/>
    <w:rsid w:val="0098316D"/>
    <w:rsid w:val="00984D59"/>
    <w:rsid w:val="0098502F"/>
    <w:rsid w:val="00986D16"/>
    <w:rsid w:val="009910B5"/>
    <w:rsid w:val="009920AD"/>
    <w:rsid w:val="0099244A"/>
    <w:rsid w:val="009938B8"/>
    <w:rsid w:val="00994EB2"/>
    <w:rsid w:val="00995053"/>
    <w:rsid w:val="009A0735"/>
    <w:rsid w:val="009A25E2"/>
    <w:rsid w:val="009A37CD"/>
    <w:rsid w:val="009A4C36"/>
    <w:rsid w:val="009B1FF8"/>
    <w:rsid w:val="009B42EF"/>
    <w:rsid w:val="009B4E7E"/>
    <w:rsid w:val="009B5EED"/>
    <w:rsid w:val="009C20D3"/>
    <w:rsid w:val="009C37BF"/>
    <w:rsid w:val="009C6EE6"/>
    <w:rsid w:val="009C7333"/>
    <w:rsid w:val="009C7979"/>
    <w:rsid w:val="009D0966"/>
    <w:rsid w:val="009D0B0C"/>
    <w:rsid w:val="009D22E5"/>
    <w:rsid w:val="009D4B7E"/>
    <w:rsid w:val="009D5E13"/>
    <w:rsid w:val="009D71F1"/>
    <w:rsid w:val="009E015C"/>
    <w:rsid w:val="009E0909"/>
    <w:rsid w:val="009E37B1"/>
    <w:rsid w:val="009E3E05"/>
    <w:rsid w:val="009E5780"/>
    <w:rsid w:val="009E5D72"/>
    <w:rsid w:val="009E6EC4"/>
    <w:rsid w:val="009F01E1"/>
    <w:rsid w:val="009F2F5E"/>
    <w:rsid w:val="009F3B2F"/>
    <w:rsid w:val="009F42ED"/>
    <w:rsid w:val="009F60D9"/>
    <w:rsid w:val="00A01456"/>
    <w:rsid w:val="00A01B5E"/>
    <w:rsid w:val="00A02A20"/>
    <w:rsid w:val="00A03301"/>
    <w:rsid w:val="00A05E3C"/>
    <w:rsid w:val="00A0769D"/>
    <w:rsid w:val="00A07925"/>
    <w:rsid w:val="00A101E8"/>
    <w:rsid w:val="00A10455"/>
    <w:rsid w:val="00A1132C"/>
    <w:rsid w:val="00A1168E"/>
    <w:rsid w:val="00A11DCF"/>
    <w:rsid w:val="00A11EE6"/>
    <w:rsid w:val="00A1213C"/>
    <w:rsid w:val="00A14C01"/>
    <w:rsid w:val="00A1556E"/>
    <w:rsid w:val="00A169DC"/>
    <w:rsid w:val="00A20C10"/>
    <w:rsid w:val="00A22308"/>
    <w:rsid w:val="00A22EC9"/>
    <w:rsid w:val="00A25ED3"/>
    <w:rsid w:val="00A264B5"/>
    <w:rsid w:val="00A26E1A"/>
    <w:rsid w:val="00A27D67"/>
    <w:rsid w:val="00A317E0"/>
    <w:rsid w:val="00A37208"/>
    <w:rsid w:val="00A373FE"/>
    <w:rsid w:val="00A37744"/>
    <w:rsid w:val="00A4126B"/>
    <w:rsid w:val="00A431C8"/>
    <w:rsid w:val="00A47E8E"/>
    <w:rsid w:val="00A50183"/>
    <w:rsid w:val="00A50E52"/>
    <w:rsid w:val="00A512D9"/>
    <w:rsid w:val="00A52488"/>
    <w:rsid w:val="00A52EF8"/>
    <w:rsid w:val="00A52F87"/>
    <w:rsid w:val="00A550F0"/>
    <w:rsid w:val="00A55F4D"/>
    <w:rsid w:val="00A56DFC"/>
    <w:rsid w:val="00A607D6"/>
    <w:rsid w:val="00A65ACF"/>
    <w:rsid w:val="00A71725"/>
    <w:rsid w:val="00A730D4"/>
    <w:rsid w:val="00A75160"/>
    <w:rsid w:val="00A80107"/>
    <w:rsid w:val="00A80270"/>
    <w:rsid w:val="00A81E1C"/>
    <w:rsid w:val="00A82C07"/>
    <w:rsid w:val="00A8654F"/>
    <w:rsid w:val="00A921C2"/>
    <w:rsid w:val="00A93040"/>
    <w:rsid w:val="00A9331E"/>
    <w:rsid w:val="00A96C90"/>
    <w:rsid w:val="00AA1C5D"/>
    <w:rsid w:val="00AA207A"/>
    <w:rsid w:val="00AA672A"/>
    <w:rsid w:val="00AA7717"/>
    <w:rsid w:val="00AA7A7D"/>
    <w:rsid w:val="00AA7BA4"/>
    <w:rsid w:val="00AB24DF"/>
    <w:rsid w:val="00AB2639"/>
    <w:rsid w:val="00AB41F5"/>
    <w:rsid w:val="00AB534D"/>
    <w:rsid w:val="00AB6C48"/>
    <w:rsid w:val="00AB7F2E"/>
    <w:rsid w:val="00AC00B4"/>
    <w:rsid w:val="00AC26EA"/>
    <w:rsid w:val="00AC2702"/>
    <w:rsid w:val="00AC5E52"/>
    <w:rsid w:val="00AC75F2"/>
    <w:rsid w:val="00AD0D0C"/>
    <w:rsid w:val="00AD28A1"/>
    <w:rsid w:val="00AD39D3"/>
    <w:rsid w:val="00AD6CA7"/>
    <w:rsid w:val="00AF04EA"/>
    <w:rsid w:val="00AF1B9D"/>
    <w:rsid w:val="00AF2D9F"/>
    <w:rsid w:val="00AF4146"/>
    <w:rsid w:val="00B01E1E"/>
    <w:rsid w:val="00B04E52"/>
    <w:rsid w:val="00B064E0"/>
    <w:rsid w:val="00B0681C"/>
    <w:rsid w:val="00B06DF0"/>
    <w:rsid w:val="00B125E7"/>
    <w:rsid w:val="00B17733"/>
    <w:rsid w:val="00B17A2D"/>
    <w:rsid w:val="00B238A2"/>
    <w:rsid w:val="00B24199"/>
    <w:rsid w:val="00B2684F"/>
    <w:rsid w:val="00B30708"/>
    <w:rsid w:val="00B30B1C"/>
    <w:rsid w:val="00B32557"/>
    <w:rsid w:val="00B40A36"/>
    <w:rsid w:val="00B421B9"/>
    <w:rsid w:val="00B43070"/>
    <w:rsid w:val="00B43FAA"/>
    <w:rsid w:val="00B46946"/>
    <w:rsid w:val="00B52319"/>
    <w:rsid w:val="00B5524B"/>
    <w:rsid w:val="00B60374"/>
    <w:rsid w:val="00B624DE"/>
    <w:rsid w:val="00B631C4"/>
    <w:rsid w:val="00B648B6"/>
    <w:rsid w:val="00B65453"/>
    <w:rsid w:val="00B669BA"/>
    <w:rsid w:val="00B67E11"/>
    <w:rsid w:val="00B75280"/>
    <w:rsid w:val="00B81D39"/>
    <w:rsid w:val="00B82D37"/>
    <w:rsid w:val="00B879EB"/>
    <w:rsid w:val="00B87A14"/>
    <w:rsid w:val="00B87A48"/>
    <w:rsid w:val="00B91A45"/>
    <w:rsid w:val="00BA398E"/>
    <w:rsid w:val="00BA58F0"/>
    <w:rsid w:val="00BA6D3B"/>
    <w:rsid w:val="00BA7453"/>
    <w:rsid w:val="00BB0336"/>
    <w:rsid w:val="00BB0FA2"/>
    <w:rsid w:val="00BB2223"/>
    <w:rsid w:val="00BB2B7B"/>
    <w:rsid w:val="00BB2E6B"/>
    <w:rsid w:val="00BC0C20"/>
    <w:rsid w:val="00BC508C"/>
    <w:rsid w:val="00BC79D7"/>
    <w:rsid w:val="00BD1389"/>
    <w:rsid w:val="00BD41E9"/>
    <w:rsid w:val="00BD51C6"/>
    <w:rsid w:val="00BD7908"/>
    <w:rsid w:val="00BE057A"/>
    <w:rsid w:val="00BE2D96"/>
    <w:rsid w:val="00BE520A"/>
    <w:rsid w:val="00BE5A23"/>
    <w:rsid w:val="00BE6705"/>
    <w:rsid w:val="00BE7FAD"/>
    <w:rsid w:val="00BF03C1"/>
    <w:rsid w:val="00BF0DAF"/>
    <w:rsid w:val="00BF0E76"/>
    <w:rsid w:val="00BF1E08"/>
    <w:rsid w:val="00BF2EB6"/>
    <w:rsid w:val="00BF7A0C"/>
    <w:rsid w:val="00C063C0"/>
    <w:rsid w:val="00C06DB4"/>
    <w:rsid w:val="00C0756A"/>
    <w:rsid w:val="00C12BE9"/>
    <w:rsid w:val="00C13786"/>
    <w:rsid w:val="00C14FCB"/>
    <w:rsid w:val="00C15A0C"/>
    <w:rsid w:val="00C15FE3"/>
    <w:rsid w:val="00C2443D"/>
    <w:rsid w:val="00C24999"/>
    <w:rsid w:val="00C25A3F"/>
    <w:rsid w:val="00C2616B"/>
    <w:rsid w:val="00C26E45"/>
    <w:rsid w:val="00C318C2"/>
    <w:rsid w:val="00C35769"/>
    <w:rsid w:val="00C405C9"/>
    <w:rsid w:val="00C40FE1"/>
    <w:rsid w:val="00C434BA"/>
    <w:rsid w:val="00C44BCE"/>
    <w:rsid w:val="00C46EAD"/>
    <w:rsid w:val="00C51140"/>
    <w:rsid w:val="00C536A9"/>
    <w:rsid w:val="00C56A2B"/>
    <w:rsid w:val="00C57A7D"/>
    <w:rsid w:val="00C57DD2"/>
    <w:rsid w:val="00C6039F"/>
    <w:rsid w:val="00C61FE7"/>
    <w:rsid w:val="00C621A8"/>
    <w:rsid w:val="00C64B7C"/>
    <w:rsid w:val="00C673DF"/>
    <w:rsid w:val="00C75A94"/>
    <w:rsid w:val="00C77A24"/>
    <w:rsid w:val="00C77AA8"/>
    <w:rsid w:val="00C804FA"/>
    <w:rsid w:val="00C828AF"/>
    <w:rsid w:val="00C82D91"/>
    <w:rsid w:val="00C82E68"/>
    <w:rsid w:val="00C862B3"/>
    <w:rsid w:val="00C87690"/>
    <w:rsid w:val="00C87B3D"/>
    <w:rsid w:val="00C92F00"/>
    <w:rsid w:val="00C936E3"/>
    <w:rsid w:val="00C93DA5"/>
    <w:rsid w:val="00C9452A"/>
    <w:rsid w:val="00C94FA3"/>
    <w:rsid w:val="00C9774D"/>
    <w:rsid w:val="00CA00CA"/>
    <w:rsid w:val="00CA0334"/>
    <w:rsid w:val="00CA2884"/>
    <w:rsid w:val="00CA2953"/>
    <w:rsid w:val="00CA3206"/>
    <w:rsid w:val="00CA348C"/>
    <w:rsid w:val="00CA4CD5"/>
    <w:rsid w:val="00CA68AA"/>
    <w:rsid w:val="00CB12D2"/>
    <w:rsid w:val="00CB3280"/>
    <w:rsid w:val="00CB3F09"/>
    <w:rsid w:val="00CB4283"/>
    <w:rsid w:val="00CB4873"/>
    <w:rsid w:val="00CB57BD"/>
    <w:rsid w:val="00CB618B"/>
    <w:rsid w:val="00CC1A9F"/>
    <w:rsid w:val="00CC1C9A"/>
    <w:rsid w:val="00CC252A"/>
    <w:rsid w:val="00CC4493"/>
    <w:rsid w:val="00CC44BA"/>
    <w:rsid w:val="00CC47DB"/>
    <w:rsid w:val="00CC5D81"/>
    <w:rsid w:val="00CC7B84"/>
    <w:rsid w:val="00CD275C"/>
    <w:rsid w:val="00CD4231"/>
    <w:rsid w:val="00CD4AF0"/>
    <w:rsid w:val="00CD7B4A"/>
    <w:rsid w:val="00CE3A30"/>
    <w:rsid w:val="00CE4050"/>
    <w:rsid w:val="00CE4F1D"/>
    <w:rsid w:val="00CE602D"/>
    <w:rsid w:val="00CE65F8"/>
    <w:rsid w:val="00CE792C"/>
    <w:rsid w:val="00CE7DD4"/>
    <w:rsid w:val="00CF3F53"/>
    <w:rsid w:val="00CF59F8"/>
    <w:rsid w:val="00CF615A"/>
    <w:rsid w:val="00CF745F"/>
    <w:rsid w:val="00D0047C"/>
    <w:rsid w:val="00D01366"/>
    <w:rsid w:val="00D0265F"/>
    <w:rsid w:val="00D03403"/>
    <w:rsid w:val="00D046B8"/>
    <w:rsid w:val="00D12693"/>
    <w:rsid w:val="00D1359A"/>
    <w:rsid w:val="00D22FAB"/>
    <w:rsid w:val="00D258FD"/>
    <w:rsid w:val="00D26687"/>
    <w:rsid w:val="00D2689C"/>
    <w:rsid w:val="00D26B80"/>
    <w:rsid w:val="00D30EE3"/>
    <w:rsid w:val="00D329C5"/>
    <w:rsid w:val="00D3321C"/>
    <w:rsid w:val="00D337F6"/>
    <w:rsid w:val="00D35580"/>
    <w:rsid w:val="00D356EA"/>
    <w:rsid w:val="00D401A6"/>
    <w:rsid w:val="00D409EF"/>
    <w:rsid w:val="00D40B26"/>
    <w:rsid w:val="00D453E0"/>
    <w:rsid w:val="00D5328E"/>
    <w:rsid w:val="00D54F1A"/>
    <w:rsid w:val="00D565F5"/>
    <w:rsid w:val="00D567DA"/>
    <w:rsid w:val="00D577DB"/>
    <w:rsid w:val="00D57E1A"/>
    <w:rsid w:val="00D608B9"/>
    <w:rsid w:val="00D61861"/>
    <w:rsid w:val="00D622CD"/>
    <w:rsid w:val="00D62567"/>
    <w:rsid w:val="00D66575"/>
    <w:rsid w:val="00D70550"/>
    <w:rsid w:val="00D80FD3"/>
    <w:rsid w:val="00D82784"/>
    <w:rsid w:val="00D8528C"/>
    <w:rsid w:val="00D87357"/>
    <w:rsid w:val="00D93C90"/>
    <w:rsid w:val="00D97E72"/>
    <w:rsid w:val="00DA0B4C"/>
    <w:rsid w:val="00DA116F"/>
    <w:rsid w:val="00DA25E7"/>
    <w:rsid w:val="00DA56E9"/>
    <w:rsid w:val="00DA71CC"/>
    <w:rsid w:val="00DB0579"/>
    <w:rsid w:val="00DB697C"/>
    <w:rsid w:val="00DB727B"/>
    <w:rsid w:val="00DB7622"/>
    <w:rsid w:val="00DB7E9D"/>
    <w:rsid w:val="00DC26C6"/>
    <w:rsid w:val="00DC277E"/>
    <w:rsid w:val="00DC3027"/>
    <w:rsid w:val="00DC383B"/>
    <w:rsid w:val="00DC3D1F"/>
    <w:rsid w:val="00DD13E3"/>
    <w:rsid w:val="00DD2ED9"/>
    <w:rsid w:val="00DD33A6"/>
    <w:rsid w:val="00DD4A45"/>
    <w:rsid w:val="00DD63D1"/>
    <w:rsid w:val="00DE0362"/>
    <w:rsid w:val="00DE1142"/>
    <w:rsid w:val="00DE222A"/>
    <w:rsid w:val="00DE34C7"/>
    <w:rsid w:val="00DE3DF8"/>
    <w:rsid w:val="00DE5E9E"/>
    <w:rsid w:val="00DE7D44"/>
    <w:rsid w:val="00DF0E81"/>
    <w:rsid w:val="00DF1196"/>
    <w:rsid w:val="00DF73D5"/>
    <w:rsid w:val="00E006A4"/>
    <w:rsid w:val="00E01733"/>
    <w:rsid w:val="00E041AA"/>
    <w:rsid w:val="00E0726C"/>
    <w:rsid w:val="00E12C8B"/>
    <w:rsid w:val="00E13696"/>
    <w:rsid w:val="00E15607"/>
    <w:rsid w:val="00E15BD9"/>
    <w:rsid w:val="00E20153"/>
    <w:rsid w:val="00E213C3"/>
    <w:rsid w:val="00E24AF7"/>
    <w:rsid w:val="00E2637A"/>
    <w:rsid w:val="00E31555"/>
    <w:rsid w:val="00E31DCB"/>
    <w:rsid w:val="00E3267B"/>
    <w:rsid w:val="00E350B1"/>
    <w:rsid w:val="00E355CF"/>
    <w:rsid w:val="00E355D3"/>
    <w:rsid w:val="00E37A69"/>
    <w:rsid w:val="00E40E68"/>
    <w:rsid w:val="00E420DA"/>
    <w:rsid w:val="00E432BC"/>
    <w:rsid w:val="00E452FF"/>
    <w:rsid w:val="00E46A23"/>
    <w:rsid w:val="00E471B1"/>
    <w:rsid w:val="00E47253"/>
    <w:rsid w:val="00E52FB0"/>
    <w:rsid w:val="00E5543F"/>
    <w:rsid w:val="00E61183"/>
    <w:rsid w:val="00E61800"/>
    <w:rsid w:val="00E62303"/>
    <w:rsid w:val="00E658A8"/>
    <w:rsid w:val="00E668DA"/>
    <w:rsid w:val="00E676D9"/>
    <w:rsid w:val="00E71800"/>
    <w:rsid w:val="00E73BE6"/>
    <w:rsid w:val="00E73BEC"/>
    <w:rsid w:val="00E73D9E"/>
    <w:rsid w:val="00E73E25"/>
    <w:rsid w:val="00E74949"/>
    <w:rsid w:val="00E74A8E"/>
    <w:rsid w:val="00E76AD5"/>
    <w:rsid w:val="00E82224"/>
    <w:rsid w:val="00E87A83"/>
    <w:rsid w:val="00E96C97"/>
    <w:rsid w:val="00EA09A8"/>
    <w:rsid w:val="00EA3E32"/>
    <w:rsid w:val="00EA6D61"/>
    <w:rsid w:val="00EA704E"/>
    <w:rsid w:val="00EA7F7C"/>
    <w:rsid w:val="00EB2913"/>
    <w:rsid w:val="00EB42BD"/>
    <w:rsid w:val="00EB642C"/>
    <w:rsid w:val="00EC2475"/>
    <w:rsid w:val="00EC4E86"/>
    <w:rsid w:val="00EC5566"/>
    <w:rsid w:val="00EC69E9"/>
    <w:rsid w:val="00ED12A0"/>
    <w:rsid w:val="00ED2D4B"/>
    <w:rsid w:val="00ED4F9C"/>
    <w:rsid w:val="00ED55F8"/>
    <w:rsid w:val="00ED5689"/>
    <w:rsid w:val="00ED697B"/>
    <w:rsid w:val="00ED70F4"/>
    <w:rsid w:val="00EE0B69"/>
    <w:rsid w:val="00EE0F9A"/>
    <w:rsid w:val="00EE1A69"/>
    <w:rsid w:val="00EE5547"/>
    <w:rsid w:val="00EE7CE2"/>
    <w:rsid w:val="00EF6DB6"/>
    <w:rsid w:val="00EF6EF4"/>
    <w:rsid w:val="00F00091"/>
    <w:rsid w:val="00F005E7"/>
    <w:rsid w:val="00F01476"/>
    <w:rsid w:val="00F0190B"/>
    <w:rsid w:val="00F0202B"/>
    <w:rsid w:val="00F02302"/>
    <w:rsid w:val="00F03454"/>
    <w:rsid w:val="00F0494D"/>
    <w:rsid w:val="00F04A09"/>
    <w:rsid w:val="00F05D9E"/>
    <w:rsid w:val="00F06492"/>
    <w:rsid w:val="00F07ED0"/>
    <w:rsid w:val="00F10121"/>
    <w:rsid w:val="00F1264F"/>
    <w:rsid w:val="00F12882"/>
    <w:rsid w:val="00F1424F"/>
    <w:rsid w:val="00F1577A"/>
    <w:rsid w:val="00F21581"/>
    <w:rsid w:val="00F22362"/>
    <w:rsid w:val="00F24C6B"/>
    <w:rsid w:val="00F26850"/>
    <w:rsid w:val="00F274AF"/>
    <w:rsid w:val="00F308B0"/>
    <w:rsid w:val="00F3163A"/>
    <w:rsid w:val="00F3402B"/>
    <w:rsid w:val="00F365E1"/>
    <w:rsid w:val="00F3673E"/>
    <w:rsid w:val="00F400D9"/>
    <w:rsid w:val="00F40471"/>
    <w:rsid w:val="00F43778"/>
    <w:rsid w:val="00F43A25"/>
    <w:rsid w:val="00F44207"/>
    <w:rsid w:val="00F442EF"/>
    <w:rsid w:val="00F44932"/>
    <w:rsid w:val="00F471C7"/>
    <w:rsid w:val="00F509D2"/>
    <w:rsid w:val="00F53E92"/>
    <w:rsid w:val="00F554B2"/>
    <w:rsid w:val="00F579EE"/>
    <w:rsid w:val="00F57BC9"/>
    <w:rsid w:val="00F60225"/>
    <w:rsid w:val="00F61A0A"/>
    <w:rsid w:val="00F61AD6"/>
    <w:rsid w:val="00F641D8"/>
    <w:rsid w:val="00F64532"/>
    <w:rsid w:val="00F66627"/>
    <w:rsid w:val="00F711EC"/>
    <w:rsid w:val="00F71E61"/>
    <w:rsid w:val="00F75713"/>
    <w:rsid w:val="00F75AB0"/>
    <w:rsid w:val="00F75C73"/>
    <w:rsid w:val="00F81536"/>
    <w:rsid w:val="00F85169"/>
    <w:rsid w:val="00F85239"/>
    <w:rsid w:val="00F8527D"/>
    <w:rsid w:val="00F8540D"/>
    <w:rsid w:val="00F90548"/>
    <w:rsid w:val="00F922EF"/>
    <w:rsid w:val="00F937BD"/>
    <w:rsid w:val="00F962DC"/>
    <w:rsid w:val="00FA07CF"/>
    <w:rsid w:val="00FA2F0E"/>
    <w:rsid w:val="00FA4ABC"/>
    <w:rsid w:val="00FA51C6"/>
    <w:rsid w:val="00FA5D2F"/>
    <w:rsid w:val="00FB11E7"/>
    <w:rsid w:val="00FB7C96"/>
    <w:rsid w:val="00FC1F97"/>
    <w:rsid w:val="00FC460B"/>
    <w:rsid w:val="00FC56B8"/>
    <w:rsid w:val="00FC5F20"/>
    <w:rsid w:val="00FC69AF"/>
    <w:rsid w:val="00FC7B5E"/>
    <w:rsid w:val="00FD079E"/>
    <w:rsid w:val="00FD0B41"/>
    <w:rsid w:val="00FD20A0"/>
    <w:rsid w:val="00FD4991"/>
    <w:rsid w:val="00FE0113"/>
    <w:rsid w:val="00FE0A00"/>
    <w:rsid w:val="00FE0D2A"/>
    <w:rsid w:val="00FE417B"/>
    <w:rsid w:val="00FE6AF1"/>
    <w:rsid w:val="00FE7A2E"/>
    <w:rsid w:val="00FF1392"/>
    <w:rsid w:val="00FF2D63"/>
    <w:rsid w:val="00FF403E"/>
    <w:rsid w:val="00FF6ACF"/>
    <w:rsid w:val="00FF7157"/>
    <w:rsid w:val="01086012"/>
    <w:rsid w:val="012F23D2"/>
    <w:rsid w:val="01353E46"/>
    <w:rsid w:val="013D20EF"/>
    <w:rsid w:val="013D4C8F"/>
    <w:rsid w:val="0141555F"/>
    <w:rsid w:val="01542AFA"/>
    <w:rsid w:val="015460A2"/>
    <w:rsid w:val="015E6630"/>
    <w:rsid w:val="016C75C7"/>
    <w:rsid w:val="018D524F"/>
    <w:rsid w:val="019036D8"/>
    <w:rsid w:val="01A01767"/>
    <w:rsid w:val="01A40E48"/>
    <w:rsid w:val="01A66FAC"/>
    <w:rsid w:val="01BD4FDC"/>
    <w:rsid w:val="01C42B8B"/>
    <w:rsid w:val="01CE3A0A"/>
    <w:rsid w:val="01E90844"/>
    <w:rsid w:val="01E941AE"/>
    <w:rsid w:val="01ED256A"/>
    <w:rsid w:val="01F62F61"/>
    <w:rsid w:val="01FE504C"/>
    <w:rsid w:val="021A6C4F"/>
    <w:rsid w:val="021F6C88"/>
    <w:rsid w:val="02201D8C"/>
    <w:rsid w:val="0221105C"/>
    <w:rsid w:val="02240E71"/>
    <w:rsid w:val="022F6268"/>
    <w:rsid w:val="0230144B"/>
    <w:rsid w:val="023E2A8F"/>
    <w:rsid w:val="023F01AC"/>
    <w:rsid w:val="02497F02"/>
    <w:rsid w:val="025C7268"/>
    <w:rsid w:val="025D37A6"/>
    <w:rsid w:val="02630A21"/>
    <w:rsid w:val="02641C78"/>
    <w:rsid w:val="027520D7"/>
    <w:rsid w:val="027619AC"/>
    <w:rsid w:val="028265A2"/>
    <w:rsid w:val="02910656"/>
    <w:rsid w:val="02930645"/>
    <w:rsid w:val="029452C8"/>
    <w:rsid w:val="0299330C"/>
    <w:rsid w:val="029C2053"/>
    <w:rsid w:val="029E3E12"/>
    <w:rsid w:val="02AE2F1E"/>
    <w:rsid w:val="02B07476"/>
    <w:rsid w:val="02B12263"/>
    <w:rsid w:val="02B34262"/>
    <w:rsid w:val="02BA6D6B"/>
    <w:rsid w:val="02BC6761"/>
    <w:rsid w:val="02C30781"/>
    <w:rsid w:val="02C32A89"/>
    <w:rsid w:val="02EB23C8"/>
    <w:rsid w:val="02ED4254"/>
    <w:rsid w:val="02F54A67"/>
    <w:rsid w:val="02FB586B"/>
    <w:rsid w:val="032764F6"/>
    <w:rsid w:val="032C124E"/>
    <w:rsid w:val="03355FAD"/>
    <w:rsid w:val="03357A15"/>
    <w:rsid w:val="033F6615"/>
    <w:rsid w:val="03483348"/>
    <w:rsid w:val="034A4B76"/>
    <w:rsid w:val="035148F2"/>
    <w:rsid w:val="03604B36"/>
    <w:rsid w:val="03646BB0"/>
    <w:rsid w:val="036A455B"/>
    <w:rsid w:val="03700AD7"/>
    <w:rsid w:val="03881BEB"/>
    <w:rsid w:val="038F71C9"/>
    <w:rsid w:val="03B07722"/>
    <w:rsid w:val="03B94246"/>
    <w:rsid w:val="03C9092D"/>
    <w:rsid w:val="03C947DD"/>
    <w:rsid w:val="03CC3F79"/>
    <w:rsid w:val="03CD0376"/>
    <w:rsid w:val="03E73921"/>
    <w:rsid w:val="03E868D9"/>
    <w:rsid w:val="03EB0F95"/>
    <w:rsid w:val="03F1290E"/>
    <w:rsid w:val="04002E0B"/>
    <w:rsid w:val="040F03FA"/>
    <w:rsid w:val="0412438A"/>
    <w:rsid w:val="04136717"/>
    <w:rsid w:val="041D2A27"/>
    <w:rsid w:val="04332546"/>
    <w:rsid w:val="04533461"/>
    <w:rsid w:val="046E6DDE"/>
    <w:rsid w:val="047015B8"/>
    <w:rsid w:val="048D54DF"/>
    <w:rsid w:val="04B51F1A"/>
    <w:rsid w:val="04BD0338"/>
    <w:rsid w:val="04C56D31"/>
    <w:rsid w:val="04CD0D24"/>
    <w:rsid w:val="04CF0F22"/>
    <w:rsid w:val="04D7542D"/>
    <w:rsid w:val="04DD163F"/>
    <w:rsid w:val="04E452F2"/>
    <w:rsid w:val="04E82F5F"/>
    <w:rsid w:val="05084E1A"/>
    <w:rsid w:val="051C4018"/>
    <w:rsid w:val="0536624A"/>
    <w:rsid w:val="05476ED2"/>
    <w:rsid w:val="0548762F"/>
    <w:rsid w:val="05507187"/>
    <w:rsid w:val="05547F50"/>
    <w:rsid w:val="05586D81"/>
    <w:rsid w:val="055909BC"/>
    <w:rsid w:val="056775E0"/>
    <w:rsid w:val="05812096"/>
    <w:rsid w:val="05962A91"/>
    <w:rsid w:val="05A174D0"/>
    <w:rsid w:val="05A31C11"/>
    <w:rsid w:val="05A54A82"/>
    <w:rsid w:val="05B15E1B"/>
    <w:rsid w:val="05B6570E"/>
    <w:rsid w:val="05B719DB"/>
    <w:rsid w:val="05C8568A"/>
    <w:rsid w:val="05D411B5"/>
    <w:rsid w:val="05DC03BC"/>
    <w:rsid w:val="05E03755"/>
    <w:rsid w:val="05E05D39"/>
    <w:rsid w:val="05EE025B"/>
    <w:rsid w:val="05F81055"/>
    <w:rsid w:val="05FB2E46"/>
    <w:rsid w:val="06274DE9"/>
    <w:rsid w:val="0643158D"/>
    <w:rsid w:val="0652465D"/>
    <w:rsid w:val="06606ACF"/>
    <w:rsid w:val="06632C8A"/>
    <w:rsid w:val="066C44D0"/>
    <w:rsid w:val="066F0F20"/>
    <w:rsid w:val="06780BE4"/>
    <w:rsid w:val="067D77AC"/>
    <w:rsid w:val="0688298E"/>
    <w:rsid w:val="06A978A6"/>
    <w:rsid w:val="06BA577F"/>
    <w:rsid w:val="06C373A0"/>
    <w:rsid w:val="06CA61EA"/>
    <w:rsid w:val="06CE3AAD"/>
    <w:rsid w:val="06D3256B"/>
    <w:rsid w:val="06E93094"/>
    <w:rsid w:val="06F37A6F"/>
    <w:rsid w:val="07142FC9"/>
    <w:rsid w:val="0716354A"/>
    <w:rsid w:val="071A113A"/>
    <w:rsid w:val="071A5532"/>
    <w:rsid w:val="073F7F68"/>
    <w:rsid w:val="07433326"/>
    <w:rsid w:val="074D1200"/>
    <w:rsid w:val="074E4657"/>
    <w:rsid w:val="07701435"/>
    <w:rsid w:val="078057A6"/>
    <w:rsid w:val="07832BA1"/>
    <w:rsid w:val="0791006E"/>
    <w:rsid w:val="07A93817"/>
    <w:rsid w:val="07AA51F7"/>
    <w:rsid w:val="07C047C7"/>
    <w:rsid w:val="07C16E32"/>
    <w:rsid w:val="07C956F1"/>
    <w:rsid w:val="07DE071F"/>
    <w:rsid w:val="07E53D2A"/>
    <w:rsid w:val="07E724F1"/>
    <w:rsid w:val="07F54B10"/>
    <w:rsid w:val="080C0DE8"/>
    <w:rsid w:val="080D2DB2"/>
    <w:rsid w:val="08236132"/>
    <w:rsid w:val="0824157E"/>
    <w:rsid w:val="082A5712"/>
    <w:rsid w:val="08365D8B"/>
    <w:rsid w:val="083932FD"/>
    <w:rsid w:val="083C1D74"/>
    <w:rsid w:val="08442529"/>
    <w:rsid w:val="08664D5B"/>
    <w:rsid w:val="087338E5"/>
    <w:rsid w:val="087E552F"/>
    <w:rsid w:val="08935065"/>
    <w:rsid w:val="08994E2C"/>
    <w:rsid w:val="089E0248"/>
    <w:rsid w:val="08AA7F40"/>
    <w:rsid w:val="08AC09F8"/>
    <w:rsid w:val="08AF1C74"/>
    <w:rsid w:val="08B76FB8"/>
    <w:rsid w:val="08BB3B09"/>
    <w:rsid w:val="08EC3C9C"/>
    <w:rsid w:val="08EF4818"/>
    <w:rsid w:val="08F26284"/>
    <w:rsid w:val="08F57B11"/>
    <w:rsid w:val="08F617F2"/>
    <w:rsid w:val="08F64252"/>
    <w:rsid w:val="08F94C8C"/>
    <w:rsid w:val="08FD0C7A"/>
    <w:rsid w:val="09027DBF"/>
    <w:rsid w:val="090F109A"/>
    <w:rsid w:val="09151314"/>
    <w:rsid w:val="09263609"/>
    <w:rsid w:val="092E2FE0"/>
    <w:rsid w:val="093E5BC8"/>
    <w:rsid w:val="0953633D"/>
    <w:rsid w:val="095867F9"/>
    <w:rsid w:val="096659B3"/>
    <w:rsid w:val="09697733"/>
    <w:rsid w:val="097D56DC"/>
    <w:rsid w:val="09953804"/>
    <w:rsid w:val="099A0675"/>
    <w:rsid w:val="099C034D"/>
    <w:rsid w:val="09A71810"/>
    <w:rsid w:val="09AF52BC"/>
    <w:rsid w:val="09C556F2"/>
    <w:rsid w:val="09C9680A"/>
    <w:rsid w:val="09DB3327"/>
    <w:rsid w:val="09E33DCA"/>
    <w:rsid w:val="09EA33AB"/>
    <w:rsid w:val="09EA6668"/>
    <w:rsid w:val="0A0501E5"/>
    <w:rsid w:val="0A075D0B"/>
    <w:rsid w:val="0A0A57FB"/>
    <w:rsid w:val="0A193C90"/>
    <w:rsid w:val="0A1A77A1"/>
    <w:rsid w:val="0A3E3D26"/>
    <w:rsid w:val="0A4834F8"/>
    <w:rsid w:val="0A6173D2"/>
    <w:rsid w:val="0A682231"/>
    <w:rsid w:val="0A6825A9"/>
    <w:rsid w:val="0A781198"/>
    <w:rsid w:val="0AAC10E4"/>
    <w:rsid w:val="0AB07E4A"/>
    <w:rsid w:val="0AC93B72"/>
    <w:rsid w:val="0ACA6D38"/>
    <w:rsid w:val="0AD35BED"/>
    <w:rsid w:val="0AD53C26"/>
    <w:rsid w:val="0ADD3B4A"/>
    <w:rsid w:val="0AEA7141"/>
    <w:rsid w:val="0AEE775A"/>
    <w:rsid w:val="0AFF5154"/>
    <w:rsid w:val="0B0260FA"/>
    <w:rsid w:val="0B127FA5"/>
    <w:rsid w:val="0B187C06"/>
    <w:rsid w:val="0B462863"/>
    <w:rsid w:val="0B4B3360"/>
    <w:rsid w:val="0B6153F6"/>
    <w:rsid w:val="0B6C4BE2"/>
    <w:rsid w:val="0B832C7E"/>
    <w:rsid w:val="0B895D1E"/>
    <w:rsid w:val="0B903157"/>
    <w:rsid w:val="0B9335CE"/>
    <w:rsid w:val="0BA653BF"/>
    <w:rsid w:val="0BAC6F99"/>
    <w:rsid w:val="0BCD1EAC"/>
    <w:rsid w:val="0BCF142C"/>
    <w:rsid w:val="0BCF27CB"/>
    <w:rsid w:val="0BDC319A"/>
    <w:rsid w:val="0BFB783E"/>
    <w:rsid w:val="0BFD5373"/>
    <w:rsid w:val="0BFD6481"/>
    <w:rsid w:val="0BFE68ED"/>
    <w:rsid w:val="0C0F0CD9"/>
    <w:rsid w:val="0C605BA6"/>
    <w:rsid w:val="0C631998"/>
    <w:rsid w:val="0C6821F6"/>
    <w:rsid w:val="0C9724B3"/>
    <w:rsid w:val="0C990787"/>
    <w:rsid w:val="0C992D4F"/>
    <w:rsid w:val="0CAE3A50"/>
    <w:rsid w:val="0CBF15FF"/>
    <w:rsid w:val="0CC20F4F"/>
    <w:rsid w:val="0CD90540"/>
    <w:rsid w:val="0CD91857"/>
    <w:rsid w:val="0CDA4E4E"/>
    <w:rsid w:val="0CF258A4"/>
    <w:rsid w:val="0D212A41"/>
    <w:rsid w:val="0D214045"/>
    <w:rsid w:val="0D215F2C"/>
    <w:rsid w:val="0D314FE6"/>
    <w:rsid w:val="0D330BC5"/>
    <w:rsid w:val="0D4C1C87"/>
    <w:rsid w:val="0D4C7ED9"/>
    <w:rsid w:val="0D540C02"/>
    <w:rsid w:val="0D571C0F"/>
    <w:rsid w:val="0D5F19BA"/>
    <w:rsid w:val="0D637F0E"/>
    <w:rsid w:val="0D645222"/>
    <w:rsid w:val="0D6A5410"/>
    <w:rsid w:val="0D794CB6"/>
    <w:rsid w:val="0D8324ED"/>
    <w:rsid w:val="0D8F059D"/>
    <w:rsid w:val="0D8F5855"/>
    <w:rsid w:val="0D936D15"/>
    <w:rsid w:val="0D9827E5"/>
    <w:rsid w:val="0DAF3D29"/>
    <w:rsid w:val="0DBB49DC"/>
    <w:rsid w:val="0DBC0BBA"/>
    <w:rsid w:val="0DC466B9"/>
    <w:rsid w:val="0DC54945"/>
    <w:rsid w:val="0DF25BA4"/>
    <w:rsid w:val="0DF77047"/>
    <w:rsid w:val="0DFD573A"/>
    <w:rsid w:val="0DFE1012"/>
    <w:rsid w:val="0E0B029F"/>
    <w:rsid w:val="0E230373"/>
    <w:rsid w:val="0E236E8B"/>
    <w:rsid w:val="0E2A41ED"/>
    <w:rsid w:val="0E30302E"/>
    <w:rsid w:val="0E351EED"/>
    <w:rsid w:val="0E397874"/>
    <w:rsid w:val="0E43752E"/>
    <w:rsid w:val="0E461B92"/>
    <w:rsid w:val="0E6059EA"/>
    <w:rsid w:val="0E632208"/>
    <w:rsid w:val="0E6574A4"/>
    <w:rsid w:val="0E7C6025"/>
    <w:rsid w:val="0E844468"/>
    <w:rsid w:val="0E910299"/>
    <w:rsid w:val="0E9E135B"/>
    <w:rsid w:val="0E9E4764"/>
    <w:rsid w:val="0EA44F43"/>
    <w:rsid w:val="0EA62844"/>
    <w:rsid w:val="0EC2669E"/>
    <w:rsid w:val="0EC95C60"/>
    <w:rsid w:val="0ED75315"/>
    <w:rsid w:val="0ED756CF"/>
    <w:rsid w:val="0EE34A0A"/>
    <w:rsid w:val="0EEF23A4"/>
    <w:rsid w:val="0F24110D"/>
    <w:rsid w:val="0F2500FF"/>
    <w:rsid w:val="0F2A7DB7"/>
    <w:rsid w:val="0F2D61D9"/>
    <w:rsid w:val="0F43254D"/>
    <w:rsid w:val="0F45451E"/>
    <w:rsid w:val="0F5372FC"/>
    <w:rsid w:val="0F543C48"/>
    <w:rsid w:val="0F54568B"/>
    <w:rsid w:val="0F6801CF"/>
    <w:rsid w:val="0F6D3324"/>
    <w:rsid w:val="0F7F71A8"/>
    <w:rsid w:val="0F851480"/>
    <w:rsid w:val="0F8751F8"/>
    <w:rsid w:val="0F9B0554"/>
    <w:rsid w:val="0FAF5422"/>
    <w:rsid w:val="0FAF5990"/>
    <w:rsid w:val="0FB271E8"/>
    <w:rsid w:val="0FB3423F"/>
    <w:rsid w:val="0FB73D2F"/>
    <w:rsid w:val="0FBF1392"/>
    <w:rsid w:val="0FC41BDA"/>
    <w:rsid w:val="0FD84D52"/>
    <w:rsid w:val="0FD93801"/>
    <w:rsid w:val="0FDC41E3"/>
    <w:rsid w:val="0FE95EB3"/>
    <w:rsid w:val="100C40A0"/>
    <w:rsid w:val="10131FB5"/>
    <w:rsid w:val="10176676"/>
    <w:rsid w:val="1031732E"/>
    <w:rsid w:val="10321608"/>
    <w:rsid w:val="10327E3A"/>
    <w:rsid w:val="10374301"/>
    <w:rsid w:val="10394E9C"/>
    <w:rsid w:val="103A764D"/>
    <w:rsid w:val="103B6EC4"/>
    <w:rsid w:val="10457DEF"/>
    <w:rsid w:val="10482BD9"/>
    <w:rsid w:val="104A6951"/>
    <w:rsid w:val="105628E7"/>
    <w:rsid w:val="105A27E6"/>
    <w:rsid w:val="105C0FEB"/>
    <w:rsid w:val="108120DC"/>
    <w:rsid w:val="108950E7"/>
    <w:rsid w:val="109135C4"/>
    <w:rsid w:val="10A4426E"/>
    <w:rsid w:val="10B656D8"/>
    <w:rsid w:val="10BB6F68"/>
    <w:rsid w:val="10C37A22"/>
    <w:rsid w:val="10C556C7"/>
    <w:rsid w:val="10C55FD8"/>
    <w:rsid w:val="10F772EF"/>
    <w:rsid w:val="11017A58"/>
    <w:rsid w:val="11023D17"/>
    <w:rsid w:val="110F34C8"/>
    <w:rsid w:val="111016B8"/>
    <w:rsid w:val="114415F3"/>
    <w:rsid w:val="11491151"/>
    <w:rsid w:val="1159543F"/>
    <w:rsid w:val="116230D1"/>
    <w:rsid w:val="116A7E05"/>
    <w:rsid w:val="11722460"/>
    <w:rsid w:val="117A4F14"/>
    <w:rsid w:val="119D6F55"/>
    <w:rsid w:val="11B63433"/>
    <w:rsid w:val="11CB1987"/>
    <w:rsid w:val="11D529F0"/>
    <w:rsid w:val="11DC5FC8"/>
    <w:rsid w:val="11E71072"/>
    <w:rsid w:val="11F55D84"/>
    <w:rsid w:val="11F95233"/>
    <w:rsid w:val="11FE73E1"/>
    <w:rsid w:val="1206271C"/>
    <w:rsid w:val="120A654C"/>
    <w:rsid w:val="120E39AF"/>
    <w:rsid w:val="12114BE2"/>
    <w:rsid w:val="121911ED"/>
    <w:rsid w:val="122136E2"/>
    <w:rsid w:val="12261816"/>
    <w:rsid w:val="122816CA"/>
    <w:rsid w:val="1231523F"/>
    <w:rsid w:val="12392AE3"/>
    <w:rsid w:val="12404237"/>
    <w:rsid w:val="12421044"/>
    <w:rsid w:val="127A5380"/>
    <w:rsid w:val="12957C2C"/>
    <w:rsid w:val="1298079E"/>
    <w:rsid w:val="12AD5EBA"/>
    <w:rsid w:val="12B10442"/>
    <w:rsid w:val="12C319F0"/>
    <w:rsid w:val="12CB7F7B"/>
    <w:rsid w:val="12D57B5A"/>
    <w:rsid w:val="12D60970"/>
    <w:rsid w:val="12DA74FD"/>
    <w:rsid w:val="130354DD"/>
    <w:rsid w:val="13160E95"/>
    <w:rsid w:val="131D4A08"/>
    <w:rsid w:val="132A077A"/>
    <w:rsid w:val="132B4874"/>
    <w:rsid w:val="13365D96"/>
    <w:rsid w:val="133833D9"/>
    <w:rsid w:val="13401CF4"/>
    <w:rsid w:val="13474541"/>
    <w:rsid w:val="13477178"/>
    <w:rsid w:val="13597FDE"/>
    <w:rsid w:val="135C5234"/>
    <w:rsid w:val="13610A7C"/>
    <w:rsid w:val="136415FC"/>
    <w:rsid w:val="1370511E"/>
    <w:rsid w:val="13741F37"/>
    <w:rsid w:val="138A2CF3"/>
    <w:rsid w:val="139600FA"/>
    <w:rsid w:val="139B1B3C"/>
    <w:rsid w:val="13AC7923"/>
    <w:rsid w:val="13B14F39"/>
    <w:rsid w:val="13BB36C2"/>
    <w:rsid w:val="13C163E4"/>
    <w:rsid w:val="13C24A51"/>
    <w:rsid w:val="13CF69C3"/>
    <w:rsid w:val="13E63AA6"/>
    <w:rsid w:val="13EB21F9"/>
    <w:rsid w:val="13F175F7"/>
    <w:rsid w:val="13F85DC5"/>
    <w:rsid w:val="13FC3073"/>
    <w:rsid w:val="14002DA6"/>
    <w:rsid w:val="140908D1"/>
    <w:rsid w:val="141601C0"/>
    <w:rsid w:val="14183270"/>
    <w:rsid w:val="141D447E"/>
    <w:rsid w:val="141D6B0B"/>
    <w:rsid w:val="142D6F89"/>
    <w:rsid w:val="144554E0"/>
    <w:rsid w:val="144C2ACB"/>
    <w:rsid w:val="145908CD"/>
    <w:rsid w:val="145E67DE"/>
    <w:rsid w:val="1461426A"/>
    <w:rsid w:val="146975C2"/>
    <w:rsid w:val="14802FFF"/>
    <w:rsid w:val="148617D9"/>
    <w:rsid w:val="149258A7"/>
    <w:rsid w:val="149321EC"/>
    <w:rsid w:val="14A979BF"/>
    <w:rsid w:val="14AA6C47"/>
    <w:rsid w:val="14AD74AF"/>
    <w:rsid w:val="14B81325"/>
    <w:rsid w:val="14BB5770"/>
    <w:rsid w:val="14CA4494"/>
    <w:rsid w:val="14DD13B5"/>
    <w:rsid w:val="14DF1102"/>
    <w:rsid w:val="14E74E80"/>
    <w:rsid w:val="14FB05D3"/>
    <w:rsid w:val="14FB1DB1"/>
    <w:rsid w:val="1507775C"/>
    <w:rsid w:val="15082EFA"/>
    <w:rsid w:val="15107A3E"/>
    <w:rsid w:val="15214D63"/>
    <w:rsid w:val="153C5C2E"/>
    <w:rsid w:val="153E6FE7"/>
    <w:rsid w:val="15535F3F"/>
    <w:rsid w:val="155C3CBE"/>
    <w:rsid w:val="156423D0"/>
    <w:rsid w:val="15697093"/>
    <w:rsid w:val="15760076"/>
    <w:rsid w:val="157E5DA4"/>
    <w:rsid w:val="159F6FD6"/>
    <w:rsid w:val="15A5462A"/>
    <w:rsid w:val="15B01BBF"/>
    <w:rsid w:val="15EC3B3E"/>
    <w:rsid w:val="15F1786F"/>
    <w:rsid w:val="15F24B15"/>
    <w:rsid w:val="15F46C2A"/>
    <w:rsid w:val="16121567"/>
    <w:rsid w:val="16175528"/>
    <w:rsid w:val="16236B8C"/>
    <w:rsid w:val="162D4D4B"/>
    <w:rsid w:val="16343F81"/>
    <w:rsid w:val="163634D4"/>
    <w:rsid w:val="163948ED"/>
    <w:rsid w:val="164275F4"/>
    <w:rsid w:val="16430C73"/>
    <w:rsid w:val="164717FA"/>
    <w:rsid w:val="1654148B"/>
    <w:rsid w:val="165710DF"/>
    <w:rsid w:val="16573B76"/>
    <w:rsid w:val="165B71D5"/>
    <w:rsid w:val="16677B31"/>
    <w:rsid w:val="166869FF"/>
    <w:rsid w:val="16700A7A"/>
    <w:rsid w:val="16734728"/>
    <w:rsid w:val="167D1103"/>
    <w:rsid w:val="1683572D"/>
    <w:rsid w:val="1698298B"/>
    <w:rsid w:val="169E0BEA"/>
    <w:rsid w:val="16A3744A"/>
    <w:rsid w:val="16AF7EFC"/>
    <w:rsid w:val="16D00899"/>
    <w:rsid w:val="16DD2BAC"/>
    <w:rsid w:val="16F70EB5"/>
    <w:rsid w:val="17197085"/>
    <w:rsid w:val="172460AC"/>
    <w:rsid w:val="172B1987"/>
    <w:rsid w:val="173054B2"/>
    <w:rsid w:val="17424EAD"/>
    <w:rsid w:val="174C1699"/>
    <w:rsid w:val="17544559"/>
    <w:rsid w:val="175E7E76"/>
    <w:rsid w:val="1763479D"/>
    <w:rsid w:val="178667F0"/>
    <w:rsid w:val="178A4C4F"/>
    <w:rsid w:val="17942AA9"/>
    <w:rsid w:val="17987255"/>
    <w:rsid w:val="179928AA"/>
    <w:rsid w:val="17A739C7"/>
    <w:rsid w:val="17C079EF"/>
    <w:rsid w:val="17C212EB"/>
    <w:rsid w:val="17C42121"/>
    <w:rsid w:val="17CE7E68"/>
    <w:rsid w:val="17D52E53"/>
    <w:rsid w:val="17D66D1D"/>
    <w:rsid w:val="17D82A95"/>
    <w:rsid w:val="17D86805"/>
    <w:rsid w:val="17FB6C91"/>
    <w:rsid w:val="18053F1E"/>
    <w:rsid w:val="18085749"/>
    <w:rsid w:val="180B6D06"/>
    <w:rsid w:val="181A3262"/>
    <w:rsid w:val="181C3FF8"/>
    <w:rsid w:val="18251A52"/>
    <w:rsid w:val="18365CFA"/>
    <w:rsid w:val="18410454"/>
    <w:rsid w:val="184114A1"/>
    <w:rsid w:val="18425C49"/>
    <w:rsid w:val="185F6D12"/>
    <w:rsid w:val="186969E3"/>
    <w:rsid w:val="18883A30"/>
    <w:rsid w:val="188C7694"/>
    <w:rsid w:val="18AE37F5"/>
    <w:rsid w:val="18BE3F0D"/>
    <w:rsid w:val="18C140E3"/>
    <w:rsid w:val="18CD6371"/>
    <w:rsid w:val="18DA0A8E"/>
    <w:rsid w:val="18DC03A2"/>
    <w:rsid w:val="18E11EA5"/>
    <w:rsid w:val="18EB2C9C"/>
    <w:rsid w:val="18FA4C8D"/>
    <w:rsid w:val="19054750"/>
    <w:rsid w:val="19083037"/>
    <w:rsid w:val="19092828"/>
    <w:rsid w:val="19103908"/>
    <w:rsid w:val="1933462F"/>
    <w:rsid w:val="19390D64"/>
    <w:rsid w:val="19554C37"/>
    <w:rsid w:val="19566DB3"/>
    <w:rsid w:val="196279A1"/>
    <w:rsid w:val="196B7938"/>
    <w:rsid w:val="198040A4"/>
    <w:rsid w:val="19830CDA"/>
    <w:rsid w:val="198C37FE"/>
    <w:rsid w:val="19A941C1"/>
    <w:rsid w:val="19AE5ACF"/>
    <w:rsid w:val="19AF5A77"/>
    <w:rsid w:val="19B3071D"/>
    <w:rsid w:val="19B675DA"/>
    <w:rsid w:val="19C57049"/>
    <w:rsid w:val="19C637E5"/>
    <w:rsid w:val="19C721FB"/>
    <w:rsid w:val="19CE5CD8"/>
    <w:rsid w:val="19F02EFF"/>
    <w:rsid w:val="1A052165"/>
    <w:rsid w:val="1A063EF5"/>
    <w:rsid w:val="1A0F3AD5"/>
    <w:rsid w:val="1A0F6516"/>
    <w:rsid w:val="1A0F7374"/>
    <w:rsid w:val="1A142D27"/>
    <w:rsid w:val="1A1816AF"/>
    <w:rsid w:val="1A302494"/>
    <w:rsid w:val="1A330E88"/>
    <w:rsid w:val="1A407304"/>
    <w:rsid w:val="1A60672B"/>
    <w:rsid w:val="1A630F50"/>
    <w:rsid w:val="1A6732FB"/>
    <w:rsid w:val="1A7871D0"/>
    <w:rsid w:val="1A7929A3"/>
    <w:rsid w:val="1A7B4669"/>
    <w:rsid w:val="1A870B38"/>
    <w:rsid w:val="1A8C5DB8"/>
    <w:rsid w:val="1A8C6CF6"/>
    <w:rsid w:val="1A9417D9"/>
    <w:rsid w:val="1AA572B8"/>
    <w:rsid w:val="1AA70EB7"/>
    <w:rsid w:val="1AAA4949"/>
    <w:rsid w:val="1AB31D2F"/>
    <w:rsid w:val="1AC00AAF"/>
    <w:rsid w:val="1ACE55DA"/>
    <w:rsid w:val="1ACE6054"/>
    <w:rsid w:val="1ACE6D27"/>
    <w:rsid w:val="1AD734D7"/>
    <w:rsid w:val="1AE0038B"/>
    <w:rsid w:val="1AE34AB0"/>
    <w:rsid w:val="1AEF625F"/>
    <w:rsid w:val="1B403FA5"/>
    <w:rsid w:val="1B450A9E"/>
    <w:rsid w:val="1B481CDF"/>
    <w:rsid w:val="1B4B17D0"/>
    <w:rsid w:val="1B524326"/>
    <w:rsid w:val="1B55168B"/>
    <w:rsid w:val="1B561283"/>
    <w:rsid w:val="1B5A455C"/>
    <w:rsid w:val="1B63458F"/>
    <w:rsid w:val="1B645069"/>
    <w:rsid w:val="1B7D1BE7"/>
    <w:rsid w:val="1B7D1D15"/>
    <w:rsid w:val="1B8637EA"/>
    <w:rsid w:val="1B966EEF"/>
    <w:rsid w:val="1BDD1B28"/>
    <w:rsid w:val="1BE57F51"/>
    <w:rsid w:val="1BF14125"/>
    <w:rsid w:val="1C022610"/>
    <w:rsid w:val="1C037CCC"/>
    <w:rsid w:val="1C085913"/>
    <w:rsid w:val="1C0876C1"/>
    <w:rsid w:val="1C147793"/>
    <w:rsid w:val="1C2F4A48"/>
    <w:rsid w:val="1C37598E"/>
    <w:rsid w:val="1C400DCC"/>
    <w:rsid w:val="1C4A3D51"/>
    <w:rsid w:val="1C550B58"/>
    <w:rsid w:val="1C6062B5"/>
    <w:rsid w:val="1C656B00"/>
    <w:rsid w:val="1C657709"/>
    <w:rsid w:val="1C6D522B"/>
    <w:rsid w:val="1C703A01"/>
    <w:rsid w:val="1C762201"/>
    <w:rsid w:val="1C87757C"/>
    <w:rsid w:val="1C911F05"/>
    <w:rsid w:val="1C9232F2"/>
    <w:rsid w:val="1C943E77"/>
    <w:rsid w:val="1C993860"/>
    <w:rsid w:val="1CA06DAD"/>
    <w:rsid w:val="1CB517E1"/>
    <w:rsid w:val="1CBF5FD1"/>
    <w:rsid w:val="1CC07FCD"/>
    <w:rsid w:val="1CCD060E"/>
    <w:rsid w:val="1CCE78E1"/>
    <w:rsid w:val="1CD4109A"/>
    <w:rsid w:val="1CDE3631"/>
    <w:rsid w:val="1CE814D1"/>
    <w:rsid w:val="1CFD2714"/>
    <w:rsid w:val="1CFE11B3"/>
    <w:rsid w:val="1D00167E"/>
    <w:rsid w:val="1D01132A"/>
    <w:rsid w:val="1D022EEB"/>
    <w:rsid w:val="1D2C5B34"/>
    <w:rsid w:val="1D3444B7"/>
    <w:rsid w:val="1D383382"/>
    <w:rsid w:val="1D3A1AFC"/>
    <w:rsid w:val="1D3F2887"/>
    <w:rsid w:val="1D413DD6"/>
    <w:rsid w:val="1D442082"/>
    <w:rsid w:val="1D494085"/>
    <w:rsid w:val="1D6104E9"/>
    <w:rsid w:val="1D6D5E73"/>
    <w:rsid w:val="1D6E2EA0"/>
    <w:rsid w:val="1D7C0366"/>
    <w:rsid w:val="1D8C44DA"/>
    <w:rsid w:val="1D90430C"/>
    <w:rsid w:val="1DA228F6"/>
    <w:rsid w:val="1DA26C67"/>
    <w:rsid w:val="1DB571C9"/>
    <w:rsid w:val="1DB624A5"/>
    <w:rsid w:val="1DBF6F58"/>
    <w:rsid w:val="1DFB74DD"/>
    <w:rsid w:val="1DFC5003"/>
    <w:rsid w:val="1E203D43"/>
    <w:rsid w:val="1E2527AC"/>
    <w:rsid w:val="1E2A3F9F"/>
    <w:rsid w:val="1E571C44"/>
    <w:rsid w:val="1E65546D"/>
    <w:rsid w:val="1E7B6900"/>
    <w:rsid w:val="1E933E22"/>
    <w:rsid w:val="1EB60A31"/>
    <w:rsid w:val="1EBB57E0"/>
    <w:rsid w:val="1EC6457D"/>
    <w:rsid w:val="1EC7170B"/>
    <w:rsid w:val="1EC7534C"/>
    <w:rsid w:val="1ECD7160"/>
    <w:rsid w:val="1ECE699F"/>
    <w:rsid w:val="1ED11BB0"/>
    <w:rsid w:val="1ED34F83"/>
    <w:rsid w:val="1ED641E3"/>
    <w:rsid w:val="1EED4935"/>
    <w:rsid w:val="1EF15FC6"/>
    <w:rsid w:val="1F196F16"/>
    <w:rsid w:val="1F1F544D"/>
    <w:rsid w:val="1F294330"/>
    <w:rsid w:val="1F2A3EE6"/>
    <w:rsid w:val="1F5164BE"/>
    <w:rsid w:val="1F530AFF"/>
    <w:rsid w:val="1F550636"/>
    <w:rsid w:val="1F5642FC"/>
    <w:rsid w:val="1F5813B4"/>
    <w:rsid w:val="1F6725BD"/>
    <w:rsid w:val="1F6F0182"/>
    <w:rsid w:val="1F751014"/>
    <w:rsid w:val="1F7A16FF"/>
    <w:rsid w:val="1F841E94"/>
    <w:rsid w:val="1F86410F"/>
    <w:rsid w:val="1F88077C"/>
    <w:rsid w:val="1F987D78"/>
    <w:rsid w:val="1F9F20EA"/>
    <w:rsid w:val="1FAD0B55"/>
    <w:rsid w:val="1FB57B5F"/>
    <w:rsid w:val="1FBA786C"/>
    <w:rsid w:val="1FC55FF4"/>
    <w:rsid w:val="1FDF7221"/>
    <w:rsid w:val="1FE07DD2"/>
    <w:rsid w:val="1FF72B1D"/>
    <w:rsid w:val="2000702C"/>
    <w:rsid w:val="201952D2"/>
    <w:rsid w:val="2020109E"/>
    <w:rsid w:val="20220096"/>
    <w:rsid w:val="202816B6"/>
    <w:rsid w:val="20352DB6"/>
    <w:rsid w:val="204E725A"/>
    <w:rsid w:val="205050F3"/>
    <w:rsid w:val="20542A53"/>
    <w:rsid w:val="20665891"/>
    <w:rsid w:val="20823312"/>
    <w:rsid w:val="208241B4"/>
    <w:rsid w:val="208F5999"/>
    <w:rsid w:val="20AA6F98"/>
    <w:rsid w:val="20AF45AF"/>
    <w:rsid w:val="20B05494"/>
    <w:rsid w:val="20B417FA"/>
    <w:rsid w:val="20BD4F1E"/>
    <w:rsid w:val="20D109C9"/>
    <w:rsid w:val="20EE5770"/>
    <w:rsid w:val="20FD17BE"/>
    <w:rsid w:val="2107261C"/>
    <w:rsid w:val="210B52D2"/>
    <w:rsid w:val="21147FEE"/>
    <w:rsid w:val="2132760F"/>
    <w:rsid w:val="213F7E47"/>
    <w:rsid w:val="21592FEC"/>
    <w:rsid w:val="215B2DFE"/>
    <w:rsid w:val="215C5CD9"/>
    <w:rsid w:val="215F2E6D"/>
    <w:rsid w:val="218B2E3C"/>
    <w:rsid w:val="219E13DD"/>
    <w:rsid w:val="21AC3DB3"/>
    <w:rsid w:val="21B5456C"/>
    <w:rsid w:val="21C0289A"/>
    <w:rsid w:val="21C314C7"/>
    <w:rsid w:val="21CB366A"/>
    <w:rsid w:val="21E53DD4"/>
    <w:rsid w:val="21F91F85"/>
    <w:rsid w:val="21FE67C3"/>
    <w:rsid w:val="21FF567A"/>
    <w:rsid w:val="220019CB"/>
    <w:rsid w:val="22080E1D"/>
    <w:rsid w:val="222E4A4B"/>
    <w:rsid w:val="224564ED"/>
    <w:rsid w:val="225B1C1A"/>
    <w:rsid w:val="22655D1C"/>
    <w:rsid w:val="227A5579"/>
    <w:rsid w:val="227B3EC3"/>
    <w:rsid w:val="229323DA"/>
    <w:rsid w:val="22AC6E9D"/>
    <w:rsid w:val="22AF6B28"/>
    <w:rsid w:val="22BF1959"/>
    <w:rsid w:val="22FE3A70"/>
    <w:rsid w:val="23007343"/>
    <w:rsid w:val="230A1D1E"/>
    <w:rsid w:val="230F3D0A"/>
    <w:rsid w:val="232E3EB1"/>
    <w:rsid w:val="23341448"/>
    <w:rsid w:val="23385650"/>
    <w:rsid w:val="23425BAE"/>
    <w:rsid w:val="23517B9F"/>
    <w:rsid w:val="23531B69"/>
    <w:rsid w:val="235C6C70"/>
    <w:rsid w:val="237F04EF"/>
    <w:rsid w:val="23841437"/>
    <w:rsid w:val="23880DD8"/>
    <w:rsid w:val="238A3CA3"/>
    <w:rsid w:val="23AA4BFB"/>
    <w:rsid w:val="23AF4708"/>
    <w:rsid w:val="23B73EA6"/>
    <w:rsid w:val="23C16A9A"/>
    <w:rsid w:val="23C465C3"/>
    <w:rsid w:val="23E66003"/>
    <w:rsid w:val="23F80076"/>
    <w:rsid w:val="23FC534D"/>
    <w:rsid w:val="23FE2FB7"/>
    <w:rsid w:val="23FE3AF7"/>
    <w:rsid w:val="24150BCD"/>
    <w:rsid w:val="241B7142"/>
    <w:rsid w:val="241F6BDF"/>
    <w:rsid w:val="24452007"/>
    <w:rsid w:val="244802C7"/>
    <w:rsid w:val="244C0B39"/>
    <w:rsid w:val="245A32E7"/>
    <w:rsid w:val="246102B6"/>
    <w:rsid w:val="24635935"/>
    <w:rsid w:val="24660E6A"/>
    <w:rsid w:val="24665559"/>
    <w:rsid w:val="24691825"/>
    <w:rsid w:val="248E0BEE"/>
    <w:rsid w:val="249222CA"/>
    <w:rsid w:val="249B49DE"/>
    <w:rsid w:val="24B056E4"/>
    <w:rsid w:val="24BE3012"/>
    <w:rsid w:val="24CC572F"/>
    <w:rsid w:val="24CF65FC"/>
    <w:rsid w:val="24D258A5"/>
    <w:rsid w:val="24DA6A74"/>
    <w:rsid w:val="24DB4BCD"/>
    <w:rsid w:val="24F602A0"/>
    <w:rsid w:val="250025A0"/>
    <w:rsid w:val="252966D9"/>
    <w:rsid w:val="25296C9F"/>
    <w:rsid w:val="25401D76"/>
    <w:rsid w:val="2544236B"/>
    <w:rsid w:val="25453733"/>
    <w:rsid w:val="255249D2"/>
    <w:rsid w:val="255A0F8D"/>
    <w:rsid w:val="256C3562"/>
    <w:rsid w:val="257F6C45"/>
    <w:rsid w:val="25882662"/>
    <w:rsid w:val="258C736F"/>
    <w:rsid w:val="25977271"/>
    <w:rsid w:val="259B2D68"/>
    <w:rsid w:val="259E7D45"/>
    <w:rsid w:val="25A6077B"/>
    <w:rsid w:val="25A941CC"/>
    <w:rsid w:val="25A97E1E"/>
    <w:rsid w:val="25B40CD0"/>
    <w:rsid w:val="25BC160E"/>
    <w:rsid w:val="25BF4424"/>
    <w:rsid w:val="25C17AFA"/>
    <w:rsid w:val="25C251DB"/>
    <w:rsid w:val="25E00E0C"/>
    <w:rsid w:val="25EF379B"/>
    <w:rsid w:val="25FA611E"/>
    <w:rsid w:val="25FC2044"/>
    <w:rsid w:val="260C11C1"/>
    <w:rsid w:val="261049C1"/>
    <w:rsid w:val="261E645E"/>
    <w:rsid w:val="26215F4F"/>
    <w:rsid w:val="26383109"/>
    <w:rsid w:val="264043A1"/>
    <w:rsid w:val="2641214D"/>
    <w:rsid w:val="264E7E9A"/>
    <w:rsid w:val="26597FFC"/>
    <w:rsid w:val="265F30DF"/>
    <w:rsid w:val="26697AAB"/>
    <w:rsid w:val="266D2F42"/>
    <w:rsid w:val="2673065B"/>
    <w:rsid w:val="26746071"/>
    <w:rsid w:val="267839D3"/>
    <w:rsid w:val="26802C75"/>
    <w:rsid w:val="268423E1"/>
    <w:rsid w:val="26890627"/>
    <w:rsid w:val="26937CAB"/>
    <w:rsid w:val="26A43060"/>
    <w:rsid w:val="26BB1EFF"/>
    <w:rsid w:val="26BB2001"/>
    <w:rsid w:val="26C467F8"/>
    <w:rsid w:val="26DD103B"/>
    <w:rsid w:val="26E35358"/>
    <w:rsid w:val="270E00FE"/>
    <w:rsid w:val="270E298C"/>
    <w:rsid w:val="270E29F5"/>
    <w:rsid w:val="271512D2"/>
    <w:rsid w:val="272A0E33"/>
    <w:rsid w:val="272A2D2F"/>
    <w:rsid w:val="274020AE"/>
    <w:rsid w:val="27446B6F"/>
    <w:rsid w:val="274F752C"/>
    <w:rsid w:val="27520933"/>
    <w:rsid w:val="27584657"/>
    <w:rsid w:val="275E5A93"/>
    <w:rsid w:val="27736226"/>
    <w:rsid w:val="27755DA7"/>
    <w:rsid w:val="277C7F9A"/>
    <w:rsid w:val="279D2924"/>
    <w:rsid w:val="27A52E1A"/>
    <w:rsid w:val="27AC7A9A"/>
    <w:rsid w:val="27BF60E1"/>
    <w:rsid w:val="27C53958"/>
    <w:rsid w:val="27D36D37"/>
    <w:rsid w:val="27DA4B73"/>
    <w:rsid w:val="27E61F25"/>
    <w:rsid w:val="27EC31BB"/>
    <w:rsid w:val="27ED2CBD"/>
    <w:rsid w:val="27F53BDC"/>
    <w:rsid w:val="27F63DA6"/>
    <w:rsid w:val="27FA5CB6"/>
    <w:rsid w:val="280D34EA"/>
    <w:rsid w:val="281466B1"/>
    <w:rsid w:val="281713B7"/>
    <w:rsid w:val="281824A7"/>
    <w:rsid w:val="28312BBF"/>
    <w:rsid w:val="283902DE"/>
    <w:rsid w:val="283B7736"/>
    <w:rsid w:val="284C64E6"/>
    <w:rsid w:val="2852403A"/>
    <w:rsid w:val="28530F27"/>
    <w:rsid w:val="285F673E"/>
    <w:rsid w:val="28644CCA"/>
    <w:rsid w:val="28687E65"/>
    <w:rsid w:val="286B1C5E"/>
    <w:rsid w:val="28732D83"/>
    <w:rsid w:val="288F6949"/>
    <w:rsid w:val="28911AF2"/>
    <w:rsid w:val="289151CA"/>
    <w:rsid w:val="28A10C81"/>
    <w:rsid w:val="28A2680F"/>
    <w:rsid w:val="28AB1AFF"/>
    <w:rsid w:val="28B12855"/>
    <w:rsid w:val="28B63487"/>
    <w:rsid w:val="28DF17A9"/>
    <w:rsid w:val="28E92551"/>
    <w:rsid w:val="28EB31BC"/>
    <w:rsid w:val="28EB583C"/>
    <w:rsid w:val="28EB65CC"/>
    <w:rsid w:val="28EC2844"/>
    <w:rsid w:val="28F402DA"/>
    <w:rsid w:val="28FC78BE"/>
    <w:rsid w:val="29000A40"/>
    <w:rsid w:val="290F29AF"/>
    <w:rsid w:val="292D0766"/>
    <w:rsid w:val="293634F4"/>
    <w:rsid w:val="29600B3C"/>
    <w:rsid w:val="29606D8E"/>
    <w:rsid w:val="29671ECA"/>
    <w:rsid w:val="29770361"/>
    <w:rsid w:val="2985201E"/>
    <w:rsid w:val="29A273A6"/>
    <w:rsid w:val="29B0702E"/>
    <w:rsid w:val="29C55899"/>
    <w:rsid w:val="29C96048"/>
    <w:rsid w:val="29D3130E"/>
    <w:rsid w:val="29DC1452"/>
    <w:rsid w:val="29EB48A9"/>
    <w:rsid w:val="29F2147C"/>
    <w:rsid w:val="2A0C4A40"/>
    <w:rsid w:val="2A0D3DED"/>
    <w:rsid w:val="2A104310"/>
    <w:rsid w:val="2A133E00"/>
    <w:rsid w:val="2A134AF4"/>
    <w:rsid w:val="2A255C2B"/>
    <w:rsid w:val="2A2B7BC9"/>
    <w:rsid w:val="2A3A5DF9"/>
    <w:rsid w:val="2A4926C2"/>
    <w:rsid w:val="2A4B107A"/>
    <w:rsid w:val="2A4D2BFD"/>
    <w:rsid w:val="2A530EDF"/>
    <w:rsid w:val="2A574428"/>
    <w:rsid w:val="2A5F6992"/>
    <w:rsid w:val="2A7949E3"/>
    <w:rsid w:val="2A80647C"/>
    <w:rsid w:val="2A8E62B6"/>
    <w:rsid w:val="2A9572CC"/>
    <w:rsid w:val="2A9C0162"/>
    <w:rsid w:val="2AA9206F"/>
    <w:rsid w:val="2AD81233"/>
    <w:rsid w:val="2AE63EFE"/>
    <w:rsid w:val="2AFE060C"/>
    <w:rsid w:val="2B053749"/>
    <w:rsid w:val="2B195446"/>
    <w:rsid w:val="2B2E227F"/>
    <w:rsid w:val="2B2F07C6"/>
    <w:rsid w:val="2B3404E2"/>
    <w:rsid w:val="2B363CF4"/>
    <w:rsid w:val="2B3A7305"/>
    <w:rsid w:val="2B425FD0"/>
    <w:rsid w:val="2B4268A6"/>
    <w:rsid w:val="2B536BAA"/>
    <w:rsid w:val="2B6F5066"/>
    <w:rsid w:val="2B8C79C6"/>
    <w:rsid w:val="2B9B40AD"/>
    <w:rsid w:val="2B9B4F58"/>
    <w:rsid w:val="2BA3696C"/>
    <w:rsid w:val="2BAA0794"/>
    <w:rsid w:val="2BB67A51"/>
    <w:rsid w:val="2BB769EE"/>
    <w:rsid w:val="2BB8130D"/>
    <w:rsid w:val="2BC058C2"/>
    <w:rsid w:val="2BC1223D"/>
    <w:rsid w:val="2BC40014"/>
    <w:rsid w:val="2BC51B34"/>
    <w:rsid w:val="2BDE3F9A"/>
    <w:rsid w:val="2BE07D12"/>
    <w:rsid w:val="2BF95140"/>
    <w:rsid w:val="2C063C1D"/>
    <w:rsid w:val="2C0B194E"/>
    <w:rsid w:val="2C1A4F62"/>
    <w:rsid w:val="2C1D0F66"/>
    <w:rsid w:val="2C3447BE"/>
    <w:rsid w:val="2C3B1B1B"/>
    <w:rsid w:val="2C3C07B5"/>
    <w:rsid w:val="2C3C1CCE"/>
    <w:rsid w:val="2C3D3C75"/>
    <w:rsid w:val="2C4B420E"/>
    <w:rsid w:val="2C56006A"/>
    <w:rsid w:val="2C567FD4"/>
    <w:rsid w:val="2C5A16A1"/>
    <w:rsid w:val="2C5F50DB"/>
    <w:rsid w:val="2C660165"/>
    <w:rsid w:val="2C6619D7"/>
    <w:rsid w:val="2C6A0BA3"/>
    <w:rsid w:val="2C6E17C2"/>
    <w:rsid w:val="2C88386D"/>
    <w:rsid w:val="2C8A76F4"/>
    <w:rsid w:val="2C931BC6"/>
    <w:rsid w:val="2CA45E14"/>
    <w:rsid w:val="2CB43679"/>
    <w:rsid w:val="2CB62CA6"/>
    <w:rsid w:val="2CD40261"/>
    <w:rsid w:val="2CEE34EF"/>
    <w:rsid w:val="2CF605F7"/>
    <w:rsid w:val="2D016FE9"/>
    <w:rsid w:val="2D14362B"/>
    <w:rsid w:val="2D2E304F"/>
    <w:rsid w:val="2D3821CA"/>
    <w:rsid w:val="2D3C07FE"/>
    <w:rsid w:val="2D5756FC"/>
    <w:rsid w:val="2D5D5591"/>
    <w:rsid w:val="2D74743A"/>
    <w:rsid w:val="2D7C11D4"/>
    <w:rsid w:val="2D7F4766"/>
    <w:rsid w:val="2D8D3A62"/>
    <w:rsid w:val="2DAF3E40"/>
    <w:rsid w:val="2DBE7F60"/>
    <w:rsid w:val="2DDF3360"/>
    <w:rsid w:val="2DE81100"/>
    <w:rsid w:val="2DF6381D"/>
    <w:rsid w:val="2DF6788C"/>
    <w:rsid w:val="2E0777D8"/>
    <w:rsid w:val="2E0D1588"/>
    <w:rsid w:val="2E3944B7"/>
    <w:rsid w:val="2E3D6EFE"/>
    <w:rsid w:val="2E4749F8"/>
    <w:rsid w:val="2E4C1B78"/>
    <w:rsid w:val="2E73313B"/>
    <w:rsid w:val="2E81720F"/>
    <w:rsid w:val="2E866E5E"/>
    <w:rsid w:val="2E9077CD"/>
    <w:rsid w:val="2EA916B2"/>
    <w:rsid w:val="2EB46A04"/>
    <w:rsid w:val="2EB84F76"/>
    <w:rsid w:val="2EC62DA5"/>
    <w:rsid w:val="2ECB7077"/>
    <w:rsid w:val="2EED318E"/>
    <w:rsid w:val="2EFE3F3B"/>
    <w:rsid w:val="2F0C331C"/>
    <w:rsid w:val="2F0F1794"/>
    <w:rsid w:val="2F176141"/>
    <w:rsid w:val="2F1A0856"/>
    <w:rsid w:val="2F1B61EC"/>
    <w:rsid w:val="2F2443BA"/>
    <w:rsid w:val="2F2B5B05"/>
    <w:rsid w:val="2F386C31"/>
    <w:rsid w:val="2F475C7E"/>
    <w:rsid w:val="2F486024"/>
    <w:rsid w:val="2F523B34"/>
    <w:rsid w:val="2F5E78CC"/>
    <w:rsid w:val="2F667CCB"/>
    <w:rsid w:val="2F681310"/>
    <w:rsid w:val="2F6C283B"/>
    <w:rsid w:val="2F743B89"/>
    <w:rsid w:val="2F7E2877"/>
    <w:rsid w:val="2F8567D8"/>
    <w:rsid w:val="2F8B5040"/>
    <w:rsid w:val="2F9107C4"/>
    <w:rsid w:val="2F961B57"/>
    <w:rsid w:val="2FA40DFE"/>
    <w:rsid w:val="2FB63264"/>
    <w:rsid w:val="2FC33BD3"/>
    <w:rsid w:val="2FC653E2"/>
    <w:rsid w:val="2FDC6A42"/>
    <w:rsid w:val="2FE65B09"/>
    <w:rsid w:val="2FFF53A8"/>
    <w:rsid w:val="30047098"/>
    <w:rsid w:val="30077F63"/>
    <w:rsid w:val="30115CE5"/>
    <w:rsid w:val="30135C1F"/>
    <w:rsid w:val="30191760"/>
    <w:rsid w:val="3028092A"/>
    <w:rsid w:val="302F54E7"/>
    <w:rsid w:val="30477D6F"/>
    <w:rsid w:val="304863A9"/>
    <w:rsid w:val="306C4DF1"/>
    <w:rsid w:val="306F2ABE"/>
    <w:rsid w:val="30726790"/>
    <w:rsid w:val="30801AC4"/>
    <w:rsid w:val="30823D65"/>
    <w:rsid w:val="30831C53"/>
    <w:rsid w:val="308E438B"/>
    <w:rsid w:val="30A43A04"/>
    <w:rsid w:val="30C87FB8"/>
    <w:rsid w:val="30CB1DAF"/>
    <w:rsid w:val="30E90E2B"/>
    <w:rsid w:val="30E91417"/>
    <w:rsid w:val="30ED02EA"/>
    <w:rsid w:val="30FF267A"/>
    <w:rsid w:val="30FF594C"/>
    <w:rsid w:val="310A2A14"/>
    <w:rsid w:val="310F59F0"/>
    <w:rsid w:val="31395BA8"/>
    <w:rsid w:val="3141666D"/>
    <w:rsid w:val="31422C6A"/>
    <w:rsid w:val="3143321D"/>
    <w:rsid w:val="31480833"/>
    <w:rsid w:val="314B14BF"/>
    <w:rsid w:val="3158219E"/>
    <w:rsid w:val="316D537E"/>
    <w:rsid w:val="31716348"/>
    <w:rsid w:val="317355F2"/>
    <w:rsid w:val="31807FCD"/>
    <w:rsid w:val="3185517F"/>
    <w:rsid w:val="3185793C"/>
    <w:rsid w:val="319475D5"/>
    <w:rsid w:val="31975317"/>
    <w:rsid w:val="31A041CB"/>
    <w:rsid w:val="31A87524"/>
    <w:rsid w:val="31B06C89"/>
    <w:rsid w:val="31B91778"/>
    <w:rsid w:val="31BB70E3"/>
    <w:rsid w:val="31C2569E"/>
    <w:rsid w:val="31C96BD0"/>
    <w:rsid w:val="31D04385"/>
    <w:rsid w:val="31D9377A"/>
    <w:rsid w:val="31E15891"/>
    <w:rsid w:val="31F043F4"/>
    <w:rsid w:val="32170EE1"/>
    <w:rsid w:val="325066A8"/>
    <w:rsid w:val="32563FE3"/>
    <w:rsid w:val="325C6E21"/>
    <w:rsid w:val="325D3410"/>
    <w:rsid w:val="325F0A17"/>
    <w:rsid w:val="3260226B"/>
    <w:rsid w:val="327652E9"/>
    <w:rsid w:val="327A5FF1"/>
    <w:rsid w:val="32810B80"/>
    <w:rsid w:val="32821347"/>
    <w:rsid w:val="32A55CC0"/>
    <w:rsid w:val="32A937D2"/>
    <w:rsid w:val="32C95971"/>
    <w:rsid w:val="32CF5928"/>
    <w:rsid w:val="32D97115"/>
    <w:rsid w:val="32DF2AD1"/>
    <w:rsid w:val="32E41009"/>
    <w:rsid w:val="32E9078F"/>
    <w:rsid w:val="32ED34FF"/>
    <w:rsid w:val="330856D0"/>
    <w:rsid w:val="332B3F69"/>
    <w:rsid w:val="33316646"/>
    <w:rsid w:val="333A06E2"/>
    <w:rsid w:val="33462B8C"/>
    <w:rsid w:val="33491C13"/>
    <w:rsid w:val="335E45B2"/>
    <w:rsid w:val="33617488"/>
    <w:rsid w:val="33680D19"/>
    <w:rsid w:val="33691E57"/>
    <w:rsid w:val="336E025D"/>
    <w:rsid w:val="336F654B"/>
    <w:rsid w:val="33735D99"/>
    <w:rsid w:val="33736E76"/>
    <w:rsid w:val="337570A4"/>
    <w:rsid w:val="33833CFC"/>
    <w:rsid w:val="33A269EC"/>
    <w:rsid w:val="33A856B1"/>
    <w:rsid w:val="33A930DF"/>
    <w:rsid w:val="33AB2922"/>
    <w:rsid w:val="33AE6B10"/>
    <w:rsid w:val="33B73314"/>
    <w:rsid w:val="33C50B9E"/>
    <w:rsid w:val="33D30EC6"/>
    <w:rsid w:val="33D867E1"/>
    <w:rsid w:val="33D976B3"/>
    <w:rsid w:val="33DB2EFB"/>
    <w:rsid w:val="33DC6CF8"/>
    <w:rsid w:val="33EE36D1"/>
    <w:rsid w:val="33F54490"/>
    <w:rsid w:val="33F85833"/>
    <w:rsid w:val="33F94458"/>
    <w:rsid w:val="340B1EAD"/>
    <w:rsid w:val="34111989"/>
    <w:rsid w:val="341266A4"/>
    <w:rsid w:val="341804E9"/>
    <w:rsid w:val="3429350C"/>
    <w:rsid w:val="343C76C2"/>
    <w:rsid w:val="343D0166"/>
    <w:rsid w:val="343D6C24"/>
    <w:rsid w:val="345873A9"/>
    <w:rsid w:val="347C5D20"/>
    <w:rsid w:val="348C4EDB"/>
    <w:rsid w:val="348E765D"/>
    <w:rsid w:val="34997F68"/>
    <w:rsid w:val="349D6F1D"/>
    <w:rsid w:val="34AF7CC9"/>
    <w:rsid w:val="34B14942"/>
    <w:rsid w:val="34C87463"/>
    <w:rsid w:val="34DB376C"/>
    <w:rsid w:val="34E526B4"/>
    <w:rsid w:val="34E62A3C"/>
    <w:rsid w:val="34F03DC0"/>
    <w:rsid w:val="34FE7262"/>
    <w:rsid w:val="35092088"/>
    <w:rsid w:val="352407FC"/>
    <w:rsid w:val="352612DF"/>
    <w:rsid w:val="35284201"/>
    <w:rsid w:val="35322B1F"/>
    <w:rsid w:val="3535498A"/>
    <w:rsid w:val="35471E10"/>
    <w:rsid w:val="354F3660"/>
    <w:rsid w:val="355004C3"/>
    <w:rsid w:val="3556146D"/>
    <w:rsid w:val="355724F0"/>
    <w:rsid w:val="35584DBD"/>
    <w:rsid w:val="356B5D07"/>
    <w:rsid w:val="357240D1"/>
    <w:rsid w:val="357A4D33"/>
    <w:rsid w:val="35810326"/>
    <w:rsid w:val="358C5E8C"/>
    <w:rsid w:val="358D7C9B"/>
    <w:rsid w:val="358E2186"/>
    <w:rsid w:val="35A53AF4"/>
    <w:rsid w:val="35AA4C6A"/>
    <w:rsid w:val="35B90B5D"/>
    <w:rsid w:val="35C81F43"/>
    <w:rsid w:val="35CC1726"/>
    <w:rsid w:val="35DE239E"/>
    <w:rsid w:val="35E06512"/>
    <w:rsid w:val="35E33F92"/>
    <w:rsid w:val="36010FB1"/>
    <w:rsid w:val="360212D1"/>
    <w:rsid w:val="360C7B72"/>
    <w:rsid w:val="360E2480"/>
    <w:rsid w:val="361327DB"/>
    <w:rsid w:val="361E1B63"/>
    <w:rsid w:val="361F1CFE"/>
    <w:rsid w:val="362F026F"/>
    <w:rsid w:val="36371201"/>
    <w:rsid w:val="363720E3"/>
    <w:rsid w:val="3639711B"/>
    <w:rsid w:val="363E765D"/>
    <w:rsid w:val="363F17CE"/>
    <w:rsid w:val="364611F8"/>
    <w:rsid w:val="36592830"/>
    <w:rsid w:val="36632356"/>
    <w:rsid w:val="367409D2"/>
    <w:rsid w:val="367B56C5"/>
    <w:rsid w:val="367C5173"/>
    <w:rsid w:val="36915D46"/>
    <w:rsid w:val="36B81FB7"/>
    <w:rsid w:val="36BA3202"/>
    <w:rsid w:val="36CA31B0"/>
    <w:rsid w:val="36D20797"/>
    <w:rsid w:val="36D82424"/>
    <w:rsid w:val="36E65B3A"/>
    <w:rsid w:val="36FF3742"/>
    <w:rsid w:val="370346A6"/>
    <w:rsid w:val="37113475"/>
    <w:rsid w:val="37252E94"/>
    <w:rsid w:val="37296474"/>
    <w:rsid w:val="373227C5"/>
    <w:rsid w:val="37405833"/>
    <w:rsid w:val="374101FF"/>
    <w:rsid w:val="375869AC"/>
    <w:rsid w:val="375B253A"/>
    <w:rsid w:val="37666B6B"/>
    <w:rsid w:val="37675674"/>
    <w:rsid w:val="376B1978"/>
    <w:rsid w:val="377139DF"/>
    <w:rsid w:val="37940CA8"/>
    <w:rsid w:val="37C0746E"/>
    <w:rsid w:val="37D848CF"/>
    <w:rsid w:val="37DA41AF"/>
    <w:rsid w:val="37DB157C"/>
    <w:rsid w:val="37DB3C7D"/>
    <w:rsid w:val="37EE7D30"/>
    <w:rsid w:val="37F62976"/>
    <w:rsid w:val="37F77F19"/>
    <w:rsid w:val="37FA5EE5"/>
    <w:rsid w:val="38034F62"/>
    <w:rsid w:val="38042FDA"/>
    <w:rsid w:val="381C3F20"/>
    <w:rsid w:val="3822692C"/>
    <w:rsid w:val="38343F2A"/>
    <w:rsid w:val="38490F9C"/>
    <w:rsid w:val="384C1631"/>
    <w:rsid w:val="38542754"/>
    <w:rsid w:val="386C03A0"/>
    <w:rsid w:val="386D6DD1"/>
    <w:rsid w:val="387D5108"/>
    <w:rsid w:val="38850AD8"/>
    <w:rsid w:val="38B10FD7"/>
    <w:rsid w:val="38B2326B"/>
    <w:rsid w:val="38BD498D"/>
    <w:rsid w:val="38D81B11"/>
    <w:rsid w:val="38E075A3"/>
    <w:rsid w:val="38ED2653"/>
    <w:rsid w:val="38FC71A8"/>
    <w:rsid w:val="38FD1F03"/>
    <w:rsid w:val="39020983"/>
    <w:rsid w:val="39037F6C"/>
    <w:rsid w:val="3904042D"/>
    <w:rsid w:val="3916668B"/>
    <w:rsid w:val="39214610"/>
    <w:rsid w:val="39317DFF"/>
    <w:rsid w:val="39464964"/>
    <w:rsid w:val="395224D9"/>
    <w:rsid w:val="39535FC7"/>
    <w:rsid w:val="395601FC"/>
    <w:rsid w:val="397B4E62"/>
    <w:rsid w:val="39972B1A"/>
    <w:rsid w:val="399A1410"/>
    <w:rsid w:val="39C47D94"/>
    <w:rsid w:val="39CD1539"/>
    <w:rsid w:val="39CD5D32"/>
    <w:rsid w:val="39DA1DFA"/>
    <w:rsid w:val="39DC71EB"/>
    <w:rsid w:val="39DD4817"/>
    <w:rsid w:val="39DD5D2E"/>
    <w:rsid w:val="39E01A69"/>
    <w:rsid w:val="39FD79FE"/>
    <w:rsid w:val="3A045F91"/>
    <w:rsid w:val="3A076679"/>
    <w:rsid w:val="3A0A0953"/>
    <w:rsid w:val="3A1B12D6"/>
    <w:rsid w:val="3A211C22"/>
    <w:rsid w:val="3A2C4127"/>
    <w:rsid w:val="3A3C7179"/>
    <w:rsid w:val="3A4F0AA8"/>
    <w:rsid w:val="3A543DA5"/>
    <w:rsid w:val="3A5576B6"/>
    <w:rsid w:val="3A682780"/>
    <w:rsid w:val="3A687850"/>
    <w:rsid w:val="3A697EB7"/>
    <w:rsid w:val="3A6E455A"/>
    <w:rsid w:val="3A701E17"/>
    <w:rsid w:val="3A764E67"/>
    <w:rsid w:val="3A7F0311"/>
    <w:rsid w:val="3A845141"/>
    <w:rsid w:val="3A8538B6"/>
    <w:rsid w:val="3A884EF1"/>
    <w:rsid w:val="3A8C5141"/>
    <w:rsid w:val="3A99205F"/>
    <w:rsid w:val="3AA52853"/>
    <w:rsid w:val="3AA648FE"/>
    <w:rsid w:val="3AAA7D3D"/>
    <w:rsid w:val="3ABC194A"/>
    <w:rsid w:val="3AD117FB"/>
    <w:rsid w:val="3AD4138A"/>
    <w:rsid w:val="3AD72904"/>
    <w:rsid w:val="3AD75A09"/>
    <w:rsid w:val="3ADC5AFD"/>
    <w:rsid w:val="3AE17BBC"/>
    <w:rsid w:val="3AED6A12"/>
    <w:rsid w:val="3B007A89"/>
    <w:rsid w:val="3B091033"/>
    <w:rsid w:val="3B0E664A"/>
    <w:rsid w:val="3B0F5ABD"/>
    <w:rsid w:val="3B2F4F75"/>
    <w:rsid w:val="3B31477D"/>
    <w:rsid w:val="3B315914"/>
    <w:rsid w:val="3B422101"/>
    <w:rsid w:val="3B4715CB"/>
    <w:rsid w:val="3B5008D7"/>
    <w:rsid w:val="3B7346FF"/>
    <w:rsid w:val="3B7D5180"/>
    <w:rsid w:val="3B7F15E2"/>
    <w:rsid w:val="3B824942"/>
    <w:rsid w:val="3B8536A6"/>
    <w:rsid w:val="3B9F0C51"/>
    <w:rsid w:val="3BA00572"/>
    <w:rsid w:val="3BB1021B"/>
    <w:rsid w:val="3BE15B0C"/>
    <w:rsid w:val="3BF72A83"/>
    <w:rsid w:val="3C135790"/>
    <w:rsid w:val="3C1752F7"/>
    <w:rsid w:val="3C193171"/>
    <w:rsid w:val="3C1E3214"/>
    <w:rsid w:val="3C2528C6"/>
    <w:rsid w:val="3C371BD0"/>
    <w:rsid w:val="3C4F1FEA"/>
    <w:rsid w:val="3C5A58BF"/>
    <w:rsid w:val="3C5B6745"/>
    <w:rsid w:val="3C5E3DBD"/>
    <w:rsid w:val="3C683B38"/>
    <w:rsid w:val="3C686571"/>
    <w:rsid w:val="3C6F5E3B"/>
    <w:rsid w:val="3C83525B"/>
    <w:rsid w:val="3C87375A"/>
    <w:rsid w:val="3C88531F"/>
    <w:rsid w:val="3C8D7A42"/>
    <w:rsid w:val="3C8E189D"/>
    <w:rsid w:val="3CA22EFE"/>
    <w:rsid w:val="3CB8043D"/>
    <w:rsid w:val="3CB94BCA"/>
    <w:rsid w:val="3CC35212"/>
    <w:rsid w:val="3CC50225"/>
    <w:rsid w:val="3CD967E3"/>
    <w:rsid w:val="3CDE231E"/>
    <w:rsid w:val="3D245A63"/>
    <w:rsid w:val="3D254E4B"/>
    <w:rsid w:val="3D295A26"/>
    <w:rsid w:val="3D36346C"/>
    <w:rsid w:val="3D4269DA"/>
    <w:rsid w:val="3D430EA3"/>
    <w:rsid w:val="3D47560D"/>
    <w:rsid w:val="3D483B85"/>
    <w:rsid w:val="3D4E0F7F"/>
    <w:rsid w:val="3D523BCD"/>
    <w:rsid w:val="3D645169"/>
    <w:rsid w:val="3D6933DE"/>
    <w:rsid w:val="3D7C3859"/>
    <w:rsid w:val="3D80607F"/>
    <w:rsid w:val="3D8F2120"/>
    <w:rsid w:val="3D8F30A0"/>
    <w:rsid w:val="3D990E61"/>
    <w:rsid w:val="3DA327E5"/>
    <w:rsid w:val="3DB01C7C"/>
    <w:rsid w:val="3DB334D8"/>
    <w:rsid w:val="3DBA1ADA"/>
    <w:rsid w:val="3DC355A6"/>
    <w:rsid w:val="3DC42D6E"/>
    <w:rsid w:val="3DD009EA"/>
    <w:rsid w:val="3DD05142"/>
    <w:rsid w:val="3DD122A2"/>
    <w:rsid w:val="3DD64752"/>
    <w:rsid w:val="3DD80DF7"/>
    <w:rsid w:val="3DE17E96"/>
    <w:rsid w:val="3DE26317"/>
    <w:rsid w:val="3DEB1B40"/>
    <w:rsid w:val="3DFC4E7F"/>
    <w:rsid w:val="3E097D00"/>
    <w:rsid w:val="3E0D0E3B"/>
    <w:rsid w:val="3E2D1C0D"/>
    <w:rsid w:val="3E352B5B"/>
    <w:rsid w:val="3E3A2755"/>
    <w:rsid w:val="3E463101"/>
    <w:rsid w:val="3E5717D0"/>
    <w:rsid w:val="3E5E04B0"/>
    <w:rsid w:val="3E5F4189"/>
    <w:rsid w:val="3E6C1A3F"/>
    <w:rsid w:val="3E734A16"/>
    <w:rsid w:val="3E752133"/>
    <w:rsid w:val="3E7A5DA4"/>
    <w:rsid w:val="3E953235"/>
    <w:rsid w:val="3EAA3B18"/>
    <w:rsid w:val="3EAA555F"/>
    <w:rsid w:val="3EB76FF8"/>
    <w:rsid w:val="3EBD0BAE"/>
    <w:rsid w:val="3EC3774B"/>
    <w:rsid w:val="3ECC3927"/>
    <w:rsid w:val="3ECD2095"/>
    <w:rsid w:val="3EE4497A"/>
    <w:rsid w:val="3EEF22EE"/>
    <w:rsid w:val="3EF02AD3"/>
    <w:rsid w:val="3F024C1A"/>
    <w:rsid w:val="3F0D0FA0"/>
    <w:rsid w:val="3F21052E"/>
    <w:rsid w:val="3F330C34"/>
    <w:rsid w:val="3F3917F4"/>
    <w:rsid w:val="3F397A0D"/>
    <w:rsid w:val="3F4A39C9"/>
    <w:rsid w:val="3F516B05"/>
    <w:rsid w:val="3F625E8E"/>
    <w:rsid w:val="3F6A673B"/>
    <w:rsid w:val="3F716AD8"/>
    <w:rsid w:val="3F827606"/>
    <w:rsid w:val="3F8C2A74"/>
    <w:rsid w:val="3F9335C1"/>
    <w:rsid w:val="3FA33390"/>
    <w:rsid w:val="3FA70307"/>
    <w:rsid w:val="3FA7458E"/>
    <w:rsid w:val="3FB22390"/>
    <w:rsid w:val="3FB4130E"/>
    <w:rsid w:val="3FCF1529"/>
    <w:rsid w:val="3FDD2A57"/>
    <w:rsid w:val="3FE37E33"/>
    <w:rsid w:val="3FF027C2"/>
    <w:rsid w:val="3FF55C7D"/>
    <w:rsid w:val="3FF676AC"/>
    <w:rsid w:val="400E03CE"/>
    <w:rsid w:val="401171AD"/>
    <w:rsid w:val="40225AF1"/>
    <w:rsid w:val="403D5148"/>
    <w:rsid w:val="403D6B94"/>
    <w:rsid w:val="404C3770"/>
    <w:rsid w:val="40507C98"/>
    <w:rsid w:val="40580367"/>
    <w:rsid w:val="4061657E"/>
    <w:rsid w:val="40642B5B"/>
    <w:rsid w:val="40695C34"/>
    <w:rsid w:val="406A7016"/>
    <w:rsid w:val="40767673"/>
    <w:rsid w:val="407707ED"/>
    <w:rsid w:val="40892318"/>
    <w:rsid w:val="408E0789"/>
    <w:rsid w:val="40A76FA9"/>
    <w:rsid w:val="40AC084A"/>
    <w:rsid w:val="40D05FDB"/>
    <w:rsid w:val="40DB515E"/>
    <w:rsid w:val="40E30197"/>
    <w:rsid w:val="40E63D94"/>
    <w:rsid w:val="40EA1367"/>
    <w:rsid w:val="40EB151F"/>
    <w:rsid w:val="40ED4F53"/>
    <w:rsid w:val="40F25A91"/>
    <w:rsid w:val="40FD0036"/>
    <w:rsid w:val="41061575"/>
    <w:rsid w:val="411C387B"/>
    <w:rsid w:val="41210759"/>
    <w:rsid w:val="41292B74"/>
    <w:rsid w:val="41406E31"/>
    <w:rsid w:val="414E3836"/>
    <w:rsid w:val="41592854"/>
    <w:rsid w:val="41670735"/>
    <w:rsid w:val="416E516B"/>
    <w:rsid w:val="418812BB"/>
    <w:rsid w:val="418D4040"/>
    <w:rsid w:val="419E7FFC"/>
    <w:rsid w:val="419F3079"/>
    <w:rsid w:val="41AE3A67"/>
    <w:rsid w:val="41C95125"/>
    <w:rsid w:val="41EA02ED"/>
    <w:rsid w:val="42075BA1"/>
    <w:rsid w:val="4215282E"/>
    <w:rsid w:val="42166627"/>
    <w:rsid w:val="42224789"/>
    <w:rsid w:val="42225E0B"/>
    <w:rsid w:val="42383FB6"/>
    <w:rsid w:val="423D7815"/>
    <w:rsid w:val="424F30C2"/>
    <w:rsid w:val="425E14DB"/>
    <w:rsid w:val="426024CB"/>
    <w:rsid w:val="42621029"/>
    <w:rsid w:val="426B4382"/>
    <w:rsid w:val="42725710"/>
    <w:rsid w:val="427358D4"/>
    <w:rsid w:val="42736D87"/>
    <w:rsid w:val="427E086F"/>
    <w:rsid w:val="42826F4F"/>
    <w:rsid w:val="428B0580"/>
    <w:rsid w:val="429A4E70"/>
    <w:rsid w:val="429E14C4"/>
    <w:rsid w:val="42A26186"/>
    <w:rsid w:val="42A94EAA"/>
    <w:rsid w:val="42BA0E65"/>
    <w:rsid w:val="42C10460"/>
    <w:rsid w:val="42C13D5C"/>
    <w:rsid w:val="42C6780A"/>
    <w:rsid w:val="42D65C3E"/>
    <w:rsid w:val="42DD74CF"/>
    <w:rsid w:val="42DF3579"/>
    <w:rsid w:val="42E264C2"/>
    <w:rsid w:val="42E85CD3"/>
    <w:rsid w:val="42F54D63"/>
    <w:rsid w:val="43011E27"/>
    <w:rsid w:val="430D368B"/>
    <w:rsid w:val="430F20A0"/>
    <w:rsid w:val="43135F0F"/>
    <w:rsid w:val="431B6CC7"/>
    <w:rsid w:val="43225F65"/>
    <w:rsid w:val="433A3C4A"/>
    <w:rsid w:val="435720D9"/>
    <w:rsid w:val="435D7A57"/>
    <w:rsid w:val="43615785"/>
    <w:rsid w:val="43732880"/>
    <w:rsid w:val="43865952"/>
    <w:rsid w:val="438F0BB0"/>
    <w:rsid w:val="43993170"/>
    <w:rsid w:val="43BF04EA"/>
    <w:rsid w:val="43C05A1E"/>
    <w:rsid w:val="43CF4932"/>
    <w:rsid w:val="43D22CDA"/>
    <w:rsid w:val="43D354DC"/>
    <w:rsid w:val="43E3106F"/>
    <w:rsid w:val="4405353A"/>
    <w:rsid w:val="44063CF3"/>
    <w:rsid w:val="44072973"/>
    <w:rsid w:val="44095C00"/>
    <w:rsid w:val="440C52C6"/>
    <w:rsid w:val="44117E2D"/>
    <w:rsid w:val="441822E7"/>
    <w:rsid w:val="442F13DF"/>
    <w:rsid w:val="44426345"/>
    <w:rsid w:val="444B2816"/>
    <w:rsid w:val="445279AA"/>
    <w:rsid w:val="4453331F"/>
    <w:rsid w:val="445F3A86"/>
    <w:rsid w:val="446217B4"/>
    <w:rsid w:val="4478636B"/>
    <w:rsid w:val="447A0DB3"/>
    <w:rsid w:val="447B4624"/>
    <w:rsid w:val="447D2B53"/>
    <w:rsid w:val="4481712B"/>
    <w:rsid w:val="44901E7E"/>
    <w:rsid w:val="449F54A7"/>
    <w:rsid w:val="44A1052F"/>
    <w:rsid w:val="44BA15F0"/>
    <w:rsid w:val="44C93406"/>
    <w:rsid w:val="44D74994"/>
    <w:rsid w:val="44DD0E3B"/>
    <w:rsid w:val="44E67CEF"/>
    <w:rsid w:val="44F62875"/>
    <w:rsid w:val="44FB02DC"/>
    <w:rsid w:val="45080856"/>
    <w:rsid w:val="45111EFE"/>
    <w:rsid w:val="451730A2"/>
    <w:rsid w:val="451955A3"/>
    <w:rsid w:val="45205199"/>
    <w:rsid w:val="45260B70"/>
    <w:rsid w:val="45357C2D"/>
    <w:rsid w:val="453A003B"/>
    <w:rsid w:val="45467C1A"/>
    <w:rsid w:val="45523E0A"/>
    <w:rsid w:val="45603F46"/>
    <w:rsid w:val="45784EE5"/>
    <w:rsid w:val="45790587"/>
    <w:rsid w:val="457C33A8"/>
    <w:rsid w:val="45800144"/>
    <w:rsid w:val="458804FE"/>
    <w:rsid w:val="458D57CB"/>
    <w:rsid w:val="4595726A"/>
    <w:rsid w:val="45C67177"/>
    <w:rsid w:val="45D048BE"/>
    <w:rsid w:val="45DE626C"/>
    <w:rsid w:val="45E87332"/>
    <w:rsid w:val="45EB660D"/>
    <w:rsid w:val="45F13477"/>
    <w:rsid w:val="45FD7B3D"/>
    <w:rsid w:val="460A10C2"/>
    <w:rsid w:val="46220C85"/>
    <w:rsid w:val="46230254"/>
    <w:rsid w:val="46244F73"/>
    <w:rsid w:val="46287B26"/>
    <w:rsid w:val="462A00B0"/>
    <w:rsid w:val="462D24EF"/>
    <w:rsid w:val="46534E0B"/>
    <w:rsid w:val="46692DA8"/>
    <w:rsid w:val="4670640B"/>
    <w:rsid w:val="46753897"/>
    <w:rsid w:val="467A71EB"/>
    <w:rsid w:val="46867477"/>
    <w:rsid w:val="468A02AD"/>
    <w:rsid w:val="468B3DD1"/>
    <w:rsid w:val="469043B7"/>
    <w:rsid w:val="46AB6238"/>
    <w:rsid w:val="46B73E93"/>
    <w:rsid w:val="46BF4C9C"/>
    <w:rsid w:val="46C936C8"/>
    <w:rsid w:val="46CB1893"/>
    <w:rsid w:val="46D87DE5"/>
    <w:rsid w:val="46E556A4"/>
    <w:rsid w:val="46E97F6B"/>
    <w:rsid w:val="46EA25E1"/>
    <w:rsid w:val="46EB1077"/>
    <w:rsid w:val="470C2558"/>
    <w:rsid w:val="472127B7"/>
    <w:rsid w:val="472165B7"/>
    <w:rsid w:val="47277064"/>
    <w:rsid w:val="47323C17"/>
    <w:rsid w:val="4743767B"/>
    <w:rsid w:val="474C305D"/>
    <w:rsid w:val="474E29C1"/>
    <w:rsid w:val="475569C5"/>
    <w:rsid w:val="475A49C5"/>
    <w:rsid w:val="475E44B5"/>
    <w:rsid w:val="476121D8"/>
    <w:rsid w:val="476A063C"/>
    <w:rsid w:val="477C748E"/>
    <w:rsid w:val="478A7058"/>
    <w:rsid w:val="478C7274"/>
    <w:rsid w:val="47941208"/>
    <w:rsid w:val="47A101B2"/>
    <w:rsid w:val="47AB5220"/>
    <w:rsid w:val="47BF2852"/>
    <w:rsid w:val="47BF386C"/>
    <w:rsid w:val="47C3256A"/>
    <w:rsid w:val="47C95C6C"/>
    <w:rsid w:val="47EC7022"/>
    <w:rsid w:val="47FC7940"/>
    <w:rsid w:val="48030B33"/>
    <w:rsid w:val="48046015"/>
    <w:rsid w:val="4819316F"/>
    <w:rsid w:val="482F5E51"/>
    <w:rsid w:val="483F125D"/>
    <w:rsid w:val="48546F47"/>
    <w:rsid w:val="48580B32"/>
    <w:rsid w:val="485B43A9"/>
    <w:rsid w:val="48635024"/>
    <w:rsid w:val="486C0E54"/>
    <w:rsid w:val="48735D3E"/>
    <w:rsid w:val="487B675C"/>
    <w:rsid w:val="48824274"/>
    <w:rsid w:val="48954DA6"/>
    <w:rsid w:val="48A95C04"/>
    <w:rsid w:val="48B22238"/>
    <w:rsid w:val="48B33076"/>
    <w:rsid w:val="48C4330A"/>
    <w:rsid w:val="48D55EB3"/>
    <w:rsid w:val="48DA0701"/>
    <w:rsid w:val="48DF324A"/>
    <w:rsid w:val="48E052EC"/>
    <w:rsid w:val="48E65AEE"/>
    <w:rsid w:val="48F50E49"/>
    <w:rsid w:val="48F80CE7"/>
    <w:rsid w:val="49096FCD"/>
    <w:rsid w:val="49137521"/>
    <w:rsid w:val="491B0811"/>
    <w:rsid w:val="491D7C08"/>
    <w:rsid w:val="49382AE4"/>
    <w:rsid w:val="494625B6"/>
    <w:rsid w:val="49507E2D"/>
    <w:rsid w:val="49512BB1"/>
    <w:rsid w:val="495E0009"/>
    <w:rsid w:val="49641F5D"/>
    <w:rsid w:val="49666B6B"/>
    <w:rsid w:val="496F2CCC"/>
    <w:rsid w:val="498F64FC"/>
    <w:rsid w:val="49AD1724"/>
    <w:rsid w:val="49BE7E39"/>
    <w:rsid w:val="49C40005"/>
    <w:rsid w:val="49C65419"/>
    <w:rsid w:val="49D04BAB"/>
    <w:rsid w:val="49EA0282"/>
    <w:rsid w:val="49EA17C4"/>
    <w:rsid w:val="49EF440A"/>
    <w:rsid w:val="4A1A2F12"/>
    <w:rsid w:val="4A2C7C77"/>
    <w:rsid w:val="4A321C6F"/>
    <w:rsid w:val="4A366D8C"/>
    <w:rsid w:val="4A375709"/>
    <w:rsid w:val="4A475BFC"/>
    <w:rsid w:val="4A484FA8"/>
    <w:rsid w:val="4A4E1094"/>
    <w:rsid w:val="4A561717"/>
    <w:rsid w:val="4A5D3269"/>
    <w:rsid w:val="4A606796"/>
    <w:rsid w:val="4A717D8F"/>
    <w:rsid w:val="4A7D0F83"/>
    <w:rsid w:val="4A834A22"/>
    <w:rsid w:val="4A8815D3"/>
    <w:rsid w:val="4A9454F9"/>
    <w:rsid w:val="4A972DF7"/>
    <w:rsid w:val="4A992274"/>
    <w:rsid w:val="4AA77F21"/>
    <w:rsid w:val="4AAA2276"/>
    <w:rsid w:val="4AB64534"/>
    <w:rsid w:val="4ABD14F2"/>
    <w:rsid w:val="4AC66642"/>
    <w:rsid w:val="4AC87549"/>
    <w:rsid w:val="4AD37353"/>
    <w:rsid w:val="4ADA37AE"/>
    <w:rsid w:val="4ADC6651"/>
    <w:rsid w:val="4AE2340C"/>
    <w:rsid w:val="4AE72A13"/>
    <w:rsid w:val="4AE90539"/>
    <w:rsid w:val="4AFB3A8D"/>
    <w:rsid w:val="4AFF6999"/>
    <w:rsid w:val="4B0E61F2"/>
    <w:rsid w:val="4B1F3F5B"/>
    <w:rsid w:val="4B21257E"/>
    <w:rsid w:val="4B290FE3"/>
    <w:rsid w:val="4B322207"/>
    <w:rsid w:val="4B3B5793"/>
    <w:rsid w:val="4B58050B"/>
    <w:rsid w:val="4B5A25F7"/>
    <w:rsid w:val="4B6A0768"/>
    <w:rsid w:val="4B6B0CBD"/>
    <w:rsid w:val="4B705719"/>
    <w:rsid w:val="4B7B47F9"/>
    <w:rsid w:val="4B8D7117"/>
    <w:rsid w:val="4BA563FE"/>
    <w:rsid w:val="4BB77663"/>
    <w:rsid w:val="4BBF1EF3"/>
    <w:rsid w:val="4BC54DE5"/>
    <w:rsid w:val="4BCB7306"/>
    <w:rsid w:val="4BD52968"/>
    <w:rsid w:val="4BD91D02"/>
    <w:rsid w:val="4BE2600E"/>
    <w:rsid w:val="4BE34975"/>
    <w:rsid w:val="4BE57820"/>
    <w:rsid w:val="4BF657A1"/>
    <w:rsid w:val="4BFB7B74"/>
    <w:rsid w:val="4C0457A1"/>
    <w:rsid w:val="4C1E1023"/>
    <w:rsid w:val="4C2070A8"/>
    <w:rsid w:val="4C3F2C78"/>
    <w:rsid w:val="4C421B5A"/>
    <w:rsid w:val="4C42244E"/>
    <w:rsid w:val="4C437DCE"/>
    <w:rsid w:val="4C6D3DA8"/>
    <w:rsid w:val="4C727CFA"/>
    <w:rsid w:val="4C88081B"/>
    <w:rsid w:val="4C8872A2"/>
    <w:rsid w:val="4C9C19F3"/>
    <w:rsid w:val="4C9D5A7F"/>
    <w:rsid w:val="4CA47183"/>
    <w:rsid w:val="4CB7606E"/>
    <w:rsid w:val="4CDE1861"/>
    <w:rsid w:val="4CF745DE"/>
    <w:rsid w:val="4CFC57E0"/>
    <w:rsid w:val="4D087B01"/>
    <w:rsid w:val="4D0B58BC"/>
    <w:rsid w:val="4D0C050F"/>
    <w:rsid w:val="4D0C2AD5"/>
    <w:rsid w:val="4D2059FA"/>
    <w:rsid w:val="4D2E3574"/>
    <w:rsid w:val="4D451B18"/>
    <w:rsid w:val="4D4D5AFE"/>
    <w:rsid w:val="4D502AF2"/>
    <w:rsid w:val="4D527036"/>
    <w:rsid w:val="4D5C07F9"/>
    <w:rsid w:val="4D755736"/>
    <w:rsid w:val="4DAB7D28"/>
    <w:rsid w:val="4DAC0A3B"/>
    <w:rsid w:val="4DAE5A6A"/>
    <w:rsid w:val="4DB92102"/>
    <w:rsid w:val="4DBA3E20"/>
    <w:rsid w:val="4DBC5B64"/>
    <w:rsid w:val="4DC679DB"/>
    <w:rsid w:val="4DE61D12"/>
    <w:rsid w:val="4DF1146E"/>
    <w:rsid w:val="4DF53699"/>
    <w:rsid w:val="4DF82017"/>
    <w:rsid w:val="4E0E661C"/>
    <w:rsid w:val="4E165AE9"/>
    <w:rsid w:val="4E1E3790"/>
    <w:rsid w:val="4E2E44B5"/>
    <w:rsid w:val="4E4C57ED"/>
    <w:rsid w:val="4E5505A6"/>
    <w:rsid w:val="4E820BD8"/>
    <w:rsid w:val="4E874C8C"/>
    <w:rsid w:val="4E8D729C"/>
    <w:rsid w:val="4E8E1C0C"/>
    <w:rsid w:val="4E9609D8"/>
    <w:rsid w:val="4E98004C"/>
    <w:rsid w:val="4EA5208F"/>
    <w:rsid w:val="4EAC01FC"/>
    <w:rsid w:val="4EAE617F"/>
    <w:rsid w:val="4EBC7D13"/>
    <w:rsid w:val="4EBD702F"/>
    <w:rsid w:val="4EC310A1"/>
    <w:rsid w:val="4EC818B0"/>
    <w:rsid w:val="4ECB59F9"/>
    <w:rsid w:val="4ECE1CAC"/>
    <w:rsid w:val="4EE414BB"/>
    <w:rsid w:val="4EE87B84"/>
    <w:rsid w:val="4EFE0DEE"/>
    <w:rsid w:val="4EFF65C5"/>
    <w:rsid w:val="4F0052D1"/>
    <w:rsid w:val="4F014784"/>
    <w:rsid w:val="4F0431E6"/>
    <w:rsid w:val="4F1B712F"/>
    <w:rsid w:val="4F1C605F"/>
    <w:rsid w:val="4F254824"/>
    <w:rsid w:val="4F2658BE"/>
    <w:rsid w:val="4F42646A"/>
    <w:rsid w:val="4F4736A7"/>
    <w:rsid w:val="4F4A2C7D"/>
    <w:rsid w:val="4F585C8E"/>
    <w:rsid w:val="4F7914EF"/>
    <w:rsid w:val="4F7A7F42"/>
    <w:rsid w:val="4F9174FD"/>
    <w:rsid w:val="4F9402D2"/>
    <w:rsid w:val="4FB10142"/>
    <w:rsid w:val="4FB82BD0"/>
    <w:rsid w:val="4FC643B6"/>
    <w:rsid w:val="4FD1578E"/>
    <w:rsid w:val="4FE10E76"/>
    <w:rsid w:val="4FEE2189"/>
    <w:rsid w:val="4FF71C3D"/>
    <w:rsid w:val="50016856"/>
    <w:rsid w:val="5008518B"/>
    <w:rsid w:val="500B32A2"/>
    <w:rsid w:val="501A4DE6"/>
    <w:rsid w:val="502B6647"/>
    <w:rsid w:val="502B6EFE"/>
    <w:rsid w:val="50324E90"/>
    <w:rsid w:val="503D7EA1"/>
    <w:rsid w:val="504C1B11"/>
    <w:rsid w:val="504E68CB"/>
    <w:rsid w:val="505F48A5"/>
    <w:rsid w:val="506472D4"/>
    <w:rsid w:val="50664FFD"/>
    <w:rsid w:val="50666C7A"/>
    <w:rsid w:val="507460A4"/>
    <w:rsid w:val="5094445D"/>
    <w:rsid w:val="509C0D4E"/>
    <w:rsid w:val="50A23A1E"/>
    <w:rsid w:val="50AC44E3"/>
    <w:rsid w:val="50B57EA9"/>
    <w:rsid w:val="50BC2B26"/>
    <w:rsid w:val="50BE1984"/>
    <w:rsid w:val="50D141C6"/>
    <w:rsid w:val="50D94FDD"/>
    <w:rsid w:val="50EA120A"/>
    <w:rsid w:val="50F115EA"/>
    <w:rsid w:val="50F72C9C"/>
    <w:rsid w:val="50FC0DB6"/>
    <w:rsid w:val="511107EA"/>
    <w:rsid w:val="511F2007"/>
    <w:rsid w:val="51271E2F"/>
    <w:rsid w:val="51342CAA"/>
    <w:rsid w:val="51366F32"/>
    <w:rsid w:val="513B5867"/>
    <w:rsid w:val="51406A38"/>
    <w:rsid w:val="514B4E4E"/>
    <w:rsid w:val="516578E1"/>
    <w:rsid w:val="517174DB"/>
    <w:rsid w:val="518049FF"/>
    <w:rsid w:val="51890380"/>
    <w:rsid w:val="51932FAD"/>
    <w:rsid w:val="51A06E66"/>
    <w:rsid w:val="51AF590D"/>
    <w:rsid w:val="51B475E9"/>
    <w:rsid w:val="51BA020E"/>
    <w:rsid w:val="51C05FF6"/>
    <w:rsid w:val="51D135DE"/>
    <w:rsid w:val="51DF4444"/>
    <w:rsid w:val="51ED6B61"/>
    <w:rsid w:val="51F65295"/>
    <w:rsid w:val="51F872B4"/>
    <w:rsid w:val="51FD3DB6"/>
    <w:rsid w:val="52034AEB"/>
    <w:rsid w:val="52097713"/>
    <w:rsid w:val="520C3BB6"/>
    <w:rsid w:val="52252174"/>
    <w:rsid w:val="52295AE6"/>
    <w:rsid w:val="522D0E7F"/>
    <w:rsid w:val="523E4D62"/>
    <w:rsid w:val="5243507E"/>
    <w:rsid w:val="525402A0"/>
    <w:rsid w:val="52554706"/>
    <w:rsid w:val="525F5585"/>
    <w:rsid w:val="528D41E4"/>
    <w:rsid w:val="52BF5C92"/>
    <w:rsid w:val="52C2167A"/>
    <w:rsid w:val="52C7794C"/>
    <w:rsid w:val="52D279CD"/>
    <w:rsid w:val="52D32ADF"/>
    <w:rsid w:val="52E45ACB"/>
    <w:rsid w:val="52E71802"/>
    <w:rsid w:val="52E86D5F"/>
    <w:rsid w:val="52F47AFB"/>
    <w:rsid w:val="53071B37"/>
    <w:rsid w:val="530A5973"/>
    <w:rsid w:val="531169F3"/>
    <w:rsid w:val="531348FB"/>
    <w:rsid w:val="531A68A1"/>
    <w:rsid w:val="531F2A57"/>
    <w:rsid w:val="53275D3D"/>
    <w:rsid w:val="532760A3"/>
    <w:rsid w:val="533354CF"/>
    <w:rsid w:val="533407C0"/>
    <w:rsid w:val="53346A12"/>
    <w:rsid w:val="53346B96"/>
    <w:rsid w:val="535D5DC8"/>
    <w:rsid w:val="537961D3"/>
    <w:rsid w:val="537A3167"/>
    <w:rsid w:val="537D2360"/>
    <w:rsid w:val="53811E50"/>
    <w:rsid w:val="5393482C"/>
    <w:rsid w:val="53B22465"/>
    <w:rsid w:val="53B45D93"/>
    <w:rsid w:val="53B45F49"/>
    <w:rsid w:val="53B72F65"/>
    <w:rsid w:val="53BE3989"/>
    <w:rsid w:val="53D83751"/>
    <w:rsid w:val="53D85151"/>
    <w:rsid w:val="53E844A9"/>
    <w:rsid w:val="53FD2AC2"/>
    <w:rsid w:val="5409404E"/>
    <w:rsid w:val="54134B75"/>
    <w:rsid w:val="54164746"/>
    <w:rsid w:val="541F238F"/>
    <w:rsid w:val="542E2ADC"/>
    <w:rsid w:val="543341B9"/>
    <w:rsid w:val="543415ED"/>
    <w:rsid w:val="5438608E"/>
    <w:rsid w:val="544607AB"/>
    <w:rsid w:val="544B7F7E"/>
    <w:rsid w:val="54501D22"/>
    <w:rsid w:val="54592AA9"/>
    <w:rsid w:val="546146EB"/>
    <w:rsid w:val="54680D66"/>
    <w:rsid w:val="54685AA1"/>
    <w:rsid w:val="547C41CC"/>
    <w:rsid w:val="547D06FB"/>
    <w:rsid w:val="547D14B1"/>
    <w:rsid w:val="54857DDB"/>
    <w:rsid w:val="548C678B"/>
    <w:rsid w:val="54905199"/>
    <w:rsid w:val="54914216"/>
    <w:rsid w:val="549273A9"/>
    <w:rsid w:val="549405C7"/>
    <w:rsid w:val="549D6C55"/>
    <w:rsid w:val="54CA07F6"/>
    <w:rsid w:val="54E979F3"/>
    <w:rsid w:val="54EE7993"/>
    <w:rsid w:val="54EF0774"/>
    <w:rsid w:val="54F2448F"/>
    <w:rsid w:val="54FE2E33"/>
    <w:rsid w:val="55067F3A"/>
    <w:rsid w:val="550B2DC8"/>
    <w:rsid w:val="551E1403"/>
    <w:rsid w:val="5520724E"/>
    <w:rsid w:val="5540169E"/>
    <w:rsid w:val="55466588"/>
    <w:rsid w:val="5547793A"/>
    <w:rsid w:val="554C32B2"/>
    <w:rsid w:val="55501E76"/>
    <w:rsid w:val="55701D69"/>
    <w:rsid w:val="55731E3E"/>
    <w:rsid w:val="557A0272"/>
    <w:rsid w:val="557E29D7"/>
    <w:rsid w:val="558F2195"/>
    <w:rsid w:val="55900035"/>
    <w:rsid w:val="559455FC"/>
    <w:rsid w:val="55A21A11"/>
    <w:rsid w:val="55AF798B"/>
    <w:rsid w:val="55BC7E49"/>
    <w:rsid w:val="55CA70E8"/>
    <w:rsid w:val="55E71B19"/>
    <w:rsid w:val="55EC471E"/>
    <w:rsid w:val="55ED4967"/>
    <w:rsid w:val="55F350C4"/>
    <w:rsid w:val="561B14C6"/>
    <w:rsid w:val="561B7A15"/>
    <w:rsid w:val="5622727F"/>
    <w:rsid w:val="56247722"/>
    <w:rsid w:val="56342FDD"/>
    <w:rsid w:val="56467B64"/>
    <w:rsid w:val="565626F9"/>
    <w:rsid w:val="565671A2"/>
    <w:rsid w:val="56685CA8"/>
    <w:rsid w:val="56694C24"/>
    <w:rsid w:val="56740DC7"/>
    <w:rsid w:val="56753961"/>
    <w:rsid w:val="5677558B"/>
    <w:rsid w:val="569C2904"/>
    <w:rsid w:val="56AA3219"/>
    <w:rsid w:val="56CB143B"/>
    <w:rsid w:val="56CF2574"/>
    <w:rsid w:val="56CF424D"/>
    <w:rsid w:val="56DE4C00"/>
    <w:rsid w:val="570847EE"/>
    <w:rsid w:val="57212E09"/>
    <w:rsid w:val="573270B5"/>
    <w:rsid w:val="57331689"/>
    <w:rsid w:val="57443B56"/>
    <w:rsid w:val="57614844"/>
    <w:rsid w:val="57664CC0"/>
    <w:rsid w:val="576A00D2"/>
    <w:rsid w:val="576A530D"/>
    <w:rsid w:val="57971A40"/>
    <w:rsid w:val="579E4D2D"/>
    <w:rsid w:val="57A24175"/>
    <w:rsid w:val="57B75717"/>
    <w:rsid w:val="57C470D2"/>
    <w:rsid w:val="57C77E19"/>
    <w:rsid w:val="57CA488B"/>
    <w:rsid w:val="57DB3900"/>
    <w:rsid w:val="57DB47FB"/>
    <w:rsid w:val="57FB18AC"/>
    <w:rsid w:val="580846BB"/>
    <w:rsid w:val="5816050F"/>
    <w:rsid w:val="581D5CC6"/>
    <w:rsid w:val="58205F1A"/>
    <w:rsid w:val="582468CD"/>
    <w:rsid w:val="582840C5"/>
    <w:rsid w:val="583074F9"/>
    <w:rsid w:val="583515AC"/>
    <w:rsid w:val="584B45E2"/>
    <w:rsid w:val="584C2587"/>
    <w:rsid w:val="585127AA"/>
    <w:rsid w:val="585D5314"/>
    <w:rsid w:val="58603D47"/>
    <w:rsid w:val="58743A0C"/>
    <w:rsid w:val="58795D80"/>
    <w:rsid w:val="58BB3CCE"/>
    <w:rsid w:val="58C97BB5"/>
    <w:rsid w:val="58CD3249"/>
    <w:rsid w:val="58DE0E81"/>
    <w:rsid w:val="58F43AFE"/>
    <w:rsid w:val="58F44C79"/>
    <w:rsid w:val="59125866"/>
    <w:rsid w:val="5915352F"/>
    <w:rsid w:val="591B0458"/>
    <w:rsid w:val="59213DE0"/>
    <w:rsid w:val="59232E69"/>
    <w:rsid w:val="59304651"/>
    <w:rsid w:val="593E2965"/>
    <w:rsid w:val="594856C1"/>
    <w:rsid w:val="59486EBB"/>
    <w:rsid w:val="59493AFE"/>
    <w:rsid w:val="594C38F9"/>
    <w:rsid w:val="594C4A1E"/>
    <w:rsid w:val="59567838"/>
    <w:rsid w:val="59700D18"/>
    <w:rsid w:val="5970491E"/>
    <w:rsid w:val="597304CA"/>
    <w:rsid w:val="59794C92"/>
    <w:rsid w:val="597A0373"/>
    <w:rsid w:val="598803B1"/>
    <w:rsid w:val="59A5117A"/>
    <w:rsid w:val="59A937D5"/>
    <w:rsid w:val="59BA6CB3"/>
    <w:rsid w:val="59BA6CC4"/>
    <w:rsid w:val="59BF6EE5"/>
    <w:rsid w:val="59DB746A"/>
    <w:rsid w:val="59F2154E"/>
    <w:rsid w:val="59F9691A"/>
    <w:rsid w:val="5A012975"/>
    <w:rsid w:val="5A0233C6"/>
    <w:rsid w:val="5A097A39"/>
    <w:rsid w:val="5A112448"/>
    <w:rsid w:val="5A1E417A"/>
    <w:rsid w:val="5A266C4C"/>
    <w:rsid w:val="5A2D3B53"/>
    <w:rsid w:val="5A3B2434"/>
    <w:rsid w:val="5A6457FD"/>
    <w:rsid w:val="5A645A7F"/>
    <w:rsid w:val="5A653116"/>
    <w:rsid w:val="5A7035CD"/>
    <w:rsid w:val="5A7E3799"/>
    <w:rsid w:val="5A873ECB"/>
    <w:rsid w:val="5A934A0F"/>
    <w:rsid w:val="5A957C98"/>
    <w:rsid w:val="5A9E6D6F"/>
    <w:rsid w:val="5AAC50E0"/>
    <w:rsid w:val="5AAD60EA"/>
    <w:rsid w:val="5AB61DE0"/>
    <w:rsid w:val="5ACB527F"/>
    <w:rsid w:val="5AD7761B"/>
    <w:rsid w:val="5AE70BB0"/>
    <w:rsid w:val="5AF96739"/>
    <w:rsid w:val="5AFE3E43"/>
    <w:rsid w:val="5B072DB6"/>
    <w:rsid w:val="5B19492B"/>
    <w:rsid w:val="5B233465"/>
    <w:rsid w:val="5B2630E4"/>
    <w:rsid w:val="5B2B7747"/>
    <w:rsid w:val="5B506B61"/>
    <w:rsid w:val="5B5F0F2E"/>
    <w:rsid w:val="5B667984"/>
    <w:rsid w:val="5B6B796C"/>
    <w:rsid w:val="5B733E62"/>
    <w:rsid w:val="5B7C0F56"/>
    <w:rsid w:val="5B9808C1"/>
    <w:rsid w:val="5BA32ED4"/>
    <w:rsid w:val="5BB10CB2"/>
    <w:rsid w:val="5BBB1A7E"/>
    <w:rsid w:val="5BC16A09"/>
    <w:rsid w:val="5BC86C25"/>
    <w:rsid w:val="5C012CC6"/>
    <w:rsid w:val="5C144408"/>
    <w:rsid w:val="5C3B496D"/>
    <w:rsid w:val="5C503DE0"/>
    <w:rsid w:val="5C5435D1"/>
    <w:rsid w:val="5C5C5BA5"/>
    <w:rsid w:val="5C6C0FCA"/>
    <w:rsid w:val="5C8005D2"/>
    <w:rsid w:val="5C8C4702"/>
    <w:rsid w:val="5C936557"/>
    <w:rsid w:val="5C943DBC"/>
    <w:rsid w:val="5C997625"/>
    <w:rsid w:val="5CA57080"/>
    <w:rsid w:val="5CA77E21"/>
    <w:rsid w:val="5CAF0BE0"/>
    <w:rsid w:val="5CB458BA"/>
    <w:rsid w:val="5CDC782C"/>
    <w:rsid w:val="5CDF3569"/>
    <w:rsid w:val="5CE23DAC"/>
    <w:rsid w:val="5CE73917"/>
    <w:rsid w:val="5D0A73AF"/>
    <w:rsid w:val="5D0E683B"/>
    <w:rsid w:val="5D120F26"/>
    <w:rsid w:val="5D1F603D"/>
    <w:rsid w:val="5D376039"/>
    <w:rsid w:val="5D3777B6"/>
    <w:rsid w:val="5D3E31E9"/>
    <w:rsid w:val="5D436E42"/>
    <w:rsid w:val="5D63667B"/>
    <w:rsid w:val="5D6F2EDA"/>
    <w:rsid w:val="5D783847"/>
    <w:rsid w:val="5D83037A"/>
    <w:rsid w:val="5D8E1D59"/>
    <w:rsid w:val="5D9941C1"/>
    <w:rsid w:val="5DA92832"/>
    <w:rsid w:val="5DAE502B"/>
    <w:rsid w:val="5DB466F3"/>
    <w:rsid w:val="5DB915F2"/>
    <w:rsid w:val="5DBC60F3"/>
    <w:rsid w:val="5DCB1D21"/>
    <w:rsid w:val="5DCD5A99"/>
    <w:rsid w:val="5DDA5440"/>
    <w:rsid w:val="5DDD5947"/>
    <w:rsid w:val="5DDF393D"/>
    <w:rsid w:val="5DDF6E4E"/>
    <w:rsid w:val="5DEA21A7"/>
    <w:rsid w:val="5DFA49E0"/>
    <w:rsid w:val="5E1D0F80"/>
    <w:rsid w:val="5E1F3B6D"/>
    <w:rsid w:val="5E224037"/>
    <w:rsid w:val="5E352C38"/>
    <w:rsid w:val="5E3E40FF"/>
    <w:rsid w:val="5E40706E"/>
    <w:rsid w:val="5E4C1080"/>
    <w:rsid w:val="5E4E1C8A"/>
    <w:rsid w:val="5E4F4071"/>
    <w:rsid w:val="5E5D7A78"/>
    <w:rsid w:val="5E6006BB"/>
    <w:rsid w:val="5E734892"/>
    <w:rsid w:val="5E7833A1"/>
    <w:rsid w:val="5E8274BA"/>
    <w:rsid w:val="5E8530EF"/>
    <w:rsid w:val="5E9215B9"/>
    <w:rsid w:val="5EA06D09"/>
    <w:rsid w:val="5EA53C9A"/>
    <w:rsid w:val="5EB822A5"/>
    <w:rsid w:val="5EBC7F37"/>
    <w:rsid w:val="5EC90F31"/>
    <w:rsid w:val="5ECE7D1A"/>
    <w:rsid w:val="5ED36C86"/>
    <w:rsid w:val="5EDA60B0"/>
    <w:rsid w:val="5EE35A57"/>
    <w:rsid w:val="5EFD415C"/>
    <w:rsid w:val="5F1645A7"/>
    <w:rsid w:val="5F49114F"/>
    <w:rsid w:val="5F6A54DD"/>
    <w:rsid w:val="5F8115FB"/>
    <w:rsid w:val="5F815969"/>
    <w:rsid w:val="5F8B4FA7"/>
    <w:rsid w:val="5F9617AA"/>
    <w:rsid w:val="5F9B72D1"/>
    <w:rsid w:val="5FA171DD"/>
    <w:rsid w:val="5FAB0A44"/>
    <w:rsid w:val="5FB17C29"/>
    <w:rsid w:val="5FB34738"/>
    <w:rsid w:val="5FB95E1C"/>
    <w:rsid w:val="5FC353A5"/>
    <w:rsid w:val="5FC85F82"/>
    <w:rsid w:val="5FCB3FE5"/>
    <w:rsid w:val="5FDC5EDE"/>
    <w:rsid w:val="5FEB2206"/>
    <w:rsid w:val="5FED772C"/>
    <w:rsid w:val="5FF97EAE"/>
    <w:rsid w:val="5FFA117E"/>
    <w:rsid w:val="60155C27"/>
    <w:rsid w:val="60162D11"/>
    <w:rsid w:val="601A6070"/>
    <w:rsid w:val="60226F8B"/>
    <w:rsid w:val="602806E3"/>
    <w:rsid w:val="602E2042"/>
    <w:rsid w:val="603B4F3C"/>
    <w:rsid w:val="60477ABF"/>
    <w:rsid w:val="604B06AE"/>
    <w:rsid w:val="604D4C6F"/>
    <w:rsid w:val="60526566"/>
    <w:rsid w:val="607F756F"/>
    <w:rsid w:val="60917251"/>
    <w:rsid w:val="60982996"/>
    <w:rsid w:val="609D5BF6"/>
    <w:rsid w:val="60A96E90"/>
    <w:rsid w:val="60B75F9E"/>
    <w:rsid w:val="60C53D01"/>
    <w:rsid w:val="60C9018D"/>
    <w:rsid w:val="60DA12FD"/>
    <w:rsid w:val="61012C93"/>
    <w:rsid w:val="61053FC5"/>
    <w:rsid w:val="610C088E"/>
    <w:rsid w:val="614A03E6"/>
    <w:rsid w:val="61531A50"/>
    <w:rsid w:val="61532201"/>
    <w:rsid w:val="61651210"/>
    <w:rsid w:val="61666018"/>
    <w:rsid w:val="616B46BB"/>
    <w:rsid w:val="616E1CFF"/>
    <w:rsid w:val="616E5EB6"/>
    <w:rsid w:val="617526CF"/>
    <w:rsid w:val="618560EB"/>
    <w:rsid w:val="618E3791"/>
    <w:rsid w:val="619743F4"/>
    <w:rsid w:val="619B5D77"/>
    <w:rsid w:val="61B10243"/>
    <w:rsid w:val="61BB2DD9"/>
    <w:rsid w:val="61C00B2F"/>
    <w:rsid w:val="61C3411F"/>
    <w:rsid w:val="61DD1B9A"/>
    <w:rsid w:val="61E136F6"/>
    <w:rsid w:val="61F4426B"/>
    <w:rsid w:val="61F83805"/>
    <w:rsid w:val="62022776"/>
    <w:rsid w:val="6205764C"/>
    <w:rsid w:val="620E45EE"/>
    <w:rsid w:val="621F13DC"/>
    <w:rsid w:val="62256C85"/>
    <w:rsid w:val="623600B0"/>
    <w:rsid w:val="623657B8"/>
    <w:rsid w:val="623E7B68"/>
    <w:rsid w:val="62562501"/>
    <w:rsid w:val="6256299E"/>
    <w:rsid w:val="62574D95"/>
    <w:rsid w:val="62583769"/>
    <w:rsid w:val="62586747"/>
    <w:rsid w:val="62620EA5"/>
    <w:rsid w:val="626C60B7"/>
    <w:rsid w:val="62746498"/>
    <w:rsid w:val="62922E0D"/>
    <w:rsid w:val="62937FCE"/>
    <w:rsid w:val="62982A5C"/>
    <w:rsid w:val="62CB6D60"/>
    <w:rsid w:val="62E358B2"/>
    <w:rsid w:val="62EA49F7"/>
    <w:rsid w:val="62F154C5"/>
    <w:rsid w:val="62FD0A5D"/>
    <w:rsid w:val="63162338"/>
    <w:rsid w:val="632036E4"/>
    <w:rsid w:val="63232EB3"/>
    <w:rsid w:val="63267478"/>
    <w:rsid w:val="633D315E"/>
    <w:rsid w:val="634F746F"/>
    <w:rsid w:val="63504ABF"/>
    <w:rsid w:val="63517786"/>
    <w:rsid w:val="636447A9"/>
    <w:rsid w:val="637052D7"/>
    <w:rsid w:val="638438AF"/>
    <w:rsid w:val="6388739F"/>
    <w:rsid w:val="6389099E"/>
    <w:rsid w:val="63954DAA"/>
    <w:rsid w:val="63C74AA3"/>
    <w:rsid w:val="63D87748"/>
    <w:rsid w:val="63DE2EEF"/>
    <w:rsid w:val="63E8362C"/>
    <w:rsid w:val="63F16145"/>
    <w:rsid w:val="64024CFF"/>
    <w:rsid w:val="641D22DD"/>
    <w:rsid w:val="64426DE8"/>
    <w:rsid w:val="645B3151"/>
    <w:rsid w:val="646A170C"/>
    <w:rsid w:val="64701038"/>
    <w:rsid w:val="64722EF6"/>
    <w:rsid w:val="64797A3F"/>
    <w:rsid w:val="647B4B09"/>
    <w:rsid w:val="647B6F79"/>
    <w:rsid w:val="64815AEE"/>
    <w:rsid w:val="648937A8"/>
    <w:rsid w:val="648B1BA9"/>
    <w:rsid w:val="648D0F64"/>
    <w:rsid w:val="649449E8"/>
    <w:rsid w:val="64975011"/>
    <w:rsid w:val="649D5D6D"/>
    <w:rsid w:val="64A9391A"/>
    <w:rsid w:val="64AF7CA6"/>
    <w:rsid w:val="64C9520C"/>
    <w:rsid w:val="64D03BCB"/>
    <w:rsid w:val="64D77B16"/>
    <w:rsid w:val="64DC08B1"/>
    <w:rsid w:val="64F55A2C"/>
    <w:rsid w:val="64F953C5"/>
    <w:rsid w:val="651B533C"/>
    <w:rsid w:val="651E27DC"/>
    <w:rsid w:val="65206DF6"/>
    <w:rsid w:val="65291D8F"/>
    <w:rsid w:val="65570D94"/>
    <w:rsid w:val="655774EE"/>
    <w:rsid w:val="65795592"/>
    <w:rsid w:val="65A10F4D"/>
    <w:rsid w:val="65A93335"/>
    <w:rsid w:val="65B51681"/>
    <w:rsid w:val="65B765E2"/>
    <w:rsid w:val="65BC5BDE"/>
    <w:rsid w:val="65CB4FB4"/>
    <w:rsid w:val="65D3678B"/>
    <w:rsid w:val="65DB69B9"/>
    <w:rsid w:val="65E142CF"/>
    <w:rsid w:val="65F16DEF"/>
    <w:rsid w:val="65FF5B93"/>
    <w:rsid w:val="660540EE"/>
    <w:rsid w:val="66081715"/>
    <w:rsid w:val="661673E0"/>
    <w:rsid w:val="661A1A97"/>
    <w:rsid w:val="661A3845"/>
    <w:rsid w:val="661B00EA"/>
    <w:rsid w:val="661D360B"/>
    <w:rsid w:val="66523C3F"/>
    <w:rsid w:val="66541F53"/>
    <w:rsid w:val="665C126F"/>
    <w:rsid w:val="6660647F"/>
    <w:rsid w:val="66613222"/>
    <w:rsid w:val="66820F47"/>
    <w:rsid w:val="668A782A"/>
    <w:rsid w:val="669958C5"/>
    <w:rsid w:val="66AE25E0"/>
    <w:rsid w:val="66AF1795"/>
    <w:rsid w:val="66B07CC1"/>
    <w:rsid w:val="66B14B24"/>
    <w:rsid w:val="66B27D18"/>
    <w:rsid w:val="66BB03FB"/>
    <w:rsid w:val="66D1442C"/>
    <w:rsid w:val="66D47E7F"/>
    <w:rsid w:val="66D64E5B"/>
    <w:rsid w:val="66DD089D"/>
    <w:rsid w:val="66DD4F9F"/>
    <w:rsid w:val="66DE592A"/>
    <w:rsid w:val="66F0016C"/>
    <w:rsid w:val="66F65B16"/>
    <w:rsid w:val="66FA0812"/>
    <w:rsid w:val="66FB2BD0"/>
    <w:rsid w:val="66FC2971"/>
    <w:rsid w:val="670008EB"/>
    <w:rsid w:val="67103ED9"/>
    <w:rsid w:val="67262B05"/>
    <w:rsid w:val="672C7CD4"/>
    <w:rsid w:val="674E513F"/>
    <w:rsid w:val="674E6BDA"/>
    <w:rsid w:val="6753700F"/>
    <w:rsid w:val="67610E75"/>
    <w:rsid w:val="676F0F89"/>
    <w:rsid w:val="677047C4"/>
    <w:rsid w:val="677178CC"/>
    <w:rsid w:val="6773320D"/>
    <w:rsid w:val="677977BA"/>
    <w:rsid w:val="67797A29"/>
    <w:rsid w:val="678673E4"/>
    <w:rsid w:val="678952B2"/>
    <w:rsid w:val="679D31F9"/>
    <w:rsid w:val="679D3BF4"/>
    <w:rsid w:val="679D472E"/>
    <w:rsid w:val="67A41618"/>
    <w:rsid w:val="67AE4749"/>
    <w:rsid w:val="67B6134C"/>
    <w:rsid w:val="67C56A11"/>
    <w:rsid w:val="67DC3A63"/>
    <w:rsid w:val="67E071EA"/>
    <w:rsid w:val="67FC4971"/>
    <w:rsid w:val="68152516"/>
    <w:rsid w:val="68221BAF"/>
    <w:rsid w:val="682D62D9"/>
    <w:rsid w:val="685143BC"/>
    <w:rsid w:val="68542A0A"/>
    <w:rsid w:val="68555296"/>
    <w:rsid w:val="685A68BE"/>
    <w:rsid w:val="686C1E80"/>
    <w:rsid w:val="68816836"/>
    <w:rsid w:val="689079C3"/>
    <w:rsid w:val="689A2A1B"/>
    <w:rsid w:val="68B95597"/>
    <w:rsid w:val="68D46A71"/>
    <w:rsid w:val="68D56910"/>
    <w:rsid w:val="68EF70C5"/>
    <w:rsid w:val="68F22D9F"/>
    <w:rsid w:val="69162C86"/>
    <w:rsid w:val="69180AD7"/>
    <w:rsid w:val="69214083"/>
    <w:rsid w:val="693B7D5A"/>
    <w:rsid w:val="694110E9"/>
    <w:rsid w:val="69456B9A"/>
    <w:rsid w:val="69481344"/>
    <w:rsid w:val="695700E3"/>
    <w:rsid w:val="6980516E"/>
    <w:rsid w:val="698B51FD"/>
    <w:rsid w:val="69960468"/>
    <w:rsid w:val="69A109AD"/>
    <w:rsid w:val="69B875FD"/>
    <w:rsid w:val="69D5796F"/>
    <w:rsid w:val="69E00AE8"/>
    <w:rsid w:val="69E2467A"/>
    <w:rsid w:val="69F101EA"/>
    <w:rsid w:val="69F448E4"/>
    <w:rsid w:val="6A010FA4"/>
    <w:rsid w:val="6A0606AA"/>
    <w:rsid w:val="6A090874"/>
    <w:rsid w:val="6A0F6D29"/>
    <w:rsid w:val="6A1231B1"/>
    <w:rsid w:val="6A1B780C"/>
    <w:rsid w:val="6A206086"/>
    <w:rsid w:val="6A262C83"/>
    <w:rsid w:val="6A3F0B90"/>
    <w:rsid w:val="6A3F71AB"/>
    <w:rsid w:val="6A407F9F"/>
    <w:rsid w:val="6A425119"/>
    <w:rsid w:val="6A4620BF"/>
    <w:rsid w:val="6A4D5F32"/>
    <w:rsid w:val="6A5D65D9"/>
    <w:rsid w:val="6A653139"/>
    <w:rsid w:val="6A6908F7"/>
    <w:rsid w:val="6A722F0B"/>
    <w:rsid w:val="6A7A4D5B"/>
    <w:rsid w:val="6A7E7518"/>
    <w:rsid w:val="6A825953"/>
    <w:rsid w:val="6A881C38"/>
    <w:rsid w:val="6A8A11E6"/>
    <w:rsid w:val="6A8B2F63"/>
    <w:rsid w:val="6A955B90"/>
    <w:rsid w:val="6A9C6F1F"/>
    <w:rsid w:val="6AA33E09"/>
    <w:rsid w:val="6AC034F3"/>
    <w:rsid w:val="6AC96987"/>
    <w:rsid w:val="6AD24017"/>
    <w:rsid w:val="6AD42C61"/>
    <w:rsid w:val="6AE14092"/>
    <w:rsid w:val="6AEA323D"/>
    <w:rsid w:val="6AF07997"/>
    <w:rsid w:val="6AF5032D"/>
    <w:rsid w:val="6AFB2812"/>
    <w:rsid w:val="6AFF182D"/>
    <w:rsid w:val="6B032C8C"/>
    <w:rsid w:val="6B0758B3"/>
    <w:rsid w:val="6B0F64B4"/>
    <w:rsid w:val="6B243303"/>
    <w:rsid w:val="6B3569BE"/>
    <w:rsid w:val="6B3A1CE8"/>
    <w:rsid w:val="6B3E4E41"/>
    <w:rsid w:val="6B4D49EF"/>
    <w:rsid w:val="6B556078"/>
    <w:rsid w:val="6B565CD0"/>
    <w:rsid w:val="6B68013D"/>
    <w:rsid w:val="6B7022D0"/>
    <w:rsid w:val="6B7B5422"/>
    <w:rsid w:val="6B852192"/>
    <w:rsid w:val="6B8E050A"/>
    <w:rsid w:val="6B925A32"/>
    <w:rsid w:val="6B9C4F5E"/>
    <w:rsid w:val="6BA92B5A"/>
    <w:rsid w:val="6BB42760"/>
    <w:rsid w:val="6BD37065"/>
    <w:rsid w:val="6BE13B5E"/>
    <w:rsid w:val="6BE31674"/>
    <w:rsid w:val="6BE95EA9"/>
    <w:rsid w:val="6BEA6094"/>
    <w:rsid w:val="6C114575"/>
    <w:rsid w:val="6C2A7712"/>
    <w:rsid w:val="6C3E2214"/>
    <w:rsid w:val="6C427652"/>
    <w:rsid w:val="6C4D48CD"/>
    <w:rsid w:val="6C603F11"/>
    <w:rsid w:val="6C643A6C"/>
    <w:rsid w:val="6C661592"/>
    <w:rsid w:val="6C7E1196"/>
    <w:rsid w:val="6C8202CD"/>
    <w:rsid w:val="6C8639E2"/>
    <w:rsid w:val="6C961621"/>
    <w:rsid w:val="6C9D5038"/>
    <w:rsid w:val="6CB0280D"/>
    <w:rsid w:val="6CBB7DE1"/>
    <w:rsid w:val="6CC445CB"/>
    <w:rsid w:val="6CD042ED"/>
    <w:rsid w:val="6CDA2357"/>
    <w:rsid w:val="6CE8212C"/>
    <w:rsid w:val="6CED6224"/>
    <w:rsid w:val="6CF01775"/>
    <w:rsid w:val="6CFB62C0"/>
    <w:rsid w:val="6CFD7CAA"/>
    <w:rsid w:val="6D026DE8"/>
    <w:rsid w:val="6D0316B2"/>
    <w:rsid w:val="6D087337"/>
    <w:rsid w:val="6D0E1321"/>
    <w:rsid w:val="6D104BE0"/>
    <w:rsid w:val="6D132371"/>
    <w:rsid w:val="6D1338DD"/>
    <w:rsid w:val="6D153789"/>
    <w:rsid w:val="6D1E28F0"/>
    <w:rsid w:val="6D2531FB"/>
    <w:rsid w:val="6D3B4D97"/>
    <w:rsid w:val="6D487B73"/>
    <w:rsid w:val="6D4A2408"/>
    <w:rsid w:val="6D4B1E5A"/>
    <w:rsid w:val="6D54588F"/>
    <w:rsid w:val="6D5945AF"/>
    <w:rsid w:val="6D5E70E9"/>
    <w:rsid w:val="6D655EEE"/>
    <w:rsid w:val="6D6729D8"/>
    <w:rsid w:val="6D6E09F2"/>
    <w:rsid w:val="6D852386"/>
    <w:rsid w:val="6DBD67AE"/>
    <w:rsid w:val="6DCF3167"/>
    <w:rsid w:val="6DD54C21"/>
    <w:rsid w:val="6DD8026E"/>
    <w:rsid w:val="6DF453C2"/>
    <w:rsid w:val="6DFC1EB9"/>
    <w:rsid w:val="6E25722B"/>
    <w:rsid w:val="6E3363CE"/>
    <w:rsid w:val="6E3C316F"/>
    <w:rsid w:val="6E453429"/>
    <w:rsid w:val="6E456275"/>
    <w:rsid w:val="6E4E36BD"/>
    <w:rsid w:val="6E5161B1"/>
    <w:rsid w:val="6E6127F4"/>
    <w:rsid w:val="6E631ECC"/>
    <w:rsid w:val="6E66587A"/>
    <w:rsid w:val="6E860D5E"/>
    <w:rsid w:val="6E880670"/>
    <w:rsid w:val="6E9028F6"/>
    <w:rsid w:val="6EA81F5F"/>
    <w:rsid w:val="6EB7522E"/>
    <w:rsid w:val="6EC002E5"/>
    <w:rsid w:val="6EC64ECD"/>
    <w:rsid w:val="6EC71F62"/>
    <w:rsid w:val="6ECD2CED"/>
    <w:rsid w:val="6EE1422E"/>
    <w:rsid w:val="6EE449F0"/>
    <w:rsid w:val="6EF14DB2"/>
    <w:rsid w:val="6EFA06B8"/>
    <w:rsid w:val="6F046E40"/>
    <w:rsid w:val="6F1743AC"/>
    <w:rsid w:val="6F19489F"/>
    <w:rsid w:val="6F2B58DE"/>
    <w:rsid w:val="6F3E2352"/>
    <w:rsid w:val="6F4656AB"/>
    <w:rsid w:val="6F5C1867"/>
    <w:rsid w:val="6F5C3F48"/>
    <w:rsid w:val="6F5C6C7D"/>
    <w:rsid w:val="6F61462B"/>
    <w:rsid w:val="6F6D6714"/>
    <w:rsid w:val="6F8561D3"/>
    <w:rsid w:val="6F926B42"/>
    <w:rsid w:val="6F93649C"/>
    <w:rsid w:val="6F9C2017"/>
    <w:rsid w:val="6FB37BE5"/>
    <w:rsid w:val="6FC2450B"/>
    <w:rsid w:val="6FC7059A"/>
    <w:rsid w:val="6FCA64CD"/>
    <w:rsid w:val="6FE112C4"/>
    <w:rsid w:val="6FF069FB"/>
    <w:rsid w:val="6FF36A80"/>
    <w:rsid w:val="6FFB0619"/>
    <w:rsid w:val="6FFD7D02"/>
    <w:rsid w:val="6FFE5F86"/>
    <w:rsid w:val="70020E6A"/>
    <w:rsid w:val="70060CE6"/>
    <w:rsid w:val="700D7F77"/>
    <w:rsid w:val="701A60AC"/>
    <w:rsid w:val="702149D3"/>
    <w:rsid w:val="7021684B"/>
    <w:rsid w:val="70217D0F"/>
    <w:rsid w:val="7045295A"/>
    <w:rsid w:val="7047527A"/>
    <w:rsid w:val="704E0CBB"/>
    <w:rsid w:val="7056241A"/>
    <w:rsid w:val="705C767F"/>
    <w:rsid w:val="707B2CB1"/>
    <w:rsid w:val="70924B19"/>
    <w:rsid w:val="70952588"/>
    <w:rsid w:val="70A34833"/>
    <w:rsid w:val="70B75478"/>
    <w:rsid w:val="70BA7DE6"/>
    <w:rsid w:val="70BF74C3"/>
    <w:rsid w:val="70D56048"/>
    <w:rsid w:val="70DA3248"/>
    <w:rsid w:val="70DB6936"/>
    <w:rsid w:val="71027F8C"/>
    <w:rsid w:val="710A0DE2"/>
    <w:rsid w:val="712A4901"/>
    <w:rsid w:val="7134264D"/>
    <w:rsid w:val="71391F94"/>
    <w:rsid w:val="7148395C"/>
    <w:rsid w:val="715D7335"/>
    <w:rsid w:val="7169742F"/>
    <w:rsid w:val="717159EA"/>
    <w:rsid w:val="71777F8A"/>
    <w:rsid w:val="719340CC"/>
    <w:rsid w:val="71946BA2"/>
    <w:rsid w:val="71A412EF"/>
    <w:rsid w:val="71B106B0"/>
    <w:rsid w:val="71B61A42"/>
    <w:rsid w:val="71BB267E"/>
    <w:rsid w:val="71BE59CD"/>
    <w:rsid w:val="71C32243"/>
    <w:rsid w:val="71D94178"/>
    <w:rsid w:val="71E258E0"/>
    <w:rsid w:val="71E371E1"/>
    <w:rsid w:val="71E450CA"/>
    <w:rsid w:val="71EA7F5E"/>
    <w:rsid w:val="71EE0EE5"/>
    <w:rsid w:val="71F773F9"/>
    <w:rsid w:val="71FB452B"/>
    <w:rsid w:val="72025ED5"/>
    <w:rsid w:val="720A7322"/>
    <w:rsid w:val="72137E38"/>
    <w:rsid w:val="721C41A5"/>
    <w:rsid w:val="721E571E"/>
    <w:rsid w:val="721F7D69"/>
    <w:rsid w:val="7225336C"/>
    <w:rsid w:val="722E3E35"/>
    <w:rsid w:val="724A7260"/>
    <w:rsid w:val="724B68D9"/>
    <w:rsid w:val="72541E8D"/>
    <w:rsid w:val="725E62FA"/>
    <w:rsid w:val="72606A84"/>
    <w:rsid w:val="72860473"/>
    <w:rsid w:val="7299364D"/>
    <w:rsid w:val="72C16C93"/>
    <w:rsid w:val="72C9344C"/>
    <w:rsid w:val="72D66A82"/>
    <w:rsid w:val="72D67597"/>
    <w:rsid w:val="72E43D31"/>
    <w:rsid w:val="72FC67AC"/>
    <w:rsid w:val="72FF6E9B"/>
    <w:rsid w:val="73027148"/>
    <w:rsid w:val="7305147C"/>
    <w:rsid w:val="731A30F8"/>
    <w:rsid w:val="733A7EE8"/>
    <w:rsid w:val="734D11ED"/>
    <w:rsid w:val="735A55D3"/>
    <w:rsid w:val="735C36EF"/>
    <w:rsid w:val="73621B80"/>
    <w:rsid w:val="73740A39"/>
    <w:rsid w:val="7375174D"/>
    <w:rsid w:val="73795D83"/>
    <w:rsid w:val="737B6EF7"/>
    <w:rsid w:val="73850D73"/>
    <w:rsid w:val="738B56FD"/>
    <w:rsid w:val="738B5D82"/>
    <w:rsid w:val="73911760"/>
    <w:rsid w:val="73993FFB"/>
    <w:rsid w:val="739F2E93"/>
    <w:rsid w:val="73A60FE9"/>
    <w:rsid w:val="73B21B10"/>
    <w:rsid w:val="73B8143C"/>
    <w:rsid w:val="73C06788"/>
    <w:rsid w:val="73D2575F"/>
    <w:rsid w:val="73D813D5"/>
    <w:rsid w:val="73DB1F8F"/>
    <w:rsid w:val="73DE1B70"/>
    <w:rsid w:val="73E6120B"/>
    <w:rsid w:val="740A314B"/>
    <w:rsid w:val="741378E4"/>
    <w:rsid w:val="74213FF1"/>
    <w:rsid w:val="743138C9"/>
    <w:rsid w:val="74346455"/>
    <w:rsid w:val="74497E8D"/>
    <w:rsid w:val="744F70D5"/>
    <w:rsid w:val="74542618"/>
    <w:rsid w:val="746B1062"/>
    <w:rsid w:val="74836A59"/>
    <w:rsid w:val="74890514"/>
    <w:rsid w:val="74957A1D"/>
    <w:rsid w:val="74976F8C"/>
    <w:rsid w:val="749C28D6"/>
    <w:rsid w:val="74AC2DBE"/>
    <w:rsid w:val="74B03CF2"/>
    <w:rsid w:val="74B4279D"/>
    <w:rsid w:val="74C959EF"/>
    <w:rsid w:val="74D13C69"/>
    <w:rsid w:val="74D226D8"/>
    <w:rsid w:val="74D42A08"/>
    <w:rsid w:val="74D951DD"/>
    <w:rsid w:val="74E36253"/>
    <w:rsid w:val="74F273DA"/>
    <w:rsid w:val="74F600B5"/>
    <w:rsid w:val="750C6A4F"/>
    <w:rsid w:val="75102AF5"/>
    <w:rsid w:val="751C1B98"/>
    <w:rsid w:val="751C3CCD"/>
    <w:rsid w:val="752E2E69"/>
    <w:rsid w:val="753F1C14"/>
    <w:rsid w:val="75404D65"/>
    <w:rsid w:val="75410DEE"/>
    <w:rsid w:val="754B45FC"/>
    <w:rsid w:val="754C4FE3"/>
    <w:rsid w:val="75780005"/>
    <w:rsid w:val="75846F2D"/>
    <w:rsid w:val="758A336D"/>
    <w:rsid w:val="758E56B6"/>
    <w:rsid w:val="759D26FD"/>
    <w:rsid w:val="75A9012E"/>
    <w:rsid w:val="75BA7DC9"/>
    <w:rsid w:val="75C158E1"/>
    <w:rsid w:val="75D36188"/>
    <w:rsid w:val="75D75BBF"/>
    <w:rsid w:val="75F25C45"/>
    <w:rsid w:val="75F8173D"/>
    <w:rsid w:val="75FE15A4"/>
    <w:rsid w:val="76027B21"/>
    <w:rsid w:val="76087EFE"/>
    <w:rsid w:val="761262E7"/>
    <w:rsid w:val="762F3987"/>
    <w:rsid w:val="763146BA"/>
    <w:rsid w:val="76373F9F"/>
    <w:rsid w:val="763C17CD"/>
    <w:rsid w:val="7651209F"/>
    <w:rsid w:val="765A396A"/>
    <w:rsid w:val="765B5EE0"/>
    <w:rsid w:val="76625186"/>
    <w:rsid w:val="76694515"/>
    <w:rsid w:val="7671183A"/>
    <w:rsid w:val="76795A9A"/>
    <w:rsid w:val="76850BE3"/>
    <w:rsid w:val="768E7AAD"/>
    <w:rsid w:val="769D37DC"/>
    <w:rsid w:val="76AD1FDF"/>
    <w:rsid w:val="76AF483A"/>
    <w:rsid w:val="76C37C6F"/>
    <w:rsid w:val="76C61386"/>
    <w:rsid w:val="76CF1D13"/>
    <w:rsid w:val="76D56664"/>
    <w:rsid w:val="76E41A31"/>
    <w:rsid w:val="76E67BCC"/>
    <w:rsid w:val="76E81AE6"/>
    <w:rsid w:val="76FD0D45"/>
    <w:rsid w:val="77000835"/>
    <w:rsid w:val="770802F0"/>
    <w:rsid w:val="771025D4"/>
    <w:rsid w:val="77115FC5"/>
    <w:rsid w:val="77196438"/>
    <w:rsid w:val="773109EF"/>
    <w:rsid w:val="77326AF1"/>
    <w:rsid w:val="77342D6F"/>
    <w:rsid w:val="77383B2B"/>
    <w:rsid w:val="773B467C"/>
    <w:rsid w:val="775B5775"/>
    <w:rsid w:val="775E0D1F"/>
    <w:rsid w:val="776655B0"/>
    <w:rsid w:val="77685B26"/>
    <w:rsid w:val="777814CA"/>
    <w:rsid w:val="777B5097"/>
    <w:rsid w:val="777E55F4"/>
    <w:rsid w:val="777F79AC"/>
    <w:rsid w:val="77820DEB"/>
    <w:rsid w:val="7785787E"/>
    <w:rsid w:val="7792671F"/>
    <w:rsid w:val="7797445D"/>
    <w:rsid w:val="77986D62"/>
    <w:rsid w:val="779905B2"/>
    <w:rsid w:val="77A015C8"/>
    <w:rsid w:val="77A92E90"/>
    <w:rsid w:val="77B524BC"/>
    <w:rsid w:val="77B650A0"/>
    <w:rsid w:val="77CE0481"/>
    <w:rsid w:val="77E43CB3"/>
    <w:rsid w:val="77EC7456"/>
    <w:rsid w:val="77EE7D89"/>
    <w:rsid w:val="77EF0483"/>
    <w:rsid w:val="77F13E57"/>
    <w:rsid w:val="77F54C8C"/>
    <w:rsid w:val="7803238B"/>
    <w:rsid w:val="78131205"/>
    <w:rsid w:val="781911C5"/>
    <w:rsid w:val="781A279F"/>
    <w:rsid w:val="782500E0"/>
    <w:rsid w:val="782F5811"/>
    <w:rsid w:val="78384A59"/>
    <w:rsid w:val="783B343E"/>
    <w:rsid w:val="78491B75"/>
    <w:rsid w:val="784A2663"/>
    <w:rsid w:val="784A43B3"/>
    <w:rsid w:val="78511348"/>
    <w:rsid w:val="785250C1"/>
    <w:rsid w:val="78564BB1"/>
    <w:rsid w:val="78581051"/>
    <w:rsid w:val="786228CD"/>
    <w:rsid w:val="786F0FB8"/>
    <w:rsid w:val="78714DF4"/>
    <w:rsid w:val="78721CEF"/>
    <w:rsid w:val="787234C6"/>
    <w:rsid w:val="78756296"/>
    <w:rsid w:val="788334CC"/>
    <w:rsid w:val="78933114"/>
    <w:rsid w:val="78B20233"/>
    <w:rsid w:val="78D12FAA"/>
    <w:rsid w:val="78D855C6"/>
    <w:rsid w:val="78D9582D"/>
    <w:rsid w:val="78FC0536"/>
    <w:rsid w:val="78FE7954"/>
    <w:rsid w:val="79315979"/>
    <w:rsid w:val="79424F4F"/>
    <w:rsid w:val="795831E5"/>
    <w:rsid w:val="796E7E54"/>
    <w:rsid w:val="79756315"/>
    <w:rsid w:val="79765CDA"/>
    <w:rsid w:val="797C76D7"/>
    <w:rsid w:val="798B6ADC"/>
    <w:rsid w:val="79971D97"/>
    <w:rsid w:val="79A47621"/>
    <w:rsid w:val="79AA18D2"/>
    <w:rsid w:val="79AB6836"/>
    <w:rsid w:val="79BC53F7"/>
    <w:rsid w:val="79C56A19"/>
    <w:rsid w:val="79D957CA"/>
    <w:rsid w:val="79DA621C"/>
    <w:rsid w:val="79ED729C"/>
    <w:rsid w:val="7A0A78E3"/>
    <w:rsid w:val="7A2465E9"/>
    <w:rsid w:val="7A304F8E"/>
    <w:rsid w:val="7A364577"/>
    <w:rsid w:val="7A54735F"/>
    <w:rsid w:val="7A5A319C"/>
    <w:rsid w:val="7A5B64AE"/>
    <w:rsid w:val="7A5C5D83"/>
    <w:rsid w:val="7A5D09F6"/>
    <w:rsid w:val="7A681FA7"/>
    <w:rsid w:val="7A6963D8"/>
    <w:rsid w:val="7A8D6E37"/>
    <w:rsid w:val="7A912A6B"/>
    <w:rsid w:val="7AA21823"/>
    <w:rsid w:val="7AA7070E"/>
    <w:rsid w:val="7AA900DE"/>
    <w:rsid w:val="7AA936C9"/>
    <w:rsid w:val="7AB12D4C"/>
    <w:rsid w:val="7AC202DC"/>
    <w:rsid w:val="7AD37F76"/>
    <w:rsid w:val="7AF32BF3"/>
    <w:rsid w:val="7AF771AA"/>
    <w:rsid w:val="7B063D79"/>
    <w:rsid w:val="7B095F0A"/>
    <w:rsid w:val="7B116B6D"/>
    <w:rsid w:val="7B190BA4"/>
    <w:rsid w:val="7B334D35"/>
    <w:rsid w:val="7B36137C"/>
    <w:rsid w:val="7B3A2568"/>
    <w:rsid w:val="7B51165F"/>
    <w:rsid w:val="7B622901"/>
    <w:rsid w:val="7B6F5B5B"/>
    <w:rsid w:val="7B7415FA"/>
    <w:rsid w:val="7B765886"/>
    <w:rsid w:val="7B7C4D25"/>
    <w:rsid w:val="7B893C25"/>
    <w:rsid w:val="7B8B5C40"/>
    <w:rsid w:val="7B90640C"/>
    <w:rsid w:val="7B922E29"/>
    <w:rsid w:val="7BAB0D70"/>
    <w:rsid w:val="7BBC11CF"/>
    <w:rsid w:val="7BBF79A8"/>
    <w:rsid w:val="7BC24F1F"/>
    <w:rsid w:val="7BE129E3"/>
    <w:rsid w:val="7BE23EB3"/>
    <w:rsid w:val="7BE91898"/>
    <w:rsid w:val="7BF10E61"/>
    <w:rsid w:val="7BF72207"/>
    <w:rsid w:val="7C161B08"/>
    <w:rsid w:val="7C3A2FA7"/>
    <w:rsid w:val="7C4C61AE"/>
    <w:rsid w:val="7C541407"/>
    <w:rsid w:val="7C5840BF"/>
    <w:rsid w:val="7C6D071B"/>
    <w:rsid w:val="7C7750F6"/>
    <w:rsid w:val="7C84107F"/>
    <w:rsid w:val="7C865339"/>
    <w:rsid w:val="7C9909ED"/>
    <w:rsid w:val="7C9C2291"/>
    <w:rsid w:val="7CA46921"/>
    <w:rsid w:val="7CA56991"/>
    <w:rsid w:val="7CA71E0B"/>
    <w:rsid w:val="7CB4175F"/>
    <w:rsid w:val="7CB85E09"/>
    <w:rsid w:val="7CDA3AFC"/>
    <w:rsid w:val="7CFE3A42"/>
    <w:rsid w:val="7CFF1519"/>
    <w:rsid w:val="7CFF7755"/>
    <w:rsid w:val="7D013878"/>
    <w:rsid w:val="7D0F508E"/>
    <w:rsid w:val="7D17450A"/>
    <w:rsid w:val="7D1943FF"/>
    <w:rsid w:val="7D1C4A30"/>
    <w:rsid w:val="7D2557AC"/>
    <w:rsid w:val="7D3F099E"/>
    <w:rsid w:val="7D4B01E2"/>
    <w:rsid w:val="7D4F1BCF"/>
    <w:rsid w:val="7D533A52"/>
    <w:rsid w:val="7D5B43D0"/>
    <w:rsid w:val="7D6243C6"/>
    <w:rsid w:val="7D76523E"/>
    <w:rsid w:val="7D78086B"/>
    <w:rsid w:val="7D781E69"/>
    <w:rsid w:val="7D7B5075"/>
    <w:rsid w:val="7D832173"/>
    <w:rsid w:val="7D8A3C14"/>
    <w:rsid w:val="7D8C5B06"/>
    <w:rsid w:val="7D934401"/>
    <w:rsid w:val="7D953960"/>
    <w:rsid w:val="7D961406"/>
    <w:rsid w:val="7D9A5A69"/>
    <w:rsid w:val="7DA56991"/>
    <w:rsid w:val="7DA623C2"/>
    <w:rsid w:val="7DA737B9"/>
    <w:rsid w:val="7DB639FC"/>
    <w:rsid w:val="7DC425BD"/>
    <w:rsid w:val="7DFF0E02"/>
    <w:rsid w:val="7E070C8C"/>
    <w:rsid w:val="7E0800A0"/>
    <w:rsid w:val="7E0C521E"/>
    <w:rsid w:val="7E0E7E19"/>
    <w:rsid w:val="7E1840CC"/>
    <w:rsid w:val="7E1964D0"/>
    <w:rsid w:val="7E2A3B50"/>
    <w:rsid w:val="7E303249"/>
    <w:rsid w:val="7E4B4A8C"/>
    <w:rsid w:val="7E525E1A"/>
    <w:rsid w:val="7E555123"/>
    <w:rsid w:val="7E557656"/>
    <w:rsid w:val="7E7538B7"/>
    <w:rsid w:val="7E841CD2"/>
    <w:rsid w:val="7E844BCE"/>
    <w:rsid w:val="7E8B4E88"/>
    <w:rsid w:val="7E8D660B"/>
    <w:rsid w:val="7E920963"/>
    <w:rsid w:val="7E9433D2"/>
    <w:rsid w:val="7E992085"/>
    <w:rsid w:val="7EB47F46"/>
    <w:rsid w:val="7EB94600"/>
    <w:rsid w:val="7EC15709"/>
    <w:rsid w:val="7ECF7C45"/>
    <w:rsid w:val="7ED82860"/>
    <w:rsid w:val="7EEA2C5A"/>
    <w:rsid w:val="7EF45DB1"/>
    <w:rsid w:val="7EFB3F06"/>
    <w:rsid w:val="7EFD2358"/>
    <w:rsid w:val="7EFF5324"/>
    <w:rsid w:val="7F03165A"/>
    <w:rsid w:val="7F077A20"/>
    <w:rsid w:val="7F077BC2"/>
    <w:rsid w:val="7F09267A"/>
    <w:rsid w:val="7F160BF6"/>
    <w:rsid w:val="7F1B26B0"/>
    <w:rsid w:val="7F2B23E6"/>
    <w:rsid w:val="7F2B4123"/>
    <w:rsid w:val="7F3426C9"/>
    <w:rsid w:val="7F3E0944"/>
    <w:rsid w:val="7F3E5DC7"/>
    <w:rsid w:val="7F5C2ED4"/>
    <w:rsid w:val="7F5E061E"/>
    <w:rsid w:val="7F643B5C"/>
    <w:rsid w:val="7F737DF6"/>
    <w:rsid w:val="7F7C0DAA"/>
    <w:rsid w:val="7F7F2B17"/>
    <w:rsid w:val="7F8A3D01"/>
    <w:rsid w:val="7F8B6823"/>
    <w:rsid w:val="7F9B25D3"/>
    <w:rsid w:val="7F9C4EBD"/>
    <w:rsid w:val="7FAD310E"/>
    <w:rsid w:val="7FCD6742"/>
    <w:rsid w:val="7FD83999"/>
    <w:rsid w:val="7FE44850"/>
    <w:rsid w:val="7FE546A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5"/>
    <w:autoRedefine/>
    <w:qFormat/>
    <w:uiPriority w:val="0"/>
    <w:pPr>
      <w:keepNext/>
      <w:keepLines/>
      <w:spacing w:line="440" w:lineRule="exact"/>
      <w:jc w:val="center"/>
      <w:outlineLvl w:val="0"/>
    </w:pPr>
    <w:rPr>
      <w:b/>
      <w:bCs/>
      <w:kern w:val="44"/>
      <w:sz w:val="44"/>
      <w:szCs w:val="44"/>
    </w:rPr>
  </w:style>
  <w:style w:type="paragraph" w:styleId="4">
    <w:name w:val="heading 2"/>
    <w:basedOn w:val="1"/>
    <w:next w:val="1"/>
    <w:link w:val="198"/>
    <w:autoRedefine/>
    <w:qFormat/>
    <w:uiPriority w:val="0"/>
    <w:pPr>
      <w:keepNext/>
      <w:keepLines/>
      <w:spacing w:line="440" w:lineRule="exact"/>
      <w:jc w:val="left"/>
      <w:outlineLvl w:val="1"/>
    </w:pPr>
    <w:rPr>
      <w:rFonts w:ascii="Arial" w:hAnsi="Arial" w:eastAsia="黑体"/>
      <w:b/>
      <w:bCs/>
      <w:szCs w:val="32"/>
    </w:rPr>
  </w:style>
  <w:style w:type="paragraph" w:styleId="2">
    <w:name w:val="heading 3"/>
    <w:basedOn w:val="1"/>
    <w:next w:val="1"/>
    <w:link w:val="154"/>
    <w:autoRedefine/>
    <w:qFormat/>
    <w:uiPriority w:val="0"/>
    <w:pPr>
      <w:keepNext/>
      <w:keepLines/>
      <w:spacing w:line="415" w:lineRule="auto"/>
      <w:outlineLvl w:val="2"/>
    </w:pPr>
    <w:rPr>
      <w:b/>
      <w:bCs/>
      <w:kern w:val="0"/>
      <w:sz w:val="32"/>
      <w:szCs w:val="32"/>
    </w:rPr>
  </w:style>
  <w:style w:type="paragraph" w:styleId="5">
    <w:name w:val="heading 4"/>
    <w:basedOn w:val="1"/>
    <w:next w:val="6"/>
    <w:autoRedefine/>
    <w:qFormat/>
    <w:uiPriority w:val="0"/>
    <w:pPr>
      <w:keepNext/>
      <w:keepLines/>
      <w:spacing w:line="374" w:lineRule="auto"/>
      <w:outlineLvl w:val="3"/>
    </w:pPr>
    <w:rPr>
      <w:rFonts w:ascii="Arial" w:hAnsi="Arial" w:eastAsia="黑体"/>
      <w:b/>
      <w:bCs/>
      <w:sz w:val="28"/>
      <w:szCs w:val="28"/>
    </w:rPr>
  </w:style>
  <w:style w:type="paragraph" w:styleId="7">
    <w:name w:val="heading 5"/>
    <w:basedOn w:val="1"/>
    <w:next w:val="1"/>
    <w:link w:val="131"/>
    <w:autoRedefine/>
    <w:qFormat/>
    <w:uiPriority w:val="0"/>
    <w:pPr>
      <w:keepNext/>
      <w:keepLines/>
      <w:spacing w:line="376" w:lineRule="auto"/>
      <w:outlineLvl w:val="4"/>
    </w:pPr>
    <w:rPr>
      <w:b/>
      <w:bCs/>
      <w:sz w:val="28"/>
      <w:szCs w:val="28"/>
    </w:rPr>
  </w:style>
  <w:style w:type="paragraph" w:styleId="8">
    <w:name w:val="heading 6"/>
    <w:basedOn w:val="1"/>
    <w:next w:val="1"/>
    <w:autoRedefine/>
    <w:qFormat/>
    <w:uiPriority w:val="0"/>
    <w:pPr>
      <w:keepNext/>
      <w:keepLines/>
      <w:widowControl/>
      <w:tabs>
        <w:tab w:val="left" w:pos="1440"/>
      </w:tabs>
      <w:spacing w:line="319" w:lineRule="auto"/>
      <w:ind w:left="1152" w:hanging="1152"/>
      <w:jc w:val="left"/>
      <w:outlineLvl w:val="5"/>
    </w:pPr>
    <w:rPr>
      <w:rFonts w:ascii="Arial" w:hAnsi="Arial" w:eastAsia="黑体"/>
      <w:b/>
      <w:bCs/>
      <w:kern w:val="0"/>
      <w:sz w:val="24"/>
    </w:rPr>
  </w:style>
  <w:style w:type="paragraph" w:styleId="9">
    <w:name w:val="heading 7"/>
    <w:basedOn w:val="1"/>
    <w:next w:val="1"/>
    <w:autoRedefine/>
    <w:qFormat/>
    <w:uiPriority w:val="0"/>
    <w:pPr>
      <w:keepNext/>
      <w:keepLines/>
      <w:widowControl/>
      <w:tabs>
        <w:tab w:val="left" w:pos="2520"/>
      </w:tabs>
      <w:spacing w:line="319" w:lineRule="auto"/>
      <w:ind w:left="1296" w:hanging="1296"/>
      <w:jc w:val="left"/>
      <w:outlineLvl w:val="6"/>
    </w:pPr>
    <w:rPr>
      <w:b/>
      <w:bCs/>
      <w:kern w:val="0"/>
      <w:sz w:val="24"/>
    </w:rPr>
  </w:style>
  <w:style w:type="paragraph" w:styleId="10">
    <w:name w:val="heading 8"/>
    <w:basedOn w:val="1"/>
    <w:next w:val="1"/>
    <w:autoRedefine/>
    <w:qFormat/>
    <w:uiPriority w:val="0"/>
    <w:pPr>
      <w:keepNext/>
      <w:keepLines/>
      <w:widowControl/>
      <w:tabs>
        <w:tab w:val="left" w:pos="1440"/>
      </w:tabs>
      <w:spacing w:line="319" w:lineRule="auto"/>
      <w:ind w:left="1440" w:hanging="1440"/>
      <w:jc w:val="left"/>
      <w:outlineLvl w:val="7"/>
    </w:pPr>
    <w:rPr>
      <w:rFonts w:ascii="Arial" w:hAnsi="Arial" w:eastAsia="黑体"/>
      <w:kern w:val="0"/>
      <w:sz w:val="24"/>
    </w:rPr>
  </w:style>
  <w:style w:type="paragraph" w:styleId="11">
    <w:name w:val="heading 9"/>
    <w:basedOn w:val="1"/>
    <w:next w:val="1"/>
    <w:autoRedefine/>
    <w:qFormat/>
    <w:uiPriority w:val="0"/>
    <w:pPr>
      <w:keepNext/>
      <w:keepLines/>
      <w:widowControl/>
      <w:tabs>
        <w:tab w:val="left" w:pos="1584"/>
      </w:tabs>
      <w:spacing w:line="319" w:lineRule="auto"/>
      <w:ind w:left="1584" w:hanging="1584"/>
      <w:jc w:val="left"/>
      <w:outlineLvl w:val="8"/>
    </w:pPr>
    <w:rPr>
      <w:rFonts w:ascii="Arial" w:hAnsi="Arial" w:eastAsia="黑体"/>
      <w:kern w:val="0"/>
      <w:szCs w:val="21"/>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firstLineChars="200"/>
    </w:pPr>
  </w:style>
  <w:style w:type="paragraph" w:styleId="12">
    <w:name w:val="toc 7"/>
    <w:basedOn w:val="1"/>
    <w:next w:val="1"/>
    <w:autoRedefine/>
    <w:qFormat/>
    <w:uiPriority w:val="39"/>
    <w:pPr>
      <w:ind w:left="1260"/>
      <w:jc w:val="left"/>
    </w:pPr>
    <w:rPr>
      <w:sz w:val="18"/>
      <w:szCs w:val="18"/>
    </w:rPr>
  </w:style>
  <w:style w:type="paragraph" w:styleId="13">
    <w:name w:val="table of authorities"/>
    <w:basedOn w:val="1"/>
    <w:next w:val="1"/>
    <w:autoRedefine/>
    <w:unhideWhenUsed/>
    <w:qFormat/>
    <w:uiPriority w:val="0"/>
    <w:pPr>
      <w:ind w:left="420" w:leftChars="200"/>
    </w:pPr>
  </w:style>
  <w:style w:type="paragraph" w:styleId="14">
    <w:name w:val="Document Map"/>
    <w:basedOn w:val="1"/>
    <w:next w:val="1"/>
    <w:autoRedefine/>
    <w:qFormat/>
    <w:uiPriority w:val="0"/>
    <w:pPr>
      <w:shd w:val="clear" w:color="auto" w:fill="000080"/>
    </w:pPr>
  </w:style>
  <w:style w:type="paragraph" w:styleId="15">
    <w:name w:val="annotation text"/>
    <w:basedOn w:val="1"/>
    <w:link w:val="115"/>
    <w:autoRedefine/>
    <w:qFormat/>
    <w:uiPriority w:val="0"/>
    <w:pPr>
      <w:jc w:val="left"/>
    </w:pPr>
  </w:style>
  <w:style w:type="paragraph" w:styleId="16">
    <w:name w:val="Body Text 3"/>
    <w:basedOn w:val="1"/>
    <w:autoRedefine/>
    <w:qFormat/>
    <w:uiPriority w:val="0"/>
    <w:rPr>
      <w:rFonts w:ascii="宋体"/>
      <w:sz w:val="24"/>
      <w:szCs w:val="20"/>
    </w:rPr>
  </w:style>
  <w:style w:type="paragraph" w:styleId="17">
    <w:name w:val="Body Text"/>
    <w:basedOn w:val="1"/>
    <w:link w:val="143"/>
    <w:autoRedefine/>
    <w:qFormat/>
    <w:uiPriority w:val="0"/>
  </w:style>
  <w:style w:type="paragraph" w:styleId="18">
    <w:name w:val="Body Text Indent"/>
    <w:basedOn w:val="1"/>
    <w:next w:val="19"/>
    <w:autoRedefine/>
    <w:qFormat/>
    <w:uiPriority w:val="0"/>
    <w:pPr>
      <w:ind w:left="420" w:leftChars="200"/>
    </w:pPr>
  </w:style>
  <w:style w:type="paragraph" w:styleId="19">
    <w:name w:val="envelope return"/>
    <w:basedOn w:val="1"/>
    <w:next w:val="12"/>
    <w:autoRedefine/>
    <w:qFormat/>
    <w:uiPriority w:val="0"/>
    <w:pPr>
      <w:snapToGrid w:val="0"/>
    </w:pPr>
    <w:rPr>
      <w:rFonts w:ascii="Arial" w:hAnsi="Arial"/>
    </w:rPr>
  </w:style>
  <w:style w:type="paragraph" w:styleId="20">
    <w:name w:val="Block Text"/>
    <w:basedOn w:val="1"/>
    <w:next w:val="21"/>
    <w:autoRedefine/>
    <w:qFormat/>
    <w:uiPriority w:val="0"/>
    <w:pPr>
      <w:spacing w:line="400" w:lineRule="exact"/>
      <w:ind w:left="-359" w:leftChars="-171" w:right="31" w:rightChars="15" w:firstLine="980" w:firstLineChars="350"/>
    </w:pPr>
    <w:rPr>
      <w:rFonts w:ascii="宋体" w:hAnsi="宋体"/>
      <w:sz w:val="28"/>
      <w:szCs w:val="32"/>
    </w:rPr>
  </w:style>
  <w:style w:type="paragraph" w:styleId="21">
    <w:name w:val="Body Text Indent 3"/>
    <w:basedOn w:val="1"/>
    <w:next w:val="1"/>
    <w:autoRedefine/>
    <w:qFormat/>
    <w:uiPriority w:val="0"/>
    <w:pPr>
      <w:ind w:left="420" w:leftChars="200"/>
    </w:pPr>
    <w:rPr>
      <w:sz w:val="16"/>
      <w:szCs w:val="16"/>
    </w:rPr>
  </w:style>
  <w:style w:type="paragraph" w:styleId="22">
    <w:name w:val="toc 5"/>
    <w:basedOn w:val="1"/>
    <w:next w:val="1"/>
    <w:autoRedefine/>
    <w:qFormat/>
    <w:uiPriority w:val="39"/>
    <w:pPr>
      <w:ind w:left="840"/>
      <w:jc w:val="left"/>
    </w:pPr>
    <w:rPr>
      <w:sz w:val="18"/>
      <w:szCs w:val="18"/>
    </w:rPr>
  </w:style>
  <w:style w:type="paragraph" w:styleId="23">
    <w:name w:val="toc 3"/>
    <w:basedOn w:val="1"/>
    <w:next w:val="1"/>
    <w:autoRedefine/>
    <w:qFormat/>
    <w:uiPriority w:val="39"/>
    <w:pPr>
      <w:ind w:left="420"/>
      <w:jc w:val="left"/>
    </w:pPr>
    <w:rPr>
      <w:i/>
      <w:iCs/>
      <w:sz w:val="20"/>
      <w:szCs w:val="20"/>
    </w:rPr>
  </w:style>
  <w:style w:type="paragraph" w:styleId="24">
    <w:name w:val="Plain Text"/>
    <w:basedOn w:val="1"/>
    <w:next w:val="1"/>
    <w:link w:val="138"/>
    <w:autoRedefine/>
    <w:qFormat/>
    <w:uiPriority w:val="0"/>
    <w:rPr>
      <w:rFonts w:ascii="Courier New" w:hAnsi="Courier New"/>
      <w:szCs w:val="20"/>
    </w:rPr>
  </w:style>
  <w:style w:type="paragraph" w:styleId="25">
    <w:name w:val="toc 8"/>
    <w:basedOn w:val="1"/>
    <w:next w:val="1"/>
    <w:autoRedefine/>
    <w:qFormat/>
    <w:uiPriority w:val="39"/>
    <w:pPr>
      <w:ind w:left="1470"/>
      <w:jc w:val="left"/>
    </w:pPr>
    <w:rPr>
      <w:sz w:val="18"/>
      <w:szCs w:val="18"/>
    </w:rPr>
  </w:style>
  <w:style w:type="paragraph" w:styleId="26">
    <w:name w:val="Date"/>
    <w:basedOn w:val="1"/>
    <w:next w:val="1"/>
    <w:autoRedefine/>
    <w:qFormat/>
    <w:uiPriority w:val="0"/>
    <w:rPr>
      <w:sz w:val="24"/>
      <w:szCs w:val="20"/>
    </w:rPr>
  </w:style>
  <w:style w:type="paragraph" w:styleId="27">
    <w:name w:val="Body Text Indent 2"/>
    <w:basedOn w:val="1"/>
    <w:autoRedefine/>
    <w:qFormat/>
    <w:uiPriority w:val="0"/>
    <w:pPr>
      <w:spacing w:line="360" w:lineRule="exact"/>
      <w:ind w:firstLine="600" w:firstLineChars="250"/>
      <w:jc w:val="left"/>
    </w:pPr>
    <w:rPr>
      <w:sz w:val="24"/>
    </w:rPr>
  </w:style>
  <w:style w:type="paragraph" w:styleId="28">
    <w:name w:val="Balloon Text"/>
    <w:basedOn w:val="1"/>
    <w:autoRedefine/>
    <w:qFormat/>
    <w:uiPriority w:val="0"/>
    <w:rPr>
      <w:sz w:val="18"/>
      <w:szCs w:val="18"/>
    </w:rPr>
  </w:style>
  <w:style w:type="paragraph" w:styleId="29">
    <w:name w:val="footer"/>
    <w:basedOn w:val="1"/>
    <w:autoRedefine/>
    <w:qFormat/>
    <w:uiPriority w:val="0"/>
    <w:pPr>
      <w:tabs>
        <w:tab w:val="center" w:pos="4153"/>
        <w:tab w:val="right" w:pos="8306"/>
      </w:tabs>
      <w:snapToGrid w:val="0"/>
      <w:jc w:val="left"/>
    </w:pPr>
    <w:rPr>
      <w:sz w:val="18"/>
      <w:szCs w:val="18"/>
    </w:rPr>
  </w:style>
  <w:style w:type="paragraph" w:styleId="30">
    <w:name w:val="header"/>
    <w:basedOn w:val="1"/>
    <w:next w:val="17"/>
    <w:autoRedefine/>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autoRedefine/>
    <w:qFormat/>
    <w:uiPriority w:val="39"/>
    <w:pPr>
      <w:jc w:val="left"/>
    </w:pPr>
    <w:rPr>
      <w:b/>
      <w:bCs/>
      <w:caps/>
      <w:sz w:val="20"/>
      <w:szCs w:val="20"/>
    </w:rPr>
  </w:style>
  <w:style w:type="paragraph" w:styleId="32">
    <w:name w:val="toc 4"/>
    <w:basedOn w:val="1"/>
    <w:next w:val="1"/>
    <w:autoRedefine/>
    <w:qFormat/>
    <w:uiPriority w:val="39"/>
    <w:pPr>
      <w:ind w:left="630"/>
      <w:jc w:val="left"/>
    </w:pPr>
    <w:rPr>
      <w:sz w:val="18"/>
      <w:szCs w:val="18"/>
    </w:rPr>
  </w:style>
  <w:style w:type="paragraph" w:styleId="33">
    <w:name w:val="List"/>
    <w:basedOn w:val="1"/>
    <w:autoRedefine/>
    <w:qFormat/>
    <w:uiPriority w:val="0"/>
    <w:pPr>
      <w:ind w:left="420" w:hanging="420"/>
    </w:pPr>
  </w:style>
  <w:style w:type="paragraph" w:styleId="34">
    <w:name w:val="footnote text"/>
    <w:basedOn w:val="1"/>
    <w:autoRedefine/>
    <w:qFormat/>
    <w:uiPriority w:val="0"/>
    <w:rPr>
      <w:sz w:val="20"/>
      <w:szCs w:val="20"/>
    </w:rPr>
  </w:style>
  <w:style w:type="paragraph" w:styleId="35">
    <w:name w:val="toc 6"/>
    <w:basedOn w:val="1"/>
    <w:next w:val="1"/>
    <w:autoRedefine/>
    <w:qFormat/>
    <w:uiPriority w:val="39"/>
    <w:pPr>
      <w:ind w:left="1050"/>
      <w:jc w:val="left"/>
    </w:pPr>
    <w:rPr>
      <w:sz w:val="18"/>
      <w:szCs w:val="18"/>
    </w:rPr>
  </w:style>
  <w:style w:type="paragraph" w:styleId="36">
    <w:name w:val="table of figures"/>
    <w:basedOn w:val="1"/>
    <w:next w:val="1"/>
    <w:autoRedefine/>
    <w:qFormat/>
    <w:uiPriority w:val="0"/>
    <w:pPr>
      <w:ind w:left="200" w:leftChars="200" w:hanging="200" w:hangingChars="200"/>
    </w:pPr>
  </w:style>
  <w:style w:type="paragraph" w:styleId="37">
    <w:name w:val="toc 2"/>
    <w:basedOn w:val="1"/>
    <w:next w:val="1"/>
    <w:autoRedefine/>
    <w:qFormat/>
    <w:uiPriority w:val="39"/>
    <w:pPr>
      <w:ind w:left="210"/>
      <w:jc w:val="left"/>
    </w:pPr>
    <w:rPr>
      <w:smallCaps/>
      <w:sz w:val="20"/>
      <w:szCs w:val="20"/>
    </w:rPr>
  </w:style>
  <w:style w:type="paragraph" w:styleId="38">
    <w:name w:val="toc 9"/>
    <w:basedOn w:val="1"/>
    <w:next w:val="1"/>
    <w:autoRedefine/>
    <w:qFormat/>
    <w:uiPriority w:val="39"/>
    <w:pPr>
      <w:ind w:left="1680"/>
      <w:jc w:val="left"/>
    </w:pPr>
    <w:rPr>
      <w:sz w:val="18"/>
      <w:szCs w:val="18"/>
    </w:rPr>
  </w:style>
  <w:style w:type="paragraph" w:styleId="39">
    <w:name w:val="Body Text 2"/>
    <w:basedOn w:val="1"/>
    <w:autoRedefine/>
    <w:qFormat/>
    <w:uiPriority w:val="0"/>
    <w:pPr>
      <w:spacing w:line="440" w:lineRule="exact"/>
    </w:pPr>
    <w:rPr>
      <w:sz w:val="28"/>
    </w:rPr>
  </w:style>
  <w:style w:type="paragraph" w:styleId="40">
    <w:name w:val="HTML Preformatted"/>
    <w:basedOn w:val="1"/>
    <w:link w:val="117"/>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1">
    <w:name w:val="Normal (Web)"/>
    <w:basedOn w:val="1"/>
    <w:autoRedefine/>
    <w:qFormat/>
    <w:uiPriority w:val="99"/>
    <w:pPr>
      <w:widowControl/>
      <w:spacing w:beforeAutospacing="1" w:afterAutospacing="1"/>
      <w:jc w:val="left"/>
    </w:pPr>
    <w:rPr>
      <w:rFonts w:ascii="宋体" w:hAnsi="宋体" w:cs="宋体"/>
      <w:kern w:val="0"/>
      <w:sz w:val="24"/>
    </w:rPr>
  </w:style>
  <w:style w:type="paragraph" w:styleId="42">
    <w:name w:val="Title"/>
    <w:basedOn w:val="1"/>
    <w:autoRedefine/>
    <w:qFormat/>
    <w:uiPriority w:val="0"/>
    <w:pPr>
      <w:adjustRightInd w:val="0"/>
      <w:spacing w:line="420" w:lineRule="atLeast"/>
      <w:jc w:val="center"/>
      <w:textAlignment w:val="baseline"/>
      <w:outlineLvl w:val="0"/>
    </w:pPr>
    <w:rPr>
      <w:rFonts w:ascii="Arial" w:hAnsi="Arial"/>
      <w:b/>
      <w:kern w:val="0"/>
      <w:sz w:val="32"/>
      <w:szCs w:val="20"/>
    </w:rPr>
  </w:style>
  <w:style w:type="paragraph" w:styleId="43">
    <w:name w:val="annotation subject"/>
    <w:basedOn w:val="15"/>
    <w:next w:val="15"/>
    <w:autoRedefine/>
    <w:qFormat/>
    <w:uiPriority w:val="0"/>
    <w:rPr>
      <w:b/>
      <w:bCs/>
    </w:rPr>
  </w:style>
  <w:style w:type="paragraph" w:styleId="44">
    <w:name w:val="Body Text First Indent"/>
    <w:basedOn w:val="17"/>
    <w:autoRedefine/>
    <w:qFormat/>
    <w:uiPriority w:val="0"/>
    <w:pPr>
      <w:ind w:firstLine="420" w:firstLineChars="100"/>
    </w:pPr>
  </w:style>
  <w:style w:type="paragraph" w:styleId="45">
    <w:name w:val="Body Text First Indent 2"/>
    <w:basedOn w:val="18"/>
    <w:next w:val="1"/>
    <w:autoRedefine/>
    <w:qFormat/>
    <w:uiPriority w:val="0"/>
    <w:pPr>
      <w:spacing w:line="360" w:lineRule="auto"/>
      <w:ind w:firstLine="200" w:firstLineChars="200"/>
    </w:pPr>
    <w:rPr>
      <w:rFonts w:ascii="宋体"/>
      <w:szCs w:val="20"/>
    </w:rPr>
  </w:style>
  <w:style w:type="table" w:styleId="47">
    <w:name w:val="Table Grid"/>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9">
    <w:name w:val="Strong"/>
    <w:basedOn w:val="48"/>
    <w:autoRedefine/>
    <w:qFormat/>
    <w:uiPriority w:val="0"/>
    <w:rPr>
      <w:b/>
      <w:bCs/>
    </w:rPr>
  </w:style>
  <w:style w:type="character" w:styleId="50">
    <w:name w:val="page number"/>
    <w:basedOn w:val="48"/>
    <w:autoRedefine/>
    <w:qFormat/>
    <w:uiPriority w:val="0"/>
  </w:style>
  <w:style w:type="character" w:styleId="51">
    <w:name w:val="FollowedHyperlink"/>
    <w:autoRedefine/>
    <w:qFormat/>
    <w:uiPriority w:val="0"/>
    <w:rPr>
      <w:color w:val="333333"/>
      <w:u w:val="none"/>
    </w:rPr>
  </w:style>
  <w:style w:type="character" w:styleId="52">
    <w:name w:val="Emphasis"/>
    <w:autoRedefine/>
    <w:qFormat/>
    <w:uiPriority w:val="0"/>
    <w:rPr>
      <w:color w:val="CC0033"/>
    </w:rPr>
  </w:style>
  <w:style w:type="character" w:styleId="53">
    <w:name w:val="HTML Definition"/>
    <w:autoRedefine/>
    <w:qFormat/>
    <w:uiPriority w:val="0"/>
  </w:style>
  <w:style w:type="character" w:styleId="54">
    <w:name w:val="HTML Typewriter"/>
    <w:autoRedefine/>
    <w:qFormat/>
    <w:uiPriority w:val="0"/>
    <w:rPr>
      <w:rFonts w:hint="default" w:ascii="monospace" w:hAnsi="monospace" w:eastAsia="monospace" w:cs="monospace"/>
      <w:sz w:val="20"/>
    </w:rPr>
  </w:style>
  <w:style w:type="character" w:styleId="55">
    <w:name w:val="HTML Acronym"/>
    <w:basedOn w:val="48"/>
    <w:autoRedefine/>
    <w:qFormat/>
    <w:uiPriority w:val="0"/>
    <w:rPr>
      <w:vanish/>
    </w:rPr>
  </w:style>
  <w:style w:type="character" w:styleId="56">
    <w:name w:val="HTML Variable"/>
    <w:autoRedefine/>
    <w:qFormat/>
    <w:uiPriority w:val="0"/>
  </w:style>
  <w:style w:type="character" w:styleId="57">
    <w:name w:val="Hyperlink"/>
    <w:basedOn w:val="48"/>
    <w:autoRedefine/>
    <w:qFormat/>
    <w:uiPriority w:val="99"/>
    <w:rPr>
      <w:color w:val="333333"/>
      <w:u w:val="none"/>
    </w:rPr>
  </w:style>
  <w:style w:type="character" w:styleId="58">
    <w:name w:val="HTML Code"/>
    <w:autoRedefine/>
    <w:qFormat/>
    <w:uiPriority w:val="0"/>
    <w:rPr>
      <w:rFonts w:hint="default" w:ascii="monospace" w:hAnsi="monospace" w:eastAsia="monospace" w:cs="monospace"/>
      <w:sz w:val="20"/>
    </w:rPr>
  </w:style>
  <w:style w:type="character" w:styleId="59">
    <w:name w:val="annotation reference"/>
    <w:autoRedefine/>
    <w:qFormat/>
    <w:uiPriority w:val="0"/>
    <w:rPr>
      <w:sz w:val="21"/>
      <w:szCs w:val="21"/>
    </w:rPr>
  </w:style>
  <w:style w:type="character" w:styleId="60">
    <w:name w:val="HTML Cite"/>
    <w:autoRedefine/>
    <w:qFormat/>
    <w:uiPriority w:val="0"/>
  </w:style>
  <w:style w:type="character" w:styleId="61">
    <w:name w:val="footnote reference"/>
    <w:autoRedefine/>
    <w:qFormat/>
    <w:uiPriority w:val="0"/>
    <w:rPr>
      <w:vertAlign w:val="superscript"/>
    </w:rPr>
  </w:style>
  <w:style w:type="character" w:styleId="62">
    <w:name w:val="HTML Keyboard"/>
    <w:autoRedefine/>
    <w:qFormat/>
    <w:uiPriority w:val="0"/>
    <w:rPr>
      <w:rFonts w:ascii="monospace" w:hAnsi="monospace" w:eastAsia="monospace" w:cs="monospace"/>
      <w:sz w:val="20"/>
    </w:rPr>
  </w:style>
  <w:style w:type="character" w:styleId="63">
    <w:name w:val="HTML Sample"/>
    <w:autoRedefine/>
    <w:qFormat/>
    <w:uiPriority w:val="0"/>
    <w:rPr>
      <w:rFonts w:hint="default" w:ascii="monospace" w:hAnsi="monospace" w:eastAsia="monospace" w:cs="monospace"/>
    </w:rPr>
  </w:style>
  <w:style w:type="character" w:customStyle="1" w:styleId="64">
    <w:name w:val="标题 2 Char"/>
    <w:autoRedefine/>
    <w:qFormat/>
    <w:uiPriority w:val="0"/>
    <w:rPr>
      <w:rFonts w:ascii="Arial" w:hAnsi="Arial" w:eastAsia="黑体"/>
      <w:b/>
      <w:bCs/>
      <w:kern w:val="2"/>
      <w:sz w:val="21"/>
      <w:szCs w:val="32"/>
      <w:lang w:val="en-US" w:eastAsia="zh-CN" w:bidi="ar-SA"/>
    </w:rPr>
  </w:style>
  <w:style w:type="character" w:customStyle="1" w:styleId="65">
    <w:name w:val="标题 1 Char"/>
    <w:link w:val="3"/>
    <w:autoRedefine/>
    <w:qFormat/>
    <w:uiPriority w:val="0"/>
    <w:rPr>
      <w:rFonts w:eastAsia="宋体"/>
      <w:b/>
      <w:bCs/>
      <w:kern w:val="44"/>
      <w:sz w:val="44"/>
      <w:szCs w:val="44"/>
      <w:lang w:val="en-US" w:eastAsia="zh-CN" w:bidi="ar-SA"/>
    </w:rPr>
  </w:style>
  <w:style w:type="paragraph" w:customStyle="1" w:styleId="66">
    <w:name w:val="正文（缩进）"/>
    <w:basedOn w:val="1"/>
    <w:next w:val="20"/>
    <w:autoRedefine/>
    <w:qFormat/>
    <w:uiPriority w:val="0"/>
    <w:pPr>
      <w:spacing w:beforeLines="50" w:afterLines="50" w:line="360" w:lineRule="auto"/>
      <w:ind w:firstLine="480" w:firstLineChars="200"/>
    </w:pPr>
    <w:rPr>
      <w:sz w:val="24"/>
    </w:rPr>
  </w:style>
  <w:style w:type="paragraph" w:customStyle="1" w:styleId="67">
    <w:name w:val="正文文字 8"/>
    <w:basedOn w:val="1"/>
    <w:next w:val="1"/>
    <w:autoRedefine/>
    <w:qFormat/>
    <w:uiPriority w:val="0"/>
    <w:pPr>
      <w:ind w:left="240"/>
    </w:pPr>
    <w:rPr>
      <w:sz w:val="16"/>
    </w:rPr>
  </w:style>
  <w:style w:type="paragraph" w:styleId="68">
    <w:name w:val="List Paragraph"/>
    <w:basedOn w:val="1"/>
    <w:autoRedefine/>
    <w:qFormat/>
    <w:uiPriority w:val="34"/>
    <w:pPr>
      <w:ind w:firstLine="420" w:firstLineChars="200"/>
    </w:pPr>
  </w:style>
  <w:style w:type="paragraph" w:customStyle="1" w:styleId="69">
    <w:name w:val="_Style 62"/>
    <w:basedOn w:val="1"/>
    <w:next w:val="1"/>
    <w:autoRedefine/>
    <w:qFormat/>
    <w:uiPriority w:val="0"/>
    <w:pPr>
      <w:pBdr>
        <w:top w:val="single" w:color="auto" w:sz="6" w:space="1"/>
      </w:pBdr>
      <w:jc w:val="center"/>
    </w:pPr>
    <w:rPr>
      <w:rFonts w:ascii="Arial"/>
      <w:vanish/>
      <w:sz w:val="16"/>
    </w:rPr>
  </w:style>
  <w:style w:type="paragraph" w:customStyle="1" w:styleId="70">
    <w:name w:val="Blockquote"/>
    <w:basedOn w:val="1"/>
    <w:autoRedefine/>
    <w:qFormat/>
    <w:uiPriority w:val="0"/>
    <w:pPr>
      <w:autoSpaceDE w:val="0"/>
      <w:autoSpaceDN w:val="0"/>
      <w:adjustRightInd w:val="0"/>
      <w:ind w:left="360" w:right="360"/>
      <w:jc w:val="left"/>
    </w:pPr>
    <w:rPr>
      <w:kern w:val="0"/>
      <w:sz w:val="24"/>
      <w:szCs w:val="20"/>
    </w:rPr>
  </w:style>
  <w:style w:type="paragraph" w:customStyle="1" w:styleId="71">
    <w:name w:val="表格"/>
    <w:basedOn w:val="1"/>
    <w:autoRedefine/>
    <w:qFormat/>
    <w:uiPriority w:val="0"/>
    <w:pPr>
      <w:jc w:val="center"/>
      <w:textAlignment w:val="center"/>
    </w:pPr>
    <w:rPr>
      <w:rFonts w:ascii="华文细黑" w:hAnsi="华文细黑"/>
      <w:kern w:val="0"/>
      <w:szCs w:val="20"/>
    </w:rPr>
  </w:style>
  <w:style w:type="paragraph" w:customStyle="1" w:styleId="72">
    <w:name w:val="表格文字"/>
    <w:basedOn w:val="1"/>
    <w:autoRedefine/>
    <w:qFormat/>
    <w:uiPriority w:val="0"/>
    <w:pPr>
      <w:adjustRightInd w:val="0"/>
      <w:spacing w:line="420" w:lineRule="atLeast"/>
      <w:jc w:val="left"/>
      <w:textAlignment w:val="baseline"/>
    </w:pPr>
    <w:rPr>
      <w:kern w:val="0"/>
      <w:szCs w:val="20"/>
    </w:rPr>
  </w:style>
  <w:style w:type="paragraph" w:customStyle="1" w:styleId="73">
    <w:name w:val="Char"/>
    <w:basedOn w:val="1"/>
    <w:next w:val="1"/>
    <w:autoRedefine/>
    <w:qFormat/>
    <w:uiPriority w:val="0"/>
    <w:pPr>
      <w:widowControl/>
      <w:spacing w:line="360" w:lineRule="auto"/>
      <w:jc w:val="left"/>
    </w:pPr>
    <w:rPr>
      <w:kern w:val="0"/>
      <w:szCs w:val="20"/>
      <w:lang w:eastAsia="en-US"/>
    </w:rPr>
  </w:style>
  <w:style w:type="paragraph" w:customStyle="1" w:styleId="74">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75">
    <w:name w:val="样式2"/>
    <w:basedOn w:val="2"/>
    <w:autoRedefine/>
    <w:qFormat/>
    <w:uiPriority w:val="0"/>
  </w:style>
  <w:style w:type="paragraph" w:customStyle="1" w:styleId="76">
    <w:name w:val="Default Paragraph Char Char Char Char"/>
    <w:basedOn w:val="1"/>
    <w:next w:val="1"/>
    <w:autoRedefine/>
    <w:qFormat/>
    <w:uiPriority w:val="0"/>
    <w:pPr>
      <w:spacing w:line="360" w:lineRule="auto"/>
    </w:pPr>
    <w:rPr>
      <w:szCs w:val="20"/>
    </w:rPr>
  </w:style>
  <w:style w:type="paragraph" w:customStyle="1" w:styleId="77">
    <w:name w:val="节标题"/>
    <w:basedOn w:val="1"/>
    <w:next w:val="1"/>
    <w:autoRedefine/>
    <w:qFormat/>
    <w:uiPriority w:val="0"/>
    <w:pPr>
      <w:widowControl/>
      <w:spacing w:line="289" w:lineRule="atLeast"/>
      <w:jc w:val="center"/>
      <w:textAlignment w:val="baseline"/>
    </w:pPr>
    <w:rPr>
      <w:color w:val="000000"/>
      <w:kern w:val="0"/>
      <w:sz w:val="28"/>
      <w:szCs w:val="20"/>
      <w:u w:color="000000"/>
    </w:rPr>
  </w:style>
  <w:style w:type="paragraph" w:customStyle="1" w:styleId="78">
    <w:name w:val="默认段落字体 Para Char Char Char Char"/>
    <w:basedOn w:val="1"/>
    <w:autoRedefine/>
    <w:qFormat/>
    <w:uiPriority w:val="0"/>
  </w:style>
  <w:style w:type="paragraph" w:customStyle="1" w:styleId="79">
    <w:name w:val="样式 标题 1 + 黑体 五号"/>
    <w:basedOn w:val="3"/>
    <w:autoRedefine/>
    <w:qFormat/>
    <w:uiPriority w:val="0"/>
    <w:pPr>
      <w:jc w:val="left"/>
    </w:pPr>
    <w:rPr>
      <w:rFonts w:ascii="黑体" w:hAnsi="黑体" w:eastAsia="黑体"/>
      <w:sz w:val="21"/>
    </w:rPr>
  </w:style>
  <w:style w:type="paragraph" w:customStyle="1" w:styleId="80">
    <w:name w:val="样式4"/>
    <w:basedOn w:val="2"/>
    <w:autoRedefine/>
    <w:qFormat/>
    <w:uiPriority w:val="0"/>
    <w:rPr>
      <w:rFonts w:eastAsia="Arial"/>
    </w:rPr>
  </w:style>
  <w:style w:type="paragraph" w:customStyle="1" w:styleId="81">
    <w:name w:val="正文1"/>
    <w:autoRedefine/>
    <w:qFormat/>
    <w:uiPriority w:val="0"/>
    <w:pPr>
      <w:widowControl w:val="0"/>
      <w:adjustRightInd w:val="0"/>
      <w:spacing w:line="312" w:lineRule="atLeast"/>
      <w:jc w:val="both"/>
      <w:textAlignment w:val="baseline"/>
    </w:pPr>
    <w:rPr>
      <w:rFonts w:ascii="宋体" w:hAnsi="Times New Roman" w:eastAsia="宋体" w:cs="宋体"/>
      <w:sz w:val="24"/>
      <w:szCs w:val="24"/>
      <w:lang w:val="en-US" w:eastAsia="zh-CN" w:bidi="ar-SA"/>
    </w:rPr>
  </w:style>
  <w:style w:type="paragraph" w:customStyle="1" w:styleId="82">
    <w:name w:val="列出段落1"/>
    <w:basedOn w:val="1"/>
    <w:autoRedefine/>
    <w:qFormat/>
    <w:uiPriority w:val="0"/>
    <w:pPr>
      <w:ind w:firstLine="200" w:firstLineChars="200"/>
    </w:pPr>
  </w:style>
  <w:style w:type="paragraph" w:customStyle="1" w:styleId="83">
    <w:name w:val="p0 New"/>
    <w:basedOn w:val="1"/>
    <w:autoRedefine/>
    <w:qFormat/>
    <w:uiPriority w:val="0"/>
    <w:pPr>
      <w:widowControl/>
      <w:jc w:val="left"/>
    </w:pPr>
    <w:rPr>
      <w:rFonts w:ascii="宋体" w:hAnsi="宋体" w:cs="宋体"/>
      <w:kern w:val="0"/>
      <w:sz w:val="18"/>
      <w:szCs w:val="18"/>
    </w:rPr>
  </w:style>
  <w:style w:type="paragraph" w:customStyle="1" w:styleId="84">
    <w:name w:val="样式 标题 1 + 黑体 三号 非加粗 居中 段前: 6 磅 段后: 6 磅 行距: 固定值 20 磅"/>
    <w:basedOn w:val="3"/>
    <w:autoRedefine/>
    <w:qFormat/>
    <w:uiPriority w:val="0"/>
    <w:pPr>
      <w:spacing w:line="400" w:lineRule="exact"/>
    </w:pPr>
    <w:rPr>
      <w:rFonts w:ascii="黑体" w:hAnsi="黑体" w:eastAsia="黑体" w:cs="宋体"/>
      <w:b w:val="0"/>
      <w:bCs w:val="0"/>
      <w:sz w:val="32"/>
      <w:szCs w:val="20"/>
    </w:rPr>
  </w:style>
  <w:style w:type="paragraph" w:customStyle="1" w:styleId="85">
    <w:name w:val="_Style 78"/>
    <w:basedOn w:val="3"/>
    <w:next w:val="1"/>
    <w:autoRedefine/>
    <w:qFormat/>
    <w:uiPriority w:val="39"/>
    <w:pPr>
      <w:widowControl/>
      <w:spacing w:before="480" w:line="276" w:lineRule="auto"/>
      <w:jc w:val="left"/>
      <w:outlineLvl w:val="9"/>
    </w:pPr>
    <w:rPr>
      <w:rFonts w:ascii="Cambria" w:hAnsi="Cambria"/>
      <w:color w:val="365F91"/>
      <w:kern w:val="0"/>
      <w:sz w:val="28"/>
      <w:szCs w:val="28"/>
    </w:rPr>
  </w:style>
  <w:style w:type="paragraph" w:customStyle="1" w:styleId="86">
    <w:name w:val="Char1"/>
    <w:basedOn w:val="1"/>
    <w:autoRedefine/>
    <w:qFormat/>
    <w:uiPriority w:val="0"/>
    <w:pPr>
      <w:tabs>
        <w:tab w:val="left" w:pos="360"/>
      </w:tabs>
    </w:pPr>
    <w:rPr>
      <w:sz w:val="24"/>
    </w:rPr>
  </w:style>
  <w:style w:type="paragraph" w:customStyle="1" w:styleId="87">
    <w:name w:val="样式1"/>
    <w:basedOn w:val="2"/>
    <w:autoRedefine/>
    <w:qFormat/>
    <w:uiPriority w:val="0"/>
    <w:rPr>
      <w:rFonts w:eastAsia="Arial"/>
    </w:rPr>
  </w:style>
  <w:style w:type="paragraph" w:customStyle="1" w:styleId="88">
    <w:name w:val="Char Char Char Char Char Char Char Char Char Char Char Char Char"/>
    <w:basedOn w:val="1"/>
    <w:autoRedefine/>
    <w:qFormat/>
    <w:uiPriority w:val="0"/>
  </w:style>
  <w:style w:type="paragraph" w:customStyle="1" w:styleId="89">
    <w:name w:val="p"/>
    <w:basedOn w:val="1"/>
    <w:autoRedefine/>
    <w:qFormat/>
    <w:uiPriority w:val="0"/>
    <w:rPr>
      <w:rFonts w:ascii="宋体"/>
      <w:sz w:val="24"/>
    </w:rPr>
  </w:style>
  <w:style w:type="paragraph" w:customStyle="1" w:styleId="90">
    <w:name w:val="Char Char Char Char"/>
    <w:basedOn w:val="1"/>
    <w:autoRedefine/>
    <w:qFormat/>
    <w:uiPriority w:val="0"/>
  </w:style>
  <w:style w:type="paragraph" w:customStyle="1" w:styleId="91">
    <w:name w:val="_Style 84"/>
    <w:basedOn w:val="1"/>
    <w:next w:val="1"/>
    <w:autoRedefine/>
    <w:qFormat/>
    <w:uiPriority w:val="0"/>
    <w:pPr>
      <w:pBdr>
        <w:bottom w:val="single" w:color="auto" w:sz="6" w:space="1"/>
      </w:pBdr>
      <w:jc w:val="center"/>
    </w:pPr>
    <w:rPr>
      <w:rFonts w:ascii="Arial"/>
      <w:vanish/>
      <w:sz w:val="16"/>
    </w:rPr>
  </w:style>
  <w:style w:type="paragraph" w:customStyle="1" w:styleId="92">
    <w:name w:val="1"/>
    <w:basedOn w:val="1"/>
    <w:next w:val="1"/>
    <w:autoRedefine/>
    <w:qFormat/>
    <w:uiPriority w:val="0"/>
  </w:style>
  <w:style w:type="paragraph" w:customStyle="1" w:styleId="93">
    <w:name w:val="p15"/>
    <w:autoRedefine/>
    <w:qFormat/>
    <w:uiPriority w:val="0"/>
    <w:pPr>
      <w:jc w:val="both"/>
    </w:pPr>
    <w:rPr>
      <w:rFonts w:ascii="宋体" w:hAnsi="Times New Roman" w:eastAsia="宋体" w:cs="宋体"/>
      <w:sz w:val="21"/>
      <w:szCs w:val="21"/>
      <w:lang w:val="en-US" w:eastAsia="zh-CN" w:bidi="ar-SA"/>
    </w:rPr>
  </w:style>
  <w:style w:type="paragraph" w:customStyle="1" w:styleId="94">
    <w:name w:val="样式 标题 2 + Times New Roman 四号 非加粗 段前: 5 磅 段后: 0 磅 行距: 固定值 20..."/>
    <w:basedOn w:val="4"/>
    <w:autoRedefine/>
    <w:qFormat/>
    <w:uiPriority w:val="0"/>
    <w:pPr>
      <w:spacing w:line="400" w:lineRule="exact"/>
    </w:pPr>
    <w:rPr>
      <w:rFonts w:ascii="Times New Roman" w:hAnsi="Times New Roman" w:cs="宋体"/>
      <w:b w:val="0"/>
      <w:bCs w:val="0"/>
      <w:sz w:val="28"/>
      <w:szCs w:val="20"/>
    </w:rPr>
  </w:style>
  <w:style w:type="paragraph" w:customStyle="1" w:styleId="95">
    <w:name w:val="Table Paragraph"/>
    <w:basedOn w:val="1"/>
    <w:autoRedefine/>
    <w:qFormat/>
    <w:uiPriority w:val="0"/>
    <w:pPr>
      <w:autoSpaceDE w:val="0"/>
      <w:autoSpaceDN w:val="0"/>
      <w:jc w:val="left"/>
    </w:pPr>
    <w:rPr>
      <w:rFonts w:ascii="宋体" w:hAnsi="宋体" w:cs="宋体"/>
      <w:kern w:val="0"/>
      <w:sz w:val="22"/>
      <w:szCs w:val="22"/>
      <w:lang w:val="zh-CN"/>
    </w:rPr>
  </w:style>
  <w:style w:type="paragraph" w:customStyle="1" w:styleId="96">
    <w:name w:val="p0"/>
    <w:basedOn w:val="1"/>
    <w:autoRedefine/>
    <w:qFormat/>
    <w:uiPriority w:val="99"/>
    <w:pPr>
      <w:widowControl/>
    </w:pPr>
    <w:rPr>
      <w:kern w:val="0"/>
      <w:szCs w:val="21"/>
    </w:rPr>
  </w:style>
  <w:style w:type="paragraph" w:customStyle="1" w:styleId="97">
    <w:name w:val="样式3"/>
    <w:basedOn w:val="2"/>
    <w:autoRedefine/>
    <w:qFormat/>
    <w:uiPriority w:val="0"/>
    <w:rPr>
      <w:rFonts w:eastAsia="Arial"/>
    </w:rPr>
  </w:style>
  <w:style w:type="paragraph" w:customStyle="1" w:styleId="98">
    <w:name w:val="样式 标题 3 + (中文) 黑体 小四 非加粗 段前: 7.8 磅 段后: 0 磅 行距: 固定值 20 磅"/>
    <w:basedOn w:val="2"/>
    <w:autoRedefine/>
    <w:qFormat/>
    <w:uiPriority w:val="0"/>
    <w:pPr>
      <w:spacing w:line="400" w:lineRule="exact"/>
    </w:pPr>
    <w:rPr>
      <w:rFonts w:eastAsia="黑体" w:cs="宋体"/>
      <w:b w:val="0"/>
      <w:bCs w:val="0"/>
      <w:sz w:val="24"/>
      <w:szCs w:val="20"/>
    </w:rPr>
  </w:style>
  <w:style w:type="paragraph" w:customStyle="1" w:styleId="99">
    <w:name w:val="Char Char Char Char Char Char Char Char Char Char Char Char Char1"/>
    <w:basedOn w:val="1"/>
    <w:autoRedefine/>
    <w:qFormat/>
    <w:uiPriority w:val="0"/>
  </w:style>
  <w:style w:type="paragraph" w:customStyle="1" w:styleId="100">
    <w:name w:val="Char4"/>
    <w:basedOn w:val="1"/>
    <w:autoRedefine/>
    <w:qFormat/>
    <w:uiPriority w:val="0"/>
    <w:pPr>
      <w:widowControl/>
      <w:spacing w:line="360" w:lineRule="auto"/>
      <w:ind w:firstLine="200" w:firstLineChars="200"/>
      <w:textAlignment w:val="baseline"/>
    </w:pPr>
    <w:rPr>
      <w:color w:val="000000"/>
      <w:kern w:val="0"/>
      <w:szCs w:val="20"/>
      <w:u w:color="000000"/>
    </w:rPr>
  </w:style>
  <w:style w:type="paragraph" w:customStyle="1" w:styleId="101">
    <w:name w:val="正文2"/>
    <w:autoRedefine/>
    <w:qFormat/>
    <w:uiPriority w:val="0"/>
    <w:pPr>
      <w:widowControl w:val="0"/>
      <w:jc w:val="both"/>
    </w:pPr>
    <w:rPr>
      <w:rFonts w:ascii="Times New Roman" w:hAnsi="Times New Roman" w:eastAsia="宋体" w:cs="Times New Roman"/>
      <w:lang w:val="en-US" w:eastAsia="zh-CN" w:bidi="ar-SA"/>
    </w:rPr>
  </w:style>
  <w:style w:type="character" w:customStyle="1" w:styleId="102">
    <w:name w:val="first-child"/>
    <w:basedOn w:val="48"/>
    <w:autoRedefine/>
    <w:qFormat/>
    <w:uiPriority w:val="0"/>
  </w:style>
  <w:style w:type="character" w:customStyle="1" w:styleId="103">
    <w:name w:val="Char Char Char Char Char Char"/>
    <w:autoRedefine/>
    <w:qFormat/>
    <w:uiPriority w:val="0"/>
    <w:rPr>
      <w:rFonts w:ascii="Arial" w:hAnsi="Arial" w:eastAsia="黑体"/>
      <w:b/>
      <w:bCs/>
      <w:kern w:val="2"/>
      <w:sz w:val="32"/>
      <w:szCs w:val="32"/>
      <w:lang w:val="en-US" w:eastAsia="zh-CN" w:bidi="ar-SA"/>
    </w:rPr>
  </w:style>
  <w:style w:type="character" w:customStyle="1" w:styleId="104">
    <w:name w:val="l11"/>
    <w:autoRedefine/>
    <w:qFormat/>
    <w:uiPriority w:val="0"/>
    <w:rPr>
      <w:color w:val="999999"/>
    </w:rPr>
  </w:style>
  <w:style w:type="character" w:customStyle="1" w:styleId="105">
    <w:name w:val="Char Char"/>
    <w:autoRedefine/>
    <w:qFormat/>
    <w:uiPriority w:val="0"/>
    <w:rPr>
      <w:rFonts w:ascii="Arial" w:hAnsi="Arial" w:eastAsia="黑体"/>
      <w:b/>
      <w:bCs/>
      <w:kern w:val="2"/>
      <w:sz w:val="32"/>
      <w:szCs w:val="32"/>
      <w:lang w:val="en-US" w:eastAsia="zh-CN" w:bidi="ar-SA"/>
    </w:rPr>
  </w:style>
  <w:style w:type="character" w:customStyle="1" w:styleId="106">
    <w:name w:val="Char Char5"/>
    <w:autoRedefine/>
    <w:qFormat/>
    <w:uiPriority w:val="0"/>
    <w:rPr>
      <w:rFonts w:ascii="Arial" w:hAnsi="Arial" w:eastAsia="黑体"/>
      <w:b/>
      <w:bCs/>
      <w:kern w:val="2"/>
      <w:sz w:val="32"/>
      <w:szCs w:val="32"/>
    </w:rPr>
  </w:style>
  <w:style w:type="character" w:customStyle="1" w:styleId="107">
    <w:name w:val="msg-box28"/>
    <w:basedOn w:val="48"/>
    <w:autoRedefine/>
    <w:qFormat/>
    <w:uiPriority w:val="0"/>
  </w:style>
  <w:style w:type="character" w:customStyle="1" w:styleId="108">
    <w:name w:val="img_title6"/>
    <w:autoRedefine/>
    <w:qFormat/>
    <w:uiPriority w:val="0"/>
    <w:rPr>
      <w:vanish/>
    </w:rPr>
  </w:style>
  <w:style w:type="character" w:customStyle="1" w:styleId="109">
    <w:name w:val="tit12"/>
    <w:autoRedefine/>
    <w:qFormat/>
    <w:uiPriority w:val="0"/>
    <w:rPr>
      <w:color w:val="04A06C"/>
    </w:rPr>
  </w:style>
  <w:style w:type="character" w:customStyle="1" w:styleId="110">
    <w:name w:val="Char Char2"/>
    <w:autoRedefine/>
    <w:qFormat/>
    <w:uiPriority w:val="0"/>
    <w:rPr>
      <w:rFonts w:eastAsia="宋体"/>
      <w:kern w:val="2"/>
      <w:sz w:val="21"/>
      <w:szCs w:val="24"/>
      <w:lang w:val="en-US" w:eastAsia="zh-CN" w:bidi="ar-SA"/>
    </w:rPr>
  </w:style>
  <w:style w:type="character" w:customStyle="1" w:styleId="111">
    <w:name w:val="nostart"/>
    <w:autoRedefine/>
    <w:qFormat/>
    <w:uiPriority w:val="0"/>
    <w:rPr>
      <w:color w:val="FF0000"/>
    </w:rPr>
  </w:style>
  <w:style w:type="character" w:customStyle="1" w:styleId="112">
    <w:name w:val="nostart3"/>
    <w:basedOn w:val="48"/>
    <w:autoRedefine/>
    <w:qFormat/>
    <w:uiPriority w:val="0"/>
  </w:style>
  <w:style w:type="character" w:customStyle="1" w:styleId="113">
    <w:name w:val="img4"/>
    <w:basedOn w:val="48"/>
    <w:autoRedefine/>
    <w:qFormat/>
    <w:uiPriority w:val="0"/>
  </w:style>
  <w:style w:type="character" w:customStyle="1" w:styleId="114">
    <w:name w:val="tit11"/>
    <w:autoRedefine/>
    <w:qFormat/>
    <w:uiPriority w:val="0"/>
    <w:rPr>
      <w:color w:val="B60000"/>
    </w:rPr>
  </w:style>
  <w:style w:type="character" w:customStyle="1" w:styleId="115">
    <w:name w:val="批注文字 Char"/>
    <w:link w:val="15"/>
    <w:autoRedefine/>
    <w:qFormat/>
    <w:uiPriority w:val="0"/>
    <w:rPr>
      <w:rFonts w:eastAsia="宋体"/>
      <w:kern w:val="2"/>
      <w:sz w:val="21"/>
      <w:szCs w:val="24"/>
      <w:lang w:val="en-US" w:eastAsia="zh-CN" w:bidi="ar-SA"/>
    </w:rPr>
  </w:style>
  <w:style w:type="character" w:customStyle="1" w:styleId="116">
    <w:name w:val="over"/>
    <w:autoRedefine/>
    <w:qFormat/>
    <w:uiPriority w:val="0"/>
    <w:rPr>
      <w:color w:val="B60000"/>
    </w:rPr>
  </w:style>
  <w:style w:type="character" w:customStyle="1" w:styleId="117">
    <w:name w:val="HTML 预设格式 Char"/>
    <w:link w:val="40"/>
    <w:autoRedefine/>
    <w:qFormat/>
    <w:uiPriority w:val="0"/>
    <w:rPr>
      <w:rFonts w:ascii="宋体" w:hAnsi="宋体" w:cs="宋体"/>
      <w:sz w:val="24"/>
      <w:szCs w:val="24"/>
    </w:rPr>
  </w:style>
  <w:style w:type="character" w:customStyle="1" w:styleId="118">
    <w:name w:val="l6"/>
    <w:autoRedefine/>
    <w:qFormat/>
    <w:uiPriority w:val="0"/>
    <w:rPr>
      <w:color w:val="999999"/>
    </w:rPr>
  </w:style>
  <w:style w:type="character" w:customStyle="1" w:styleId="119">
    <w:name w:val="datetime"/>
    <w:autoRedefine/>
    <w:qFormat/>
    <w:uiPriority w:val="0"/>
    <w:rPr>
      <w:rFonts w:hint="default" w:ascii="Arial" w:hAnsi="Arial" w:cs="Arial"/>
      <w:color w:val="999999"/>
      <w:sz w:val="21"/>
      <w:szCs w:val="21"/>
    </w:rPr>
  </w:style>
  <w:style w:type="character" w:customStyle="1" w:styleId="120">
    <w:name w:val="txt1"/>
    <w:basedOn w:val="48"/>
    <w:autoRedefine/>
    <w:qFormat/>
    <w:uiPriority w:val="0"/>
  </w:style>
  <w:style w:type="character" w:customStyle="1" w:styleId="121">
    <w:name w:val="starting1"/>
    <w:autoRedefine/>
    <w:qFormat/>
    <w:uiPriority w:val="0"/>
    <w:rPr>
      <w:color w:val="339900"/>
    </w:rPr>
  </w:style>
  <w:style w:type="character" w:customStyle="1" w:styleId="122">
    <w:name w:val="starting2"/>
    <w:autoRedefine/>
    <w:qFormat/>
    <w:uiPriority w:val="0"/>
    <w:rPr>
      <w:color w:val="B60000"/>
    </w:rPr>
  </w:style>
  <w:style w:type="character" w:customStyle="1" w:styleId="123">
    <w:name w:val="red"/>
    <w:autoRedefine/>
    <w:qFormat/>
    <w:uiPriority w:val="0"/>
    <w:rPr>
      <w:rFonts w:hint="default" w:ascii="Arial" w:hAnsi="Arial" w:cs="Arial"/>
      <w:color w:val="E50000"/>
    </w:rPr>
  </w:style>
  <w:style w:type="character" w:customStyle="1" w:styleId="124">
    <w:name w:val="Char Char4"/>
    <w:autoRedefine/>
    <w:qFormat/>
    <w:uiPriority w:val="0"/>
    <w:rPr>
      <w:rFonts w:eastAsia="宋体"/>
      <w:b/>
      <w:bCs/>
      <w:kern w:val="44"/>
      <w:sz w:val="44"/>
      <w:szCs w:val="44"/>
      <w:lang w:val="en-US" w:eastAsia="zh-CN" w:bidi="ar-SA"/>
    </w:rPr>
  </w:style>
  <w:style w:type="character" w:customStyle="1" w:styleId="125">
    <w:name w:val="font161"/>
    <w:autoRedefine/>
    <w:qFormat/>
    <w:uiPriority w:val="0"/>
    <w:rPr>
      <w:b/>
      <w:bCs/>
      <w:sz w:val="32"/>
      <w:szCs w:val="32"/>
    </w:rPr>
  </w:style>
  <w:style w:type="character" w:customStyle="1" w:styleId="126">
    <w:name w:val="Char Char8"/>
    <w:autoRedefine/>
    <w:qFormat/>
    <w:uiPriority w:val="0"/>
    <w:rPr>
      <w:rFonts w:ascii="Arial" w:hAnsi="Arial" w:eastAsia="黑体"/>
      <w:b/>
      <w:bCs/>
      <w:kern w:val="2"/>
      <w:sz w:val="32"/>
      <w:szCs w:val="32"/>
      <w:lang w:val="en-US" w:eastAsia="zh-CN" w:bidi="ar-SA"/>
    </w:rPr>
  </w:style>
  <w:style w:type="character" w:customStyle="1" w:styleId="127">
    <w:name w:val="msg-box29"/>
    <w:basedOn w:val="48"/>
    <w:autoRedefine/>
    <w:qFormat/>
    <w:uiPriority w:val="0"/>
  </w:style>
  <w:style w:type="character" w:customStyle="1" w:styleId="128">
    <w:name w:val="over2"/>
    <w:autoRedefine/>
    <w:qFormat/>
    <w:uiPriority w:val="0"/>
    <w:rPr>
      <w:color w:val="999999"/>
    </w:rPr>
  </w:style>
  <w:style w:type="character" w:customStyle="1" w:styleId="129">
    <w:name w:val="img_title7"/>
    <w:autoRedefine/>
    <w:qFormat/>
    <w:uiPriority w:val="0"/>
    <w:rPr>
      <w:vanish/>
    </w:rPr>
  </w:style>
  <w:style w:type="character" w:customStyle="1" w:styleId="130">
    <w:name w:val="l7"/>
    <w:autoRedefine/>
    <w:qFormat/>
    <w:uiPriority w:val="0"/>
    <w:rPr>
      <w:color w:val="999999"/>
    </w:rPr>
  </w:style>
  <w:style w:type="character" w:customStyle="1" w:styleId="131">
    <w:name w:val="标题 5 Char"/>
    <w:link w:val="7"/>
    <w:autoRedefine/>
    <w:qFormat/>
    <w:uiPriority w:val="0"/>
    <w:rPr>
      <w:b/>
      <w:bCs/>
      <w:kern w:val="2"/>
      <w:sz w:val="28"/>
      <w:szCs w:val="28"/>
    </w:rPr>
  </w:style>
  <w:style w:type="character" w:customStyle="1" w:styleId="132">
    <w:name w:val="l51"/>
    <w:autoRedefine/>
    <w:qFormat/>
    <w:uiPriority w:val="0"/>
    <w:rPr>
      <w:color w:val="999999"/>
    </w:rPr>
  </w:style>
  <w:style w:type="character" w:customStyle="1" w:styleId="133">
    <w:name w:val="num81"/>
    <w:basedOn w:val="48"/>
    <w:autoRedefine/>
    <w:qFormat/>
    <w:uiPriority w:val="0"/>
  </w:style>
  <w:style w:type="character" w:customStyle="1" w:styleId="134">
    <w:name w:val="Char Char1"/>
    <w:autoRedefine/>
    <w:qFormat/>
    <w:uiPriority w:val="0"/>
    <w:rPr>
      <w:rFonts w:eastAsia="宋体"/>
      <w:kern w:val="2"/>
      <w:sz w:val="21"/>
      <w:szCs w:val="24"/>
      <w:lang w:val="en-US" w:eastAsia="zh-CN" w:bidi="ar-SA"/>
    </w:rPr>
  </w:style>
  <w:style w:type="character" w:customStyle="1" w:styleId="135">
    <w:name w:val="zs"/>
    <w:autoRedefine/>
    <w:qFormat/>
    <w:uiPriority w:val="0"/>
    <w:rPr>
      <w:color w:val="8D744B"/>
      <w:sz w:val="18"/>
      <w:szCs w:val="18"/>
    </w:rPr>
  </w:style>
  <w:style w:type="character" w:customStyle="1" w:styleId="136">
    <w:name w:val="bigfont"/>
    <w:basedOn w:val="48"/>
    <w:autoRedefine/>
    <w:qFormat/>
    <w:uiPriority w:val="0"/>
  </w:style>
  <w:style w:type="character" w:customStyle="1" w:styleId="137">
    <w:name w:val="txt"/>
    <w:autoRedefine/>
    <w:qFormat/>
    <w:uiPriority w:val="0"/>
    <w:rPr>
      <w:color w:val="C0C0C0"/>
    </w:rPr>
  </w:style>
  <w:style w:type="character" w:customStyle="1" w:styleId="138">
    <w:name w:val="纯文本 Char2"/>
    <w:link w:val="24"/>
    <w:autoRedefine/>
    <w:qFormat/>
    <w:uiPriority w:val="0"/>
    <w:rPr>
      <w:rFonts w:ascii="Courier New" w:hAnsi="Courier New" w:eastAsia="宋体"/>
      <w:kern w:val="2"/>
      <w:sz w:val="21"/>
      <w:lang w:val="en-US" w:eastAsia="zh-CN" w:bidi="ar-SA"/>
    </w:rPr>
  </w:style>
  <w:style w:type="character" w:customStyle="1" w:styleId="139">
    <w:name w:val="jg"/>
    <w:basedOn w:val="48"/>
    <w:autoRedefine/>
    <w:qFormat/>
    <w:uiPriority w:val="0"/>
  </w:style>
  <w:style w:type="character" w:customStyle="1" w:styleId="140">
    <w:name w:val="17"/>
    <w:autoRedefine/>
    <w:qFormat/>
    <w:uiPriority w:val="0"/>
    <w:rPr>
      <w:rFonts w:ascii="仿宋_GB2312" w:eastAsia="仿宋_GB2312"/>
      <w:color w:val="auto"/>
      <w:sz w:val="28"/>
      <w:szCs w:val="28"/>
      <w:u w:val="single"/>
    </w:rPr>
  </w:style>
  <w:style w:type="character" w:customStyle="1" w:styleId="141">
    <w:name w:val="job"/>
    <w:basedOn w:val="48"/>
    <w:autoRedefine/>
    <w:qFormat/>
    <w:uiPriority w:val="0"/>
  </w:style>
  <w:style w:type="character" w:customStyle="1" w:styleId="142">
    <w:name w:val="job1"/>
    <w:basedOn w:val="48"/>
    <w:autoRedefine/>
    <w:qFormat/>
    <w:uiPriority w:val="0"/>
  </w:style>
  <w:style w:type="character" w:customStyle="1" w:styleId="143">
    <w:name w:val="正文文本 Char"/>
    <w:link w:val="17"/>
    <w:autoRedefine/>
    <w:qFormat/>
    <w:uiPriority w:val="0"/>
    <w:rPr>
      <w:rFonts w:eastAsia="宋体"/>
      <w:kern w:val="2"/>
      <w:sz w:val="21"/>
      <w:szCs w:val="24"/>
      <w:lang w:val="en-US" w:eastAsia="zh-CN" w:bidi="ar-SA"/>
    </w:rPr>
  </w:style>
  <w:style w:type="character" w:customStyle="1" w:styleId="144">
    <w:name w:val="p05"/>
    <w:basedOn w:val="48"/>
    <w:autoRedefine/>
    <w:qFormat/>
    <w:uiPriority w:val="0"/>
  </w:style>
  <w:style w:type="character" w:customStyle="1" w:styleId="145">
    <w:name w:val="Char Char7"/>
    <w:autoRedefine/>
    <w:qFormat/>
    <w:uiPriority w:val="0"/>
    <w:rPr>
      <w:rFonts w:ascii="Arial" w:hAnsi="Arial" w:eastAsia="黑体"/>
      <w:b/>
      <w:bCs/>
      <w:kern w:val="2"/>
      <w:sz w:val="32"/>
      <w:szCs w:val="32"/>
      <w:lang w:val="en-US" w:eastAsia="zh-CN" w:bidi="ar-SA"/>
    </w:rPr>
  </w:style>
  <w:style w:type="character" w:customStyle="1" w:styleId="146">
    <w:name w:val="over3"/>
    <w:basedOn w:val="48"/>
    <w:autoRedefine/>
    <w:qFormat/>
    <w:uiPriority w:val="0"/>
  </w:style>
  <w:style w:type="character" w:customStyle="1" w:styleId="147">
    <w:name w:val="Char Char3"/>
    <w:autoRedefine/>
    <w:qFormat/>
    <w:uiPriority w:val="0"/>
    <w:rPr>
      <w:rFonts w:ascii="Arial" w:hAnsi="Arial" w:eastAsia="黑体"/>
      <w:b/>
      <w:bCs/>
      <w:kern w:val="2"/>
      <w:sz w:val="32"/>
      <w:szCs w:val="32"/>
      <w:lang w:val="en-US" w:eastAsia="zh-CN" w:bidi="ar-SA"/>
    </w:rPr>
  </w:style>
  <w:style w:type="character" w:customStyle="1" w:styleId="148">
    <w:name w:val="Char Char71"/>
    <w:autoRedefine/>
    <w:qFormat/>
    <w:uiPriority w:val="0"/>
    <w:rPr>
      <w:rFonts w:ascii="Arial" w:hAnsi="Arial" w:eastAsia="黑体"/>
      <w:b/>
      <w:bCs/>
      <w:kern w:val="2"/>
      <w:sz w:val="32"/>
      <w:szCs w:val="32"/>
      <w:lang w:val="en-US" w:eastAsia="zh-CN" w:bidi="ar-SA"/>
    </w:rPr>
  </w:style>
  <w:style w:type="character" w:customStyle="1" w:styleId="149">
    <w:name w:val="num51"/>
    <w:basedOn w:val="48"/>
    <w:autoRedefine/>
    <w:qFormat/>
    <w:uiPriority w:val="0"/>
  </w:style>
  <w:style w:type="character" w:customStyle="1" w:styleId="150">
    <w:name w:val="Char Char Char"/>
    <w:autoRedefine/>
    <w:qFormat/>
    <w:uiPriority w:val="0"/>
    <w:rPr>
      <w:rFonts w:eastAsia="宋体"/>
      <w:b/>
      <w:bCs/>
      <w:kern w:val="44"/>
      <w:sz w:val="44"/>
      <w:szCs w:val="44"/>
      <w:lang w:val="en-US" w:eastAsia="zh-CN" w:bidi="ar-SA"/>
    </w:rPr>
  </w:style>
  <w:style w:type="character" w:customStyle="1" w:styleId="151">
    <w:name w:val="msg-box31"/>
    <w:basedOn w:val="48"/>
    <w:autoRedefine/>
    <w:qFormat/>
    <w:uiPriority w:val="0"/>
  </w:style>
  <w:style w:type="character" w:customStyle="1" w:styleId="152">
    <w:name w:val="msg-box30"/>
    <w:basedOn w:val="48"/>
    <w:autoRedefine/>
    <w:qFormat/>
    <w:uiPriority w:val="0"/>
  </w:style>
  <w:style w:type="character" w:customStyle="1" w:styleId="153">
    <w:name w:val="标题 1 Char Char"/>
    <w:autoRedefine/>
    <w:qFormat/>
    <w:uiPriority w:val="0"/>
    <w:rPr>
      <w:rFonts w:eastAsia="宋体"/>
      <w:b/>
      <w:bCs/>
      <w:kern w:val="44"/>
      <w:sz w:val="44"/>
      <w:szCs w:val="44"/>
      <w:lang w:val="en-US" w:eastAsia="zh-CN" w:bidi="ar-SA"/>
    </w:rPr>
  </w:style>
  <w:style w:type="character" w:customStyle="1" w:styleId="154">
    <w:name w:val="标题 3 Char"/>
    <w:link w:val="2"/>
    <w:autoRedefine/>
    <w:qFormat/>
    <w:uiPriority w:val="0"/>
    <w:rPr>
      <w:b/>
      <w:bCs/>
      <w:sz w:val="32"/>
      <w:szCs w:val="32"/>
    </w:rPr>
  </w:style>
  <w:style w:type="character" w:customStyle="1" w:styleId="155">
    <w:name w:val="c1"/>
    <w:basedOn w:val="48"/>
    <w:autoRedefine/>
    <w:qFormat/>
    <w:uiPriority w:val="0"/>
  </w:style>
  <w:style w:type="character" w:customStyle="1" w:styleId="156">
    <w:name w:val="纯文本 Char1"/>
    <w:autoRedefine/>
    <w:qFormat/>
    <w:uiPriority w:val="0"/>
    <w:rPr>
      <w:rFonts w:ascii="Courier New" w:hAnsi="Courier New" w:eastAsia="宋体"/>
      <w:kern w:val="2"/>
      <w:sz w:val="21"/>
      <w:lang w:val="en-US" w:eastAsia="zh-CN" w:bidi="ar-SA"/>
    </w:rPr>
  </w:style>
  <w:style w:type="character" w:customStyle="1" w:styleId="157">
    <w:name w:val="Char Char Char1"/>
    <w:autoRedefine/>
    <w:qFormat/>
    <w:uiPriority w:val="0"/>
    <w:rPr>
      <w:rFonts w:ascii="Arial" w:hAnsi="Arial" w:eastAsia="黑体"/>
      <w:b/>
      <w:bCs/>
      <w:kern w:val="2"/>
      <w:sz w:val="32"/>
      <w:szCs w:val="32"/>
      <w:lang w:val="en-US" w:eastAsia="zh-CN" w:bidi="ar-SA"/>
    </w:rPr>
  </w:style>
  <w:style w:type="character" w:customStyle="1" w:styleId="158">
    <w:name w:val="l3"/>
    <w:autoRedefine/>
    <w:qFormat/>
    <w:uiPriority w:val="0"/>
    <w:rPr>
      <w:color w:val="999999"/>
    </w:rPr>
  </w:style>
  <w:style w:type="character" w:customStyle="1" w:styleId="159">
    <w:name w:val="tit14"/>
    <w:autoRedefine/>
    <w:qFormat/>
    <w:uiPriority w:val="0"/>
    <w:rPr>
      <w:color w:val="B60000"/>
    </w:rPr>
  </w:style>
  <w:style w:type="character" w:customStyle="1" w:styleId="160">
    <w:name w:val="tit10"/>
    <w:autoRedefine/>
    <w:qFormat/>
    <w:uiPriority w:val="0"/>
    <w:rPr>
      <w:color w:val="B60000"/>
    </w:rPr>
  </w:style>
  <w:style w:type="character" w:customStyle="1" w:styleId="161">
    <w:name w:val="l21"/>
    <w:autoRedefine/>
    <w:qFormat/>
    <w:uiPriority w:val="0"/>
    <w:rPr>
      <w:color w:val="999999"/>
    </w:rPr>
  </w:style>
  <w:style w:type="character" w:customStyle="1" w:styleId="162">
    <w:name w:val="num71"/>
    <w:basedOn w:val="48"/>
    <w:autoRedefine/>
    <w:qFormat/>
    <w:uiPriority w:val="0"/>
  </w:style>
  <w:style w:type="character" w:customStyle="1" w:styleId="163">
    <w:name w:val="标题 2 Char Char"/>
    <w:autoRedefine/>
    <w:qFormat/>
    <w:uiPriority w:val="0"/>
    <w:rPr>
      <w:rFonts w:ascii="Arial" w:hAnsi="Arial" w:eastAsia="黑体"/>
      <w:b/>
      <w:bCs/>
      <w:kern w:val="2"/>
      <w:sz w:val="32"/>
      <w:szCs w:val="32"/>
      <w:lang w:val="en-US" w:eastAsia="zh-CN" w:bidi="ar-SA"/>
    </w:rPr>
  </w:style>
  <w:style w:type="character" w:customStyle="1" w:styleId="164">
    <w:name w:val="buvis"/>
    <w:autoRedefine/>
    <w:qFormat/>
    <w:uiPriority w:val="0"/>
    <w:rPr>
      <w:color w:val="999999"/>
    </w:rPr>
  </w:style>
  <w:style w:type="character" w:customStyle="1" w:styleId="165">
    <w:name w:val="name"/>
    <w:autoRedefine/>
    <w:qFormat/>
    <w:uiPriority w:val="0"/>
    <w:rPr>
      <w:color w:val="444444"/>
      <w:sz w:val="21"/>
      <w:szCs w:val="21"/>
    </w:rPr>
  </w:style>
  <w:style w:type="character" w:customStyle="1" w:styleId="166">
    <w:name w:val="layui-this"/>
    <w:autoRedefine/>
    <w:qFormat/>
    <w:uiPriority w:val="0"/>
    <w:rPr>
      <w:bdr w:val="single" w:color="EEEEEE" w:sz="6" w:space="0"/>
      <w:shd w:val="clear" w:color="auto" w:fill="FFFFFF"/>
    </w:rPr>
  </w:style>
  <w:style w:type="character" w:customStyle="1" w:styleId="167">
    <w:name w:val="标题 2 Char1"/>
    <w:autoRedefine/>
    <w:qFormat/>
    <w:uiPriority w:val="0"/>
    <w:rPr>
      <w:rFonts w:ascii="Arial" w:hAnsi="Arial" w:eastAsia="黑体"/>
      <w:b/>
      <w:bCs/>
      <w:kern w:val="2"/>
      <w:sz w:val="32"/>
      <w:szCs w:val="32"/>
      <w:lang w:val="en-US" w:eastAsia="zh-CN" w:bidi="ar-SA"/>
    </w:rPr>
  </w:style>
  <w:style w:type="character" w:customStyle="1" w:styleId="168">
    <w:name w:val="zw"/>
    <w:autoRedefine/>
    <w:qFormat/>
    <w:uiPriority w:val="0"/>
    <w:rPr>
      <w:color w:val="BD1E22"/>
      <w:sz w:val="22"/>
      <w:szCs w:val="22"/>
    </w:rPr>
  </w:style>
  <w:style w:type="character" w:customStyle="1" w:styleId="169">
    <w:name w:val="name1"/>
    <w:autoRedefine/>
    <w:qFormat/>
    <w:uiPriority w:val="0"/>
    <w:rPr>
      <w:color w:val="695435"/>
      <w:sz w:val="24"/>
      <w:szCs w:val="24"/>
    </w:rPr>
  </w:style>
  <w:style w:type="character" w:customStyle="1" w:styleId="170">
    <w:name w:val="num61"/>
    <w:basedOn w:val="48"/>
    <w:autoRedefine/>
    <w:qFormat/>
    <w:uiPriority w:val="0"/>
  </w:style>
  <w:style w:type="character" w:customStyle="1" w:styleId="171">
    <w:name w:val="mesg-myd"/>
    <w:autoRedefine/>
    <w:qFormat/>
    <w:uiPriority w:val="0"/>
    <w:rPr>
      <w:color w:val="EE0000"/>
    </w:rPr>
  </w:style>
  <w:style w:type="character" w:customStyle="1" w:styleId="172">
    <w:name w:val="c2"/>
    <w:basedOn w:val="48"/>
    <w:autoRedefine/>
    <w:qFormat/>
    <w:uiPriority w:val="0"/>
  </w:style>
  <w:style w:type="character" w:customStyle="1" w:styleId="173">
    <w:name w:val="c3"/>
    <w:basedOn w:val="48"/>
    <w:autoRedefine/>
    <w:qFormat/>
    <w:uiPriority w:val="0"/>
  </w:style>
  <w:style w:type="character" w:customStyle="1" w:styleId="174">
    <w:name w:val="over1"/>
    <w:autoRedefine/>
    <w:qFormat/>
    <w:uiPriority w:val="0"/>
    <w:rPr>
      <w:color w:val="B60000"/>
    </w:rPr>
  </w:style>
  <w:style w:type="character" w:customStyle="1" w:styleId="175">
    <w:name w:val="tit13"/>
    <w:autoRedefine/>
    <w:qFormat/>
    <w:uiPriority w:val="0"/>
    <w:rPr>
      <w:color w:val="FFFFFF"/>
    </w:rPr>
  </w:style>
  <w:style w:type="character" w:customStyle="1" w:styleId="176">
    <w:name w:val="Char Char21"/>
    <w:autoRedefine/>
    <w:qFormat/>
    <w:uiPriority w:val="0"/>
    <w:rPr>
      <w:rFonts w:eastAsia="宋体"/>
      <w:kern w:val="2"/>
      <w:sz w:val="21"/>
      <w:szCs w:val="24"/>
      <w:lang w:val="en-US" w:eastAsia="zh-CN" w:bidi="ar-SA"/>
    </w:rPr>
  </w:style>
  <w:style w:type="character" w:customStyle="1" w:styleId="177">
    <w:name w:val="l41"/>
    <w:autoRedefine/>
    <w:qFormat/>
    <w:uiPriority w:val="0"/>
    <w:rPr>
      <w:color w:val="999999"/>
    </w:rPr>
  </w:style>
  <w:style w:type="character" w:customStyle="1" w:styleId="178">
    <w:name w:val="16"/>
    <w:autoRedefine/>
    <w:qFormat/>
    <w:uiPriority w:val="0"/>
    <w:rPr>
      <w:rFonts w:ascii="仿宋_GB2312" w:eastAsia="仿宋_GB2312"/>
      <w:color w:val="auto"/>
      <w:sz w:val="28"/>
      <w:szCs w:val="28"/>
    </w:rPr>
  </w:style>
  <w:style w:type="character" w:customStyle="1" w:styleId="179">
    <w:name w:val="num31"/>
    <w:basedOn w:val="48"/>
    <w:autoRedefine/>
    <w:qFormat/>
    <w:uiPriority w:val="0"/>
  </w:style>
  <w:style w:type="character" w:customStyle="1" w:styleId="180">
    <w:name w:val="starting4"/>
    <w:basedOn w:val="48"/>
    <w:autoRedefine/>
    <w:qFormat/>
    <w:uiPriority w:val="0"/>
  </w:style>
  <w:style w:type="character" w:customStyle="1" w:styleId="181">
    <w:name w:val="bsharetext"/>
    <w:basedOn w:val="48"/>
    <w:autoRedefine/>
    <w:qFormat/>
    <w:uiPriority w:val="0"/>
  </w:style>
  <w:style w:type="character" w:customStyle="1" w:styleId="182">
    <w:name w:val="unit"/>
    <w:autoRedefine/>
    <w:qFormat/>
    <w:uiPriority w:val="0"/>
    <w:rPr>
      <w:color w:val="999999"/>
    </w:rPr>
  </w:style>
  <w:style w:type="character" w:customStyle="1" w:styleId="183">
    <w:name w:val="nostart2"/>
    <w:autoRedefine/>
    <w:qFormat/>
    <w:uiPriority w:val="0"/>
    <w:rPr>
      <w:color w:val="B60000"/>
    </w:rPr>
  </w:style>
  <w:style w:type="character" w:customStyle="1" w:styleId="184">
    <w:name w:val="纯文本 Char"/>
    <w:autoRedefine/>
    <w:qFormat/>
    <w:uiPriority w:val="99"/>
    <w:rPr>
      <w:rFonts w:ascii="Courier New" w:hAnsi="Courier New" w:eastAsia="宋体"/>
      <w:kern w:val="2"/>
      <w:sz w:val="21"/>
      <w:lang w:val="en-US" w:eastAsia="zh-CN" w:bidi="ar-SA"/>
    </w:rPr>
  </w:style>
  <w:style w:type="character" w:customStyle="1" w:styleId="185">
    <w:name w:val="Char Char81"/>
    <w:autoRedefine/>
    <w:qFormat/>
    <w:uiPriority w:val="0"/>
    <w:rPr>
      <w:rFonts w:ascii="Arial" w:hAnsi="Arial" w:eastAsia="黑体"/>
      <w:b/>
      <w:bCs/>
      <w:kern w:val="2"/>
      <w:sz w:val="32"/>
      <w:szCs w:val="32"/>
      <w:lang w:val="en-US" w:eastAsia="zh-CN" w:bidi="ar-SA"/>
    </w:rPr>
  </w:style>
  <w:style w:type="character" w:customStyle="1" w:styleId="186">
    <w:name w:val="starting"/>
    <w:autoRedefine/>
    <w:qFormat/>
    <w:uiPriority w:val="0"/>
    <w:rPr>
      <w:color w:val="339900"/>
    </w:rPr>
  </w:style>
  <w:style w:type="character" w:customStyle="1" w:styleId="187">
    <w:name w:val="nostart1"/>
    <w:autoRedefine/>
    <w:qFormat/>
    <w:uiPriority w:val="0"/>
    <w:rPr>
      <w:color w:val="FF0000"/>
    </w:rPr>
  </w:style>
  <w:style w:type="character" w:customStyle="1" w:styleId="188">
    <w:name w:val="num210"/>
    <w:basedOn w:val="48"/>
    <w:autoRedefine/>
    <w:qFormat/>
    <w:uiPriority w:val="0"/>
  </w:style>
  <w:style w:type="character" w:customStyle="1" w:styleId="189">
    <w:name w:val="buvis1"/>
    <w:autoRedefine/>
    <w:qFormat/>
    <w:uiPriority w:val="0"/>
    <w:rPr>
      <w:color w:val="CC0000"/>
    </w:rPr>
  </w:style>
  <w:style w:type="character" w:customStyle="1" w:styleId="190">
    <w:name w:val="starting3"/>
    <w:basedOn w:val="48"/>
    <w:autoRedefine/>
    <w:qFormat/>
    <w:uiPriority w:val="0"/>
  </w:style>
  <w:style w:type="character" w:customStyle="1" w:styleId="191">
    <w:name w:val="textcontents"/>
    <w:basedOn w:val="48"/>
    <w:autoRedefine/>
    <w:qFormat/>
    <w:uiPriority w:val="0"/>
  </w:style>
  <w:style w:type="character" w:customStyle="1" w:styleId="192">
    <w:name w:val="num41"/>
    <w:basedOn w:val="48"/>
    <w:autoRedefine/>
    <w:qFormat/>
    <w:uiPriority w:val="0"/>
  </w:style>
  <w:style w:type="character" w:customStyle="1" w:styleId="193">
    <w:name w:val="tit9"/>
    <w:autoRedefine/>
    <w:qFormat/>
    <w:uiPriority w:val="0"/>
    <w:rPr>
      <w:color w:val="B60000"/>
      <w:sz w:val="27"/>
      <w:szCs w:val="27"/>
      <w:bdr w:val="single" w:color="DFCEB8" w:sz="6" w:space="0"/>
      <w:shd w:val="clear" w:color="auto" w:fill="FFFFFF"/>
    </w:rPr>
  </w:style>
  <w:style w:type="character" w:customStyle="1" w:styleId="194">
    <w:name w:val="name2"/>
    <w:autoRedefine/>
    <w:qFormat/>
    <w:uiPriority w:val="0"/>
    <w:rPr>
      <w:color w:val="000000"/>
      <w:sz w:val="39"/>
      <w:szCs w:val="39"/>
    </w:rPr>
  </w:style>
  <w:style w:type="character" w:customStyle="1" w:styleId="195">
    <w:name w:val="img_title8"/>
    <w:autoRedefine/>
    <w:qFormat/>
    <w:uiPriority w:val="0"/>
    <w:rPr>
      <w:vanish/>
    </w:rPr>
  </w:style>
  <w:style w:type="character" w:customStyle="1" w:styleId="196">
    <w:name w:val="tit15"/>
    <w:autoRedefine/>
    <w:qFormat/>
    <w:uiPriority w:val="0"/>
    <w:rPr>
      <w:b/>
      <w:color w:val="B60000"/>
    </w:rPr>
  </w:style>
  <w:style w:type="character" w:customStyle="1" w:styleId="197">
    <w:name w:val="img_title9"/>
    <w:autoRedefine/>
    <w:qFormat/>
    <w:uiPriority w:val="0"/>
    <w:rPr>
      <w:vanish/>
    </w:rPr>
  </w:style>
  <w:style w:type="character" w:customStyle="1" w:styleId="198">
    <w:name w:val="标题 2 Char2"/>
    <w:link w:val="4"/>
    <w:autoRedefine/>
    <w:qFormat/>
    <w:uiPriority w:val="0"/>
    <w:rPr>
      <w:rFonts w:ascii="Arial" w:hAnsi="Arial" w:eastAsia="黑体"/>
      <w:b/>
      <w:bCs/>
      <w:kern w:val="2"/>
      <w:sz w:val="21"/>
      <w:szCs w:val="32"/>
      <w:lang w:val="en-US" w:eastAsia="zh-CN" w:bidi="ar-SA"/>
    </w:rPr>
  </w:style>
  <w:style w:type="paragraph" w:customStyle="1" w:styleId="199">
    <w:name w:val="正文 New"/>
    <w:next w:val="200"/>
    <w:autoRedefine/>
    <w:qFormat/>
    <w:uiPriority w:val="0"/>
    <w:pPr>
      <w:widowControl w:val="0"/>
      <w:spacing w:line="440" w:lineRule="exact"/>
      <w:ind w:left="357" w:hanging="357"/>
      <w:jc w:val="both"/>
    </w:pPr>
    <w:rPr>
      <w:rFonts w:ascii="Calibri" w:hAnsi="Calibri" w:eastAsia="宋体" w:cs="Times New Roman"/>
      <w:kern w:val="2"/>
      <w:sz w:val="21"/>
      <w:szCs w:val="22"/>
      <w:lang w:val="en-US" w:eastAsia="zh-CN" w:bidi="ar-SA"/>
    </w:rPr>
  </w:style>
  <w:style w:type="paragraph" w:customStyle="1" w:styleId="200">
    <w:name w:val="正文缩进1"/>
    <w:basedOn w:val="1"/>
    <w:next w:val="14"/>
    <w:qFormat/>
    <w:uiPriority w:val="0"/>
    <w:pPr>
      <w:spacing w:line="360" w:lineRule="atLeast"/>
      <w:ind w:firstLine="482"/>
    </w:pPr>
    <w:rPr>
      <w:sz w:val="24"/>
    </w:rPr>
  </w:style>
  <w:style w:type="character" w:customStyle="1" w:styleId="201">
    <w:name w:val="font12"/>
    <w:basedOn w:val="48"/>
    <w:autoRedefine/>
    <w:qFormat/>
    <w:uiPriority w:val="0"/>
    <w:rPr>
      <w:rFonts w:hint="eastAsia" w:ascii="仿宋" w:hAnsi="仿宋" w:eastAsia="仿宋" w:cs="仿宋"/>
      <w:b/>
      <w:color w:val="000000"/>
      <w:sz w:val="32"/>
      <w:szCs w:val="32"/>
      <w:u w:val="none"/>
    </w:rPr>
  </w:style>
  <w:style w:type="character" w:customStyle="1" w:styleId="202">
    <w:name w:val="font101"/>
    <w:basedOn w:val="48"/>
    <w:autoRedefine/>
    <w:qFormat/>
    <w:uiPriority w:val="0"/>
    <w:rPr>
      <w:rFonts w:hint="default" w:ascii="Times New Roman" w:hAnsi="Times New Roman" w:cs="Times New Roman"/>
      <w:color w:val="000000"/>
      <w:sz w:val="24"/>
      <w:szCs w:val="24"/>
      <w:u w:val="none"/>
    </w:rPr>
  </w:style>
  <w:style w:type="character" w:customStyle="1" w:styleId="203">
    <w:name w:val="font111"/>
    <w:basedOn w:val="48"/>
    <w:autoRedefine/>
    <w:qFormat/>
    <w:uiPriority w:val="0"/>
    <w:rPr>
      <w:rFonts w:ascii="仿宋_GB2312" w:eastAsia="仿宋_GB2312" w:cs="仿宋_GB2312"/>
      <w:color w:val="000000"/>
      <w:sz w:val="24"/>
      <w:szCs w:val="24"/>
      <w:u w:val="none"/>
    </w:rPr>
  </w:style>
  <w:style w:type="character" w:customStyle="1" w:styleId="204">
    <w:name w:val="font91"/>
    <w:basedOn w:val="48"/>
    <w:autoRedefine/>
    <w:qFormat/>
    <w:uiPriority w:val="0"/>
    <w:rPr>
      <w:rFonts w:hint="eastAsia" w:ascii="仿宋" w:hAnsi="仿宋" w:eastAsia="仿宋" w:cs="仿宋"/>
      <w:color w:val="000000"/>
      <w:sz w:val="24"/>
      <w:szCs w:val="24"/>
      <w:u w:val="single"/>
    </w:rPr>
  </w:style>
  <w:style w:type="character" w:customStyle="1" w:styleId="205">
    <w:name w:val="font81"/>
    <w:basedOn w:val="48"/>
    <w:autoRedefine/>
    <w:qFormat/>
    <w:uiPriority w:val="0"/>
    <w:rPr>
      <w:rFonts w:hint="default" w:ascii="Times New Roman" w:hAnsi="Times New Roman" w:cs="Times New Roman"/>
      <w:color w:val="000000"/>
      <w:sz w:val="24"/>
      <w:szCs w:val="24"/>
      <w:u w:val="none"/>
    </w:rPr>
  </w:style>
  <w:style w:type="character" w:customStyle="1" w:styleId="206">
    <w:name w:val="font61"/>
    <w:basedOn w:val="48"/>
    <w:autoRedefine/>
    <w:qFormat/>
    <w:uiPriority w:val="0"/>
    <w:rPr>
      <w:rFonts w:hint="eastAsia" w:ascii="仿宋_GB2312" w:eastAsia="仿宋_GB2312" w:cs="仿宋_GB2312"/>
      <w:color w:val="000000"/>
      <w:sz w:val="24"/>
      <w:szCs w:val="24"/>
      <w:u w:val="none"/>
    </w:rPr>
  </w:style>
  <w:style w:type="character" w:customStyle="1" w:styleId="207">
    <w:name w:val="font21"/>
    <w:basedOn w:val="48"/>
    <w:autoRedefine/>
    <w:qFormat/>
    <w:uiPriority w:val="0"/>
    <w:rPr>
      <w:rFonts w:hint="default" w:ascii="Times New Roman" w:hAnsi="Times New Roman" w:cs="Times New Roman"/>
      <w:color w:val="000000"/>
      <w:sz w:val="24"/>
      <w:szCs w:val="24"/>
      <w:u w:val="none"/>
    </w:rPr>
  </w:style>
  <w:style w:type="character" w:customStyle="1" w:styleId="208">
    <w:name w:val="NormalCharacter"/>
    <w:autoRedefine/>
    <w:semiHidden/>
    <w:qFormat/>
    <w:uiPriority w:val="0"/>
    <w:rPr>
      <w:snapToGrid w:val="0"/>
      <w:kern w:val="0"/>
      <w:sz w:val="32"/>
      <w:szCs w:val="32"/>
      <w:lang w:val="en-US" w:eastAsia="zh-CN" w:bidi="ar-SA"/>
    </w:rPr>
  </w:style>
  <w:style w:type="character" w:customStyle="1" w:styleId="209">
    <w:name w:val="first-child1"/>
    <w:basedOn w:val="48"/>
    <w:autoRedefine/>
    <w:qFormat/>
    <w:uiPriority w:val="0"/>
  </w:style>
  <w:style w:type="character" w:customStyle="1" w:styleId="210">
    <w:name w:val="hover1"/>
    <w:basedOn w:val="48"/>
    <w:autoRedefine/>
    <w:qFormat/>
    <w:uiPriority w:val="0"/>
    <w:rPr>
      <w:color w:val="2590EB"/>
    </w:rPr>
  </w:style>
  <w:style w:type="character" w:customStyle="1" w:styleId="211">
    <w:name w:val="hover2"/>
    <w:basedOn w:val="48"/>
    <w:autoRedefine/>
    <w:qFormat/>
    <w:uiPriority w:val="0"/>
  </w:style>
  <w:style w:type="character" w:customStyle="1" w:styleId="212">
    <w:name w:val="hover3"/>
    <w:basedOn w:val="48"/>
    <w:autoRedefine/>
    <w:qFormat/>
    <w:uiPriority w:val="0"/>
    <w:rPr>
      <w:color w:val="2590EB"/>
    </w:rPr>
  </w:style>
  <w:style w:type="character" w:customStyle="1" w:styleId="213">
    <w:name w:val="hover4"/>
    <w:basedOn w:val="48"/>
    <w:autoRedefine/>
    <w:qFormat/>
    <w:uiPriority w:val="0"/>
    <w:rPr>
      <w:color w:val="2590EB"/>
      <w:shd w:val="clear" w:color="auto" w:fill="E9F4FD"/>
    </w:rPr>
  </w:style>
  <w:style w:type="character" w:customStyle="1" w:styleId="214">
    <w:name w:val="mini-outputtext1"/>
    <w:basedOn w:val="48"/>
    <w:autoRedefine/>
    <w:qFormat/>
    <w:uiPriority w:val="0"/>
  </w:style>
  <w:style w:type="character" w:customStyle="1" w:styleId="215">
    <w:name w:val="hover"/>
    <w:basedOn w:val="48"/>
    <w:autoRedefine/>
    <w:qFormat/>
    <w:uiPriority w:val="0"/>
    <w:rPr>
      <w:color w:val="2590EB"/>
    </w:rPr>
  </w:style>
  <w:style w:type="paragraph" w:customStyle="1" w:styleId="216">
    <w:name w:val="l正文"/>
    <w:autoRedefine/>
    <w:qFormat/>
    <w:uiPriority w:val="0"/>
    <w:pPr>
      <w:widowControl w:val="0"/>
      <w:spacing w:line="300" w:lineRule="auto"/>
      <w:ind w:firstLine="200" w:firstLineChars="200"/>
      <w:jc w:val="both"/>
    </w:pPr>
    <w:rPr>
      <w:rFonts w:ascii="楷体_GB2312" w:hAnsi="Times" w:eastAsia="楷体_GB2312" w:cs="Times New Roman"/>
      <w:kern w:val="2"/>
      <w:sz w:val="24"/>
      <w:szCs w:val="24"/>
      <w:lang w:val="en-US" w:eastAsia="zh-CN" w:bidi="ar-SA"/>
    </w:rPr>
  </w:style>
  <w:style w:type="paragraph" w:customStyle="1" w:styleId="217">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18">
    <w:name w:val="Main Title"/>
    <w:next w:val="1"/>
    <w:autoRedefine/>
    <w:qFormat/>
    <w:uiPriority w:val="0"/>
    <w:pPr>
      <w:adjustRightInd w:val="0"/>
      <w:snapToGrid w:val="0"/>
      <w:spacing w:afterLines="50" w:line="360" w:lineRule="auto"/>
      <w:jc w:val="center"/>
    </w:pPr>
    <w:rPr>
      <w:rFonts w:ascii="黑体" w:hAnsi="黑体" w:eastAsia="黑体" w:cs="Times New Roman"/>
      <w:b/>
      <w:kern w:val="2"/>
      <w:sz w:val="36"/>
      <w:szCs w:val="22"/>
      <w:lang w:val="zh-CN" w:eastAsia="zh-CN" w:bidi="ar-SA"/>
    </w:rPr>
  </w:style>
  <w:style w:type="paragraph" w:customStyle="1" w:styleId="219">
    <w:name w:val="TOC 标题2"/>
    <w:basedOn w:val="3"/>
    <w:next w:val="1"/>
    <w:autoRedefine/>
    <w:qFormat/>
    <w:uiPriority w:val="0"/>
    <w:pPr>
      <w:spacing w:before="260" w:after="260" w:line="413" w:lineRule="auto"/>
    </w:pPr>
    <w:rPr>
      <w:rFonts w:ascii="宋体" w:hAnsi="宋体"/>
      <w:sz w:val="36"/>
      <w:lang w:val="zh-CN"/>
    </w:rPr>
  </w:style>
  <w:style w:type="paragraph" w:customStyle="1" w:styleId="220">
    <w:name w:val="协议书标题2"/>
    <w:basedOn w:val="4"/>
    <w:next w:val="1"/>
    <w:autoRedefine/>
    <w:qFormat/>
    <w:uiPriority w:val="0"/>
    <w:pPr>
      <w:keepNext w:val="0"/>
      <w:keepLines w:val="0"/>
      <w:tabs>
        <w:tab w:val="left" w:pos="567"/>
      </w:tabs>
      <w:spacing w:line="360" w:lineRule="auto"/>
      <w:ind w:left="425"/>
    </w:pPr>
    <w:rPr>
      <w:rFonts w:ascii="宋体" w:hAnsi="宋体" w:eastAsia="宋体"/>
      <w:sz w:val="24"/>
    </w:rPr>
  </w:style>
  <w:style w:type="paragraph" w:customStyle="1" w:styleId="221">
    <w:name w:val="通用标题2"/>
    <w:basedOn w:val="4"/>
    <w:next w:val="1"/>
    <w:autoRedefine/>
    <w:qFormat/>
    <w:uiPriority w:val="0"/>
    <w:pPr>
      <w:keepNext w:val="0"/>
      <w:keepLines w:val="0"/>
      <w:tabs>
        <w:tab w:val="left" w:pos="993"/>
      </w:tabs>
      <w:spacing w:line="360" w:lineRule="auto"/>
    </w:pPr>
    <w:rPr>
      <w:rFonts w:ascii="黑体" w:hAnsi="黑体"/>
    </w:rPr>
  </w:style>
  <w:style w:type="paragraph" w:customStyle="1" w:styleId="222">
    <w:name w:val="专用标题2"/>
    <w:basedOn w:val="4"/>
    <w:next w:val="1"/>
    <w:autoRedefine/>
    <w:qFormat/>
    <w:uiPriority w:val="0"/>
    <w:pPr>
      <w:keepNext w:val="0"/>
      <w:keepLines w:val="0"/>
      <w:tabs>
        <w:tab w:val="left" w:pos="993"/>
      </w:tabs>
      <w:spacing w:line="360" w:lineRule="auto"/>
    </w:pPr>
    <w:rPr>
      <w:rFonts w:ascii="宋体" w:hAnsi="宋体" w:eastAsia="宋体" w:cs="Times"/>
    </w:rPr>
  </w:style>
  <w:style w:type="character" w:customStyle="1" w:styleId="223">
    <w:name w:val="样式 宋体 四号"/>
    <w:autoRedefine/>
    <w:qFormat/>
    <w:uiPriority w:val="0"/>
    <w:rPr>
      <w:rFonts w:ascii="宋体" w:hAnsi="宋体" w:eastAsia="仿宋_GB2312"/>
      <w:sz w:val="28"/>
    </w:rPr>
  </w:style>
  <w:style w:type="character" w:customStyle="1" w:styleId="224">
    <w:name w:val="time"/>
    <w:basedOn w:val="48"/>
    <w:autoRedefine/>
    <w:qFormat/>
    <w:uiPriority w:val="0"/>
  </w:style>
  <w:style w:type="character" w:customStyle="1" w:styleId="225">
    <w:name w:val="status"/>
    <w:basedOn w:val="48"/>
    <w:autoRedefine/>
    <w:qFormat/>
    <w:uiPriority w:val="0"/>
    <w:rPr>
      <w:color w:val="0776DD"/>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99C38F5-6C4A-445D-94E6-F5C9EC479EA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55</Pages>
  <Words>13911</Words>
  <Characters>15215</Characters>
  <Lines>223</Lines>
  <Paragraphs>63</Paragraphs>
  <TotalTime>6</TotalTime>
  <ScaleCrop>false</ScaleCrop>
  <LinksUpToDate>false</LinksUpToDate>
  <CharactersWithSpaces>15403</CharactersWithSpaces>
  <Application>WPS Office_12.1.0.26884_F1E327BC-269C-435d-A152-05C5408002CA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2025-11-25T00:43:00Z</dcterms:created>
  <dc:creator>dengxiaochun</dc:creator>
  <cp:lastModifiedBy>Pim Pom丶</cp:lastModifiedBy>
  <cp:lastPrinted>2025-03-12T08:47:00Z</cp:lastPrinted>
  <dcterms:modified xsi:type="dcterms:W3CDTF">2026-06-18T10:56:58Z</dcterms:modified>
  <dc:title>标准交易文件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2052-12.1.0.26884</vt:lpwstr>
  </property>
  <property fmtid="{D5CDD505-2E9C-101B-9397-08002B2CF9AE}" pid="3" name="ICV">
    <vt:lpwstr>DEC0B8185B214504A50EBCE7B09F815C_13</vt:lpwstr>
  </property>
  <property fmtid="{D5CDD505-2E9C-101B-9397-08002B2CF9AE}" pid="4" name="KSOTemplateDocerSaveRecord">
    <vt:lpwstr>eyJoZGlkIjoiMDk2MmQyNTdjMmYyM2I4Njk3YjVkOTliYjhhNDZiYTEiLCJ1c2VySWQiOiI0MDkyMjI1MTkifQ==</vt:lpwstr>
  </property>
</Properties>
</file>