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1C4F4">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3F718DCF">
      <w:pPr>
        <w:keepNext w:val="0"/>
        <w:keepLines w:val="0"/>
        <w:widowControl/>
        <w:suppressLineNumbers w:val="0"/>
        <w:spacing w:before="0" w:beforeAutospacing="0" w:after="0" w:afterAutospacing="0" w:line="357" w:lineRule="atLeast"/>
        <w:ind w:left="0" w:right="0"/>
        <w:jc w:val="center"/>
        <w:rPr>
          <w:rFonts w:hint="default" w:ascii="宋体" w:hAnsi="宋体" w:eastAsia="宋体" w:cs="宋体"/>
          <w:b/>
          <w:bCs w:val="0"/>
          <w:color w:val="000000"/>
          <w:kern w:val="0"/>
          <w:sz w:val="96"/>
          <w:szCs w:val="96"/>
          <w:highlight w:val="none"/>
          <w:u w:color="000000"/>
          <w:lang w:val="en-US" w:eastAsia="zh-CN" w:bidi="ar"/>
        </w:rPr>
      </w:pPr>
      <w:r>
        <w:rPr>
          <w:rFonts w:hint="eastAsia" w:ascii="Times New Roman" w:hAnsi="Times New Roman" w:eastAsia="宋体" w:cs="宋体"/>
          <w:b/>
          <w:bCs w:val="0"/>
          <w:color w:val="000000"/>
          <w:kern w:val="0"/>
          <w:sz w:val="52"/>
          <w:szCs w:val="32"/>
          <w:highlight w:val="none"/>
          <w:u w:color="000000"/>
          <w:lang w:val="en-US" w:eastAsia="zh-CN" w:bidi="ar"/>
        </w:rPr>
        <w:t>2026年滁州轨道运营市级综合应急演练项目（二次）</w:t>
      </w:r>
    </w:p>
    <w:p w14:paraId="5285093D">
      <w:pPr>
        <w:pStyle w:val="6"/>
        <w:rPr>
          <w:rFonts w:hint="eastAsia"/>
          <w:highlight w:val="none"/>
          <w:lang w:val="en-US" w:eastAsia="zh-CN"/>
        </w:rPr>
      </w:pPr>
    </w:p>
    <w:p w14:paraId="52E4A79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051074F7">
      <w:pPr>
        <w:pStyle w:val="3"/>
        <w:rPr>
          <w:rFonts w:hint="eastAsia"/>
          <w:highlight w:val="none"/>
          <w:lang w:val="en-US" w:eastAsia="zh-CN"/>
        </w:rPr>
      </w:pPr>
    </w:p>
    <w:p w14:paraId="24AB71B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4707510C">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2F4C404A">
      <w:pPr>
        <w:pStyle w:val="17"/>
        <w:widowControl/>
        <w:rPr>
          <w:highlight w:val="none"/>
          <w:lang w:val="en-US"/>
        </w:rPr>
      </w:pPr>
      <w:r>
        <w:rPr>
          <w:highlight w:val="none"/>
          <w:lang w:val="en-US"/>
        </w:rPr>
        <w:t xml:space="preserve"> </w:t>
      </w:r>
    </w:p>
    <w:p w14:paraId="535485A3">
      <w:pPr>
        <w:pStyle w:val="17"/>
        <w:widowControl/>
        <w:rPr>
          <w:highlight w:val="none"/>
          <w:lang w:val="en-US"/>
        </w:rPr>
      </w:pPr>
      <w:r>
        <w:rPr>
          <w:highlight w:val="none"/>
          <w:lang w:val="en-US"/>
        </w:rPr>
        <w:t xml:space="preserve"> </w:t>
      </w:r>
    </w:p>
    <w:p w14:paraId="46A6B0BB">
      <w:pPr>
        <w:pStyle w:val="17"/>
        <w:widowControl/>
        <w:rPr>
          <w:highlight w:val="none"/>
          <w:lang w:val="en-US"/>
        </w:rPr>
      </w:pPr>
      <w:r>
        <w:rPr>
          <w:highlight w:val="none"/>
          <w:lang w:val="en-US"/>
        </w:rPr>
        <w:t xml:space="preserve"> </w:t>
      </w:r>
    </w:p>
    <w:p w14:paraId="0BBCE16F">
      <w:pPr>
        <w:pStyle w:val="17"/>
        <w:widowControl/>
        <w:rPr>
          <w:rFonts w:eastAsia="宋体"/>
          <w:highlight w:val="none"/>
          <w:lang w:val="en-US"/>
        </w:rPr>
      </w:pPr>
      <w:r>
        <w:rPr>
          <w:highlight w:val="none"/>
          <w:lang w:val="en-US"/>
        </w:rPr>
        <w:t xml:space="preserve">  </w:t>
      </w:r>
    </w:p>
    <w:p w14:paraId="0E61FC9C">
      <w:pPr>
        <w:adjustRightInd w:val="0"/>
        <w:snapToGrid w:val="0"/>
        <w:ind w:firstLine="302" w:firstLineChars="94"/>
        <w:rPr>
          <w:rFonts w:hint="eastAsia" w:ascii="宋体" w:hAnsi="宋体"/>
          <w:b/>
          <w:sz w:val="32"/>
          <w:highlight w:val="none"/>
          <w:u w:val="thick"/>
        </w:rPr>
      </w:pPr>
      <w:r>
        <w:rPr>
          <w:rFonts w:hint="eastAsia" w:ascii="宋体" w:hAnsi="宋体"/>
          <w:b/>
          <w:sz w:val="32"/>
          <w:highlight w:val="none"/>
        </w:rPr>
        <w:t>招  标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滁州市轨道交通运营有限公司    </w:t>
      </w:r>
      <w:r>
        <w:rPr>
          <w:rFonts w:hint="eastAsia" w:ascii="宋体" w:hAnsi="宋体"/>
          <w:b/>
          <w:sz w:val="32"/>
          <w:highlight w:val="none"/>
          <w:u w:val="thick"/>
        </w:rPr>
        <w:t xml:space="preserve"> </w:t>
      </w:r>
    </w:p>
    <w:p w14:paraId="29788869">
      <w:pPr>
        <w:adjustRightInd w:val="0"/>
        <w:snapToGrid w:val="0"/>
        <w:ind w:firstLine="302" w:firstLineChars="94"/>
        <w:rPr>
          <w:rFonts w:hint="eastAsia" w:ascii="宋体" w:hAnsi="宋体"/>
          <w:b/>
          <w:sz w:val="32"/>
          <w:highlight w:val="none"/>
          <w:u w:val="thick"/>
        </w:rPr>
      </w:pPr>
    </w:p>
    <w:p w14:paraId="2706E73A">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rPr>
        <w:t>招标代理机构:</w:t>
      </w:r>
      <w:r>
        <w:rPr>
          <w:rFonts w:hint="eastAsia" w:ascii="宋体" w:hAnsi="宋体"/>
          <w:b/>
          <w:spacing w:val="20"/>
          <w:sz w:val="32"/>
          <w:highlight w:val="none"/>
          <w:u w:val="thick"/>
        </w:rPr>
        <w:t xml:space="preserve"> </w:t>
      </w:r>
      <w:r>
        <w:rPr>
          <w:rFonts w:hint="eastAsia" w:ascii="宋体" w:hAnsi="宋体"/>
          <w:b/>
          <w:sz w:val="32"/>
          <w:highlight w:val="none"/>
          <w:u w:val="thick"/>
        </w:rPr>
        <w:t xml:space="preserve">滁州市城投工程咨询管理有限公司   </w:t>
      </w:r>
    </w:p>
    <w:p w14:paraId="62C18301">
      <w:pPr>
        <w:adjustRightInd w:val="0"/>
        <w:snapToGrid w:val="0"/>
        <w:rPr>
          <w:rFonts w:hint="eastAsia" w:ascii="宋体" w:hAnsi="宋体"/>
          <w:spacing w:val="20"/>
          <w:sz w:val="32"/>
          <w:highlight w:val="none"/>
          <w:u w:val="single"/>
        </w:rPr>
      </w:pPr>
    </w:p>
    <w:p w14:paraId="1EFEE641">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4</w:t>
      </w:r>
      <w:r>
        <w:rPr>
          <w:rFonts w:hint="eastAsia" w:ascii="宋体" w:hAnsi="宋体"/>
          <w:b/>
          <w:sz w:val="32"/>
          <w:highlight w:val="none"/>
          <w:u w:val="thick"/>
        </w:rPr>
        <w:t xml:space="preserve">月            </w:t>
      </w:r>
    </w:p>
    <w:p w14:paraId="4A525C9A">
      <w:pPr>
        <w:pStyle w:val="6"/>
        <w:widowControl/>
        <w:spacing w:before="0" w:beforeAutospacing="0" w:after="120" w:afterAutospacing="0"/>
        <w:ind w:leftChars="200" w:right="0"/>
        <w:rPr>
          <w:highlight w:val="none"/>
          <w:lang w:val="en-US"/>
        </w:rPr>
      </w:pPr>
      <w:r>
        <w:rPr>
          <w:highlight w:val="none"/>
          <w:lang w:val="en-US"/>
        </w:rPr>
        <w:t xml:space="preserve"> </w:t>
      </w:r>
    </w:p>
    <w:p w14:paraId="6ADFCA14">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079FB373">
      <w:pPr>
        <w:jc w:val="center"/>
        <w:rPr>
          <w:rFonts w:hint="eastAsia" w:ascii="宋体" w:hAnsi="宋体" w:eastAsia="宋体" w:cs="宋体"/>
          <w:b/>
          <w:bCs w:val="0"/>
          <w:color w:val="000000"/>
          <w:kern w:val="0"/>
          <w:sz w:val="36"/>
          <w:szCs w:val="36"/>
          <w:highlight w:val="none"/>
          <w:u w:color="000000"/>
          <w:lang w:val="en-US" w:eastAsia="zh-CN" w:bidi="ar"/>
        </w:rPr>
      </w:pPr>
    </w:p>
    <w:p w14:paraId="6FF46990">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7795E689">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 xml:space="preserve"> …………………………………………………………………</w:t>
      </w:r>
      <w:bookmarkEnd w:id="0"/>
      <w:r>
        <w:rPr>
          <w:rFonts w:hint="eastAsia" w:ascii="宋体" w:hAnsi="宋体" w:eastAsia="宋体" w:cs="宋体"/>
          <w:color w:val="000000"/>
          <w:kern w:val="0"/>
          <w:sz w:val="24"/>
          <w:szCs w:val="24"/>
          <w:highlight w:val="none"/>
          <w:u w:color="000000"/>
          <w:lang w:val="en-US" w:eastAsia="zh-CN" w:bidi="ar"/>
        </w:rPr>
        <w:t>1</w:t>
      </w:r>
    </w:p>
    <w:p w14:paraId="3A56344A">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………………………………………………………………4</w:t>
      </w:r>
    </w:p>
    <w:p w14:paraId="6E90F45E">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第三章  资格审查办法  …………………………………………………………16</w:t>
      </w:r>
    </w:p>
    <w:p w14:paraId="76741844">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第四章  评标办法…………………………………………………………………18</w:t>
      </w:r>
    </w:p>
    <w:p w14:paraId="628FE557">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用户需求书………………………………………………………………22</w:t>
      </w:r>
    </w:p>
    <w:p w14:paraId="0490800B">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合同条款及格式…………………………………………………………29</w:t>
      </w:r>
    </w:p>
    <w:p w14:paraId="03ECB26A">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投标文件格式……………………………………………………………40</w:t>
      </w:r>
    </w:p>
    <w:p w14:paraId="09492656">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招标人、招标代理机构对本招标文件的确认…………………………47</w:t>
      </w:r>
    </w:p>
    <w:p w14:paraId="135A59E9">
      <w:pPr>
        <w:rPr>
          <w:rFonts w:hint="eastAsia" w:ascii="宋体" w:hAnsi="宋体" w:eastAsia="宋体" w:cs="宋体"/>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1F00B29F">
      <w:pPr>
        <w:pStyle w:val="17"/>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highlight w:val="none"/>
          <w:lang w:val="en-US"/>
        </w:rPr>
      </w:pPr>
      <w:bookmarkStart w:id="1" w:name="_Toc23741_WPSOffice_Level1"/>
      <w:bookmarkEnd w:id="1"/>
      <w:bookmarkStart w:id="2" w:name="_Toc29214"/>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highlight w:val="none"/>
          <w:lang w:eastAsia="zh-CN"/>
        </w:rPr>
        <w:t>招标公告</w:t>
      </w:r>
    </w:p>
    <w:p w14:paraId="67EF8ED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28359002"/>
      <w:bookmarkEnd w:id="5"/>
      <w:bookmarkStart w:id="6" w:name="_Toc35393621"/>
      <w:bookmarkEnd w:id="6"/>
      <w:bookmarkStart w:id="7" w:name="_Toc58430305"/>
      <w:bookmarkEnd w:id="7"/>
      <w:bookmarkStart w:id="8" w:name="_Toc28359079"/>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05D5757A">
      <w:pPr>
        <w:keepNext w:val="0"/>
        <w:keepLines w:val="0"/>
        <w:pageBreakBefore w:val="0"/>
        <w:widowControl/>
        <w:kinsoku/>
        <w:wordWrap w:val="0"/>
        <w:overflowPunct/>
        <w:topLinePunct w:val="0"/>
        <w:autoSpaceDE w:val="0"/>
        <w:autoSpaceDN/>
        <w:bidi w:val="0"/>
        <w:adjustRightInd/>
        <w:snapToGrid/>
        <w:spacing w:line="440" w:lineRule="exact"/>
        <w:ind w:firstLine="480" w:firstLineChars="200"/>
        <w:jc w:val="left"/>
        <w:textAlignment w:val="auto"/>
        <w:rPr>
          <w:rFonts w:ascii="宋体" w:hAnsi="宋体" w:eastAsia="宋体" w:cs="宋体"/>
          <w:color w:val="000000"/>
          <w:kern w:val="0"/>
          <w:sz w:val="24"/>
          <w:highlight w:val="none"/>
          <w:u w:color="000000"/>
          <w:lang w:bidi="ar"/>
        </w:rPr>
      </w:pPr>
      <w:r>
        <w:rPr>
          <w:rFonts w:hint="eastAsia" w:ascii="宋体" w:hAnsi="宋体" w:eastAsia="宋体" w:cs="宋体"/>
          <w:color w:val="000000"/>
          <w:kern w:val="0"/>
          <w:sz w:val="24"/>
          <w:highlight w:val="none"/>
          <w:u w:color="000000"/>
          <w:lang w:eastAsia="zh-CN" w:bidi="ar"/>
        </w:rPr>
        <w:t>2026年滁州轨道运营市级综合应急演练项目（</w:t>
      </w:r>
      <w:r>
        <w:rPr>
          <w:rFonts w:hint="eastAsia" w:ascii="宋体" w:hAnsi="宋体" w:eastAsia="宋体" w:cs="宋体"/>
          <w:color w:val="000000"/>
          <w:kern w:val="0"/>
          <w:sz w:val="24"/>
          <w:highlight w:val="none"/>
          <w:u w:color="000000"/>
          <w:lang w:val="en-US" w:eastAsia="zh-CN" w:bidi="ar"/>
        </w:rPr>
        <w:t>二次）</w:t>
      </w:r>
      <w:r>
        <w:rPr>
          <w:rFonts w:hint="eastAsia" w:ascii="宋体" w:hAnsi="宋体" w:eastAsia="宋体" w:cs="宋体"/>
          <w:color w:val="000000"/>
          <w:kern w:val="0"/>
          <w:sz w:val="24"/>
          <w:highlight w:val="none"/>
          <w:u w:color="000000"/>
          <w:lang w:bidi="ar"/>
        </w:rPr>
        <w:t>的潜在投标人应在滁州市滁宁城际铁路开发建设有限公司网站（http://czctgs.cn/）、招投标网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http://www.infobidding.com</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采购与招标网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https://www.chinabidding.cn</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val="en-US" w:eastAsia="zh-CN" w:bidi="ar"/>
        </w:rPr>
        <w:t>或</w:t>
      </w:r>
      <w:r>
        <w:rPr>
          <w:rFonts w:hint="eastAsia" w:ascii="宋体" w:hAnsi="宋体" w:eastAsia="宋体" w:cs="宋体"/>
          <w:color w:val="000000"/>
          <w:kern w:val="0"/>
          <w:sz w:val="24"/>
          <w:highlight w:val="none"/>
          <w:u w:color="000000"/>
          <w:lang w:bidi="ar"/>
        </w:rPr>
        <w:t>e车网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http://www.ecrrc.com</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获取招标文件，并于202</w:t>
      </w:r>
      <w:r>
        <w:rPr>
          <w:rFonts w:hint="eastAsia" w:ascii="宋体" w:hAnsi="宋体" w:eastAsia="宋体" w:cs="宋体"/>
          <w:color w:val="000000"/>
          <w:kern w:val="0"/>
          <w:sz w:val="24"/>
          <w:highlight w:val="none"/>
          <w:u w:color="000000"/>
          <w:lang w:val="en-US" w:eastAsia="zh-CN" w:bidi="ar"/>
        </w:rPr>
        <w:t>6</w:t>
      </w:r>
      <w:r>
        <w:rPr>
          <w:rFonts w:hint="eastAsia" w:ascii="宋体" w:hAnsi="宋体" w:eastAsia="宋体" w:cs="宋体"/>
          <w:color w:val="000000"/>
          <w:kern w:val="0"/>
          <w:sz w:val="24"/>
          <w:highlight w:val="none"/>
          <w:u w:color="000000"/>
          <w:lang w:bidi="ar"/>
        </w:rPr>
        <w:t>年</w:t>
      </w:r>
      <w:r>
        <w:rPr>
          <w:rFonts w:hint="eastAsia" w:ascii="宋体" w:hAnsi="宋体" w:eastAsia="宋体" w:cs="宋体"/>
          <w:color w:val="000000"/>
          <w:kern w:val="0"/>
          <w:sz w:val="24"/>
          <w:highlight w:val="none"/>
          <w:u w:color="000000"/>
          <w:lang w:val="en-US" w:eastAsia="zh-CN" w:bidi="ar"/>
        </w:rPr>
        <w:t>4</w:t>
      </w:r>
      <w:r>
        <w:rPr>
          <w:rFonts w:hint="eastAsia" w:ascii="宋体" w:hAnsi="宋体" w:eastAsia="宋体" w:cs="宋体"/>
          <w:color w:val="000000"/>
          <w:kern w:val="0"/>
          <w:sz w:val="24"/>
          <w:highlight w:val="none"/>
          <w:u w:color="000000"/>
          <w:lang w:bidi="ar"/>
        </w:rPr>
        <w:t>月</w:t>
      </w:r>
      <w:r>
        <w:rPr>
          <w:rFonts w:hint="eastAsia" w:ascii="宋体" w:hAnsi="宋体" w:eastAsia="宋体" w:cs="宋体"/>
          <w:color w:val="000000"/>
          <w:kern w:val="0"/>
          <w:sz w:val="24"/>
          <w:highlight w:val="none"/>
          <w:u w:color="000000"/>
          <w:lang w:val="en-US" w:eastAsia="zh-CN" w:bidi="ar"/>
        </w:rPr>
        <w:t>29</w:t>
      </w:r>
      <w:r>
        <w:rPr>
          <w:rFonts w:hint="eastAsia" w:ascii="宋体" w:hAnsi="宋体" w:eastAsia="宋体" w:cs="宋体"/>
          <w:color w:val="000000"/>
          <w:kern w:val="0"/>
          <w:sz w:val="24"/>
          <w:highlight w:val="none"/>
          <w:u w:color="000000"/>
          <w:lang w:bidi="ar"/>
        </w:rPr>
        <w:t>日15时00分（北京时间）前递交投标文件。</w:t>
      </w:r>
    </w:p>
    <w:p w14:paraId="3D9C706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3516050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9" w:leftChars="228" w:right="0" w:firstLine="0" w:firstLineChars="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项目名称：2026年滁州轨道运营市级综合应急演练项目（二次）</w:t>
      </w:r>
    </w:p>
    <w:p w14:paraId="3086BD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9" w:leftChars="228" w:right="0" w:firstLine="0" w:firstLineChars="0"/>
        <w:jc w:val="both"/>
        <w:textAlignment w:val="auto"/>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预算金额：150000元</w:t>
      </w:r>
    </w:p>
    <w:p w14:paraId="305EA68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b w:val="0"/>
          <w:bCs w:val="0"/>
          <w:color w:val="000000"/>
          <w:kern w:val="0"/>
          <w:sz w:val="24"/>
          <w:szCs w:val="24"/>
          <w:highlight w:val="none"/>
          <w:u w:color="000000"/>
          <w:lang w:val="en-US" w:eastAsia="zh-CN" w:bidi="ar"/>
        </w:rPr>
        <w:t>本项目最高限价为（人民币）</w:t>
      </w:r>
      <w:r>
        <w:rPr>
          <w:rFonts w:hint="eastAsia" w:ascii="宋体" w:hAnsi="宋体" w:eastAsia="宋体" w:cs="宋体"/>
          <w:color w:val="000000"/>
          <w:kern w:val="0"/>
          <w:sz w:val="24"/>
          <w:szCs w:val="24"/>
          <w:highlight w:val="none"/>
          <w:u w:color="000000"/>
          <w:lang w:val="en-US" w:eastAsia="zh-CN" w:bidi="ar"/>
        </w:rPr>
        <w:t>150000元</w:t>
      </w:r>
    </w:p>
    <w:p w14:paraId="47A907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采购需求：</w:t>
      </w:r>
      <w:r>
        <w:rPr>
          <w:rFonts w:hint="eastAsia" w:ascii="宋体" w:hAnsi="宋体" w:eastAsia="宋体" w:cs="Times New Roman"/>
          <w:b w:val="0"/>
          <w:bCs w:val="0"/>
          <w:color w:val="auto"/>
          <w:kern w:val="0"/>
          <w:sz w:val="24"/>
          <w:szCs w:val="24"/>
          <w:highlight w:val="none"/>
          <w:lang w:val="en-US" w:eastAsia="zh-CN" w:bidi="ar-SA"/>
        </w:rPr>
        <w:t>滁州轨道运营市级综合应急演练服务</w:t>
      </w:r>
      <w:r>
        <w:rPr>
          <w:rFonts w:hint="eastAsia" w:ascii="宋体" w:hAnsi="宋体" w:eastAsia="宋体" w:cs="宋体"/>
          <w:color w:val="000000"/>
          <w:kern w:val="0"/>
          <w:sz w:val="24"/>
          <w:szCs w:val="24"/>
          <w:highlight w:val="none"/>
          <w:u w:color="000000"/>
          <w:lang w:val="en-US" w:eastAsia="zh-CN" w:bidi="ar"/>
        </w:rPr>
        <w:t>，详见《用户需求书》</w:t>
      </w:r>
    </w:p>
    <w:p w14:paraId="62C373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服务期：按招标人要求按时启动项目，演练项目结束后，5个工作日内按招标人相关要求提交演练资料。</w:t>
      </w:r>
    </w:p>
    <w:p w14:paraId="23ABB795">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14:paraId="7A3C686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投标人的资格要求</w:t>
      </w:r>
    </w:p>
    <w:p w14:paraId="6894E6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Theme="minorEastAsia"/>
          <w:kern w:val="0"/>
          <w:sz w:val="24"/>
          <w:szCs w:val="24"/>
          <w:highlight w:val="none"/>
          <w:lang w:eastAsia="zh-CN"/>
        </w:rPr>
      </w:pPr>
      <w:r>
        <w:rPr>
          <w:rFonts w:hint="eastAsia" w:ascii="宋体" w:hAnsi="宋体"/>
          <w:kern w:val="0"/>
          <w:sz w:val="24"/>
          <w:szCs w:val="24"/>
          <w:highlight w:val="none"/>
        </w:rPr>
        <w:t>投标人须在中华人民共和国境内注册（不含港澳台）并取得营业执照且具有相应服务能力</w:t>
      </w:r>
      <w:r>
        <w:rPr>
          <w:rFonts w:hint="eastAsia" w:ascii="宋体" w:hAnsi="宋体"/>
          <w:kern w:val="0"/>
          <w:sz w:val="24"/>
          <w:szCs w:val="24"/>
          <w:highlight w:val="none"/>
          <w:lang w:eastAsia="zh-CN"/>
        </w:rPr>
        <w:t>。</w:t>
      </w:r>
    </w:p>
    <w:p w14:paraId="685F5AF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68D0E1A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2026年4月8日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2026年4月29日</w:t>
      </w:r>
    </w:p>
    <w:p w14:paraId="14C47C27">
      <w:pPr>
        <w:keepNext w:val="0"/>
        <w:keepLines w:val="0"/>
        <w:pageBreakBefore w:val="0"/>
        <w:kinsoku/>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000000"/>
          <w:kern w:val="0"/>
          <w:sz w:val="24"/>
          <w:highlight w:val="none"/>
          <w:u w:color="000000"/>
          <w:lang w:bidi="ar"/>
        </w:rPr>
        <w:t>地点：</w:t>
      </w:r>
      <w:r>
        <w:rPr>
          <w:rFonts w:hint="eastAsia" w:ascii="宋体" w:hAnsi="宋体" w:cs="宋体"/>
          <w:sz w:val="24"/>
          <w:highlight w:val="none"/>
        </w:rPr>
        <w:t>滁州市滁宁城际铁路开发建设有限公司网站（http://czctgs.cn/）、招投标网</w:t>
      </w:r>
      <w:r>
        <w:rPr>
          <w:rFonts w:hint="eastAsia" w:ascii="宋体" w:hAnsi="宋体" w:cs="宋体"/>
          <w:sz w:val="24"/>
          <w:highlight w:val="none"/>
          <w:lang w:eastAsia="zh-CN"/>
        </w:rPr>
        <w:t>（</w:t>
      </w:r>
      <w:r>
        <w:rPr>
          <w:rFonts w:hint="eastAsia" w:ascii="宋体" w:hAnsi="宋体" w:cs="宋体"/>
          <w:sz w:val="24"/>
          <w:highlight w:val="none"/>
        </w:rPr>
        <w:t>http://www.infobidding.com/</w:t>
      </w:r>
      <w:r>
        <w:rPr>
          <w:rFonts w:hint="eastAsia" w:ascii="宋体" w:hAnsi="宋体" w:cs="宋体"/>
          <w:sz w:val="24"/>
          <w:highlight w:val="none"/>
          <w:lang w:eastAsia="zh-CN"/>
        </w:rPr>
        <w:t>）、</w:t>
      </w:r>
      <w:r>
        <w:rPr>
          <w:rFonts w:hint="eastAsia" w:ascii="宋体" w:hAnsi="宋体" w:cs="宋体"/>
          <w:sz w:val="24"/>
          <w:highlight w:val="none"/>
        </w:rPr>
        <w:t>采购与招标网</w:t>
      </w:r>
      <w:r>
        <w:rPr>
          <w:rFonts w:hint="eastAsia" w:ascii="宋体" w:hAnsi="宋体" w:cs="宋体"/>
          <w:sz w:val="24"/>
          <w:highlight w:val="none"/>
          <w:lang w:eastAsia="zh-CN"/>
        </w:rPr>
        <w:t>（</w:t>
      </w:r>
      <w:r>
        <w:rPr>
          <w:rFonts w:hint="eastAsia" w:ascii="宋体" w:hAnsi="宋体" w:cs="宋体"/>
          <w:sz w:val="24"/>
          <w:highlight w:val="none"/>
        </w:rPr>
        <w:t>https://www.chinabidding.cn/</w:t>
      </w:r>
      <w:r>
        <w:rPr>
          <w:rFonts w:hint="eastAsia" w:ascii="宋体" w:hAnsi="宋体" w:cs="宋体"/>
          <w:sz w:val="24"/>
          <w:highlight w:val="none"/>
          <w:lang w:eastAsia="zh-CN"/>
        </w:rPr>
        <w:t>）</w:t>
      </w:r>
      <w:r>
        <w:rPr>
          <w:rFonts w:hint="eastAsia" w:ascii="宋体" w:hAnsi="宋体" w:cs="宋体"/>
          <w:sz w:val="24"/>
          <w:highlight w:val="none"/>
          <w:lang w:val="en-US" w:eastAsia="zh-CN"/>
        </w:rPr>
        <w:t>或</w:t>
      </w:r>
      <w:r>
        <w:rPr>
          <w:rFonts w:hint="eastAsia" w:ascii="宋体" w:hAnsi="宋体" w:eastAsia="宋体" w:cs="宋体"/>
          <w:color w:val="000000"/>
          <w:kern w:val="0"/>
          <w:sz w:val="24"/>
          <w:highlight w:val="none"/>
          <w:u w:color="000000"/>
          <w:lang w:bidi="ar"/>
        </w:rPr>
        <w:t>e车网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http://www.ecrrc.com</w:t>
      </w:r>
      <w:r>
        <w:rPr>
          <w:rFonts w:hint="eastAsia" w:ascii="宋体" w:hAnsi="宋体" w:eastAsia="宋体" w:cs="宋体"/>
          <w:color w:val="000000"/>
          <w:kern w:val="0"/>
          <w:sz w:val="24"/>
          <w:highlight w:val="none"/>
          <w:u w:color="000000"/>
          <w:lang w:eastAsia="zh-CN" w:bidi="ar"/>
        </w:rPr>
        <w:t>）。</w:t>
      </w:r>
    </w:p>
    <w:p w14:paraId="13FA863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13F9D4C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2B4567B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bookmarkStart w:id="10" w:name="_Toc28359005"/>
      <w:bookmarkEnd w:id="10"/>
      <w:bookmarkStart w:id="11" w:name="_Toc58430308"/>
      <w:bookmarkEnd w:id="11"/>
      <w:bookmarkStart w:id="12" w:name="_Toc35393793"/>
      <w:bookmarkEnd w:id="12"/>
      <w:bookmarkStart w:id="13" w:name="_Toc28359082"/>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17C02B5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截止时间：</w:t>
      </w:r>
      <w:r>
        <w:rPr>
          <w:rFonts w:hint="eastAsia" w:ascii="宋体" w:hAnsi="宋体" w:eastAsia="宋体" w:cs="宋体"/>
          <w:bCs/>
          <w:color w:val="000000"/>
          <w:kern w:val="0"/>
          <w:sz w:val="24"/>
          <w:highlight w:val="none"/>
          <w:u w:val="single" w:color="000000"/>
          <w:lang w:bidi="ar"/>
        </w:rPr>
        <w:t>202</w:t>
      </w:r>
      <w:r>
        <w:rPr>
          <w:rFonts w:hint="eastAsia" w:ascii="宋体" w:hAnsi="宋体" w:eastAsia="宋体" w:cs="宋体"/>
          <w:bCs/>
          <w:color w:val="000000"/>
          <w:kern w:val="0"/>
          <w:sz w:val="24"/>
          <w:highlight w:val="none"/>
          <w:u w:val="single" w:color="000000"/>
          <w:lang w:val="en-US" w:eastAsia="zh-CN" w:bidi="ar"/>
        </w:rPr>
        <w:t>6</w:t>
      </w:r>
      <w:r>
        <w:rPr>
          <w:rFonts w:hint="eastAsia" w:ascii="宋体" w:hAnsi="宋体" w:eastAsia="宋体" w:cs="宋体"/>
          <w:bCs/>
          <w:color w:val="000000"/>
          <w:kern w:val="0"/>
          <w:sz w:val="24"/>
          <w:highlight w:val="none"/>
          <w:u w:val="single" w:color="000000"/>
          <w:lang w:bidi="ar"/>
        </w:rPr>
        <w:t>年</w:t>
      </w:r>
      <w:r>
        <w:rPr>
          <w:rFonts w:hint="eastAsia" w:ascii="宋体" w:hAnsi="宋体" w:eastAsia="宋体" w:cs="宋体"/>
          <w:bCs/>
          <w:color w:val="000000"/>
          <w:kern w:val="0"/>
          <w:sz w:val="24"/>
          <w:highlight w:val="none"/>
          <w:u w:val="single" w:color="000000"/>
          <w:lang w:val="en-US" w:eastAsia="zh-CN" w:bidi="ar"/>
        </w:rPr>
        <w:t>4</w:t>
      </w:r>
      <w:r>
        <w:rPr>
          <w:rFonts w:hint="eastAsia" w:ascii="宋体" w:hAnsi="宋体" w:eastAsia="宋体" w:cs="宋体"/>
          <w:bCs/>
          <w:color w:val="000000"/>
          <w:kern w:val="0"/>
          <w:sz w:val="24"/>
          <w:highlight w:val="none"/>
          <w:u w:val="single" w:color="000000"/>
          <w:lang w:bidi="ar"/>
        </w:rPr>
        <w:t>月</w:t>
      </w:r>
      <w:r>
        <w:rPr>
          <w:rFonts w:hint="eastAsia" w:ascii="宋体" w:hAnsi="宋体" w:eastAsia="宋体" w:cs="宋体"/>
          <w:bCs/>
          <w:color w:val="000000"/>
          <w:kern w:val="0"/>
          <w:sz w:val="24"/>
          <w:highlight w:val="none"/>
          <w:u w:val="single" w:color="000000"/>
          <w:lang w:val="en-US" w:eastAsia="zh-CN" w:bidi="ar"/>
        </w:rPr>
        <w:t>29</w:t>
      </w:r>
      <w:r>
        <w:rPr>
          <w:rFonts w:hint="eastAsia" w:ascii="宋体" w:hAnsi="宋体" w:eastAsia="宋体" w:cs="宋体"/>
          <w:bCs/>
          <w:color w:val="000000"/>
          <w:kern w:val="0"/>
          <w:sz w:val="24"/>
          <w:highlight w:val="none"/>
          <w:u w:val="single" w:color="000000"/>
          <w:lang w:bidi="ar"/>
        </w:rPr>
        <w:t>日15时00分</w:t>
      </w:r>
      <w:r>
        <w:rPr>
          <w:rFonts w:hint="eastAsia" w:ascii="宋体" w:hAnsi="宋体" w:eastAsia="宋体" w:cs="宋体"/>
          <w:bCs/>
          <w:color w:val="000000"/>
          <w:kern w:val="0"/>
          <w:sz w:val="24"/>
          <w:highlight w:val="none"/>
          <w:u w:color="000000"/>
          <w:lang w:bidi="ar"/>
        </w:rPr>
        <w:t>（北京时间）</w:t>
      </w:r>
    </w:p>
    <w:p w14:paraId="00C3C045">
      <w:pPr>
        <w:keepNext w:val="0"/>
        <w:keepLines w:val="0"/>
        <w:pageBreakBefore w:val="0"/>
        <w:kinsoku/>
        <w:overflowPunct/>
        <w:topLinePunct w:val="0"/>
        <w:autoSpaceDN/>
        <w:bidi w:val="0"/>
        <w:adjustRightInd/>
        <w:snapToGrid/>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rPr>
        <w:t>地点：滁州市轨道交通运营有限公司五楼514开评标室 (徽州路与扬子路交叉口东南侧)</w:t>
      </w:r>
    </w:p>
    <w:p w14:paraId="5337DBE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cs="宋体"/>
          <w:sz w:val="24"/>
          <w:highlight w:val="none"/>
        </w:rPr>
      </w:pPr>
      <w:r>
        <w:rPr>
          <w:rFonts w:hint="eastAsia" w:ascii="宋体" w:hAnsi="宋体" w:cs="宋体"/>
          <w:sz w:val="24"/>
          <w:highlight w:val="none"/>
        </w:rPr>
        <w:t>投标文件递交方式：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cs="宋体"/>
          <w:sz w:val="24"/>
          <w:highlight w:val="none"/>
        </w:rPr>
        <w:fldChar w:fldCharType="begin"/>
      </w:r>
      <w:r>
        <w:rPr>
          <w:rFonts w:hint="eastAsia" w:ascii="宋体" w:hAnsi="宋体" w:cs="宋体"/>
          <w:sz w:val="24"/>
          <w:highlight w:val="none"/>
        </w:rPr>
        <w:instrText xml:space="preserve"> HYPERLINK "mailto:2、在递交截止时间后30分钟内，将解压密码通过邮箱发送至代理机构邮箱（czsctgczx@163.com）" </w:instrText>
      </w:r>
      <w:r>
        <w:rPr>
          <w:rFonts w:hint="eastAsia" w:ascii="宋体" w:hAnsi="宋体" w:cs="宋体"/>
          <w:sz w:val="24"/>
          <w:highlight w:val="none"/>
        </w:rPr>
        <w:fldChar w:fldCharType="separate"/>
      </w:r>
      <w:r>
        <w:rPr>
          <w:rFonts w:hint="eastAsia" w:ascii="宋体" w:hAnsi="宋体" w:cs="宋体"/>
          <w:sz w:val="24"/>
          <w:highlight w:val="none"/>
        </w:rPr>
        <w:t>②在投标截止时间后30分钟内，将投标文件密码通过邮箱发送至滁州市城投工程咨询管理有限公司邮箱（czsctzx@163.com）</w:t>
      </w:r>
      <w:r>
        <w:rPr>
          <w:rFonts w:hint="eastAsia" w:ascii="宋体" w:hAnsi="宋体" w:cs="宋体"/>
          <w:sz w:val="24"/>
          <w:highlight w:val="none"/>
        </w:rPr>
        <w:fldChar w:fldCharType="end"/>
      </w:r>
      <w:r>
        <w:rPr>
          <w:rFonts w:hint="eastAsia" w:ascii="宋体" w:hAnsi="宋体" w:cs="宋体"/>
          <w:sz w:val="24"/>
          <w:highlight w:val="none"/>
        </w:rPr>
        <w:t>，未在规定时间内发送密码或发送的密码无法正确打开投标文件的，投标文件将被拒绝。</w:t>
      </w:r>
    </w:p>
    <w:p w14:paraId="62B8F03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502F0490">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是否要求投标人提交投标保证金：要求，投标保证金的金额：0.</w:t>
      </w:r>
      <w:r>
        <w:rPr>
          <w:rFonts w:hint="eastAsia" w:ascii="宋体" w:hAnsi="宋体" w:eastAsia="宋体" w:cs="宋体"/>
          <w:bCs/>
          <w:color w:val="auto"/>
          <w:kern w:val="0"/>
          <w:sz w:val="24"/>
          <w:highlight w:val="none"/>
          <w:u w:color="000000"/>
          <w:lang w:val="en-US" w:eastAsia="zh-CN" w:bidi="ar"/>
        </w:rPr>
        <w:t>3</w:t>
      </w:r>
      <w:r>
        <w:rPr>
          <w:rFonts w:hint="eastAsia" w:ascii="宋体" w:hAnsi="宋体" w:eastAsia="宋体" w:cs="宋体"/>
          <w:bCs/>
          <w:color w:val="auto"/>
          <w:kern w:val="0"/>
          <w:sz w:val="24"/>
          <w:highlight w:val="none"/>
          <w:u w:color="000000"/>
          <w:lang w:bidi="ar"/>
        </w:rPr>
        <w:t>万元。</w:t>
      </w:r>
    </w:p>
    <w:p w14:paraId="4B3AFA3B">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 xml:space="preserve">投标保证金的形式：银行转账 </w:t>
      </w:r>
    </w:p>
    <w:p w14:paraId="21431498">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F410399">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开户名称：滁州市轨道交通运营有限公司</w:t>
      </w:r>
    </w:p>
    <w:p w14:paraId="1C111A9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开户银行：中信银行滁州分行营业部</w:t>
      </w:r>
    </w:p>
    <w:p w14:paraId="4D087D19">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银行帐号：8112 3010 1240 0814 542</w:t>
      </w:r>
    </w:p>
    <w:p w14:paraId="789FA3CF">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保证金到账截止时间同投标文件递交截止时间，交纳保证金时须在交易附言中注明：“</w:t>
      </w:r>
      <w:r>
        <w:rPr>
          <w:rFonts w:hint="eastAsia" w:ascii="宋体" w:hAnsi="宋体" w:eastAsia="宋体" w:cs="宋体"/>
          <w:bCs/>
          <w:color w:val="auto"/>
          <w:kern w:val="0"/>
          <w:sz w:val="24"/>
          <w:highlight w:val="none"/>
          <w:u w:color="000000"/>
          <w:lang w:eastAsia="zh-CN" w:bidi="ar"/>
        </w:rPr>
        <w:t>2026年滁州轨道运营市级综合应急演练项目（</w:t>
      </w:r>
      <w:r>
        <w:rPr>
          <w:rFonts w:hint="eastAsia" w:ascii="宋体" w:hAnsi="宋体" w:eastAsia="宋体" w:cs="宋体"/>
          <w:bCs/>
          <w:color w:val="auto"/>
          <w:kern w:val="0"/>
          <w:sz w:val="24"/>
          <w:highlight w:val="none"/>
          <w:u w:color="000000"/>
          <w:lang w:val="en-US" w:eastAsia="zh-CN" w:bidi="ar"/>
        </w:rPr>
        <w:t>二次）</w:t>
      </w:r>
      <w:r>
        <w:rPr>
          <w:rFonts w:hint="eastAsia" w:ascii="宋体" w:hAnsi="宋体" w:eastAsia="宋体" w:cs="宋体"/>
          <w:bCs/>
          <w:color w:val="auto"/>
          <w:kern w:val="0"/>
          <w:sz w:val="24"/>
          <w:highlight w:val="none"/>
          <w:u w:color="000000"/>
          <w:lang w:bidi="ar"/>
        </w:rPr>
        <w:t xml:space="preserve">”投标保证金。 </w:t>
      </w:r>
    </w:p>
    <w:p w14:paraId="0323F4EE">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注：各投标人请严格按照招标公告和招标文件载明的银行、账户汇入投标保证金，否则在开标时将无法查询保证金是否到账，导致评标委员会否决其投标！</w:t>
      </w:r>
    </w:p>
    <w:p w14:paraId="76166177">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u w:val="single"/>
        </w:rPr>
      </w:pPr>
      <w:r>
        <w:rPr>
          <w:rFonts w:hint="eastAsia" w:ascii="宋体" w:hAnsi="宋体" w:eastAsia="宋体" w:cs="宋体"/>
          <w:bCs/>
          <w:color w:val="auto"/>
          <w:kern w:val="0"/>
          <w:sz w:val="24"/>
          <w:highlight w:val="none"/>
          <w:u w:color="000000"/>
          <w:lang w:bidi="ar"/>
        </w:rPr>
        <w:t>投标保证金退还期限：中标通知书发放后五个工作日内退还未中标单位的投标保证金，签订合同后五个工作日内退还中标单位的投标保证金。</w:t>
      </w:r>
    </w:p>
    <w:p w14:paraId="7A421CB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3378AFB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1.招标人信息</w:t>
      </w:r>
    </w:p>
    <w:p w14:paraId="58A417B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bookmarkStart w:id="14" w:name="_Toc28359087"/>
      <w:r>
        <w:rPr>
          <w:rFonts w:hint="eastAsia" w:ascii="宋体" w:hAnsi="宋体" w:eastAsia="宋体" w:cs="宋体"/>
          <w:bCs/>
          <w:color w:val="000000"/>
          <w:kern w:val="0"/>
          <w:sz w:val="24"/>
          <w:szCs w:val="24"/>
          <w:highlight w:val="none"/>
          <w:u w:color="000000"/>
          <w:lang w:val="en-US" w:eastAsia="zh-CN" w:bidi="ar"/>
        </w:rPr>
        <w:t>名称：滁州市轨道交通运营有限公司</w:t>
      </w:r>
    </w:p>
    <w:p w14:paraId="240F838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地址：滁州市徽州路与扬子路交叉口东南侧5楼</w:t>
      </w:r>
    </w:p>
    <w:p w14:paraId="3FCBD05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联系方式：0550-3352128 </w:t>
      </w:r>
      <w:bookmarkStart w:id="15" w:name="_Toc28359086"/>
      <w:bookmarkStart w:id="16" w:name="_Toc28359009"/>
    </w:p>
    <w:bookmarkEnd w:id="15"/>
    <w:bookmarkEnd w:id="16"/>
    <w:p w14:paraId="1AEC042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4"/>
      <w:r>
        <w:rPr>
          <w:rFonts w:hint="eastAsia" w:ascii="宋体" w:hAnsi="宋体" w:eastAsia="宋体" w:cs="宋体"/>
          <w:bCs/>
          <w:color w:val="000000"/>
          <w:kern w:val="0"/>
          <w:sz w:val="24"/>
          <w:szCs w:val="24"/>
          <w:highlight w:val="none"/>
          <w:u w:color="000000"/>
          <w:lang w:val="en-US" w:eastAsia="zh-CN" w:bidi="ar"/>
        </w:rPr>
        <w:t>代理机构信息</w:t>
      </w:r>
    </w:p>
    <w:p w14:paraId="7019C7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3EC2297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4AD5FCF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7335861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1418D49E">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项目联系人：</w:t>
      </w:r>
      <w:r>
        <w:rPr>
          <w:rFonts w:hint="eastAsia" w:ascii="宋体" w:hAnsi="宋体" w:eastAsia="宋体" w:cs="宋体"/>
          <w:bCs/>
          <w:color w:val="000000"/>
          <w:kern w:val="0"/>
          <w:sz w:val="24"/>
          <w:highlight w:val="none"/>
          <w:u w:color="000000"/>
          <w:lang w:eastAsia="zh-CN" w:bidi="ar"/>
        </w:rPr>
        <w:t>杭祥婷</w:t>
      </w:r>
      <w:r>
        <w:rPr>
          <w:rFonts w:hint="eastAsia" w:ascii="宋体" w:hAnsi="宋体" w:eastAsia="宋体" w:cs="宋体"/>
          <w:bCs/>
          <w:color w:val="000000"/>
          <w:kern w:val="0"/>
          <w:sz w:val="24"/>
          <w:highlight w:val="none"/>
          <w:u w:color="000000"/>
          <w:lang w:bidi="ar"/>
        </w:rPr>
        <w:t xml:space="preserve">、周蓓蕾       </w:t>
      </w:r>
    </w:p>
    <w:p w14:paraId="3AAED904">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电话：</w:t>
      </w:r>
      <w:r>
        <w:rPr>
          <w:rFonts w:hint="eastAsia" w:ascii="宋体" w:hAnsi="宋体" w:eastAsia="宋体" w:cs="宋体"/>
          <w:bCs/>
          <w:color w:val="000000"/>
          <w:kern w:val="0"/>
          <w:sz w:val="24"/>
          <w:highlight w:val="none"/>
          <w:u w:color="000000"/>
          <w:lang w:eastAsia="zh-CN" w:bidi="ar"/>
        </w:rPr>
        <w:t>0550-3352128</w:t>
      </w:r>
      <w:r>
        <w:rPr>
          <w:rFonts w:hint="eastAsia" w:ascii="宋体" w:hAnsi="宋体" w:eastAsia="宋体" w:cs="宋体"/>
          <w:bCs/>
          <w:color w:val="000000"/>
          <w:kern w:val="0"/>
          <w:sz w:val="24"/>
          <w:highlight w:val="none"/>
          <w:u w:color="000000"/>
          <w:lang w:bidi="ar"/>
        </w:rPr>
        <w:t>、18005505728</w:t>
      </w:r>
    </w:p>
    <w:p w14:paraId="252D2B41">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 </w:t>
      </w: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Cs/>
          <w:color w:val="000000"/>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17" w:name="_Toc9559"/>
      <w:bookmarkEnd w:id="17"/>
      <w:bookmarkStart w:id="18" w:name="_Toc28003_WPSOffice_Level2"/>
    </w:p>
    <w:p w14:paraId="7786F9D9">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一、投标人须知前附表</w:t>
      </w:r>
      <w:bookmarkEnd w:id="18"/>
    </w:p>
    <w:tbl>
      <w:tblPr>
        <w:tblStyle w:val="20"/>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56935B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37FA6522">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1C3F08D5">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0AFA1E9">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404F71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94590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5D49BB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F387672">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cs="Times New Roman"/>
                <w:bCs/>
                <w:highlight w:val="none"/>
                <w:lang w:val="en-US" w:eastAsia="zh-CN"/>
              </w:rPr>
            </w:pPr>
            <w:bookmarkStart w:id="187" w:name="_GoBack"/>
            <w:r>
              <w:rPr>
                <w:rFonts w:hint="eastAsia" w:cs="Times New Roman"/>
                <w:bCs/>
                <w:highlight w:val="none"/>
                <w:lang w:eastAsia="zh-CN"/>
              </w:rPr>
              <w:t>2026年滁州轨道运营市级综合应急演练项目</w:t>
            </w:r>
            <w:bookmarkEnd w:id="187"/>
            <w:r>
              <w:rPr>
                <w:rFonts w:hint="eastAsia" w:cs="Times New Roman"/>
                <w:bCs/>
                <w:highlight w:val="none"/>
                <w:lang w:eastAsia="zh-CN"/>
              </w:rPr>
              <w:t>（</w:t>
            </w:r>
            <w:r>
              <w:rPr>
                <w:rFonts w:hint="eastAsia" w:cs="Times New Roman"/>
                <w:bCs/>
                <w:highlight w:val="none"/>
                <w:lang w:val="en-US" w:eastAsia="zh-CN"/>
              </w:rPr>
              <w:t>二次）</w:t>
            </w:r>
          </w:p>
        </w:tc>
      </w:tr>
      <w:tr w14:paraId="0FD03B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17E5B8E">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AF58C9">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ascii="宋体" w:hAnsi="宋体" w:eastAsia="宋体" w:cs="Times New Roman"/>
                <w:highlight w:val="none"/>
                <w:lang w:val="en-US"/>
              </w:rPr>
            </w:pPr>
            <w:r>
              <w:rPr>
                <w:rFonts w:hint="eastAsia" w:cs="Times New Roman"/>
                <w:highlight w:val="none"/>
                <w:lang w:val="en-US" w:eastAsia="zh-CN"/>
              </w:rPr>
              <w:t>服务</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016DBA0">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0C1CFD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0C6655">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DE35D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622D4A9">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ascii="宋体" w:hAnsi="宋体" w:eastAsia="宋体" w:cs="宋体"/>
                <w:highlight w:val="none"/>
                <w:lang w:val="en-US"/>
              </w:rPr>
            </w:pPr>
            <w:r>
              <w:rPr>
                <w:rFonts w:hint="eastAsia" w:ascii="宋体" w:hAnsi="宋体" w:eastAsia="宋体" w:cs="宋体"/>
                <w:highlight w:val="none"/>
                <w:lang w:val="en-US" w:eastAsia="zh-CN"/>
              </w:rPr>
              <w:t>招标人指定地点</w:t>
            </w:r>
          </w:p>
        </w:tc>
      </w:tr>
      <w:tr w14:paraId="7C85C0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84CD4CF">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CAA406">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7AF3B3D">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eastAsia="zh-CN"/>
              </w:rPr>
            </w:pPr>
            <w:r>
              <w:rPr>
                <w:rFonts w:hint="eastAsia" w:cs="宋体"/>
                <w:highlight w:val="none"/>
                <w:lang w:eastAsia="zh-CN"/>
              </w:rPr>
              <w:t>杭祥婷</w:t>
            </w:r>
            <w:r>
              <w:rPr>
                <w:rFonts w:cs="宋体"/>
                <w:highlight w:val="none"/>
              </w:rPr>
              <w:t xml:space="preserve">  </w:t>
            </w:r>
            <w:r>
              <w:rPr>
                <w:rFonts w:hint="eastAsia" w:cs="宋体"/>
                <w:highlight w:val="none"/>
                <w:lang w:eastAsia="zh-CN"/>
              </w:rPr>
              <w:t>0550-3352128</w:t>
            </w:r>
          </w:p>
        </w:tc>
      </w:tr>
      <w:tr w14:paraId="464F1B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4352412">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51C35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A3205C8">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ascii="宋体" w:hAnsi="宋体" w:eastAsia="宋体" w:cs="宋体"/>
                <w:highlight w:val="none"/>
                <w:lang w:val="en-US"/>
              </w:rPr>
            </w:pPr>
            <w:r>
              <w:rPr>
                <w:rFonts w:ascii="宋体" w:hAnsi="宋体" w:eastAsia="宋体" w:cs="宋体"/>
                <w:highlight w:val="none"/>
                <w:lang w:val="en-US"/>
              </w:rPr>
              <w:t xml:space="preserve">周蓓蕾 </w:t>
            </w:r>
            <w:r>
              <w:rPr>
                <w:rFonts w:hint="eastAsia" w:ascii="宋体" w:hAnsi="宋体" w:eastAsia="宋体" w:cs="宋体"/>
                <w:highlight w:val="none"/>
                <w:lang w:val="en-US" w:eastAsia="zh-CN"/>
              </w:rPr>
              <w:t xml:space="preserve"> </w:t>
            </w:r>
            <w:r>
              <w:rPr>
                <w:rFonts w:ascii="宋体" w:hAnsi="宋体" w:eastAsia="宋体" w:cs="宋体"/>
                <w:highlight w:val="none"/>
                <w:lang w:val="en-US"/>
              </w:rPr>
              <w:t>0550-3519519  18005505728</w:t>
            </w:r>
          </w:p>
        </w:tc>
      </w:tr>
      <w:tr w14:paraId="48A536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D471F3">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3DB4FD1">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49BFA03">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自筹资金</w:t>
            </w:r>
          </w:p>
        </w:tc>
      </w:tr>
      <w:tr w14:paraId="367908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4D6AE1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AB646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2F6CDA">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color w:val="000000"/>
                <w:szCs w:val="21"/>
                <w:highlight w:val="none"/>
                <w:lang w:val="en-US" w:eastAsia="zh-CN"/>
              </w:rPr>
            </w:pPr>
            <w:r>
              <w:rPr>
                <w:rFonts w:hint="eastAsia" w:cs="宋体"/>
                <w:bCs/>
                <w:color w:val="000000"/>
                <w:szCs w:val="21"/>
                <w:highlight w:val="none"/>
                <w:lang w:val="en-US" w:eastAsia="zh-CN"/>
              </w:rPr>
              <w:t>150000</w:t>
            </w:r>
            <w:r>
              <w:rPr>
                <w:rFonts w:hint="eastAsia" w:ascii="宋体" w:hAnsi="宋体" w:eastAsia="宋体" w:cs="宋体"/>
                <w:bCs/>
                <w:color w:val="000000"/>
                <w:szCs w:val="21"/>
                <w:highlight w:val="none"/>
                <w:lang w:val="en-US" w:eastAsia="zh-CN"/>
              </w:rPr>
              <w:t>元</w:t>
            </w:r>
          </w:p>
        </w:tc>
      </w:tr>
      <w:tr w14:paraId="1A8694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B64CC90">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64BFB4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7D966E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cs="宋体"/>
                <w:bCs/>
                <w:color w:val="000000"/>
                <w:szCs w:val="21"/>
                <w:highlight w:val="none"/>
                <w:lang w:val="en-US" w:eastAsia="zh-CN"/>
              </w:rPr>
              <w:t>150000</w:t>
            </w:r>
            <w:r>
              <w:rPr>
                <w:rFonts w:hint="eastAsia" w:ascii="宋体" w:hAnsi="宋体" w:eastAsia="宋体" w:cs="宋体"/>
                <w:bCs/>
                <w:color w:val="000000"/>
                <w:szCs w:val="21"/>
                <w:highlight w:val="none"/>
                <w:lang w:val="en-US" w:eastAsia="zh-CN"/>
              </w:rPr>
              <w:t>元，投标</w:t>
            </w:r>
            <w:r>
              <w:rPr>
                <w:rFonts w:hint="eastAsia" w:cs="宋体"/>
                <w:bCs/>
                <w:color w:val="000000"/>
                <w:szCs w:val="21"/>
                <w:highlight w:val="none"/>
                <w:lang w:val="en-US" w:eastAsia="zh-CN"/>
              </w:rPr>
              <w:t>报价</w:t>
            </w:r>
            <w:r>
              <w:rPr>
                <w:rFonts w:hint="eastAsia" w:ascii="宋体" w:hAnsi="宋体" w:eastAsia="宋体" w:cs="宋体"/>
                <w:bCs/>
                <w:color w:val="000000"/>
                <w:szCs w:val="21"/>
                <w:highlight w:val="none"/>
                <w:lang w:val="en-US" w:eastAsia="zh-CN"/>
              </w:rPr>
              <w:t>不得超过最高限价，否则按无效投标处理。</w:t>
            </w:r>
          </w:p>
        </w:tc>
      </w:tr>
      <w:tr w14:paraId="63B713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BB8A1B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E8B5E0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807C78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用户需求书</w:t>
            </w:r>
            <w:r>
              <w:rPr>
                <w:rFonts w:hint="eastAsia" w:hAnsi="宋体" w:cs="宋体"/>
                <w:bCs/>
                <w:color w:val="000000"/>
                <w:szCs w:val="21"/>
                <w:highlight w:val="none"/>
              </w:rPr>
              <w:t>》</w:t>
            </w:r>
          </w:p>
        </w:tc>
      </w:tr>
      <w:tr w14:paraId="37D203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FB0F197">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4B44B20">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7DD27F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794F37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2C4482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D7C7B11">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386935D">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7E02C5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2DCEBE">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A3518E">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BDF0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5DBA21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7C29E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AA2E86">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9C5872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7064E9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8DD559B">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63160EA">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61489C">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2E474A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B7386F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1002DA">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cs="Times New Roman"/>
                <w:highlight w:val="none"/>
                <w:lang w:val="en-US"/>
              </w:rPr>
            </w:pPr>
            <w:r>
              <w:rPr>
                <w:highlight w:val="none"/>
              </w:rPr>
              <w:t>投标人提出</w:t>
            </w:r>
            <w:r>
              <w:rPr>
                <w:highlight w:val="none"/>
                <w:u w:val="single"/>
              </w:rPr>
              <w:t>疑问</w:t>
            </w:r>
            <w:r>
              <w:rPr>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7CBE659">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textAlignment w:val="auto"/>
              <w:rPr>
                <w:rFonts w:cs="Times New Roman"/>
                <w:b w:val="0"/>
                <w:bCs w:val="0"/>
                <w:highlight w:val="none"/>
                <w:lang w:val="en-US"/>
              </w:rPr>
            </w:pPr>
            <w:r>
              <w:rPr>
                <w:highlight w:val="none"/>
              </w:rPr>
              <w:t>如投标人对招标文件有疑问，请于202</w:t>
            </w:r>
            <w:r>
              <w:rPr>
                <w:rFonts w:hint="eastAsia"/>
                <w:highlight w:val="none"/>
                <w:lang w:val="en-US" w:eastAsia="zh-CN"/>
              </w:rPr>
              <w:t>6</w:t>
            </w:r>
            <w:r>
              <w:rPr>
                <w:highlight w:val="none"/>
              </w:rPr>
              <w:t>年</w:t>
            </w:r>
            <w:r>
              <w:rPr>
                <w:rFonts w:hint="eastAsia"/>
                <w:highlight w:val="none"/>
                <w:lang w:val="en-US" w:eastAsia="zh-CN"/>
              </w:rPr>
              <w:t>4</w:t>
            </w:r>
            <w:r>
              <w:rPr>
                <w:highlight w:val="none"/>
              </w:rPr>
              <w:t>月</w:t>
            </w:r>
            <w:r>
              <w:rPr>
                <w:rFonts w:hint="eastAsia"/>
                <w:highlight w:val="none"/>
                <w:lang w:val="en-US" w:eastAsia="zh-CN"/>
              </w:rPr>
              <w:t>19</w:t>
            </w:r>
            <w:r>
              <w:rPr>
                <w:highlight w:val="none"/>
              </w:rPr>
              <w:t>日</w:t>
            </w:r>
            <w:r>
              <w:rPr>
                <w:rFonts w:hAnsi="Times New Roman"/>
                <w:highlight w:val="none"/>
              </w:rPr>
              <w:t>17时前</w:t>
            </w:r>
            <w:r>
              <w:rPr>
                <w:highlight w:val="none"/>
              </w:rPr>
              <w:t>将疑问内容以书面的形式加盖投标单位公章，发送至滁州市城投工程咨询管理有限公司邮箱（</w:t>
            </w:r>
            <w:r>
              <w:rPr>
                <w:rFonts w:hAnsi="Times New Roman"/>
                <w:highlight w:val="none"/>
              </w:rPr>
              <w:t>czsctzx@163.com）。</w:t>
            </w:r>
          </w:p>
        </w:tc>
      </w:tr>
      <w:tr w14:paraId="1D4043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FB3173E">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8C79F6">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cs="Times New Roman"/>
                <w:highlight w:val="none"/>
                <w:lang w:val="en-US"/>
              </w:rPr>
            </w:pPr>
            <w:r>
              <w:rPr>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475574">
            <w:pPr>
              <w:keepNext w:val="0"/>
              <w:keepLines w:val="0"/>
              <w:pageBreakBefore w:val="0"/>
              <w:suppressLineNumbers w:val="0"/>
              <w:kinsoku/>
              <w:overflowPunct/>
              <w:topLinePunct w:val="0"/>
              <w:autoSpaceDE w:val="0"/>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kern w:val="2"/>
                <w:highlight w:val="none"/>
                <w:lang w:val="en-US"/>
              </w:rPr>
            </w:pPr>
            <w:r>
              <w:rPr>
                <w:rFonts w:hint="eastAsia" w:ascii="宋体" w:hAnsi="宋体" w:eastAsia="宋体" w:cs="宋体"/>
                <w:color w:val="000000"/>
                <w:szCs w:val="21"/>
                <w:highlight w:val="none"/>
                <w:u w:color="000000"/>
                <w:lang w:bidi="ar"/>
              </w:rPr>
              <w:t>招标人将在</w:t>
            </w:r>
            <w:r>
              <w:rPr>
                <w:rFonts w:hint="eastAsia" w:ascii="宋体" w:hAnsi="宋体" w:eastAsia="宋体" w:cs="Times New Roman"/>
                <w:szCs w:val="21"/>
                <w:highlight w:val="none"/>
                <w:lang w:bidi="ar"/>
              </w:rPr>
              <w:t>202</w:t>
            </w:r>
            <w:r>
              <w:rPr>
                <w:rFonts w:hint="eastAsia" w:ascii="宋体" w:hAnsi="宋体" w:eastAsia="宋体" w:cs="Times New Roman"/>
                <w:szCs w:val="21"/>
                <w:highlight w:val="none"/>
                <w:lang w:val="en-US" w:eastAsia="zh-CN" w:bidi="ar"/>
              </w:rPr>
              <w:t>6</w:t>
            </w:r>
            <w:r>
              <w:rPr>
                <w:rFonts w:hint="eastAsia" w:ascii="宋体" w:hAnsi="宋体" w:eastAsia="宋体" w:cs="Times New Roman"/>
                <w:szCs w:val="21"/>
                <w:highlight w:val="none"/>
                <w:lang w:bidi="ar"/>
              </w:rPr>
              <w:t>年</w:t>
            </w:r>
            <w:r>
              <w:rPr>
                <w:rFonts w:hint="eastAsia" w:ascii="宋体" w:hAnsi="宋体" w:eastAsia="宋体" w:cs="Times New Roman"/>
                <w:szCs w:val="21"/>
                <w:highlight w:val="none"/>
                <w:lang w:val="en-US" w:eastAsia="zh-CN" w:bidi="ar"/>
              </w:rPr>
              <w:t>4</w:t>
            </w:r>
            <w:r>
              <w:rPr>
                <w:rFonts w:hint="eastAsia" w:ascii="宋体" w:hAnsi="宋体" w:eastAsia="宋体" w:cs="Times New Roman"/>
                <w:szCs w:val="21"/>
                <w:highlight w:val="none"/>
                <w:lang w:bidi="ar"/>
              </w:rPr>
              <w:t>月</w:t>
            </w:r>
            <w:r>
              <w:rPr>
                <w:rFonts w:hint="eastAsia" w:ascii="宋体" w:hAnsi="宋体" w:eastAsia="宋体" w:cs="Times New Roman"/>
                <w:szCs w:val="21"/>
                <w:highlight w:val="none"/>
                <w:lang w:val="en-US" w:eastAsia="zh-CN" w:bidi="ar"/>
              </w:rPr>
              <w:t>20</w:t>
            </w:r>
            <w:r>
              <w:rPr>
                <w:rFonts w:hint="eastAsia" w:ascii="宋体" w:hAnsi="宋体" w:eastAsia="宋体" w:cs="Times New Roman"/>
                <w:szCs w:val="21"/>
                <w:highlight w:val="none"/>
                <w:lang w:bidi="ar"/>
              </w:rPr>
              <w:t>日17时后</w:t>
            </w:r>
            <w:r>
              <w:rPr>
                <w:rFonts w:hint="eastAsia" w:ascii="宋体" w:hAnsi="宋体" w:eastAsia="宋体" w:cs="宋体"/>
                <w:color w:val="000000"/>
                <w:szCs w:val="21"/>
                <w:highlight w:val="none"/>
                <w:u w:color="000000"/>
                <w:lang w:bidi="ar"/>
              </w:rPr>
              <w:t>以澄清公告形式在</w:t>
            </w:r>
            <w:r>
              <w:rPr>
                <w:rFonts w:hint="eastAsia" w:ascii="宋体" w:cs="宋体"/>
                <w:szCs w:val="21"/>
                <w:highlight w:val="none"/>
              </w:rPr>
              <w:t>滁州市滁宁城际铁路开发建设有限公司网站（ http://czctgs.cn/）发布。</w:t>
            </w:r>
          </w:p>
        </w:tc>
      </w:tr>
      <w:tr w14:paraId="37E41C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5A42DB">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8A24A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D684AD1">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49456A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09F30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F12C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CD673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代理服务费金额：招标代理费2000元。</w:t>
            </w:r>
          </w:p>
          <w:p w14:paraId="7A35A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代理服务费支付主体：中标单位，中标单位在获取中标通知书时一次性支付给代理机构。</w:t>
            </w:r>
          </w:p>
        </w:tc>
      </w:tr>
      <w:tr w14:paraId="28A061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304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A2B6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E83A6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30F580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67B9CEF">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6C36B97">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B3A6A62">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30 </w:t>
            </w:r>
            <w:r>
              <w:rPr>
                <w:rFonts w:cs="Times New Roman"/>
                <w:highlight w:val="none"/>
              </w:rPr>
              <w:t>日历天（从投标截止之日算起）。在此期限内，凡符合本招标文件要求的投标文件均保持有效。</w:t>
            </w:r>
          </w:p>
        </w:tc>
      </w:tr>
      <w:tr w14:paraId="1D171F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D5F0D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1F89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E879A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szCs w:val="21"/>
                <w:highlight w:val="none"/>
                <w:u w:color="000000"/>
                <w:lang w:val="en-US" w:eastAsia="zh-CN" w:bidi="ar"/>
              </w:rPr>
              <w:t>详见招标公告</w:t>
            </w:r>
          </w:p>
        </w:tc>
      </w:tr>
      <w:tr w14:paraId="0FA92B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C3304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B0B0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A029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szCs w:val="21"/>
                <w:highlight w:val="none"/>
              </w:rPr>
              <w:t>PDF电子版投标文件一份，</w:t>
            </w:r>
            <w:r>
              <w:rPr>
                <w:rFonts w:hint="eastAsia" w:ascii="宋体" w:hAnsi="宋体" w:eastAsia="宋体" w:cs="宋体"/>
                <w:b/>
                <w:bCs/>
                <w:kern w:val="0"/>
                <w:szCs w:val="21"/>
                <w:highlight w:val="none"/>
                <w:u w:val="single"/>
              </w:rPr>
              <w:t>（投标人中标后须递交与网上电子投标文件完全一致的纸质版投标文件，并按要求加盖单位章；</w:t>
            </w:r>
            <w:r>
              <w:rPr>
                <w:rFonts w:hint="eastAsia" w:ascii="宋体" w:hAnsi="宋体" w:cs="宋体"/>
                <w:b/>
                <w:bCs/>
                <w:kern w:val="0"/>
                <w:szCs w:val="21"/>
                <w:highlight w:val="none"/>
                <w:u w:val="single"/>
              </w:rPr>
              <w:t>份数：正本1份，副本2份；中标单位领取中标通知书时，一并递交给代理机构）</w:t>
            </w:r>
          </w:p>
        </w:tc>
      </w:tr>
      <w:tr w14:paraId="6F7DA1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0D80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561E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24AC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rPr>
              <w:t>在</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lang w:eastAsia="zh-CN"/>
              </w:rPr>
              <w:t>年</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29</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时00分</w:t>
            </w:r>
            <w:r>
              <w:rPr>
                <w:rFonts w:hint="eastAsia" w:ascii="宋体" w:hAnsi="宋体" w:cs="宋体"/>
                <w:bCs/>
                <w:spacing w:val="-4"/>
                <w:kern w:val="0"/>
                <w:szCs w:val="21"/>
                <w:highlight w:val="none"/>
              </w:rPr>
              <w:t>（北京时间）</w:t>
            </w:r>
          </w:p>
        </w:tc>
      </w:tr>
      <w:tr w14:paraId="710894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E029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885B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4C2C0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22C851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B723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F564C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D29C1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开标时间：2026年4月29日15时00分（北京时间）</w:t>
            </w:r>
          </w:p>
          <w:p w14:paraId="706514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开标地点：滁州市轨道交通运营有限公司五楼514开评标室 (徽州路与扬子路交叉口东南侧)。</w:t>
            </w:r>
          </w:p>
        </w:tc>
      </w:tr>
      <w:tr w14:paraId="5218D1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2B0A9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75991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9F63B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31DCAB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F22083">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B5F151">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A6876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39ED7B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AA764B">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6B5FECE">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3047FDA">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kern w:val="2"/>
                <w:highlight w:val="none"/>
                <w:lang w:val="en-US"/>
              </w:rPr>
            </w:pPr>
            <w:r>
              <w:rPr>
                <w:rFonts w:cs="宋体"/>
                <w:highlight w:val="none"/>
              </w:rPr>
              <w:t>是，推荐的中标候选人数3名，并标明排序。</w:t>
            </w:r>
          </w:p>
        </w:tc>
      </w:tr>
      <w:tr w14:paraId="314017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EC71AB">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C7E6EF">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4AC84A8">
            <w:pPr>
              <w:keepNext w:val="0"/>
              <w:keepLines w:val="0"/>
              <w:pageBreakBefore w:val="0"/>
              <w:suppressLineNumbers w:val="0"/>
              <w:kinsoku/>
              <w:overflowPunct/>
              <w:topLinePunct w:val="0"/>
              <w:autoSpaceDN/>
              <w:bidi w:val="0"/>
              <w:adjustRightInd/>
              <w:snapToGrid/>
              <w:spacing w:before="0" w:beforeAutospacing="0" w:after="0" w:afterAutospacing="0" w:line="360" w:lineRule="exact"/>
              <w:ind w:left="0" w:right="0"/>
              <w:textAlignment w:val="auto"/>
              <w:rPr>
                <w:rFonts w:hint="default" w:ascii="宋体" w:hAnsi="宋体" w:eastAsia="宋体" w:cs="宋体"/>
                <w:szCs w:val="21"/>
                <w:highlight w:val="none"/>
              </w:rPr>
            </w:pPr>
            <w:r>
              <w:rPr>
                <w:rFonts w:hint="eastAsia" w:ascii="宋体" w:hAnsi="宋体" w:eastAsia="宋体" w:cs="宋体"/>
                <w:szCs w:val="21"/>
                <w:highlight w:val="none"/>
              </w:rPr>
              <w:t>公示媒介：同招标公告发布媒介</w:t>
            </w:r>
          </w:p>
          <w:p w14:paraId="28607FE6">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cs="宋体"/>
                <w:highlight w:val="none"/>
              </w:rPr>
              <w:t>公示期限：公示发布次日起3日（如公示第三日为休息日或节假日，则顺延至休息日或节假日后第一个工作日）</w:t>
            </w:r>
          </w:p>
        </w:tc>
      </w:tr>
      <w:tr w14:paraId="71B893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A7BE2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9EC3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E89B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0E4A8A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A3CDA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4D17C3E">
            <w:pPr>
              <w:keepNext w:val="0"/>
              <w:keepLines w:val="0"/>
              <w:pageBreakBefore w:val="0"/>
              <w:suppressLineNumbers w:val="0"/>
              <w:kinsoku/>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szCs w:val="21"/>
                <w:highlight w:val="none"/>
                <w:u w:color="000000"/>
                <w:lang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847AF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40EF027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形式：☑银行转账 ☑银行保函（见索即付无条件保函）☑担保保函☑商业保险 ☑第三方担保（无条件担保）</w:t>
            </w:r>
          </w:p>
          <w:p w14:paraId="1B44180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金额：中标合同金额×5%，取整到千位；</w:t>
            </w:r>
          </w:p>
          <w:p w14:paraId="33704CD7">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收款单位：另行通知        </w:t>
            </w:r>
          </w:p>
          <w:p w14:paraId="12F45EC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开户银行：另行通知 </w:t>
            </w:r>
          </w:p>
          <w:p w14:paraId="0680766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银行帐号：另行通知</w:t>
            </w:r>
          </w:p>
          <w:p w14:paraId="00D957C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缴纳时限：中标人须在中标通知书发出后30</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内完成履约保证金缴纳及合同签订。否则，取消中标资格，投标保证金不予退还。(注：投标保证金不能转为履约保证金。)</w:t>
            </w:r>
          </w:p>
          <w:p w14:paraId="34EE616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如未按期交齐履约保证金或未按期签订合同的，视同放弃中标资格，招标人将扣除投标保证金。履约保证金按要求缴纳的，自合同签订并备案后起5个工作日内退还中标人的投标保证金。</w:t>
            </w:r>
          </w:p>
          <w:p w14:paraId="703A90C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退还时限：</w:t>
            </w:r>
            <w:r>
              <w:rPr>
                <w:rFonts w:hint="eastAsia" w:ascii="宋体" w:hAnsi="宋体" w:eastAsia="宋体" w:cs="宋体"/>
                <w:color w:val="000000"/>
                <w:kern w:val="0"/>
                <w:sz w:val="21"/>
                <w:szCs w:val="21"/>
                <w:highlight w:val="none"/>
                <w:lang w:val="en-US" w:eastAsia="zh-CN" w:bidi="ar"/>
              </w:rPr>
              <w:t>中标人在本合同约定的服务期限届满并经招标人验收合格后</w:t>
            </w:r>
            <w:r>
              <w:rPr>
                <w:rFonts w:hint="eastAsia" w:ascii="宋体" w:hAnsi="宋体" w:cs="宋体"/>
                <w:color w:val="000000"/>
                <w:kern w:val="0"/>
                <w:sz w:val="21"/>
                <w:szCs w:val="21"/>
                <w:highlight w:val="none"/>
                <w:lang w:val="en-US" w:eastAsia="zh-CN" w:bidi="ar"/>
              </w:rPr>
              <w:t>30日内</w:t>
            </w:r>
            <w:r>
              <w:rPr>
                <w:rFonts w:hint="eastAsia" w:ascii="宋体" w:hAnsi="宋体" w:eastAsia="宋体" w:cs="宋体"/>
                <w:color w:val="000000"/>
                <w:kern w:val="0"/>
                <w:sz w:val="21"/>
                <w:szCs w:val="21"/>
                <w:highlight w:val="none"/>
                <w:lang w:val="en-US" w:eastAsia="zh-CN" w:bidi="ar"/>
              </w:rPr>
              <w:t>办理履约保证金（或履约保函）退还手续。</w:t>
            </w:r>
          </w:p>
          <w:p w14:paraId="325D25BF">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采用银行保函的具体要求：①保函形式须为见索即付型（无条件保函）；②须从中标人基本账户办理，或者从基本账户在滁州具有分支机构的银行出具；③须有保函编号；④须加盖银行公章而非银行业务专用章；⑤须按照银行格式规范填写。</w:t>
            </w:r>
          </w:p>
          <w:p w14:paraId="4DCB326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rPr>
              <w:t>采用担保保函、商业保险、第三方担保具体要求：须在本地的（滁州市）保险（或担保）公司或在本地（滁州市）的分支机构的保险公司（或担保公司）开具。保函或保险格式须经招标人认可。</w:t>
            </w:r>
          </w:p>
        </w:tc>
      </w:tr>
      <w:tr w14:paraId="31ABA7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139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4C1DC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1438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eastAsia="zh-CN"/>
              </w:rPr>
            </w:pPr>
            <w:r>
              <w:rPr>
                <w:rFonts w:hint="eastAsia" w:ascii="宋体" w:hAnsi="宋体" w:eastAsia="宋体" w:cs="宋体"/>
                <w:color w:val="000000"/>
                <w:kern w:val="2"/>
                <w:sz w:val="21"/>
                <w:szCs w:val="21"/>
                <w:highlight w:val="none"/>
                <w:u w:color="000000"/>
                <w:lang w:val="en-US" w:eastAsia="zh-CN" w:bidi="ar"/>
              </w:rPr>
              <w:t>在本合同服务期限届满，中标人提交的所有工作成果均通过招标人验收，且中标人向招标人提供符合要求的增值税发票后30个工作日内，一次性付清全部服务费用。</w:t>
            </w:r>
          </w:p>
        </w:tc>
      </w:tr>
      <w:tr w14:paraId="576E9C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05EE6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2EC798F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04E905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3002D5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73004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B12F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05A3A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05FED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115C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4156F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D5006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6A9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51042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3936FB42">
            <w:pPr>
              <w:keepNext w:val="0"/>
              <w:keepLines w:val="0"/>
              <w:suppressLineNumbers w:val="0"/>
              <w:autoSpaceDE w:val="0"/>
              <w:spacing w:before="0" w:beforeAutospacing="0" w:after="0" w:afterAutospacing="0" w:line="360" w:lineRule="exact"/>
              <w:ind w:left="0" w:right="0"/>
              <w:jc w:val="left"/>
              <w:rPr>
                <w:rFonts w:hint="eastAsia" w:ascii="宋体" w:hAnsi="宋体" w:eastAsia="宋体" w:cs="宋体"/>
                <w:kern w:val="2"/>
                <w:highlight w:val="none"/>
                <w:lang w:val="en-US"/>
              </w:rPr>
            </w:pPr>
            <w:r>
              <w:rPr>
                <w:rFonts w:hint="eastAsia" w:ascii="宋体" w:hAnsi="宋体" w:eastAsia="宋体" w:cs="宋体"/>
                <w:color w:val="000000"/>
                <w:szCs w:val="21"/>
                <w:highlight w:val="none"/>
                <w:u w:color="000000"/>
                <w:lang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01DDFBE1">
            <w:pPr>
              <w:keepNext w:val="0"/>
              <w:keepLines w:val="0"/>
              <w:suppressLineNumbers w:val="0"/>
              <w:spacing w:before="0" w:beforeAutospacing="0" w:after="0" w:afterAutospacing="0" w:line="360" w:lineRule="exact"/>
              <w:ind w:left="0" w:right="0"/>
              <w:jc w:val="left"/>
              <w:rPr>
                <w:rFonts w:hint="default" w:ascii="宋体" w:hAnsi="Times New Roman" w:eastAsia="宋体" w:cs="Times New Roman"/>
                <w:szCs w:val="21"/>
                <w:highlight w:val="none"/>
              </w:rPr>
            </w:pPr>
            <w:r>
              <w:rPr>
                <w:rFonts w:hint="eastAsia" w:ascii="宋体" w:hAnsi="Times New Roman" w:eastAsia="宋体" w:cs="Times New Roman"/>
                <w:szCs w:val="21"/>
                <w:highlight w:val="none"/>
              </w:rPr>
              <w:t>1、评标委员会只依靠投标人递交的投标文件及其按照招标文件要求提供的所有证明材料进行评审，而不依靠任何外来的证明材料。</w:t>
            </w:r>
          </w:p>
          <w:p w14:paraId="20ECCEBA">
            <w:pPr>
              <w:keepNext w:val="0"/>
              <w:keepLines w:val="0"/>
              <w:suppressLineNumbers w:val="0"/>
              <w:spacing w:before="0" w:beforeAutospacing="0" w:after="0" w:afterAutospacing="0" w:line="360" w:lineRule="exact"/>
              <w:ind w:left="0" w:right="0"/>
              <w:jc w:val="left"/>
              <w:rPr>
                <w:rFonts w:hint="default" w:ascii="宋体" w:hAnsi="Times New Roman" w:eastAsia="宋体" w:cs="Times New Roman"/>
                <w:szCs w:val="21"/>
                <w:highlight w:val="none"/>
              </w:rPr>
            </w:pPr>
            <w:r>
              <w:rPr>
                <w:rFonts w:hint="eastAsia" w:ascii="宋体" w:hAnsi="Times New Roman" w:eastAsia="宋体" w:cs="Times New Roman"/>
                <w:szCs w:val="21"/>
                <w:highlight w:val="none"/>
              </w:rPr>
              <w:t>2、招标人对本项目执行过程中的所有争议拥有最终的裁决权，投标人应无条件地服从招标人的裁决，不得以任何理由提出增加本项目合同费用和延误本项目工期。</w:t>
            </w:r>
          </w:p>
          <w:p w14:paraId="727A20A7">
            <w:pPr>
              <w:keepNext w:val="0"/>
              <w:keepLines w:val="0"/>
              <w:suppressLineNumbers w:val="0"/>
              <w:spacing w:before="0" w:beforeAutospacing="0" w:after="0" w:afterAutospacing="0" w:line="360" w:lineRule="exact"/>
              <w:ind w:left="0" w:right="0"/>
              <w:jc w:val="left"/>
              <w:rPr>
                <w:rFonts w:hint="eastAsia" w:eastAsia="宋体"/>
                <w:highlight w:val="none"/>
                <w:lang w:val="en-US" w:eastAsia="zh-CN"/>
              </w:rPr>
            </w:pPr>
            <w:r>
              <w:rPr>
                <w:rFonts w:hint="eastAsia" w:ascii="宋体" w:hAnsi="Times New Roman" w:eastAsia="宋体" w:cs="Times New Roman"/>
                <w:szCs w:val="21"/>
                <w:highlight w:val="none"/>
              </w:rPr>
              <w:t>3、本项目严禁非法转包，一经发现，招标人依法处理。</w:t>
            </w:r>
          </w:p>
        </w:tc>
      </w:tr>
    </w:tbl>
    <w:p w14:paraId="61A18CB2">
      <w:pPr>
        <w:rPr>
          <w:rFonts w:hint="eastAsia" w:ascii="宋体" w:hAnsi="宋体" w:eastAsia="宋体" w:cs="宋体"/>
          <w:b/>
          <w:bCs w:val="0"/>
          <w:color w:val="000000"/>
          <w:kern w:val="0"/>
          <w:sz w:val="28"/>
          <w:szCs w:val="28"/>
          <w:highlight w:val="none"/>
          <w:u w:color="000000"/>
          <w:lang w:val="en-US" w:eastAsia="zh-CN" w:bidi="ar"/>
        </w:rPr>
      </w:pPr>
      <w:bookmarkStart w:id="19" w:name="_Toc122"/>
      <w:bookmarkEnd w:id="19"/>
      <w:r>
        <w:rPr>
          <w:rFonts w:hint="eastAsia" w:ascii="宋体" w:hAnsi="宋体" w:eastAsia="宋体" w:cs="宋体"/>
          <w:b/>
          <w:bCs w:val="0"/>
          <w:color w:val="000000"/>
          <w:kern w:val="0"/>
          <w:sz w:val="28"/>
          <w:szCs w:val="28"/>
          <w:highlight w:val="none"/>
          <w:u w:color="000000"/>
          <w:lang w:val="en-US" w:eastAsia="zh-CN" w:bidi="ar"/>
        </w:rPr>
        <w:br w:type="page"/>
      </w:r>
    </w:p>
    <w:p w14:paraId="1FE79313">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70861B6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1"/>
    </w:p>
    <w:p w14:paraId="1450E2E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59CCB18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7B8FA9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5217CD6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11E575A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525D438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14:paraId="562F3E0C">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7C644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39880DF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028BE2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0C8AB17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34E37F3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5F00FF9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用户需求书</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7F8DAA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04EA65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22023A2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4.招标方式</w:t>
      </w:r>
    </w:p>
    <w:p w14:paraId="1356CB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4FF9A6A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7C9E0C63">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  </w:t>
      </w:r>
    </w:p>
    <w:p w14:paraId="17B744C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2C0E3A7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eastAsia="zh-CN"/>
        </w:rPr>
        <w:t>最低评标价法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（详见第三章评标办法）</w:t>
      </w:r>
    </w:p>
    <w:p w14:paraId="18E13A8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3554198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7204AA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3096D3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26BEB4A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22" w:name="_Toc152045539"/>
      <w:bookmarkEnd w:id="22"/>
      <w:bookmarkStart w:id="23" w:name="_Toc247513962"/>
      <w:bookmarkEnd w:id="23"/>
      <w:bookmarkStart w:id="24" w:name="_Toc247527563"/>
      <w:bookmarkEnd w:id="24"/>
      <w:bookmarkStart w:id="25" w:name="_Toc144974507"/>
      <w:bookmarkEnd w:id="25"/>
      <w:bookmarkStart w:id="26" w:name="_Toc152042315"/>
      <w:bookmarkEnd w:id="26"/>
      <w:bookmarkStart w:id="27" w:name="_Toc296602429"/>
      <w:bookmarkEnd w:id="27"/>
      <w:bookmarkStart w:id="28"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8"/>
    </w:p>
    <w:p w14:paraId="639CC004">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E5EBC9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2C0E97D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00B7B6F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265F8154">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7666C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88BA412">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53DEAF3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11.联合投标</w:t>
      </w:r>
    </w:p>
    <w:p w14:paraId="199643C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5B9C257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5DDF504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6CB500F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74C0D6C2">
      <w:pPr>
        <w:spacing w:line="440" w:lineRule="exact"/>
        <w:ind w:firstLine="409" w:firstLineChars="195"/>
        <w:rPr>
          <w:rFonts w:hint="eastAsia" w:ascii="宋体"/>
          <w:color w:val="000000"/>
          <w:szCs w:val="21"/>
          <w:highlight w:val="none"/>
        </w:rPr>
      </w:pPr>
      <w:bookmarkStart w:id="29" w:name="_Toc24655"/>
      <w:bookmarkEnd w:id="29"/>
      <w:bookmarkStart w:id="30" w:name="_Toc10668_WPSOffice_Level3"/>
      <w:bookmarkEnd w:id="30"/>
      <w:r>
        <w:rPr>
          <w:rFonts w:hint="eastAsia" w:ascii="宋体"/>
          <w:color w:val="000000"/>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24A39A9">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13.2投标人对采购内容中规定的技术参数、规格、数量和要求等必须满足招标文件的相关要求。</w:t>
      </w:r>
    </w:p>
    <w:p w14:paraId="03A4BD68">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3</w:t>
      </w:r>
      <w:r>
        <w:rPr>
          <w:rFonts w:hint="eastAsia" w:ascii="宋体"/>
          <w:color w:val="000000"/>
          <w:szCs w:val="21"/>
          <w:highlight w:val="none"/>
        </w:rPr>
        <w:t xml:space="preserve"> 单位负责人为同一人或者存在直接控股、管理关系的不同</w:t>
      </w:r>
      <w:r>
        <w:rPr>
          <w:rFonts w:hint="eastAsia" w:ascii="宋体"/>
          <w:color w:val="000000"/>
          <w:szCs w:val="21"/>
          <w:highlight w:val="none"/>
          <w:lang w:eastAsia="zh-CN"/>
        </w:rPr>
        <w:t>投标人</w:t>
      </w:r>
      <w:r>
        <w:rPr>
          <w:rFonts w:hint="eastAsia" w:ascii="宋体"/>
          <w:color w:val="000000"/>
          <w:szCs w:val="21"/>
          <w:highlight w:val="none"/>
        </w:rPr>
        <w:t>，不得参加同一合同项下的采购活动。</w:t>
      </w:r>
    </w:p>
    <w:p w14:paraId="5C0E54DC">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4</w:t>
      </w:r>
      <w:r>
        <w:rPr>
          <w:rFonts w:hint="eastAsia" w:ascii="宋体"/>
          <w:color w:val="000000"/>
          <w:szCs w:val="21"/>
          <w:highlight w:val="none"/>
        </w:rPr>
        <w:t>投标人被视为充分熟悉本招标项目所在地的与履行合同有关的各种情况，包括但不限于：</w:t>
      </w:r>
    </w:p>
    <w:p w14:paraId="47C137E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（1）国家对本次投标货物和服务的生产、安装调试、验收、维修等有关法律、法规及行业管理标准；</w:t>
      </w:r>
    </w:p>
    <w:p w14:paraId="6DF0A25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（2）安徽省及滁州市等有关管理部门的相关规定；</w:t>
      </w:r>
    </w:p>
    <w:p w14:paraId="71F8EB8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（3）招标人的相关场地情况、基础建设、电力供应情况及相关设计标准。</w:t>
      </w:r>
    </w:p>
    <w:p w14:paraId="5AC4D613">
      <w:pPr>
        <w:spacing w:line="440" w:lineRule="exact"/>
        <w:ind w:firstLine="409" w:firstLineChars="195"/>
        <w:rPr>
          <w:rFonts w:hint="eastAsia" w:ascii="宋体"/>
          <w:color w:val="000000"/>
          <w:szCs w:val="21"/>
          <w:highlight w:val="none"/>
        </w:rPr>
      </w:pPr>
      <w:r>
        <w:rPr>
          <w:rFonts w:hint="eastAsia" w:ascii="宋体"/>
          <w:color w:val="000000"/>
          <w:szCs w:val="21"/>
          <w:highlight w:val="none"/>
        </w:rPr>
        <w:t>本招标文件不再对上述情况进行描述。</w:t>
      </w:r>
    </w:p>
    <w:p w14:paraId="60B234D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2E1D6A97">
      <w:pPr>
        <w:spacing w:line="400" w:lineRule="exact"/>
        <w:ind w:firstLine="315" w:firstLineChars="150"/>
        <w:rPr>
          <w:rFonts w:hint="eastAsia"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04A9461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2A7E08B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15.招标文件的编制依据</w:t>
      </w:r>
    </w:p>
    <w:p w14:paraId="4B540CF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C216F3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16.招标文件的组成</w:t>
      </w:r>
    </w:p>
    <w:p w14:paraId="6C67678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61B36A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6580E6A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21BFA46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00E5379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用户需求书</w:t>
      </w:r>
    </w:p>
    <w:p w14:paraId="355012D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5D8FBF7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投标文件格式文本</w:t>
      </w:r>
    </w:p>
    <w:p w14:paraId="4CEC56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招标人、招标代理机构对本文件的确认</w:t>
      </w:r>
    </w:p>
    <w:p w14:paraId="7AF1FAE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0F53CA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0108F4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751773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17.招标文件的异议、澄清</w:t>
      </w:r>
    </w:p>
    <w:p w14:paraId="170B6F44">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5887848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22D38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18.招标文件的发出</w:t>
      </w:r>
    </w:p>
    <w:p w14:paraId="620F9D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滁州市滁宁城际铁路开发建设有限公司网站（http://czctgs.cn/）</w:t>
      </w:r>
      <w:r>
        <w:rPr>
          <w:rFonts w:hint="eastAsia" w:ascii="宋体" w:hAnsi="宋体" w:eastAsia="宋体" w:cs="宋体"/>
          <w:bCs/>
          <w:color w:val="000000"/>
          <w:kern w:val="0"/>
          <w:sz w:val="21"/>
          <w:szCs w:val="21"/>
          <w:highlight w:val="none"/>
          <w:u w:color="000000"/>
          <w:lang w:val="en-US" w:eastAsia="zh-CN" w:bidi="ar"/>
        </w:rPr>
        <w:t>发出。</w:t>
      </w:r>
    </w:p>
    <w:p w14:paraId="5E41863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1" w:name="_Toc1549_WPSOffice_Level3"/>
      <w:bookmarkEnd w:id="31"/>
      <w:bookmarkStart w:id="32" w:name="_Toc9710"/>
      <w:r>
        <w:rPr>
          <w:rFonts w:hint="eastAsia" w:ascii="宋体" w:hAnsi="宋体" w:eastAsia="宋体" w:cs="宋体"/>
          <w:b/>
          <w:bCs w:val="0"/>
          <w:color w:val="000000"/>
          <w:kern w:val="0"/>
          <w:sz w:val="21"/>
          <w:szCs w:val="21"/>
          <w:highlight w:val="none"/>
          <w:u w:color="000000"/>
          <w:lang w:val="en-US" w:eastAsia="zh-CN" w:bidi="ar"/>
        </w:rPr>
        <w:t>19.样品</w:t>
      </w:r>
      <w:bookmarkEnd w:id="32"/>
    </w:p>
    <w:p w14:paraId="1B7F09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514E009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04C401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20.投标的语言及度量衡单位</w:t>
      </w:r>
    </w:p>
    <w:p w14:paraId="082664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20.1投标人的投标文件、以及投标人与招标人就投标的所有往来函电，均须使用简体中文。</w:t>
      </w:r>
    </w:p>
    <w:p w14:paraId="27BC427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20.2除招标文件中另有规定外，投标文件所使用的度量衡均须采用法定计量单位。</w:t>
      </w:r>
    </w:p>
    <w:p w14:paraId="6902AFB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21.投标文件的组成</w:t>
      </w:r>
    </w:p>
    <w:p w14:paraId="7EA8AE3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21.1投标文件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签字盖章完毕后扫描成一个连续性的整体加密PDF格式文件。</w:t>
      </w:r>
    </w:p>
    <w:p w14:paraId="77FA7B7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21.2投标文件的编制</w:t>
      </w:r>
    </w:p>
    <w:p w14:paraId="0DD3EC4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（1）投标文件应按第六章“投标文件格式文本”进行编写，如有必要，可以增加附页，作为投标文件的组成部分。</w:t>
      </w:r>
    </w:p>
    <w:p w14:paraId="1ED397A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4D90F91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22.1投标报价文件中的单价和总价全部采用人民币表示。</w:t>
      </w:r>
    </w:p>
    <w:p w14:paraId="21B3207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22.2投标人只允许有一个方案、一个报价。</w:t>
      </w:r>
    </w:p>
    <w:p w14:paraId="46EC23D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22.3投标报价包括完成本项目全部服务的一切费用：</w:t>
      </w:r>
      <w:r>
        <w:rPr>
          <w:rFonts w:hint="eastAsia" w:ascii="宋体" w:hAnsi="Times New Roman" w:eastAsia="宋体" w:cs="Times New Roman"/>
          <w:color w:val="000000"/>
          <w:szCs w:val="21"/>
          <w:highlight w:val="none"/>
          <w:lang w:val="en-US" w:eastAsia="zh-CN"/>
        </w:rPr>
        <w:t>市级综合应急演练服务发生的所有费用（包括</w:t>
      </w:r>
      <w:r>
        <w:rPr>
          <w:rFonts w:hint="eastAsia" w:ascii="宋体" w:hAnsi="宋体" w:eastAsia="宋体" w:cs="宋体"/>
          <w:b w:val="0"/>
          <w:color w:val="000000"/>
          <w:kern w:val="2"/>
          <w:sz w:val="21"/>
          <w:szCs w:val="21"/>
          <w:highlight w:val="none"/>
          <w:lang w:val="en-US" w:eastAsia="zh-CN" w:bidi="ar"/>
        </w:rPr>
        <w:t>提供全部设备与用品等所付出的所有费用）</w:t>
      </w:r>
      <w:r>
        <w:rPr>
          <w:rFonts w:hint="eastAsia" w:ascii="宋体" w:hAnsi="Times New Roman" w:eastAsia="宋体" w:cs="Times New Roman"/>
          <w:color w:val="000000"/>
          <w:szCs w:val="21"/>
          <w:highlight w:val="none"/>
          <w:lang w:val="en-US" w:eastAsia="zh-CN"/>
        </w:rPr>
        <w:t>、交通费(如有)、利润、招标代理费、</w:t>
      </w:r>
      <w:r>
        <w:rPr>
          <w:rFonts w:hint="eastAsia" w:ascii="宋体" w:hAnsi="Times New Roman" w:eastAsia="宋体" w:cs="Times New Roman"/>
          <w:color w:val="auto"/>
          <w:szCs w:val="21"/>
          <w:highlight w:val="none"/>
          <w:lang w:val="en-US" w:eastAsia="zh-CN"/>
        </w:rPr>
        <w:t>安全文化宣传费</w:t>
      </w:r>
      <w:r>
        <w:rPr>
          <w:rFonts w:hint="eastAsia" w:ascii="宋体" w:hAnsi="Times New Roman" w:eastAsia="宋体" w:cs="Times New Roman"/>
          <w:color w:val="000000"/>
          <w:szCs w:val="21"/>
          <w:highlight w:val="none"/>
          <w:lang w:val="en-US" w:eastAsia="zh-CN"/>
        </w:rPr>
        <w:t>、履约过程中所产生的全部专家劳务费用（包括但不限于运营公司应急预案评审所需的专家劳务费用及相关辅导费用）、税金、政策性文件规定及合同包含的所有风险和责任等。投标时投标人必须保证报价的完整性</w:t>
      </w:r>
      <w:r>
        <w:rPr>
          <w:rFonts w:hint="eastAsia" w:ascii="宋体" w:hAnsi="宋体" w:eastAsia="宋体" w:cs="宋体"/>
          <w:bCs/>
          <w:color w:val="000000"/>
          <w:kern w:val="0"/>
          <w:sz w:val="21"/>
          <w:szCs w:val="21"/>
          <w:highlight w:val="none"/>
          <w:u w:color="000000"/>
          <w:lang w:val="en-US" w:eastAsia="zh-CN" w:bidi="ar"/>
        </w:rPr>
        <w:t>，如有漏报，则视为优惠，中标后不允许追加费用。</w:t>
      </w:r>
    </w:p>
    <w:p w14:paraId="3BC7981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Cs/>
          <w:color w:val="000000"/>
          <w:kern w:val="0"/>
          <w:sz w:val="21"/>
          <w:szCs w:val="21"/>
          <w:highlight w:val="none"/>
          <w:u w:color="000000"/>
          <w:lang w:val="en-US" w:eastAsia="zh-CN" w:bidi="ar"/>
        </w:rPr>
        <w:t>22.4投标报价的价格是完成项目全部内容（包括后期的相关服务）的价格，其总价即为履行合同的固定总价。在合同履行期间，如遇国家的税率调整或其他政策影响税率的，税率随变化而变化，则合同价款不做调整。</w:t>
      </w:r>
    </w:p>
    <w:p w14:paraId="3BC942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22.5投标报价应由法定代表人或被授权人签署。</w:t>
      </w:r>
    </w:p>
    <w:p w14:paraId="2387930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22.6投标人的投标报价不得超过各最高限价，否则将作为无效投标处理。</w:t>
      </w:r>
    </w:p>
    <w:p w14:paraId="40767D0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22.7总投标价中不得包含招标文件要求以外的内容，否则，在评标时不予核减，但在授予合同时，招标人有权将这部分价格从其中标价格中扣除。</w:t>
      </w:r>
    </w:p>
    <w:p w14:paraId="5D3C3FE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0F2BD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71F91FC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14:paraId="7FF7D9E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4114C40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7802E4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38A78592">
      <w:pPr>
        <w:widowControl/>
        <w:spacing w:line="400" w:lineRule="exact"/>
        <w:ind w:firstLine="420" w:firstLineChars="200"/>
        <w:rPr>
          <w:rFonts w:hint="eastAsia" w:ascii="宋体" w:hAnsi="宋体" w:eastAsia="宋体" w:cs="宋体"/>
          <w:color w:val="auto"/>
          <w:kern w:val="0"/>
          <w:szCs w:val="21"/>
          <w:highlight w:val="none"/>
          <w:u w:color="000000"/>
          <w:lang w:bidi="ar"/>
        </w:rPr>
      </w:pPr>
      <w:bookmarkStart w:id="33" w:name="_Toc6570_WPSOffice_Level3"/>
      <w:bookmarkEnd w:id="33"/>
      <w:bookmarkStart w:id="34" w:name="_Toc26398"/>
      <w:r>
        <w:rPr>
          <w:rFonts w:hint="eastAsia" w:ascii="宋体" w:hAnsi="宋体" w:eastAsia="宋体" w:cs="宋体"/>
          <w:color w:val="auto"/>
          <w:kern w:val="0"/>
          <w:szCs w:val="21"/>
          <w:highlight w:val="none"/>
          <w:u w:color="000000"/>
          <w:lang w:bidi="ar"/>
        </w:rPr>
        <w:t>24.1投标人须知前附表规定递交投标保证金的，投标人在递交投标文件的同时，应按投标人须知前附表规定的金额、担保形式规定的或者事先经过招标人认可的保证金格式递交保证金，并作为其投标文件的组成部分。无论采取何种形式的投标保证金，投标保证金有效期均应与投标有效期一致。招标人如果延长了投标有效期，则投标保证金的有效期也相应延长。</w:t>
      </w:r>
    </w:p>
    <w:p w14:paraId="137A65DA">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.2 投标人不按要求提交投标保证金的，评标委员会将否决其投标。</w:t>
      </w:r>
    </w:p>
    <w:p w14:paraId="6D94B5AB">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.3 未中标投标人的投标保证金，中标通知书发出后5个工作日内退还保证金到达原交纳的基本账户；中标人的投标保证金，在中标人与招标人签订合同后5个工作日内退付保证金到达原交纳的基本账户。</w:t>
      </w:r>
    </w:p>
    <w:p w14:paraId="4B65640C">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.4 有下列情形之一的，投标保证金将不予退还：</w:t>
      </w:r>
    </w:p>
    <w:p w14:paraId="0FE02D8D">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（1）投标截止后投标人撤销投标文件的；</w:t>
      </w:r>
    </w:p>
    <w:p w14:paraId="5C6995F6">
      <w:pPr>
        <w:widowControl/>
        <w:spacing w:line="400" w:lineRule="exact"/>
        <w:ind w:firstLine="420" w:firstLineChars="200"/>
        <w:rPr>
          <w:rFonts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（2）中标人无正当理由不与招标人订立合同，在签订合同时向招标人提出附加条件，或者不按照招标文件要求提交履约保证金的。</w:t>
      </w:r>
    </w:p>
    <w:p w14:paraId="1A27035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（四）投标文件的递交</w:t>
      </w:r>
      <w:bookmarkEnd w:id="34"/>
    </w:p>
    <w:p w14:paraId="4B02DAA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5" w:name="_Toc30407_WPSOffice_Level3"/>
      <w:bookmarkEnd w:id="35"/>
      <w:bookmarkStart w:id="36" w:name="_Toc490"/>
      <w:bookmarkEnd w:id="36"/>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6D8571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1BC2AF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52BCCB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004DDB9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26.1 </w:t>
      </w:r>
      <w:r>
        <w:rPr>
          <w:rFonts w:hint="eastAsia" w:ascii="宋体" w:hAnsi="宋体" w:eastAsia="宋体" w:cs="宋体"/>
          <w:highlight w:val="none"/>
          <w:lang w:val="en-US" w:eastAsia="zh-CN"/>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en-US" w:eastAsia="zh-CN"/>
        </w:rPr>
        <w:t>②在投标截止时间后30分钟内，将投标文件密码通过邮箱发送至滁州市城投工程咨询管理有限公司邮箱（czsctzx@163.com）</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en-US" w:eastAsia="zh-CN"/>
        </w:rPr>
        <w:t>，未在规定时间内发送密码或发送的密码无法正确打开投标文件的，投标文件将被拒绝。</w:t>
      </w:r>
    </w:p>
    <w:p w14:paraId="46C7614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27.投标文件的修改与撤回</w:t>
      </w:r>
    </w:p>
    <w:p w14:paraId="46D4D53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0AD94E0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3CC5436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7" w:name="_Toc28864"/>
      <w:bookmarkEnd w:id="37"/>
      <w:bookmarkStart w:id="38" w:name="_Toc8453_WPSOffice_Level3"/>
      <w:r>
        <w:rPr>
          <w:rFonts w:hint="eastAsia" w:ascii="宋体" w:hAnsi="宋体" w:eastAsia="宋体" w:cs="宋体"/>
          <w:b/>
          <w:bCs w:val="0"/>
          <w:color w:val="000000"/>
          <w:kern w:val="0"/>
          <w:sz w:val="21"/>
          <w:szCs w:val="21"/>
          <w:highlight w:val="none"/>
          <w:u w:color="000000"/>
          <w:lang w:val="en-US" w:eastAsia="zh-CN" w:bidi="ar"/>
        </w:rPr>
        <w:t>28.开标</w:t>
      </w:r>
    </w:p>
    <w:p w14:paraId="78FF2967">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59BA622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0674F21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3A695C4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spacing w:val="-8"/>
          <w:highlight w:val="none"/>
          <w:lang w:val="en-US"/>
        </w:rPr>
      </w:pPr>
      <w:bookmarkStart w:id="39" w:name="_Toc15542_WPSOffice_Level3"/>
      <w:bookmarkEnd w:id="39"/>
      <w:r>
        <w:rPr>
          <w:rFonts w:hint="eastAsia" w:ascii="宋体" w:hAnsi="宋体" w:eastAsia="宋体" w:cs="宋体"/>
          <w:color w:val="000000"/>
          <w:kern w:val="0"/>
          <w:sz w:val="21"/>
          <w:szCs w:val="21"/>
          <w:highlight w:val="none"/>
          <w:u w:color="000000"/>
          <w:lang w:val="en-US" w:eastAsia="zh-CN" w:bidi="ar"/>
        </w:rPr>
        <w:t>28.2.1招标人可以邀请相关监督部门参加。</w:t>
      </w:r>
    </w:p>
    <w:p w14:paraId="2579DBB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369871E8">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2E22E9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05D0BFA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2A644C53">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2E42E5C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D6D04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631FA14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43AE57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2FB402A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30.1评标委员会的组成</w:t>
      </w:r>
    </w:p>
    <w:p w14:paraId="07A7CB9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78CE78D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5EA3AC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7A572C1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9C9852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76CC8F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A85ECD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7C50A6A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2C38B40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193F35E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31.评标</w:t>
      </w:r>
    </w:p>
    <w:p w14:paraId="59BAA62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4F2910A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728C130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0E92CD6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40" w:name="_Toc5272_WPSOffice_Level3"/>
      <w:bookmarkEnd w:id="40"/>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26324A5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1488779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3AE005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66DB30D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075DC5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418AF0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4902699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E5167D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74E6BBC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6"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（4）法律、法规规定的其他情形。</w:t>
      </w:r>
    </w:p>
    <w:p w14:paraId="1BA786C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38"/>
    </w:p>
    <w:p w14:paraId="416185CB">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2A34F50C">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  </w:t>
      </w:r>
      <w:r>
        <w:rPr>
          <w:rFonts w:hint="eastAsia" w:ascii="宋体" w:hAnsi="Times New Roman" w:eastAsia="宋体" w:cs="Times New Roman"/>
          <w:b/>
          <w:szCs w:val="21"/>
          <w:highlight w:val="none"/>
        </w:rPr>
        <w:t xml:space="preserve"> </w:t>
      </w:r>
      <w:r>
        <w:rPr>
          <w:rFonts w:hint="eastAsia" w:ascii="宋体" w:hAnsi="宋体" w:eastAsia="宋体" w:cs="宋体"/>
          <w:b/>
          <w:color w:val="000000"/>
          <w:kern w:val="0"/>
          <w:szCs w:val="21"/>
          <w:highlight w:val="none"/>
          <w:u w:color="000000"/>
          <w:lang w:bidi="ar"/>
        </w:rPr>
        <w:t xml:space="preserve"> </w:t>
      </w:r>
      <w:bookmarkStart w:id="41" w:name="_Toc7247"/>
      <w:bookmarkEnd w:id="41"/>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42" w:name="_Toc217446068"/>
      <w:r>
        <w:rPr>
          <w:rFonts w:hint="eastAsia" w:ascii="宋体" w:hAnsi="宋体" w:eastAsia="宋体" w:cs="宋体"/>
          <w:b/>
          <w:color w:val="000000"/>
          <w:kern w:val="0"/>
          <w:szCs w:val="21"/>
          <w:highlight w:val="none"/>
          <w:u w:color="000000"/>
          <w:lang w:bidi="ar"/>
        </w:rPr>
        <w:t>履约保证金</w:t>
      </w:r>
      <w:bookmarkEnd w:id="42"/>
    </w:p>
    <w:p w14:paraId="1331EEB6">
      <w:pPr>
        <w:spacing w:line="420" w:lineRule="exact"/>
        <w:ind w:firstLine="420" w:firstLineChars="200"/>
        <w:jc w:val="left"/>
        <w:rPr>
          <w:rFonts w:ascii="宋体" w:hAnsi="Times New Roman" w:eastAsia="宋体" w:cs="Times New Roman"/>
          <w:szCs w:val="21"/>
          <w:highlight w:val="none"/>
        </w:rPr>
      </w:pPr>
      <w:bookmarkStart w:id="43" w:name="_Toc316_WPSOffice_Level3"/>
      <w:bookmarkEnd w:id="43"/>
      <w:bookmarkStart w:id="44"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44"/>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246DABD6">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.1项要求提交履约担保的，视为放弃中标，其投标保证金不予退还，给招标人造成的损失超过投标保证金数额的，中标人还应当对超过部分予以赔偿。</w:t>
      </w:r>
    </w:p>
    <w:p w14:paraId="4360FEA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ABC5FD6">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DEE210A">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597F92C7">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59AD1FB6">
      <w:pPr>
        <w:keepNext w:val="0"/>
        <w:keepLines w:val="0"/>
        <w:widowControl w:val="0"/>
        <w:suppressLineNumbers w:val="0"/>
        <w:autoSpaceDE w:val="0"/>
        <w:autoSpaceDN/>
        <w:spacing w:before="0" w:beforeAutospacing="0" w:after="0" w:afterAutospacing="0" w:line="400" w:lineRule="exact"/>
        <w:ind w:left="0" w:right="0" w:firstLine="315" w:firstLineChars="150"/>
        <w:jc w:val="left"/>
        <w:rPr>
          <w:rFonts w:hint="eastAsia" w:ascii="黑体" w:hAnsi="宋体" w:eastAsia="黑体" w:cs="黑体"/>
          <w:sz w:val="30"/>
          <w:szCs w:val="30"/>
          <w:highlight w:val="none"/>
          <w:lang w:val="en-US"/>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r>
        <w:rPr>
          <w:rFonts w:hint="eastAsia" w:ascii="黑体" w:hAnsi="宋体" w:eastAsia="黑体" w:cs="黑体"/>
          <w:color w:val="000000"/>
          <w:kern w:val="0"/>
          <w:sz w:val="30"/>
          <w:szCs w:val="30"/>
          <w:highlight w:val="none"/>
          <w:u w:color="000000"/>
          <w:lang w:val="en-US" w:eastAsia="zh-CN" w:bidi="ar"/>
        </w:rPr>
        <w:t xml:space="preserve"> </w:t>
      </w:r>
    </w:p>
    <w:p w14:paraId="00603505">
      <w:pPr>
        <w:rPr>
          <w:rFonts w:hint="eastAsia" w:ascii="宋体"/>
          <w:b/>
          <w:color w:val="auto"/>
          <w:sz w:val="32"/>
          <w:szCs w:val="32"/>
          <w:highlight w:val="none"/>
        </w:rPr>
      </w:pPr>
      <w:r>
        <w:rPr>
          <w:rFonts w:hint="eastAsia" w:ascii="宋体"/>
          <w:b/>
          <w:color w:val="auto"/>
          <w:sz w:val="32"/>
          <w:szCs w:val="32"/>
          <w:highlight w:val="none"/>
        </w:rPr>
        <w:br w:type="page"/>
      </w:r>
    </w:p>
    <w:p w14:paraId="4D9BEE17">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165A866F">
      <w:pPr>
        <w:spacing w:before="156" w:beforeLines="50" w:after="156" w:afterLines="50" w:line="440" w:lineRule="exact"/>
        <w:jc w:val="center"/>
        <w:outlineLvl w:val="1"/>
        <w:rPr>
          <w:rFonts w:hint="eastAsia" w:ascii="宋体" w:hAnsi="Times New Roman" w:eastAsia="宋体" w:cs="Times New Roman"/>
          <w:b/>
          <w:color w:val="000000"/>
          <w:sz w:val="28"/>
          <w:szCs w:val="28"/>
          <w:highlight w:val="none"/>
        </w:rPr>
      </w:pPr>
      <w:r>
        <w:rPr>
          <w:rFonts w:hint="eastAsia" w:ascii="宋体" w:hAnsi="Times New Roman" w:eastAsia="宋体" w:cs="Times New Roman"/>
          <w:b/>
          <w:color w:val="000000"/>
          <w:sz w:val="28"/>
          <w:szCs w:val="28"/>
          <w:highlight w:val="none"/>
          <w:lang w:eastAsia="zh-CN"/>
        </w:rPr>
        <w:t>（</w:t>
      </w:r>
      <w:r>
        <w:rPr>
          <w:rFonts w:hint="eastAsia" w:ascii="宋体" w:hAnsi="Times New Roman" w:eastAsia="宋体" w:cs="Times New Roman"/>
          <w:b/>
          <w:color w:val="000000"/>
          <w:sz w:val="28"/>
          <w:szCs w:val="28"/>
          <w:highlight w:val="none"/>
          <w:lang w:val="en-US" w:eastAsia="zh-CN"/>
        </w:rPr>
        <w:t>一）</w:t>
      </w:r>
      <w:r>
        <w:rPr>
          <w:rFonts w:hint="eastAsia" w:ascii="宋体" w:hAnsi="Times New Roman" w:eastAsia="宋体" w:cs="Times New Roman"/>
          <w:b/>
          <w:color w:val="000000"/>
          <w:sz w:val="28"/>
          <w:szCs w:val="28"/>
          <w:highlight w:val="none"/>
        </w:rPr>
        <w:t>资格审查办法前附表</w:t>
      </w:r>
    </w:p>
    <w:p w14:paraId="46FA34A7">
      <w:pPr>
        <w:adjustRightInd w:val="0"/>
        <w:snapToGrid w:val="0"/>
        <w:spacing w:line="560" w:lineRule="exact"/>
        <w:jc w:val="left"/>
        <w:rPr>
          <w:rFonts w:hint="eastAsia"/>
          <w:color w:val="auto"/>
          <w:szCs w:val="21"/>
          <w:highlight w:val="none"/>
        </w:rPr>
      </w:pPr>
      <w:r>
        <w:rPr>
          <w:rFonts w:hint="eastAsia"/>
          <w:color w:val="000000"/>
          <w:highlight w:val="none"/>
          <w:lang w:val="en-US" w:eastAsia="zh-CN"/>
        </w:rPr>
        <w:t>1.</w:t>
      </w:r>
      <w:r>
        <w:rPr>
          <w:rFonts w:hint="eastAsia"/>
          <w:color w:val="000000"/>
          <w:highlight w:val="none"/>
        </w:rPr>
        <w:t>资信证明文件评审</w:t>
      </w:r>
      <w:r>
        <w:rPr>
          <w:rFonts w:hint="eastAsia" w:ascii="宋体"/>
          <w:b/>
          <w:color w:val="auto"/>
          <w:szCs w:val="21"/>
          <w:highlight w:val="none"/>
        </w:rPr>
        <w:t>:</w:t>
      </w:r>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826"/>
        <w:gridCol w:w="3111"/>
      </w:tblGrid>
      <w:tr w14:paraId="020E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BED266F">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黑体" w:eastAsia="黑体" w:cs="黑体"/>
                <w:b/>
                <w:bCs/>
                <w:color w:val="000000"/>
                <w:szCs w:val="21"/>
                <w:highlight w:val="none"/>
              </w:rPr>
              <w:t>序号</w:t>
            </w:r>
          </w:p>
        </w:tc>
        <w:tc>
          <w:tcPr>
            <w:tcW w:w="5061" w:type="dxa"/>
            <w:gridSpan w:val="2"/>
            <w:noWrap w:val="0"/>
            <w:vAlign w:val="center"/>
          </w:tcPr>
          <w:p w14:paraId="68A56139">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评审因素</w:t>
            </w:r>
          </w:p>
        </w:tc>
        <w:tc>
          <w:tcPr>
            <w:tcW w:w="3111" w:type="dxa"/>
            <w:noWrap w:val="0"/>
            <w:vAlign w:val="center"/>
          </w:tcPr>
          <w:p w14:paraId="2F14F796">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评审标准</w:t>
            </w:r>
          </w:p>
        </w:tc>
      </w:tr>
      <w:tr w14:paraId="6A0E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48B0CB0D">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1</w:t>
            </w:r>
          </w:p>
        </w:tc>
        <w:tc>
          <w:tcPr>
            <w:tcW w:w="1235" w:type="dxa"/>
            <w:noWrap w:val="0"/>
            <w:vAlign w:val="center"/>
          </w:tcPr>
          <w:p w14:paraId="43819508">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color w:val="000000"/>
                <w:szCs w:val="21"/>
                <w:highlight w:val="none"/>
              </w:rPr>
              <w:t>重要要求</w:t>
            </w:r>
          </w:p>
        </w:tc>
        <w:tc>
          <w:tcPr>
            <w:tcW w:w="3826" w:type="dxa"/>
            <w:noWrap w:val="0"/>
            <w:vAlign w:val="center"/>
          </w:tcPr>
          <w:p w14:paraId="69ACEA11">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111" w:type="dxa"/>
            <w:noWrap w:val="0"/>
            <w:vAlign w:val="center"/>
          </w:tcPr>
          <w:p w14:paraId="6BC6A503">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color w:val="000000"/>
                <w:highlight w:val="none"/>
              </w:rPr>
              <w:t>检验电子标书。</w:t>
            </w:r>
          </w:p>
        </w:tc>
      </w:tr>
      <w:tr w14:paraId="1EC1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1994A6BE">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2</w:t>
            </w:r>
          </w:p>
        </w:tc>
        <w:tc>
          <w:tcPr>
            <w:tcW w:w="1235" w:type="dxa"/>
            <w:vMerge w:val="restart"/>
            <w:noWrap w:val="0"/>
            <w:vAlign w:val="center"/>
          </w:tcPr>
          <w:p w14:paraId="6131D6CB">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投标人应符合的基本资格条件</w:t>
            </w:r>
          </w:p>
        </w:tc>
        <w:tc>
          <w:tcPr>
            <w:tcW w:w="3826" w:type="dxa"/>
            <w:noWrap w:val="0"/>
            <w:vAlign w:val="center"/>
          </w:tcPr>
          <w:p w14:paraId="6C0332A6">
            <w:pPr>
              <w:keepNext w:val="0"/>
              <w:keepLines w:val="0"/>
              <w:suppressLineNumbers w:val="0"/>
              <w:spacing w:before="0" w:beforeAutospacing="0" w:after="0" w:afterAutospacing="0" w:line="320" w:lineRule="exact"/>
              <w:ind w:left="0" w:right="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3111" w:type="dxa"/>
            <w:noWrap w:val="0"/>
            <w:vAlign w:val="center"/>
          </w:tcPr>
          <w:p w14:paraId="45FEBF24">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188E4392">
            <w:pPr>
              <w:keepNext w:val="0"/>
              <w:keepLines w:val="0"/>
              <w:suppressLineNumbers w:val="0"/>
              <w:spacing w:before="0" w:beforeAutospacing="0" w:after="0" w:afterAutospacing="0" w:line="320" w:lineRule="exact"/>
              <w:ind w:left="0" w:right="0"/>
              <w:rPr>
                <w:rFonts w:hint="eastAsia" w:ascii="宋体"/>
                <w:color w:val="000000"/>
                <w:szCs w:val="21"/>
                <w:highlight w:val="none"/>
              </w:rPr>
            </w:pPr>
            <w:r>
              <w:rPr>
                <w:rFonts w:hint="eastAsia" w:ascii="宋体" w:eastAsia="宋体"/>
                <w:color w:val="auto"/>
                <w:szCs w:val="21"/>
                <w:highlight w:val="none"/>
                <w:lang w:val="en-US" w:eastAsia="zh-CN"/>
              </w:rPr>
              <w:t>企业法人营业执照</w:t>
            </w:r>
          </w:p>
        </w:tc>
      </w:tr>
      <w:tr w14:paraId="7B55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489FFE57">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69B46C8F">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826" w:type="dxa"/>
            <w:noWrap w:val="0"/>
            <w:vAlign w:val="top"/>
          </w:tcPr>
          <w:p w14:paraId="2AF7E75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rightChars="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zCs w:val="21"/>
                <w:highlight w:val="none"/>
                <w:lang w:val="en-US" w:eastAsia="zh-CN"/>
              </w:rPr>
              <w:t>（3）诚信投标承诺书</w:t>
            </w:r>
          </w:p>
        </w:tc>
        <w:tc>
          <w:tcPr>
            <w:tcW w:w="3111" w:type="dxa"/>
            <w:noWrap w:val="0"/>
            <w:vAlign w:val="top"/>
          </w:tcPr>
          <w:p w14:paraId="02E77C4A">
            <w:pPr>
              <w:keepNext w:val="0"/>
              <w:keepLines w:val="0"/>
              <w:suppressLineNumbers w:val="0"/>
              <w:spacing w:before="0" w:beforeAutospacing="0" w:after="0" w:afterAutospacing="0" w:line="360" w:lineRule="exact"/>
              <w:ind w:left="0" w:leftChars="0" w:right="0" w:rightChars="0"/>
              <w:rPr>
                <w:rFonts w:hint="eastAsia" w:ascii="宋体" w:hAnsiTheme="minorHAnsi" w:eastAsiaTheme="minorEastAsia" w:cstheme="minorBidi"/>
                <w:b/>
                <w:color w:val="000000"/>
                <w:kern w:val="2"/>
                <w:sz w:val="21"/>
                <w:szCs w:val="21"/>
                <w:highlight w:val="none"/>
                <w:lang w:val="en-US" w:eastAsia="zh-CN" w:bidi="ar-SA"/>
              </w:rPr>
            </w:pPr>
            <w:r>
              <w:rPr>
                <w:rFonts w:hint="eastAsia"/>
                <w:color w:val="000000"/>
                <w:highlight w:val="none"/>
              </w:rPr>
              <w:t>格式见附件，检验电子标书</w:t>
            </w:r>
          </w:p>
        </w:tc>
      </w:tr>
      <w:tr w14:paraId="5265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1F16D663">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4E668A13">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826" w:type="dxa"/>
            <w:noWrap w:val="0"/>
            <w:vAlign w:val="center"/>
          </w:tcPr>
          <w:p w14:paraId="67C426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jc w:val="both"/>
              <w:textAlignment w:val="auto"/>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（4）服务承诺书</w:t>
            </w:r>
          </w:p>
        </w:tc>
        <w:tc>
          <w:tcPr>
            <w:tcW w:w="3111" w:type="dxa"/>
            <w:noWrap w:val="0"/>
            <w:vAlign w:val="center"/>
          </w:tcPr>
          <w:p w14:paraId="17338FB2">
            <w:pPr>
              <w:keepNext w:val="0"/>
              <w:keepLines w:val="0"/>
              <w:suppressLineNumbers w:val="0"/>
              <w:spacing w:before="0" w:beforeAutospacing="0" w:after="0" w:afterAutospacing="0" w:line="360" w:lineRule="exact"/>
              <w:ind w:left="0" w:right="0"/>
              <w:rPr>
                <w:rFonts w:hint="eastAsia" w:ascii="宋体"/>
                <w:color w:val="000000"/>
                <w:szCs w:val="21"/>
                <w:highlight w:val="none"/>
              </w:rPr>
            </w:pPr>
            <w:r>
              <w:rPr>
                <w:rFonts w:hint="eastAsia"/>
                <w:color w:val="000000"/>
                <w:highlight w:val="none"/>
              </w:rPr>
              <w:t>格式见附件，检验电子标书</w:t>
            </w:r>
          </w:p>
        </w:tc>
      </w:tr>
      <w:tr w14:paraId="5812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1E1F13BF">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bookmarkStart w:id="45" w:name="_Toc95223395"/>
            <w:bookmarkStart w:id="46" w:name="_Toc60061492"/>
            <w:bookmarkStart w:id="47" w:name="_Toc506107320"/>
            <w:bookmarkStart w:id="48" w:name="_Toc15058909"/>
          </w:p>
        </w:tc>
        <w:tc>
          <w:tcPr>
            <w:tcW w:w="1235" w:type="dxa"/>
            <w:vMerge w:val="continue"/>
            <w:noWrap w:val="0"/>
            <w:vAlign w:val="center"/>
          </w:tcPr>
          <w:p w14:paraId="4E5308B7">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826" w:type="dxa"/>
            <w:noWrap w:val="0"/>
            <w:vAlign w:val="center"/>
          </w:tcPr>
          <w:p w14:paraId="1F585618">
            <w:pPr>
              <w:keepNext w:val="0"/>
              <w:keepLines w:val="0"/>
              <w:suppressLineNumbers w:val="0"/>
              <w:spacing w:before="0" w:beforeAutospacing="0" w:after="0" w:afterAutospacing="0" w:line="320" w:lineRule="exact"/>
              <w:ind w:left="0" w:right="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lang w:val="en-US" w:eastAsia="zh-CN"/>
              </w:rPr>
              <w:t>5）项目负责人要求（仅限1人）：具备道路交通行业中级或以上职称证书（或中级或以上注册安全工程师证书（道路交通安全或其他安全）），且从事安全技术管理或咨询相关工作经验不少于3年</w:t>
            </w:r>
          </w:p>
        </w:tc>
        <w:tc>
          <w:tcPr>
            <w:tcW w:w="3111" w:type="dxa"/>
            <w:vMerge w:val="restart"/>
            <w:noWrap w:val="0"/>
            <w:vAlign w:val="center"/>
          </w:tcPr>
          <w:p w14:paraId="2D99563D">
            <w:pPr>
              <w:keepNext w:val="0"/>
              <w:keepLines w:val="0"/>
              <w:suppressLineNumbers w:val="0"/>
              <w:spacing w:before="0" w:beforeAutospacing="0" w:after="0" w:afterAutospacing="0" w:line="320" w:lineRule="exact"/>
              <w:ind w:left="0" w:right="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投标文件中须同时提供以下证明材料：项目负责人和组其他成员人员配备表（格式自拟）、人员有效身份证扫描件、相应证书扫描件、工作经验证明（格式自拟）和本单位为上述人员缴纳的近三个月的社保证明材料扫描件。</w:t>
            </w:r>
          </w:p>
          <w:p w14:paraId="3C027249">
            <w:pPr>
              <w:keepNext w:val="0"/>
              <w:keepLines w:val="0"/>
              <w:suppressLineNumbers w:val="0"/>
              <w:spacing w:before="0" w:beforeAutospacing="0" w:after="0" w:afterAutospacing="0" w:line="320" w:lineRule="exact"/>
              <w:ind w:left="0" w:right="0"/>
              <w:rPr>
                <w:rFonts w:hint="eastAsia" w:ascii="宋体" w:hAnsi="宋体" w:eastAsia="宋体" w:cs="Times New Roman"/>
                <w:color w:val="000000"/>
                <w:szCs w:val="21"/>
                <w:highlight w:val="none"/>
              </w:rPr>
            </w:pPr>
          </w:p>
        </w:tc>
      </w:tr>
      <w:tr w14:paraId="7A35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0895FFB9">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14D78D02">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826" w:type="dxa"/>
            <w:noWrap w:val="0"/>
            <w:vAlign w:val="center"/>
          </w:tcPr>
          <w:p w14:paraId="4592673A">
            <w:pPr>
              <w:keepNext w:val="0"/>
              <w:keepLines w:val="0"/>
              <w:suppressLineNumbers w:val="0"/>
              <w:spacing w:before="0" w:beforeAutospacing="0" w:after="0" w:afterAutospacing="0" w:line="320" w:lineRule="exact"/>
              <w:ind w:left="0" w:right="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（6）项目组其他成员要求（不含项目负责人）：不少于3名具备道路交通行业初级或以上职称证书，且从事安全技术管理相关工作经验不少于1年</w:t>
            </w:r>
          </w:p>
        </w:tc>
        <w:tc>
          <w:tcPr>
            <w:tcW w:w="3111" w:type="dxa"/>
            <w:vMerge w:val="continue"/>
            <w:noWrap w:val="0"/>
            <w:vAlign w:val="center"/>
          </w:tcPr>
          <w:p w14:paraId="12012197">
            <w:pPr>
              <w:keepNext w:val="0"/>
              <w:keepLines w:val="0"/>
              <w:suppressLineNumbers w:val="0"/>
              <w:spacing w:before="0" w:beforeAutospacing="0" w:after="0" w:afterAutospacing="0" w:line="360" w:lineRule="exact"/>
              <w:ind w:left="0" w:right="0"/>
              <w:rPr>
                <w:rFonts w:hint="eastAsia"/>
                <w:color w:val="000000"/>
                <w:highlight w:val="none"/>
              </w:rPr>
            </w:pPr>
          </w:p>
        </w:tc>
      </w:tr>
    </w:tbl>
    <w:p w14:paraId="601BEA61">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2.审查办法</w:t>
      </w:r>
      <w:bookmarkEnd w:id="45"/>
      <w:bookmarkEnd w:id="46"/>
      <w:bookmarkEnd w:id="47"/>
      <w:bookmarkEnd w:id="48"/>
    </w:p>
    <w:p w14:paraId="282F20EF">
      <w:pPr>
        <w:adjustRightInd w:val="0"/>
        <w:snapToGrid w:val="0"/>
        <w:spacing w:line="560" w:lineRule="exact"/>
        <w:jc w:val="left"/>
        <w:rPr>
          <w:rFonts w:hint="eastAsia" w:ascii="Times New Roman" w:hAnsi="Times New Roman" w:eastAsia="宋体" w:cs="Times New Roman"/>
          <w:color w:val="000000"/>
          <w:highlight w:val="none"/>
        </w:rPr>
      </w:pPr>
      <w:bookmarkStart w:id="49" w:name="_Toc60061493"/>
      <w:bookmarkStart w:id="50" w:name="_Toc324404868"/>
      <w:bookmarkStart w:id="51" w:name="_Toc15058910"/>
      <w:bookmarkStart w:id="52" w:name="_Toc506107321"/>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16A64709">
      <w:pPr>
        <w:adjustRightInd w:val="0"/>
        <w:snapToGrid w:val="0"/>
        <w:spacing w:line="560" w:lineRule="exact"/>
        <w:jc w:val="left"/>
        <w:rPr>
          <w:rFonts w:hint="eastAsia" w:ascii="Times New Roman" w:hAnsi="Times New Roman" w:eastAsia="宋体" w:cs="Times New Roman"/>
          <w:color w:val="000000"/>
          <w:highlight w:val="none"/>
        </w:rPr>
      </w:pPr>
      <w:bookmarkStart w:id="53" w:name="_Toc95223396"/>
      <w:r>
        <w:rPr>
          <w:rFonts w:hint="eastAsia" w:ascii="Times New Roman" w:hAnsi="Times New Roman" w:eastAsia="宋体" w:cs="Times New Roman"/>
          <w:color w:val="000000"/>
          <w:highlight w:val="none"/>
        </w:rPr>
        <w:t>3.资格审查委员会和审查标准</w:t>
      </w:r>
      <w:bookmarkEnd w:id="49"/>
      <w:bookmarkEnd w:id="50"/>
      <w:bookmarkEnd w:id="51"/>
      <w:bookmarkEnd w:id="52"/>
      <w:bookmarkEnd w:id="53"/>
    </w:p>
    <w:p w14:paraId="4E2BC23D">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4B6EA7BB">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4B9D11A5">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w:t>
      </w:r>
      <w:r>
        <w:rPr>
          <w:rFonts w:hint="eastAsia" w:ascii="Times New Roman" w:hAnsi="Times New Roman" w:eastAsia="宋体" w:cs="Times New Roman"/>
          <w:color w:val="000000"/>
          <w:highlight w:val="none"/>
          <w:lang w:val="en-US" w:eastAsia="zh-CN"/>
        </w:rPr>
        <w:t>在投标截止时间前送达电子</w:t>
      </w:r>
      <w:r>
        <w:rPr>
          <w:rFonts w:hint="eastAsia" w:ascii="Times New Roman" w:hAnsi="Times New Roman" w:eastAsia="宋体" w:cs="Times New Roman"/>
          <w:color w:val="000000"/>
          <w:highlight w:val="none"/>
        </w:rPr>
        <w:t>标书或电子标书经审查不合格；</w:t>
      </w:r>
    </w:p>
    <w:p w14:paraId="251A20CB">
      <w:pPr>
        <w:adjustRightInd w:val="0"/>
        <w:snapToGrid w:val="0"/>
        <w:spacing w:line="560" w:lineRule="exact"/>
        <w:jc w:val="left"/>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rPr>
        <w:t>（2）电子标书</w:t>
      </w:r>
      <w:r>
        <w:rPr>
          <w:rFonts w:hint="eastAsia" w:ascii="Times New Roman" w:hAnsi="Times New Roman" w:eastAsia="宋体" w:cs="Times New Roman"/>
          <w:color w:val="000000"/>
          <w:highlight w:val="none"/>
          <w:lang w:val="en-US" w:eastAsia="zh-CN"/>
        </w:rPr>
        <w:t>无法打开。</w:t>
      </w:r>
    </w:p>
    <w:p w14:paraId="3FDE4B86">
      <w:pPr>
        <w:adjustRightInd w:val="0"/>
        <w:snapToGrid w:val="0"/>
        <w:spacing w:line="560" w:lineRule="exact"/>
        <w:jc w:val="left"/>
        <w:rPr>
          <w:rFonts w:hint="eastAsia" w:ascii="Times New Roman" w:hAnsi="Times New Roman" w:eastAsia="宋体" w:cs="Times New Roman"/>
          <w:color w:val="000000"/>
          <w:highlight w:val="none"/>
        </w:rPr>
      </w:pPr>
      <w:bookmarkStart w:id="54" w:name="_Toc506107322"/>
      <w:bookmarkStart w:id="55" w:name="_Toc324404869"/>
      <w:bookmarkStart w:id="56" w:name="_Toc60061494"/>
      <w:bookmarkStart w:id="57" w:name="_Toc95223397"/>
      <w:bookmarkStart w:id="58" w:name="_Toc15058911"/>
      <w:r>
        <w:rPr>
          <w:rFonts w:hint="eastAsia" w:ascii="Times New Roman" w:hAnsi="Times New Roman" w:eastAsia="宋体" w:cs="Times New Roman"/>
          <w:color w:val="000000"/>
          <w:highlight w:val="none"/>
        </w:rPr>
        <w:t>4.审查结果</w:t>
      </w:r>
      <w:bookmarkEnd w:id="54"/>
      <w:bookmarkEnd w:id="55"/>
      <w:bookmarkEnd w:id="56"/>
      <w:bookmarkEnd w:id="57"/>
      <w:bookmarkEnd w:id="58"/>
    </w:p>
    <w:p w14:paraId="348C4354">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221FC251">
      <w:pPr>
        <w:rPr>
          <w:rFonts w:hint="eastAsia" w:ascii="宋体" w:hAnsi="宋体" w:eastAsia="宋体" w:cs="宋体"/>
          <w:b/>
          <w:bCs/>
          <w:color w:val="000000"/>
          <w:kern w:val="0"/>
          <w:sz w:val="28"/>
          <w:szCs w:val="28"/>
          <w:highlight w:val="none"/>
          <w:u w:color="000000"/>
          <w:lang w:val="en-US" w:eastAsia="zh-CN" w:bidi="ar"/>
        </w:rPr>
      </w:pPr>
      <w:r>
        <w:rPr>
          <w:rFonts w:hint="eastAsia" w:ascii="宋体" w:hAnsi="宋体" w:eastAsia="宋体" w:cs="宋体"/>
          <w:b/>
          <w:bCs/>
          <w:color w:val="000000"/>
          <w:kern w:val="0"/>
          <w:sz w:val="28"/>
          <w:szCs w:val="28"/>
          <w:highlight w:val="none"/>
          <w:u w:color="000000"/>
          <w:lang w:val="en-US" w:eastAsia="zh-CN" w:bidi="ar"/>
        </w:rPr>
        <w:br w:type="page"/>
      </w:r>
    </w:p>
    <w:p w14:paraId="4C7D2F0B">
      <w:pPr>
        <w:adjustRightInd w:val="0"/>
        <w:snapToGrid w:val="0"/>
        <w:spacing w:line="560" w:lineRule="exact"/>
        <w:jc w:val="center"/>
        <w:rPr>
          <w:rFonts w:hint="default" w:ascii="宋体" w:hAnsi="宋体" w:eastAsia="宋体" w:cs="宋体"/>
          <w:b/>
          <w:bCs/>
          <w:sz w:val="28"/>
          <w:szCs w:val="28"/>
          <w:highlight w:val="none"/>
          <w:lang w:val="en-US"/>
        </w:rPr>
      </w:pPr>
      <w:r>
        <w:rPr>
          <w:rFonts w:hint="eastAsia" w:ascii="宋体" w:hAnsi="宋体" w:eastAsia="宋体" w:cs="宋体"/>
          <w:b/>
          <w:bCs/>
          <w:color w:val="000000"/>
          <w:kern w:val="0"/>
          <w:sz w:val="28"/>
          <w:szCs w:val="28"/>
          <w:highlight w:val="none"/>
          <w:u w:color="000000"/>
          <w:lang w:val="en-US" w:eastAsia="zh-CN" w:bidi="ar"/>
        </w:rPr>
        <w:t xml:space="preserve">第四章  </w:t>
      </w:r>
      <w:r>
        <w:rPr>
          <w:rFonts w:hint="eastAsia" w:ascii="宋体" w:hAnsi="宋体" w:eastAsia="宋体" w:cs="宋体"/>
          <w:b/>
          <w:bCs w:val="0"/>
          <w:color w:val="000000"/>
          <w:kern w:val="44"/>
          <w:sz w:val="28"/>
          <w:szCs w:val="28"/>
          <w:highlight w:val="none"/>
          <w:u w:color="000000"/>
          <w:lang w:val="en-US" w:eastAsia="zh-CN" w:bidi="ar"/>
        </w:rPr>
        <w:t>评标办法</w:t>
      </w:r>
    </w:p>
    <w:p w14:paraId="0F514558">
      <w:pPr>
        <w:pStyle w:val="6"/>
        <w:numPr>
          <w:ilvl w:val="0"/>
          <w:numId w:val="0"/>
        </w:numPr>
        <w:jc w:val="left"/>
        <w:rPr>
          <w:rFonts w:hint="default" w:eastAsia="宋体"/>
          <w:highlight w:val="none"/>
          <w:lang w:val="en-US" w:eastAsia="zh-CN"/>
        </w:rPr>
      </w:pPr>
      <w:bookmarkStart w:id="59" w:name="_Toc23254"/>
      <w:bookmarkEnd w:id="59"/>
      <w:r>
        <w:rPr>
          <w:rFonts w:hint="eastAsia"/>
          <w:highlight w:val="none"/>
          <w:lang w:val="en-US" w:eastAsia="zh-CN"/>
        </w:rPr>
        <w:t>报价评审：</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33B9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53B25AC">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bookmarkStart w:id="60" w:name="_Toc58430318"/>
            <w:bookmarkStart w:id="61" w:name="_Toc267320058"/>
            <w:bookmarkStart w:id="62" w:name="_Toc449028878"/>
            <w:bookmarkStart w:id="63" w:name="_Toc362983802"/>
            <w:bookmarkStart w:id="64" w:name="_Toc363135205"/>
            <w:r>
              <w:rPr>
                <w:rFonts w:hint="eastAsia" w:ascii="黑体" w:eastAsia="黑体" w:cs="黑体"/>
                <w:b/>
                <w:bCs/>
                <w:color w:val="000000"/>
                <w:szCs w:val="21"/>
                <w:highlight w:val="none"/>
              </w:rPr>
              <w:t>序号</w:t>
            </w:r>
          </w:p>
        </w:tc>
        <w:tc>
          <w:tcPr>
            <w:tcW w:w="4135" w:type="dxa"/>
            <w:gridSpan w:val="2"/>
            <w:noWrap w:val="0"/>
            <w:vAlign w:val="center"/>
          </w:tcPr>
          <w:p w14:paraId="19335A2B">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noWrap w:val="0"/>
            <w:vAlign w:val="center"/>
          </w:tcPr>
          <w:p w14:paraId="2C0B0FF5">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181B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727D7CC1">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02111FBB">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noWrap w:val="0"/>
            <w:vAlign w:val="center"/>
          </w:tcPr>
          <w:p w14:paraId="4684B022">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noWrap w:val="0"/>
            <w:vAlign w:val="center"/>
          </w:tcPr>
          <w:p w14:paraId="1C63C443">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20A3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1FA9F90A">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BA342E5">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61C04AE">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noWrap w:val="0"/>
            <w:vAlign w:val="center"/>
          </w:tcPr>
          <w:p w14:paraId="12EF1BAA">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786F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5210F675">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180035E0">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4FF0A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noWrap w:val="0"/>
            <w:vAlign w:val="center"/>
          </w:tcPr>
          <w:p w14:paraId="50F83A3C">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1D9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9C37D9D">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59CD956">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545BCE75">
            <w:pPr>
              <w:keepNext w:val="0"/>
              <w:keepLines w:val="0"/>
              <w:suppressLineNumbers w:val="0"/>
              <w:adjustRightInd w:val="0"/>
              <w:snapToGrid w:val="0"/>
              <w:spacing w:before="0" w:beforeAutospacing="0" w:after="0" w:afterAutospacing="0" w:line="560" w:lineRule="exact"/>
              <w:ind w:left="0" w:right="0"/>
              <w:rPr>
                <w:rFonts w:hint="eastAsia" w:ascii="宋体"/>
                <w:color w:val="000000"/>
                <w:szCs w:val="21"/>
                <w:highlight w:val="none"/>
              </w:rPr>
            </w:pPr>
            <w:r>
              <w:rPr>
                <w:rFonts w:hint="eastAsia" w:ascii="宋体" w:hAnsi="宋体" w:cs="宋体"/>
                <w:color w:val="000000"/>
                <w:szCs w:val="21"/>
                <w:highlight w:val="none"/>
              </w:rPr>
              <w:t>报价唯一</w:t>
            </w:r>
          </w:p>
        </w:tc>
        <w:tc>
          <w:tcPr>
            <w:tcW w:w="4173" w:type="dxa"/>
            <w:noWrap w:val="0"/>
            <w:vAlign w:val="center"/>
          </w:tcPr>
          <w:p w14:paraId="1B7B4954">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49E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0CF36ACA">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2688AC0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noWrap w:val="0"/>
            <w:vAlign w:val="center"/>
          </w:tcPr>
          <w:p w14:paraId="45E1CCB2">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lang w:val="en-US" w:eastAsia="zh-CN"/>
              </w:rPr>
              <w:t>服务</w:t>
            </w:r>
            <w:r>
              <w:rPr>
                <w:rFonts w:hint="eastAsia" w:ascii="宋体" w:hAnsi="宋体" w:cs="宋体"/>
                <w:color w:val="000000"/>
                <w:szCs w:val="21"/>
                <w:highlight w:val="none"/>
              </w:rPr>
              <w:t>期</w:t>
            </w:r>
          </w:p>
        </w:tc>
        <w:tc>
          <w:tcPr>
            <w:tcW w:w="4173" w:type="dxa"/>
            <w:noWrap w:val="0"/>
            <w:vAlign w:val="center"/>
          </w:tcPr>
          <w:p w14:paraId="3E6389ED">
            <w:pPr>
              <w:keepNext w:val="0"/>
              <w:keepLines w:val="0"/>
              <w:suppressLineNumbers w:val="0"/>
              <w:adjustRightInd w:val="0"/>
              <w:snapToGrid w:val="0"/>
              <w:spacing w:before="0" w:beforeAutospacing="0" w:after="0" w:afterAutospacing="0" w:line="560" w:lineRule="exact"/>
              <w:ind w:left="0" w:right="0"/>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41EB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093FB6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30676023">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48800C30">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noWrap w:val="0"/>
            <w:vAlign w:val="center"/>
          </w:tcPr>
          <w:p w14:paraId="559EA0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166C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F4EBD01">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6A765D2">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7A905826">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zCs w:val="21"/>
                <w:highlight w:val="none"/>
              </w:rPr>
              <w:t>投标</w:t>
            </w:r>
            <w:r>
              <w:rPr>
                <w:rFonts w:hint="eastAsia" w:ascii="宋体" w:hAnsi="宋体" w:cs="宋体"/>
                <w:color w:val="000000"/>
                <w:szCs w:val="21"/>
                <w:highlight w:val="none"/>
                <w:lang w:val="en-US" w:eastAsia="zh-CN"/>
              </w:rPr>
              <w:t>报价</w:t>
            </w:r>
            <w:r>
              <w:rPr>
                <w:rFonts w:hint="eastAsia" w:ascii="宋体" w:hAnsi="宋体" w:cs="宋体"/>
                <w:color w:val="000000"/>
                <w:szCs w:val="21"/>
                <w:highlight w:val="none"/>
              </w:rPr>
              <w:t>评审</w:t>
            </w:r>
          </w:p>
        </w:tc>
        <w:tc>
          <w:tcPr>
            <w:tcW w:w="4173" w:type="dxa"/>
            <w:noWrap w:val="0"/>
            <w:vAlign w:val="center"/>
          </w:tcPr>
          <w:p w14:paraId="3E9C31E9">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000000"/>
                <w:szCs w:val="21"/>
                <w:highlight w:val="none"/>
                <w:lang w:eastAsia="zh-CN"/>
              </w:rPr>
            </w:pPr>
            <w:r>
              <w:rPr>
                <w:rFonts w:hint="eastAsia" w:ascii="宋体" w:hAnsi="宋体" w:cs="宋体"/>
                <w:color w:val="000000"/>
                <w:spacing w:val="-6"/>
                <w:szCs w:val="21"/>
                <w:highlight w:val="none"/>
              </w:rPr>
              <w:t>不得高于最高投标限价</w:t>
            </w:r>
            <w:r>
              <w:rPr>
                <w:rFonts w:hint="eastAsia" w:ascii="宋体" w:hAnsi="宋体" w:cs="宋体"/>
                <w:color w:val="000000"/>
                <w:spacing w:val="-6"/>
                <w:szCs w:val="21"/>
                <w:highlight w:val="none"/>
                <w:lang w:eastAsia="zh-CN"/>
              </w:rPr>
              <w:t>。</w:t>
            </w:r>
          </w:p>
        </w:tc>
      </w:tr>
      <w:tr w14:paraId="0AD9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45F31DF">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3</w:t>
            </w:r>
          </w:p>
        </w:tc>
        <w:tc>
          <w:tcPr>
            <w:tcW w:w="1204" w:type="dxa"/>
            <w:vMerge w:val="restart"/>
            <w:noWrap w:val="0"/>
            <w:vAlign w:val="center"/>
          </w:tcPr>
          <w:p w14:paraId="7F3B15D8">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详细评审标准</w:t>
            </w:r>
          </w:p>
          <w:p w14:paraId="1DA6142C">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p>
        </w:tc>
        <w:tc>
          <w:tcPr>
            <w:tcW w:w="2931" w:type="dxa"/>
            <w:noWrap w:val="0"/>
            <w:vAlign w:val="center"/>
          </w:tcPr>
          <w:p w14:paraId="58F27999">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cs="仿宋_GB2312"/>
                <w:color w:val="000000"/>
                <w:szCs w:val="21"/>
                <w:highlight w:val="none"/>
                <w:lang w:val="zh-CN"/>
              </w:rPr>
              <w:t>用户需求书响应程度</w:t>
            </w:r>
          </w:p>
        </w:tc>
        <w:tc>
          <w:tcPr>
            <w:tcW w:w="4173" w:type="dxa"/>
            <w:noWrap w:val="0"/>
            <w:vAlign w:val="center"/>
          </w:tcPr>
          <w:p w14:paraId="34B5AAB9">
            <w:pPr>
              <w:keepNext w:val="0"/>
              <w:keepLines w:val="0"/>
              <w:suppressLineNumbers w:val="0"/>
              <w:spacing w:before="0" w:beforeAutospacing="0" w:after="0" w:afterAutospacing="0" w:line="320" w:lineRule="atLeast"/>
              <w:ind w:left="0" w:right="0"/>
              <w:rPr>
                <w:rFonts w:hint="eastAsia" w:ascii="宋体" w:eastAsia="宋体" w:cs="仿宋_GB2312"/>
                <w:color w:val="000000"/>
                <w:szCs w:val="21"/>
                <w:highlight w:val="none"/>
                <w:lang w:val="zh-CN" w:eastAsia="zh-CN"/>
              </w:rPr>
            </w:pPr>
            <w:r>
              <w:rPr>
                <w:rFonts w:hint="eastAsia" w:ascii="宋体" w:cs="仿宋_GB2312"/>
                <w:color w:val="000000"/>
                <w:szCs w:val="21"/>
                <w:highlight w:val="none"/>
                <w:lang w:val="zh-CN"/>
              </w:rPr>
              <w:t>完全响应或优于招标文件要求。</w:t>
            </w:r>
          </w:p>
        </w:tc>
      </w:tr>
      <w:tr w14:paraId="31CE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noWrap w:val="0"/>
            <w:vAlign w:val="center"/>
          </w:tcPr>
          <w:p w14:paraId="271657D2">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p>
        </w:tc>
        <w:tc>
          <w:tcPr>
            <w:tcW w:w="1204" w:type="dxa"/>
            <w:vMerge w:val="continue"/>
            <w:noWrap w:val="0"/>
            <w:vAlign w:val="center"/>
          </w:tcPr>
          <w:p w14:paraId="540DEFA9">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p>
        </w:tc>
        <w:tc>
          <w:tcPr>
            <w:tcW w:w="2931" w:type="dxa"/>
            <w:noWrap w:val="0"/>
            <w:vAlign w:val="center"/>
          </w:tcPr>
          <w:p w14:paraId="4DFAC963">
            <w:pPr>
              <w:keepNext w:val="0"/>
              <w:keepLines w:val="0"/>
              <w:suppressLineNumbers w:val="0"/>
              <w:spacing w:before="0" w:beforeAutospacing="0" w:after="0" w:afterAutospacing="0" w:line="320" w:lineRule="atLeast"/>
              <w:ind w:left="0" w:right="0"/>
              <w:rPr>
                <w:rFonts w:hint="eastAsia" w:ascii="宋体" w:hAnsi="宋体" w:cs="宋体"/>
                <w:color w:val="000000"/>
                <w:szCs w:val="21"/>
                <w:highlight w:val="none"/>
              </w:rPr>
            </w:pPr>
            <w:r>
              <w:rPr>
                <w:rFonts w:hint="eastAsia" w:ascii="宋体" w:cs="仿宋_GB2312"/>
                <w:color w:val="000000"/>
                <w:szCs w:val="21"/>
                <w:highlight w:val="none"/>
                <w:lang w:val="zh-CN"/>
              </w:rPr>
              <w:t>商务条款响应程度</w:t>
            </w:r>
          </w:p>
        </w:tc>
        <w:tc>
          <w:tcPr>
            <w:tcW w:w="4173" w:type="dxa"/>
            <w:noWrap w:val="0"/>
            <w:vAlign w:val="center"/>
          </w:tcPr>
          <w:p w14:paraId="54AF8F89">
            <w:pPr>
              <w:keepNext w:val="0"/>
              <w:keepLines w:val="0"/>
              <w:suppressLineNumbers w:val="0"/>
              <w:spacing w:before="0" w:beforeAutospacing="0" w:after="0" w:afterAutospacing="0" w:line="320" w:lineRule="atLeast"/>
              <w:ind w:left="0" w:right="0"/>
              <w:rPr>
                <w:rFonts w:hint="eastAsia"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2CFD1B8F">
      <w:pPr>
        <w:spacing w:line="440" w:lineRule="exact"/>
        <w:ind w:firstLine="316" w:firstLineChars="150"/>
        <w:jc w:val="left"/>
        <w:rPr>
          <w:rFonts w:hint="default" w:ascii="宋体"/>
          <w:b/>
          <w:color w:val="000000"/>
          <w:szCs w:val="21"/>
          <w:highlight w:val="none"/>
          <w:lang w:val="en-US" w:eastAsia="zh-CN"/>
        </w:rPr>
      </w:pPr>
      <w:r>
        <w:rPr>
          <w:rFonts w:hint="eastAsia" w:ascii="宋体"/>
          <w:b/>
          <w:color w:val="000000"/>
          <w:szCs w:val="21"/>
          <w:highlight w:val="none"/>
          <w:lang w:val="en-US" w:eastAsia="zh-CN"/>
        </w:rPr>
        <w:t>1. 评标方法</w:t>
      </w:r>
    </w:p>
    <w:p w14:paraId="0CC6B0B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1.1本次评标采用最低评标价法，评标委员会对满足招标文件实质性要求的投标文件，最终按投标报价最低原则，推荐有效投标报价最低的为第一中标候选人，次低的为第二中标候选人，以此类推，推荐中标候选人应当不超过3名，并标明排序，但投标报价低于其成本的除外。投标报价最低的有效投标人有两名或两名以上相同时，由评标委员会主任委员或招标人抽签确定第一中标候选人。</w:t>
      </w:r>
    </w:p>
    <w:p w14:paraId="48B37EC7">
      <w:pPr>
        <w:spacing w:line="440" w:lineRule="exact"/>
        <w:ind w:firstLine="316" w:firstLineChars="15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2．评标委员会的职责</w:t>
      </w:r>
    </w:p>
    <w:p w14:paraId="613A3F3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宋体" w:hAnsi="宋体" w:eastAsia="宋体" w:cs="宋体"/>
          <w:color w:val="000000"/>
          <w:highlight w:val="none"/>
          <w:lang w:val="en-US" w:eastAsia="zh-CN"/>
        </w:rPr>
        <w:t>2.2</w:t>
      </w:r>
      <w:r>
        <w:rPr>
          <w:rFonts w:hint="eastAsia" w:ascii="宋体" w:hAnsi="宋体" w:eastAsia="宋体" w:cs="宋体"/>
          <w:color w:val="000000"/>
          <w:highlight w:val="none"/>
        </w:rPr>
        <w:t>评标委员会应加</w:t>
      </w:r>
      <w:r>
        <w:rPr>
          <w:rFonts w:hint="eastAsia" w:ascii="Times New Roman" w:hAnsi="Times New Roman" w:eastAsia="宋体" w:cs="Times New Roman"/>
          <w:color w:val="000000"/>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34DE6AC">
      <w:pPr>
        <w:numPr>
          <w:ilvl w:val="0"/>
          <w:numId w:val="1"/>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评标程序</w:t>
      </w:r>
    </w:p>
    <w:p w14:paraId="05F15CD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评标先做准备工作，再进行</w:t>
      </w:r>
      <w:r>
        <w:rPr>
          <w:rFonts w:hint="eastAsia" w:ascii="宋体" w:hAnsi="宋体" w:eastAsia="宋体" w:cs="宋体"/>
          <w:color w:val="000000"/>
          <w:highlight w:val="none"/>
          <w:lang w:val="en-US" w:eastAsia="zh-CN"/>
        </w:rPr>
        <w:t>资格审查</w:t>
      </w:r>
      <w:r>
        <w:rPr>
          <w:rFonts w:hint="eastAsia" w:ascii="宋体" w:hAnsi="宋体" w:eastAsia="宋体" w:cs="宋体"/>
          <w:color w:val="000000"/>
          <w:highlight w:val="none"/>
        </w:rPr>
        <w:t>，然后进行</w:t>
      </w:r>
      <w:r>
        <w:rPr>
          <w:rFonts w:hint="eastAsia" w:ascii="宋体" w:hAnsi="宋体" w:eastAsia="宋体" w:cs="宋体"/>
          <w:color w:val="000000"/>
          <w:highlight w:val="none"/>
          <w:lang w:val="en-US" w:eastAsia="zh-CN"/>
        </w:rPr>
        <w:t>投标文件</w:t>
      </w:r>
      <w:r>
        <w:rPr>
          <w:rFonts w:hint="eastAsia" w:ascii="宋体" w:hAnsi="宋体" w:eastAsia="宋体" w:cs="宋体"/>
          <w:color w:val="000000"/>
          <w:highlight w:val="none"/>
        </w:rPr>
        <w:t>评审。</w:t>
      </w:r>
    </w:p>
    <w:p w14:paraId="47B24EE5">
      <w:pPr>
        <w:spacing w:line="440" w:lineRule="exact"/>
        <w:ind w:firstLine="315" w:firstLineChars="150"/>
        <w:jc w:val="left"/>
        <w:rPr>
          <w:rFonts w:hint="eastAsia" w:ascii="宋体" w:hAnsi="宋体" w:eastAsia="宋体" w:cs="宋体"/>
          <w:color w:val="000000"/>
          <w:highlight w:val="none"/>
        </w:rPr>
      </w:pPr>
      <w:bookmarkStart w:id="65" w:name="_Toc95223402"/>
      <w:r>
        <w:rPr>
          <w:rFonts w:hint="eastAsia" w:ascii="宋体" w:hAnsi="宋体" w:eastAsia="宋体" w:cs="宋体"/>
          <w:color w:val="000000"/>
          <w:highlight w:val="none"/>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评标准备工作</w:t>
      </w:r>
      <w:bookmarkEnd w:id="65"/>
    </w:p>
    <w:p w14:paraId="63D5A203">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评标委员会熟悉评标工作情况：</w:t>
      </w:r>
    </w:p>
    <w:p w14:paraId="2A365351">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（1）阅读由招标人或者其委</w:t>
      </w:r>
      <w:bookmarkStart w:id="66" w:name="_Toc60061499"/>
      <w:bookmarkStart w:id="67" w:name="_Toc15058916"/>
      <w:r>
        <w:rPr>
          <w:rFonts w:hint="eastAsia" w:ascii="宋体" w:hAnsi="宋体" w:eastAsia="宋体" w:cs="宋体"/>
          <w:color w:val="000000"/>
          <w:highlight w:val="none"/>
        </w:rPr>
        <w:t>托的代理机构编</w:t>
      </w:r>
      <w:bookmarkEnd w:id="66"/>
      <w:bookmarkEnd w:id="67"/>
      <w:r>
        <w:rPr>
          <w:rFonts w:hint="eastAsia" w:ascii="宋体" w:hAnsi="宋体" w:eastAsia="宋体" w:cs="宋体"/>
          <w:color w:val="000000"/>
          <w:highlight w:val="none"/>
        </w:rPr>
        <w:t>制的招标项目情况材料。</w:t>
      </w:r>
    </w:p>
    <w:p w14:paraId="569B5136">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（2）阅读、研究招标文件和相关评标资料，获取评标所需要的重要信息和数据，至少应了解和熟悉以下内容：招标项目的范围和性质，招标文件规定的主要技术要求、标准和商务条款。</w:t>
      </w:r>
    </w:p>
    <w:p w14:paraId="3171DAB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（3）熟悉招标文件规定的评标标准和评标方法及在评标过程中需要考虑的相关因素。</w:t>
      </w:r>
    </w:p>
    <w:p w14:paraId="644F3A0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（4）核对评标工作用表。</w:t>
      </w:r>
    </w:p>
    <w:p w14:paraId="2CEA3350">
      <w:pPr>
        <w:spacing w:line="440" w:lineRule="exact"/>
        <w:ind w:firstLine="315" w:firstLineChars="150"/>
        <w:jc w:val="left"/>
        <w:rPr>
          <w:rFonts w:hint="eastAsia" w:ascii="宋体" w:hAnsi="宋体" w:eastAsia="宋体" w:cs="宋体"/>
          <w:color w:val="000000"/>
          <w:highlight w:val="none"/>
        </w:rPr>
      </w:pPr>
      <w:bookmarkStart w:id="68" w:name="_Toc60061500"/>
      <w:bookmarkStart w:id="69" w:name="_Toc15058917"/>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推荐中标候</w:t>
      </w:r>
      <w:bookmarkEnd w:id="68"/>
      <w:bookmarkEnd w:id="69"/>
      <w:r>
        <w:rPr>
          <w:rFonts w:hint="eastAsia" w:ascii="宋体" w:hAnsi="宋体" w:eastAsia="宋体" w:cs="宋体"/>
          <w:color w:val="000000"/>
          <w:highlight w:val="none"/>
        </w:rPr>
        <w:t>选人</w:t>
      </w:r>
    </w:p>
    <w:p w14:paraId="6C398DFA">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资格审查</w:t>
      </w:r>
      <w:r>
        <w:rPr>
          <w:rFonts w:hint="eastAsia" w:ascii="宋体" w:hAnsi="宋体" w:cs="宋体"/>
          <w:color w:val="000000"/>
          <w:szCs w:val="21"/>
          <w:highlight w:val="none"/>
        </w:rPr>
        <w:t>、</w:t>
      </w:r>
      <w:bookmarkStart w:id="70" w:name="_Toc60061501"/>
      <w:bookmarkStart w:id="71" w:name="_Toc15058918"/>
      <w:r>
        <w:rPr>
          <w:rFonts w:hint="eastAsia" w:ascii="宋体" w:hAnsi="宋体" w:cs="宋体"/>
          <w:color w:val="000000"/>
          <w:szCs w:val="21"/>
          <w:highlight w:val="none"/>
          <w:lang w:val="en-US" w:eastAsia="zh-CN"/>
        </w:rPr>
        <w:t>投标文件</w:t>
      </w:r>
      <w:r>
        <w:rPr>
          <w:rFonts w:hint="eastAsia" w:ascii="宋体" w:hAnsi="宋体" w:cs="宋体"/>
          <w:color w:val="000000"/>
          <w:szCs w:val="21"/>
          <w:highlight w:val="none"/>
        </w:rPr>
        <w:t>评审</w:t>
      </w:r>
      <w:bookmarkEnd w:id="70"/>
      <w:bookmarkEnd w:id="71"/>
      <w:r>
        <w:rPr>
          <w:rFonts w:hint="eastAsia" w:ascii="宋体" w:hAnsi="宋体" w:cs="宋体"/>
          <w:color w:val="000000"/>
          <w:szCs w:val="21"/>
          <w:highlight w:val="none"/>
        </w:rPr>
        <w:t>后，推荐中标候选人，并标明排序。</w:t>
      </w:r>
    </w:p>
    <w:p w14:paraId="7143A2D1">
      <w:pPr>
        <w:numPr>
          <w:ilvl w:val="0"/>
          <w:numId w:val="1"/>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bookmarkStart w:id="72" w:name="_Toc95223405"/>
      <w:r>
        <w:rPr>
          <w:rFonts w:hint="eastAsia" w:ascii="宋体" w:hAnsi="Times New Roman" w:eastAsia="宋体" w:cs="Times New Roman"/>
          <w:b/>
          <w:color w:val="000000"/>
          <w:szCs w:val="21"/>
          <w:highlight w:val="none"/>
          <w:lang w:val="en-US" w:eastAsia="zh-CN"/>
        </w:rPr>
        <w:t>评审内容</w:t>
      </w:r>
      <w:bookmarkEnd w:id="72"/>
    </w:p>
    <w:p w14:paraId="260B4007">
      <w:pPr>
        <w:spacing w:line="440" w:lineRule="exact"/>
        <w:ind w:firstLine="315" w:firstLineChars="150"/>
        <w:jc w:val="left"/>
        <w:rPr>
          <w:rFonts w:hint="eastAsia" w:ascii="宋体" w:hAnsi="宋体" w:eastAsia="宋体" w:cs="宋体"/>
          <w:color w:val="000000"/>
          <w:szCs w:val="21"/>
          <w:highlight w:val="none"/>
        </w:rPr>
      </w:pPr>
      <w:bookmarkStart w:id="73" w:name="_Toc95223407"/>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1投标文件</w:t>
      </w:r>
      <w:r>
        <w:rPr>
          <w:rFonts w:hint="eastAsia" w:ascii="宋体" w:hAnsi="宋体" w:eastAsia="宋体" w:cs="宋体"/>
          <w:color w:val="000000"/>
          <w:szCs w:val="21"/>
          <w:highlight w:val="none"/>
        </w:rPr>
        <w:t>评审</w:t>
      </w:r>
      <w:bookmarkEnd w:id="73"/>
    </w:p>
    <w:p w14:paraId="5FF7779C">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w:t>
      </w:r>
      <w:r>
        <w:rPr>
          <w:rFonts w:hint="eastAsia" w:ascii="宋体" w:hAnsi="宋体" w:eastAsia="宋体" w:cs="宋体"/>
          <w:color w:val="000000"/>
          <w:szCs w:val="21"/>
          <w:highlight w:val="none"/>
          <w:lang w:val="en-US" w:eastAsia="zh-CN"/>
        </w:rPr>
        <w:t>资格审查</w:t>
      </w:r>
      <w:r>
        <w:rPr>
          <w:rFonts w:hint="eastAsia" w:ascii="宋体" w:hAnsi="宋体" w:eastAsia="宋体" w:cs="宋体"/>
          <w:color w:val="000000"/>
          <w:szCs w:val="21"/>
          <w:highlight w:val="none"/>
        </w:rPr>
        <w:t>的投标才能够进入本阶段评审。</w:t>
      </w:r>
    </w:p>
    <w:p w14:paraId="6957BFB6">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.1</w:t>
      </w:r>
      <w:bookmarkStart w:id="74" w:name="_Toc60061504"/>
      <w:bookmarkStart w:id="75" w:name="_Toc15058921"/>
      <w:r>
        <w:rPr>
          <w:rFonts w:hint="eastAsia" w:ascii="宋体" w:hAnsi="宋体" w:eastAsia="宋体" w:cs="宋体"/>
          <w:color w:val="000000"/>
          <w:szCs w:val="21"/>
          <w:highlight w:val="none"/>
        </w:rPr>
        <w:t>形式性评审标准：</w:t>
      </w:r>
      <w:bookmarkEnd w:id="74"/>
      <w:bookmarkEnd w:id="75"/>
      <w:r>
        <w:rPr>
          <w:rFonts w:hint="eastAsia" w:ascii="宋体" w:hAnsi="宋体" w:eastAsia="宋体" w:cs="宋体"/>
          <w:color w:val="000000"/>
          <w:szCs w:val="21"/>
          <w:highlight w:val="none"/>
        </w:rPr>
        <w:t>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1B1DC8DE">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.2响应性评审标准：见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34389D73">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评标委员会依据上述标准对投标文件进行初步评审。有一项不符合评审标准的，作无效投标处理。</w:t>
      </w:r>
    </w:p>
    <w:p w14:paraId="1F6C7561">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.3详细评审标准：见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bookmarkEnd w:id="60"/>
    <w:bookmarkEnd w:id="61"/>
    <w:bookmarkEnd w:id="62"/>
    <w:bookmarkEnd w:id="63"/>
    <w:p w14:paraId="3E7F582F">
      <w:pPr>
        <w:spacing w:line="440" w:lineRule="exact"/>
        <w:ind w:firstLine="527" w:firstLineChars="250"/>
        <w:jc w:val="left"/>
        <w:rPr>
          <w:rFonts w:hint="eastAsia" w:ascii="宋体" w:hAnsi="Times New Roman" w:eastAsia="宋体" w:cs="Times New Roman"/>
          <w:b/>
          <w:color w:val="000000"/>
          <w:szCs w:val="21"/>
          <w:highlight w:val="none"/>
          <w:lang w:val="en-US" w:eastAsia="zh-CN"/>
        </w:rPr>
      </w:pPr>
      <w:bookmarkStart w:id="76" w:name="_Hlk61815781"/>
      <w:r>
        <w:rPr>
          <w:rFonts w:hint="eastAsia" w:ascii="宋体" w:hAnsi="Times New Roman" w:eastAsia="宋体" w:cs="Times New Roman"/>
          <w:b/>
          <w:color w:val="000000"/>
          <w:szCs w:val="21"/>
          <w:highlight w:val="none"/>
          <w:lang w:val="en-US" w:eastAsia="zh-CN"/>
        </w:rPr>
        <w:t>5. 无效投标条款</w:t>
      </w:r>
    </w:p>
    <w:p w14:paraId="59985E4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94D9E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（2）调整或修正投标文件的投标报价，调整或修正的价格经投标人书面确认后具有约束力。投标人不接受修正价格的，其投标将被拒绝。</w:t>
      </w:r>
    </w:p>
    <w:p w14:paraId="47D611A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）投标人有串通投标、视为串通投标、弄虚作假、行贿等违法行为。</w:t>
      </w:r>
    </w:p>
    <w:p w14:paraId="37FD051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）投标文件没有对招标文件的实质性要求和条件作出响应。</w:t>
      </w:r>
    </w:p>
    <w:p w14:paraId="7766F06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）未按规定的格式填写导致实质性内容不全以及实质上不响应，或者关键字迹模糊、无法辨认；经公共资源交易监督部门核准的。</w:t>
      </w:r>
    </w:p>
    <w:p w14:paraId="3C45BF4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）同一投标人提交两个以上不同的投标文件或者投标报价，但招标文件规定提交备选投标的除外。</w:t>
      </w:r>
    </w:p>
    <w:p w14:paraId="4F5F154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）投标文件中存在招标人不能接受的其他实质性条件。</w:t>
      </w:r>
    </w:p>
    <w:p w14:paraId="6E9B9B8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）投标文件中填报的拟任项目经理（建造师）与资格审查通过的项目经理（建造师）前后不一致的。</w:t>
      </w:r>
    </w:p>
    <w:p w14:paraId="7FCDD91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）投标人拒不按照要求对投标文件进行澄清、说明、补正的，或评标委员会根据招标文件的规定对招标文件的计算错误进行修正后，投标人不接受修正的投标报价的。</w:t>
      </w:r>
    </w:p>
    <w:p w14:paraId="03BB2CC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）投标人单方面出现其他投标人材料。</w:t>
      </w:r>
    </w:p>
    <w:p w14:paraId="145E5A9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）法律、法规规定的其他情形。</w:t>
      </w:r>
    </w:p>
    <w:bookmarkEnd w:id="64"/>
    <w:bookmarkEnd w:id="76"/>
    <w:p w14:paraId="784675F0">
      <w:pPr>
        <w:spacing w:line="440" w:lineRule="exact"/>
        <w:ind w:firstLine="422" w:firstLineChars="200"/>
        <w:jc w:val="left"/>
        <w:rPr>
          <w:rFonts w:hint="eastAsia" w:ascii="宋体" w:hAnsi="Times New Roman" w:eastAsia="宋体" w:cs="Times New Roman"/>
          <w:b/>
          <w:color w:val="000000"/>
          <w:szCs w:val="21"/>
          <w:highlight w:val="none"/>
          <w:lang w:val="en-US" w:eastAsia="zh-CN"/>
        </w:rPr>
      </w:pPr>
      <w:bookmarkStart w:id="77" w:name="_Toc95223439"/>
      <w:r>
        <w:rPr>
          <w:rFonts w:hint="eastAsia" w:ascii="宋体" w:hAnsi="Times New Roman" w:eastAsia="宋体" w:cs="Times New Roman"/>
          <w:b/>
          <w:color w:val="000000"/>
          <w:szCs w:val="21"/>
          <w:highlight w:val="none"/>
          <w:lang w:val="en-US" w:eastAsia="zh-CN"/>
        </w:rPr>
        <w:t>6.投标文件的澄清和补正</w:t>
      </w:r>
      <w:bookmarkEnd w:id="77"/>
    </w:p>
    <w:p w14:paraId="23C52B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6.2澄清、说明和补正不得改变投标文件的实质性内容（算术性错误修正的除外）。投标人的书面澄清、说明和补正属于投标文件的组成部分。</w:t>
      </w:r>
    </w:p>
    <w:p w14:paraId="1BC46C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6.3评标委员会对投标人提交的澄清、说明和补正有疑问的，可以要求投标人进一步澄清、说明或补正、直至满足评标委员会的要求。</w:t>
      </w:r>
    </w:p>
    <w:p w14:paraId="414C098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6.4</w:t>
      </w:r>
      <w:r>
        <w:rPr>
          <w:rFonts w:hint="eastAsia" w:ascii="宋体"/>
          <w:color w:val="000000"/>
          <w:szCs w:val="21"/>
          <w:highlight w:val="none"/>
        </w:rPr>
        <w:t>评委会修正错误的原则：</w:t>
      </w:r>
    </w:p>
    <w:p w14:paraId="684FD526">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36F1BC">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.2如果单价与数量的乘积和总价不一致，以单价为准，修正总价及开标一览表；当单价小数点有明显的错位时，评委会将以总价为准，并修正其单价。</w:t>
      </w:r>
    </w:p>
    <w:p w14:paraId="2C7E9869">
      <w:pPr>
        <w:spacing w:line="400" w:lineRule="exact"/>
        <w:ind w:firstLine="403" w:firstLineChars="192"/>
        <w:rPr>
          <w:rFonts w:hint="eastAsia"/>
          <w:highlight w:val="none"/>
        </w:rPr>
      </w:pPr>
      <w:r>
        <w:rPr>
          <w:rFonts w:hint="eastAsia" w:ascii="宋体"/>
          <w:color w:val="000000"/>
          <w:szCs w:val="21"/>
          <w:highlight w:val="none"/>
        </w:rPr>
        <w:t xml:space="preserve"> </w:t>
      </w: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5</w:t>
      </w:r>
      <w:r>
        <w:rPr>
          <w:rFonts w:hint="eastAsia" w:ascii="宋体"/>
          <w:color w:val="000000"/>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000000"/>
          <w:szCs w:val="21"/>
          <w:highlight w:val="none"/>
          <w:lang w:eastAsia="zh-CN"/>
        </w:rPr>
        <w:t>投标人在系统中</w:t>
      </w:r>
      <w:r>
        <w:rPr>
          <w:rFonts w:hint="eastAsia" w:ascii="宋体"/>
          <w:color w:val="000000"/>
          <w:szCs w:val="21"/>
          <w:highlight w:val="none"/>
        </w:rPr>
        <w:t>确认。</w:t>
      </w:r>
      <w:r>
        <w:rPr>
          <w:rFonts w:hint="eastAsia" w:ascii="宋体"/>
          <w:b/>
          <w:bCs/>
          <w:color w:val="000000"/>
          <w:szCs w:val="21"/>
          <w:highlight w:val="none"/>
        </w:rPr>
        <w:t>投标人拒绝对投标文件出现的错漏按上述原则进行修正、澄清、说明，评标委员会应当否决其投标。</w:t>
      </w:r>
    </w:p>
    <w:p w14:paraId="5EAE64D1">
      <w:pPr>
        <w:spacing w:line="440" w:lineRule="exact"/>
        <w:ind w:firstLine="527" w:firstLineChars="250"/>
        <w:jc w:val="left"/>
        <w:rPr>
          <w:rFonts w:hint="eastAsia" w:ascii="宋体" w:hAnsi="Times New Roman" w:eastAsia="宋体" w:cs="Times New Roman"/>
          <w:b/>
          <w:color w:val="000000"/>
          <w:szCs w:val="21"/>
          <w:highlight w:val="none"/>
          <w:lang w:val="en-US" w:eastAsia="zh-CN"/>
        </w:rPr>
      </w:pPr>
      <w:bookmarkStart w:id="78" w:name="_Toc95223441"/>
      <w:r>
        <w:rPr>
          <w:rFonts w:hint="eastAsia" w:ascii="宋体" w:hAnsi="Times New Roman" w:eastAsia="宋体" w:cs="Times New Roman"/>
          <w:b/>
          <w:color w:val="000000"/>
          <w:szCs w:val="21"/>
          <w:highlight w:val="none"/>
          <w:lang w:val="en-US" w:eastAsia="zh-CN"/>
        </w:rPr>
        <w:t>7.评审结果</w:t>
      </w:r>
      <w:bookmarkEnd w:id="78"/>
    </w:p>
    <w:p w14:paraId="0B7F154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.1除第二章“投标人须知”及其前附表授权直接确定中标人外，评标委员会按照总得分由高到低顺序推荐中标候选人。</w:t>
      </w:r>
    </w:p>
    <w:p w14:paraId="1C3FFD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.2评标委员会完成评标后，应当向招标人提交书面评标报告。评标报告应当如实记载以下内容：</w:t>
      </w:r>
    </w:p>
    <w:p w14:paraId="606CA10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（1）基本情况和数据表。</w:t>
      </w:r>
    </w:p>
    <w:p w14:paraId="36C8C68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（2）评标委员会成员名单。</w:t>
      </w:r>
    </w:p>
    <w:p w14:paraId="2FD1F47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（3）开标记录。</w:t>
      </w:r>
    </w:p>
    <w:p w14:paraId="6913844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（4）符合要求的投标人一览表。</w:t>
      </w:r>
    </w:p>
    <w:p w14:paraId="47B581F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（5）否决投标情况说明。</w:t>
      </w:r>
    </w:p>
    <w:p w14:paraId="01E1D0F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（6）评标标准、评标方法或者评标因素。</w:t>
      </w:r>
    </w:p>
    <w:p w14:paraId="3893DA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（7）评标情况一览表。</w:t>
      </w:r>
    </w:p>
    <w:p w14:paraId="44C3C3D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（8）经评审的投标人排序。</w:t>
      </w:r>
    </w:p>
    <w:p w14:paraId="6484A29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（9）推荐的中标候选人名单与签订合同前要处理的事宜。</w:t>
      </w:r>
    </w:p>
    <w:p w14:paraId="270F975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（10）澄清、说明、补正事项纪要。</w:t>
      </w:r>
    </w:p>
    <w:p w14:paraId="5EA3F9C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5F29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62B35C2">
      <w:pPr>
        <w:spacing w:line="440" w:lineRule="exact"/>
        <w:ind w:firstLine="422" w:firstLineChars="200"/>
        <w:jc w:val="left"/>
        <w:rPr>
          <w:rFonts w:hint="eastAsia" w:ascii="宋体" w:hAnsi="Times New Roman" w:eastAsia="宋体" w:cs="Times New Roman"/>
          <w:b/>
          <w:color w:val="000000"/>
          <w:szCs w:val="21"/>
          <w:highlight w:val="none"/>
          <w:lang w:val="en-US" w:eastAsia="zh-CN"/>
        </w:rPr>
      </w:pPr>
      <w:bookmarkStart w:id="79" w:name="_Toc95223442"/>
      <w:r>
        <w:rPr>
          <w:rFonts w:hint="eastAsia" w:ascii="宋体" w:hAnsi="Times New Roman" w:eastAsia="宋体" w:cs="Times New Roman"/>
          <w:b/>
          <w:color w:val="000000"/>
          <w:szCs w:val="21"/>
          <w:highlight w:val="none"/>
          <w:lang w:val="en-US" w:eastAsia="zh-CN"/>
        </w:rPr>
        <w:t>8.其他</w:t>
      </w:r>
      <w:bookmarkEnd w:id="79"/>
    </w:p>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8.1</w:t>
      </w: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2A5ADE6E">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auto"/>
        <w:jc w:val="center"/>
        <w:textAlignment w:val="auto"/>
        <w:outlineLvl w:val="0"/>
        <w:rPr>
          <w:rFonts w:hint="eastAsia" w:eastAsiaTheme="minorEastAsia"/>
          <w:highlight w:val="none"/>
          <w:lang w:eastAsia="zh-CN"/>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用户需求书</w:t>
      </w:r>
    </w:p>
    <w:p w14:paraId="656F9B80">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一、项目背景</w:t>
      </w:r>
    </w:p>
    <w:p w14:paraId="2B737431">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市级综合应急演练是提高轨道交通应急响应能力的重要手段，对保障轨道交通安全稳定运行具有重要意义。通过演练可以检验应急预案的有效性，发现预案中存在的问题和漏洞，及时调整和完善应急响应机制，提高应对危机事件的能力和水平。</w:t>
      </w:r>
    </w:p>
    <w:p w14:paraId="034BFAB3">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二、线路概况</w:t>
      </w:r>
    </w:p>
    <w:p w14:paraId="1D571B32">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滁宁城际铁路（滁州段）全长49.663千米，设站14座（地下2座、高架12座），开通10站。线路西起滁州市滁州站，途经滁州市市区、苏滁产业园、来安县，止于汊河站。</w:t>
      </w:r>
    </w:p>
    <w:p w14:paraId="63D75535">
      <w:pPr>
        <w:pStyle w:val="4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三、工作内容</w:t>
      </w:r>
    </w:p>
    <w:p w14:paraId="2F21F895">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中标人须完成但不限于以下演练工作，具体工作可根据招标人要求和本项目的实际情况做必要调整和补充，但合同总价不作调整。</w:t>
      </w:r>
    </w:p>
    <w:p w14:paraId="4082B09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1.编制综合演练项目的实施方案，演练脚本；</w:t>
      </w:r>
    </w:p>
    <w:p w14:paraId="1EC60DB4">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2.协助招标人协调公司内外关系；</w:t>
      </w:r>
    </w:p>
    <w:p w14:paraId="14B770F6">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根据《城市轨道交通运营突发事件应急预案编制规范》等国家法规规范、滁州轨道交通运营实际运营情况、行业专家实践经验，从预案编写格式、响应与处置流程等内容上，提前开展辅导工作，以便顺利通过专家评审。</w:t>
      </w:r>
    </w:p>
    <w:p w14:paraId="1D0628CB">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4.牵头组织开展综合演练，工作内容包括但不限于组织召开演练前、演练中、演练后各项会议，培训宣贯演练方案；</w:t>
      </w:r>
    </w:p>
    <w:p w14:paraId="6AFACE33">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5.针对市级综合演练，应委托专业传媒公司开展布置、拍摄和剪辑的相关工作，并组织专家对演练情况进行评审。</w:t>
      </w:r>
    </w:p>
    <w:p w14:paraId="06B5C555">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6.组织至少五名行业内专家对运营公司的31项应急预案进行评审，相关辅导、预案概括、评审标准详见附件：评审预案内容清单。</w:t>
      </w:r>
    </w:p>
    <w:p w14:paraId="6F41D11E">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7.开展安全文化宣传，采购2块1.2*2M、材质8MM的亚克力展板（中标人提供），含设计施工安装，具体以招标人要求制作。</w:t>
      </w:r>
    </w:p>
    <w:p w14:paraId="382AF67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8.负责演练资料的归档整理。演练项目结束后，5个工作日内按招标人相关要求提交演练资料（包含演练实施方案、培训记录、签到表、岗位评估表、总体评估表、演练问题记录、现场照片、现场评估声像资料等〉；</w:t>
      </w:r>
    </w:p>
    <w:p w14:paraId="779FB534">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9.总结演练开展情况，形成演练总结报告；</w:t>
      </w:r>
    </w:p>
    <w:p w14:paraId="7F48E59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10.在需要完成的演练项目基础上，招标人根据实际需要有权对演练项目进行适当的调整，中标人应无条件服从。</w:t>
      </w:r>
    </w:p>
    <w:p w14:paraId="46A830B1">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四、人员要求</w:t>
      </w:r>
    </w:p>
    <w:p w14:paraId="318C54A9">
      <w:pPr>
        <w:pStyle w:val="4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kern w:val="0"/>
          <w:sz w:val="21"/>
          <w:szCs w:val="21"/>
          <w:highlight w:val="none"/>
          <w:lang w:eastAsia="zh-CN"/>
        </w:rPr>
        <w:t>★</w:t>
      </w:r>
      <w:r>
        <w:rPr>
          <w:rFonts w:hint="eastAsia" w:ascii="宋体" w:hAnsi="宋体" w:eastAsia="宋体" w:cs="宋体"/>
          <w:b w:val="0"/>
          <w:color w:val="000000"/>
          <w:kern w:val="2"/>
          <w:sz w:val="21"/>
          <w:szCs w:val="21"/>
          <w:highlight w:val="none"/>
          <w:lang w:val="en-US" w:eastAsia="zh-CN" w:bidi="ar"/>
        </w:rPr>
        <w:t>1.项目负责人要求（仅限1人）：具备道路交通行业中级或以上职称证书（或中级或以上注册安全工程师证书（道路交通安全或其他安全）），且从事安全技术管理或咨询相关工作经验不少于3年；</w:t>
      </w:r>
    </w:p>
    <w:p w14:paraId="3F2E68B7">
      <w:pPr>
        <w:pStyle w:val="4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kern w:val="0"/>
          <w:sz w:val="21"/>
          <w:szCs w:val="21"/>
          <w:highlight w:val="none"/>
          <w:lang w:eastAsia="zh-CN"/>
        </w:rPr>
        <w:t>★</w:t>
      </w:r>
      <w:r>
        <w:rPr>
          <w:rFonts w:hint="eastAsia" w:ascii="宋体" w:hAnsi="宋体" w:eastAsia="宋体" w:cs="宋体"/>
          <w:b w:val="0"/>
          <w:color w:val="000000"/>
          <w:kern w:val="2"/>
          <w:sz w:val="21"/>
          <w:szCs w:val="21"/>
          <w:highlight w:val="none"/>
          <w:lang w:val="en-US" w:eastAsia="zh-CN" w:bidi="ar"/>
        </w:rPr>
        <w:t>2.项目组其他成员要求（不含项目负责人）：不少于3名具备道路交通行业初级或以上职称证书，且从事安全技术管理相关工作经验不少于1年。</w:t>
      </w:r>
    </w:p>
    <w:p w14:paraId="0D739609">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注：投标文件中须同时提供以下证明材料：项目负责人和组其他成员人员配备表（格式自拟）、人员有效身份证扫描件、相应证书扫描件、工作经验证明（格式自拟）和本单位为上述人员缴纳的近三个月的社保证明材料扫描件。以上材料缺一不可，否则按无效标处理。</w:t>
      </w:r>
    </w:p>
    <w:p w14:paraId="57D4C84C">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3.中标人需提供演练方案，经运营单位审查审批并组织专家评审论证后进行实施。</w:t>
      </w:r>
    </w:p>
    <w:p w14:paraId="4A033872">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val="0"/>
          <w:color w:val="000000"/>
          <w:kern w:val="2"/>
          <w:sz w:val="21"/>
          <w:szCs w:val="21"/>
          <w:highlight w:val="none"/>
          <w:lang w:val="en-US" w:eastAsia="zh-CN" w:bidi="ar"/>
        </w:rPr>
        <w:t>4.中标人应指定人员在项目所在地负责与招标人代表及相关方进行沟通联系。</w:t>
      </w:r>
    </w:p>
    <w:p w14:paraId="0205FE38">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五、成果文件</w:t>
      </w:r>
    </w:p>
    <w:p w14:paraId="795C50EE">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中标人须提供但不限于以下作为本项目的工作成果，具体文件可根据招标人和本项目的实际情况做必要的调整和补充。</w:t>
      </w:r>
    </w:p>
    <w:p w14:paraId="3D85F579">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1.准备阶段</w:t>
      </w:r>
    </w:p>
    <w:p w14:paraId="3FD9BDE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1.1市级综合应急演练专项方案；</w:t>
      </w:r>
    </w:p>
    <w:p w14:paraId="28CD992B">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2.实施阶段</w:t>
      </w:r>
    </w:p>
    <w:p w14:paraId="06F80712">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2.1《滁州市轨道交通运营有限公司应急预案》综合评审意见表；</w:t>
      </w:r>
    </w:p>
    <w:p w14:paraId="606133A1">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2.2安全文化宣传展板；</w:t>
      </w:r>
    </w:p>
    <w:p w14:paraId="1030267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2.3市级综合应急演练脚本；</w:t>
      </w:r>
    </w:p>
    <w:p w14:paraId="6D5FF15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2.4演练相关会议材料（含培训）；</w:t>
      </w:r>
    </w:p>
    <w:p w14:paraId="2193641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2.5市级综合应急演练记录（含演练记录片、专家意见等）；</w:t>
      </w:r>
    </w:p>
    <w:p w14:paraId="56F522EC">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3总结完善阶段</w:t>
      </w:r>
    </w:p>
    <w:p w14:paraId="3EA33C7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3.1演练总结报告（含专家意见）；</w:t>
      </w:r>
    </w:p>
    <w:p w14:paraId="408F5FA5">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3.2演练成果会议评审材料（至少包含会务手册、会议材料、专家意见等）。</w:t>
      </w:r>
    </w:p>
    <w:p w14:paraId="3865BE32">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六、费用说明</w:t>
      </w:r>
    </w:p>
    <w:p w14:paraId="721419AB">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1.招标人不组织踏勘，中标人可自行实地勘察并承担相关费用、风险。</w:t>
      </w:r>
    </w:p>
    <w:p w14:paraId="0965E9D3">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投标报价包括完成本项目全部服务的一切费用：市级综合应急演练服务发生的所有费用（包括提供全部设备与用品等所付出的所有费用）、交通费(如有)、利润、招标代理费、安全文化宣传费、履约过程中所产生的全部专家劳务费用（包括但不限于运营公司应急预案评审所需的专家劳务费用及相关辅导费用）、税金、政策性文件规定及合同包含的所有风险和责任等。投标时投标人必须保证报价的完整性，如有漏报，则视为优惠，中标后不允许追加费用。</w:t>
      </w:r>
    </w:p>
    <w:p w14:paraId="5EFF8915">
      <w:pPr>
        <w:keepNext w:val="0"/>
        <w:keepLines w:val="0"/>
        <w:pageBreakBefore w:val="0"/>
        <w:numPr>
          <w:ilvl w:val="0"/>
          <w:numId w:val="0"/>
        </w:numPr>
        <w:kinsoku/>
        <w:wordWrap/>
        <w:overflowPunct/>
        <w:topLinePunct w:val="0"/>
        <w:autoSpaceDE/>
        <w:autoSpaceDN/>
        <w:bidi w:val="0"/>
        <w:adjustRightInd/>
        <w:snapToGrid w:val="0"/>
        <w:spacing w:line="360" w:lineRule="auto"/>
        <w:ind w:left="420" w:leftChars="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七、服务期限</w:t>
      </w:r>
    </w:p>
    <w:p w14:paraId="329FAAE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color w:val="000000"/>
          <w:kern w:val="2"/>
          <w:sz w:val="21"/>
          <w:szCs w:val="21"/>
          <w:highlight w:val="none"/>
          <w:lang w:val="en-US" w:eastAsia="zh-CN" w:bidi="ar"/>
        </w:rPr>
        <w:t>服务期限：按招标人要求按时启动项目，演练项目结束后，5个工作日内按招标人相关要求提交演练资料。</w:t>
      </w:r>
    </w:p>
    <w:p w14:paraId="47F4E283">
      <w:pPr>
        <w:pStyle w:val="46"/>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420" w:left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附件：评审预案内容清单</w:t>
      </w:r>
    </w:p>
    <w:p w14:paraId="146415B8">
      <w:pPr>
        <w:pStyle w:val="46"/>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420" w:left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评审预案内容清单</w:t>
      </w:r>
    </w:p>
    <w:tbl>
      <w:tblPr>
        <w:tblStyle w:val="21"/>
        <w:tblpPr w:leftFromText="180" w:rightFromText="180" w:vertAnchor="page" w:horzAnchor="page" w:tblpX="1459" w:tblpY="5915"/>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604"/>
        <w:gridCol w:w="4128"/>
        <w:gridCol w:w="1812"/>
      </w:tblGrid>
      <w:tr w14:paraId="37AC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6" w:type="dxa"/>
            <w:vAlign w:val="center"/>
          </w:tcPr>
          <w:p w14:paraId="07320FFD">
            <w:pPr>
              <w:keepNext w:val="0"/>
              <w:keepLines w:val="0"/>
              <w:suppressLineNumbers w:val="0"/>
              <w:spacing w:before="0" w:beforeAutospacing="0" w:after="0" w:afterAutospacing="0"/>
              <w:ind w:left="0" w:right="0"/>
              <w:jc w:val="center"/>
              <w:rPr>
                <w:rFonts w:hint="default" w:eastAsiaTheme="minorEastAsia"/>
                <w:b/>
                <w:bCs/>
                <w:highlight w:val="none"/>
                <w:vertAlign w:val="baseline"/>
                <w:lang w:val="en-US" w:eastAsia="zh-CN"/>
              </w:rPr>
            </w:pPr>
            <w:r>
              <w:rPr>
                <w:rFonts w:hint="eastAsia"/>
                <w:b/>
                <w:bCs/>
                <w:highlight w:val="none"/>
                <w:vertAlign w:val="baseline"/>
                <w:lang w:val="en-US" w:eastAsia="zh-CN"/>
              </w:rPr>
              <w:t>序号</w:t>
            </w:r>
          </w:p>
        </w:tc>
        <w:tc>
          <w:tcPr>
            <w:tcW w:w="2604" w:type="dxa"/>
            <w:vAlign w:val="center"/>
          </w:tcPr>
          <w:p w14:paraId="046B7F2A">
            <w:pPr>
              <w:keepNext w:val="0"/>
              <w:keepLines w:val="0"/>
              <w:suppressLineNumbers w:val="0"/>
              <w:spacing w:before="0" w:beforeAutospacing="0" w:after="0" w:afterAutospacing="0"/>
              <w:ind w:left="0" w:right="0"/>
              <w:jc w:val="center"/>
              <w:rPr>
                <w:rFonts w:hint="default" w:eastAsiaTheme="minorEastAsia"/>
                <w:b/>
                <w:bCs/>
                <w:highlight w:val="none"/>
                <w:vertAlign w:val="baseline"/>
                <w:lang w:val="en-US" w:eastAsia="zh-CN"/>
              </w:rPr>
            </w:pPr>
            <w:r>
              <w:rPr>
                <w:rFonts w:hint="eastAsia"/>
                <w:b/>
                <w:bCs/>
                <w:highlight w:val="none"/>
                <w:vertAlign w:val="baseline"/>
                <w:lang w:val="en-US" w:eastAsia="zh-CN"/>
              </w:rPr>
              <w:t>名称</w:t>
            </w:r>
          </w:p>
        </w:tc>
        <w:tc>
          <w:tcPr>
            <w:tcW w:w="4128" w:type="dxa"/>
            <w:vAlign w:val="center"/>
          </w:tcPr>
          <w:p w14:paraId="2952C201">
            <w:pPr>
              <w:keepNext w:val="0"/>
              <w:keepLines w:val="0"/>
              <w:suppressLineNumbers w:val="0"/>
              <w:spacing w:before="0" w:beforeAutospacing="0" w:after="0" w:afterAutospacing="0"/>
              <w:ind w:left="0" w:right="0"/>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内容</w:t>
            </w:r>
          </w:p>
        </w:tc>
        <w:tc>
          <w:tcPr>
            <w:tcW w:w="1812" w:type="dxa"/>
            <w:vAlign w:val="center"/>
          </w:tcPr>
          <w:p w14:paraId="317A70F3">
            <w:pPr>
              <w:keepNext w:val="0"/>
              <w:keepLines w:val="0"/>
              <w:suppressLineNumbers w:val="0"/>
              <w:spacing w:before="0" w:beforeAutospacing="0" w:after="0" w:afterAutospacing="0"/>
              <w:ind w:left="0" w:right="0"/>
              <w:jc w:val="center"/>
              <w:rPr>
                <w:rFonts w:hint="default" w:eastAsiaTheme="minorEastAsia"/>
                <w:b/>
                <w:bCs/>
                <w:highlight w:val="none"/>
                <w:vertAlign w:val="baseline"/>
                <w:lang w:val="en-US" w:eastAsia="zh-CN"/>
              </w:rPr>
            </w:pPr>
            <w:r>
              <w:rPr>
                <w:rFonts w:hint="eastAsia"/>
                <w:b/>
                <w:bCs/>
                <w:highlight w:val="none"/>
                <w:vertAlign w:val="baseline"/>
                <w:lang w:val="en-US" w:eastAsia="zh-CN"/>
              </w:rPr>
              <w:t>评审标准</w:t>
            </w:r>
          </w:p>
        </w:tc>
      </w:tr>
      <w:tr w14:paraId="0D89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816" w:type="dxa"/>
            <w:vAlign w:val="center"/>
          </w:tcPr>
          <w:p w14:paraId="3F43B98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2604" w:type="dxa"/>
            <w:vAlign w:val="center"/>
          </w:tcPr>
          <w:p w14:paraId="4658B5C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运营公司突发事件综合应急预案</w:t>
            </w:r>
          </w:p>
        </w:tc>
        <w:tc>
          <w:tcPr>
            <w:tcW w:w="4128" w:type="dxa"/>
            <w:vAlign w:val="top"/>
          </w:tcPr>
          <w:p w14:paraId="6D3BA83A">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规定了滁州市轨道交通运营有限公司突发事件的防范与处置的工作职责、管理内容与方法、检查与考核、报告与记录。</w:t>
            </w:r>
          </w:p>
          <w:p w14:paraId="715E83AD">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规定了滁州市轨道交通运营有限公司管辖范围内发生的各类轨道交通运营突发事件的预防、监测、预警、响应和应急处置等工作内容。</w:t>
            </w:r>
          </w:p>
        </w:tc>
        <w:tc>
          <w:tcPr>
            <w:tcW w:w="1812" w:type="dxa"/>
            <w:vMerge w:val="restart"/>
          </w:tcPr>
          <w:p w14:paraId="2D21E340">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依据《城市轨道交通运营突发事件应急预案编制规范》等相关法律法规要求，对运营公司的预案文本语言与格式进行审核，确认文字简洁准确，避免歧义。</w:t>
            </w:r>
          </w:p>
          <w:p w14:paraId="3E1FB05C">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结合滁州市轨道交通运营的实际情况，审查预案的完整性、针对性、可操作性，适应性。确保预案步骤清晰，流程简洁明了，职责落实，覆盖预防、准备、响应、恢复应急管理全过程。</w:t>
            </w:r>
          </w:p>
          <w:p w14:paraId="32BE6CD7">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指导和帮助运营公司根据评审结果，完善预案内容。</w:t>
            </w:r>
          </w:p>
        </w:tc>
      </w:tr>
      <w:tr w14:paraId="3266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816" w:type="dxa"/>
            <w:vAlign w:val="center"/>
          </w:tcPr>
          <w:p w14:paraId="5171031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w:t>
            </w:r>
          </w:p>
        </w:tc>
        <w:tc>
          <w:tcPr>
            <w:tcW w:w="2604" w:type="dxa"/>
            <w:vAlign w:val="center"/>
          </w:tcPr>
          <w:p w14:paraId="4696F79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防汛专项应急预案</w:t>
            </w:r>
          </w:p>
        </w:tc>
        <w:tc>
          <w:tcPr>
            <w:tcW w:w="4128" w:type="dxa"/>
            <w:vAlign w:val="top"/>
          </w:tcPr>
          <w:p w14:paraId="2B4CCB81">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规定了滁州轨道交通防汛抗洪时的事故类型和危害程度分析、工作原则、组织机构及职责、预防与预警、信息报告程序、应急响应、应急物资及装备保障。</w:t>
            </w:r>
          </w:p>
          <w:p w14:paraId="336166A4">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规定于运营公司防汛抗洪时的预防和应急处置工作。</w:t>
            </w:r>
          </w:p>
        </w:tc>
        <w:tc>
          <w:tcPr>
            <w:tcW w:w="1812" w:type="dxa"/>
            <w:vMerge w:val="continue"/>
          </w:tcPr>
          <w:p w14:paraId="4CAA7044">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2E7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16" w:type="dxa"/>
            <w:vAlign w:val="center"/>
          </w:tcPr>
          <w:p w14:paraId="6015DA9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w:t>
            </w:r>
          </w:p>
        </w:tc>
        <w:tc>
          <w:tcPr>
            <w:tcW w:w="2604" w:type="dxa"/>
            <w:vAlign w:val="center"/>
          </w:tcPr>
          <w:p w14:paraId="52D52AD6">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恐怖及治安事件专项应急预案</w:t>
            </w:r>
          </w:p>
        </w:tc>
        <w:tc>
          <w:tcPr>
            <w:tcW w:w="4128" w:type="dxa"/>
            <w:vAlign w:val="top"/>
          </w:tcPr>
          <w:p w14:paraId="1BF61842">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规定了滁州轨道恐怖与治安事件发生的事故类型和危害程度分析、工作原则、组织机构及职责、预防与预警、信息报告程序、应急响应、应急物资及装备保障。</w:t>
            </w:r>
          </w:p>
          <w:p w14:paraId="0BD6142F">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规定于运营公司反恐与防止时的预防和应急处置工作。</w:t>
            </w:r>
          </w:p>
        </w:tc>
        <w:tc>
          <w:tcPr>
            <w:tcW w:w="1812" w:type="dxa"/>
            <w:vMerge w:val="continue"/>
          </w:tcPr>
          <w:p w14:paraId="3174F3B6">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4408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816" w:type="dxa"/>
            <w:vAlign w:val="center"/>
          </w:tcPr>
          <w:p w14:paraId="66256FD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w:t>
            </w:r>
          </w:p>
        </w:tc>
        <w:tc>
          <w:tcPr>
            <w:tcW w:w="2604" w:type="dxa"/>
            <w:vAlign w:val="center"/>
          </w:tcPr>
          <w:p w14:paraId="724E4CC0">
            <w:pPr>
              <w:pStyle w:val="47"/>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公共卫生突发事件专项应急预案</w:t>
            </w:r>
          </w:p>
          <w:p w14:paraId="23145ED8">
            <w:pPr>
              <w:pStyle w:val="47"/>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p>
        </w:tc>
        <w:tc>
          <w:tcPr>
            <w:tcW w:w="4128" w:type="dxa"/>
            <w:vAlign w:val="top"/>
          </w:tcPr>
          <w:p w14:paraId="47552A36">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规定了滁州轨道公共卫生突发的事故类型和危害程度分析、工作原则、组织机构及职责、预防与预警、信息报告程序、应急响应、应急物资及装备保障。</w:t>
            </w:r>
          </w:p>
          <w:p w14:paraId="67921715">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规定于运营公司反恐与防止时的预防和应急处置工作。</w:t>
            </w:r>
          </w:p>
        </w:tc>
        <w:tc>
          <w:tcPr>
            <w:tcW w:w="1812" w:type="dxa"/>
            <w:vMerge w:val="continue"/>
          </w:tcPr>
          <w:p w14:paraId="48CF940D">
            <w:pPr>
              <w:pStyle w:val="47"/>
              <w:keepNext w:val="0"/>
              <w:keepLines w:val="0"/>
              <w:widowControl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5882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816" w:type="dxa"/>
            <w:vAlign w:val="center"/>
          </w:tcPr>
          <w:p w14:paraId="4CB97E4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w:t>
            </w:r>
          </w:p>
        </w:tc>
        <w:tc>
          <w:tcPr>
            <w:tcW w:w="2604" w:type="dxa"/>
            <w:vAlign w:val="center"/>
          </w:tcPr>
          <w:p w14:paraId="7448B7F5">
            <w:pPr>
              <w:pStyle w:val="47"/>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kern w:val="0"/>
                <w:sz w:val="21"/>
                <w:szCs w:val="21"/>
                <w:highlight w:val="none"/>
                <w:lang w:val="en-US" w:eastAsia="zh-CN" w:bidi="ar-SA"/>
              </w:rPr>
            </w:pPr>
            <w:bookmarkStart w:id="80" w:name="_Toc9135"/>
            <w:r>
              <w:rPr>
                <w:rFonts w:hint="eastAsia" w:ascii="宋体" w:hAnsi="宋体" w:eastAsia="宋体" w:cs="宋体"/>
                <w:kern w:val="0"/>
                <w:sz w:val="21"/>
                <w:szCs w:val="21"/>
                <w:highlight w:val="none"/>
                <w:lang w:val="en-US" w:eastAsia="zh-CN" w:bidi="ar-SA"/>
              </w:rPr>
              <w:t>仓库危险化学品泄露专项应急预案</w:t>
            </w:r>
            <w:bookmarkEnd w:id="80"/>
          </w:p>
        </w:tc>
        <w:tc>
          <w:tcPr>
            <w:tcW w:w="4128" w:type="dxa"/>
            <w:vAlign w:val="top"/>
          </w:tcPr>
          <w:p w14:paraId="149E4AA9">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防止危险化学品泄漏造成事故损失，提高应对危险化学品泄漏应急处置能力,减少危险化学品泄漏对企业生产的影响，最大限度地减少危险化学品泄漏造成的损失，确保特种物品库安全生产。</w:t>
            </w:r>
          </w:p>
        </w:tc>
        <w:tc>
          <w:tcPr>
            <w:tcW w:w="1812" w:type="dxa"/>
            <w:vMerge w:val="continue"/>
          </w:tcPr>
          <w:p w14:paraId="7A6C9AC7">
            <w:pPr>
              <w:pStyle w:val="47"/>
              <w:keepNext w:val="0"/>
              <w:keepLines w:val="0"/>
              <w:widowControl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12DB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96902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w:t>
            </w:r>
          </w:p>
        </w:tc>
        <w:tc>
          <w:tcPr>
            <w:tcW w:w="2604" w:type="dxa"/>
            <w:vAlign w:val="center"/>
          </w:tcPr>
          <w:p w14:paraId="6374216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bookmarkStart w:id="81" w:name="_Toc31759"/>
            <w:bookmarkStart w:id="82" w:name="_Toc28748"/>
            <w:r>
              <w:rPr>
                <w:rFonts w:hint="eastAsia" w:ascii="宋体" w:hAnsi="宋体" w:eastAsia="宋体" w:cs="宋体"/>
                <w:kern w:val="0"/>
                <w:sz w:val="21"/>
                <w:szCs w:val="21"/>
                <w:highlight w:val="none"/>
                <w:lang w:val="en-US" w:eastAsia="zh-CN" w:bidi="ar-SA"/>
              </w:rPr>
              <w:t>气象灾害专项应急预案</w:t>
            </w:r>
            <w:bookmarkEnd w:id="81"/>
            <w:bookmarkEnd w:id="82"/>
          </w:p>
        </w:tc>
        <w:tc>
          <w:tcPr>
            <w:tcW w:w="4128" w:type="dxa"/>
            <w:vAlign w:val="top"/>
          </w:tcPr>
          <w:p w14:paraId="4250263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在气象灾害情况下的应急机构组成及职责、信息报告程序、应急处置、应急物资与装备保障。发生台风、大风、暴雨、暴雪、高温、大雾、霾、强对流等气象灾害情况下，运营公司预防预警、应急处置工作。</w:t>
            </w:r>
          </w:p>
        </w:tc>
        <w:tc>
          <w:tcPr>
            <w:tcW w:w="1812" w:type="dxa"/>
            <w:vMerge w:val="continue"/>
          </w:tcPr>
          <w:p w14:paraId="764A58E5">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1122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816" w:type="dxa"/>
            <w:vAlign w:val="center"/>
          </w:tcPr>
          <w:p w14:paraId="6EE75C5B">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w:t>
            </w:r>
          </w:p>
        </w:tc>
        <w:tc>
          <w:tcPr>
            <w:tcW w:w="2604" w:type="dxa"/>
            <w:vAlign w:val="center"/>
          </w:tcPr>
          <w:p w14:paraId="0EA3D6E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异物侵入限界专项应急预案</w:t>
            </w:r>
          </w:p>
        </w:tc>
        <w:tc>
          <w:tcPr>
            <w:tcW w:w="4128" w:type="dxa"/>
            <w:vAlign w:val="top"/>
          </w:tcPr>
          <w:p w14:paraId="6272A3F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规定了运营公司异物侵入限界影响列车运行时的事故类型和危害程度分析、应急处置原则、组织机构及职责、信息报告程序、应急处置。适用于运营公司异物侵入限界影响列车运行时的应急处置工作。</w:t>
            </w:r>
          </w:p>
        </w:tc>
        <w:tc>
          <w:tcPr>
            <w:tcW w:w="1812" w:type="dxa"/>
            <w:vMerge w:val="continue"/>
          </w:tcPr>
          <w:p w14:paraId="5EAA39FA">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2DF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827D35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8</w:t>
            </w:r>
          </w:p>
        </w:tc>
        <w:tc>
          <w:tcPr>
            <w:tcW w:w="2604" w:type="dxa"/>
            <w:vAlign w:val="center"/>
          </w:tcPr>
          <w:p w14:paraId="595CB99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网络安全事件应急预案</w:t>
            </w:r>
          </w:p>
        </w:tc>
        <w:tc>
          <w:tcPr>
            <w:tcW w:w="4128" w:type="dxa"/>
            <w:vAlign w:val="top"/>
          </w:tcPr>
          <w:p w14:paraId="68121C68">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网络安全事件的事故类型和危害程度分析、应急处置原则、组织机构及职责、信息报告程序、应急处置。适用于运营公司管辖计算机系统发生网络安全事件的预防、监测、预警、响应和应急处置等工作。</w:t>
            </w:r>
          </w:p>
        </w:tc>
        <w:tc>
          <w:tcPr>
            <w:tcW w:w="1812" w:type="dxa"/>
            <w:vMerge w:val="continue"/>
          </w:tcPr>
          <w:p w14:paraId="06C83099">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2532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A2A934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9</w:t>
            </w:r>
          </w:p>
        </w:tc>
        <w:tc>
          <w:tcPr>
            <w:tcW w:w="2604" w:type="dxa"/>
            <w:vAlign w:val="center"/>
          </w:tcPr>
          <w:p w14:paraId="161ACAD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消防事故专项应急预案</w:t>
            </w:r>
          </w:p>
        </w:tc>
        <w:tc>
          <w:tcPr>
            <w:tcW w:w="4128" w:type="dxa"/>
            <w:vAlign w:val="top"/>
          </w:tcPr>
          <w:p w14:paraId="5C8BB94D">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规定了运营公司所管辖区域内发生火灾事件时的组织机构及职责、预防及预警、信息报告程序、应急处置、应急物资与装备保障。</w:t>
            </w:r>
          </w:p>
        </w:tc>
        <w:tc>
          <w:tcPr>
            <w:tcW w:w="1812" w:type="dxa"/>
            <w:vMerge w:val="continue"/>
          </w:tcPr>
          <w:p w14:paraId="1BA89E19">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2F12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99DEF0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10</w:t>
            </w:r>
          </w:p>
        </w:tc>
        <w:tc>
          <w:tcPr>
            <w:tcW w:w="2604" w:type="dxa"/>
            <w:vAlign w:val="center"/>
          </w:tcPr>
          <w:p w14:paraId="12DCF9A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正线大面积停电专项应急预案</w:t>
            </w:r>
          </w:p>
        </w:tc>
        <w:tc>
          <w:tcPr>
            <w:tcW w:w="4128" w:type="dxa"/>
            <w:vAlign w:val="top"/>
          </w:tcPr>
          <w:p w14:paraId="06474B0E">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规定了正线大面积停电时的事故类型和危害程度分析、预防与预警、组织机构及职责、信息报告程序、故障影响、应急处置、应急物资与装备保障</w:t>
            </w:r>
          </w:p>
        </w:tc>
        <w:tc>
          <w:tcPr>
            <w:tcW w:w="1812" w:type="dxa"/>
            <w:vMerge w:val="continue"/>
          </w:tcPr>
          <w:p w14:paraId="7333E8B2">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579D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vAlign w:val="center"/>
          </w:tcPr>
          <w:p w14:paraId="338B0D5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11</w:t>
            </w:r>
          </w:p>
        </w:tc>
        <w:tc>
          <w:tcPr>
            <w:tcW w:w="2604" w:type="dxa"/>
            <w:vAlign w:val="center"/>
          </w:tcPr>
          <w:p w14:paraId="1AEF932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AFC系统故障专项应急预案</w:t>
            </w:r>
          </w:p>
        </w:tc>
        <w:tc>
          <w:tcPr>
            <w:tcW w:w="4128" w:type="dxa"/>
            <w:vAlign w:val="top"/>
          </w:tcPr>
          <w:p w14:paraId="49677E9C">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规定了运营公司发生AFC系统故障时，运营公司相关专业风险分析、应急响应、现场处置等 </w:t>
            </w:r>
          </w:p>
          <w:p w14:paraId="472C348B">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工作的标准和要求。</w:t>
            </w:r>
          </w:p>
        </w:tc>
        <w:tc>
          <w:tcPr>
            <w:tcW w:w="1812" w:type="dxa"/>
            <w:vMerge w:val="continue"/>
          </w:tcPr>
          <w:p w14:paraId="4F56678C">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5D1C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816" w:type="dxa"/>
            <w:vAlign w:val="center"/>
          </w:tcPr>
          <w:p w14:paraId="26B33C4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12</w:t>
            </w:r>
          </w:p>
        </w:tc>
        <w:tc>
          <w:tcPr>
            <w:tcW w:w="2604" w:type="dxa"/>
            <w:vAlign w:val="center"/>
          </w:tcPr>
          <w:p w14:paraId="3871C9F8">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突发性事件客运组织专项应急预案</w:t>
            </w:r>
          </w:p>
        </w:tc>
        <w:tc>
          <w:tcPr>
            <w:tcW w:w="4128" w:type="dxa"/>
            <w:vAlign w:val="top"/>
          </w:tcPr>
          <w:p w14:paraId="6B35DA0B">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规定了运营公司车站发生突发性大客流、乘客滞留、踩踏事件时的风险分析、应急组织机构及职责、响应启动、处置措施、应急保障、信息报告、特殊程序、注意事项等内容。</w:t>
            </w:r>
          </w:p>
        </w:tc>
        <w:tc>
          <w:tcPr>
            <w:tcW w:w="1812" w:type="dxa"/>
            <w:vMerge w:val="continue"/>
          </w:tcPr>
          <w:p w14:paraId="4D6C61CB">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67B1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8630978">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13</w:t>
            </w:r>
          </w:p>
        </w:tc>
        <w:tc>
          <w:tcPr>
            <w:tcW w:w="2604" w:type="dxa"/>
            <w:vAlign w:val="center"/>
          </w:tcPr>
          <w:p w14:paraId="76FB92A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站台门夹人、夹物专项应急预案</w:t>
            </w:r>
          </w:p>
        </w:tc>
        <w:tc>
          <w:tcPr>
            <w:tcW w:w="4128" w:type="dxa"/>
            <w:vAlign w:val="top"/>
          </w:tcPr>
          <w:p w14:paraId="1E6278AA">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规定了运营公司地铁车站站台门夹人、夹物时的风险分析、应急组织机构及职责、处置原则、信息报告、预防预警、响应启动、处置措施、特殊程序、注意事项及应急保障等内容。</w:t>
            </w:r>
          </w:p>
        </w:tc>
        <w:tc>
          <w:tcPr>
            <w:tcW w:w="1812" w:type="dxa"/>
            <w:vMerge w:val="continue"/>
          </w:tcPr>
          <w:p w14:paraId="695FDF91">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54C0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348FD6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14</w:t>
            </w:r>
          </w:p>
        </w:tc>
        <w:tc>
          <w:tcPr>
            <w:tcW w:w="2604" w:type="dxa"/>
            <w:vAlign w:val="center"/>
          </w:tcPr>
          <w:p w14:paraId="23D3F3D6">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人员侵入轨行区专项应急预案</w:t>
            </w:r>
          </w:p>
        </w:tc>
        <w:tc>
          <w:tcPr>
            <w:tcW w:w="4128" w:type="dxa"/>
            <w:vAlign w:val="top"/>
          </w:tcPr>
          <w:p w14:paraId="63869EA7">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规定了运营公司道床伤亡时的风险分析、应急组织机构及职责、处置原则、信息报告、预防预警、响应启动、处置措施、特殊程序、注意事项及应急保障等内容。</w:t>
            </w:r>
          </w:p>
        </w:tc>
        <w:tc>
          <w:tcPr>
            <w:tcW w:w="1812" w:type="dxa"/>
            <w:vMerge w:val="continue"/>
          </w:tcPr>
          <w:p w14:paraId="2A4D5AA9">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4775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6CA388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w:t>
            </w:r>
          </w:p>
        </w:tc>
        <w:tc>
          <w:tcPr>
            <w:tcW w:w="2604" w:type="dxa"/>
            <w:vAlign w:val="center"/>
          </w:tcPr>
          <w:p w14:paraId="55B0165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车站暴恐事件专项应急预案</w:t>
            </w:r>
          </w:p>
        </w:tc>
        <w:tc>
          <w:tcPr>
            <w:tcW w:w="4128" w:type="dxa"/>
            <w:vAlign w:val="top"/>
          </w:tcPr>
          <w:p w14:paraId="7E0DE72B">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规定了运营公司车站发生暴恐事件时的风险分析、应急组织机构及职责、处置原则、信息报告、预防预警、响应启动、处置措施、特殊程序、注意事项及应急保障等内容。</w:t>
            </w:r>
          </w:p>
        </w:tc>
        <w:tc>
          <w:tcPr>
            <w:tcW w:w="1812" w:type="dxa"/>
            <w:vMerge w:val="continue"/>
          </w:tcPr>
          <w:p w14:paraId="39BB66F2">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7984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6" w:type="dxa"/>
            <w:vAlign w:val="center"/>
          </w:tcPr>
          <w:p w14:paraId="4FE3920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16</w:t>
            </w:r>
          </w:p>
        </w:tc>
        <w:tc>
          <w:tcPr>
            <w:tcW w:w="2604" w:type="dxa"/>
            <w:vAlign w:val="center"/>
          </w:tcPr>
          <w:p w14:paraId="18B853D2">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车辆段、区间及车站水淹专项应急预案</w:t>
            </w:r>
          </w:p>
        </w:tc>
        <w:tc>
          <w:tcPr>
            <w:tcW w:w="4128" w:type="dxa"/>
            <w:vAlign w:val="top"/>
          </w:tcPr>
          <w:p w14:paraId="06B07686">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规定了运营公司车辆段、区间及车站水淹倒灌应急的事故类型和危害程度、处置基本原则、 </w:t>
            </w:r>
          </w:p>
          <w:p w14:paraId="04D306E2">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组织机构及职责、预防及预警、信息报告程序、应急处置、应急物资与装备保障。</w:t>
            </w:r>
          </w:p>
          <w:p w14:paraId="3D2BA8D7">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p>
        </w:tc>
        <w:tc>
          <w:tcPr>
            <w:tcW w:w="1812" w:type="dxa"/>
            <w:vMerge w:val="continue"/>
          </w:tcPr>
          <w:p w14:paraId="48DEBCE1">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2DB5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B9AE03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17</w:t>
            </w:r>
          </w:p>
        </w:tc>
        <w:tc>
          <w:tcPr>
            <w:tcW w:w="2604" w:type="dxa"/>
            <w:vAlign w:val="center"/>
          </w:tcPr>
          <w:p w14:paraId="1A7DEC0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机电设备故障专项应急预案</w:t>
            </w:r>
          </w:p>
        </w:tc>
        <w:tc>
          <w:tcPr>
            <w:tcW w:w="4128" w:type="dxa"/>
            <w:vAlign w:val="top"/>
          </w:tcPr>
          <w:p w14:paraId="5681B06C">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规定了运营公司电（扶）梯设备故障、站台门设备故障、通风空调系统故障、防火卷帘设备 </w:t>
            </w:r>
          </w:p>
          <w:p w14:paraId="13866B9D">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故障、通风空调系统压力容器设备故障的事故类型和危害程度、处置基本原则、组织机构及职责、预防 及预警、信息报告程序、应急处置、应急物资与装备保障。</w:t>
            </w:r>
          </w:p>
        </w:tc>
        <w:tc>
          <w:tcPr>
            <w:tcW w:w="1812" w:type="dxa"/>
            <w:vMerge w:val="continue"/>
          </w:tcPr>
          <w:p w14:paraId="0D978D0D">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0622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AF1E4B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w:t>
            </w:r>
          </w:p>
        </w:tc>
        <w:tc>
          <w:tcPr>
            <w:tcW w:w="2604" w:type="dxa"/>
            <w:vAlign w:val="center"/>
          </w:tcPr>
          <w:p w14:paraId="53022B5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通信设备故障专项应急预案</w:t>
            </w:r>
          </w:p>
        </w:tc>
        <w:tc>
          <w:tcPr>
            <w:tcW w:w="4128" w:type="dxa"/>
            <w:vAlign w:val="top"/>
          </w:tcPr>
          <w:p w14:paraId="7C2511A1">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规定了运营公司通信设备故障时的危害程度分析、应急处置原则、预防与预警、组织机构及职责、 </w:t>
            </w:r>
          </w:p>
          <w:p w14:paraId="326B74A2">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信息报告程序、故障影响、应急处置、应急物资与装备保障。</w:t>
            </w:r>
          </w:p>
        </w:tc>
        <w:tc>
          <w:tcPr>
            <w:tcW w:w="1812" w:type="dxa"/>
            <w:vMerge w:val="continue"/>
          </w:tcPr>
          <w:p w14:paraId="1CDDE801">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7DE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3C4616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w:t>
            </w:r>
          </w:p>
        </w:tc>
        <w:tc>
          <w:tcPr>
            <w:tcW w:w="2604" w:type="dxa"/>
            <w:vAlign w:val="center"/>
          </w:tcPr>
          <w:p w14:paraId="3333717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信号设备故障专项应急预案</w:t>
            </w:r>
          </w:p>
        </w:tc>
        <w:tc>
          <w:tcPr>
            <w:tcW w:w="4128" w:type="dxa"/>
            <w:vAlign w:val="top"/>
          </w:tcPr>
          <w:p w14:paraId="2B12EF62">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规定了运营公司信号设备故障的应急处置原则、组织机构及职责、预防与预警、信息报告程 </w:t>
            </w:r>
          </w:p>
          <w:p w14:paraId="3D954B7D">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序、应急处置、应急保障与日常管理。</w:t>
            </w:r>
          </w:p>
        </w:tc>
        <w:tc>
          <w:tcPr>
            <w:tcW w:w="1812" w:type="dxa"/>
            <w:vMerge w:val="continue"/>
          </w:tcPr>
          <w:p w14:paraId="546451D7">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69F5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16" w:type="dxa"/>
            <w:vAlign w:val="center"/>
          </w:tcPr>
          <w:p w14:paraId="49EA86D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20</w:t>
            </w:r>
          </w:p>
        </w:tc>
        <w:tc>
          <w:tcPr>
            <w:tcW w:w="2604" w:type="dxa"/>
            <w:vAlign w:val="center"/>
          </w:tcPr>
          <w:p w14:paraId="1A0B983B">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主变电所故障专项应急预案</w:t>
            </w:r>
          </w:p>
        </w:tc>
        <w:tc>
          <w:tcPr>
            <w:tcW w:w="4128" w:type="dxa"/>
            <w:vAlign w:val="top"/>
          </w:tcPr>
          <w:p w14:paraId="19B60E5E">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规定了运营公司主变电所故障时的事故类型和危害程度分析、预防与预警、组织机构及职责、信息报告程序、应急处置、应急物资与装备保障。</w:t>
            </w:r>
          </w:p>
        </w:tc>
        <w:tc>
          <w:tcPr>
            <w:tcW w:w="1812" w:type="dxa"/>
            <w:vMerge w:val="continue"/>
          </w:tcPr>
          <w:p w14:paraId="3449B6F7">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917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16" w:type="dxa"/>
            <w:vAlign w:val="center"/>
          </w:tcPr>
          <w:p w14:paraId="32B8C02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21</w:t>
            </w:r>
          </w:p>
        </w:tc>
        <w:tc>
          <w:tcPr>
            <w:tcW w:w="2604" w:type="dxa"/>
            <w:vAlign w:val="center"/>
          </w:tcPr>
          <w:p w14:paraId="27C487E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弓网故障专项应急预案</w:t>
            </w:r>
          </w:p>
        </w:tc>
        <w:tc>
          <w:tcPr>
            <w:tcW w:w="4128" w:type="dxa"/>
            <w:vAlign w:val="top"/>
          </w:tcPr>
          <w:p w14:paraId="5E2333DE">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规定了运营公司弓网故障时的事故类型和危害程度分析、预防与预警、组织机构及职责、信息报告程序、应急处置、应急保障。</w:t>
            </w:r>
          </w:p>
        </w:tc>
        <w:tc>
          <w:tcPr>
            <w:tcW w:w="1812" w:type="dxa"/>
            <w:vMerge w:val="continue"/>
          </w:tcPr>
          <w:p w14:paraId="31591F7D">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4190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16" w:type="dxa"/>
            <w:vAlign w:val="center"/>
          </w:tcPr>
          <w:p w14:paraId="6FAC64B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22</w:t>
            </w:r>
          </w:p>
        </w:tc>
        <w:tc>
          <w:tcPr>
            <w:tcW w:w="2604" w:type="dxa"/>
            <w:vAlign w:val="center"/>
          </w:tcPr>
          <w:p w14:paraId="7F216F3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地震及地质灾害专项应急预案</w:t>
            </w:r>
          </w:p>
        </w:tc>
        <w:tc>
          <w:tcPr>
            <w:tcW w:w="4128" w:type="dxa"/>
            <w:vAlign w:val="top"/>
          </w:tcPr>
          <w:p w14:paraId="76BFCDAA">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规定了运营公司所辖范围遭受地震及地质灾害情况下的应急机构组成及职责、信息报告程序、应急处置、应急物资与装备保障。</w:t>
            </w:r>
          </w:p>
        </w:tc>
        <w:tc>
          <w:tcPr>
            <w:tcW w:w="1812" w:type="dxa"/>
            <w:vMerge w:val="continue"/>
          </w:tcPr>
          <w:p w14:paraId="5ACEEFCF">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D88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16" w:type="dxa"/>
            <w:vAlign w:val="center"/>
          </w:tcPr>
          <w:p w14:paraId="033DCC7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23</w:t>
            </w:r>
          </w:p>
        </w:tc>
        <w:tc>
          <w:tcPr>
            <w:tcW w:w="2604" w:type="dxa"/>
            <w:vAlign w:val="center"/>
          </w:tcPr>
          <w:p w14:paraId="4EA54B3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列车挤岔专项应急预案</w:t>
            </w:r>
          </w:p>
        </w:tc>
        <w:tc>
          <w:tcPr>
            <w:tcW w:w="4128" w:type="dxa"/>
            <w:vAlign w:val="top"/>
          </w:tcPr>
          <w:p w14:paraId="71F34451">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运营公司所管辖线路发生列车挤岔事故时的应急机构组成及职责、信息报告程序、应急处置、应急物资与装备保障。</w:t>
            </w:r>
          </w:p>
        </w:tc>
        <w:tc>
          <w:tcPr>
            <w:tcW w:w="1812" w:type="dxa"/>
            <w:vMerge w:val="continue"/>
          </w:tcPr>
          <w:p w14:paraId="366C440D">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0496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A6C673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24</w:t>
            </w:r>
          </w:p>
        </w:tc>
        <w:tc>
          <w:tcPr>
            <w:tcW w:w="2604" w:type="dxa"/>
            <w:vAlign w:val="center"/>
          </w:tcPr>
          <w:p w14:paraId="2FBC746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轨道线路故障专项应急预案</w:t>
            </w:r>
          </w:p>
        </w:tc>
        <w:tc>
          <w:tcPr>
            <w:tcW w:w="4128" w:type="dxa"/>
            <w:vAlign w:val="top"/>
          </w:tcPr>
          <w:p w14:paraId="02F93506">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规定了运营公司所管辖线路发生断轨、胀轨、隆起、下沉事故时的应急机构组成及职责、信息报告程序、应急处置、应急物资与装备保障。</w:t>
            </w:r>
          </w:p>
        </w:tc>
        <w:tc>
          <w:tcPr>
            <w:tcW w:w="1812" w:type="dxa"/>
            <w:vMerge w:val="continue"/>
          </w:tcPr>
          <w:p w14:paraId="0F51924A">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23D0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3D8EEF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25</w:t>
            </w:r>
          </w:p>
        </w:tc>
        <w:tc>
          <w:tcPr>
            <w:tcW w:w="2604" w:type="dxa"/>
            <w:vAlign w:val="center"/>
          </w:tcPr>
          <w:p w14:paraId="6FB3A61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结构故障专项应急预案</w:t>
            </w:r>
          </w:p>
        </w:tc>
        <w:tc>
          <w:tcPr>
            <w:tcW w:w="4128" w:type="dxa"/>
            <w:vAlign w:val="top"/>
          </w:tcPr>
          <w:p w14:paraId="5F7946C9">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规定了运营公司所管辖线路发生结构故障时的应急机构组成及职责、信息报告程序、应急处置、应急物资与装备保障。</w:t>
            </w:r>
          </w:p>
        </w:tc>
        <w:tc>
          <w:tcPr>
            <w:tcW w:w="1812" w:type="dxa"/>
            <w:vMerge w:val="continue"/>
          </w:tcPr>
          <w:p w14:paraId="3BA99883">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86F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FB800D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26</w:t>
            </w:r>
          </w:p>
        </w:tc>
        <w:tc>
          <w:tcPr>
            <w:tcW w:w="2604" w:type="dxa"/>
            <w:vAlign w:val="center"/>
          </w:tcPr>
          <w:p w14:paraId="4260A866">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列车事故处置专项应急预案</w:t>
            </w:r>
          </w:p>
        </w:tc>
        <w:tc>
          <w:tcPr>
            <w:tcW w:w="4128" w:type="dxa"/>
            <w:vAlign w:val="top"/>
          </w:tcPr>
          <w:p w14:paraId="0D7A1BA3">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规定了运营公司列车发生事故时的类型和风险分析、应急机构及职责、处置原则、信息报告、处置措施和注意事项等。</w:t>
            </w:r>
          </w:p>
        </w:tc>
        <w:tc>
          <w:tcPr>
            <w:tcW w:w="1812" w:type="dxa"/>
            <w:vMerge w:val="continue"/>
          </w:tcPr>
          <w:p w14:paraId="3DA4EA64">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0075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70036C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27</w:t>
            </w:r>
          </w:p>
        </w:tc>
        <w:tc>
          <w:tcPr>
            <w:tcW w:w="2604" w:type="dxa"/>
            <w:vAlign w:val="center"/>
          </w:tcPr>
          <w:p w14:paraId="4446621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特种设备（叉车、起重机）突发事件专项应急预案</w:t>
            </w:r>
          </w:p>
        </w:tc>
        <w:tc>
          <w:tcPr>
            <w:tcW w:w="4128" w:type="dxa"/>
            <w:vAlign w:val="top"/>
          </w:tcPr>
          <w:p w14:paraId="476E3D42">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规定了运营公司范围内发生特种设备（叉车、起重机）突发事件时的应急机构组成及职责、信息报告程序、应急处置、应急物资与装备保障。</w:t>
            </w:r>
          </w:p>
        </w:tc>
        <w:tc>
          <w:tcPr>
            <w:tcW w:w="1812" w:type="dxa"/>
            <w:vMerge w:val="continue"/>
          </w:tcPr>
          <w:p w14:paraId="36B036BB">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0A68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816" w:type="dxa"/>
            <w:vAlign w:val="center"/>
          </w:tcPr>
          <w:p w14:paraId="5461A1D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28</w:t>
            </w:r>
          </w:p>
        </w:tc>
        <w:tc>
          <w:tcPr>
            <w:tcW w:w="2604" w:type="dxa"/>
            <w:vAlign w:val="center"/>
          </w:tcPr>
          <w:p w14:paraId="4EF44AF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列车故障救援专项应急预案</w:t>
            </w:r>
          </w:p>
        </w:tc>
        <w:tc>
          <w:tcPr>
            <w:tcW w:w="4128" w:type="dxa"/>
            <w:vAlign w:val="top"/>
          </w:tcPr>
          <w:p w14:paraId="71E62762">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规定了运营公司在运营期间发生列车故障救援时的风险分析、应急机构及职责、处置原则、信息报送、预防预警、应急处置及注意事项。</w:t>
            </w:r>
          </w:p>
        </w:tc>
        <w:tc>
          <w:tcPr>
            <w:tcW w:w="1812" w:type="dxa"/>
            <w:vMerge w:val="continue"/>
          </w:tcPr>
          <w:p w14:paraId="2D044E43">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B59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vAlign w:val="center"/>
          </w:tcPr>
          <w:p w14:paraId="3FB94E3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29</w:t>
            </w:r>
          </w:p>
        </w:tc>
        <w:tc>
          <w:tcPr>
            <w:tcW w:w="2604" w:type="dxa"/>
            <w:vAlign w:val="center"/>
          </w:tcPr>
          <w:p w14:paraId="375CDEF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电客车车门事件专项应急预案</w:t>
            </w:r>
          </w:p>
        </w:tc>
        <w:tc>
          <w:tcPr>
            <w:tcW w:w="4128" w:type="dxa"/>
            <w:vAlign w:val="top"/>
          </w:tcPr>
          <w:p w14:paraId="73C34E1B">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规定了运营公司在运营期间乘客解锁车门、电客车车门错开时的应急处理的风险分析、应急机构及职责、处置原则、信息报送、预防预警、应急处置及注意事项。</w:t>
            </w:r>
          </w:p>
        </w:tc>
        <w:tc>
          <w:tcPr>
            <w:tcW w:w="1812" w:type="dxa"/>
            <w:vMerge w:val="continue"/>
          </w:tcPr>
          <w:p w14:paraId="61E16E98">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428A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03F14F3">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30</w:t>
            </w:r>
          </w:p>
        </w:tc>
        <w:tc>
          <w:tcPr>
            <w:tcW w:w="2604" w:type="dxa"/>
            <w:vAlign w:val="center"/>
          </w:tcPr>
          <w:p w14:paraId="2FAF2EC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乘客区间疏散专项应急预案</w:t>
            </w:r>
          </w:p>
        </w:tc>
        <w:tc>
          <w:tcPr>
            <w:tcW w:w="4128" w:type="dxa"/>
            <w:vAlign w:val="top"/>
          </w:tcPr>
          <w:p w14:paraId="1BCA2F48">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规定了运营公司在运营期间需组织乘客区间疏散时的风险分析、应急机构及职责、处置原则、信息报送、应急处置、特殊程序及应急处理等内容。</w:t>
            </w:r>
          </w:p>
        </w:tc>
        <w:tc>
          <w:tcPr>
            <w:tcW w:w="1812" w:type="dxa"/>
            <w:vMerge w:val="continue"/>
          </w:tcPr>
          <w:p w14:paraId="057279FC">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1AF2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816" w:type="dxa"/>
            <w:vAlign w:val="center"/>
          </w:tcPr>
          <w:p w14:paraId="1B09D36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31</w:t>
            </w:r>
          </w:p>
        </w:tc>
        <w:tc>
          <w:tcPr>
            <w:tcW w:w="2604" w:type="dxa"/>
            <w:vAlign w:val="center"/>
          </w:tcPr>
          <w:p w14:paraId="3F74460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bookmarkStart w:id="83" w:name="_Toc4549"/>
            <w:bookmarkStart w:id="84" w:name="_Toc7526"/>
            <w:bookmarkStart w:id="85" w:name="_Toc27274"/>
            <w:bookmarkStart w:id="86" w:name="_Toc13915"/>
            <w:r>
              <w:rPr>
                <w:rFonts w:hint="eastAsia" w:ascii="宋体" w:hAnsi="宋体" w:eastAsia="宋体" w:cs="宋体"/>
                <w:kern w:val="0"/>
                <w:sz w:val="21"/>
                <w:szCs w:val="21"/>
                <w:highlight w:val="none"/>
                <w:lang w:val="en-US" w:eastAsia="zh-CN" w:bidi="ar-SA"/>
              </w:rPr>
              <w:t>列车迫停分相区专项应急预案</w:t>
            </w:r>
            <w:bookmarkEnd w:id="83"/>
            <w:bookmarkEnd w:id="84"/>
            <w:bookmarkEnd w:id="85"/>
            <w:bookmarkEnd w:id="86"/>
          </w:p>
        </w:tc>
        <w:tc>
          <w:tcPr>
            <w:tcW w:w="4128" w:type="dxa"/>
            <w:vAlign w:val="top"/>
          </w:tcPr>
          <w:p w14:paraId="44897F0F">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规定了列车迫停分相区时的事件类型和危害程度分析、预防与预警、组织机构及职责、信息报告程序、故障影响、应急处置、应急物资与装备保障。</w:t>
            </w:r>
          </w:p>
        </w:tc>
        <w:tc>
          <w:tcPr>
            <w:tcW w:w="1812" w:type="dxa"/>
            <w:vMerge w:val="continue"/>
          </w:tcPr>
          <w:p w14:paraId="3055E475">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bl>
    <w:p w14:paraId="21DDA0FB">
      <w:pPr>
        <w:pStyle w:val="46"/>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420" w:firstLineChars="200"/>
        <w:textAlignment w:val="auto"/>
        <w:rPr>
          <w:rFonts w:hint="eastAsia" w:ascii="宋体" w:hAnsi="宋体" w:eastAsia="宋体" w:cs="宋体"/>
          <w:b w:val="0"/>
          <w:bCs w:val="0"/>
          <w:sz w:val="21"/>
          <w:szCs w:val="21"/>
          <w:highlight w:val="none"/>
          <w:lang w:val="en-US" w:eastAsia="zh-CN"/>
        </w:rPr>
      </w:pPr>
    </w:p>
    <w:p w14:paraId="35AA6CA5">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p>
    <w:p w14:paraId="624364EA">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p>
    <w:p w14:paraId="14833A03">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lang w:val="en-US" w:eastAsia="zh-CN"/>
        </w:rPr>
      </w:pPr>
    </w:p>
    <w:p w14:paraId="5492B268">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934F79E">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113E0DE9">
      <w:pPr>
        <w:spacing w:line="360" w:lineRule="auto"/>
        <w:jc w:val="center"/>
        <w:rPr>
          <w:rFonts w:hint="eastAsia" w:ascii="微软雅黑" w:hAnsi="微软雅黑" w:eastAsia="微软雅黑" w:cs="微软雅黑"/>
          <w:b/>
          <w:spacing w:val="0"/>
          <w:sz w:val="28"/>
          <w:szCs w:val="28"/>
          <w:highlight w:val="none"/>
          <w:lang w:eastAsia="zh-CN"/>
        </w:rPr>
      </w:pPr>
      <w:r>
        <w:rPr>
          <w:rFonts w:hint="eastAsia" w:ascii="微软雅黑" w:hAnsi="微软雅黑" w:eastAsia="微软雅黑" w:cs="微软雅黑"/>
          <w:b/>
          <w:spacing w:val="0"/>
          <w:sz w:val="28"/>
          <w:szCs w:val="28"/>
          <w:highlight w:val="none"/>
          <w:lang w:eastAsia="zh-CN"/>
        </w:rPr>
        <w:t>技术服务合同</w:t>
      </w:r>
    </w:p>
    <w:p w14:paraId="5980481B">
      <w:pPr>
        <w:spacing w:line="360" w:lineRule="auto"/>
        <w:rPr>
          <w:rFonts w:hint="eastAsia" w:ascii="宋体" w:hAnsi="宋体" w:eastAsia="宋体" w:cs="宋体"/>
          <w:spacing w:val="0"/>
          <w:sz w:val="21"/>
          <w:szCs w:val="21"/>
          <w:highlight w:val="none"/>
          <w:u w:val="single"/>
          <w:lang w:eastAsia="zh-CN"/>
        </w:rPr>
      </w:pPr>
      <w:r>
        <w:rPr>
          <w:rFonts w:hint="eastAsia" w:ascii="宋体" w:hAnsi="宋体" w:eastAsia="宋体" w:cs="宋体"/>
          <w:spacing w:val="0"/>
          <w:sz w:val="21"/>
          <w:szCs w:val="21"/>
          <w:highlight w:val="none"/>
          <w:lang w:eastAsia="zh-CN"/>
        </w:rPr>
        <w:t>甲方（委托方）：</w:t>
      </w:r>
      <w:r>
        <w:rPr>
          <w:rFonts w:hint="eastAsia" w:ascii="宋体" w:hAnsi="宋体" w:eastAsia="宋体" w:cs="宋体"/>
          <w:spacing w:val="0"/>
          <w:sz w:val="21"/>
          <w:szCs w:val="21"/>
          <w:highlight w:val="none"/>
          <w:u w:val="single"/>
          <w:lang w:eastAsia="zh-CN"/>
        </w:rPr>
        <w:t>滁州市轨道交通运营有限公司</w:t>
      </w:r>
    </w:p>
    <w:p w14:paraId="56CA56C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乙方（受托方）:  ________________________     </w:t>
      </w:r>
    </w:p>
    <w:p w14:paraId="3367F6DB">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根据《中华人民共和国民法典》等法律法规的相关规定，本着自愿、平等、诚信的原则，经双方协商一致，就甲方委托乙方提供【       】服务相关事宜，签订本合同，以资共同遵守。</w:t>
      </w:r>
    </w:p>
    <w:p w14:paraId="66E74989">
      <w:pPr>
        <w:spacing w:line="360" w:lineRule="auto"/>
        <w:ind w:firstLine="420" w:firstLineChars="200"/>
        <w:rPr>
          <w:rFonts w:hint="eastAsia" w:ascii="宋体" w:hAnsi="宋体" w:eastAsia="宋体" w:cs="宋体"/>
          <w:spacing w:val="0"/>
          <w:sz w:val="21"/>
          <w:szCs w:val="21"/>
          <w:highlight w:val="none"/>
          <w:lang w:eastAsia="zh-CN"/>
        </w:rPr>
      </w:pPr>
    </w:p>
    <w:p w14:paraId="5EE18702">
      <w:pPr>
        <w:spacing w:line="360" w:lineRule="auto"/>
        <w:rPr>
          <w:rFonts w:ascii="宋体" w:hAnsi="宋体" w:eastAsia="宋体" w:cs="宋体"/>
          <w:b/>
          <w:spacing w:val="0"/>
          <w:sz w:val="21"/>
          <w:szCs w:val="21"/>
          <w:highlight w:val="none"/>
          <w:lang w:eastAsia="zh-CN"/>
        </w:rPr>
      </w:pPr>
      <w:bookmarkStart w:id="87" w:name="_Toc152571734"/>
      <w:bookmarkStart w:id="88" w:name="_Toc376824481"/>
      <w:bookmarkStart w:id="89" w:name="_Toc376824508"/>
      <w:bookmarkStart w:id="90" w:name="_Toc376824381"/>
      <w:r>
        <w:rPr>
          <w:rFonts w:hint="eastAsia" w:ascii="宋体" w:hAnsi="宋体" w:eastAsia="宋体" w:cs="宋体"/>
          <w:b/>
          <w:spacing w:val="0"/>
          <w:sz w:val="21"/>
          <w:szCs w:val="21"/>
          <w:highlight w:val="none"/>
          <w:lang w:eastAsia="zh-CN"/>
        </w:rPr>
        <w:t>第一条  服务事项</w:t>
      </w:r>
    </w:p>
    <w:p w14:paraId="3426470C">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1.1 服务内容</w:t>
      </w:r>
    </w:p>
    <w:p w14:paraId="752D0387">
      <w:pPr>
        <w:spacing w:line="360" w:lineRule="auto"/>
        <w:ind w:firstLine="420" w:firstLineChars="200"/>
        <w:rPr>
          <w:rFonts w:hint="eastAsia" w:ascii="宋体" w:hAnsi="宋体" w:eastAsia="宋体" w:cs="宋体"/>
          <w:spacing w:val="0"/>
          <w:sz w:val="21"/>
          <w:szCs w:val="21"/>
          <w:highlight w:val="none"/>
          <w:u w:val="single"/>
          <w:lang w:eastAsia="zh-CN"/>
        </w:rPr>
      </w:pPr>
      <w:r>
        <w:rPr>
          <w:rFonts w:hint="eastAsia" w:ascii="宋体" w:hAnsi="宋体" w:eastAsia="宋体" w:cs="宋体"/>
          <w:spacing w:val="0"/>
          <w:sz w:val="21"/>
          <w:szCs w:val="21"/>
          <w:highlight w:val="none"/>
          <w:lang w:eastAsia="zh-CN"/>
        </w:rPr>
        <w:t>1.在甲方要求的时间内，乙方向甲方提供【</w:t>
      </w:r>
      <w:r>
        <w:rPr>
          <w:rFonts w:hint="eastAsia" w:ascii="宋体" w:hAnsi="宋体" w:eastAsia="宋体" w:cs="宋体"/>
          <w:spacing w:val="0"/>
          <w:sz w:val="21"/>
          <w:szCs w:val="21"/>
          <w:highlight w:val="none"/>
          <w:u w:val="single"/>
          <w:lang w:eastAsia="zh-CN"/>
        </w:rPr>
        <w:t xml:space="preserve">            的技术服务，包括         等，以满足甲方              需求。】</w:t>
      </w:r>
    </w:p>
    <w:p w14:paraId="0B00F9D2">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2.乙方应当按照甲方指定的项目、服务内容和服务进度安排提供相应技术服务，具体服务事项以合同附件一用户需求书（</w:t>
      </w:r>
      <w:r>
        <w:rPr>
          <w:rFonts w:hint="eastAsia" w:ascii="宋体" w:hAnsi="宋体" w:eastAsia="宋体" w:cs="宋体"/>
          <w:spacing w:val="0"/>
          <w:sz w:val="21"/>
          <w:szCs w:val="21"/>
          <w:highlight w:val="none"/>
          <w:lang w:val="en-US" w:eastAsia="zh-CN"/>
        </w:rPr>
        <w:t>用户需求书）</w:t>
      </w:r>
      <w:r>
        <w:rPr>
          <w:rFonts w:hint="eastAsia" w:ascii="宋体" w:hAnsi="宋体" w:eastAsia="宋体" w:cs="宋体"/>
          <w:spacing w:val="0"/>
          <w:sz w:val="21"/>
          <w:szCs w:val="21"/>
          <w:highlight w:val="none"/>
          <w:lang w:eastAsia="zh-CN"/>
        </w:rPr>
        <w:t>或甲方的书面要求为准。</w:t>
      </w:r>
    </w:p>
    <w:p w14:paraId="2086128F">
      <w:pPr>
        <w:spacing w:line="360" w:lineRule="auto"/>
        <w:rPr>
          <w:rFonts w:ascii="宋体" w:hAnsi="宋体" w:eastAsia="宋体" w:cs="宋体"/>
          <w:spacing w:val="0"/>
          <w:sz w:val="21"/>
          <w:szCs w:val="21"/>
          <w:highlight w:val="none"/>
          <w:lang w:eastAsia="zh-CN"/>
        </w:rPr>
      </w:pPr>
      <w:r>
        <w:rPr>
          <w:rFonts w:hint="eastAsia" w:ascii="宋体" w:hAnsi="宋体" w:eastAsia="宋体" w:cs="宋体"/>
          <w:b/>
          <w:bCs/>
          <w:spacing w:val="0"/>
          <w:sz w:val="21"/>
          <w:szCs w:val="21"/>
          <w:highlight w:val="none"/>
          <w:lang w:eastAsia="zh-CN"/>
        </w:rPr>
        <w:t>1.2 服务期限</w:t>
      </w:r>
    </w:p>
    <w:p w14:paraId="0A5D7F1D">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除非根据本合同条款延期或提前终止，本合同项下服务期限自____年__月__日起至___年__月__日。</w:t>
      </w:r>
    </w:p>
    <w:p w14:paraId="52146D2E">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1.3 服务验收标准</w:t>
      </w:r>
    </w:p>
    <w:p w14:paraId="68148EBF">
      <w:pPr>
        <w:spacing w:line="360" w:lineRule="auto"/>
        <w:ind w:firstLine="536"/>
        <w:rPr>
          <w:rFonts w:hint="eastAsia" w:ascii="宋体" w:hAnsi="宋体" w:eastAsia="宋体" w:cs="宋体"/>
          <w:b/>
          <w:spacing w:val="0"/>
          <w:sz w:val="21"/>
          <w:szCs w:val="21"/>
          <w:highlight w:val="none"/>
          <w:lang w:eastAsia="zh-CN"/>
        </w:rPr>
      </w:pPr>
      <w:r>
        <w:rPr>
          <w:rFonts w:hint="eastAsia" w:ascii="宋体" w:hAnsi="宋体" w:eastAsia="宋体" w:cs="宋体"/>
          <w:spacing w:val="0"/>
          <w:sz w:val="21"/>
          <w:szCs w:val="21"/>
          <w:highlight w:val="none"/>
          <w:lang w:eastAsia="zh-CN"/>
        </w:rPr>
        <w:t>对于乙方委派人员完成的技术服务成果和质量标准，按照甲方服务要求和项目质量管理规定执行。经甲方验收不合格的，乙方应当要求其委派人员按照甲方要求进行整改直至验收合格。甲方或其指定人员签署的服务验收单作为乙方申请付款的依据。</w:t>
      </w:r>
      <w:bookmarkStart w:id="91" w:name="_Toc424651533"/>
      <w:bookmarkStart w:id="92" w:name="_Toc297806527"/>
      <w:bookmarkStart w:id="93" w:name="_Toc297806550"/>
      <w:bookmarkStart w:id="94" w:name="_Toc298258571"/>
      <w:bookmarkStart w:id="95" w:name="_Toc221503541"/>
    </w:p>
    <w:p w14:paraId="7EFC8CBD">
      <w:pPr>
        <w:spacing w:line="360" w:lineRule="auto"/>
        <w:rPr>
          <w:rFonts w:hint="eastAsia" w:ascii="宋体" w:hAnsi="宋体" w:eastAsia="宋体" w:cs="宋体"/>
          <w:b/>
          <w:spacing w:val="0"/>
          <w:sz w:val="21"/>
          <w:szCs w:val="21"/>
          <w:highlight w:val="none"/>
          <w:lang w:eastAsia="zh-CN"/>
        </w:rPr>
      </w:pPr>
    </w:p>
    <w:p w14:paraId="6C71E0D8">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第二条  承诺及保证</w:t>
      </w:r>
      <w:bookmarkEnd w:id="91"/>
      <w:bookmarkEnd w:id="92"/>
      <w:bookmarkEnd w:id="93"/>
      <w:bookmarkEnd w:id="94"/>
      <w:bookmarkEnd w:id="95"/>
    </w:p>
    <w:p w14:paraId="236A28CB">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2.1 双方承诺及保证</w:t>
      </w:r>
    </w:p>
    <w:p w14:paraId="7E67F689">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1.双方均系依照中国法律设立并合法、有效存续的公司或组织，完全有权签订本合同，并且有能力履行本合同项下义务；</w:t>
      </w:r>
    </w:p>
    <w:p w14:paraId="0A61C770">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双方签署、交付和履行本合同所需的所有同意、批准、授权和指令都已依法获得（如有），双方具有充分的权利、权力和能力签署、交付和履行本合同，且双方签署、交付和履行本合同均在其业务经营范围之内；</w:t>
      </w:r>
    </w:p>
    <w:p w14:paraId="12E8F3D9">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3.本合同的签署、交付和履行将不会（i）违反任何中国法律法规；或（ii）违反双方业务所需的任何许可或证照的条件；并且本合同的任何内容都不应当被认为构成双方之间的合资、合伙代理或者雇佣关系。</w:t>
      </w:r>
    </w:p>
    <w:p w14:paraId="5EE2F96A">
      <w:pPr>
        <w:spacing w:line="360" w:lineRule="auto"/>
        <w:rPr>
          <w:rFonts w:hint="eastAsia" w:ascii="宋体" w:hAnsi="宋体" w:eastAsia="宋体" w:cs="宋体"/>
          <w:b/>
          <w:spacing w:val="0"/>
          <w:sz w:val="21"/>
          <w:szCs w:val="21"/>
          <w:highlight w:val="none"/>
          <w:lang w:eastAsia="zh-CN"/>
        </w:rPr>
      </w:pPr>
      <w:bookmarkStart w:id="96" w:name="_Toc297806528"/>
      <w:bookmarkStart w:id="97" w:name="_Toc297806551"/>
      <w:r>
        <w:rPr>
          <w:rFonts w:hint="eastAsia" w:ascii="宋体" w:hAnsi="宋体" w:eastAsia="宋体" w:cs="宋体"/>
          <w:b/>
          <w:spacing w:val="0"/>
          <w:sz w:val="21"/>
          <w:szCs w:val="21"/>
          <w:highlight w:val="none"/>
          <w:lang w:eastAsia="zh-CN"/>
        </w:rPr>
        <w:t>2.2 乙方承诺及保证</w:t>
      </w:r>
      <w:bookmarkEnd w:id="96"/>
      <w:bookmarkEnd w:id="97"/>
    </w:p>
    <w:p w14:paraId="5742C5F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b/>
          <w:spacing w:val="0"/>
          <w:sz w:val="21"/>
          <w:szCs w:val="21"/>
          <w:highlight w:val="none"/>
          <w:lang w:eastAsia="zh-CN"/>
        </w:rPr>
        <w:t xml:space="preserve">    </w:t>
      </w:r>
      <w:r>
        <w:rPr>
          <w:rFonts w:hint="eastAsia" w:ascii="宋体" w:hAnsi="宋体" w:eastAsia="宋体" w:cs="宋体"/>
          <w:spacing w:val="0"/>
          <w:sz w:val="21"/>
          <w:szCs w:val="21"/>
          <w:highlight w:val="none"/>
          <w:lang w:eastAsia="zh-CN"/>
        </w:rPr>
        <w:t>1.乙方保证其具有向甲方提供本合同约定的技术服务的相关资质；</w:t>
      </w:r>
    </w:p>
    <w:p w14:paraId="2237078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    2.乙方提供的服务和提交的工作成果将符合所有适用的专业标准与规定，不会侵犯任何第三方所拥有的知识产权；</w:t>
      </w:r>
    </w:p>
    <w:p w14:paraId="58017808">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3.乙方保证向甲方提供的与服务事项及服务人员相关的全部资料均真实、全面；</w:t>
      </w:r>
    </w:p>
    <w:p w14:paraId="625DCB9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4.乙方负责为其所委派的人员，购买适当的保险，保障因该等人员受伤（包括致命伤害）而产生的索赔和费用。乙方应对乙方所派出人员的健康与安全负责，甲方不对乙方所派出人员承担任何责任和费用。</w:t>
      </w:r>
    </w:p>
    <w:p w14:paraId="481C4C64">
      <w:pPr>
        <w:spacing w:line="360" w:lineRule="auto"/>
        <w:ind w:firstLine="420" w:firstLineChars="200"/>
        <w:rPr>
          <w:rFonts w:hint="default" w:ascii="宋体" w:hAnsi="宋体" w:eastAsia="宋体" w:cs="宋体"/>
          <w:b/>
          <w:color w:val="auto"/>
          <w:spacing w:val="0"/>
          <w:sz w:val="21"/>
          <w:szCs w:val="21"/>
          <w:highlight w:val="none"/>
          <w:lang w:val="en-US" w:eastAsia="zh-CN"/>
        </w:rPr>
      </w:pPr>
      <w:r>
        <w:rPr>
          <w:rFonts w:hint="eastAsia" w:ascii="宋体" w:hAnsi="宋体" w:eastAsia="宋体" w:cs="宋体"/>
          <w:spacing w:val="0"/>
          <w:sz w:val="21"/>
          <w:szCs w:val="21"/>
          <w:highlight w:val="none"/>
          <w:lang w:eastAsia="zh-CN"/>
        </w:rPr>
        <w:t>5.其他承诺与保证：__________。</w:t>
      </w:r>
      <w:bookmarkStart w:id="98" w:name="_Toc298258572"/>
      <w:bookmarkStart w:id="99" w:name="_Toc297806552"/>
      <w:bookmarkStart w:id="100" w:name="_Toc297806529"/>
      <w:bookmarkStart w:id="101" w:name="_Toc221503542"/>
      <w:bookmarkStart w:id="102" w:name="_Toc424651534"/>
      <w:r>
        <w:rPr>
          <w:rFonts w:hint="eastAsia" w:ascii="宋体" w:hAnsi="宋体" w:eastAsia="宋体" w:cs="宋体"/>
          <w:color w:val="auto"/>
          <w:spacing w:val="0"/>
          <w:sz w:val="21"/>
          <w:szCs w:val="21"/>
          <w:highlight w:val="none"/>
          <w:lang w:val="en-US" w:eastAsia="zh-CN"/>
        </w:rPr>
        <w:t xml:space="preserve"> </w:t>
      </w:r>
    </w:p>
    <w:p w14:paraId="1BE0C0C5">
      <w:pPr>
        <w:spacing w:line="360" w:lineRule="auto"/>
        <w:rPr>
          <w:rFonts w:hint="eastAsia" w:ascii="宋体" w:hAnsi="宋体" w:eastAsia="宋体" w:cs="宋体"/>
          <w:b/>
          <w:spacing w:val="0"/>
          <w:sz w:val="21"/>
          <w:szCs w:val="21"/>
          <w:highlight w:val="none"/>
          <w:lang w:eastAsia="zh-CN"/>
        </w:rPr>
      </w:pPr>
    </w:p>
    <w:p w14:paraId="6FA36811">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第三条  乙方的服务团队</w:t>
      </w:r>
      <w:bookmarkEnd w:id="98"/>
      <w:bookmarkEnd w:id="99"/>
      <w:bookmarkEnd w:id="100"/>
      <w:bookmarkEnd w:id="101"/>
      <w:bookmarkEnd w:id="102"/>
    </w:p>
    <w:p w14:paraId="7550C12B">
      <w:pPr>
        <w:spacing w:line="360" w:lineRule="auto"/>
        <w:rPr>
          <w:rFonts w:hint="eastAsia" w:ascii="宋体" w:hAnsi="宋体" w:eastAsia="宋体" w:cs="宋体"/>
          <w:spacing w:val="0"/>
          <w:sz w:val="21"/>
          <w:szCs w:val="21"/>
          <w:highlight w:val="none"/>
          <w:lang w:eastAsia="zh-CN"/>
        </w:rPr>
      </w:pPr>
      <w:bookmarkStart w:id="103" w:name="_Toc297806530"/>
      <w:bookmarkStart w:id="104" w:name="_Toc297806553"/>
      <w:r>
        <w:rPr>
          <w:rFonts w:hint="eastAsia" w:ascii="宋体" w:hAnsi="宋体" w:eastAsia="宋体" w:cs="宋体"/>
          <w:spacing w:val="0"/>
          <w:sz w:val="21"/>
          <w:szCs w:val="21"/>
          <w:highlight w:val="none"/>
          <w:lang w:eastAsia="zh-CN"/>
        </w:rPr>
        <w:t>3.1 乙方项目组的核心成员为：项目负责人_____；其他项目组成员、团队结构及资历介绍见本合同附件三：项目组成员。未经甲方事先书面同意，乙方不得更换、减少项目组核心成员</w:t>
      </w:r>
      <w:bookmarkEnd w:id="103"/>
      <w:bookmarkEnd w:id="104"/>
      <w:r>
        <w:rPr>
          <w:rFonts w:hint="eastAsia" w:ascii="宋体" w:hAnsi="宋体" w:eastAsia="宋体" w:cs="宋体"/>
          <w:spacing w:val="0"/>
          <w:sz w:val="21"/>
          <w:szCs w:val="21"/>
          <w:highlight w:val="none"/>
          <w:lang w:eastAsia="zh-CN"/>
        </w:rPr>
        <w:t>。</w:t>
      </w:r>
    </w:p>
    <w:p w14:paraId="1853EC53">
      <w:pPr>
        <w:spacing w:line="360" w:lineRule="auto"/>
        <w:rPr>
          <w:rFonts w:hint="eastAsia" w:ascii="宋体" w:hAnsi="宋体" w:eastAsia="宋体" w:cs="宋体"/>
          <w:spacing w:val="0"/>
          <w:sz w:val="21"/>
          <w:szCs w:val="21"/>
          <w:highlight w:val="none"/>
          <w:lang w:eastAsia="zh-CN"/>
        </w:rPr>
      </w:pPr>
      <w:bookmarkStart w:id="105" w:name="_Toc297806554"/>
      <w:bookmarkStart w:id="106" w:name="_Toc297806531"/>
      <w:r>
        <w:rPr>
          <w:rFonts w:hint="eastAsia" w:ascii="宋体" w:hAnsi="宋体" w:eastAsia="宋体" w:cs="宋体"/>
          <w:spacing w:val="0"/>
          <w:sz w:val="21"/>
          <w:szCs w:val="21"/>
          <w:highlight w:val="none"/>
          <w:lang w:eastAsia="zh-CN"/>
        </w:rPr>
        <w:t>3.2 项目支持人员：乙方应根据本项目具体情况安排项目服务和后勤支持人员，项目支持人员为项目组提供后台支持服务，但不因此增加本合同第四条所述服务费用。</w:t>
      </w:r>
      <w:bookmarkEnd w:id="105"/>
      <w:bookmarkEnd w:id="106"/>
    </w:p>
    <w:p w14:paraId="4D4F973B">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3.3 乙方应根据甲方要求及时无条件地更换不合格的项目组成员。</w:t>
      </w:r>
    </w:p>
    <w:p w14:paraId="45EDD107">
      <w:pPr>
        <w:spacing w:line="360" w:lineRule="auto"/>
        <w:rPr>
          <w:rFonts w:hint="eastAsia" w:ascii="宋体" w:hAnsi="宋体" w:eastAsia="宋体" w:cs="宋体"/>
          <w:spacing w:val="0"/>
          <w:sz w:val="21"/>
          <w:szCs w:val="21"/>
          <w:highlight w:val="none"/>
          <w:lang w:eastAsia="zh-CN"/>
        </w:rPr>
      </w:pPr>
    </w:p>
    <w:p w14:paraId="06F556C6">
      <w:pPr>
        <w:spacing w:line="360" w:lineRule="auto"/>
        <w:rPr>
          <w:rFonts w:ascii="宋体" w:hAnsi="宋体" w:eastAsia="宋体" w:cs="宋体"/>
          <w:b/>
          <w:spacing w:val="0"/>
          <w:sz w:val="21"/>
          <w:szCs w:val="21"/>
          <w:highlight w:val="none"/>
          <w:lang w:eastAsia="zh-CN"/>
        </w:rPr>
      </w:pPr>
      <w:bookmarkStart w:id="107" w:name="_Toc221503543"/>
      <w:bookmarkStart w:id="108" w:name="_Toc424651535"/>
      <w:bookmarkStart w:id="109" w:name="_Toc297806557"/>
      <w:bookmarkStart w:id="110" w:name="_Toc298258573"/>
      <w:bookmarkStart w:id="111" w:name="_Toc297806534"/>
      <w:r>
        <w:rPr>
          <w:rFonts w:hint="eastAsia" w:ascii="宋体" w:hAnsi="宋体" w:eastAsia="宋体" w:cs="宋体"/>
          <w:b/>
          <w:spacing w:val="0"/>
          <w:sz w:val="21"/>
          <w:szCs w:val="21"/>
          <w:highlight w:val="none"/>
          <w:lang w:eastAsia="zh-CN"/>
        </w:rPr>
        <w:t>第四条  服务费用</w:t>
      </w:r>
      <w:bookmarkEnd w:id="107"/>
      <w:bookmarkEnd w:id="108"/>
      <w:bookmarkEnd w:id="109"/>
      <w:bookmarkEnd w:id="110"/>
      <w:bookmarkEnd w:id="111"/>
      <w:r>
        <w:rPr>
          <w:rFonts w:hint="eastAsia" w:ascii="宋体" w:hAnsi="宋体" w:eastAsia="宋体" w:cs="宋体"/>
          <w:b/>
          <w:spacing w:val="0"/>
          <w:sz w:val="21"/>
          <w:szCs w:val="21"/>
          <w:highlight w:val="none"/>
          <w:lang w:eastAsia="zh-CN"/>
        </w:rPr>
        <w:t>及支付方式</w:t>
      </w:r>
    </w:p>
    <w:p w14:paraId="721853FF">
      <w:pPr>
        <w:spacing w:line="360" w:lineRule="auto"/>
        <w:rPr>
          <w:rFonts w:hint="eastAsia" w:ascii="宋体" w:hAnsi="宋体" w:eastAsia="宋体" w:cs="宋体"/>
          <w:color w:val="auto"/>
          <w:spacing w:val="0"/>
          <w:sz w:val="21"/>
          <w:szCs w:val="21"/>
          <w:highlight w:val="none"/>
          <w:lang w:eastAsia="zh-CN"/>
        </w:rPr>
      </w:pPr>
      <w:r>
        <w:rPr>
          <w:rFonts w:hint="eastAsia" w:ascii="宋体" w:hAnsi="宋体" w:eastAsia="宋体" w:cs="宋体"/>
          <w:spacing w:val="0"/>
          <w:sz w:val="21"/>
          <w:szCs w:val="21"/>
          <w:highlight w:val="none"/>
          <w:lang w:eastAsia="zh-CN"/>
        </w:rPr>
        <w:t xml:space="preserve">4.1 </w:t>
      </w:r>
      <w:r>
        <w:rPr>
          <w:rFonts w:hint="eastAsia" w:ascii="宋体" w:hAnsi="宋体" w:eastAsia="宋体" w:cs="宋体"/>
          <w:color w:val="auto"/>
          <w:spacing w:val="0"/>
          <w:sz w:val="21"/>
          <w:szCs w:val="21"/>
          <w:highlight w:val="none"/>
          <w:lang w:eastAsia="zh-CN"/>
        </w:rPr>
        <w:t>本项目服务费用总额为人民币（大写）_____元(</w:t>
      </w:r>
      <w:r>
        <w:rPr>
          <w:rFonts w:hint="default"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eastAsia="zh-CN"/>
        </w:rPr>
        <w:t>_____元)（含税），</w:t>
      </w:r>
      <w:r>
        <w:rPr>
          <w:rFonts w:hint="eastAsia" w:ascii="宋体" w:hAnsi="宋体" w:eastAsia="宋体" w:cs="宋体"/>
          <w:color w:val="auto"/>
          <w:spacing w:val="0"/>
          <w:sz w:val="21"/>
          <w:szCs w:val="21"/>
          <w:highlight w:val="none"/>
          <w:lang w:val="en-US" w:eastAsia="zh-CN"/>
        </w:rPr>
        <w:t>不</w:t>
      </w:r>
      <w:r>
        <w:rPr>
          <w:rFonts w:hint="eastAsia" w:ascii="宋体" w:hAnsi="宋体" w:eastAsia="宋体" w:cs="宋体"/>
          <w:color w:val="auto"/>
          <w:spacing w:val="0"/>
          <w:sz w:val="21"/>
          <w:szCs w:val="21"/>
          <w:highlight w:val="none"/>
          <w:lang w:eastAsia="zh-CN"/>
        </w:rPr>
        <w:t>含税价</w:t>
      </w:r>
      <w:r>
        <w:rPr>
          <w:rFonts w:hint="eastAsia" w:ascii="宋体" w:hAnsi="宋体" w:eastAsia="宋体" w:cs="宋体"/>
          <w:color w:val="auto"/>
          <w:spacing w:val="0"/>
          <w:sz w:val="21"/>
          <w:szCs w:val="21"/>
          <w:highlight w:val="none"/>
          <w:lang w:val="en-US" w:eastAsia="zh-CN"/>
        </w:rPr>
        <w:t>为人</w:t>
      </w:r>
      <w:r>
        <w:rPr>
          <w:rFonts w:hint="eastAsia" w:ascii="宋体" w:hAnsi="宋体" w:eastAsia="宋体" w:cs="宋体"/>
          <w:color w:val="auto"/>
          <w:spacing w:val="0"/>
          <w:sz w:val="21"/>
          <w:szCs w:val="21"/>
          <w:highlight w:val="none"/>
          <w:lang w:eastAsia="zh-CN"/>
        </w:rPr>
        <w:t>民币（大写）_____元(</w:t>
      </w:r>
      <w:r>
        <w:rPr>
          <w:rFonts w:hint="default"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eastAsia="zh-CN"/>
        </w:rPr>
        <w:t xml:space="preserve">_____元)，税率为____%。（以下简称“服务费用”）。 </w:t>
      </w:r>
    </w:p>
    <w:p w14:paraId="50379BE4">
      <w:pPr>
        <w:spacing w:line="360" w:lineRule="auto"/>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4.2 支付方式</w:t>
      </w:r>
    </w:p>
    <w:p w14:paraId="29F9CA2B">
      <w:pPr>
        <w:spacing w:line="36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在本合同服务期限届满，乙方提交的所有工作成果均通过甲方验收，且乙方向甲方提供符合要求的增值税发票后30个工作日内，一次性付清全部服务费用。</w:t>
      </w:r>
    </w:p>
    <w:p w14:paraId="0A52197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合同价款以 </w:t>
      </w:r>
      <w:r>
        <w:rPr>
          <w:rFonts w:hint="eastAsia" w:ascii="宋体" w:hAnsi="宋体" w:eastAsia="宋体" w:cs="宋体"/>
          <w:spacing w:val="0"/>
          <w:sz w:val="21"/>
          <w:szCs w:val="21"/>
          <w:highlight w:val="none"/>
          <w:u w:val="single"/>
          <w:lang w:eastAsia="zh-CN"/>
        </w:rPr>
        <w:t xml:space="preserve">  银行转账  </w:t>
      </w:r>
      <w:r>
        <w:rPr>
          <w:rFonts w:hint="eastAsia" w:ascii="宋体" w:hAnsi="宋体" w:eastAsia="宋体" w:cs="宋体"/>
          <w:spacing w:val="0"/>
          <w:sz w:val="21"/>
          <w:szCs w:val="21"/>
          <w:highlight w:val="none"/>
          <w:lang w:eastAsia="zh-CN"/>
        </w:rPr>
        <w:t>的方式支付。乙方银行账户信息确认如下：</w:t>
      </w:r>
    </w:p>
    <w:p w14:paraId="7726C64A">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账户名：</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43769AF4">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开户行：</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7E5D516E">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账号：  </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7536D382">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甲方开票信息确认如下：</w:t>
      </w:r>
    </w:p>
    <w:p w14:paraId="4A412826">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单位名称：</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59693F22">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纳税人识别号：</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27DD1646">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地址、电话：</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434AFEAC">
      <w:pPr>
        <w:spacing w:line="360" w:lineRule="auto"/>
        <w:ind w:firstLine="420" w:firstLineChars="200"/>
        <w:rPr>
          <w:spacing w:val="0"/>
          <w:sz w:val="21"/>
          <w:szCs w:val="21"/>
          <w:highlight w:val="none"/>
          <w:lang w:eastAsia="zh-CN"/>
        </w:rPr>
      </w:pPr>
      <w:r>
        <w:rPr>
          <w:rFonts w:hint="eastAsia" w:ascii="宋体" w:hAnsi="宋体" w:eastAsia="宋体" w:cs="宋体"/>
          <w:spacing w:val="0"/>
          <w:sz w:val="21"/>
          <w:szCs w:val="21"/>
          <w:highlight w:val="none"/>
          <w:lang w:eastAsia="zh-CN"/>
        </w:rPr>
        <w:t>开户行、账号：</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5A1D5E5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4.3 本合同约定的服务费用已包括乙方完成本合同规定的各项服务及提交各工作成果的全部费用（包括但不限于：</w:t>
      </w:r>
      <w:r>
        <w:rPr>
          <w:rFonts w:hint="eastAsia" w:ascii="宋体" w:hAnsi="宋体" w:eastAsia="宋体" w:cs="宋体"/>
          <w:b w:val="0"/>
          <w:color w:val="000000"/>
          <w:kern w:val="2"/>
          <w:sz w:val="21"/>
          <w:szCs w:val="21"/>
          <w:highlight w:val="none"/>
          <w:lang w:val="en-US" w:eastAsia="zh-CN" w:bidi="ar"/>
        </w:rPr>
        <w:t>市级综合应急演练服务发生的所有费用（包括提供全部设备与用品等所付出的所有费用）、交通费(如有)、利润、招标代理费、安全文化宣传费、履约过程中所产生的全部专家劳务费用（包括但不限于运营公司应急预案评审所需的专家劳务费用及相关辅导费用）、税金、政策性文件规定及合同包含的所有风险和责任等）。</w:t>
      </w:r>
      <w:r>
        <w:rPr>
          <w:rFonts w:hint="eastAsia" w:ascii="宋体" w:hAnsi="宋体" w:eastAsia="宋体" w:cs="宋体"/>
          <w:spacing w:val="0"/>
          <w:sz w:val="21"/>
          <w:szCs w:val="21"/>
          <w:highlight w:val="none"/>
          <w:lang w:eastAsia="zh-CN"/>
        </w:rPr>
        <w:t>除另有约定外，甲方无需向乙方另行支付其他任何费用。</w:t>
      </w:r>
      <w:bookmarkStart w:id="112" w:name="_Toc298258574"/>
      <w:bookmarkStart w:id="113" w:name="_Toc221503544"/>
      <w:bookmarkStart w:id="114" w:name="_Toc297806558"/>
      <w:bookmarkStart w:id="115" w:name="_Toc297806535"/>
      <w:bookmarkStart w:id="116" w:name="_Toc424651536"/>
    </w:p>
    <w:p w14:paraId="7AFC92A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4.4 本合同约定的为含税合同价款。在合同履行期间，如遇国家的税率调整或其他政策影响税率的，税率随变化而变化，则合同价款不做调整。</w:t>
      </w:r>
    </w:p>
    <w:p w14:paraId="372CBE7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4.5 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14:paraId="20FFD9AF">
      <w:pPr>
        <w:spacing w:line="360" w:lineRule="auto"/>
        <w:ind w:firstLine="210" w:firstLineChars="100"/>
        <w:rPr>
          <w:rFonts w:hint="eastAsia" w:ascii="宋体" w:hAnsi="宋体" w:eastAsia="宋体" w:cs="宋体"/>
          <w:spacing w:val="0"/>
          <w:sz w:val="21"/>
          <w:szCs w:val="21"/>
          <w:highlight w:val="none"/>
          <w:lang w:eastAsia="zh-CN"/>
        </w:rPr>
      </w:pPr>
    </w:p>
    <w:p w14:paraId="528E7EC3">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第五条  履约担保</w:t>
      </w:r>
    </w:p>
    <w:p w14:paraId="0B8F43A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5.1 在本合同签订时，乙方应向甲方提交履约保证金，本项目履约保证金的金额为合同总价款 </w:t>
      </w:r>
      <w:r>
        <w:rPr>
          <w:rFonts w:hint="eastAsia" w:ascii="宋体" w:hAnsi="宋体" w:eastAsia="宋体" w:cs="宋体"/>
          <w:spacing w:val="0"/>
          <w:sz w:val="21"/>
          <w:szCs w:val="21"/>
          <w:highlight w:val="none"/>
          <w:u w:val="single"/>
          <w:lang w:eastAsia="zh-CN"/>
        </w:rPr>
        <w:t>5%</w:t>
      </w:r>
      <w:r>
        <w:rPr>
          <w:rFonts w:hint="eastAsia" w:ascii="宋体" w:hAnsi="宋体" w:eastAsia="宋体" w:cs="宋体"/>
          <w:spacing w:val="0"/>
          <w:sz w:val="21"/>
          <w:szCs w:val="21"/>
          <w:highlight w:val="none"/>
          <w:lang w:eastAsia="zh-CN"/>
        </w:rPr>
        <w:t>。</w:t>
      </w:r>
    </w:p>
    <w:p w14:paraId="1098125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5.2 履约保证金由甲方持有，甲方有权在该保证金内扣除任何乙方应付而未付之任何款项</w:t>
      </w:r>
      <w:bookmarkStart w:id="117" w:name="_Hlk18247249"/>
      <w:r>
        <w:rPr>
          <w:rFonts w:hint="eastAsia" w:ascii="宋体" w:hAnsi="宋体" w:eastAsia="宋体" w:cs="宋体"/>
          <w:spacing w:val="0"/>
          <w:sz w:val="21"/>
          <w:szCs w:val="21"/>
          <w:highlight w:val="none"/>
          <w:lang w:eastAsia="zh-CN"/>
        </w:rPr>
        <w:t>（包括但不限于合同约定的乙方应支付款项、甲方垫付的其他费用等），</w:t>
      </w:r>
      <w:bookmarkStart w:id="118" w:name="_Hlk17966884"/>
      <w:r>
        <w:rPr>
          <w:rFonts w:hint="eastAsia" w:ascii="宋体" w:hAnsi="宋体" w:eastAsia="宋体" w:cs="宋体"/>
          <w:spacing w:val="0"/>
          <w:sz w:val="21"/>
          <w:szCs w:val="21"/>
          <w:highlight w:val="none"/>
          <w:lang w:eastAsia="zh-CN"/>
        </w:rPr>
        <w:t>及任何因乙方在不遵守或不履行本协议条款之任何部分而导致的任何费用支出、违约金、损失或损害赔偿金。</w:t>
      </w:r>
      <w:bookmarkEnd w:id="117"/>
      <w:bookmarkEnd w:id="118"/>
      <w:r>
        <w:rPr>
          <w:rFonts w:hint="eastAsia" w:ascii="宋体" w:hAnsi="宋体" w:eastAsia="宋体" w:cs="宋体"/>
          <w:spacing w:val="0"/>
          <w:sz w:val="21"/>
          <w:szCs w:val="21"/>
          <w:highlight w:val="none"/>
          <w:lang w:eastAsia="zh-CN"/>
        </w:rPr>
        <w:t>如甲方根据上述情况扣除保证金，乙方必须在扣款后七个工作日内，补足相等于该扣除款额的履约保证金，以保证合同履行期间履约保证金的完整。如履约保证金尚不能弥补甲方的损失，甲方有权另行向乙方主张赔偿。</w:t>
      </w:r>
    </w:p>
    <w:p w14:paraId="5D6FD92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5.3 </w:t>
      </w:r>
      <w:r>
        <w:rPr>
          <w:rFonts w:hint="eastAsia" w:ascii="宋体" w:hAnsi="宋体" w:eastAsia="宋体" w:cs="宋体"/>
          <w:color w:val="000000"/>
          <w:kern w:val="0"/>
          <w:sz w:val="21"/>
          <w:szCs w:val="21"/>
          <w:highlight w:val="none"/>
          <w:lang w:val="en-US" w:eastAsia="zh-CN" w:bidi="ar"/>
        </w:rPr>
        <w:t>乙方在本合同约定的服务期限届满并经甲方验收合格后</w:t>
      </w:r>
      <w:r>
        <w:rPr>
          <w:rFonts w:hint="eastAsia" w:ascii="宋体" w:hAnsi="宋体" w:cs="宋体"/>
          <w:color w:val="000000"/>
          <w:kern w:val="0"/>
          <w:sz w:val="21"/>
          <w:szCs w:val="21"/>
          <w:highlight w:val="none"/>
          <w:lang w:val="en-US" w:eastAsia="zh-CN" w:bidi="ar"/>
        </w:rPr>
        <w:t>30日内</w:t>
      </w:r>
      <w:r>
        <w:rPr>
          <w:rFonts w:hint="eastAsia" w:ascii="宋体" w:hAnsi="宋体" w:eastAsia="宋体" w:cs="宋体"/>
          <w:color w:val="000000"/>
          <w:kern w:val="0"/>
          <w:sz w:val="21"/>
          <w:szCs w:val="21"/>
          <w:highlight w:val="none"/>
          <w:lang w:val="en-US" w:eastAsia="zh-CN" w:bidi="ar"/>
        </w:rPr>
        <w:t>办理履约保证金（或履约保函）退还手续</w:t>
      </w:r>
      <w:r>
        <w:rPr>
          <w:rFonts w:hint="eastAsia" w:ascii="宋体" w:hAnsi="宋体" w:cs="宋体"/>
          <w:color w:val="000000"/>
          <w:kern w:val="0"/>
          <w:sz w:val="21"/>
          <w:szCs w:val="21"/>
          <w:highlight w:val="none"/>
          <w:lang w:val="en-US" w:eastAsia="zh-CN" w:bidi="ar"/>
        </w:rPr>
        <w:t>。</w:t>
      </w:r>
      <w:r>
        <w:rPr>
          <w:rFonts w:hint="eastAsia" w:ascii="宋体" w:hAnsi="宋体" w:eastAsia="宋体" w:cs="宋体"/>
          <w:spacing w:val="0"/>
          <w:sz w:val="21"/>
          <w:szCs w:val="21"/>
          <w:highlight w:val="none"/>
          <w:lang w:eastAsia="zh-CN"/>
        </w:rPr>
        <w:t>（采用履约保证金的方式时选用）</w:t>
      </w:r>
    </w:p>
    <w:p w14:paraId="0FD80E3B">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 xml:space="preserve">或 </w:t>
      </w:r>
    </w:p>
    <w:p w14:paraId="42CA23F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5.1 在本合同签订时，乙方应提交经甲方认可的银行履约保函，保函金额为合同总价款</w:t>
      </w:r>
      <w:r>
        <w:rPr>
          <w:rFonts w:hint="eastAsia" w:ascii="宋体" w:hAnsi="宋体" w:eastAsia="宋体" w:cs="宋体"/>
          <w:spacing w:val="0"/>
          <w:sz w:val="21"/>
          <w:szCs w:val="21"/>
          <w:highlight w:val="none"/>
          <w:u w:val="single"/>
          <w:lang w:eastAsia="zh-CN"/>
        </w:rPr>
        <w:t>5%</w:t>
      </w:r>
      <w:r>
        <w:rPr>
          <w:rFonts w:hint="eastAsia" w:ascii="宋体" w:hAnsi="宋体" w:eastAsia="宋体" w:cs="宋体"/>
          <w:spacing w:val="0"/>
          <w:sz w:val="21"/>
          <w:szCs w:val="21"/>
          <w:highlight w:val="none"/>
          <w:lang w:eastAsia="zh-CN"/>
        </w:rPr>
        <w:t>。</w:t>
      </w:r>
    </w:p>
    <w:p w14:paraId="668A8FC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5.2 甲方有权在履约保函内提取任何乙方应付而未付之任何款项（包括但不限于合同约定的乙方应支付款项、甲方垫付的其他费用等），及任何因乙方在不遵守或不履行本协议条款之任何部分而导致的任何费用支出、违约金、损失或损害赔偿金。如甲方根据上述情况提取保函金额，乙方必须在该项提取发生之日起七个工作日内，补足至原履约保函金额即 </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元整，以保证合同履行期间履约保函的完整。如履约保函金额全部提取尚不能弥补甲方的损失，甲方有权另行向乙方主张赔偿。</w:t>
      </w:r>
    </w:p>
    <w:p w14:paraId="7E6BD7F8">
      <w:pPr>
        <w:spacing w:line="360" w:lineRule="auto"/>
        <w:ind w:firstLine="105" w:firstLineChars="5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（采用履约保函的方式时选用）</w:t>
      </w:r>
    </w:p>
    <w:p w14:paraId="5BDEC12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5.3 履约担保的有效期 （采用履约保函的方式时选用）</w:t>
      </w:r>
    </w:p>
    <w:p w14:paraId="67AEBE0D">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乙方应承诺提交的履约保函在本合同履行期间内有效，若因变更指令或索赔等原因致使前述日期延后，则乙方应无条件顺延履约保函的有效期。若银行出具的履约保函记载的有效期先于前述日期到期的，乙方应在履约保函到期前无条件到银行顺延履约保函的有效期或按照原保函格式提供新保函，并应在履约保函到期前30日将银行出具的顺延履约保函的正式文书或符合本合同要求的新保函提供给甲方，由此发生的费用包含在服务费用中。</w:t>
      </w:r>
    </w:p>
    <w:p w14:paraId="07060A14">
      <w:pPr>
        <w:spacing w:line="360" w:lineRule="auto"/>
        <w:rPr>
          <w:rFonts w:hint="eastAsia" w:ascii="宋体" w:hAnsi="宋体" w:eastAsia="宋体" w:cs="宋体"/>
          <w:b/>
          <w:spacing w:val="0"/>
          <w:sz w:val="21"/>
          <w:szCs w:val="21"/>
          <w:highlight w:val="none"/>
          <w:lang w:eastAsia="zh-CN"/>
        </w:rPr>
      </w:pPr>
    </w:p>
    <w:p w14:paraId="422BE373">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第六条  甲方权利与义务</w:t>
      </w:r>
      <w:bookmarkEnd w:id="112"/>
      <w:bookmarkEnd w:id="113"/>
      <w:bookmarkEnd w:id="114"/>
      <w:bookmarkEnd w:id="115"/>
      <w:bookmarkEnd w:id="116"/>
    </w:p>
    <w:p w14:paraId="2E60CA4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6.1 要求乙方按本合同及其附件的规定提供技术服务及履行其他合同义务，并对乙方所提供的服务进行评价。</w:t>
      </w:r>
    </w:p>
    <w:p w14:paraId="72801570">
      <w:pPr>
        <w:spacing w:line="360" w:lineRule="auto"/>
        <w:rPr>
          <w:rFonts w:hint="eastAsia" w:ascii="宋体" w:hAnsi="宋体" w:eastAsia="宋体" w:cs="宋体"/>
          <w:color w:val="000000"/>
          <w:spacing w:val="0"/>
          <w:sz w:val="21"/>
          <w:szCs w:val="21"/>
          <w:highlight w:val="none"/>
          <w:lang w:eastAsia="zh-CN"/>
        </w:rPr>
      </w:pPr>
      <w:r>
        <w:rPr>
          <w:rFonts w:hint="eastAsia" w:ascii="宋体" w:hAnsi="宋体" w:eastAsia="宋体" w:cs="宋体"/>
          <w:spacing w:val="0"/>
          <w:sz w:val="21"/>
          <w:szCs w:val="21"/>
          <w:highlight w:val="none"/>
          <w:lang w:eastAsia="zh-CN"/>
        </w:rPr>
        <w:t>6.2 向乙方提供与本项目服务事项有关的文件、信息等必要资料，</w:t>
      </w:r>
      <w:r>
        <w:rPr>
          <w:rFonts w:hint="eastAsia" w:ascii="宋体" w:hAnsi="宋体" w:eastAsia="宋体" w:cs="宋体"/>
          <w:color w:val="000000"/>
          <w:spacing w:val="0"/>
          <w:sz w:val="21"/>
          <w:szCs w:val="21"/>
          <w:highlight w:val="none"/>
          <w:lang w:eastAsia="zh-CN"/>
        </w:rPr>
        <w:t xml:space="preserve">为本项目各项工作的开展提供必要的便利条件，履行协助义务。 </w:t>
      </w:r>
    </w:p>
    <w:p w14:paraId="778CE02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6.3 按照本合同及其附件的规定向乙方支付服务费用。</w:t>
      </w:r>
    </w:p>
    <w:p w14:paraId="712214A6">
      <w:pPr>
        <w:spacing w:line="360" w:lineRule="auto"/>
        <w:jc w:val="left"/>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eastAsia="zh-CN"/>
        </w:rPr>
        <w:t>6.4 其他：______________________。</w:t>
      </w:r>
      <w:r>
        <w:rPr>
          <w:rFonts w:hint="eastAsia" w:ascii="宋体" w:hAnsi="宋体" w:eastAsia="宋体" w:cs="宋体"/>
          <w:spacing w:val="0"/>
          <w:sz w:val="21"/>
          <w:szCs w:val="21"/>
          <w:highlight w:val="none"/>
          <w:lang w:val="en-US" w:eastAsia="zh-CN"/>
        </w:rPr>
        <w:t xml:space="preserve"> </w:t>
      </w:r>
    </w:p>
    <w:p w14:paraId="7740DC8F">
      <w:pPr>
        <w:spacing w:line="360" w:lineRule="auto"/>
        <w:ind w:firstLine="420" w:firstLineChars="200"/>
        <w:jc w:val="left"/>
        <w:rPr>
          <w:rFonts w:hint="eastAsia" w:ascii="宋体" w:hAnsi="宋体" w:eastAsia="宋体" w:cs="宋体"/>
          <w:spacing w:val="0"/>
          <w:sz w:val="21"/>
          <w:szCs w:val="21"/>
          <w:highlight w:val="none"/>
          <w:lang w:eastAsia="zh-CN"/>
        </w:rPr>
      </w:pPr>
    </w:p>
    <w:p w14:paraId="3C95E79B">
      <w:pPr>
        <w:spacing w:line="360" w:lineRule="auto"/>
        <w:rPr>
          <w:rFonts w:hint="eastAsia" w:ascii="宋体" w:hAnsi="宋体" w:eastAsia="宋体" w:cs="宋体"/>
          <w:b/>
          <w:spacing w:val="0"/>
          <w:sz w:val="21"/>
          <w:szCs w:val="21"/>
          <w:highlight w:val="none"/>
          <w:lang w:eastAsia="zh-CN"/>
        </w:rPr>
      </w:pPr>
      <w:bookmarkStart w:id="119" w:name="_Toc298258575"/>
      <w:bookmarkEnd w:id="119"/>
      <w:bookmarkStart w:id="120" w:name="_Toc424651537"/>
      <w:bookmarkStart w:id="121" w:name="_Toc297806559"/>
      <w:bookmarkStart w:id="122" w:name="_Toc297806536"/>
      <w:bookmarkStart w:id="123" w:name="_Toc221503545"/>
      <w:bookmarkStart w:id="124" w:name="_Toc298258576"/>
      <w:r>
        <w:rPr>
          <w:rFonts w:hint="eastAsia" w:ascii="宋体" w:hAnsi="宋体" w:eastAsia="宋体" w:cs="宋体"/>
          <w:b/>
          <w:spacing w:val="0"/>
          <w:sz w:val="21"/>
          <w:szCs w:val="21"/>
          <w:highlight w:val="none"/>
          <w:lang w:eastAsia="zh-CN"/>
        </w:rPr>
        <w:t>第七条  乙方权利与义务</w:t>
      </w:r>
      <w:bookmarkEnd w:id="120"/>
      <w:bookmarkEnd w:id="121"/>
      <w:bookmarkEnd w:id="122"/>
      <w:bookmarkEnd w:id="123"/>
      <w:bookmarkEnd w:id="124"/>
    </w:p>
    <w:p w14:paraId="1B95973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7.1 要求甲方提供开展本项目服务必要的资料和协助。</w:t>
      </w:r>
    </w:p>
    <w:p w14:paraId="5857884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7.2 在交付符合本合同要求的工作成果后获得服务费用。</w:t>
      </w:r>
    </w:p>
    <w:p w14:paraId="2B649C2A">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7.3 对本项目服务的工作量、正确性、完整性、准确性、有效性、合法性和及时性负责，保证按照本合同及附件的约定，及时、正确、完整地完成全部约定义务及工作。</w:t>
      </w:r>
    </w:p>
    <w:p w14:paraId="105E344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7.4 应合理配备项目组成员，合理计划和实施本项目，熟悉与本项目有关的甲方内部规章制度。</w:t>
      </w:r>
    </w:p>
    <w:p w14:paraId="41BB0BA8">
      <w:pPr>
        <w:spacing w:line="360" w:lineRule="auto"/>
        <w:rPr>
          <w:rFonts w:hint="eastAsia" w:ascii="宋体" w:hAnsi="宋体" w:eastAsia="宋体" w:cs="宋体"/>
          <w:spacing w:val="0"/>
          <w:sz w:val="21"/>
          <w:szCs w:val="21"/>
          <w:highlight w:val="none"/>
          <w:lang w:eastAsia="zh-CN"/>
        </w:rPr>
      </w:pPr>
      <w:bookmarkStart w:id="125" w:name="_Toc297808125"/>
      <w:bookmarkEnd w:id="125"/>
      <w:r>
        <w:rPr>
          <w:rFonts w:hint="eastAsia" w:ascii="宋体" w:hAnsi="宋体" w:eastAsia="宋体" w:cs="宋体"/>
          <w:spacing w:val="0"/>
          <w:sz w:val="21"/>
          <w:szCs w:val="21"/>
          <w:highlight w:val="none"/>
          <w:lang w:eastAsia="zh-CN"/>
        </w:rPr>
        <w:t>7.5 若本项目涉及其他利害关系方，未经甲方事先同意，乙方不得和其私自接触，以保证服务结果的客观性、正确性，维护甲方正当利益。</w:t>
      </w:r>
    </w:p>
    <w:p w14:paraId="4BDAF309">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7.6 乙方不得拒绝甲方与本项目有关的咨询，对甲方的相关咨询必须给予及时、明确的书面或其他双方认可的方式答复。</w:t>
      </w:r>
    </w:p>
    <w:p w14:paraId="4E303CD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7.7 乙方应当对甲方提供的资料进行核查，发现甲方提供的资料不符合本合同约定时，有权在接到上述资料或开始工作的</w:t>
      </w:r>
      <w:r>
        <w:rPr>
          <w:rFonts w:hint="eastAsia" w:ascii="宋体" w:hAnsi="宋体" w:eastAsia="宋体" w:cs="宋体"/>
          <w:spacing w:val="0"/>
          <w:sz w:val="21"/>
          <w:szCs w:val="21"/>
          <w:highlight w:val="none"/>
          <w:lang w:val="en-US" w:eastAsia="zh-CN"/>
        </w:rPr>
        <w:t>15</w:t>
      </w:r>
      <w:r>
        <w:rPr>
          <w:rFonts w:hint="eastAsia" w:ascii="宋体" w:hAnsi="宋体" w:eastAsia="宋体" w:cs="宋体"/>
          <w:spacing w:val="0"/>
          <w:sz w:val="21"/>
          <w:szCs w:val="21"/>
          <w:highlight w:val="none"/>
          <w:lang w:eastAsia="zh-CN"/>
        </w:rPr>
        <w:t>日内，书面通知甲方。</w:t>
      </w:r>
    </w:p>
    <w:p w14:paraId="4EC8D1D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7.8 在未得到甲方事先书面同意的情况下，乙方不得向任何第三方分包或转包本项目。</w:t>
      </w:r>
    </w:p>
    <w:p w14:paraId="1760794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7.9 本项目结束后___个月内，乙方应当为甲方就有关技术服务事项的理解和实施过程中遇到的问题提供免费后续服务。</w:t>
      </w:r>
    </w:p>
    <w:p w14:paraId="362612E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后续服务内容包括：____________________。</w:t>
      </w:r>
    </w:p>
    <w:p w14:paraId="303B2C9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后续服务方式、标准：___________________</w:t>
      </w:r>
    </w:p>
    <w:p w14:paraId="296D0C3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7.10 非经甲方书面同意，乙方及其项目组工作人员在本项目中及本项目完成后不得向任何第三方透露本项目的任何内容和执行情况，包括但不限于双方洽谈的任何情况及签署的任何文件，以及服务费用、协议、备忘录、订单等所包含的一切信息。</w:t>
      </w:r>
    </w:p>
    <w:p w14:paraId="36321B6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7.11 乙方在进入甲方及甲方所属企业时，须遵守甲方内部管理制度。如因违反甲方内部管理制度造成甲方损失的，乙方应承担相应赔偿责任；如造成乙方损失的，乙方自行承担相应损失。</w:t>
      </w:r>
    </w:p>
    <w:p w14:paraId="07BBFC8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7.12 </w:t>
      </w:r>
      <w:bookmarkStart w:id="126" w:name="_Toc424651538"/>
      <w:bookmarkStart w:id="127" w:name="_Toc298258577"/>
      <w:bookmarkStart w:id="128" w:name="_Toc297806537"/>
      <w:bookmarkStart w:id="129" w:name="_Toc221503546"/>
      <w:bookmarkStart w:id="130" w:name="_Toc297806560"/>
      <w:r>
        <w:rPr>
          <w:rFonts w:hint="eastAsia" w:ascii="宋体" w:hAnsi="宋体" w:eastAsia="宋体" w:cs="宋体"/>
          <w:spacing w:val="0"/>
          <w:sz w:val="21"/>
          <w:szCs w:val="21"/>
          <w:highlight w:val="none"/>
          <w:lang w:eastAsia="zh-CN"/>
        </w:rPr>
        <w:t>乙方</w:t>
      </w:r>
      <w:r>
        <w:rPr>
          <w:rFonts w:hint="eastAsia" w:ascii="宋体" w:hAnsi="宋体" w:eastAsia="宋体" w:cs="宋体"/>
          <w:spacing w:val="0"/>
          <w:sz w:val="21"/>
          <w:szCs w:val="21"/>
          <w:highlight w:val="none"/>
          <w:lang w:eastAsia="zh-Hans"/>
        </w:rPr>
        <w:t>如</w:t>
      </w:r>
      <w:r>
        <w:rPr>
          <w:rFonts w:hint="eastAsia" w:ascii="宋体" w:hAnsi="宋体" w:eastAsia="宋体" w:cs="宋体"/>
          <w:spacing w:val="0"/>
          <w:sz w:val="21"/>
          <w:szCs w:val="21"/>
          <w:highlight w:val="none"/>
          <w:lang w:eastAsia="zh-CN"/>
        </w:rPr>
        <w:t>在中标后</w:t>
      </w:r>
      <w:r>
        <w:rPr>
          <w:rFonts w:hint="eastAsia" w:ascii="宋体" w:hAnsi="宋体" w:eastAsia="宋体" w:cs="宋体"/>
          <w:spacing w:val="0"/>
          <w:sz w:val="21"/>
          <w:szCs w:val="21"/>
          <w:highlight w:val="none"/>
          <w:lang w:eastAsia="zh-Hans"/>
        </w:rPr>
        <w:t>或者合同履行期间发生</w:t>
      </w:r>
      <w:r>
        <w:rPr>
          <w:rFonts w:hint="eastAsia" w:ascii="宋体" w:hAnsi="宋体" w:eastAsia="宋体" w:cs="宋体"/>
          <w:spacing w:val="0"/>
          <w:sz w:val="21"/>
          <w:szCs w:val="21"/>
          <w:highlight w:val="none"/>
          <w:lang w:eastAsia="zh-CN"/>
        </w:rPr>
        <w:t>被人民法院列为失信被执行人、影响合同履约能力的重大行政处罚等情形，应及时向</w:t>
      </w:r>
      <w:r>
        <w:rPr>
          <w:rFonts w:hint="eastAsia" w:ascii="宋体" w:hAnsi="宋体" w:eastAsia="宋体" w:cs="宋体"/>
          <w:spacing w:val="0"/>
          <w:sz w:val="21"/>
          <w:szCs w:val="21"/>
          <w:highlight w:val="none"/>
          <w:lang w:eastAsia="zh-Hans"/>
        </w:rPr>
        <w:t>甲方的</w:t>
      </w:r>
      <w:r>
        <w:rPr>
          <w:rFonts w:hint="eastAsia" w:ascii="宋体" w:hAnsi="宋体" w:eastAsia="宋体" w:cs="宋体"/>
          <w:spacing w:val="0"/>
          <w:sz w:val="21"/>
          <w:szCs w:val="21"/>
          <w:highlight w:val="none"/>
          <w:lang w:eastAsia="zh-CN"/>
        </w:rPr>
        <w:t>履约管理单位</w:t>
      </w:r>
      <w:r>
        <w:rPr>
          <w:rFonts w:hint="eastAsia" w:ascii="宋体" w:hAnsi="宋体" w:eastAsia="宋体" w:cs="宋体"/>
          <w:spacing w:val="0"/>
          <w:sz w:val="21"/>
          <w:szCs w:val="21"/>
          <w:highlight w:val="none"/>
          <w:lang w:eastAsia="zh-Hans"/>
        </w:rPr>
        <w:t>、</w:t>
      </w:r>
      <w:r>
        <w:rPr>
          <w:rFonts w:hint="eastAsia" w:ascii="宋体" w:hAnsi="宋体" w:eastAsia="宋体" w:cs="宋体"/>
          <w:spacing w:val="0"/>
          <w:sz w:val="21"/>
          <w:szCs w:val="21"/>
          <w:highlight w:val="none"/>
          <w:lang w:eastAsia="zh-CN"/>
        </w:rPr>
        <w:t>物资部报备。</w:t>
      </w:r>
    </w:p>
    <w:p w14:paraId="4B452890">
      <w:pPr>
        <w:spacing w:line="360" w:lineRule="auto"/>
        <w:rPr>
          <w:rFonts w:hint="eastAsia" w:ascii="宋体" w:hAnsi="宋体" w:eastAsia="宋体" w:cs="宋体"/>
          <w:spacing w:val="0"/>
          <w:sz w:val="21"/>
          <w:szCs w:val="21"/>
          <w:highlight w:val="none"/>
          <w:lang w:eastAsia="zh-CN"/>
        </w:rPr>
      </w:pPr>
    </w:p>
    <w:p w14:paraId="77DD84AD">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第八条  工作成果验收</w:t>
      </w:r>
      <w:bookmarkEnd w:id="126"/>
      <w:bookmarkEnd w:id="127"/>
      <w:bookmarkEnd w:id="128"/>
      <w:bookmarkEnd w:id="129"/>
      <w:bookmarkEnd w:id="130"/>
    </w:p>
    <w:p w14:paraId="33E5BB51">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8.1 本合同约定的各项服务自完成之日起</w:t>
      </w:r>
      <w:r>
        <w:rPr>
          <w:rFonts w:hint="eastAsia" w:ascii="宋体" w:hAnsi="宋体" w:eastAsia="宋体" w:cs="宋体"/>
          <w:spacing w:val="0"/>
          <w:sz w:val="21"/>
          <w:szCs w:val="21"/>
          <w:highlight w:val="none"/>
          <w:lang w:val="en-US" w:eastAsia="zh-CN"/>
        </w:rPr>
        <w:t>10</w:t>
      </w:r>
      <w:r>
        <w:rPr>
          <w:rFonts w:hint="eastAsia" w:ascii="宋体" w:hAnsi="宋体" w:eastAsia="宋体" w:cs="宋体"/>
          <w:spacing w:val="0"/>
          <w:sz w:val="21"/>
          <w:szCs w:val="21"/>
          <w:highlight w:val="none"/>
          <w:lang w:eastAsia="zh-CN"/>
        </w:rPr>
        <w:t>日内，乙方应书面提请甲方进行验收，验收通过的，甲方在验收报告上签署意见。如果验收不合格，乙方应按甲方的意见免费进行修改或重新制作或编制，并自验收不合格之日起</w:t>
      </w:r>
      <w:r>
        <w:rPr>
          <w:rFonts w:hint="eastAsia" w:ascii="宋体" w:hAnsi="宋体" w:eastAsia="宋体" w:cs="宋体"/>
          <w:spacing w:val="0"/>
          <w:sz w:val="21"/>
          <w:szCs w:val="21"/>
          <w:highlight w:val="none"/>
          <w:lang w:val="en-US" w:eastAsia="zh-CN"/>
        </w:rPr>
        <w:t>10</w:t>
      </w:r>
      <w:r>
        <w:rPr>
          <w:rFonts w:hint="eastAsia" w:ascii="宋体" w:hAnsi="宋体" w:eastAsia="宋体" w:cs="宋体"/>
          <w:spacing w:val="0"/>
          <w:sz w:val="21"/>
          <w:szCs w:val="21"/>
          <w:highlight w:val="none"/>
          <w:lang w:eastAsia="zh-CN"/>
        </w:rPr>
        <w:t>日内重新提请验收。详细验收条件请参照附件一：用户需求书（</w:t>
      </w:r>
      <w:r>
        <w:rPr>
          <w:rFonts w:hint="eastAsia" w:ascii="宋体" w:hAnsi="宋体" w:eastAsia="宋体" w:cs="宋体"/>
          <w:spacing w:val="0"/>
          <w:sz w:val="21"/>
          <w:szCs w:val="21"/>
          <w:highlight w:val="none"/>
          <w:lang w:val="en-US" w:eastAsia="zh-CN"/>
        </w:rPr>
        <w:t>用户需求书）</w:t>
      </w:r>
      <w:r>
        <w:rPr>
          <w:rFonts w:hint="eastAsia" w:ascii="宋体" w:hAnsi="宋体" w:eastAsia="宋体" w:cs="宋体"/>
          <w:spacing w:val="0"/>
          <w:sz w:val="21"/>
          <w:szCs w:val="21"/>
          <w:highlight w:val="none"/>
          <w:lang w:eastAsia="zh-CN"/>
        </w:rPr>
        <w:t>。</w:t>
      </w:r>
    </w:p>
    <w:p w14:paraId="398CF34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8.2 任一服务事项连续</w:t>
      </w:r>
      <w:r>
        <w:rPr>
          <w:rFonts w:hint="eastAsia" w:ascii="宋体" w:hAnsi="宋体" w:eastAsia="宋体" w:cs="宋体"/>
          <w:spacing w:val="0"/>
          <w:sz w:val="21"/>
          <w:szCs w:val="21"/>
          <w:highlight w:val="none"/>
          <w:lang w:val="en-US" w:eastAsia="zh-CN"/>
        </w:rPr>
        <w:t>3</w:t>
      </w:r>
      <w:r>
        <w:rPr>
          <w:rFonts w:hint="eastAsia" w:ascii="宋体" w:hAnsi="宋体" w:eastAsia="宋体" w:cs="宋体"/>
          <w:spacing w:val="0"/>
          <w:sz w:val="21"/>
          <w:szCs w:val="21"/>
          <w:highlight w:val="none"/>
          <w:lang w:eastAsia="zh-CN"/>
        </w:rPr>
        <w:t>次验收不合格的，则视为乙方没有完成该项服务。乙方应根据合同约定承担相应违约责任。</w:t>
      </w:r>
    </w:p>
    <w:p w14:paraId="48BBAE3C">
      <w:pPr>
        <w:spacing w:line="360" w:lineRule="auto"/>
        <w:rPr>
          <w:rFonts w:hint="eastAsia" w:ascii="宋体" w:hAnsi="宋体" w:eastAsia="宋体" w:cs="宋体"/>
          <w:b/>
          <w:spacing w:val="0"/>
          <w:sz w:val="21"/>
          <w:szCs w:val="21"/>
          <w:highlight w:val="none"/>
          <w:lang w:eastAsia="zh-CN"/>
        </w:rPr>
      </w:pPr>
      <w:bookmarkStart w:id="131" w:name="_Toc424651539"/>
      <w:bookmarkStart w:id="132" w:name="_Toc297806561"/>
      <w:bookmarkStart w:id="133" w:name="_Toc297806538"/>
      <w:bookmarkStart w:id="134" w:name="_Toc298258578"/>
      <w:bookmarkStart w:id="135" w:name="_Toc221503547"/>
    </w:p>
    <w:p w14:paraId="7AEE1977">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第九条  知识产权</w:t>
      </w:r>
      <w:bookmarkEnd w:id="131"/>
      <w:bookmarkEnd w:id="132"/>
      <w:bookmarkEnd w:id="133"/>
      <w:bookmarkEnd w:id="134"/>
      <w:bookmarkEnd w:id="135"/>
    </w:p>
    <w:p w14:paraId="0F4C3174">
      <w:pPr>
        <w:spacing w:line="360" w:lineRule="auto"/>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9.1 乙方保证，双方在本项目执行中形成的任何工作成果、技术方案及其他知识产权（包括但不限于著作权、专利权、专利申请权、技术秘密等），所对应的权利归甲方所有，乙方及其委派人员不因履行本合同项下的技术服务而享有任何知识产权及相关权益。</w:t>
      </w:r>
    </w:p>
    <w:p w14:paraId="7D1862B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9.2 甲方提供给乙方的企业标识、图片、文字等任何资料、文件的知识产权归属于甲方，乙方仅能在本项目范围内使用。</w:t>
      </w:r>
    </w:p>
    <w:p w14:paraId="16AC722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9.3 乙方保证，其执行本项目所使用的任何资料、方法、以及向甲方提供的所有工作成果均不会侵犯任何第三方所拥有的包括但不限于知识产权在内的各项权利。如果甲方因此遭受第三方索赔或起诉，乙方承诺负责处理上述索赔或起诉，自行承担解决上述第三方索赔或起诉的所有费用，并负责消除第三方索赔或起诉对甲方的不利影响，赔偿甲方因此而遭受的全部损失和支付的费用。</w:t>
      </w:r>
    </w:p>
    <w:p w14:paraId="6DFE8281">
      <w:pPr>
        <w:spacing w:line="360" w:lineRule="auto"/>
        <w:ind w:firstLine="210" w:firstLineChars="100"/>
        <w:rPr>
          <w:rFonts w:hint="eastAsia" w:ascii="宋体" w:hAnsi="宋体" w:eastAsia="宋体" w:cs="宋体"/>
          <w:spacing w:val="0"/>
          <w:sz w:val="21"/>
          <w:szCs w:val="21"/>
          <w:highlight w:val="none"/>
          <w:lang w:eastAsia="zh-CN"/>
        </w:rPr>
      </w:pPr>
    </w:p>
    <w:p w14:paraId="5AF29B50">
      <w:pPr>
        <w:spacing w:line="360" w:lineRule="auto"/>
        <w:rPr>
          <w:rFonts w:hint="eastAsia" w:ascii="宋体" w:hAnsi="宋体" w:eastAsia="宋体" w:cs="宋体"/>
          <w:b/>
          <w:spacing w:val="0"/>
          <w:sz w:val="21"/>
          <w:szCs w:val="21"/>
          <w:highlight w:val="none"/>
          <w:lang w:eastAsia="zh-CN"/>
        </w:rPr>
      </w:pPr>
      <w:bookmarkStart w:id="136" w:name="_Toc424651541"/>
      <w:bookmarkStart w:id="137" w:name="_Toc424648874"/>
      <w:r>
        <w:rPr>
          <w:rFonts w:hint="eastAsia" w:ascii="宋体" w:hAnsi="宋体" w:eastAsia="宋体" w:cs="宋体"/>
          <w:b/>
          <w:spacing w:val="0"/>
          <w:sz w:val="21"/>
          <w:szCs w:val="21"/>
          <w:highlight w:val="none"/>
          <w:lang w:eastAsia="zh-CN"/>
        </w:rPr>
        <w:t>第十条  保密</w:t>
      </w:r>
      <w:bookmarkEnd w:id="136"/>
      <w:bookmarkEnd w:id="137"/>
    </w:p>
    <w:p w14:paraId="6E8F244A">
      <w:pPr>
        <w:spacing w:line="360" w:lineRule="auto"/>
        <w:rPr>
          <w:rFonts w:hint="eastAsia" w:ascii="宋体" w:hAnsi="宋体" w:eastAsia="宋体" w:cs="宋体"/>
          <w:spacing w:val="0"/>
          <w:sz w:val="21"/>
          <w:szCs w:val="21"/>
          <w:highlight w:val="none"/>
          <w:lang w:eastAsia="zh-CN"/>
        </w:rPr>
      </w:pPr>
      <w:bookmarkStart w:id="138" w:name="_Toc424651542"/>
      <w:bookmarkStart w:id="139" w:name="_Toc424648875"/>
      <w:r>
        <w:rPr>
          <w:rFonts w:hint="eastAsia" w:ascii="宋体" w:hAnsi="宋体" w:eastAsia="宋体" w:cs="宋体"/>
          <w:spacing w:val="0"/>
          <w:sz w:val="21"/>
          <w:szCs w:val="21"/>
          <w:highlight w:val="none"/>
          <w:lang w:eastAsia="zh-CN"/>
        </w:rPr>
        <w:t>10.1 保密信息包括但不限于乙方因本项目以任何方式从甲方或其关联公司或其他甲方的代表机构和甲方正式聘请的中介机构处获得的任何形式的、任何内容的信息、文件、知识、数据、绘图、专有技术、分析、计算、编辑、研究以及其它材料和实物，所有这些信息在本合同中总称为“保密信息”（上述关联公司、代表机构、中介机构提供的信息视同由甲方提供）。</w:t>
      </w:r>
      <w:bookmarkEnd w:id="138"/>
      <w:bookmarkEnd w:id="139"/>
    </w:p>
    <w:p w14:paraId="312C0D2D">
      <w:pPr>
        <w:spacing w:line="360" w:lineRule="auto"/>
        <w:rPr>
          <w:rFonts w:hint="eastAsia" w:ascii="宋体" w:hAnsi="宋体" w:eastAsia="宋体" w:cs="宋体"/>
          <w:spacing w:val="0"/>
          <w:sz w:val="21"/>
          <w:szCs w:val="21"/>
          <w:highlight w:val="none"/>
          <w:lang w:eastAsia="zh-CN"/>
        </w:rPr>
      </w:pPr>
      <w:bookmarkStart w:id="140" w:name="_Toc424648876"/>
      <w:bookmarkStart w:id="141" w:name="_Toc424651543"/>
      <w:r>
        <w:rPr>
          <w:rFonts w:hint="eastAsia" w:ascii="宋体" w:hAnsi="宋体" w:eastAsia="宋体" w:cs="宋体"/>
          <w:spacing w:val="0"/>
          <w:sz w:val="21"/>
          <w:szCs w:val="21"/>
          <w:highlight w:val="none"/>
          <w:lang w:eastAsia="zh-CN"/>
        </w:rPr>
        <w:t>10.2 本合同规定的保密信息不包括以下信息：</w:t>
      </w:r>
      <w:bookmarkEnd w:id="140"/>
      <w:bookmarkEnd w:id="141"/>
    </w:p>
    <w:p w14:paraId="2999EB10">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1.在从甲方处获得前，已经为乙方掌握的且甲方不反对使用或披露的信息；</w:t>
      </w:r>
    </w:p>
    <w:p w14:paraId="7D807A4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2.已经为公众所知的信息，除非该等信息为公众所知是由于乙方违反本合同；</w:t>
      </w:r>
    </w:p>
    <w:p w14:paraId="41F0B689">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3.乙方按照有管辖权的法院或其他有权机关的合法要求而披露的信息；</w:t>
      </w:r>
    </w:p>
    <w:p w14:paraId="250316E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4.依甲方的书面授权而向第三方所披露的信息。</w:t>
      </w:r>
    </w:p>
    <w:p w14:paraId="657E6F8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10.3 乙方只能为本合同的目的使用保密信息，且只能在乙方服务项目组成员的范围内披露或使用保密信息，但必须要求获得保密信息的相关人员</w:t>
      </w:r>
      <w:bookmarkStart w:id="142" w:name="_DV_C27"/>
      <w:r>
        <w:rPr>
          <w:rFonts w:hint="eastAsia" w:ascii="宋体" w:hAnsi="宋体" w:eastAsia="宋体" w:cs="宋体"/>
          <w:spacing w:val="0"/>
          <w:sz w:val="21"/>
          <w:szCs w:val="21"/>
          <w:highlight w:val="none"/>
          <w:lang w:eastAsia="zh-CN"/>
        </w:rPr>
        <w:t>对</w:t>
      </w:r>
      <w:bookmarkEnd w:id="142"/>
      <w:bookmarkStart w:id="143" w:name="_DV_M38"/>
      <w:bookmarkEnd w:id="143"/>
      <w:r>
        <w:rPr>
          <w:rFonts w:hint="eastAsia" w:ascii="宋体" w:hAnsi="宋体" w:eastAsia="宋体" w:cs="宋体"/>
          <w:spacing w:val="0"/>
          <w:sz w:val="21"/>
          <w:szCs w:val="21"/>
          <w:highlight w:val="none"/>
          <w:lang w:eastAsia="zh-CN"/>
        </w:rPr>
        <w:t>保密</w:t>
      </w:r>
      <w:bookmarkStart w:id="144" w:name="_DV_C29"/>
      <w:r>
        <w:rPr>
          <w:rFonts w:hint="eastAsia" w:ascii="宋体" w:hAnsi="宋体" w:eastAsia="宋体" w:cs="宋体"/>
          <w:spacing w:val="0"/>
          <w:sz w:val="21"/>
          <w:szCs w:val="21"/>
          <w:highlight w:val="none"/>
          <w:lang w:eastAsia="zh-CN"/>
        </w:rPr>
        <w:t>信息保密</w:t>
      </w:r>
      <w:bookmarkEnd w:id="144"/>
      <w:bookmarkStart w:id="145" w:name="_DV_M39"/>
      <w:bookmarkEnd w:id="145"/>
      <w:r>
        <w:rPr>
          <w:rFonts w:hint="eastAsia" w:ascii="宋体" w:hAnsi="宋体" w:eastAsia="宋体" w:cs="宋体"/>
          <w:spacing w:val="0"/>
          <w:sz w:val="21"/>
          <w:szCs w:val="21"/>
          <w:highlight w:val="none"/>
          <w:lang w:eastAsia="zh-CN"/>
        </w:rPr>
        <w:t>；除此之外，未经甲方书面同意，乙方不得向任何第三方提供或透露部分或全部保密信息。</w:t>
      </w:r>
    </w:p>
    <w:p w14:paraId="7FFE271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10.4 乙方应采取必要措施向乙方所有接触甲方保密信息之人员通告其对所有甲方信息都负有普遍的保密义务，如果该等人员违反保密义务，则由乙方承担在相关法律法规下的法律责任。</w:t>
      </w:r>
    </w:p>
    <w:p w14:paraId="5B04226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10.5 若本合同项下的服务工作已经完成或因故未能最终完成，或乙方违反本合同中规定的保密义务时，则根据甲方的要求，乙方应向甲方归还所有保密信息及其载体，或在甲方同意下，以书面形式确认已销毁所有其掌握的甲方保密信息。</w:t>
      </w:r>
    </w:p>
    <w:p w14:paraId="017F807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10.6 若乙方或其有关人员违反本合同规定的保密义务，乙方应赔偿由此给甲方造成的全部损失，并负责消除影响。</w:t>
      </w:r>
    </w:p>
    <w:p w14:paraId="3DA92AA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10.7 乙方对所获的甲方的保密信息负有保密义务的期限为</w:t>
      </w:r>
      <w:r>
        <w:rPr>
          <w:rFonts w:hint="eastAsia" w:ascii="宋体" w:hAnsi="宋体" w:eastAsia="宋体" w:cs="宋体"/>
          <w:spacing w:val="0"/>
          <w:sz w:val="21"/>
          <w:szCs w:val="21"/>
          <w:highlight w:val="none"/>
          <w:u w:val="single"/>
          <w:lang w:eastAsia="zh-CN"/>
        </w:rPr>
        <w:t xml:space="preserve"> 永久 </w:t>
      </w:r>
      <w:r>
        <w:rPr>
          <w:rFonts w:hint="eastAsia" w:ascii="宋体" w:hAnsi="宋体" w:eastAsia="宋体" w:cs="宋体"/>
          <w:spacing w:val="0"/>
          <w:sz w:val="21"/>
          <w:szCs w:val="21"/>
          <w:highlight w:val="none"/>
          <w:lang w:eastAsia="zh-CN"/>
        </w:rPr>
        <w:t>，直至保密信息已进入公共渠道或甲方以书面形式明确表示乙方无须再负保密义务为止。</w:t>
      </w:r>
    </w:p>
    <w:p w14:paraId="4C71CC94">
      <w:pPr>
        <w:spacing w:line="360" w:lineRule="auto"/>
        <w:rPr>
          <w:rFonts w:hint="eastAsia" w:ascii="宋体" w:hAnsi="宋体" w:eastAsia="宋体" w:cs="宋体"/>
          <w:b/>
          <w:spacing w:val="0"/>
          <w:sz w:val="21"/>
          <w:szCs w:val="21"/>
          <w:highlight w:val="none"/>
          <w:lang w:eastAsia="zh-CN"/>
        </w:rPr>
      </w:pPr>
      <w:bookmarkStart w:id="146" w:name="_Toc298258579"/>
      <w:bookmarkStart w:id="147" w:name="_Toc297806539"/>
      <w:bookmarkStart w:id="148" w:name="_Toc297806562"/>
      <w:bookmarkStart w:id="149" w:name="_Toc424651540"/>
    </w:p>
    <w:p w14:paraId="29424CAA">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第十一条  合同的变更和终止</w:t>
      </w:r>
      <w:bookmarkEnd w:id="146"/>
      <w:bookmarkEnd w:id="147"/>
      <w:bookmarkEnd w:id="148"/>
      <w:bookmarkEnd w:id="149"/>
    </w:p>
    <w:p w14:paraId="2E0F5A4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11.1 发生以下情形，本合同可以终止：</w:t>
      </w:r>
    </w:p>
    <w:p w14:paraId="129FE4C3">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1.甲方书面通知终止本合同；</w:t>
      </w:r>
    </w:p>
    <w:p w14:paraId="261810D3">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2.双方协商一致决定终止合同的；</w:t>
      </w:r>
    </w:p>
    <w:p w14:paraId="12EA74F3">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3.由于不可抗力致使本合同的全部义务不能履行的；</w:t>
      </w:r>
    </w:p>
    <w:p w14:paraId="1334C0BE">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4.法律规定及本合同约定的其他情形。</w:t>
      </w:r>
    </w:p>
    <w:p w14:paraId="017BC8C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11.2 甲方单方终止本合同的，甲方应支付乙方实际完成工作对应的服务费用，甲方单方终止合同自书面通知送达乙方时生效。</w:t>
      </w:r>
    </w:p>
    <w:p w14:paraId="294BA10E">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11.3 本合同及其附件仅能由双方通过签署书面文件的方式予以修改、补充、变更、放弃、终止或解除。</w:t>
      </w:r>
    </w:p>
    <w:p w14:paraId="6C79E76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11.4 本合同终止后，乙方应将已收取报酬部分的有关工作成果和相关资料移交给甲方，作为甲方日后工作所需。倘若甲方委托其他单位继续本合同工作的，乙方应做好项目的交接工作，且该第三方单位有权使用乙方已完成的工作成果。</w:t>
      </w:r>
    </w:p>
    <w:p w14:paraId="57E20B1A">
      <w:pPr>
        <w:spacing w:line="360" w:lineRule="auto"/>
        <w:rPr>
          <w:rFonts w:hint="eastAsia" w:ascii="宋体" w:hAnsi="宋体" w:eastAsia="宋体" w:cs="宋体"/>
          <w:spacing w:val="0"/>
          <w:sz w:val="21"/>
          <w:szCs w:val="21"/>
          <w:highlight w:val="none"/>
          <w:lang w:eastAsia="zh-CN"/>
        </w:rPr>
      </w:pPr>
    </w:p>
    <w:p w14:paraId="1607BC79">
      <w:pPr>
        <w:spacing w:line="360" w:lineRule="auto"/>
        <w:rPr>
          <w:rFonts w:hint="eastAsia" w:ascii="宋体" w:hAnsi="宋体" w:eastAsia="宋体" w:cs="宋体"/>
          <w:b/>
          <w:spacing w:val="0"/>
          <w:sz w:val="21"/>
          <w:szCs w:val="21"/>
          <w:highlight w:val="none"/>
          <w:lang w:eastAsia="zh-CN"/>
        </w:rPr>
      </w:pPr>
      <w:bookmarkStart w:id="150" w:name="_Toc297806540"/>
      <w:bookmarkStart w:id="151" w:name="_Toc298258580"/>
      <w:bookmarkStart w:id="152" w:name="_Toc424651544"/>
      <w:bookmarkStart w:id="153" w:name="_Toc297806563"/>
      <w:r>
        <w:rPr>
          <w:rFonts w:hint="eastAsia" w:ascii="宋体" w:hAnsi="宋体" w:eastAsia="宋体" w:cs="宋体"/>
          <w:b/>
          <w:spacing w:val="0"/>
          <w:sz w:val="21"/>
          <w:szCs w:val="21"/>
          <w:highlight w:val="none"/>
          <w:lang w:eastAsia="zh-CN"/>
        </w:rPr>
        <w:t>第十二条  违约责任</w:t>
      </w:r>
      <w:bookmarkEnd w:id="150"/>
      <w:bookmarkEnd w:id="151"/>
      <w:bookmarkEnd w:id="152"/>
      <w:bookmarkEnd w:id="153"/>
    </w:p>
    <w:p w14:paraId="4EA4DF0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12.1 甲方未按本合同规定支付服务费用，经乙方书面催告后</w:t>
      </w:r>
      <w:r>
        <w:rPr>
          <w:rFonts w:hint="eastAsia" w:ascii="宋体" w:hAnsi="宋体" w:eastAsia="宋体" w:cs="宋体"/>
          <w:spacing w:val="0"/>
          <w:sz w:val="21"/>
          <w:szCs w:val="21"/>
          <w:highlight w:val="none"/>
          <w:u w:val="single"/>
          <w:lang w:eastAsia="zh-CN"/>
        </w:rPr>
        <w:t>十</w:t>
      </w:r>
      <w:r>
        <w:rPr>
          <w:rFonts w:hint="eastAsia" w:ascii="宋体" w:hAnsi="宋体" w:eastAsia="宋体" w:cs="宋体"/>
          <w:spacing w:val="0"/>
          <w:sz w:val="21"/>
          <w:szCs w:val="21"/>
          <w:highlight w:val="none"/>
          <w:lang w:eastAsia="zh-CN"/>
        </w:rPr>
        <w:t>个工作日内不支付的，乙方有权在甲方支付相应服务费之前中止为甲方提供服务；如甲方在催告后</w:t>
      </w:r>
      <w:r>
        <w:rPr>
          <w:rFonts w:hint="eastAsia" w:ascii="宋体" w:hAnsi="宋体" w:eastAsia="宋体" w:cs="宋体"/>
          <w:spacing w:val="0"/>
          <w:sz w:val="21"/>
          <w:szCs w:val="21"/>
          <w:highlight w:val="none"/>
          <w:u w:val="single"/>
          <w:lang w:eastAsia="zh-CN"/>
        </w:rPr>
        <w:t>三十</w:t>
      </w:r>
      <w:r>
        <w:rPr>
          <w:rFonts w:hint="eastAsia" w:ascii="宋体" w:hAnsi="宋体" w:eastAsia="宋体" w:cs="宋体"/>
          <w:spacing w:val="0"/>
          <w:sz w:val="21"/>
          <w:szCs w:val="21"/>
          <w:highlight w:val="none"/>
          <w:lang w:eastAsia="zh-CN"/>
        </w:rPr>
        <w:t>个工作日仍未支付的，乙方有权单方解除本合同。</w:t>
      </w:r>
    </w:p>
    <w:p w14:paraId="27B2FFCE">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12.2 甲方未按约定履行提供资料等义务，造成乙方无法按期提交工作成果的，甲方应顺延乙方的服务期限，乙方不承担违约责任。</w:t>
      </w:r>
    </w:p>
    <w:p w14:paraId="11B5572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12.3 乙方不能按照约定的进度提交工作成果的，或在甲方对其服务方式或提交的某项工作成果提出异议后，乙方未能在甲方要求的期限内完成整改或采取弥补措施的，则每逾期一天，应向甲方支付相当于当期应收服务费用</w:t>
      </w:r>
      <w:r>
        <w:rPr>
          <w:rFonts w:hint="eastAsia" w:ascii="宋体" w:hAnsi="宋体" w:eastAsia="宋体" w:cs="宋体"/>
          <w:spacing w:val="0"/>
          <w:sz w:val="21"/>
          <w:szCs w:val="21"/>
          <w:highlight w:val="none"/>
          <w:u w:val="single"/>
          <w:lang w:eastAsia="zh-CN"/>
        </w:rPr>
        <w:t>千分之五</w:t>
      </w:r>
      <w:r>
        <w:rPr>
          <w:rFonts w:hint="eastAsia" w:ascii="宋体" w:hAnsi="宋体" w:eastAsia="宋体" w:cs="宋体"/>
          <w:spacing w:val="0"/>
          <w:sz w:val="21"/>
          <w:szCs w:val="21"/>
          <w:highlight w:val="none"/>
          <w:lang w:eastAsia="zh-CN"/>
        </w:rPr>
        <w:t>的金额，作为逾期违约金；前述违约金可由甲方在应付服务费用中进行扣减。如逾期30日，乙方仍未能提交符合甲方要求的工作成果的，甲方有权单方解除合同，要求乙方按服务费用的</w:t>
      </w:r>
      <w:r>
        <w:rPr>
          <w:rFonts w:hint="eastAsia" w:ascii="宋体" w:hAnsi="宋体" w:eastAsia="宋体" w:cs="宋体"/>
          <w:spacing w:val="0"/>
          <w:sz w:val="21"/>
          <w:szCs w:val="21"/>
          <w:highlight w:val="none"/>
          <w:u w:val="single"/>
          <w:lang w:eastAsia="zh-CN"/>
        </w:rPr>
        <w:t>20%</w:t>
      </w:r>
      <w:r>
        <w:rPr>
          <w:rFonts w:hint="eastAsia" w:ascii="宋体" w:hAnsi="宋体" w:eastAsia="宋体" w:cs="宋体"/>
          <w:spacing w:val="0"/>
          <w:sz w:val="21"/>
          <w:szCs w:val="21"/>
          <w:highlight w:val="none"/>
          <w:lang w:eastAsia="zh-CN"/>
        </w:rPr>
        <w:t>支付违约金，并不予退还履约保证金。</w:t>
      </w:r>
    </w:p>
    <w:p w14:paraId="3F20BDBA">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12.4 因乙方侵犯第三方的专利权、版权等知识产权而引起的任何责任，应由乙方承担，并使甲方免责。</w:t>
      </w:r>
    </w:p>
    <w:p w14:paraId="2D7A71F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12.5 乙方违反保密义务的，应当对甲方因此所遭受的所有损失承担赔偿责任。</w:t>
      </w:r>
    </w:p>
    <w:p w14:paraId="2C7D327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12.6 如乙方擅自变更或减少本合同所确定的项目组核心人员，乙方应向甲方支付人民币</w:t>
      </w:r>
      <w:r>
        <w:rPr>
          <w:rFonts w:hint="eastAsia" w:ascii="宋体" w:hAnsi="宋体" w:eastAsia="宋体" w:cs="宋体"/>
          <w:spacing w:val="0"/>
          <w:sz w:val="21"/>
          <w:szCs w:val="21"/>
          <w:highlight w:val="none"/>
          <w:lang w:val="en-US" w:eastAsia="zh-CN"/>
        </w:rPr>
        <w:t>2500</w:t>
      </w:r>
      <w:r>
        <w:rPr>
          <w:rFonts w:hint="eastAsia" w:ascii="宋体" w:hAnsi="宋体" w:eastAsia="宋体" w:cs="宋体"/>
          <w:spacing w:val="0"/>
          <w:sz w:val="21"/>
          <w:szCs w:val="21"/>
          <w:highlight w:val="none"/>
          <w:lang w:eastAsia="zh-CN"/>
        </w:rPr>
        <w:t>元/每人/每次的违约金，甲方可在应付服务费中扣除该违约金；同时乙方应根据甲方要求及时调整工作人员。</w:t>
      </w:r>
    </w:p>
    <w:p w14:paraId="33B6FD9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12.7 乙方擅自转包或分包本项目的，甲方有权解除本合同，要求乙方按服务费用的</w:t>
      </w:r>
      <w:r>
        <w:rPr>
          <w:rFonts w:hint="eastAsia" w:ascii="宋体" w:hAnsi="宋体" w:eastAsia="宋体" w:cs="宋体"/>
          <w:spacing w:val="0"/>
          <w:sz w:val="21"/>
          <w:szCs w:val="21"/>
          <w:highlight w:val="none"/>
          <w:u w:val="single"/>
          <w:lang w:eastAsia="zh-CN"/>
        </w:rPr>
        <w:t>20%</w:t>
      </w:r>
      <w:r>
        <w:rPr>
          <w:rFonts w:hint="eastAsia" w:ascii="宋体" w:hAnsi="宋体" w:eastAsia="宋体" w:cs="宋体"/>
          <w:spacing w:val="0"/>
          <w:sz w:val="21"/>
          <w:szCs w:val="21"/>
          <w:highlight w:val="none"/>
          <w:lang w:eastAsia="zh-CN"/>
        </w:rPr>
        <w:t>支付违约金，并不予退还履约保证金。如前述款项不足以弥补甲方损失的，乙方应赔偿甲方因此遭受的全部损失。</w:t>
      </w:r>
    </w:p>
    <w:p w14:paraId="467412F1">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12.8 由于乙方原因未能完成本项目或乙方侵犯第三方知识产权或违反保密义务，甲方有权解除本合同，乙方应按服务费用的</w:t>
      </w:r>
      <w:r>
        <w:rPr>
          <w:rFonts w:hint="eastAsia" w:ascii="宋体" w:hAnsi="宋体" w:eastAsia="宋体" w:cs="宋体"/>
          <w:spacing w:val="0"/>
          <w:sz w:val="21"/>
          <w:szCs w:val="21"/>
          <w:highlight w:val="none"/>
          <w:u w:val="single"/>
          <w:lang w:eastAsia="zh-CN"/>
        </w:rPr>
        <w:t>20%</w:t>
      </w:r>
      <w:r>
        <w:rPr>
          <w:rFonts w:hint="eastAsia" w:ascii="宋体" w:hAnsi="宋体" w:eastAsia="宋体" w:cs="宋体"/>
          <w:spacing w:val="0"/>
          <w:sz w:val="21"/>
          <w:szCs w:val="21"/>
          <w:highlight w:val="none"/>
          <w:lang w:eastAsia="zh-CN"/>
        </w:rPr>
        <w:t>支付违约金，履约保证金不予退还。上述款项不足以弥补甲方损失的，乙方应赔偿甲方因此遭受的全部损失。</w:t>
      </w:r>
    </w:p>
    <w:p w14:paraId="7577FA47">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12.9 任何一方违反其本合同项下的其他义务、保证或承诺，并给守约方造成实际损失的，应赔偿守约方实际遭受的损失。</w:t>
      </w:r>
    </w:p>
    <w:p w14:paraId="30F2012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12.10 任何一方发生向对方支付违约金或赔偿金情形的，应当在索赔方发出索赔通知后</w:t>
      </w:r>
      <w:r>
        <w:rPr>
          <w:rFonts w:hint="eastAsia" w:ascii="宋体" w:hAnsi="宋体" w:eastAsia="宋体" w:cs="宋体"/>
          <w:spacing w:val="0"/>
          <w:sz w:val="21"/>
          <w:szCs w:val="21"/>
          <w:highlight w:val="none"/>
          <w:u w:val="single"/>
          <w:lang w:eastAsia="zh-CN"/>
        </w:rPr>
        <w:t xml:space="preserve"> 7 </w:t>
      </w:r>
      <w:r>
        <w:rPr>
          <w:rFonts w:hint="eastAsia" w:ascii="宋体" w:hAnsi="宋体" w:eastAsia="宋体" w:cs="宋体"/>
          <w:spacing w:val="0"/>
          <w:sz w:val="21"/>
          <w:szCs w:val="21"/>
          <w:highlight w:val="none"/>
          <w:lang w:eastAsia="zh-CN"/>
        </w:rPr>
        <w:t>日之内予以支付。索赔方尚有未向偿付方支付的款项的，偿付方同意索赔方从未支付款项中抵扣相应数额的款项。</w:t>
      </w:r>
    </w:p>
    <w:p w14:paraId="51069503">
      <w:pPr>
        <w:spacing w:line="360" w:lineRule="auto"/>
        <w:rPr>
          <w:rFonts w:hint="eastAsia" w:ascii="宋体" w:hAnsi="宋体" w:eastAsia="宋体" w:cs="宋体"/>
          <w:spacing w:val="0"/>
          <w:sz w:val="21"/>
          <w:szCs w:val="21"/>
          <w:highlight w:val="none"/>
          <w:lang w:eastAsia="zh-CN"/>
        </w:rPr>
      </w:pPr>
    </w:p>
    <w:p w14:paraId="4EB7D2CF">
      <w:pPr>
        <w:spacing w:line="360" w:lineRule="auto"/>
        <w:rPr>
          <w:rFonts w:hint="eastAsia" w:ascii="宋体" w:hAnsi="宋体" w:eastAsia="宋体" w:cs="宋体"/>
          <w:b/>
          <w:spacing w:val="0"/>
          <w:sz w:val="21"/>
          <w:szCs w:val="21"/>
          <w:highlight w:val="none"/>
          <w:lang w:eastAsia="zh-CN"/>
        </w:rPr>
      </w:pPr>
      <w:bookmarkStart w:id="154" w:name="_Toc424651545"/>
      <w:bookmarkStart w:id="155" w:name="_Toc298258581"/>
      <w:bookmarkStart w:id="156" w:name="_Toc297806564"/>
      <w:bookmarkStart w:id="157" w:name="_Toc297806541"/>
      <w:r>
        <w:rPr>
          <w:rFonts w:hint="eastAsia" w:ascii="宋体" w:hAnsi="宋体" w:eastAsia="宋体" w:cs="宋体"/>
          <w:b/>
          <w:spacing w:val="0"/>
          <w:sz w:val="21"/>
          <w:szCs w:val="21"/>
          <w:highlight w:val="none"/>
          <w:lang w:eastAsia="zh-CN"/>
        </w:rPr>
        <w:t>第十三条  不可抗力</w:t>
      </w:r>
      <w:bookmarkEnd w:id="154"/>
      <w:bookmarkEnd w:id="155"/>
      <w:bookmarkEnd w:id="156"/>
      <w:bookmarkEnd w:id="157"/>
    </w:p>
    <w:p w14:paraId="09CA1A00">
      <w:pPr>
        <w:spacing w:line="360" w:lineRule="auto"/>
        <w:rPr>
          <w:rFonts w:hint="eastAsia" w:ascii="宋体" w:hAnsi="宋体" w:eastAsia="宋体" w:cs="宋体"/>
          <w:spacing w:val="0"/>
          <w:sz w:val="21"/>
          <w:szCs w:val="21"/>
          <w:highlight w:val="none"/>
          <w:lang w:eastAsia="zh-CN"/>
        </w:rPr>
      </w:pPr>
      <w:bookmarkStart w:id="158" w:name="_Toc169968033"/>
      <w:r>
        <w:rPr>
          <w:rFonts w:hint="eastAsia" w:ascii="宋体" w:hAnsi="宋体" w:eastAsia="宋体" w:cs="宋体"/>
          <w:spacing w:val="0"/>
          <w:sz w:val="21"/>
          <w:szCs w:val="21"/>
          <w:highlight w:val="none"/>
          <w:lang w:eastAsia="zh-CN"/>
        </w:rPr>
        <w:t>13.1</w:t>
      </w:r>
      <w:bookmarkEnd w:id="158"/>
      <w:r>
        <w:rPr>
          <w:rFonts w:hint="eastAsia" w:ascii="宋体" w:hAnsi="宋体" w:eastAsia="宋体" w:cs="宋体"/>
          <w:spacing w:val="0"/>
          <w:sz w:val="21"/>
          <w:szCs w:val="21"/>
          <w:highlight w:val="none"/>
          <w:lang w:eastAsia="zh-CN"/>
        </w:rPr>
        <w:t xml:space="preserve"> 本合同所称不可抗力事件指合同当事人不能预见、不能避免、不能克服的客观情况，包括但不限于地震、火灾、水灾、雷击、雪灾等天灾，战争、恐怖袭击、内乱、疫情等严重威胁安全或健康的情形。</w:t>
      </w:r>
    </w:p>
    <w:p w14:paraId="6A968CB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13.2 由于不可抗力原因，使双方或任何一方不能履行合同义务时，受到不可抗力影响的一方应采取有效措施，尽量避免或减少损失，将损失降低到最低程度；并在不可抗力发生后</w:t>
      </w:r>
      <w:r>
        <w:rPr>
          <w:rFonts w:hint="eastAsia" w:ascii="宋体" w:hAnsi="宋体" w:eastAsia="宋体" w:cs="宋体"/>
          <w:spacing w:val="0"/>
          <w:sz w:val="21"/>
          <w:szCs w:val="21"/>
          <w:highlight w:val="none"/>
          <w:u w:val="single"/>
          <w:lang w:eastAsia="zh-CN"/>
        </w:rPr>
        <w:t xml:space="preserve"> 二十四（24）</w:t>
      </w:r>
      <w:r>
        <w:rPr>
          <w:rFonts w:hint="eastAsia" w:ascii="宋体" w:hAnsi="宋体" w:eastAsia="宋体" w:cs="宋体"/>
          <w:spacing w:val="0"/>
          <w:sz w:val="21"/>
          <w:szCs w:val="21"/>
          <w:highlight w:val="none"/>
          <w:lang w:eastAsia="zh-CN"/>
        </w:rPr>
        <w:t>小时内以书面形式通知对方， 在其后</w:t>
      </w:r>
      <w:r>
        <w:rPr>
          <w:rFonts w:hint="eastAsia" w:ascii="宋体" w:hAnsi="宋体" w:eastAsia="宋体" w:cs="宋体"/>
          <w:spacing w:val="0"/>
          <w:sz w:val="21"/>
          <w:szCs w:val="21"/>
          <w:highlight w:val="none"/>
          <w:u w:val="single"/>
          <w:lang w:eastAsia="zh-CN"/>
        </w:rPr>
        <w:t>十（10）</w:t>
      </w:r>
      <w:r>
        <w:rPr>
          <w:rFonts w:hint="eastAsia" w:ascii="宋体" w:hAnsi="宋体" w:eastAsia="宋体" w:cs="宋体"/>
          <w:spacing w:val="0"/>
          <w:sz w:val="21"/>
          <w:szCs w:val="21"/>
          <w:highlight w:val="none"/>
          <w:lang w:eastAsia="zh-CN"/>
        </w:rPr>
        <w:t>日内向对方提供有效证明文件。</w:t>
      </w:r>
    </w:p>
    <w:p w14:paraId="7C58177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13.3 因不可抗力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14:paraId="76EA6F43">
      <w:pPr>
        <w:spacing w:line="360" w:lineRule="auto"/>
        <w:rPr>
          <w:rFonts w:hint="eastAsia" w:ascii="宋体" w:hAnsi="宋体" w:eastAsia="宋体" w:cs="宋体"/>
          <w:b/>
          <w:bCs/>
          <w:spacing w:val="0"/>
          <w:sz w:val="21"/>
          <w:szCs w:val="21"/>
          <w:highlight w:val="none"/>
          <w:lang w:eastAsia="zh-CN"/>
        </w:rPr>
      </w:pPr>
    </w:p>
    <w:p w14:paraId="28DAF6CD">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第十四条  廉洁规范条款</w:t>
      </w:r>
    </w:p>
    <w:p w14:paraId="39CDCE50">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合同各方承诺：在本项目实施中均将严格遵守商业廉洁规范，不得直接、间接或变相向其他方公司及其员工、顾问及其亲朋好友提供任何形式的不正当利益，包括但不限于回扣、佣金、礼金、物品、有价证券、信用卡、购物卡/券、宴请、消费性娱乐活动、旅游活动，不得承诺未来兑现某种利益等形式，并将要求员工履行廉洁义务。任何一方违反廉洁条款都将视为该方根本违约，守约方可以解除本合同，甲方解除本合同的，有权不予退还乙方履约保证金。</w:t>
      </w:r>
    </w:p>
    <w:p w14:paraId="7A8CC1DC">
      <w:pPr>
        <w:spacing w:line="360" w:lineRule="auto"/>
        <w:rPr>
          <w:rFonts w:hint="eastAsia" w:ascii="宋体" w:hAnsi="宋体" w:eastAsia="宋体" w:cs="宋体"/>
          <w:b/>
          <w:spacing w:val="0"/>
          <w:sz w:val="21"/>
          <w:szCs w:val="21"/>
          <w:highlight w:val="none"/>
          <w:lang w:eastAsia="zh-CN"/>
        </w:rPr>
      </w:pPr>
      <w:bookmarkStart w:id="159" w:name="_Toc424651546"/>
      <w:bookmarkStart w:id="160" w:name="_Toc297806542"/>
      <w:bookmarkStart w:id="161" w:name="_Toc298258582"/>
      <w:bookmarkStart w:id="162" w:name="_Toc297806565"/>
    </w:p>
    <w:p w14:paraId="0E8493DA">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第十五条  争议解决</w:t>
      </w:r>
      <w:bookmarkEnd w:id="159"/>
      <w:bookmarkEnd w:id="160"/>
      <w:bookmarkEnd w:id="161"/>
      <w:bookmarkEnd w:id="162"/>
    </w:p>
    <w:p w14:paraId="108062BF">
      <w:pPr>
        <w:spacing w:line="360" w:lineRule="auto"/>
        <w:rPr>
          <w:rFonts w:hint="eastAsia" w:ascii="宋体" w:hAnsi="宋体" w:eastAsia="宋体" w:cs="宋体"/>
          <w:spacing w:val="0"/>
          <w:sz w:val="21"/>
          <w:szCs w:val="21"/>
          <w:highlight w:val="none"/>
          <w:lang w:eastAsia="zh-CN"/>
        </w:rPr>
      </w:pPr>
      <w:bookmarkStart w:id="163" w:name="_Toc424651547"/>
      <w:r>
        <w:rPr>
          <w:rFonts w:hint="eastAsia" w:ascii="宋体" w:hAnsi="宋体" w:eastAsia="宋体" w:cs="宋体"/>
          <w:spacing w:val="0"/>
          <w:sz w:val="21"/>
          <w:szCs w:val="21"/>
          <w:highlight w:val="none"/>
          <w:lang w:eastAsia="zh-CN"/>
        </w:rPr>
        <w:t>15.1 凡因执行本合同发生的与本合同有关的一切争议，双方应首先尽最大努力友好协商解决。</w:t>
      </w:r>
      <w:bookmarkEnd w:id="163"/>
    </w:p>
    <w:p w14:paraId="1678ED7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15.2 争议发生后，如果无法通过协商或调解解决争议，则应将争议诉至</w:t>
      </w:r>
      <w:r>
        <w:rPr>
          <w:rFonts w:hint="eastAsia" w:ascii="宋体" w:hAnsi="宋体" w:eastAsia="宋体" w:cs="宋体"/>
          <w:spacing w:val="0"/>
          <w:sz w:val="21"/>
          <w:szCs w:val="21"/>
          <w:highlight w:val="none"/>
          <w:u w:val="single"/>
          <w:lang w:eastAsia="zh-CN"/>
        </w:rPr>
        <w:t>甲方所在地</w:t>
      </w:r>
      <w:r>
        <w:rPr>
          <w:rFonts w:hint="eastAsia" w:ascii="宋体" w:hAnsi="宋体" w:eastAsia="宋体" w:cs="宋体"/>
          <w:spacing w:val="0"/>
          <w:sz w:val="21"/>
          <w:szCs w:val="21"/>
          <w:highlight w:val="none"/>
          <w:lang w:eastAsia="zh-CN"/>
        </w:rPr>
        <w:t>人民法院通过诉讼方式解决。</w:t>
      </w:r>
    </w:p>
    <w:p w14:paraId="08647E6F">
      <w:pPr>
        <w:spacing w:line="360" w:lineRule="auto"/>
        <w:rPr>
          <w:rFonts w:hint="eastAsia" w:ascii="宋体" w:hAnsi="宋体" w:eastAsia="宋体" w:cs="宋体"/>
          <w:spacing w:val="0"/>
          <w:sz w:val="21"/>
          <w:szCs w:val="21"/>
          <w:highlight w:val="none"/>
          <w:lang w:eastAsia="zh-CN"/>
        </w:rPr>
      </w:pPr>
    </w:p>
    <w:p w14:paraId="7A171DA5">
      <w:pPr>
        <w:spacing w:line="360" w:lineRule="auto"/>
        <w:rPr>
          <w:rFonts w:hint="eastAsia" w:ascii="宋体" w:hAnsi="宋体" w:eastAsia="宋体" w:cs="宋体"/>
          <w:b/>
          <w:spacing w:val="0"/>
          <w:sz w:val="21"/>
          <w:szCs w:val="21"/>
          <w:highlight w:val="none"/>
          <w:lang w:eastAsia="zh-CN"/>
        </w:rPr>
      </w:pPr>
      <w:bookmarkStart w:id="164" w:name="_Toc298258585"/>
      <w:bookmarkEnd w:id="164"/>
      <w:bookmarkStart w:id="165" w:name="_Toc298258584"/>
      <w:bookmarkEnd w:id="165"/>
      <w:bookmarkStart w:id="166" w:name="_Toc298258583"/>
      <w:bookmarkEnd w:id="166"/>
      <w:bookmarkStart w:id="167" w:name="_Toc298258586"/>
      <w:bookmarkEnd w:id="167"/>
      <w:bookmarkStart w:id="168" w:name="_Toc424651548"/>
      <w:bookmarkStart w:id="169" w:name="_Toc297806569"/>
      <w:bookmarkStart w:id="170" w:name="_Toc297806546"/>
      <w:bookmarkStart w:id="171" w:name="_Toc298258587"/>
      <w:r>
        <w:rPr>
          <w:rFonts w:hint="eastAsia" w:ascii="宋体" w:hAnsi="宋体" w:eastAsia="宋体" w:cs="宋体"/>
          <w:b/>
          <w:spacing w:val="0"/>
          <w:sz w:val="21"/>
          <w:szCs w:val="21"/>
          <w:highlight w:val="none"/>
          <w:lang w:eastAsia="zh-CN"/>
        </w:rPr>
        <w:t>第十六条  通知</w:t>
      </w:r>
      <w:bookmarkEnd w:id="168"/>
    </w:p>
    <w:p w14:paraId="1A4A589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16.1 任何与本合同有关的通知应以书面形式做出，由本合同一方以专人递送、邮递方式发出。通知以专人递送，于递交时视为送达；以邮递方式发出，于邮件寄出后的第3个工作日视为送达。任何通知一经送达即行生效。</w:t>
      </w:r>
    </w:p>
    <w:p w14:paraId="7473B4F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各方的联络及通讯方法以各方的下列信息为准：</w:t>
      </w:r>
    </w:p>
    <w:p w14:paraId="43E0076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甲方： </w:t>
      </w:r>
    </w:p>
    <w:p w14:paraId="5A191A5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地址：_____________________</w:t>
      </w:r>
    </w:p>
    <w:p w14:paraId="7025873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电话：_____________________</w:t>
      </w:r>
    </w:p>
    <w:p w14:paraId="101E2A2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收件人：_____________________</w:t>
      </w:r>
    </w:p>
    <w:p w14:paraId="65F6CAD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联系人：_____________________</w:t>
      </w:r>
    </w:p>
    <w:p w14:paraId="1ECFD9C7">
      <w:pPr>
        <w:spacing w:line="360" w:lineRule="auto"/>
        <w:rPr>
          <w:rFonts w:hint="eastAsia" w:ascii="宋体" w:hAnsi="宋体" w:eastAsia="宋体" w:cs="宋体"/>
          <w:spacing w:val="0"/>
          <w:sz w:val="21"/>
          <w:szCs w:val="21"/>
          <w:highlight w:val="none"/>
          <w:lang w:eastAsia="zh-CN"/>
        </w:rPr>
      </w:pPr>
    </w:p>
    <w:p w14:paraId="6C67F81B">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乙方：</w:t>
      </w:r>
    </w:p>
    <w:p w14:paraId="7BE4E8B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地址：_____________________</w:t>
      </w:r>
    </w:p>
    <w:p w14:paraId="20F67E4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电话：_____________________</w:t>
      </w:r>
    </w:p>
    <w:p w14:paraId="40B2B83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收件人：____________________</w:t>
      </w:r>
    </w:p>
    <w:p w14:paraId="1088C97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联系人：__________________</w:t>
      </w:r>
    </w:p>
    <w:p w14:paraId="1BF0E15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16.2 一方变更名称、地址、联系人或联系方式的，应当在变更后三日内及时书面通知对方，对方实际收到变更通知前的送达仍为有效送达。变更方未及时通知，对方按照变更前的信息进行送达的仍视为有效送达，因此产生的不利后果由变更方承担。 </w:t>
      </w:r>
    </w:p>
    <w:p w14:paraId="52DA3C93">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spacing w:val="0"/>
          <w:sz w:val="21"/>
          <w:szCs w:val="21"/>
          <w:highlight w:val="none"/>
          <w:lang w:eastAsia="zh-CN"/>
        </w:rPr>
        <w:t>16.3 本条款为独立条款，不受协议整体或其他条款的效力的影响，始终有效。</w:t>
      </w:r>
      <w:bookmarkStart w:id="172" w:name="_Toc424651549"/>
    </w:p>
    <w:p w14:paraId="33D997F5">
      <w:pPr>
        <w:spacing w:line="360" w:lineRule="auto"/>
        <w:rPr>
          <w:rFonts w:hint="eastAsia" w:ascii="宋体" w:hAnsi="宋体" w:eastAsia="宋体" w:cs="宋体"/>
          <w:b/>
          <w:spacing w:val="0"/>
          <w:sz w:val="21"/>
          <w:szCs w:val="21"/>
          <w:highlight w:val="none"/>
          <w:lang w:eastAsia="zh-CN"/>
        </w:rPr>
      </w:pPr>
    </w:p>
    <w:p w14:paraId="5490C943">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第十七条  其他约定</w:t>
      </w:r>
      <w:bookmarkEnd w:id="169"/>
      <w:bookmarkEnd w:id="170"/>
      <w:bookmarkEnd w:id="171"/>
      <w:bookmarkEnd w:id="172"/>
    </w:p>
    <w:p w14:paraId="19DCBFA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17.1 本合同自甲乙双方法定代表人或授权代表签名（如为授权代表签名，乙方需提交法定代表人授权委托书）并加盖单位公章或者合同专用章之日起生效。</w:t>
      </w:r>
    </w:p>
    <w:p w14:paraId="62233D09">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17.2 本合同的附件内容作为合同的组成部分，与本合同具有同等法律效力。未尽事宜由甲、乙双方另行协商并签订补充合同。</w:t>
      </w:r>
    </w:p>
    <w:p w14:paraId="3720331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17.3 本合同一式</w:t>
      </w:r>
      <w:r>
        <w:rPr>
          <w:rFonts w:hint="eastAsia" w:ascii="宋体" w:hAnsi="宋体" w:eastAsia="宋体" w:cs="宋体"/>
          <w:spacing w:val="0"/>
          <w:sz w:val="21"/>
          <w:szCs w:val="21"/>
          <w:highlight w:val="none"/>
          <w:u w:val="single"/>
          <w:lang w:eastAsia="zh-CN"/>
        </w:rPr>
        <w:t>9</w:t>
      </w:r>
      <w:r>
        <w:rPr>
          <w:rFonts w:hint="eastAsia" w:ascii="宋体" w:hAnsi="宋体" w:eastAsia="宋体" w:cs="宋体"/>
          <w:spacing w:val="0"/>
          <w:sz w:val="21"/>
          <w:szCs w:val="21"/>
          <w:highlight w:val="none"/>
          <w:lang w:eastAsia="zh-CN"/>
        </w:rPr>
        <w:t>份，其中正本</w:t>
      </w:r>
      <w:r>
        <w:rPr>
          <w:rFonts w:hint="eastAsia" w:ascii="宋体" w:hAnsi="宋体" w:eastAsia="宋体" w:cs="宋体"/>
          <w:spacing w:val="0"/>
          <w:sz w:val="21"/>
          <w:szCs w:val="21"/>
          <w:highlight w:val="none"/>
          <w:u w:val="single"/>
          <w:lang w:eastAsia="zh-CN"/>
        </w:rPr>
        <w:t>3</w:t>
      </w:r>
      <w:r>
        <w:rPr>
          <w:rFonts w:hint="eastAsia" w:ascii="宋体" w:hAnsi="宋体" w:eastAsia="宋体" w:cs="宋体"/>
          <w:spacing w:val="0"/>
          <w:sz w:val="21"/>
          <w:szCs w:val="21"/>
          <w:highlight w:val="none"/>
          <w:lang w:eastAsia="zh-CN"/>
        </w:rPr>
        <w:t>份，副本</w:t>
      </w:r>
      <w:r>
        <w:rPr>
          <w:rFonts w:hint="eastAsia" w:ascii="宋体" w:hAnsi="宋体" w:eastAsia="宋体" w:cs="宋体"/>
          <w:spacing w:val="0"/>
          <w:sz w:val="21"/>
          <w:szCs w:val="21"/>
          <w:highlight w:val="none"/>
          <w:u w:val="single"/>
          <w:lang w:eastAsia="zh-CN"/>
        </w:rPr>
        <w:t>6</w:t>
      </w:r>
      <w:r>
        <w:rPr>
          <w:rFonts w:hint="eastAsia" w:ascii="宋体" w:hAnsi="宋体" w:eastAsia="宋体" w:cs="宋体"/>
          <w:spacing w:val="0"/>
          <w:sz w:val="21"/>
          <w:szCs w:val="21"/>
          <w:highlight w:val="none"/>
          <w:lang w:eastAsia="zh-CN"/>
        </w:rPr>
        <w:t>份，甲方执</w:t>
      </w:r>
      <w:r>
        <w:rPr>
          <w:rFonts w:hint="eastAsia" w:ascii="宋体" w:hAnsi="宋体" w:eastAsia="宋体" w:cs="宋体"/>
          <w:spacing w:val="0"/>
          <w:sz w:val="21"/>
          <w:szCs w:val="21"/>
          <w:highlight w:val="none"/>
          <w:u w:val="single"/>
          <w:lang w:eastAsia="zh-CN"/>
        </w:rPr>
        <w:t>6</w:t>
      </w:r>
      <w:r>
        <w:rPr>
          <w:rFonts w:hint="eastAsia" w:ascii="宋体" w:hAnsi="宋体" w:eastAsia="宋体" w:cs="宋体"/>
          <w:spacing w:val="0"/>
          <w:sz w:val="21"/>
          <w:szCs w:val="21"/>
          <w:highlight w:val="none"/>
          <w:lang w:eastAsia="zh-CN"/>
        </w:rPr>
        <w:t>份，乙方执</w:t>
      </w:r>
      <w:r>
        <w:rPr>
          <w:rFonts w:hint="eastAsia" w:ascii="宋体" w:hAnsi="宋体" w:eastAsia="宋体" w:cs="宋体"/>
          <w:spacing w:val="0"/>
          <w:sz w:val="21"/>
          <w:szCs w:val="21"/>
          <w:highlight w:val="none"/>
          <w:u w:val="single"/>
          <w:lang w:eastAsia="zh-CN"/>
        </w:rPr>
        <w:t>3</w:t>
      </w:r>
      <w:r>
        <w:rPr>
          <w:rFonts w:hint="eastAsia" w:ascii="宋体" w:hAnsi="宋体" w:eastAsia="宋体" w:cs="宋体"/>
          <w:spacing w:val="0"/>
          <w:sz w:val="21"/>
          <w:szCs w:val="21"/>
          <w:highlight w:val="none"/>
          <w:lang w:eastAsia="zh-CN"/>
        </w:rPr>
        <w:t>份。正副本具有同等法律效力，如有冲突，以正本为准。</w:t>
      </w:r>
      <w:bookmarkEnd w:id="87"/>
      <w:bookmarkEnd w:id="88"/>
      <w:bookmarkEnd w:id="89"/>
      <w:bookmarkEnd w:id="90"/>
    </w:p>
    <w:p w14:paraId="63010789">
      <w:pPr>
        <w:spacing w:line="360" w:lineRule="auto"/>
        <w:rPr>
          <w:rFonts w:hint="eastAsia" w:ascii="宋体" w:hAnsi="宋体" w:eastAsia="宋体" w:cs="宋体"/>
          <w:b/>
          <w:bCs/>
          <w:spacing w:val="0"/>
          <w:sz w:val="21"/>
          <w:szCs w:val="21"/>
          <w:highlight w:val="none"/>
          <w:lang w:eastAsia="zh-CN"/>
        </w:rPr>
      </w:pPr>
      <w:bookmarkStart w:id="173" w:name="_Hlk18249179"/>
    </w:p>
    <w:p w14:paraId="4A539F3D">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 xml:space="preserve">第十八条  合同附件 </w:t>
      </w:r>
    </w:p>
    <w:bookmarkEnd w:id="173"/>
    <w:p w14:paraId="563B1B11">
      <w:pPr>
        <w:spacing w:line="360" w:lineRule="auto"/>
        <w:ind w:firstLine="420" w:firstLineChars="200"/>
        <w:rPr>
          <w:rFonts w:hint="default"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eastAsia="zh-CN"/>
        </w:rPr>
        <w:t>附件一：用户需求书</w:t>
      </w:r>
    </w:p>
    <w:p w14:paraId="776B0FBA">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附件二：价格明细表</w:t>
      </w:r>
    </w:p>
    <w:p w14:paraId="48DB1C3A">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附件三：项目组成员</w:t>
      </w:r>
    </w:p>
    <w:p w14:paraId="0B699424">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附件四：拟投入设备一览表</w:t>
      </w:r>
    </w:p>
    <w:p w14:paraId="62E7D7ED">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附件五：乙方技术方案及承诺（或授权书）</w:t>
      </w:r>
    </w:p>
    <w:p w14:paraId="2A7CA294">
      <w:pPr>
        <w:spacing w:line="360" w:lineRule="auto"/>
        <w:ind w:firstLine="420" w:firstLineChars="200"/>
        <w:rPr>
          <w:rFonts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附件六：法定代表人授权书及法定代表人身份证复印件</w:t>
      </w:r>
    </w:p>
    <w:p w14:paraId="0998D94F">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附件七：履约保证金收据/履约保函复印件</w:t>
      </w:r>
    </w:p>
    <w:p w14:paraId="0F31E1D8">
      <w:pPr>
        <w:spacing w:line="360" w:lineRule="auto"/>
        <w:ind w:firstLine="420" w:firstLineChars="200"/>
        <w:rPr>
          <w:rFonts w:cs="宋体"/>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附件八：中标通知书/成交通知书复印件</w:t>
      </w:r>
    </w:p>
    <w:p w14:paraId="0A1B3E1E">
      <w:pPr>
        <w:rPr>
          <w:rFonts w:hint="eastAsia" w:hAnsi="宋体"/>
          <w:b/>
          <w:spacing w:val="0"/>
          <w:sz w:val="21"/>
          <w:szCs w:val="21"/>
          <w:highlight w:val="none"/>
          <w:lang w:eastAsia="zh-CN"/>
        </w:rPr>
      </w:pPr>
      <w:r>
        <w:rPr>
          <w:rFonts w:hint="eastAsia" w:hAnsi="宋体"/>
          <w:b/>
          <w:spacing w:val="0"/>
          <w:sz w:val="21"/>
          <w:szCs w:val="21"/>
          <w:highlight w:val="none"/>
          <w:lang w:eastAsia="zh-CN"/>
        </w:rPr>
        <w:br w:type="page"/>
      </w:r>
    </w:p>
    <w:p w14:paraId="428DB307">
      <w:pPr>
        <w:pStyle w:val="13"/>
        <w:spacing w:line="360" w:lineRule="exact"/>
        <w:jc w:val="center"/>
        <w:rPr>
          <w:rFonts w:hAnsi="宋体"/>
          <w:b/>
          <w:spacing w:val="0"/>
          <w:sz w:val="21"/>
          <w:szCs w:val="21"/>
          <w:highlight w:val="none"/>
          <w:lang w:eastAsia="zh-CN"/>
        </w:rPr>
      </w:pPr>
      <w:r>
        <w:rPr>
          <w:rFonts w:hint="eastAsia" w:hAnsi="宋体"/>
          <w:b/>
          <w:spacing w:val="0"/>
          <w:sz w:val="21"/>
          <w:szCs w:val="21"/>
          <w:highlight w:val="none"/>
          <w:lang w:eastAsia="zh-CN"/>
        </w:rPr>
        <w:t>（此页无正文，为合同签署页）</w:t>
      </w:r>
    </w:p>
    <w:p w14:paraId="71901219">
      <w:pPr>
        <w:pStyle w:val="13"/>
        <w:rPr>
          <w:rFonts w:hAnsi="宋体"/>
          <w:b/>
          <w:spacing w:val="0"/>
          <w:sz w:val="21"/>
          <w:szCs w:val="21"/>
          <w:highlight w:val="none"/>
          <w:lang w:eastAsia="zh-CN"/>
        </w:rPr>
      </w:pPr>
    </w:p>
    <w:p w14:paraId="356BA390">
      <w:pPr>
        <w:pStyle w:val="13"/>
        <w:rPr>
          <w:rFonts w:hAnsi="宋体"/>
          <w:b/>
          <w:spacing w:val="0"/>
          <w:sz w:val="21"/>
          <w:szCs w:val="21"/>
          <w:highlight w:val="none"/>
          <w:lang w:eastAsia="zh-CN"/>
        </w:rPr>
      </w:pPr>
      <w:r>
        <w:rPr>
          <w:b/>
          <w:spacing w:val="0"/>
          <w:sz w:val="21"/>
          <w:highlight w:val="none"/>
        </w:rPr>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18415</wp:posOffset>
                </wp:positionV>
                <wp:extent cx="2828925" cy="3949700"/>
                <wp:effectExtent l="0" t="0" r="9525" b="12700"/>
                <wp:wrapNone/>
                <wp:docPr id="7" name="文本框 7"/>
                <wp:cNvGraphicFramePr/>
                <a:graphic xmlns:a="http://schemas.openxmlformats.org/drawingml/2006/main">
                  <a:graphicData uri="http://schemas.microsoft.com/office/word/2010/wordprocessingShape">
                    <wps:wsp>
                      <wps:cNvSpPr txBox="1"/>
                      <wps:spPr>
                        <a:xfrm>
                          <a:off x="0" y="0"/>
                          <a:ext cx="2828925" cy="3949700"/>
                        </a:xfrm>
                        <a:prstGeom prst="rect">
                          <a:avLst/>
                        </a:prstGeom>
                        <a:solidFill>
                          <a:srgbClr val="FFFFFF"/>
                        </a:solidFill>
                        <a:ln>
                          <a:noFill/>
                        </a:ln>
                        <a:effectLst/>
                      </wps:spPr>
                      <wps:txbx>
                        <w:txbxContent>
                          <w:p w14:paraId="74041178">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4FC7E802">
                            <w:pPr>
                              <w:pStyle w:val="11"/>
                              <w:tabs>
                                <w:tab w:val="left" w:pos="180"/>
                              </w:tabs>
                              <w:rPr>
                                <w:rFonts w:hAnsi="宋体"/>
                                <w:b/>
                                <w:kern w:val="2"/>
                                <w:szCs w:val="24"/>
                                <w:lang w:eastAsia="zh-CN"/>
                              </w:rPr>
                            </w:pPr>
                          </w:p>
                          <w:p w14:paraId="171DD439">
                            <w:pPr>
                              <w:pStyle w:val="11"/>
                              <w:tabs>
                                <w:tab w:val="left" w:pos="180"/>
                              </w:tabs>
                              <w:rPr>
                                <w:rFonts w:hAnsi="宋体"/>
                                <w:b/>
                                <w:kern w:val="2"/>
                                <w:szCs w:val="24"/>
                                <w:lang w:eastAsia="zh-CN"/>
                              </w:rPr>
                            </w:pPr>
                          </w:p>
                          <w:p w14:paraId="43782543">
                            <w:pPr>
                              <w:pStyle w:val="11"/>
                              <w:tabs>
                                <w:tab w:val="left" w:pos="180"/>
                              </w:tabs>
                              <w:rPr>
                                <w:rFonts w:hAnsi="宋体"/>
                                <w:b/>
                                <w:kern w:val="2"/>
                                <w:szCs w:val="24"/>
                                <w:lang w:eastAsia="zh-CN"/>
                              </w:rPr>
                            </w:pPr>
                            <w:r>
                              <w:rPr>
                                <w:rFonts w:hint="eastAsia" w:ascii="宋体" w:hAnsi="宋体" w:eastAsiaTheme="minorEastAsia" w:cstheme="minorBidi"/>
                                <w:b/>
                                <w:kern w:val="2"/>
                                <w:sz w:val="21"/>
                                <w:szCs w:val="24"/>
                                <w:lang w:val="en-US" w:eastAsia="zh-CN" w:bidi="ar-SA"/>
                              </w:rPr>
                              <w:t>地址</w:t>
                            </w:r>
                            <w:r>
                              <w:rPr>
                                <w:rFonts w:hint="eastAsia" w:hAnsi="宋体"/>
                                <w:b/>
                                <w:kern w:val="2"/>
                                <w:szCs w:val="24"/>
                                <w:lang w:eastAsia="zh-CN"/>
                              </w:rPr>
                              <w:t>：</w:t>
                            </w:r>
                          </w:p>
                          <w:p w14:paraId="36331D7F">
                            <w:pPr>
                              <w:pStyle w:val="11"/>
                              <w:tabs>
                                <w:tab w:val="left" w:pos="180"/>
                              </w:tabs>
                              <w:rPr>
                                <w:rFonts w:hAnsi="宋体"/>
                                <w:b/>
                                <w:kern w:val="2"/>
                                <w:szCs w:val="24"/>
                                <w:lang w:eastAsia="zh-CN"/>
                              </w:rPr>
                            </w:pPr>
                          </w:p>
                          <w:p w14:paraId="2ADD52D2">
                            <w:pPr>
                              <w:spacing w:line="360" w:lineRule="auto"/>
                              <w:rPr>
                                <w:rFonts w:hint="eastAsia" w:ascii="宋体" w:hAnsi="宋体"/>
                                <w:b/>
                                <w:lang w:eastAsia="zh-CN"/>
                              </w:rPr>
                            </w:pPr>
                            <w:r>
                              <w:rPr>
                                <w:rFonts w:hint="eastAsia" w:ascii="宋体" w:hAnsi="宋体"/>
                                <w:b/>
                                <w:lang w:eastAsia="zh-CN"/>
                              </w:rPr>
                              <w:t>法人（或授权）代表：</w:t>
                            </w:r>
                          </w:p>
                          <w:p w14:paraId="3E663436">
                            <w:pPr>
                              <w:rPr>
                                <w:rFonts w:ascii="宋体" w:hAnsi="宋体"/>
                                <w:b/>
                              </w:rPr>
                            </w:pPr>
                            <w:r>
                              <w:rPr>
                                <w:rFonts w:ascii="宋体" w:hAnsi="宋体"/>
                                <w:b/>
                              </w:rPr>
                              <w:t>（签</w:t>
                            </w:r>
                            <w:r>
                              <w:rPr>
                                <w:rFonts w:hint="eastAsia" w:ascii="宋体" w:hAnsi="宋体"/>
                                <w:b/>
                              </w:rPr>
                              <w:t>名</w:t>
                            </w:r>
                            <w:r>
                              <w:rPr>
                                <w:rFonts w:ascii="宋体" w:hAnsi="宋体"/>
                                <w:b/>
                              </w:rPr>
                              <w:t>）</w:t>
                            </w:r>
                          </w:p>
                          <w:p w14:paraId="2799D046">
                            <w:pPr>
                              <w:rPr>
                                <w:rFonts w:ascii="宋体" w:hAnsi="宋体"/>
                                <w:b/>
                                <w:szCs w:val="20"/>
                              </w:rPr>
                            </w:pPr>
                          </w:p>
                          <w:p w14:paraId="5272074E">
                            <w:pPr>
                              <w:rPr>
                                <w:rFonts w:ascii="宋体" w:hAnsi="宋体"/>
                                <w:b/>
                                <w:szCs w:val="20"/>
                              </w:rPr>
                            </w:pPr>
                          </w:p>
                          <w:p w14:paraId="742EB6B2">
                            <w:r>
                              <w:rPr>
                                <w:rFonts w:hint="eastAsia" w:ascii="宋体" w:hAnsi="宋体"/>
                                <w:b/>
                                <w:szCs w:val="20"/>
                              </w:rPr>
                              <w:t>日期:      年   月   日</w:t>
                            </w:r>
                          </w:p>
                        </w:txbxContent>
                      </wps:txbx>
                      <wps:bodyPr upright="1"/>
                    </wps:wsp>
                  </a:graphicData>
                </a:graphic>
              </wp:anchor>
            </w:drawing>
          </mc:Choice>
          <mc:Fallback>
            <w:pict>
              <v:shape id="_x0000_s1026" o:spid="_x0000_s1026" o:spt="202" type="#_x0000_t202" style="position:absolute;left:0pt;margin-left:240.6pt;margin-top:1.45pt;height:311pt;width:222.75pt;z-index:251660288;mso-width-relative:page;mso-height-relative:page;" fillcolor="#FFFFFF" filled="t" stroked="f" coordsize="21600,21600" o:gfxdata="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duyv1wAAAAkBAAAPAAAAAAAAAAEAIAAAACIAAABkcnMv&#10;ZG93bnJldi54bWxQSwECFAAUAAAACACHTuJAwi3tgMsBAACGAwAADgAAAAAAAAABACAAAAAmAQAA&#10;ZHJzL2Uyb0RvYy54bWxQSwUGAAAAAAYABgBZAQAAYwUAAAAA&#10;">
                <v:fill on="t" focussize="0,0"/>
                <v:stroke on="f"/>
                <v:imagedata o:title=""/>
                <o:lock v:ext="edit" aspectratio="f"/>
                <v:textbox>
                  <w:txbxContent>
                    <w:p w14:paraId="74041178">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4FC7E802">
                      <w:pPr>
                        <w:pStyle w:val="11"/>
                        <w:tabs>
                          <w:tab w:val="left" w:pos="180"/>
                        </w:tabs>
                        <w:rPr>
                          <w:rFonts w:hAnsi="宋体"/>
                          <w:b/>
                          <w:kern w:val="2"/>
                          <w:szCs w:val="24"/>
                          <w:lang w:eastAsia="zh-CN"/>
                        </w:rPr>
                      </w:pPr>
                    </w:p>
                    <w:p w14:paraId="171DD439">
                      <w:pPr>
                        <w:pStyle w:val="11"/>
                        <w:tabs>
                          <w:tab w:val="left" w:pos="180"/>
                        </w:tabs>
                        <w:rPr>
                          <w:rFonts w:hAnsi="宋体"/>
                          <w:b/>
                          <w:kern w:val="2"/>
                          <w:szCs w:val="24"/>
                          <w:lang w:eastAsia="zh-CN"/>
                        </w:rPr>
                      </w:pPr>
                    </w:p>
                    <w:p w14:paraId="43782543">
                      <w:pPr>
                        <w:pStyle w:val="11"/>
                        <w:tabs>
                          <w:tab w:val="left" w:pos="180"/>
                        </w:tabs>
                        <w:rPr>
                          <w:rFonts w:hAnsi="宋体"/>
                          <w:b/>
                          <w:kern w:val="2"/>
                          <w:szCs w:val="24"/>
                          <w:lang w:eastAsia="zh-CN"/>
                        </w:rPr>
                      </w:pPr>
                      <w:r>
                        <w:rPr>
                          <w:rFonts w:hint="eastAsia" w:ascii="宋体" w:hAnsi="宋体" w:eastAsiaTheme="minorEastAsia" w:cstheme="minorBidi"/>
                          <w:b/>
                          <w:kern w:val="2"/>
                          <w:sz w:val="21"/>
                          <w:szCs w:val="24"/>
                          <w:lang w:val="en-US" w:eastAsia="zh-CN" w:bidi="ar-SA"/>
                        </w:rPr>
                        <w:t>地址</w:t>
                      </w:r>
                      <w:r>
                        <w:rPr>
                          <w:rFonts w:hint="eastAsia" w:hAnsi="宋体"/>
                          <w:b/>
                          <w:kern w:val="2"/>
                          <w:szCs w:val="24"/>
                          <w:lang w:eastAsia="zh-CN"/>
                        </w:rPr>
                        <w:t>：</w:t>
                      </w:r>
                    </w:p>
                    <w:p w14:paraId="36331D7F">
                      <w:pPr>
                        <w:pStyle w:val="11"/>
                        <w:tabs>
                          <w:tab w:val="left" w:pos="180"/>
                        </w:tabs>
                        <w:rPr>
                          <w:rFonts w:hAnsi="宋体"/>
                          <w:b/>
                          <w:kern w:val="2"/>
                          <w:szCs w:val="24"/>
                          <w:lang w:eastAsia="zh-CN"/>
                        </w:rPr>
                      </w:pPr>
                    </w:p>
                    <w:p w14:paraId="2ADD52D2">
                      <w:pPr>
                        <w:spacing w:line="360" w:lineRule="auto"/>
                        <w:rPr>
                          <w:rFonts w:hint="eastAsia" w:ascii="宋体" w:hAnsi="宋体"/>
                          <w:b/>
                          <w:lang w:eastAsia="zh-CN"/>
                        </w:rPr>
                      </w:pPr>
                      <w:r>
                        <w:rPr>
                          <w:rFonts w:hint="eastAsia" w:ascii="宋体" w:hAnsi="宋体"/>
                          <w:b/>
                          <w:lang w:eastAsia="zh-CN"/>
                        </w:rPr>
                        <w:t>法人（或授权）代表：</w:t>
                      </w:r>
                    </w:p>
                    <w:p w14:paraId="3E663436">
                      <w:pPr>
                        <w:rPr>
                          <w:rFonts w:ascii="宋体" w:hAnsi="宋体"/>
                          <w:b/>
                        </w:rPr>
                      </w:pPr>
                      <w:r>
                        <w:rPr>
                          <w:rFonts w:ascii="宋体" w:hAnsi="宋体"/>
                          <w:b/>
                        </w:rPr>
                        <w:t>（签</w:t>
                      </w:r>
                      <w:r>
                        <w:rPr>
                          <w:rFonts w:hint="eastAsia" w:ascii="宋体" w:hAnsi="宋体"/>
                          <w:b/>
                        </w:rPr>
                        <w:t>名</w:t>
                      </w:r>
                      <w:r>
                        <w:rPr>
                          <w:rFonts w:ascii="宋体" w:hAnsi="宋体"/>
                          <w:b/>
                        </w:rPr>
                        <w:t>）</w:t>
                      </w:r>
                    </w:p>
                    <w:p w14:paraId="2799D046">
                      <w:pPr>
                        <w:rPr>
                          <w:rFonts w:ascii="宋体" w:hAnsi="宋体"/>
                          <w:b/>
                          <w:szCs w:val="20"/>
                        </w:rPr>
                      </w:pPr>
                    </w:p>
                    <w:p w14:paraId="5272074E">
                      <w:pPr>
                        <w:rPr>
                          <w:rFonts w:ascii="宋体" w:hAnsi="宋体"/>
                          <w:b/>
                          <w:szCs w:val="20"/>
                        </w:rPr>
                      </w:pPr>
                    </w:p>
                    <w:p w14:paraId="742EB6B2">
                      <w:r>
                        <w:rPr>
                          <w:rFonts w:hint="eastAsia" w:ascii="宋体" w:hAnsi="宋体"/>
                          <w:b/>
                          <w:szCs w:val="20"/>
                        </w:rPr>
                        <w:t>日期:      年   月   日</w:t>
                      </w:r>
                    </w:p>
                  </w:txbxContent>
                </v:textbox>
              </v:shape>
            </w:pict>
          </mc:Fallback>
        </mc:AlternateContent>
      </w:r>
      <w:r>
        <w:rPr>
          <w:b/>
          <w:spacing w:val="0"/>
          <w:sz w:val="21"/>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6" name="文本框 6"/>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06B31232"/>
                        </w:txbxContent>
                      </wps:txbx>
                      <wps:bodyPr upright="1"/>
                    </wps:wsp>
                  </a:graphicData>
                </a:graphic>
              </wp:anchor>
            </w:drawing>
          </mc:Choice>
          <mc:Fallback>
            <w:pict>
              <v:shape id="_x0000_s1026" o:spid="_x0000_s1026" o:spt="202" type="#_x0000_t202" style="position:absolute;left:0pt;margin-left:0pt;margin-top:0.05pt;height:313pt;width:225pt;z-index:251659264;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yeLTAAAABQEAAA8AAAAAAAAAAQAgAAAAIgAAAGRycy9kb3ducmV2Lnht&#10;bFBLAQIUABQAAAAIAIdO4kByKkRJxQEAAIYDAAAOAAAAAAAAAAEAIAAAACIBAABkcnMvZTJvRG9j&#10;LnhtbFBLBQYAAAAABgAGAFkBAABZBQAAAAA=&#10;">
                <v:fill on="t" focussize="0,0"/>
                <v:stroke on="f"/>
                <v:imagedata o:title=""/>
                <o:lock v:ext="edit" aspectratio="f"/>
                <v:textbox>
                  <w:txbxContent>
                    <w:p w14:paraId="06B31232"/>
                  </w:txbxContent>
                </v:textbox>
              </v:shape>
            </w:pict>
          </mc:Fallback>
        </mc:AlternateContent>
      </w:r>
      <w:r>
        <w:rPr>
          <w:b/>
          <w:spacing w:val="0"/>
          <w:sz w:val="21"/>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8" name="文本框 8"/>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1F84B502">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76423772">
                            <w:pPr>
                              <w:spacing w:line="360" w:lineRule="auto"/>
                              <w:ind w:left="13" w:hanging="13" w:hangingChars="6"/>
                              <w:rPr>
                                <w:rFonts w:ascii="宋体" w:hAnsi="宋体"/>
                                <w:b/>
                                <w:lang w:eastAsia="zh-CN"/>
                              </w:rPr>
                            </w:pPr>
                            <w:r>
                              <w:rPr>
                                <w:rFonts w:ascii="宋体" w:hAnsi="宋体"/>
                                <w:b/>
                                <w:lang w:eastAsia="zh-CN"/>
                              </w:rPr>
                              <w:t>（盖章）</w:t>
                            </w:r>
                          </w:p>
                          <w:p w14:paraId="7160806D">
                            <w:pPr>
                              <w:spacing w:line="360" w:lineRule="auto"/>
                              <w:ind w:left="13" w:hanging="13" w:hangingChars="6"/>
                              <w:rPr>
                                <w:rFonts w:ascii="宋体" w:hAnsi="宋体"/>
                                <w:b/>
                                <w:lang w:eastAsia="zh-CN"/>
                              </w:rPr>
                            </w:pPr>
                          </w:p>
                          <w:p w14:paraId="6105F886">
                            <w:pPr>
                              <w:spacing w:line="360" w:lineRule="auto"/>
                              <w:ind w:left="13" w:hanging="13" w:hangingChars="6"/>
                              <w:rPr>
                                <w:rFonts w:ascii="宋体" w:hAnsi="宋体"/>
                                <w:b/>
                                <w:lang w:eastAsia="zh-CN"/>
                              </w:rPr>
                            </w:pPr>
                            <w:r>
                              <w:rPr>
                                <w:rFonts w:ascii="宋体" w:hAnsi="宋体"/>
                                <w:b/>
                                <w:lang w:eastAsia="zh-CN"/>
                              </w:rPr>
                              <w:t>地址：</w:t>
                            </w:r>
                          </w:p>
                          <w:p w14:paraId="0CC1FDE9">
                            <w:pPr>
                              <w:spacing w:line="360" w:lineRule="auto"/>
                              <w:ind w:left="13" w:hanging="13" w:hangingChars="6"/>
                              <w:rPr>
                                <w:rFonts w:ascii="宋体" w:hAnsi="宋体"/>
                                <w:b/>
                                <w:lang w:eastAsia="zh-CN"/>
                              </w:rPr>
                            </w:pPr>
                          </w:p>
                          <w:p w14:paraId="11601638">
                            <w:pPr>
                              <w:spacing w:line="360" w:lineRule="auto"/>
                              <w:ind w:left="13" w:hanging="13" w:hangingChars="6"/>
                              <w:rPr>
                                <w:rFonts w:ascii="宋体" w:hAnsi="宋体"/>
                                <w:b/>
                                <w:lang w:eastAsia="zh-CN"/>
                              </w:rPr>
                            </w:pPr>
                            <w:r>
                              <w:rPr>
                                <w:rFonts w:ascii="宋体" w:hAnsi="宋体"/>
                                <w:b/>
                                <w:lang w:eastAsia="zh-CN"/>
                              </w:rPr>
                              <w:t>法人（或授权）代表：</w:t>
                            </w:r>
                          </w:p>
                          <w:p w14:paraId="59060082">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7BE7B1AF">
                            <w:pPr>
                              <w:spacing w:line="360" w:lineRule="auto"/>
                              <w:ind w:left="13" w:hanging="13" w:hangingChars="6"/>
                              <w:rPr>
                                <w:rFonts w:ascii="宋体" w:hAnsi="宋体"/>
                                <w:b/>
                              </w:rPr>
                            </w:pPr>
                          </w:p>
                          <w:p w14:paraId="00407F03">
                            <w:pPr>
                              <w:spacing w:line="360" w:lineRule="auto"/>
                              <w:ind w:left="13" w:hanging="13" w:hangingChars="6"/>
                              <w:rPr>
                                <w:rFonts w:ascii="宋体" w:hAnsi="宋体"/>
                                <w:b/>
                              </w:rPr>
                            </w:pPr>
                            <w:r>
                              <w:rPr>
                                <w:rFonts w:ascii="宋体" w:hAnsi="宋体"/>
                                <w:b/>
                              </w:rPr>
                              <w:t>日期:      年   月   日</w:t>
                            </w:r>
                          </w:p>
                        </w:txbxContent>
                      </wps:txbx>
                      <wps:bodyPr upright="1"/>
                    </wps:wsp>
                  </a:graphicData>
                </a:graphic>
              </wp:anchor>
            </w:drawing>
          </mc:Choice>
          <mc:Fallback>
            <w:pict>
              <v:shape id="_x0000_s1026" o:spid="_x0000_s1026" o:spt="202" type="#_x0000_t202" style="position:absolute;left:0pt;margin-left:0pt;margin-top:0.05pt;height:313pt;width:225pt;z-index:251661312;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DJ4tMAAAAFAQAADwAAAAAAAAABACAAAAAiAAAAZHJzL2Rvd25yZXYueG1s&#10;UEsBAhQAFAAAAAgAh07iQFWFhvfEAQAAhgMAAA4AAAAAAAAAAQAgAAAAIgEAAGRycy9lMm9Eb2Mu&#10;eG1sUEsFBgAAAAAGAAYAWQEAAFgFAAAAAA==&#10;">
                <v:fill on="t" focussize="0,0"/>
                <v:stroke on="f"/>
                <v:imagedata o:title=""/>
                <o:lock v:ext="edit" aspectratio="f"/>
                <v:textbox>
                  <w:txbxContent>
                    <w:p w14:paraId="1F84B502">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76423772">
                      <w:pPr>
                        <w:spacing w:line="360" w:lineRule="auto"/>
                        <w:ind w:left="13" w:hanging="13" w:hangingChars="6"/>
                        <w:rPr>
                          <w:rFonts w:ascii="宋体" w:hAnsi="宋体"/>
                          <w:b/>
                          <w:lang w:eastAsia="zh-CN"/>
                        </w:rPr>
                      </w:pPr>
                      <w:r>
                        <w:rPr>
                          <w:rFonts w:ascii="宋体" w:hAnsi="宋体"/>
                          <w:b/>
                          <w:lang w:eastAsia="zh-CN"/>
                        </w:rPr>
                        <w:t>（盖章）</w:t>
                      </w:r>
                    </w:p>
                    <w:p w14:paraId="7160806D">
                      <w:pPr>
                        <w:spacing w:line="360" w:lineRule="auto"/>
                        <w:ind w:left="13" w:hanging="13" w:hangingChars="6"/>
                        <w:rPr>
                          <w:rFonts w:ascii="宋体" w:hAnsi="宋体"/>
                          <w:b/>
                          <w:lang w:eastAsia="zh-CN"/>
                        </w:rPr>
                      </w:pPr>
                    </w:p>
                    <w:p w14:paraId="6105F886">
                      <w:pPr>
                        <w:spacing w:line="360" w:lineRule="auto"/>
                        <w:ind w:left="13" w:hanging="13" w:hangingChars="6"/>
                        <w:rPr>
                          <w:rFonts w:ascii="宋体" w:hAnsi="宋体"/>
                          <w:b/>
                          <w:lang w:eastAsia="zh-CN"/>
                        </w:rPr>
                      </w:pPr>
                      <w:r>
                        <w:rPr>
                          <w:rFonts w:ascii="宋体" w:hAnsi="宋体"/>
                          <w:b/>
                          <w:lang w:eastAsia="zh-CN"/>
                        </w:rPr>
                        <w:t>地址：</w:t>
                      </w:r>
                    </w:p>
                    <w:p w14:paraId="0CC1FDE9">
                      <w:pPr>
                        <w:spacing w:line="360" w:lineRule="auto"/>
                        <w:ind w:left="13" w:hanging="13" w:hangingChars="6"/>
                        <w:rPr>
                          <w:rFonts w:ascii="宋体" w:hAnsi="宋体"/>
                          <w:b/>
                          <w:lang w:eastAsia="zh-CN"/>
                        </w:rPr>
                      </w:pPr>
                    </w:p>
                    <w:p w14:paraId="11601638">
                      <w:pPr>
                        <w:spacing w:line="360" w:lineRule="auto"/>
                        <w:ind w:left="13" w:hanging="13" w:hangingChars="6"/>
                        <w:rPr>
                          <w:rFonts w:ascii="宋体" w:hAnsi="宋体"/>
                          <w:b/>
                          <w:lang w:eastAsia="zh-CN"/>
                        </w:rPr>
                      </w:pPr>
                      <w:r>
                        <w:rPr>
                          <w:rFonts w:ascii="宋体" w:hAnsi="宋体"/>
                          <w:b/>
                          <w:lang w:eastAsia="zh-CN"/>
                        </w:rPr>
                        <w:t>法人（或授权）代表：</w:t>
                      </w:r>
                    </w:p>
                    <w:p w14:paraId="59060082">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7BE7B1AF">
                      <w:pPr>
                        <w:spacing w:line="360" w:lineRule="auto"/>
                        <w:ind w:left="13" w:hanging="13" w:hangingChars="6"/>
                        <w:rPr>
                          <w:rFonts w:ascii="宋体" w:hAnsi="宋体"/>
                          <w:b/>
                        </w:rPr>
                      </w:pPr>
                    </w:p>
                    <w:p w14:paraId="00407F03">
                      <w:pPr>
                        <w:spacing w:line="360" w:lineRule="auto"/>
                        <w:ind w:left="13" w:hanging="13" w:hangingChars="6"/>
                        <w:rPr>
                          <w:rFonts w:ascii="宋体" w:hAnsi="宋体"/>
                          <w:b/>
                        </w:rPr>
                      </w:pPr>
                      <w:r>
                        <w:rPr>
                          <w:rFonts w:ascii="宋体" w:hAnsi="宋体"/>
                          <w:b/>
                        </w:rPr>
                        <w:t>日期:      年   月   日</w:t>
                      </w:r>
                    </w:p>
                  </w:txbxContent>
                </v:textbox>
              </v:shape>
            </w:pict>
          </mc:Fallback>
        </mc:AlternateContent>
      </w:r>
    </w:p>
    <w:p w14:paraId="6327CC29">
      <w:pPr>
        <w:pStyle w:val="13"/>
        <w:rPr>
          <w:rFonts w:hAnsi="宋体"/>
          <w:b/>
          <w:spacing w:val="0"/>
          <w:sz w:val="21"/>
          <w:szCs w:val="21"/>
          <w:highlight w:val="none"/>
          <w:lang w:eastAsia="zh-CN"/>
        </w:rPr>
      </w:pPr>
    </w:p>
    <w:p w14:paraId="57E17899">
      <w:pPr>
        <w:pStyle w:val="13"/>
        <w:rPr>
          <w:rFonts w:hAnsi="宋体"/>
          <w:b/>
          <w:spacing w:val="0"/>
          <w:sz w:val="21"/>
          <w:szCs w:val="21"/>
          <w:highlight w:val="none"/>
          <w:lang w:eastAsia="zh-CN"/>
        </w:rPr>
      </w:pPr>
    </w:p>
    <w:p w14:paraId="4CE02DF5">
      <w:pPr>
        <w:pStyle w:val="13"/>
        <w:spacing w:line="360" w:lineRule="auto"/>
        <w:rPr>
          <w:spacing w:val="0"/>
          <w:sz w:val="21"/>
          <w:highlight w:val="none"/>
          <w:lang w:eastAsia="zh-CN"/>
        </w:rPr>
        <w:sectPr>
          <w:footerReference r:id="rId4" w:type="default"/>
          <w:pgSz w:w="11906" w:h="16838"/>
          <w:pgMar w:top="1440" w:right="1247" w:bottom="1440" w:left="1247" w:header="851" w:footer="992" w:gutter="0"/>
          <w:pgNumType w:fmt="decimal"/>
          <w:cols w:space="720" w:num="1"/>
          <w:docGrid w:type="linesAndChars" w:linePitch="312" w:charSpace="0"/>
        </w:sectPr>
      </w:pPr>
    </w:p>
    <w:p w14:paraId="2DD2735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20D45D41">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sz w:val="28"/>
          <w:szCs w:val="28"/>
          <w:highlight w:val="none"/>
          <w:lang w:val="en-US"/>
        </w:rPr>
      </w:pPr>
    </w:p>
    <w:p w14:paraId="194AED1E">
      <w:pPr>
        <w:pStyle w:val="6"/>
        <w:rPr>
          <w:rFonts w:hint="eastAsia"/>
          <w:highlight w:val="none"/>
          <w:lang w:val="en-US"/>
        </w:rPr>
      </w:pPr>
    </w:p>
    <w:p w14:paraId="57848661">
      <w:pPr>
        <w:pStyle w:val="17"/>
        <w:widowControl/>
        <w:rPr>
          <w:highlight w:val="none"/>
          <w:lang w:val="en-US"/>
        </w:rPr>
      </w:pPr>
      <w:r>
        <w:rPr>
          <w:highlight w:val="none"/>
          <w:lang w:val="en-US"/>
        </w:rPr>
        <w:t xml:space="preserve"> </w:t>
      </w:r>
    </w:p>
    <w:p w14:paraId="74C8EF8C">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r>
        <w:rPr>
          <w:rFonts w:hint="eastAsia" w:ascii="黑体" w:hAnsi="宋体" w:eastAsia="黑体" w:cs="黑体"/>
          <w:color w:val="000000"/>
          <w:kern w:val="0"/>
          <w:sz w:val="20"/>
          <w:szCs w:val="20"/>
          <w:highlight w:val="none"/>
          <w:u w:color="000000"/>
          <w:lang w:val="en-US" w:eastAsia="zh-CN" w:bidi="ar"/>
        </w:rPr>
        <w:t xml:space="preserve"> </w:t>
      </w:r>
    </w:p>
    <w:p w14:paraId="75A0CF06">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174" w:name="_Toc21573"/>
      <w:bookmarkEnd w:id="174"/>
      <w:bookmarkStart w:id="175" w:name="_Toc128_WPSOffice_Level1"/>
      <w:r>
        <w:rPr>
          <w:rFonts w:hint="eastAsia" w:ascii="宋体" w:hAnsi="宋体" w:eastAsia="宋体" w:cs="宋体"/>
          <w:b/>
          <w:bCs w:val="0"/>
          <w:color w:val="000000"/>
          <w:kern w:val="0"/>
          <w:sz w:val="44"/>
          <w:szCs w:val="44"/>
          <w:highlight w:val="none"/>
          <w:u w:color="000000"/>
          <w:lang w:val="en-US" w:eastAsia="zh-CN" w:bidi="ar"/>
        </w:rPr>
        <w:t>投 标 文 件</w:t>
      </w:r>
      <w:bookmarkEnd w:id="175"/>
    </w:p>
    <w:p w14:paraId="05719C41">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bookmarkStart w:id="176" w:name="_Toc19336_WPSOffice_Level2"/>
      <w:bookmarkEnd w:id="176"/>
      <w:r>
        <w:rPr>
          <w:rFonts w:hint="eastAsia" w:ascii="黑体" w:hAnsi="宋体" w:eastAsia="黑体" w:cs="黑体"/>
          <w:color w:val="000000"/>
          <w:kern w:val="0"/>
          <w:sz w:val="44"/>
          <w:szCs w:val="44"/>
          <w:highlight w:val="none"/>
          <w:u w:color="000000"/>
          <w:lang w:val="en-US" w:eastAsia="zh-CN" w:bidi="ar"/>
        </w:rPr>
        <w:t xml:space="preserve"> </w:t>
      </w:r>
    </w:p>
    <w:p w14:paraId="3C1CF747">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sz w:val="30"/>
          <w:szCs w:val="30"/>
          <w:highlight w:val="none"/>
          <w:lang w:val="en-US"/>
        </w:rPr>
      </w:pPr>
      <w:bookmarkStart w:id="177" w:name="_Toc7180_WPSOffice_Level3"/>
      <w:bookmarkEnd w:id="177"/>
      <w:r>
        <w:rPr>
          <w:rFonts w:hint="eastAsia" w:ascii="宋体" w:hAnsi="宋体" w:eastAsia="宋体" w:cs="宋体"/>
          <w:color w:val="000000"/>
          <w:kern w:val="0"/>
          <w:sz w:val="30"/>
          <w:szCs w:val="30"/>
          <w:highlight w:val="none"/>
          <w:u w:color="000000"/>
          <w:lang w:val="en-US" w:eastAsia="zh-CN" w:bidi="ar"/>
        </w:rPr>
        <w:t>项目名称：</w:t>
      </w:r>
    </w:p>
    <w:p w14:paraId="3DAEC57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B5F33F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C39813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2962028">
      <w:pPr>
        <w:pStyle w:val="6"/>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752D4DF7">
      <w:pPr>
        <w:pStyle w:val="17"/>
        <w:widowControl/>
        <w:rPr>
          <w:highlight w:val="none"/>
          <w:lang w:val="en-US"/>
        </w:rPr>
      </w:pPr>
      <w:r>
        <w:rPr>
          <w:highlight w:val="none"/>
          <w:lang w:val="en-US"/>
        </w:rPr>
        <w:t xml:space="preserve"> </w:t>
      </w:r>
    </w:p>
    <w:p w14:paraId="5238ECA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E97867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064E8A8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1D4F7D6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27B00BC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4D0D12D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42921C67">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178" w:name="_Toc14710_WPSOffice_Level1"/>
      <w:bookmarkEnd w:id="178"/>
      <w:r>
        <w:rPr>
          <w:rFonts w:hint="eastAsia" w:ascii="宋体" w:hAnsi="宋体" w:eastAsia="宋体" w:cs="宋体"/>
          <w:b/>
          <w:bCs w:val="0"/>
          <w:color w:val="000000"/>
          <w:kern w:val="0"/>
          <w:sz w:val="44"/>
          <w:szCs w:val="44"/>
          <w:highlight w:val="none"/>
          <w:u w:color="000000"/>
          <w:lang w:val="en-US" w:eastAsia="zh-CN" w:bidi="ar"/>
        </w:rPr>
        <w:t>目   录</w:t>
      </w:r>
    </w:p>
    <w:p w14:paraId="0A715F5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35C22CB2">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3F4CA83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rPr>
        <w:t>（1）法人代表人身份证明及其有效身份证（或法人代表授权委托书及其有效身份证）（格式见附件）；</w:t>
      </w:r>
    </w:p>
    <w:p w14:paraId="5285DB5D">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eastAsia="zh-CN"/>
        </w:rPr>
      </w:pPr>
      <w:r>
        <w:rPr>
          <w:rFonts w:hint="eastAsia" w:ascii="宋体"/>
          <w:szCs w:val="21"/>
          <w:highlight w:val="none"/>
        </w:rPr>
        <w:t>（2）投标人有效的</w:t>
      </w:r>
      <w:r>
        <w:rPr>
          <w:rFonts w:hint="eastAsia" w:ascii="宋体" w:eastAsia="宋体"/>
          <w:color w:val="auto"/>
          <w:szCs w:val="21"/>
          <w:highlight w:val="none"/>
          <w:lang w:val="en-US" w:eastAsia="zh-CN"/>
        </w:rPr>
        <w:t>企业法人营业执照</w:t>
      </w:r>
      <w:r>
        <w:rPr>
          <w:rFonts w:hint="eastAsia" w:ascii="宋体"/>
          <w:szCs w:val="21"/>
          <w:highlight w:val="none"/>
          <w:lang w:eastAsia="zh-CN"/>
        </w:rPr>
        <w:t>；</w:t>
      </w:r>
    </w:p>
    <w:p w14:paraId="0B27B49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highlight w:val="none"/>
          <w:lang w:eastAsia="zh-CN"/>
        </w:rPr>
      </w:pPr>
      <w:r>
        <w:rPr>
          <w:rFonts w:hint="eastAsia" w:ascii="宋体"/>
          <w:szCs w:val="21"/>
          <w:highlight w:val="none"/>
          <w:lang w:eastAsia="zh-CN"/>
        </w:rPr>
        <w:t>（</w:t>
      </w:r>
      <w:r>
        <w:rPr>
          <w:rFonts w:hint="eastAsia" w:ascii="宋体"/>
          <w:szCs w:val="21"/>
          <w:highlight w:val="none"/>
          <w:lang w:val="en-US" w:eastAsia="zh-CN"/>
        </w:rPr>
        <w:t>3）</w:t>
      </w:r>
      <w:r>
        <w:rPr>
          <w:rFonts w:hint="eastAsia" w:ascii="宋体" w:hAnsi="宋体" w:eastAsia="宋体" w:cs="宋体"/>
          <w:b w:val="0"/>
          <w:color w:val="000000"/>
          <w:kern w:val="2"/>
          <w:sz w:val="21"/>
          <w:szCs w:val="21"/>
          <w:highlight w:val="none"/>
          <w:lang w:val="en-US" w:eastAsia="zh-CN" w:bidi="ar"/>
        </w:rPr>
        <w:t>项目负责人和组其他成员人员配备表（格式自拟）、人员有效身份证扫描件、相应证书扫描件、工作经验证明（格式自拟）和本单位为上述人员缴纳的近三个月的社保证明材料扫描件</w:t>
      </w:r>
      <w:r>
        <w:rPr>
          <w:rFonts w:hint="eastAsia" w:ascii="宋体"/>
          <w:color w:val="000000"/>
          <w:szCs w:val="21"/>
          <w:highlight w:val="none"/>
          <w:lang w:val="en-US" w:eastAsia="zh-CN"/>
        </w:rPr>
        <w:t>；</w:t>
      </w:r>
    </w:p>
    <w:p w14:paraId="624BEB3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eastAsia="zh-CN"/>
        </w:rPr>
      </w:pPr>
      <w:r>
        <w:rPr>
          <w:rFonts w:hint="eastAsia" w:ascii="宋体"/>
          <w:szCs w:val="21"/>
          <w:highlight w:val="none"/>
          <w:lang w:eastAsia="zh-CN"/>
        </w:rPr>
        <w:t>（</w:t>
      </w:r>
      <w:r>
        <w:rPr>
          <w:rFonts w:hint="eastAsia" w:ascii="宋体"/>
          <w:szCs w:val="21"/>
          <w:highlight w:val="none"/>
          <w:lang w:val="en-US" w:eastAsia="zh-CN"/>
        </w:rPr>
        <w:t>4）</w:t>
      </w:r>
      <w:r>
        <w:rPr>
          <w:rFonts w:hint="eastAsia" w:ascii="宋体"/>
          <w:szCs w:val="21"/>
          <w:highlight w:val="none"/>
        </w:rPr>
        <w:t>诚信投标承诺书（格式见附件）</w:t>
      </w:r>
      <w:r>
        <w:rPr>
          <w:rFonts w:hint="eastAsia" w:ascii="宋体"/>
          <w:szCs w:val="21"/>
          <w:highlight w:val="none"/>
          <w:lang w:eastAsia="zh-CN"/>
        </w:rPr>
        <w:t>；</w:t>
      </w:r>
    </w:p>
    <w:p w14:paraId="79749BE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val="en-US" w:eastAsia="zh-CN"/>
        </w:rPr>
      </w:pPr>
      <w:r>
        <w:rPr>
          <w:rFonts w:hint="eastAsia" w:ascii="宋体"/>
          <w:szCs w:val="21"/>
          <w:highlight w:val="none"/>
        </w:rPr>
        <w:t>（</w:t>
      </w:r>
      <w:r>
        <w:rPr>
          <w:rFonts w:hint="eastAsia" w:ascii="宋体"/>
          <w:szCs w:val="21"/>
          <w:highlight w:val="none"/>
          <w:lang w:val="en-US" w:eastAsia="zh-CN"/>
        </w:rPr>
        <w:t>5</w:t>
      </w:r>
      <w:r>
        <w:rPr>
          <w:rFonts w:hint="eastAsia" w:ascii="宋体"/>
          <w:szCs w:val="21"/>
          <w:highlight w:val="none"/>
        </w:rPr>
        <w:t>）</w:t>
      </w:r>
      <w:r>
        <w:rPr>
          <w:rFonts w:hint="eastAsia" w:ascii="宋体"/>
          <w:szCs w:val="21"/>
          <w:highlight w:val="none"/>
          <w:lang w:val="en-US" w:eastAsia="zh-CN"/>
        </w:rPr>
        <w:t>服务承诺书（格式见附件）；</w:t>
      </w:r>
    </w:p>
    <w:p w14:paraId="5C29C90D">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color w:val="000000"/>
          <w:kern w:val="0"/>
          <w:sz w:val="21"/>
          <w:szCs w:val="21"/>
          <w:highlight w:val="none"/>
          <w:u w:color="000000"/>
          <w:lang w:val="en-US" w:eastAsia="zh-CN" w:bidi="ar"/>
        </w:rPr>
      </w:pPr>
      <w:r>
        <w:rPr>
          <w:rFonts w:hint="eastAsia" w:ascii="宋体" w:hAnsi="Calibri" w:eastAsia="宋体" w:cs="宋体"/>
          <w:color w:val="000000"/>
          <w:kern w:val="0"/>
          <w:sz w:val="21"/>
          <w:szCs w:val="21"/>
          <w:highlight w:val="none"/>
          <w:u w:color="000000"/>
          <w:lang w:val="en-US" w:eastAsia="zh-CN" w:bidi="ar"/>
        </w:rPr>
        <w:t>（6）开标一览表（格式见附件）；</w:t>
      </w:r>
    </w:p>
    <w:p w14:paraId="28B3048D">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highlight w:val="none"/>
        </w:rPr>
      </w:pPr>
      <w:r>
        <w:rPr>
          <w:rFonts w:hint="eastAsia" w:ascii="宋体" w:hAnsi="Calibri" w:eastAsia="宋体" w:cs="宋体"/>
          <w:color w:val="000000"/>
          <w:kern w:val="0"/>
          <w:sz w:val="21"/>
          <w:szCs w:val="21"/>
          <w:highlight w:val="none"/>
          <w:u w:color="000000"/>
          <w:lang w:val="en-US" w:eastAsia="zh-CN" w:bidi="ar"/>
        </w:rPr>
        <w:t>（7）投标函（格式见附件）；</w:t>
      </w:r>
    </w:p>
    <w:p w14:paraId="0309732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lang w:eastAsia="zh-CN"/>
        </w:rPr>
        <w:t>（</w:t>
      </w:r>
      <w:r>
        <w:rPr>
          <w:rFonts w:hint="eastAsia" w:ascii="宋体"/>
          <w:szCs w:val="21"/>
          <w:highlight w:val="none"/>
          <w:lang w:val="en-US" w:eastAsia="zh-CN"/>
        </w:rPr>
        <w:t>8）</w:t>
      </w:r>
      <w:r>
        <w:rPr>
          <w:rFonts w:hint="eastAsia" w:ascii="宋体"/>
          <w:szCs w:val="21"/>
          <w:highlight w:val="none"/>
        </w:rPr>
        <w:t>投标人认为需要提供的其他证明材料。</w:t>
      </w:r>
    </w:p>
    <w:p w14:paraId="6918D910">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2DD5CC62">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790FC7C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0FFE3809">
      <w:pPr>
        <w:pStyle w:val="32"/>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4BB1F702">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1298799C">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45E589AD">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7299BB81">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41CFD18E">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776CCB60">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hAnsi="Times New Roman" w:eastAsia="宋体" w:cs="Times New Roman"/>
          <w:sz w:val="24"/>
          <w:highlight w:val="none"/>
        </w:rPr>
        <w:t>姓</w:t>
      </w:r>
      <w:r>
        <w:rPr>
          <w:rFonts w:hint="eastAsia" w:ascii="宋体" w:hAnsi="Times New Roman" w:eastAsia="宋体" w:cs="Times New Roman"/>
          <w:sz w:val="24"/>
          <w:highlight w:val="none"/>
          <w:lang w:val="en-US" w:eastAsia="zh-CN"/>
        </w:rPr>
        <w:t xml:space="preserve">   </w:t>
      </w:r>
      <w:r>
        <w:rPr>
          <w:rFonts w:hint="eastAsia" w:ascii="宋体" w:hAnsi="Times New Roman" w:eastAsia="宋体" w:cs="Times New Roman"/>
          <w:sz w:val="24"/>
          <w:highlight w:val="none"/>
        </w:rPr>
        <w:t>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lang w:eastAsia="zh-CN"/>
        </w:rPr>
        <w:t>，</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24CBF42A">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特此证明。</w:t>
      </w:r>
    </w:p>
    <w:p w14:paraId="31843FC9">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4"/>
          <w:highlight w:val="none"/>
          <w:lang w:val="en-US" w:eastAsia="zh-CN"/>
        </w:rPr>
        <w:t>盖</w:t>
      </w:r>
      <w:r>
        <w:rPr>
          <w:rFonts w:hint="eastAsia" w:ascii="宋体"/>
          <w:sz w:val="24"/>
          <w:highlight w:val="none"/>
        </w:rPr>
        <w:t>章）</w:t>
      </w:r>
    </w:p>
    <w:p w14:paraId="4EE30195">
      <w:pPr>
        <w:keepNext w:val="0"/>
        <w:keepLines w:val="0"/>
        <w:pageBreakBefore w:val="0"/>
        <w:kinsoku/>
        <w:wordWrap w:val="0"/>
        <w:overflowPunct/>
        <w:topLinePunct w:val="0"/>
        <w:autoSpaceDE/>
        <w:autoSpaceDN/>
        <w:bidi w:val="0"/>
        <w:adjustRightInd/>
        <w:snapToGrid/>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5860750D">
      <w:pPr>
        <w:pStyle w:val="32"/>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2.授权委托书</w:t>
      </w:r>
    </w:p>
    <w:p w14:paraId="42551B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72ACC1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color w:val="auto"/>
          <w:sz w:val="24"/>
          <w:highlight w:val="none"/>
        </w:rPr>
        <w:t xml:space="preserve">                                </w:t>
      </w:r>
    </w:p>
    <w:p w14:paraId="4D9F19D2">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52C390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5A12A7AD">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708C66DA">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p>
    <w:p w14:paraId="69C88B8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5E0723E2">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6C74852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76BCCC45">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4353E97B">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349F010C">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07389049">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656D37E0">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382D8664">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6414FC04">
      <w:pPr>
        <w:spacing w:line="360" w:lineRule="exact"/>
        <w:ind w:firstLine="413" w:firstLineChars="147"/>
        <w:jc w:val="center"/>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bookmarkStart w:id="179" w:name="_Toc451384148"/>
      <w:bookmarkStart w:id="180" w:name="_Toc425084385"/>
      <w:r>
        <w:rPr>
          <w:rFonts w:hint="eastAsia" w:ascii="宋体" w:hAnsi="宋体"/>
          <w:color w:val="000000"/>
          <w:szCs w:val="21"/>
          <w:highlight w:val="none"/>
        </w:rPr>
        <w:t>一、将遵循公</w:t>
      </w:r>
      <w:bookmarkStart w:id="181" w:name="_Toc503196197"/>
      <w:bookmarkStart w:id="182" w:name="_Toc506107356"/>
      <w:bookmarkStart w:id="183" w:name="_Toc26598"/>
      <w:r>
        <w:rPr>
          <w:rFonts w:hint="eastAsia" w:ascii="宋体" w:hAnsi="宋体"/>
          <w:color w:val="000000"/>
          <w:szCs w:val="21"/>
          <w:highlight w:val="none"/>
        </w:rPr>
        <w:t>开、公正和诚实信用</w:t>
      </w:r>
      <w:bookmarkEnd w:id="181"/>
      <w:bookmarkEnd w:id="182"/>
      <w:r>
        <w:rPr>
          <w:rFonts w:hint="eastAsia" w:ascii="宋体" w:hAnsi="宋体"/>
          <w:color w:val="000000"/>
          <w:szCs w:val="21"/>
          <w:highlight w:val="none"/>
        </w:rPr>
        <w:t>的</w:t>
      </w:r>
      <w:bookmarkEnd w:id="183"/>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3CBCD0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w:t>
      </w:r>
      <w:bookmarkStart w:id="184" w:name="OLE_LINK134"/>
      <w:bookmarkStart w:id="185" w:name="OLE_LINK133"/>
      <w:r>
        <w:rPr>
          <w:rFonts w:hint="eastAsia" w:ascii="宋体" w:hAnsi="宋体"/>
          <w:color w:val="000000"/>
          <w:szCs w:val="21"/>
          <w:highlight w:val="none"/>
        </w:rPr>
        <w:t>①被列入“信用中国”网站“失信被执行人”的</w:t>
      </w:r>
      <w:r>
        <w:rPr>
          <w:rFonts w:hint="eastAsia" w:ascii="宋体" w:hAnsi="宋体"/>
          <w:color w:val="000000"/>
          <w:szCs w:val="21"/>
          <w:highlight w:val="none"/>
          <w:lang w:eastAsia="zh-CN"/>
        </w:rPr>
        <w:t>；</w:t>
      </w:r>
      <w:r>
        <w:rPr>
          <w:rFonts w:hint="eastAsia" w:ascii="宋体" w:hAnsi="宋体"/>
          <w:color w:val="000000"/>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的</w:t>
      </w:r>
      <w:r>
        <w:rPr>
          <w:rFonts w:hint="eastAsia" w:ascii="宋体" w:hAnsi="宋体"/>
          <w:color w:val="000000"/>
          <w:szCs w:val="21"/>
          <w:highlight w:val="none"/>
          <w:lang w:eastAsia="zh-CN"/>
        </w:rPr>
        <w:t>；</w:t>
      </w:r>
      <w:r>
        <w:rPr>
          <w:rFonts w:hint="eastAsia" w:ascii="宋体" w:hAnsi="宋体"/>
          <w:color w:val="000000"/>
          <w:szCs w:val="21"/>
          <w:highlight w:val="none"/>
        </w:rPr>
        <w:t>⑥被列入国家企业信用信息公示系统网站“经营异常名录”或者“严重违法失信名单”的。⑦前三年有行贿犯罪行为的单位和个人</w:t>
      </w:r>
      <w:bookmarkEnd w:id="184"/>
      <w:bookmarkEnd w:id="185"/>
      <w:r>
        <w:rPr>
          <w:rFonts w:hint="eastAsia" w:ascii="宋体" w:hAnsi="宋体"/>
          <w:color w:val="000000"/>
          <w:szCs w:val="21"/>
          <w:highlight w:val="none"/>
          <w:lang w:eastAsia="zh-CN"/>
        </w:rPr>
        <w:t>。</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w:t>
      </w:r>
      <w:r>
        <w:rPr>
          <w:rFonts w:hint="eastAsia" w:ascii="宋体" w:hAnsi="宋体"/>
          <w:color w:val="000000"/>
          <w:szCs w:val="21"/>
          <w:highlight w:val="none"/>
          <w:lang w:val="en-US" w:eastAsia="zh-CN"/>
        </w:rPr>
        <w:t>招标</w:t>
      </w:r>
      <w:r>
        <w:rPr>
          <w:rFonts w:hint="eastAsia" w:ascii="宋体" w:hAnsi="宋体"/>
          <w:color w:val="000000"/>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szCs w:val="21"/>
          <w:highlight w:val="none"/>
          <w:lang w:eastAsia="zh-CN"/>
        </w:rPr>
        <w:t>。</w:t>
      </w:r>
    </w:p>
    <w:p w14:paraId="164C92A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C515C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20413773">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49A65DB9">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eastAsia" w:ascii="Calibri" w:hAnsi="Calibri" w:eastAsia="宋体" w:cs="Calibri"/>
          <w:b/>
          <w:bCs w:val="0"/>
          <w:color w:val="000000"/>
          <w:kern w:val="0"/>
          <w:sz w:val="28"/>
          <w:szCs w:val="28"/>
          <w:highlight w:val="none"/>
          <w:u w:color="000000"/>
          <w:lang w:val="en-US" w:eastAsia="zh-CN" w:bidi="ar"/>
        </w:rPr>
        <w:t>3</w:t>
      </w:r>
    </w:p>
    <w:p w14:paraId="4757AEB0">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2667690F">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sz w:val="28"/>
          <w:szCs w:val="28"/>
          <w:highlight w:val="none"/>
        </w:rPr>
      </w:pPr>
      <w:r>
        <w:rPr>
          <w:rFonts w:hint="eastAsia"/>
          <w:b/>
          <w:bCs/>
          <w:sz w:val="28"/>
          <w:szCs w:val="28"/>
          <w:highlight w:val="none"/>
        </w:rPr>
        <w:t>服务承诺书</w:t>
      </w:r>
    </w:p>
    <w:p w14:paraId="10CD5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1ECF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w:t>
      </w:r>
      <w:r>
        <w:rPr>
          <w:rFonts w:hint="eastAsia" w:ascii="宋体" w:hAnsi="宋体"/>
          <w:color w:val="000000"/>
          <w:sz w:val="24"/>
          <w:highlight w:val="none"/>
          <w:lang w:eastAsia="zh-CN"/>
        </w:rPr>
        <w:t>）</w:t>
      </w:r>
      <w:r>
        <w:rPr>
          <w:rFonts w:hint="eastAsia" w:ascii="宋体" w:hAnsi="宋体"/>
          <w:color w:val="000000"/>
          <w:sz w:val="24"/>
          <w:highlight w:val="none"/>
        </w:rPr>
        <w:t>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若发现有偏离且不能按招标人要求调整的，招标人有权终止合同重新招标，我方承担因此产生的所有经济责任。</w:t>
      </w:r>
    </w:p>
    <w:p w14:paraId="4A0F9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特此声明</w:t>
      </w:r>
      <w:r>
        <w:rPr>
          <w:rFonts w:hint="eastAsia" w:ascii="宋体" w:hAnsi="宋体"/>
          <w:color w:val="000000"/>
          <w:sz w:val="24"/>
          <w:highlight w:val="none"/>
          <w:lang w:eastAsia="zh-CN"/>
        </w:rPr>
        <w:t>。</w:t>
      </w:r>
    </w:p>
    <w:p w14:paraId="3CF139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32D189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5055D4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5056A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7771459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371AA31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033D7BF9">
      <w:pPr>
        <w:spacing w:line="400" w:lineRule="exact"/>
        <w:ind w:firstLine="482" w:firstLineChars="200"/>
        <w:rPr>
          <w:rFonts w:ascii="宋体" w:hAnsi="宋体"/>
          <w:b/>
          <w:color w:val="000000"/>
          <w:sz w:val="24"/>
          <w:highlight w:val="none"/>
        </w:rPr>
      </w:pPr>
    </w:p>
    <w:bookmarkEnd w:id="179"/>
    <w:bookmarkEnd w:id="180"/>
    <w:p w14:paraId="3C4BD23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4F92B7FF">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附件4</w:t>
      </w:r>
    </w:p>
    <w:p w14:paraId="7073A43E">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855DB52">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开标一览表</w:t>
      </w:r>
    </w:p>
    <w:p w14:paraId="67D069D1">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7B488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49C96E19">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2FD25F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6C35A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4E8F8513">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5E0BC3D7">
            <w:pPr>
              <w:pStyle w:val="14"/>
              <w:widowControl/>
              <w:spacing w:line="460" w:lineRule="exact"/>
              <w:ind w:left="86" w:leftChars="41"/>
              <w:rPr>
                <w:rFonts w:hint="eastAsia" w:ascii="宋体" w:hAnsi="Arial" w:eastAsia="宋体" w:cs="宋体"/>
                <w:sz w:val="24"/>
                <w:szCs w:val="24"/>
                <w:highlight w:val="none"/>
                <w:lang w:val="en-US"/>
              </w:rPr>
            </w:pPr>
          </w:p>
        </w:tc>
      </w:tr>
      <w:tr w14:paraId="53671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2776F45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03FA821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投标报价（含税）（大写）：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3623DA51">
            <w:pPr>
              <w:keepNext w:val="0"/>
              <w:keepLines w:val="0"/>
              <w:widowControl/>
              <w:suppressLineNumbers w:val="0"/>
              <w:spacing w:before="0" w:beforeAutospacing="0" w:after="0" w:afterAutospacing="0" w:line="360" w:lineRule="auto"/>
              <w:ind w:left="0" w:right="0" w:firstLine="1920" w:firstLineChars="80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（小写）：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1D39FC97">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highlight w:val="none"/>
                <w:u w:color="000000"/>
                <w:lang w:val="en-US" w:eastAsia="zh-CN" w:bidi="ar"/>
              </w:rPr>
            </w:pPr>
          </w:p>
          <w:p w14:paraId="278EF44E">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服务期：</w:t>
            </w:r>
            <w:r>
              <w:rPr>
                <w:rFonts w:hint="eastAsia" w:ascii="宋体" w:hAnsi="宋体" w:eastAsia="宋体" w:cs="宋体"/>
                <w:color w:val="000000"/>
                <w:kern w:val="2"/>
                <w:sz w:val="24"/>
                <w:szCs w:val="24"/>
                <w:highlight w:val="none"/>
                <w:u w:val="single" w:color="000000"/>
                <w:lang w:val="en-US" w:eastAsia="zh-CN" w:bidi="ar"/>
              </w:rPr>
              <w:t xml:space="preserve">                        </w:t>
            </w:r>
          </w:p>
        </w:tc>
      </w:tr>
    </w:tbl>
    <w:p w14:paraId="3C6ACE26">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7CBA107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4F88A1C9">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5A940262">
      <w:pPr>
        <w:spacing w:line="360" w:lineRule="auto"/>
        <w:rPr>
          <w:rFonts w:hint="eastAsia" w:ascii="宋体" w:hAnsi="宋体" w:eastAsia="宋体" w:cs="宋体"/>
          <w:b/>
          <w:bCs w:val="0"/>
          <w:color w:val="000000"/>
          <w:kern w:val="0"/>
          <w:sz w:val="30"/>
          <w:szCs w:val="30"/>
          <w:highlight w:val="none"/>
          <w:lang w:val="en-US" w:eastAsia="zh-CN" w:bidi="ar"/>
        </w:rPr>
        <w:sectPr>
          <w:footerReference r:id="rId5" w:type="default"/>
          <w:pgSz w:w="11906" w:h="16838"/>
          <w:pgMar w:top="1440" w:right="1800" w:bottom="1440" w:left="1800" w:header="851" w:footer="992" w:gutter="0"/>
          <w:pgNumType w:fmt="decimal"/>
          <w:cols w:space="425" w:num="1"/>
          <w:docGrid w:type="lines" w:linePitch="312" w:charSpace="0"/>
        </w:sectPr>
      </w:pPr>
    </w:p>
    <w:p w14:paraId="029DACFE">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附件5</w:t>
      </w:r>
    </w:p>
    <w:p w14:paraId="43192646">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531" w:firstLineChars="147"/>
        <w:jc w:val="center"/>
        <w:textAlignment w:val="auto"/>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1B393A27">
      <w:pPr>
        <w:keepNext w:val="0"/>
        <w:keepLines w:val="0"/>
        <w:pageBreakBefore w:val="0"/>
        <w:widowControl/>
        <w:kinsoku/>
        <w:wordWrap/>
        <w:overflowPunct/>
        <w:topLinePunct w:val="0"/>
        <w:autoSpaceDE/>
        <w:autoSpaceDN/>
        <w:bidi w:val="0"/>
        <w:spacing w:line="360" w:lineRule="auto"/>
        <w:textAlignment w:val="auto"/>
        <w:rPr>
          <w:rFonts w:ascii="宋体" w:hAnsi="宋体" w:eastAsia="宋体" w:cs="宋体"/>
          <w:sz w:val="24"/>
          <w:highlight w:val="none"/>
        </w:rPr>
      </w:pPr>
      <w:bookmarkStart w:id="186" w:name="_Toc6275_WPSOffice_Level1"/>
      <w:bookmarkEnd w:id="186"/>
      <w:r>
        <w:rPr>
          <w:rFonts w:hint="eastAsia" w:ascii="宋体" w:hAnsi="宋体" w:eastAsia="宋体" w:cs="宋体"/>
          <w:color w:val="000000"/>
          <w:kern w:val="0"/>
          <w:sz w:val="24"/>
          <w:highlight w:val="none"/>
          <w:u w:color="000000"/>
          <w:lang w:bidi="ar"/>
        </w:rPr>
        <w:t>致：</w:t>
      </w:r>
      <w:r>
        <w:rPr>
          <w:rFonts w:hint="eastAsia" w:ascii="宋体" w:hAnsi="宋体" w:eastAsia="宋体" w:cs="宋体"/>
          <w:color w:val="000000"/>
          <w:kern w:val="0"/>
          <w:sz w:val="24"/>
          <w:highlight w:val="none"/>
          <w:u w:val="single" w:color="000000"/>
          <w:lang w:bidi="ar"/>
        </w:rPr>
        <w:t xml:space="preserve">       (招标人)       </w:t>
      </w:r>
      <w:r>
        <w:rPr>
          <w:rFonts w:hint="eastAsia" w:ascii="宋体" w:hAnsi="宋体" w:eastAsia="宋体" w:cs="宋体"/>
          <w:color w:val="000000"/>
          <w:kern w:val="0"/>
          <w:sz w:val="24"/>
          <w:highlight w:val="none"/>
          <w:u w:color="000000"/>
          <w:lang w:bidi="ar"/>
        </w:rPr>
        <w:t xml:space="preserve"> </w:t>
      </w:r>
    </w:p>
    <w:p w14:paraId="0C1BFDCD">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color w:val="000000"/>
          <w:sz w:val="24"/>
          <w:highlight w:val="none"/>
        </w:rPr>
        <w:t xml:space="preserve">根据你方的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招标文件，遵照《中华人民共和国招标投标法》等有关规定，经踏勘项目现场和研究上述招标文件的投标须知、合同条件、采购清单和其他有关文件后，我方愿以 （币种，金额、单位）</w:t>
      </w:r>
      <w:r>
        <w:rPr>
          <w:rFonts w:hint="eastAsia" w:ascii="宋体" w:hAnsi="宋体" w:eastAsia="宋体" w:cs="宋体"/>
          <w:color w:val="000000"/>
          <w:sz w:val="24"/>
          <w:highlight w:val="none"/>
          <w:u w:val="single"/>
        </w:rPr>
        <w:t xml:space="preserve"> 人民币          元</w:t>
      </w:r>
      <w:r>
        <w:rPr>
          <w:rFonts w:hint="eastAsia" w:ascii="宋体" w:hAnsi="宋体" w:eastAsia="宋体" w:cs="宋体"/>
          <w:color w:val="000000"/>
          <w:sz w:val="24"/>
          <w:highlight w:val="none"/>
        </w:rPr>
        <w:t>的投标报价承包上述项目，并承担任何质量缺陷保修责任。</w:t>
      </w:r>
    </w:p>
    <w:p w14:paraId="3D884E81">
      <w:pPr>
        <w:keepNext w:val="0"/>
        <w:keepLines w:val="0"/>
        <w:pageBreakBefore w:val="0"/>
        <w:tabs>
          <w:tab w:val="left" w:pos="840"/>
        </w:tabs>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highlight w:val="none"/>
        </w:rPr>
        <w:t>我方已详细审核全部招标文件及有关附件，承诺招标文件及有关附件中所有条款。</w:t>
      </w:r>
    </w:p>
    <w:p w14:paraId="4D61DC0B">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3、一旦我方中标，我方保证</w:t>
      </w:r>
      <w:r>
        <w:rPr>
          <w:rFonts w:hint="eastAsia" w:ascii="宋体" w:hAnsi="宋体" w:eastAsia="宋体" w:cs="宋体"/>
          <w:color w:val="000000"/>
          <w:kern w:val="0"/>
          <w:sz w:val="24"/>
          <w:highlight w:val="none"/>
          <w:u w:color="000000"/>
          <w:lang w:bidi="ar"/>
        </w:rPr>
        <w:t>按照招标人要求完成服务。</w:t>
      </w:r>
    </w:p>
    <w:p w14:paraId="3B483B4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527EEF38">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如果我方中标我方将按照招标文件的规定提交履约担保。服务期满后，方可退还。</w:t>
      </w:r>
    </w:p>
    <w:p w14:paraId="7CC406DB">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我方承诺在招标文件规定的投标有效期内不撤销投标文件。</w:t>
      </w:r>
    </w:p>
    <w:p w14:paraId="09E1C3A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我单位提供如下通讯地址：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电子邮箱（地址），确认本项目相关法律文书均通过提供的以上地址送达，相关文书只要发送至以上电子邮箱（地址）即视为送达，投标人愿意承担一切法律后果。</w:t>
      </w:r>
    </w:p>
    <w:p w14:paraId="5B1B30D2">
      <w:pPr>
        <w:widowControl/>
        <w:spacing w:line="480" w:lineRule="auto"/>
        <w:rPr>
          <w:rFonts w:ascii="宋体" w:hAnsi="宋体" w:eastAsia="宋体" w:cs="宋体"/>
          <w:color w:val="000000"/>
          <w:kern w:val="0"/>
          <w:sz w:val="24"/>
          <w:highlight w:val="none"/>
          <w:u w:color="000000"/>
          <w:lang w:bidi="ar"/>
        </w:rPr>
      </w:pPr>
    </w:p>
    <w:p w14:paraId="6C4D56D1">
      <w:pPr>
        <w:widowControl/>
        <w:spacing w:line="480" w:lineRule="auto"/>
        <w:ind w:firstLine="240" w:firstLineChars="10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投标单位名称</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（盖章）</w:t>
      </w:r>
    </w:p>
    <w:p w14:paraId="6DDB95EA">
      <w:pPr>
        <w:widowControl/>
        <w:spacing w:line="480" w:lineRule="auto"/>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 xml:space="preserve">  投标人法定代表人或授权委托人（签字或盖章）：</w:t>
      </w:r>
      <w:r>
        <w:rPr>
          <w:rFonts w:hint="eastAsia" w:ascii="宋体" w:hAnsi="宋体" w:eastAsia="宋体" w:cs="宋体"/>
          <w:color w:val="000000"/>
          <w:kern w:val="0"/>
          <w:sz w:val="24"/>
          <w:highlight w:val="none"/>
          <w:u w:val="single" w:color="000000"/>
          <w:lang w:bidi="ar"/>
        </w:rPr>
        <w:t xml:space="preserve">                  </w:t>
      </w:r>
    </w:p>
    <w:p w14:paraId="5DC23E72">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日  期：</w:t>
      </w:r>
      <w:r>
        <w:rPr>
          <w:rFonts w:hint="eastAsia" w:ascii="宋体" w:hAnsi="宋体" w:eastAsia="宋体" w:cs="宋体"/>
          <w:color w:val="000000"/>
          <w:kern w:val="0"/>
          <w:sz w:val="24"/>
          <w:highlight w:val="none"/>
          <w:u w:val="single" w:color="000000"/>
          <w:lang w:bidi="ar"/>
        </w:rPr>
        <w:t xml:space="preserve">                   </w:t>
      </w:r>
    </w:p>
    <w:p w14:paraId="6416B8D1">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通讯地址：</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 xml:space="preserve">                </w:t>
      </w:r>
    </w:p>
    <w:p w14:paraId="36484766">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联系电话：</w:t>
      </w:r>
      <w:r>
        <w:rPr>
          <w:rFonts w:hint="eastAsia" w:ascii="宋体" w:hAnsi="宋体" w:eastAsia="宋体" w:cs="宋体"/>
          <w:color w:val="000000"/>
          <w:kern w:val="0"/>
          <w:sz w:val="24"/>
          <w:highlight w:val="none"/>
          <w:u w:val="single" w:color="000000"/>
          <w:lang w:bidi="ar"/>
        </w:rPr>
        <w:t xml:space="preserve">                   </w:t>
      </w:r>
    </w:p>
    <w:p w14:paraId="291F04B0">
      <w:pPr>
        <w:widowControl/>
        <w:spacing w:line="480" w:lineRule="auto"/>
        <w:ind w:right="-178" w:rightChars="-85" w:firstLine="2520" w:firstLineChars="1050"/>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传   真：</w:t>
      </w:r>
      <w:r>
        <w:rPr>
          <w:rFonts w:hint="eastAsia" w:ascii="宋体" w:hAnsi="宋体" w:eastAsia="宋体" w:cs="宋体"/>
          <w:color w:val="000000"/>
          <w:kern w:val="0"/>
          <w:sz w:val="24"/>
          <w:highlight w:val="none"/>
          <w:u w:val="single" w:color="000000"/>
          <w:lang w:bidi="ar"/>
        </w:rPr>
        <w:t xml:space="preserve">                   </w:t>
      </w:r>
    </w:p>
    <w:p w14:paraId="5992FE08">
      <w:pPr>
        <w:pStyle w:val="18"/>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w:t>
      </w:r>
      <w:r>
        <w:rPr>
          <w:rFonts w:hint="eastAsia"/>
          <w:b/>
          <w:bCs w:val="0"/>
          <w:sz w:val="32"/>
          <w:szCs w:val="32"/>
          <w:highlight w:val="none"/>
          <w:lang w:val="en-US" w:eastAsia="zh-CN"/>
        </w:rPr>
        <w:t>八</w:t>
      </w:r>
      <w:r>
        <w:rPr>
          <w:b/>
          <w:bCs w:val="0"/>
          <w:sz w:val="32"/>
          <w:szCs w:val="32"/>
          <w:highlight w:val="none"/>
          <w:lang w:eastAsia="zh-CN"/>
        </w:rPr>
        <w:t>章</w:t>
      </w:r>
      <w:r>
        <w:rPr>
          <w:b/>
          <w:bCs w:val="0"/>
          <w:sz w:val="32"/>
          <w:szCs w:val="32"/>
          <w:highlight w:val="none"/>
          <w:lang w:val="en-US"/>
        </w:rPr>
        <w:t xml:space="preserve">   </w:t>
      </w:r>
      <w:r>
        <w:rPr>
          <w:b/>
          <w:bCs w:val="0"/>
          <w:sz w:val="32"/>
          <w:szCs w:val="32"/>
          <w:highlight w:val="none"/>
          <w:lang w:eastAsia="zh-CN"/>
        </w:rPr>
        <w:t>招标人、招标代理机构对本招标文件的确认</w:t>
      </w:r>
    </w:p>
    <w:tbl>
      <w:tblPr>
        <w:tblStyle w:val="20"/>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E6A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6B7C1F6A">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4E87C921">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2026年滁州轨道运营市级综合应急演练项目（二次）</w:t>
            </w:r>
            <w:r>
              <w:rPr>
                <w:rFonts w:hint="eastAsia" w:ascii="宋体" w:hAnsi="宋体" w:eastAsia="宋体" w:cs="宋体"/>
                <w:color w:val="000000"/>
                <w:kern w:val="2"/>
                <w:sz w:val="28"/>
                <w:szCs w:val="28"/>
                <w:highlight w:val="none"/>
                <w:u w:color="000000"/>
                <w:lang w:val="en-US" w:eastAsia="zh-CN" w:bidi="ar"/>
              </w:rPr>
              <w:t>招标文件进行确认。</w:t>
            </w:r>
          </w:p>
          <w:p w14:paraId="7FD37CA5">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招标人：滁州市轨道交通运营有限公司 </w:t>
            </w:r>
          </w:p>
          <w:p w14:paraId="4D4008B8">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联系人：杭祥婷</w:t>
            </w:r>
          </w:p>
          <w:p w14:paraId="1AFBA678">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联系电话：0550-3352128</w:t>
            </w:r>
          </w:p>
          <w:p w14:paraId="67FD3213">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w:t>
            </w:r>
          </w:p>
          <w:p w14:paraId="0889D434">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79426E97">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0DCADFCF">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3B51F4B8">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p w14:paraId="6ACCC6E9">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11DB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1C982163">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48B174B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招标代理机构：滁州市城投工程咨询管理有限公司</w:t>
            </w:r>
          </w:p>
          <w:p w14:paraId="48414BC5">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412FC732">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1DD3014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1AB4A00A">
            <w:pPr>
              <w:pStyle w:val="6"/>
              <w:widowControl/>
              <w:spacing w:before="0" w:beforeAutospacing="0" w:after="120" w:afterAutospacing="0"/>
              <w:ind w:leftChars="200" w:right="0" w:firstLine="560"/>
              <w:rPr>
                <w:kern w:val="2"/>
                <w:sz w:val="28"/>
                <w:szCs w:val="28"/>
                <w:highlight w:val="none"/>
                <w:lang w:val="en-US"/>
              </w:rPr>
            </w:pPr>
          </w:p>
          <w:p w14:paraId="33F9ED5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14EDE279">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2B7EF9CB">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30314507">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tc>
      </w:tr>
    </w:tbl>
    <w:p w14:paraId="4B0A515A">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53714">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4308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C4308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ACC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54D7A">
                          <w:pPr>
                            <w:pStyle w:val="15"/>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A54D7A">
                    <w:pPr>
                      <w:pStyle w:val="15"/>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029D2">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DB7F">
                          <w:pPr>
                            <w:pStyle w:val="15"/>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51DB7F">
                    <w:pPr>
                      <w:pStyle w:val="15"/>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311EA"/>
    <w:multiLevelType w:val="singleLevel"/>
    <w:tmpl w:val="F4A311E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1D118B5"/>
    <w:rsid w:val="01E872A1"/>
    <w:rsid w:val="05ED0D13"/>
    <w:rsid w:val="06D54ED0"/>
    <w:rsid w:val="0A4E2FDB"/>
    <w:rsid w:val="0AFF501E"/>
    <w:rsid w:val="0CEF01A1"/>
    <w:rsid w:val="0EBB3464"/>
    <w:rsid w:val="0F5A3543"/>
    <w:rsid w:val="11273F56"/>
    <w:rsid w:val="12431559"/>
    <w:rsid w:val="13480586"/>
    <w:rsid w:val="14102AD3"/>
    <w:rsid w:val="14234CF6"/>
    <w:rsid w:val="14334ED5"/>
    <w:rsid w:val="14FD7704"/>
    <w:rsid w:val="162403C8"/>
    <w:rsid w:val="165958AD"/>
    <w:rsid w:val="19C2340B"/>
    <w:rsid w:val="1A2C0203"/>
    <w:rsid w:val="1AFF1DF1"/>
    <w:rsid w:val="1B0B6A26"/>
    <w:rsid w:val="1B56742D"/>
    <w:rsid w:val="1B855F93"/>
    <w:rsid w:val="1BE83977"/>
    <w:rsid w:val="1CB20585"/>
    <w:rsid w:val="1DD7722D"/>
    <w:rsid w:val="1E0200DF"/>
    <w:rsid w:val="1E452429"/>
    <w:rsid w:val="1E474369"/>
    <w:rsid w:val="1F093DEF"/>
    <w:rsid w:val="1FBE5586"/>
    <w:rsid w:val="2035457B"/>
    <w:rsid w:val="204506D8"/>
    <w:rsid w:val="208257F5"/>
    <w:rsid w:val="20F63292"/>
    <w:rsid w:val="21391D2B"/>
    <w:rsid w:val="214F60AF"/>
    <w:rsid w:val="21FC6157"/>
    <w:rsid w:val="222D5B93"/>
    <w:rsid w:val="223E0729"/>
    <w:rsid w:val="2309025E"/>
    <w:rsid w:val="27153B40"/>
    <w:rsid w:val="27427F5F"/>
    <w:rsid w:val="287E4991"/>
    <w:rsid w:val="2E391725"/>
    <w:rsid w:val="2E7D0093"/>
    <w:rsid w:val="307E6E87"/>
    <w:rsid w:val="34033D28"/>
    <w:rsid w:val="35E820B0"/>
    <w:rsid w:val="379A4E56"/>
    <w:rsid w:val="39447D88"/>
    <w:rsid w:val="3CE35A45"/>
    <w:rsid w:val="3D7F110E"/>
    <w:rsid w:val="3D8B68BD"/>
    <w:rsid w:val="40585B1F"/>
    <w:rsid w:val="41C76417"/>
    <w:rsid w:val="426A2148"/>
    <w:rsid w:val="42AB7679"/>
    <w:rsid w:val="440F4D94"/>
    <w:rsid w:val="44121234"/>
    <w:rsid w:val="45C02C36"/>
    <w:rsid w:val="46236D21"/>
    <w:rsid w:val="46623AC8"/>
    <w:rsid w:val="47DC16A5"/>
    <w:rsid w:val="48BD5FD9"/>
    <w:rsid w:val="48C925D0"/>
    <w:rsid w:val="493A02D3"/>
    <w:rsid w:val="49560276"/>
    <w:rsid w:val="49D20DB3"/>
    <w:rsid w:val="4AA57A76"/>
    <w:rsid w:val="4B8A2C90"/>
    <w:rsid w:val="4C1866E9"/>
    <w:rsid w:val="4C3857CB"/>
    <w:rsid w:val="4F522371"/>
    <w:rsid w:val="4FA422F6"/>
    <w:rsid w:val="50031241"/>
    <w:rsid w:val="510E11AC"/>
    <w:rsid w:val="51D84CC9"/>
    <w:rsid w:val="52195103"/>
    <w:rsid w:val="53F246C0"/>
    <w:rsid w:val="551453B2"/>
    <w:rsid w:val="5523352E"/>
    <w:rsid w:val="55B51F78"/>
    <w:rsid w:val="55F12072"/>
    <w:rsid w:val="577B334F"/>
    <w:rsid w:val="59BB6342"/>
    <w:rsid w:val="5AB972A9"/>
    <w:rsid w:val="5AC41FE9"/>
    <w:rsid w:val="5C5D2AC1"/>
    <w:rsid w:val="5D13683D"/>
    <w:rsid w:val="5D2B5019"/>
    <w:rsid w:val="5D5C2E72"/>
    <w:rsid w:val="5D7002D3"/>
    <w:rsid w:val="5D925249"/>
    <w:rsid w:val="5F7E5C27"/>
    <w:rsid w:val="604D11B9"/>
    <w:rsid w:val="60B87BF7"/>
    <w:rsid w:val="61032703"/>
    <w:rsid w:val="61891CD7"/>
    <w:rsid w:val="62751AFB"/>
    <w:rsid w:val="62C47C43"/>
    <w:rsid w:val="6509245E"/>
    <w:rsid w:val="656257FB"/>
    <w:rsid w:val="66527E86"/>
    <w:rsid w:val="668A652A"/>
    <w:rsid w:val="69954A88"/>
    <w:rsid w:val="69F27FE3"/>
    <w:rsid w:val="6AF33AC3"/>
    <w:rsid w:val="6BCF3821"/>
    <w:rsid w:val="6CEA68FB"/>
    <w:rsid w:val="6EA934B6"/>
    <w:rsid w:val="6EB74F7E"/>
    <w:rsid w:val="6FEA05C0"/>
    <w:rsid w:val="706E041E"/>
    <w:rsid w:val="721B0DBA"/>
    <w:rsid w:val="729F4041"/>
    <w:rsid w:val="74C262FC"/>
    <w:rsid w:val="75843174"/>
    <w:rsid w:val="76B7003F"/>
    <w:rsid w:val="76D812DE"/>
    <w:rsid w:val="7706450F"/>
    <w:rsid w:val="771A30E5"/>
    <w:rsid w:val="77E03419"/>
    <w:rsid w:val="78072CF4"/>
    <w:rsid w:val="79757E4E"/>
    <w:rsid w:val="7A165EE4"/>
    <w:rsid w:val="7A2A6204"/>
    <w:rsid w:val="7AF5326F"/>
    <w:rsid w:val="7CA5671C"/>
    <w:rsid w:val="7D256A57"/>
    <w:rsid w:val="7E3B565D"/>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8"/>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next w:val="6"/>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6">
    <w:name w:val="Body Text First Indent 2"/>
    <w:basedOn w:val="7"/>
    <w:next w:val="1"/>
    <w:link w:val="26"/>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7">
    <w:name w:val="Body Text Indent"/>
    <w:basedOn w:val="1"/>
    <w:next w:val="8"/>
    <w:link w:val="25"/>
    <w:qFormat/>
    <w:uiPriority w:val="0"/>
    <w:pPr>
      <w:spacing w:after="120" w:afterLines="0" w:afterAutospacing="0"/>
      <w:ind w:left="420" w:leftChars="200"/>
    </w:pPr>
  </w:style>
  <w:style w:type="paragraph" w:styleId="8">
    <w:name w:val="envelope return"/>
    <w:basedOn w:val="1"/>
    <w:qFormat/>
    <w:uiPriority w:val="0"/>
    <w:pPr>
      <w:snapToGrid w:val="0"/>
    </w:pPr>
    <w:rPr>
      <w:rFonts w:ascii="Arial" w:hAnsi="Arial"/>
    </w:rPr>
  </w:style>
  <w:style w:type="paragraph" w:styleId="9">
    <w:name w:val="annotation text"/>
    <w:basedOn w:val="1"/>
    <w:qFormat/>
    <w:uiPriority w:val="0"/>
    <w:pPr>
      <w:jc w:val="left"/>
    </w:p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next w:val="12"/>
    <w:qFormat/>
    <w:uiPriority w:val="0"/>
    <w:pPr>
      <w:widowControl w:val="0"/>
      <w:snapToGrid w:val="0"/>
      <w:spacing w:line="360" w:lineRule="auto"/>
    </w:pPr>
    <w:rPr>
      <w:rFonts w:ascii="Arial" w:hAnsi="Arial" w:eastAsia="仿宋_GB2312"/>
      <w:sz w:val="31"/>
    </w:rPr>
  </w:style>
  <w:style w:type="paragraph" w:customStyle="1" w:styleId="12">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13">
    <w:name w:val="Plain Text"/>
    <w:basedOn w:val="1"/>
    <w:link w:val="30"/>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Date"/>
    <w:basedOn w:val="1"/>
    <w:next w:val="1"/>
    <w:link w:val="27"/>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5">
    <w:name w:val="footer"/>
    <w:basedOn w:val="1"/>
    <w:link w:val="31"/>
    <w:qFormat/>
    <w:uiPriority w:val="0"/>
    <w:pPr>
      <w:tabs>
        <w:tab w:val="center" w:pos="4153"/>
        <w:tab w:val="right" w:pos="8306"/>
      </w:tabs>
      <w:snapToGrid w:val="0"/>
      <w:jc w:val="left"/>
    </w:pPr>
    <w:rPr>
      <w:sz w:val="18"/>
    </w:rPr>
  </w:style>
  <w:style w:type="paragraph" w:styleId="16">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18">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19">
    <w:name w:val="Body Text First Indent"/>
    <w:basedOn w:val="11"/>
    <w:qFormat/>
    <w:uiPriority w:val="0"/>
    <w:pPr>
      <w:adjustRightInd/>
      <w:spacing w:after="120" w:line="240" w:lineRule="auto"/>
      <w:ind w:firstLine="420" w:firstLineChars="100"/>
      <w:jc w:val="both"/>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paragraph" w:customStyle="1" w:styleId="24">
    <w:name w:val="正文文字 8"/>
    <w:basedOn w:val="1"/>
    <w:next w:val="1"/>
    <w:qFormat/>
    <w:uiPriority w:val="0"/>
    <w:pPr>
      <w:ind w:left="240"/>
    </w:pPr>
    <w:rPr>
      <w:sz w:val="16"/>
    </w:rPr>
  </w:style>
  <w:style w:type="character" w:customStyle="1" w:styleId="25">
    <w:name w:val="正文文本缩进 Char"/>
    <w:basedOn w:val="22"/>
    <w:link w:val="7"/>
    <w:qFormat/>
    <w:uiPriority w:val="0"/>
    <w:rPr>
      <w:rFonts w:hint="default" w:ascii="Times New Roman" w:hAnsi="Times New Roman" w:eastAsia="宋体" w:cs="Times New Roman"/>
      <w:color w:val="000000"/>
      <w:kern w:val="0"/>
      <w:szCs w:val="21"/>
      <w:u w:color="000000"/>
    </w:rPr>
  </w:style>
  <w:style w:type="character" w:customStyle="1" w:styleId="26">
    <w:name w:val="正文首行缩进 2 Char"/>
    <w:basedOn w:val="25"/>
    <w:link w:val="6"/>
    <w:qFormat/>
    <w:uiPriority w:val="0"/>
    <w:rPr>
      <w:rFonts w:hint="default" w:ascii="Times New Roman" w:hAnsi="Times New Roman" w:eastAsia="宋体" w:cs="Times New Roman"/>
      <w:color w:val="000000"/>
      <w:kern w:val="0"/>
      <w:szCs w:val="21"/>
      <w:u w:color="000000"/>
    </w:rPr>
  </w:style>
  <w:style w:type="character" w:customStyle="1" w:styleId="27">
    <w:name w:val="日期 Char"/>
    <w:basedOn w:val="22"/>
    <w:link w:val="14"/>
    <w:qFormat/>
    <w:uiPriority w:val="0"/>
    <w:rPr>
      <w:rFonts w:ascii="Arial" w:hAnsi="Arial" w:eastAsia="仿宋_GB2312" w:cs="Arial"/>
      <w:color w:val="000000"/>
      <w:sz w:val="32"/>
      <w:szCs w:val="32"/>
      <w:u w:color="000000"/>
    </w:rPr>
  </w:style>
  <w:style w:type="character" w:customStyle="1" w:styleId="28">
    <w:name w:val="标题 2 Char"/>
    <w:basedOn w:val="22"/>
    <w:link w:val="2"/>
    <w:qFormat/>
    <w:uiPriority w:val="0"/>
    <w:rPr>
      <w:rFonts w:hint="default" w:ascii="Times New Roman" w:hAnsi="Times New Roman" w:eastAsia="宋体" w:cs="Times New Roman"/>
      <w:kern w:val="0"/>
      <w:sz w:val="24"/>
      <w:szCs w:val="24"/>
    </w:rPr>
  </w:style>
  <w:style w:type="character" w:customStyle="1" w:styleId="29">
    <w:name w:val="页眉 Char"/>
    <w:basedOn w:val="22"/>
    <w:link w:val="16"/>
    <w:qFormat/>
    <w:uiPriority w:val="0"/>
    <w:rPr>
      <w:rFonts w:hint="default" w:ascii="Times New Roman" w:hAnsi="Times New Roman" w:eastAsia="宋体" w:cs="Times New Roman"/>
      <w:color w:val="000000"/>
      <w:kern w:val="0"/>
      <w:sz w:val="18"/>
      <w:szCs w:val="18"/>
      <w:u w:color="000000"/>
    </w:rPr>
  </w:style>
  <w:style w:type="character" w:customStyle="1" w:styleId="30">
    <w:name w:val="纯文本 Char"/>
    <w:basedOn w:val="22"/>
    <w:link w:val="13"/>
    <w:qFormat/>
    <w:uiPriority w:val="0"/>
    <w:rPr>
      <w:rFonts w:hint="eastAsia" w:ascii="宋体" w:hAnsi="宋体" w:eastAsia="宋体" w:cs="宋体"/>
      <w:szCs w:val="21"/>
    </w:rPr>
  </w:style>
  <w:style w:type="character" w:customStyle="1" w:styleId="31">
    <w:name w:val="页脚 Char"/>
    <w:basedOn w:val="22"/>
    <w:link w:val="15"/>
    <w:qFormat/>
    <w:uiPriority w:val="0"/>
    <w:rPr>
      <w:rFonts w:hint="default" w:ascii="Times New Roman" w:hAnsi="Times New Roman" w:eastAsia="宋体" w:cs="Times New Roman"/>
      <w:color w:val="000000"/>
      <w:kern w:val="0"/>
      <w:sz w:val="18"/>
      <w:szCs w:val="18"/>
      <w:u w:color="000000"/>
    </w:rPr>
  </w:style>
  <w:style w:type="paragraph" w:customStyle="1" w:styleId="32">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33">
    <w:name w:val="List Paragraph"/>
    <w:basedOn w:val="1"/>
    <w:qFormat/>
    <w:uiPriority w:val="0"/>
    <w:pPr>
      <w:widowControl w:val="0"/>
      <w:spacing w:line="240" w:lineRule="auto"/>
      <w:ind w:firstLine="200" w:firstLineChars="200"/>
      <w:textAlignment w:val="auto"/>
    </w:pPr>
    <w:rPr>
      <w:u w:val="none" w:color="000000"/>
    </w:rPr>
  </w:style>
  <w:style w:type="character" w:customStyle="1" w:styleId="34">
    <w:name w:val="NormalCharacter"/>
    <w:semiHidden/>
    <w:qFormat/>
    <w:uiPriority w:val="0"/>
  </w:style>
  <w:style w:type="paragraph" w:customStyle="1" w:styleId="35">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6">
    <w:name w:val="font51"/>
    <w:basedOn w:val="22"/>
    <w:qFormat/>
    <w:uiPriority w:val="0"/>
    <w:rPr>
      <w:rFonts w:hint="eastAsia" w:ascii="宋体" w:hAnsi="宋体" w:eastAsia="宋体" w:cs="宋体"/>
      <w:color w:val="000000"/>
      <w:sz w:val="22"/>
      <w:szCs w:val="22"/>
      <w:u w:val="none"/>
    </w:rPr>
  </w:style>
  <w:style w:type="character" w:customStyle="1" w:styleId="37">
    <w:name w:val="font31"/>
    <w:basedOn w:val="22"/>
    <w:qFormat/>
    <w:uiPriority w:val="0"/>
    <w:rPr>
      <w:rFonts w:hint="default" w:ascii="Times New Roman" w:hAnsi="Times New Roman" w:cs="Times New Roman"/>
      <w:color w:val="000000"/>
      <w:sz w:val="22"/>
      <w:szCs w:val="22"/>
      <w:u w:val="none"/>
    </w:rPr>
  </w:style>
  <w:style w:type="character" w:customStyle="1" w:styleId="38">
    <w:name w:val="font61"/>
    <w:basedOn w:val="22"/>
    <w:qFormat/>
    <w:uiPriority w:val="0"/>
    <w:rPr>
      <w:rFonts w:hint="default" w:ascii="Times New Roman" w:hAnsi="Times New Roman" w:cs="Times New Roman"/>
      <w:color w:val="000000"/>
      <w:sz w:val="21"/>
      <w:szCs w:val="21"/>
      <w:u w:val="none"/>
    </w:rPr>
  </w:style>
  <w:style w:type="character" w:customStyle="1" w:styleId="39">
    <w:name w:val="font71"/>
    <w:basedOn w:val="22"/>
    <w:qFormat/>
    <w:uiPriority w:val="0"/>
    <w:rPr>
      <w:rFonts w:hint="eastAsia" w:ascii="宋体" w:hAnsi="宋体" w:eastAsia="宋体" w:cs="宋体"/>
      <w:color w:val="000000"/>
      <w:sz w:val="21"/>
      <w:szCs w:val="21"/>
      <w:u w:val="none"/>
    </w:rPr>
  </w:style>
  <w:style w:type="character" w:customStyle="1" w:styleId="40">
    <w:name w:val="font01"/>
    <w:basedOn w:val="22"/>
    <w:qFormat/>
    <w:uiPriority w:val="0"/>
    <w:rPr>
      <w:rFonts w:hint="eastAsia" w:ascii="宋体" w:hAnsi="宋体" w:eastAsia="宋体" w:cs="宋体"/>
      <w:color w:val="000000"/>
      <w:sz w:val="22"/>
      <w:szCs w:val="22"/>
      <w:u w:val="none"/>
    </w:rPr>
  </w:style>
  <w:style w:type="character" w:customStyle="1" w:styleId="41">
    <w:name w:val="font11"/>
    <w:basedOn w:val="22"/>
    <w:qFormat/>
    <w:uiPriority w:val="0"/>
    <w:rPr>
      <w:rFonts w:hint="eastAsia" w:ascii="宋体" w:hAnsi="宋体" w:eastAsia="宋体" w:cs="宋体"/>
      <w:color w:val="000000"/>
      <w:sz w:val="21"/>
      <w:szCs w:val="21"/>
      <w:u w:val="none"/>
    </w:rPr>
  </w:style>
  <w:style w:type="character" w:customStyle="1" w:styleId="42">
    <w:name w:val="font41"/>
    <w:basedOn w:val="22"/>
    <w:qFormat/>
    <w:uiPriority w:val="0"/>
    <w:rPr>
      <w:rFonts w:hint="default" w:ascii="Times New Roman" w:hAnsi="Times New Roman" w:cs="Times New Roman"/>
      <w:color w:val="000000"/>
      <w:sz w:val="22"/>
      <w:szCs w:val="22"/>
      <w:u w:val="none"/>
    </w:rPr>
  </w:style>
  <w:style w:type="paragraph" w:customStyle="1" w:styleId="43">
    <w:name w:val="二级标题"/>
    <w:basedOn w:val="1"/>
    <w:next w:val="1"/>
    <w:qFormat/>
    <w:uiPriority w:val="0"/>
    <w:rPr>
      <w:rFonts w:hint="eastAsia" w:eastAsia="楷体"/>
    </w:rPr>
  </w:style>
  <w:style w:type="paragraph" w:customStyle="1" w:styleId="44">
    <w:name w:val="纯文本1"/>
    <w:basedOn w:val="1"/>
    <w:qFormat/>
    <w:uiPriority w:val="0"/>
    <w:rPr>
      <w:rFonts w:ascii="宋体" w:hAnsi="Courier New" w:cs="Courier New"/>
      <w:szCs w:val="21"/>
    </w:rPr>
  </w:style>
  <w:style w:type="paragraph" w:customStyle="1" w:styleId="45">
    <w:name w:val="正文缩进11"/>
    <w:basedOn w:val="1"/>
    <w:qFormat/>
    <w:uiPriority w:val="0"/>
    <w:pPr>
      <w:ind w:firstLine="420"/>
    </w:pPr>
    <w:rPr>
      <w:b/>
      <w:sz w:val="24"/>
      <w:szCs w:val="20"/>
    </w:rPr>
  </w:style>
  <w:style w:type="paragraph" w:customStyle="1" w:styleId="46">
    <w:name w:val="普通(网站) Char"/>
    <w:basedOn w:val="1"/>
    <w:autoRedefine/>
    <w:qFormat/>
    <w:uiPriority w:val="0"/>
    <w:pPr>
      <w:widowControl/>
      <w:spacing w:before="100" w:beforeAutospacing="1" w:after="100" w:afterAutospacing="1"/>
      <w:jc w:val="left"/>
    </w:pPr>
    <w:rPr>
      <w:kern w:val="0"/>
      <w:sz w:val="24"/>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15498</Words>
  <Characters>16467</Characters>
  <Lines>0</Lines>
  <Paragraphs>0</Paragraphs>
  <TotalTime>56</TotalTime>
  <ScaleCrop>false</ScaleCrop>
  <LinksUpToDate>false</LinksUpToDate>
  <CharactersWithSpaces>16890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傻傻一辈子</cp:lastModifiedBy>
  <cp:lastPrinted>2022-04-11T07:26:00Z</cp:lastPrinted>
  <dcterms:modified xsi:type="dcterms:W3CDTF">2026-04-07T09:16:19Z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583E0D1E2232442BBA2E69D0B7B71FA4_13</vt:lpwstr>
  </property>
  <property fmtid="{D5CDD505-2E9C-101B-9397-08002B2CF9AE}" pid="4" name="KSOTemplateDocerSaveRecord">
    <vt:lpwstr>eyJoZGlkIjoiMTljMDcwYWJmYjExZWQzNTVmZDAzZTYwM2JlMzJmZDYiLCJ1c2VySWQiOiIzODU2Mzk2OTQifQ==</vt:lpwstr>
  </property>
</Properties>
</file>