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0AFCA">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03388E6">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78DDFC5">
      <w:pPr>
        <w:keepNext w:val="0"/>
        <w:keepLines w:val="0"/>
        <w:widowControl/>
        <w:suppressLineNumbers w:val="0"/>
        <w:spacing w:before="0" w:beforeAutospacing="0" w:after="0" w:afterAutospacing="0" w:line="357" w:lineRule="atLeast"/>
        <w:ind w:left="0" w:right="0"/>
        <w:jc w:val="center"/>
        <w:rPr>
          <w:rFonts w:hint="default" w:ascii="新宋体" w:hAnsi="新宋体" w:eastAsia="新宋体" w:cs="新宋体"/>
          <w:b/>
          <w:bCs w:val="0"/>
          <w:color w:val="000000"/>
          <w:kern w:val="0"/>
          <w:sz w:val="52"/>
          <w:szCs w:val="52"/>
          <w:highlight w:val="none"/>
          <w:u w:color="000000"/>
          <w:lang w:val="en-US" w:eastAsia="zh-CN" w:bidi="ar"/>
        </w:rPr>
      </w:pPr>
      <w:r>
        <w:rPr>
          <w:rFonts w:hint="eastAsia" w:ascii="新宋体" w:hAnsi="新宋体" w:eastAsia="新宋体" w:cs="新宋体"/>
          <w:b/>
          <w:bCs w:val="0"/>
          <w:color w:val="000000"/>
          <w:kern w:val="0"/>
          <w:sz w:val="52"/>
          <w:szCs w:val="52"/>
          <w:highlight w:val="none"/>
          <w:u w:color="000000"/>
          <w:lang w:val="en-US" w:eastAsia="zh-CN" w:bidi="ar"/>
        </w:rPr>
        <w:t>滁州市电子政务外网密码应用安全性评估服务（2026年）项目</w:t>
      </w:r>
    </w:p>
    <w:p w14:paraId="0A762E2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1F53D7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7F8966F5">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5F072528">
      <w:pPr>
        <w:keepNext w:val="0"/>
        <w:keepLines w:val="0"/>
        <w:widowControl/>
        <w:suppressLineNumbers w:val="0"/>
        <w:spacing w:before="0" w:beforeAutospacing="0" w:after="0" w:afterAutospacing="0" w:line="357" w:lineRule="atLeast"/>
        <w:ind w:left="0" w:right="0"/>
        <w:jc w:val="center"/>
        <w:rPr>
          <w:rFonts w:hint="default" w:ascii="新宋体" w:hAnsi="新宋体" w:eastAsia="新宋体" w:cs="新宋体"/>
          <w:b/>
          <w:bCs w:val="0"/>
          <w:color w:val="000000"/>
          <w:kern w:val="0"/>
          <w:sz w:val="52"/>
          <w:szCs w:val="52"/>
          <w:highlight w:val="none"/>
          <w:u w:color="000000"/>
          <w:lang w:val="en-US" w:eastAsia="zh-CN" w:bidi="ar"/>
        </w:rPr>
      </w:pPr>
      <w:r>
        <w:rPr>
          <w:rFonts w:hint="eastAsia" w:ascii="新宋体" w:hAnsi="新宋体" w:eastAsia="新宋体" w:cs="新宋体"/>
          <w:b w:val="0"/>
          <w:bCs/>
          <w:color w:val="000000"/>
          <w:kern w:val="0"/>
          <w:sz w:val="24"/>
          <w:szCs w:val="24"/>
          <w:highlight w:val="none"/>
          <w:u w:color="000000"/>
          <w:lang w:val="en-US" w:eastAsia="zh-CN" w:bidi="ar"/>
        </w:rPr>
        <w:t xml:space="preserve"> </w:t>
      </w:r>
    </w:p>
    <w:p w14:paraId="34F7F837">
      <w:pPr>
        <w:pStyle w:val="21"/>
        <w:widowControl/>
        <w:rPr>
          <w:highlight w:val="none"/>
          <w:lang w:val="en-US"/>
        </w:rPr>
      </w:pPr>
      <w:r>
        <w:rPr>
          <w:highlight w:val="none"/>
          <w:lang w:val="en-US"/>
        </w:rPr>
        <w:t xml:space="preserve"> </w:t>
      </w:r>
    </w:p>
    <w:p w14:paraId="79559687">
      <w:pPr>
        <w:pStyle w:val="21"/>
        <w:widowControl/>
        <w:rPr>
          <w:highlight w:val="none"/>
          <w:lang w:val="en-US"/>
        </w:rPr>
      </w:pPr>
      <w:r>
        <w:rPr>
          <w:highlight w:val="none"/>
          <w:lang w:val="en-US"/>
        </w:rPr>
        <w:t xml:space="preserve"> </w:t>
      </w:r>
    </w:p>
    <w:p w14:paraId="4318EDB1">
      <w:pPr>
        <w:pStyle w:val="21"/>
        <w:widowControl/>
        <w:rPr>
          <w:highlight w:val="none"/>
          <w:lang w:val="en-US"/>
        </w:rPr>
      </w:pPr>
      <w:r>
        <w:rPr>
          <w:highlight w:val="none"/>
          <w:lang w:val="en-US"/>
        </w:rPr>
        <w:t xml:space="preserve"> </w:t>
      </w:r>
    </w:p>
    <w:p w14:paraId="7C485945">
      <w:pPr>
        <w:pStyle w:val="21"/>
        <w:widowControl/>
        <w:rPr>
          <w:rFonts w:eastAsia="宋体"/>
          <w:highlight w:val="none"/>
          <w:lang w:val="en-US"/>
        </w:rPr>
      </w:pPr>
      <w:r>
        <w:rPr>
          <w:highlight w:val="none"/>
          <w:lang w:val="en-US"/>
        </w:rPr>
        <w:t xml:space="preserve"> </w:t>
      </w:r>
    </w:p>
    <w:p w14:paraId="71F2E143">
      <w:pPr>
        <w:adjustRightInd w:val="0"/>
        <w:snapToGrid w:val="0"/>
        <w:ind w:firstLine="302" w:firstLineChars="94"/>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采</w:t>
      </w:r>
      <w:r>
        <w:rPr>
          <w:rFonts w:hint="eastAsia" w:ascii="宋体" w:hAnsi="宋体"/>
          <w:b/>
          <w:sz w:val="32"/>
          <w:highlight w:val="none"/>
        </w:rPr>
        <w:t xml:space="preserve">  </w:t>
      </w:r>
      <w:r>
        <w:rPr>
          <w:rFonts w:hint="eastAsia" w:ascii="宋体" w:hAnsi="宋体"/>
          <w:b/>
          <w:sz w:val="32"/>
          <w:highlight w:val="none"/>
          <w:lang w:val="en-US" w:eastAsia="zh-CN"/>
        </w:rPr>
        <w:t>购</w:t>
      </w:r>
      <w:r>
        <w:rPr>
          <w:rFonts w:hint="eastAsia" w:ascii="宋体" w:hAnsi="宋体"/>
          <w:b/>
          <w:sz w:val="32"/>
          <w:highlight w:val="none"/>
        </w:rPr>
        <w:t xml:space="preserve">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滁州市数据资源管理局</w:t>
      </w:r>
      <w:r>
        <w:rPr>
          <w:rFonts w:hint="eastAsia" w:ascii="宋体" w:hAnsi="宋体"/>
          <w:b/>
          <w:sz w:val="32"/>
          <w:highlight w:val="none"/>
          <w:u w:val="thick"/>
          <w:lang w:val="en-US" w:eastAsia="zh-CN"/>
        </w:rPr>
        <w:t xml:space="preserve">       </w:t>
      </w:r>
    </w:p>
    <w:p w14:paraId="079028FE">
      <w:pPr>
        <w:adjustRightInd w:val="0"/>
        <w:snapToGrid w:val="0"/>
        <w:ind w:firstLine="302" w:firstLineChars="94"/>
        <w:rPr>
          <w:rFonts w:hint="eastAsia" w:ascii="宋体" w:hAnsi="宋体"/>
          <w:b/>
          <w:sz w:val="32"/>
          <w:highlight w:val="none"/>
          <w:u w:val="thick"/>
        </w:rPr>
      </w:pPr>
    </w:p>
    <w:p w14:paraId="1C7697BC">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lang w:val="en-US" w:eastAsia="zh-CN"/>
        </w:rPr>
        <w:t>采购</w:t>
      </w: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p>
    <w:p w14:paraId="4725ABE3">
      <w:pPr>
        <w:adjustRightInd w:val="0"/>
        <w:snapToGrid w:val="0"/>
        <w:rPr>
          <w:rFonts w:hint="eastAsia" w:ascii="宋体" w:hAnsi="宋体"/>
          <w:spacing w:val="20"/>
          <w:sz w:val="32"/>
          <w:highlight w:val="none"/>
          <w:u w:val="single"/>
        </w:rPr>
      </w:pPr>
    </w:p>
    <w:p w14:paraId="170ECA3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7FA951B5">
      <w:pPr>
        <w:pStyle w:val="11"/>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14:paraId="6F790687">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48F6F010">
      <w:pPr>
        <w:jc w:val="center"/>
        <w:rPr>
          <w:rFonts w:hint="eastAsia" w:ascii="宋体" w:hAnsi="宋体" w:eastAsia="宋体" w:cs="宋体"/>
          <w:b/>
          <w:bCs w:val="0"/>
          <w:color w:val="000000"/>
          <w:kern w:val="0"/>
          <w:sz w:val="36"/>
          <w:szCs w:val="36"/>
          <w:highlight w:val="none"/>
          <w:u w:color="000000"/>
          <w:lang w:val="en-US" w:eastAsia="zh-CN" w:bidi="ar"/>
        </w:rPr>
      </w:pPr>
    </w:p>
    <w:p w14:paraId="4315D64D">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48BFE2CC">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14:paraId="5DDF5D46">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3</w:t>
      </w:r>
    </w:p>
    <w:p w14:paraId="12E4DA05">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7</w:t>
      </w:r>
    </w:p>
    <w:p w14:paraId="7C124F5E">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采购需求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22</w:t>
      </w:r>
    </w:p>
    <w:p w14:paraId="71755467">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27</w:t>
      </w:r>
    </w:p>
    <w:p w14:paraId="293A604E">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36</w:t>
      </w:r>
    </w:p>
    <w:p w14:paraId="056B5611">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采购人、采购代理机构对本招标文件的确认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44</w:t>
      </w:r>
    </w:p>
    <w:p w14:paraId="5CBB8E31">
      <w:pPr>
        <w:rPr>
          <w:rFonts w:hint="eastAsia" w:ascii="宋体" w:hAnsi="宋体" w:eastAsia="宋体" w:cs="宋体"/>
          <w:sz w:val="28"/>
          <w:szCs w:val="28"/>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19386C6D">
      <w:pPr>
        <w:pStyle w:val="21"/>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18E5E54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35393621"/>
      <w:bookmarkEnd w:id="6"/>
      <w:bookmarkStart w:id="7" w:name="_Toc58430305"/>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781C9A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市电子政务外网密码应用安全性评估服务（2026年）项目的潜在投标人应在滁州市城投工程咨询管理有限公司网站（https://www.czctgczx.com/）获取招标文件，并于2026年7月31日15时00分（北京时间）前递交投标文件。</w:t>
      </w:r>
    </w:p>
    <w:p w14:paraId="0693A98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70F99C8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项目名称：滁州市电子政务外网密码应用安全性评估服务（2026年）项目</w:t>
      </w:r>
    </w:p>
    <w:p w14:paraId="325B6B6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right="0" w:firstLine="480" w:firstLineChars="200"/>
        <w:jc w:val="left"/>
        <w:textAlignment w:val="auto"/>
        <w:rPr>
          <w:rFonts w:hint="default" w:ascii="宋体" w:hAnsi="宋体" w:eastAsia="宋体" w:cs="宋体"/>
          <w:color w:val="FF0000"/>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预算金额（含税）</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auto"/>
          <w:kern w:val="0"/>
          <w:sz w:val="24"/>
          <w:szCs w:val="24"/>
          <w:highlight w:val="none"/>
          <w:u w:color="000000"/>
          <w:lang w:val="en-US" w:eastAsia="zh-CN" w:bidi="ar"/>
        </w:rPr>
        <w:t>120000元</w:t>
      </w:r>
    </w:p>
    <w:p w14:paraId="003A076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最高限价（含税）</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auto"/>
          <w:kern w:val="0"/>
          <w:sz w:val="24"/>
          <w:szCs w:val="24"/>
          <w:highlight w:val="none"/>
          <w:u w:color="000000"/>
          <w:lang w:val="en-US" w:eastAsia="zh-CN" w:bidi="ar"/>
        </w:rPr>
        <w:t>120000元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0BF7B2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w:t>
      </w:r>
    </w:p>
    <w:p w14:paraId="5ADA471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w:t>
      </w:r>
      <w:r>
        <w:rPr>
          <w:rFonts w:hint="eastAsia" w:ascii="宋体" w:hAnsi="宋体" w:eastAsia="宋体" w:cs="宋体"/>
          <w:color w:val="auto"/>
          <w:sz w:val="24"/>
          <w:szCs w:val="24"/>
          <w:highlight w:val="none"/>
        </w:rPr>
        <w:t>合同生效之日起至2026年12月31日</w:t>
      </w:r>
    </w:p>
    <w:p w14:paraId="4941B9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2DAFCD2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74AD9D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1.满足《中华人民共和国政府采购法》第二十二条规定；</w:t>
      </w:r>
    </w:p>
    <w:p w14:paraId="0571DD50">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2.落实政府采购政策需满足的资格要求：</w:t>
      </w:r>
    </w:p>
    <w:p w14:paraId="40267420">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①按照财政部、工业和信息化部制定的《政府采购促进中小企业发展管理办法》第六条第三款（按照本办法规定预留采购份额无法确保充分供应、充分竞争，或者存在可能影响政府采购目标实现的情形）之规定，本项目为非专门面向中小企业采购项目；</w:t>
      </w:r>
    </w:p>
    <w:p w14:paraId="6099A434">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投标人若为银行、保险、石油化工、电力、电信、邮政等有行业特殊情况的企业，接受总公司或其分支机构（分公司）参加投标；</w:t>
      </w:r>
    </w:p>
    <w:p w14:paraId="400C48D6">
      <w:pPr>
        <w:keepNext w:val="0"/>
        <w:keepLines w:val="0"/>
        <w:pageBreakBefore w:val="0"/>
        <w:widowControl/>
        <w:numPr>
          <w:ilvl w:val="0"/>
          <w:numId w:val="2"/>
        </w:numPr>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本项目的特定资格要求：</w:t>
      </w:r>
    </w:p>
    <w:p w14:paraId="3A2ACBE8">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①投标人在国家密码管理局公告（第53号）发布的《商用密码检测机构（商用密码应用安全性评估业务）目录》内；</w:t>
      </w:r>
    </w:p>
    <w:p w14:paraId="66A9F052">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②投标人拟派不少于3人的项目测评团队，且全部测评人员须具有商用密码应用安全性评估人员测评能力考核证书或商用密码应用安全性评估从业人员考核证书。</w:t>
      </w:r>
    </w:p>
    <w:p w14:paraId="0DE72983">
      <w:pPr>
        <w:keepNext w:val="0"/>
        <w:keepLines w:val="0"/>
        <w:pageBreakBefore w:val="0"/>
        <w:kinsoku/>
        <w:overflowPunct/>
        <w:topLinePunct w:val="0"/>
        <w:autoSpaceDN/>
        <w:bidi w:val="0"/>
        <w:adjustRightInd/>
        <w:snapToGrid/>
        <w:spacing w:line="400" w:lineRule="exact"/>
        <w:ind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注：如分支机构（分公司）参加投标的，提供总公司（含分公司）或其下属专业子公司（含分公司）的业绩和人员等均予认可。</w:t>
      </w:r>
    </w:p>
    <w:p w14:paraId="5470D44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5030FCE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2026年7月24日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2026年7月31日</w:t>
      </w:r>
    </w:p>
    <w:p w14:paraId="41A8F2F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bookmarkStart w:id="10" w:name="_Toc58430308"/>
      <w:bookmarkEnd w:id="10"/>
      <w:bookmarkStart w:id="11" w:name="_Toc28359082"/>
      <w:bookmarkEnd w:id="11"/>
      <w:bookmarkStart w:id="12" w:name="_Toc35393793"/>
      <w:bookmarkEnd w:id="12"/>
      <w:bookmarkStart w:id="13" w:name="_Toc28359005"/>
      <w:bookmarkEnd w:id="13"/>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2A935B7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24EC68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（2）投标人登录新点电子交易平台【滁州专区】获取招标文件及其它资料（含澄清和补充说明等）。如在招标文件获取过程中遇到系统问题，请拨打技术支持服务热线0512-58151515或者网站首页在线客服。</w:t>
      </w:r>
    </w:p>
    <w:p w14:paraId="2F989D68">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00" w:lineRule="exact"/>
        <w:ind w:left="540" w:leftChars="0" w:right="0" w:right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售价：0元</w:t>
      </w:r>
    </w:p>
    <w:p w14:paraId="431478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方式</w:t>
      </w:r>
    </w:p>
    <w:p w14:paraId="450004F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2026年7月31日15时00分</w:t>
      </w:r>
      <w:r>
        <w:rPr>
          <w:rFonts w:hint="eastAsia" w:ascii="宋体" w:hAnsi="宋体" w:eastAsia="宋体" w:cs="宋体"/>
          <w:bCs/>
          <w:color w:val="000000"/>
          <w:kern w:val="0"/>
          <w:sz w:val="24"/>
          <w:szCs w:val="24"/>
          <w:highlight w:val="none"/>
          <w:u w:color="000000"/>
          <w:lang w:val="en-US" w:eastAsia="zh-CN" w:bidi="ar"/>
        </w:rPr>
        <w:t>（北京时间）</w:t>
      </w:r>
    </w:p>
    <w:p w14:paraId="09FA68B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73730BF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3BD19DC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645F975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02DAA6F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1.采购人信息</w:t>
      </w:r>
    </w:p>
    <w:p w14:paraId="571B0F3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名称：滁州市数据资源管理局   </w:t>
      </w:r>
    </w:p>
    <w:p w14:paraId="5A2389E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地址：滁州市龙蟠大道99号 </w:t>
      </w:r>
    </w:p>
    <w:p w14:paraId="542D6D4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0550-3215669</w:t>
      </w:r>
    </w:p>
    <w:p w14:paraId="7346086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1651736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79ADBBC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5FB7154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68F047B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55FC604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项目联系人：顾勇健、周蓓蕾    </w:t>
      </w:r>
    </w:p>
    <w:p w14:paraId="520E8B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电话：0550-3215669、0550-3519519、18005505728</w:t>
      </w:r>
    </w:p>
    <w:p w14:paraId="00C723E0">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14:paraId="1843CCD9">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207706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7DEB4D">
            <w:pPr>
              <w:pStyle w:val="15"/>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00DB340B">
            <w:pPr>
              <w:pStyle w:val="15"/>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F233C01">
            <w:pPr>
              <w:pStyle w:val="15"/>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14:paraId="3911EC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8B6367">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48B07E">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C27F2B">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滁州市电子政务外网密码应用安全性评估服务（2026年）项目</w:t>
            </w:r>
          </w:p>
        </w:tc>
      </w:tr>
      <w:tr w14:paraId="19CDF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C253B0">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0B7AD7">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4BA304C">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14:paraId="590A36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4FE1F5B">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4E610B">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D1859F">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Cs/>
                <w:highlight w:val="none"/>
                <w:lang w:val="en-US"/>
              </w:rPr>
            </w:pPr>
            <w:r>
              <w:rPr>
                <w:rFonts w:hint="eastAsia" w:cs="Times New Roman"/>
                <w:bCs/>
                <w:highlight w:val="none"/>
                <w:lang w:eastAsia="zh-CN"/>
              </w:rPr>
              <w:t>采购人</w:t>
            </w:r>
            <w:r>
              <w:rPr>
                <w:rFonts w:cs="Times New Roman"/>
                <w:bCs/>
                <w:highlight w:val="none"/>
              </w:rPr>
              <w:t>指定地点</w:t>
            </w:r>
          </w:p>
        </w:tc>
      </w:tr>
      <w:tr w14:paraId="5629AE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1BC4894">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1E7E6A">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hint="eastAsia" w:cs="Times New Roman"/>
                <w:highlight w:val="none"/>
                <w:lang w:eastAsia="zh-CN"/>
              </w:rPr>
              <w:t>采购人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3DBC32">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宋体"/>
                <w:highlight w:val="none"/>
                <w:lang w:val="en-US"/>
              </w:rPr>
            </w:pPr>
            <w:r>
              <w:rPr>
                <w:rFonts w:hint="eastAsia" w:cs="宋体"/>
                <w:highlight w:val="none"/>
                <w:lang w:val="en-US" w:eastAsia="zh-CN"/>
              </w:rPr>
              <w:t>顾勇健</w:t>
            </w:r>
            <w:r>
              <w:rPr>
                <w:rFonts w:hint="eastAsia" w:ascii="宋体" w:hAnsi="宋体" w:eastAsia="宋体" w:cs="宋体"/>
                <w:highlight w:val="none"/>
                <w:lang w:val="en-US" w:eastAsia="zh-CN"/>
              </w:rPr>
              <w:t xml:space="preserve">  </w:t>
            </w:r>
            <w:r>
              <w:rPr>
                <w:rFonts w:hint="eastAsia" w:cs="宋体"/>
                <w:highlight w:val="none"/>
                <w:lang w:val="en-US" w:eastAsia="zh-CN"/>
              </w:rPr>
              <w:t>0550-3215669</w:t>
            </w:r>
          </w:p>
        </w:tc>
      </w:tr>
      <w:tr w14:paraId="7437A1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CA3C07">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B32B9E">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3AC28FA">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14:paraId="563B52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A2FD96">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B8E653">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0924F">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财政</w:t>
            </w:r>
            <w:r>
              <w:rPr>
                <w:rFonts w:cs="Times New Roman"/>
                <w:highlight w:val="none"/>
              </w:rPr>
              <w:t>资金</w:t>
            </w:r>
          </w:p>
        </w:tc>
      </w:tr>
      <w:tr w14:paraId="638F25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F71DA1">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62DE80">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FFF406">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hAnsi="宋体" w:cs="宋体"/>
                <w:bCs/>
                <w:color w:val="000000"/>
                <w:szCs w:val="21"/>
                <w:highlight w:val="none"/>
                <w:lang w:val="en-US" w:eastAsia="zh-CN"/>
              </w:rPr>
            </w:pPr>
            <w:r>
              <w:rPr>
                <w:rFonts w:hint="eastAsia" w:hAnsi="宋体" w:cs="宋体"/>
                <w:bCs/>
                <w:color w:val="000000"/>
                <w:szCs w:val="21"/>
                <w:highlight w:val="none"/>
                <w:lang w:val="en-US" w:eastAsia="zh-CN"/>
              </w:rPr>
              <w:t>120000元（含税）</w:t>
            </w:r>
          </w:p>
        </w:tc>
      </w:tr>
      <w:tr w14:paraId="1108B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0D2ABED">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A115A1">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00DBB3">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hAnsi="宋体" w:cs="宋体"/>
                <w:bCs/>
                <w:color w:val="000000"/>
                <w:szCs w:val="21"/>
                <w:highlight w:val="none"/>
                <w:lang w:val="en-US" w:eastAsia="zh-CN"/>
              </w:rPr>
            </w:pPr>
            <w:r>
              <w:rPr>
                <w:rFonts w:hint="eastAsia" w:hAnsi="宋体" w:cs="宋体"/>
                <w:bCs/>
                <w:color w:val="000000"/>
                <w:szCs w:val="21"/>
                <w:highlight w:val="none"/>
                <w:lang w:val="en-US" w:eastAsia="zh-CN"/>
              </w:rPr>
              <w:t>120000元（含税）</w:t>
            </w:r>
            <w:r>
              <w:rPr>
                <w:rFonts w:hint="eastAsia" w:hAnsi="宋体" w:cs="宋体"/>
                <w:bCs/>
                <w:color w:val="000000"/>
                <w:szCs w:val="21"/>
                <w:highlight w:val="none"/>
                <w:lang w:val="en-US" w:eastAsia="zh-CN"/>
              </w:rPr>
              <w:t>，投标报价不得超过最高限价，否则按无效投标处理。</w:t>
            </w:r>
          </w:p>
        </w:tc>
      </w:tr>
      <w:tr w14:paraId="5496B2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5730158">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EE5EAC">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8D28FF">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lang w:val="en-US" w:eastAsia="zh-CN"/>
              </w:rPr>
              <w:t>详见</w:t>
            </w:r>
            <w:r>
              <w:rPr>
                <w:rFonts w:hint="eastAsia" w:hAnsi="宋体" w:cs="宋体"/>
                <w:bCs/>
                <w:color w:val="000000"/>
                <w:szCs w:val="21"/>
                <w:highlight w:val="none"/>
              </w:rPr>
              <w:t>《采购需求》</w:t>
            </w:r>
          </w:p>
        </w:tc>
      </w:tr>
      <w:tr w14:paraId="354182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A46420">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010A59">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1FF06C">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14:paraId="6DEF9D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738692C">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4B6BC8">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7E5A63">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3CD953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A94559">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601FB9">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70C8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D3AED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7E2F2A">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E6A348">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EC6E9A">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5BB18A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08940">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4E35639">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610AA5">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14:paraId="417AD8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328F8AD">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49BF46">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B37AC8">
            <w:pPr>
              <w:pStyle w:val="15"/>
              <w:keepNext w:val="0"/>
              <w:keepLines w:val="0"/>
              <w:pageBreakBefore w:val="0"/>
              <w:kinsoku/>
              <w:wordWrap w:val="0"/>
              <w:overflowPunct/>
              <w:topLinePunct w:val="0"/>
              <w:autoSpaceDN/>
              <w:bidi w:val="0"/>
              <w:adjustRightInd/>
              <w:snapToGrid/>
              <w:spacing w:line="440" w:lineRule="exact"/>
              <w:ind w:left="0" w:leftChars="0" w:right="0" w:rightChars="0"/>
              <w:textAlignment w:val="auto"/>
              <w:rPr>
                <w:rFonts w:cs="Times New Roman"/>
                <w:b w:val="0"/>
                <w:bCs w:val="0"/>
                <w:highlight w:val="none"/>
                <w:lang w:val="en-US"/>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7</w:t>
            </w:r>
            <w:r>
              <w:rPr>
                <w:rFonts w:hint="eastAsia" w:ascii="宋体" w:hAnsi="宋体" w:eastAsia="宋体" w:cs="宋体"/>
                <w:kern w:val="0"/>
                <w:szCs w:val="21"/>
                <w:highlight w:val="none"/>
              </w:rPr>
              <w:t>月</w:t>
            </w:r>
            <w:r>
              <w:rPr>
                <w:rFonts w:hint="eastAsia" w:cs="宋体"/>
                <w:kern w:val="0"/>
                <w:szCs w:val="21"/>
                <w:highlight w:val="none"/>
                <w:lang w:val="en-US" w:eastAsia="zh-CN"/>
              </w:rPr>
              <w:t>28</w:t>
            </w:r>
            <w:r>
              <w:rPr>
                <w:rFonts w:hint="eastAsia" w:ascii="宋体" w:hAnsi="宋体" w:eastAsia="宋体" w:cs="宋体"/>
                <w:kern w:val="0"/>
                <w:szCs w:val="21"/>
                <w:highlight w:val="none"/>
              </w:rPr>
              <w:t>日1</w:t>
            </w:r>
            <w:r>
              <w:rPr>
                <w:rFonts w:hint="eastAsia" w:cs="宋体"/>
                <w:kern w:val="0"/>
                <w:szCs w:val="21"/>
                <w:highlight w:val="none"/>
                <w:lang w:val="en-US" w:eastAsia="zh-CN"/>
              </w:rPr>
              <w:t>2</w:t>
            </w:r>
            <w:r>
              <w:rPr>
                <w:rFonts w:hint="eastAsia" w:ascii="宋体" w:hAnsi="宋体" w:eastAsia="宋体" w:cs="宋体"/>
                <w:kern w:val="0"/>
                <w:szCs w:val="21"/>
                <w:highlight w:val="none"/>
              </w:rPr>
              <w:t>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359223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53FFB7">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E23699">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hint="eastAsia" w:cs="Times New Roman"/>
                <w:highlight w:val="none"/>
                <w:lang w:eastAsia="zh-CN"/>
              </w:rPr>
              <w:t>采购人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2E923E">
            <w:pPr>
              <w:keepNext w:val="0"/>
              <w:keepLines w:val="0"/>
              <w:pageBreakBefore w:val="0"/>
              <w:suppressLineNumbers w:val="0"/>
              <w:kinsoku/>
              <w:wordWrap w:val="0"/>
              <w:overflowPunct/>
              <w:topLinePunct w:val="0"/>
              <w:autoSpaceDN/>
              <w:bidi w:val="0"/>
              <w:adjustRightInd/>
              <w:snapToGrid/>
              <w:spacing w:before="0" w:beforeAutospacing="0" w:after="0" w:afterAutospacing="0" w:line="440" w:lineRule="exact"/>
              <w:ind w:left="0" w:leftChars="0" w:right="0" w:rightChars="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采购人将在202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7</w:t>
            </w:r>
            <w:r>
              <w:rPr>
                <w:rFonts w:hint="eastAsia" w:ascii="宋体" w:hAnsi="宋体" w:eastAsia="宋体" w:cs="宋体"/>
                <w:b w:val="0"/>
                <w:bCs w:val="0"/>
                <w:color w:val="000000"/>
                <w:kern w:val="2"/>
                <w:sz w:val="21"/>
                <w:szCs w:val="21"/>
                <w:highlight w:val="none"/>
                <w:u w:color="000000"/>
                <w:lang w:val="en-US" w:eastAsia="zh-CN" w:bidi="ar"/>
              </w:rPr>
              <w:t>月</w:t>
            </w:r>
            <w:r>
              <w:rPr>
                <w:rFonts w:hint="eastAsia" w:ascii="宋体" w:hAnsi="宋体" w:cs="宋体"/>
                <w:b w:val="0"/>
                <w:bCs w:val="0"/>
                <w:color w:val="000000"/>
                <w:kern w:val="2"/>
                <w:sz w:val="21"/>
                <w:szCs w:val="21"/>
                <w:highlight w:val="none"/>
                <w:u w:color="000000"/>
                <w:lang w:val="en-US" w:eastAsia="zh-CN" w:bidi="ar"/>
              </w:rPr>
              <w:t>28</w:t>
            </w:r>
            <w:r>
              <w:rPr>
                <w:rFonts w:hint="eastAsia" w:ascii="宋体" w:hAnsi="宋体" w:eastAsia="宋体" w:cs="宋体"/>
                <w:b w:val="0"/>
                <w:bCs w:val="0"/>
                <w:color w:val="000000"/>
                <w:kern w:val="2"/>
                <w:sz w:val="21"/>
                <w:szCs w:val="21"/>
                <w:highlight w:val="none"/>
                <w:u w:color="000000"/>
                <w:lang w:val="en-US" w:eastAsia="zh-CN" w:bidi="ar"/>
              </w:rPr>
              <w:t>日17时后以澄清公告形式在滁州市城投工程咨询管理有限公司网站（https://www.czctgczx.com/）发布，但不指明澄清问题的来源。如果澄清内容影响投标文件编制的，将相应延长投标截止时间。</w:t>
            </w:r>
          </w:p>
        </w:tc>
      </w:tr>
      <w:tr w14:paraId="1720C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0569F44">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18E1C">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7CFFA3">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7992D9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9E213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cs="Times New Roman"/>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EB115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C11D3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609106A4">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666A405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5B8FEE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7C8CB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4D0D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EFF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代理服务费金额：2000元。</w:t>
            </w:r>
          </w:p>
          <w:p w14:paraId="308F2AD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代理服务支付主体：中标单位，中标单位在获取中标通知书时一次性支付给代理机构。</w:t>
            </w:r>
          </w:p>
        </w:tc>
      </w:tr>
      <w:tr w14:paraId="448119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4F818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2A9D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EA11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774878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4263DD">
            <w:pPr>
              <w:pStyle w:val="15"/>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D274E">
            <w:pPr>
              <w:pStyle w:val="15"/>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8F21E6F">
            <w:pPr>
              <w:pStyle w:val="15"/>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BA3C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10B83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A1A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B492B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4B6A4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33A5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A86F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color w:val="auto"/>
                <w:sz w:val="21"/>
                <w:szCs w:val="21"/>
                <w:highlight w:val="none"/>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AA9831">
            <w:pPr>
              <w:pStyle w:val="11"/>
              <w:keepNext w:val="0"/>
              <w:keepLines w:val="0"/>
              <w:pageBreakBefore w:val="0"/>
              <w:widowControl/>
              <w:kinsoku/>
              <w:wordWrap w:val="0"/>
              <w:overflowPunct/>
              <w:topLinePunct w:val="0"/>
              <w:autoSpaceDE/>
              <w:autoSpaceDN/>
              <w:bidi w:val="0"/>
              <w:adjustRightInd/>
              <w:snapToGrid/>
              <w:spacing w:line="44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p>
          <w:p w14:paraId="4223E9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eastAsia" w:ascii="宋体" w:hAnsi="宋体" w:cs="宋体"/>
                <w:szCs w:val="21"/>
                <w:highlight w:val="none"/>
                <w:lang w:eastAsia="zh-CN"/>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D1FCF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6489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F829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5B9498">
            <w:pPr>
              <w:keepNext w:val="0"/>
              <w:keepLines w:val="0"/>
              <w:pageBreakBefore w:val="0"/>
              <w:suppressLineNumbers w:val="0"/>
              <w:kinsoku/>
              <w:wordWrap w:val="0"/>
              <w:overflowPunct/>
              <w:topLinePunct w:val="0"/>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在 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76E042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10EAF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cs="宋体"/>
                <w:color w:val="auto"/>
                <w:sz w:val="21"/>
                <w:szCs w:val="21"/>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B08E5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color w:val="auto"/>
                <w:sz w:val="21"/>
                <w:szCs w:val="21"/>
                <w:highlight w:val="none"/>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05E9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14:paraId="4A7677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8BA462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DE1650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eastAsiaTheme="minorEastAsia"/>
                <w:highlight w:val="none"/>
                <w:lang w:val="en-US" w:eastAsia="zh-CN"/>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87C91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leftChars="0" w:right="0" w:rightChars="0" w:firstLine="0" w:firstLine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38F44880">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leftChars="0" w:right="0" w:rightChars="0" w:firstLine="0" w:firstLine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34"/>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27DD2C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rightChars="0"/>
              <w:jc w:val="both"/>
              <w:textAlignment w:val="auto"/>
              <w:rPr>
                <w:rFonts w:hint="eastAsia" w:ascii="宋体" w:hAnsi="宋体" w:cs="宋体"/>
                <w:szCs w:val="21"/>
                <w:highlight w:val="none"/>
                <w:lang w:val="en-US"/>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7</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31</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7</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31</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0D85E4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12013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A9920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6D3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2FF896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61B49C">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eastAsia="宋体" w:cs="Times New Roman"/>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B33791">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default" w:cs="Times New Roman"/>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9D4134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spacing w:val="-4"/>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采购</w:t>
            </w:r>
            <w:r>
              <w:rPr>
                <w:rFonts w:hint="eastAsia" w:ascii="宋体" w:hAnsi="宋体" w:cs="宋体"/>
                <w:szCs w:val="21"/>
                <w:highlight w:val="none"/>
                <w:u w:val="single"/>
              </w:rPr>
              <w:t>人</w:t>
            </w:r>
            <w:r>
              <w:rPr>
                <w:rFonts w:hint="eastAsia" w:ascii="宋体" w:hAnsi="宋体" w:cs="宋体"/>
                <w:szCs w:val="21"/>
                <w:highlight w:val="none"/>
                <w:u w:val="single"/>
                <w:lang w:val="en-US" w:eastAsia="zh-CN"/>
              </w:rPr>
              <w:t>自行</w:t>
            </w:r>
            <w:r>
              <w:rPr>
                <w:rFonts w:hint="eastAsia" w:ascii="宋体" w:hAnsi="宋体" w:cs="宋体"/>
                <w:szCs w:val="21"/>
                <w:highlight w:val="none"/>
                <w:u w:val="single"/>
              </w:rPr>
              <w:t>组建。</w:t>
            </w:r>
          </w:p>
        </w:tc>
      </w:tr>
      <w:tr w14:paraId="0B8ABA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B058F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AC71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E909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613EAC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2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5FC0C3">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AF4E15">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118A0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w:t>
            </w:r>
            <w:r>
              <w:rPr>
                <w:rFonts w:hint="eastAsia" w:ascii="宋体" w:hAnsi="宋体" w:eastAsia="宋体" w:cs="宋体"/>
                <w:b w:val="0"/>
                <w:bCs w:val="0"/>
                <w:color w:val="auto"/>
                <w:sz w:val="21"/>
                <w:szCs w:val="21"/>
                <w:highlight w:val="none"/>
                <w:lang w:val="en-US" w:eastAsia="zh-CN"/>
              </w:rPr>
              <w:t>告</w:t>
            </w:r>
            <w:r>
              <w:rPr>
                <w:rFonts w:hint="eastAsia" w:ascii="宋体" w:hAnsi="宋体" w:eastAsia="宋体" w:cs="宋体"/>
                <w:b w:val="0"/>
                <w:bCs w:val="0"/>
                <w:color w:val="auto"/>
                <w:sz w:val="21"/>
                <w:szCs w:val="21"/>
                <w:highlight w:val="none"/>
              </w:rPr>
              <w:t>媒介：同招标公告发布媒介</w:t>
            </w:r>
          </w:p>
          <w:p w14:paraId="704D684C">
            <w:pPr>
              <w:pStyle w:val="15"/>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default" w:ascii="宋体" w:hAnsi="宋体" w:eastAsia="宋体" w:cs="宋体"/>
                <w:szCs w:val="21"/>
                <w:highlight w:val="none"/>
                <w:lang w:val="en-US" w:eastAsia="zh-CN"/>
              </w:rPr>
            </w:pPr>
            <w:r>
              <w:rPr>
                <w:rFonts w:hint="eastAsia" w:ascii="宋体" w:hAnsi="宋体" w:eastAsia="宋体" w:cs="宋体"/>
                <w:b w:val="0"/>
                <w:bCs w:val="0"/>
                <w:color w:val="auto"/>
                <w:sz w:val="21"/>
                <w:szCs w:val="21"/>
                <w:highlight w:val="none"/>
              </w:rPr>
              <w:t>公</w:t>
            </w:r>
            <w:r>
              <w:rPr>
                <w:rFonts w:hint="eastAsia" w:ascii="宋体" w:hAnsi="宋体" w:eastAsia="宋体" w:cs="宋体"/>
                <w:b w:val="0"/>
                <w:bCs w:val="0"/>
                <w:color w:val="auto"/>
                <w:sz w:val="21"/>
                <w:szCs w:val="21"/>
                <w:highlight w:val="none"/>
                <w:lang w:val="en-US" w:eastAsia="zh-CN"/>
              </w:rPr>
              <w:t>告</w:t>
            </w:r>
            <w:r>
              <w:rPr>
                <w:rFonts w:hint="eastAsia" w:ascii="宋体" w:hAnsi="宋体" w:eastAsia="宋体" w:cs="宋体"/>
                <w:b w:val="0"/>
                <w:bCs w:val="0"/>
                <w:color w:val="auto"/>
                <w:sz w:val="21"/>
                <w:szCs w:val="21"/>
                <w:highlight w:val="none"/>
              </w:rPr>
              <w:t>期限：</w:t>
            </w:r>
            <w:r>
              <w:rPr>
                <w:rFonts w:hint="eastAsia" w:ascii="宋体" w:hAnsi="宋体" w:eastAsia="宋体" w:cs="宋体"/>
                <w:b w:val="0"/>
                <w:bCs w:val="0"/>
                <w:color w:val="auto"/>
                <w:sz w:val="21"/>
                <w:szCs w:val="21"/>
                <w:highlight w:val="none"/>
                <w:lang w:val="en-US" w:eastAsia="zh-CN"/>
              </w:rPr>
              <w:t>1个工作日</w:t>
            </w:r>
          </w:p>
        </w:tc>
      </w:tr>
      <w:tr w14:paraId="1072F8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6007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0E99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CE7C8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中标通知书须加盖采购人、招标代理公司公章后发出。</w:t>
            </w:r>
          </w:p>
        </w:tc>
      </w:tr>
      <w:tr w14:paraId="56EB6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C1DD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EE5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0A685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14:paraId="297235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F1A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B872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中标人完成商用密码应用安全性评估并出具报告后30天内，采购人一次性支付全部合同价款。</w:t>
            </w:r>
          </w:p>
        </w:tc>
      </w:tr>
      <w:tr w14:paraId="61878C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123BE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59616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3FC210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2AE791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7D7BE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67C7F77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189412D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536AD8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default"/>
                <w:highlight w:val="none"/>
                <w:lang w:val="en-US"/>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16AEB8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AA1E8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F085A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default"/>
                <w:highlight w:val="none"/>
                <w:lang w:val="en-US"/>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782FA4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7C91359">
            <w:pPr>
              <w:keepNext w:val="0"/>
              <w:keepLines w:val="0"/>
              <w:pageBreakBefore w:val="0"/>
              <w:suppressLineNumbers w:val="0"/>
              <w:kinsoku/>
              <w:wordWrap w:val="0"/>
              <w:overflowPunct/>
              <w:topLinePunct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6F885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、本项目严禁非法</w:t>
            </w:r>
            <w:r>
              <w:rPr>
                <w:rFonts w:hint="eastAsia" w:ascii="宋体" w:hAnsi="宋体" w:cs="宋体"/>
                <w:szCs w:val="21"/>
                <w:highlight w:val="none"/>
                <w:lang w:val="en-US" w:eastAsia="zh-CN"/>
              </w:rPr>
              <w:t>分包、</w:t>
            </w:r>
            <w:r>
              <w:rPr>
                <w:rFonts w:hint="eastAsia" w:ascii="宋体" w:hAnsi="宋体" w:cs="宋体"/>
                <w:szCs w:val="21"/>
                <w:highlight w:val="none"/>
              </w:rPr>
              <w:t>转包，一经发现，</w:t>
            </w:r>
            <w:r>
              <w:rPr>
                <w:rFonts w:hint="eastAsia" w:ascii="宋体" w:hAnsi="宋体" w:cs="宋体"/>
                <w:szCs w:val="21"/>
                <w:highlight w:val="none"/>
                <w:lang w:val="en-US" w:eastAsia="zh-CN"/>
              </w:rPr>
              <w:t>采购</w:t>
            </w:r>
            <w:r>
              <w:rPr>
                <w:rFonts w:hint="eastAsia" w:ascii="宋体" w:hAnsi="宋体" w:cs="宋体"/>
                <w:szCs w:val="21"/>
                <w:highlight w:val="none"/>
              </w:rPr>
              <w:t>人依法处理。</w:t>
            </w:r>
          </w:p>
          <w:p w14:paraId="342DB2D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、本文件的最终解释权归</w:t>
            </w:r>
            <w:r>
              <w:rPr>
                <w:rFonts w:hint="eastAsia" w:ascii="宋体" w:hAnsi="宋体" w:cs="宋体"/>
                <w:szCs w:val="21"/>
                <w:highlight w:val="none"/>
                <w:lang w:val="en-US" w:eastAsia="zh-CN"/>
              </w:rPr>
              <w:t>采购</w:t>
            </w:r>
            <w:r>
              <w:rPr>
                <w:rFonts w:hint="eastAsia" w:ascii="宋体" w:hAnsi="宋体" w:cs="宋体"/>
                <w:szCs w:val="21"/>
                <w:highlight w:val="none"/>
              </w:rPr>
              <w:t>人、代理机构所有。</w:t>
            </w:r>
          </w:p>
          <w:p w14:paraId="41A71CC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40" w:lineRule="exact"/>
              <w:ind w:left="0" w:right="0"/>
              <w:textAlignment w:val="auto"/>
              <w:rPr>
                <w:rFonts w:hint="eastAsia" w:eastAsia="宋体"/>
                <w:highlight w:val="none"/>
                <w:lang w:val="en-US" w:eastAsia="zh-CN"/>
              </w:rPr>
            </w:pPr>
            <w:r>
              <w:rPr>
                <w:rFonts w:hint="eastAsia" w:ascii="宋体" w:hAnsi="宋体" w:cs="宋体"/>
                <w:szCs w:val="21"/>
                <w:highlight w:val="none"/>
                <w:lang w:val="en-US" w:eastAsia="zh-CN"/>
              </w:rPr>
              <w:t>3、</w:t>
            </w:r>
            <w:r>
              <w:rPr>
                <w:rFonts w:hint="eastAsia" w:ascii="宋体" w:hAnsi="宋体" w:cs="宋体"/>
                <w:szCs w:val="21"/>
                <w:highlight w:val="none"/>
              </w:rPr>
              <w:t>若投标人为</w:t>
            </w:r>
            <w:r>
              <w:rPr>
                <w:rFonts w:hint="eastAsia" w:ascii="宋体" w:hAnsi="宋体" w:cs="宋体"/>
                <w:szCs w:val="21"/>
                <w:highlight w:val="none"/>
                <w:lang w:val="en-US" w:eastAsia="zh-CN"/>
              </w:rPr>
              <w:t>若为银行、保险、石油化工、电力、电信、邮政等有行业特殊情况的企业的</w:t>
            </w:r>
            <w:r>
              <w:rPr>
                <w:rFonts w:hint="eastAsia" w:ascii="宋体" w:hAnsi="宋体" w:cs="宋体"/>
                <w:szCs w:val="21"/>
                <w:highlight w:val="none"/>
              </w:rPr>
              <w:t>分支机构</w:t>
            </w:r>
            <w:r>
              <w:rPr>
                <w:rFonts w:hint="eastAsia" w:ascii="宋体" w:hAnsi="宋体" w:cs="宋体"/>
                <w:szCs w:val="21"/>
                <w:highlight w:val="none"/>
                <w:lang w:val="en-US" w:eastAsia="zh-CN"/>
              </w:rPr>
              <w:t>或分公司</w:t>
            </w:r>
            <w:r>
              <w:rPr>
                <w:rFonts w:hint="eastAsia" w:ascii="宋体" w:hAnsi="宋体" w:cs="宋体"/>
                <w:szCs w:val="21"/>
                <w:highlight w:val="none"/>
              </w:rPr>
              <w:t>，其</w:t>
            </w:r>
            <w:r>
              <w:rPr>
                <w:rFonts w:hint="eastAsia" w:ascii="宋体" w:hAnsi="宋体" w:cs="宋体"/>
                <w:szCs w:val="21"/>
                <w:highlight w:val="none"/>
                <w:lang w:val="en-US" w:eastAsia="zh-CN"/>
              </w:rPr>
              <w:t>投标文件</w:t>
            </w:r>
            <w:r>
              <w:rPr>
                <w:rFonts w:hint="eastAsia" w:ascii="宋体" w:hAnsi="宋体" w:cs="宋体"/>
                <w:szCs w:val="21"/>
                <w:highlight w:val="none"/>
              </w:rPr>
              <w:t>中所要求的法定代表人的所有签</w:t>
            </w:r>
            <w:r>
              <w:rPr>
                <w:rFonts w:hint="eastAsia" w:ascii="宋体" w:hAnsi="宋体" w:cs="宋体"/>
                <w:szCs w:val="21"/>
                <w:highlight w:val="none"/>
                <w:lang w:val="en-US" w:eastAsia="zh-CN"/>
              </w:rPr>
              <w:t>章</w:t>
            </w:r>
            <w:r>
              <w:rPr>
                <w:rFonts w:hint="eastAsia" w:ascii="宋体" w:hAnsi="宋体" w:cs="宋体"/>
                <w:szCs w:val="21"/>
                <w:highlight w:val="none"/>
              </w:rPr>
              <w:t>及</w:t>
            </w:r>
            <w:r>
              <w:rPr>
                <w:rFonts w:hint="eastAsia" w:ascii="宋体" w:hAnsi="宋体" w:cs="宋体"/>
                <w:szCs w:val="21"/>
                <w:highlight w:val="none"/>
                <w:lang w:val="en-US" w:eastAsia="zh-CN"/>
              </w:rPr>
              <w:t>涉及</w:t>
            </w:r>
            <w:r>
              <w:rPr>
                <w:rFonts w:hint="eastAsia" w:ascii="宋体" w:hAnsi="宋体" w:cs="宋体"/>
                <w:szCs w:val="21"/>
                <w:highlight w:val="none"/>
              </w:rPr>
              <w:t>材料，</w:t>
            </w:r>
            <w:r>
              <w:rPr>
                <w:rFonts w:hint="eastAsia" w:ascii="宋体" w:hAnsi="宋体" w:cs="宋体"/>
                <w:szCs w:val="21"/>
                <w:highlight w:val="none"/>
                <w:lang w:val="en-US" w:eastAsia="zh-CN"/>
              </w:rPr>
              <w:t>可以由</w:t>
            </w:r>
            <w:r>
              <w:rPr>
                <w:rFonts w:hint="eastAsia" w:ascii="宋体" w:hAnsi="宋体" w:cs="宋体"/>
                <w:szCs w:val="21"/>
                <w:highlight w:val="none"/>
                <w:lang w:eastAsia="zh-CN"/>
              </w:rPr>
              <w:t>其</w:t>
            </w:r>
            <w:r>
              <w:rPr>
                <w:rFonts w:hint="eastAsia" w:ascii="宋体" w:hAnsi="宋体" w:cs="宋体"/>
                <w:szCs w:val="21"/>
                <w:highlight w:val="none"/>
              </w:rPr>
              <w:t>分支机构</w:t>
            </w:r>
            <w:r>
              <w:rPr>
                <w:rFonts w:hint="eastAsia" w:ascii="宋体" w:hAnsi="宋体" w:cs="宋体"/>
                <w:szCs w:val="21"/>
                <w:highlight w:val="none"/>
                <w:lang w:val="en-US" w:eastAsia="zh-CN"/>
              </w:rPr>
              <w:t>或分公司</w:t>
            </w:r>
            <w:r>
              <w:rPr>
                <w:rFonts w:hint="eastAsia" w:ascii="宋体" w:hAnsi="宋体" w:cs="宋体"/>
                <w:szCs w:val="21"/>
                <w:highlight w:val="none"/>
              </w:rPr>
              <w:t>负责人</w:t>
            </w:r>
            <w:r>
              <w:rPr>
                <w:rFonts w:hint="eastAsia" w:ascii="宋体" w:hAnsi="宋体" w:cs="宋体"/>
                <w:szCs w:val="21"/>
                <w:highlight w:val="none"/>
                <w:lang w:val="en-US" w:eastAsia="zh-CN"/>
              </w:rPr>
              <w:t>进行</w:t>
            </w:r>
            <w:r>
              <w:rPr>
                <w:rFonts w:hint="eastAsia" w:ascii="宋体" w:hAnsi="宋体" w:cs="宋体"/>
                <w:szCs w:val="21"/>
                <w:highlight w:val="none"/>
              </w:rPr>
              <w:t>签</w:t>
            </w:r>
            <w:r>
              <w:rPr>
                <w:rFonts w:hint="eastAsia" w:ascii="宋体" w:hAnsi="宋体" w:cs="宋体"/>
                <w:szCs w:val="21"/>
                <w:highlight w:val="none"/>
                <w:lang w:val="en-US" w:eastAsia="zh-CN"/>
              </w:rPr>
              <w:t>章</w:t>
            </w:r>
            <w:r>
              <w:rPr>
                <w:rFonts w:hint="eastAsia" w:ascii="宋体" w:hAnsi="宋体" w:cs="宋体"/>
                <w:szCs w:val="21"/>
                <w:highlight w:val="none"/>
              </w:rPr>
              <w:t>及</w:t>
            </w:r>
            <w:r>
              <w:rPr>
                <w:rFonts w:hint="eastAsia" w:ascii="宋体" w:hAnsi="宋体" w:cs="宋体"/>
                <w:szCs w:val="21"/>
                <w:highlight w:val="none"/>
                <w:lang w:val="en-US" w:eastAsia="zh-CN"/>
              </w:rPr>
              <w:t>提供相应</w:t>
            </w:r>
            <w:r>
              <w:rPr>
                <w:rFonts w:hint="eastAsia" w:ascii="宋体" w:hAnsi="宋体" w:cs="宋体"/>
                <w:szCs w:val="21"/>
                <w:highlight w:val="none"/>
              </w:rPr>
              <w:t>材料。</w:t>
            </w:r>
          </w:p>
        </w:tc>
      </w:tr>
      <w:tr w14:paraId="7EAFCC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25C36C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cs="宋体"/>
                <w:sz w:val="21"/>
                <w:szCs w:val="21"/>
                <w:highlight w:val="none"/>
                <w:lang w:val="en-US" w:eastAsia="zh-CN"/>
              </w:rPr>
              <w:t>重要说明</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247B96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7C97168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460245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3.投标人登录新点电子交易平台【滁州专区】获取招标文件及其它资料（含澄清和补充说明等）。如在招标文件获取过程中遇到系统问题，请拨打技术支持服务热线0512-58151515或者网站首页在线客服。</w:t>
            </w:r>
          </w:p>
          <w:p w14:paraId="066D2D6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117DCB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08F94C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2B8400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23F6096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80" w:lineRule="exact"/>
              <w:ind w:left="0" w:leftChars="0" w:right="0" w:rightChars="0"/>
              <w:jc w:val="left"/>
              <w:textAlignment w:val="auto"/>
              <w:rPr>
                <w:rFonts w:hint="default"/>
                <w:highlight w:val="none"/>
                <w:lang w:val="en-US"/>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35D3BAFB">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64ACD3AD">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20BABC0">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378AB84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4CCD64D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62E1CF6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采购人：见投标人须知前附表。</w:t>
      </w:r>
    </w:p>
    <w:p w14:paraId="712DEE8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48E1CF1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52028F1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1.2采购人及联系人见：投标人须知前附表。</w:t>
      </w:r>
    </w:p>
    <w:p w14:paraId="2C9F12B7">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5B40FB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201435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255529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3881C8E4">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7FF4D4E9">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0913545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616CCF8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5FF48D9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5EA6DDF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3DB8BA0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06C02CC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0F60523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w:t>
      </w:r>
    </w:p>
    <w:p w14:paraId="065C1A9A">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14:paraId="466429B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经评审的最低价法。</w:t>
      </w:r>
      <w:r>
        <w:rPr>
          <w:rFonts w:hint="eastAsia" w:ascii="宋体" w:hAnsi="宋体" w:eastAsia="宋体" w:cs="宋体"/>
          <w:color w:val="000000"/>
          <w:kern w:val="0"/>
          <w:sz w:val="21"/>
          <w:szCs w:val="21"/>
          <w:highlight w:val="none"/>
          <w:u w:color="000000"/>
          <w:lang w:val="en-US" w:eastAsia="zh-CN" w:bidi="ar"/>
        </w:rPr>
        <w:t>（详见第三章评标办法）</w:t>
      </w:r>
    </w:p>
    <w:p w14:paraId="128C86F1">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034DE3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6EDDB459">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0174C37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0FE0CC9A">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2315"/>
      <w:bookmarkEnd w:id="21"/>
      <w:bookmarkStart w:id="22" w:name="_Toc144974507"/>
      <w:bookmarkEnd w:id="22"/>
      <w:bookmarkStart w:id="23" w:name="_Toc247527563"/>
      <w:bookmarkEnd w:id="23"/>
      <w:bookmarkStart w:id="24" w:name="_Toc296602429"/>
      <w:bookmarkEnd w:id="24"/>
      <w:bookmarkStart w:id="25" w:name="_Toc247513962"/>
      <w:bookmarkEnd w:id="25"/>
      <w:bookmarkStart w:id="26" w:name="_Toc15204553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7F6D5EE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投标人须知前附表规定组织踏勘现场的，采购人按投标人须知前附表规定的时间、地点组织投标人踏勘项目现场。 </w:t>
      </w:r>
    </w:p>
    <w:p w14:paraId="2C37FC4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52E395B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除采购人的原因外，投标人自行负责在踏勘现场中所发生的人员伤亡和财产损失。</w:t>
      </w:r>
    </w:p>
    <w:p w14:paraId="5239038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采购人在踏勘现场中介绍的场地和相关的周边环境情况，供投标人在编制投标文件时参考，采购人不对投标人据此作出的判断和决策负责。</w:t>
      </w:r>
    </w:p>
    <w:p w14:paraId="7BD5B9DD">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EFCA3E6">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采购人</w:t>
      </w:r>
      <w:r>
        <w:rPr>
          <w:rFonts w:hint="eastAsia" w:ascii="宋体"/>
          <w:color w:val="000000"/>
          <w:szCs w:val="21"/>
          <w:highlight w:val="none"/>
        </w:rPr>
        <w:t>按投标人须知前附表规定的时间和地点召开投标预备会，澄清投标人提出的问题。</w:t>
      </w:r>
    </w:p>
    <w:p w14:paraId="233615F7">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136F3A3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681B82E">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w:t>
      </w:r>
    </w:p>
    <w:p w14:paraId="42702F26">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14:paraId="6C764CCE">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042647F0">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011E6E41">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13.2投标人对采购内容中规定的要求等必须满足招标文件的相关要求。</w:t>
      </w:r>
    </w:p>
    <w:p w14:paraId="675DEC7B">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单位负责人为同一人或者存在直接控股、管理关系的不同</w:t>
      </w:r>
      <w:r>
        <w:rPr>
          <w:rFonts w:hint="eastAsia" w:ascii="宋体"/>
          <w:szCs w:val="21"/>
          <w:highlight w:val="none"/>
          <w:lang w:eastAsia="zh-CN"/>
        </w:rPr>
        <w:t>投标人</w:t>
      </w:r>
      <w:r>
        <w:rPr>
          <w:rFonts w:hint="eastAsia" w:ascii="宋体"/>
          <w:szCs w:val="21"/>
          <w:highlight w:val="none"/>
        </w:rPr>
        <w:t>，不得参加同一合同项下的采购活动。</w:t>
      </w:r>
    </w:p>
    <w:p w14:paraId="764F3D4B">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D35FD73">
      <w:pPr>
        <w:spacing w:line="360" w:lineRule="auto"/>
        <w:ind w:firstLine="420" w:firstLineChars="20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01FD1D55">
      <w:pPr>
        <w:spacing w:line="360" w:lineRule="auto"/>
        <w:ind w:firstLine="420" w:firstLineChars="200"/>
        <w:rPr>
          <w:rFonts w:hint="eastAsia" w:ascii="宋体"/>
          <w:szCs w:val="21"/>
          <w:highlight w:val="none"/>
        </w:rPr>
      </w:pPr>
      <w:r>
        <w:rPr>
          <w:rFonts w:hint="eastAsia" w:ascii="宋体"/>
          <w:szCs w:val="21"/>
          <w:highlight w:val="none"/>
        </w:rPr>
        <w:t>（2）安徽省及滁州市等有关管理部门的相关规定；</w:t>
      </w:r>
    </w:p>
    <w:p w14:paraId="344E844F">
      <w:pPr>
        <w:spacing w:line="360" w:lineRule="auto"/>
        <w:ind w:firstLine="420" w:firstLineChars="200"/>
        <w:rPr>
          <w:rFonts w:hint="eastAsia" w:ascii="宋体"/>
          <w:szCs w:val="21"/>
          <w:highlight w:val="none"/>
        </w:rPr>
      </w:pPr>
      <w:r>
        <w:rPr>
          <w:rFonts w:hint="eastAsia" w:ascii="宋体"/>
          <w:szCs w:val="21"/>
          <w:highlight w:val="none"/>
        </w:rPr>
        <w:t>（3）</w:t>
      </w:r>
      <w:r>
        <w:rPr>
          <w:rFonts w:hint="eastAsia" w:ascii="宋体"/>
          <w:szCs w:val="21"/>
          <w:highlight w:val="none"/>
          <w:lang w:val="en-US" w:eastAsia="zh-CN"/>
        </w:rPr>
        <w:t>采购</w:t>
      </w:r>
      <w:r>
        <w:rPr>
          <w:rFonts w:hint="eastAsia" w:ascii="宋体"/>
          <w:szCs w:val="21"/>
          <w:highlight w:val="none"/>
        </w:rPr>
        <w:t>人的相关场地情况、基础建设、电力供应情况及相关设计标准。</w:t>
      </w:r>
    </w:p>
    <w:p w14:paraId="26E55D4A">
      <w:pPr>
        <w:spacing w:line="360" w:lineRule="auto"/>
        <w:ind w:firstLine="420" w:firstLineChars="200"/>
        <w:rPr>
          <w:rFonts w:hint="eastAsia" w:ascii="宋体"/>
          <w:szCs w:val="21"/>
          <w:highlight w:val="none"/>
        </w:rPr>
      </w:pPr>
      <w:r>
        <w:rPr>
          <w:rFonts w:hint="eastAsia" w:ascii="宋体"/>
          <w:szCs w:val="21"/>
          <w:highlight w:val="none"/>
        </w:rPr>
        <w:t>本招标文件不再对上述情况进行描述。</w:t>
      </w:r>
    </w:p>
    <w:p w14:paraId="30BA661D">
      <w:pPr>
        <w:spacing w:line="440" w:lineRule="exact"/>
        <w:ind w:firstLine="527" w:firstLineChars="250"/>
        <w:rPr>
          <w:rFonts w:ascii="宋体"/>
          <w:bCs/>
          <w:szCs w:val="21"/>
          <w:highlight w:val="none"/>
        </w:rPr>
      </w:pPr>
      <w:r>
        <w:rPr>
          <w:rFonts w:hint="eastAsia" w:ascii="宋体"/>
          <w:b/>
          <w:szCs w:val="21"/>
          <w:highlight w:val="none"/>
        </w:rPr>
        <w:t>14.保密</w:t>
      </w:r>
    </w:p>
    <w:p w14:paraId="2C45083D">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65D2C1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5C875FC2">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4B31DAE8">
      <w:pPr>
        <w:spacing w:line="440" w:lineRule="exact"/>
        <w:ind w:firstLine="409" w:firstLineChars="195"/>
        <w:rPr>
          <w:rFonts w:hint="eastAsia" w:ascii="宋体"/>
          <w:color w:val="000000"/>
          <w:szCs w:val="21"/>
          <w:highlight w:val="none"/>
        </w:rPr>
      </w:pPr>
      <w:r>
        <w:rPr>
          <w:rFonts w:hint="eastAsia" w:ascii="宋体"/>
          <w:color w:val="000000"/>
          <w:szCs w:val="21"/>
          <w:highlight w:val="none"/>
          <w:lang w:val="en-US" w:eastAsia="zh-CN"/>
        </w:rPr>
        <w:t>参照</w:t>
      </w:r>
      <w:r>
        <w:rPr>
          <w:rFonts w:hint="eastAsia" w:ascii="宋体"/>
          <w:color w:val="000000"/>
          <w:szCs w:val="21"/>
          <w:highlight w:val="none"/>
        </w:rPr>
        <w:t>《中华人民共和国政府采购法》、《中华人民共和国政府采购法实施条例》、《政府采购货物和服务招标投标管理办法》和《中华人民共和国民法典》等相关法律法规和规章及部、省、市级规范性文件的规定，编制本招标文件。</w:t>
      </w:r>
    </w:p>
    <w:p w14:paraId="6E77E0C9">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5EECF84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1074E5B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077ED373">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01E77ED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58AAAD2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14:paraId="455392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22F3D0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14:paraId="1D87CE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采购人、采购代理机构对本文件的确认</w:t>
      </w:r>
    </w:p>
    <w:p w14:paraId="6DDFE640">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除16.1内容外，招标答疑亦为招标文件的组成部分，对采购人和投标人起约束作用。</w:t>
      </w:r>
    </w:p>
    <w:p w14:paraId="5C0E43B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w:t>
      </w:r>
      <w:r>
        <w:rPr>
          <w:rFonts w:hint="eastAsia" w:ascii="宋体" w:hAnsi="Times New Roman" w:eastAsia="宋体" w:cs="Times New Roman"/>
          <w:szCs w:val="21"/>
          <w:highlight w:val="none"/>
          <w:lang w:val="en-US" w:eastAsia="zh-CN"/>
        </w:rPr>
        <w:t>采购</w:t>
      </w:r>
      <w:r>
        <w:rPr>
          <w:rFonts w:hint="eastAsia" w:ascii="宋体" w:hAnsi="Times New Roman" w:eastAsia="宋体" w:cs="Times New Roman"/>
          <w:szCs w:val="21"/>
          <w:highlight w:val="none"/>
        </w:rPr>
        <w:t>人提出，以便补齐</w:t>
      </w:r>
      <w:r>
        <w:rPr>
          <w:rFonts w:hint="eastAsia" w:ascii="宋体" w:hAnsi="Times New Roman" w:eastAsia="宋体" w:cs="Times New Roman"/>
          <w:szCs w:val="21"/>
          <w:highlight w:val="none"/>
          <w:lang w:eastAsia="zh-CN"/>
        </w:rPr>
        <w:t>。</w:t>
      </w:r>
    </w:p>
    <w:p w14:paraId="3019FD7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D1ADE68">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17. 招标文件的异议、澄清</w:t>
      </w:r>
    </w:p>
    <w:p w14:paraId="47165EFB">
      <w:pPr>
        <w:keepNext w:val="0"/>
        <w:keepLines w:val="0"/>
        <w:pageBreakBefore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宋体" w:cs="宋体"/>
          <w:szCs w:val="21"/>
          <w:highlight w:val="none"/>
        </w:rPr>
        <w:t>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21022CC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17.2 </w:t>
      </w:r>
      <w:r>
        <w:rPr>
          <w:rFonts w:hint="eastAsia" w:ascii="宋体" w:hAnsi="宋体" w:cs="宋体"/>
          <w:szCs w:val="21"/>
          <w:highlight w:val="none"/>
        </w:rPr>
        <w:t>招标文件的澄清将在</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eastAsia="宋体" w:cs="宋体"/>
          <w:color w:val="auto"/>
          <w:kern w:val="0"/>
          <w:szCs w:val="21"/>
          <w:highlight w:val="none"/>
          <w:lang w:val="en-US" w:eastAsia="zh-CN"/>
        </w:rPr>
        <w:t>发布</w:t>
      </w:r>
      <w:r>
        <w:rPr>
          <w:rFonts w:hint="eastAsia" w:ascii="宋体" w:hAnsi="宋体" w:cs="宋体"/>
          <w:szCs w:val="21"/>
          <w:highlight w:val="none"/>
        </w:rPr>
        <w:t>。</w:t>
      </w:r>
      <w:r>
        <w:rPr>
          <w:rFonts w:hint="eastAsia" w:ascii="宋体" w:hAnsi="宋体" w:eastAsia="宋体" w:cs="宋体"/>
          <w:bCs/>
          <w:color w:val="000000"/>
          <w:kern w:val="0"/>
          <w:sz w:val="21"/>
          <w:szCs w:val="21"/>
          <w:highlight w:val="none"/>
          <w:u w:color="000000"/>
          <w:lang w:val="en-US" w:eastAsia="zh-CN" w:bidi="ar"/>
        </w:rPr>
        <w:t>投标人应在投标截止时间前关注原采购信息发布媒体上有关本项目有无变更公告，如不及时查看造成后果由投标人自负。</w:t>
      </w:r>
    </w:p>
    <w:p w14:paraId="26F4B0AA">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18. 招标文件的发出</w:t>
      </w:r>
    </w:p>
    <w:p w14:paraId="3FEBD7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滁州市城投工程咨询管理有限公司网站（https://www.czctgczx.com/）</w:t>
      </w:r>
      <w:r>
        <w:rPr>
          <w:rFonts w:hint="eastAsia" w:ascii="宋体" w:hAnsi="宋体" w:eastAsia="宋体" w:cs="宋体"/>
          <w:bCs/>
          <w:color w:val="000000"/>
          <w:kern w:val="0"/>
          <w:sz w:val="21"/>
          <w:szCs w:val="21"/>
          <w:highlight w:val="none"/>
          <w:u w:color="000000"/>
          <w:lang w:val="en-US" w:eastAsia="zh-CN" w:bidi="ar"/>
        </w:rPr>
        <w:t>发出。</w:t>
      </w:r>
    </w:p>
    <w:p w14:paraId="45FE1BD0">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0" w:name="_Toc1549_WPSOffice_Level3"/>
      <w:bookmarkEnd w:id="30"/>
      <w:r>
        <w:rPr>
          <w:rFonts w:hint="eastAsia" w:ascii="宋体" w:hAnsi="宋体" w:eastAsia="宋体" w:cs="宋体"/>
          <w:b/>
          <w:bCs w:val="0"/>
          <w:color w:val="000000"/>
          <w:kern w:val="0"/>
          <w:sz w:val="24"/>
          <w:szCs w:val="24"/>
          <w:highlight w:val="none"/>
          <w:u w:color="000000"/>
          <w:lang w:val="en-US" w:eastAsia="zh-CN" w:bidi="ar"/>
        </w:rPr>
        <w:t>（三）投标文件的编制</w:t>
      </w:r>
    </w:p>
    <w:p w14:paraId="209D41DE">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14:paraId="5EEA242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19.1投标人的投标文件、以及投标人与采购人就投标的所有往来函电，均须使用简体中文。</w:t>
      </w:r>
    </w:p>
    <w:p w14:paraId="2B8F6FA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14:paraId="5D4FFD23">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投标文件的编制</w:t>
      </w:r>
    </w:p>
    <w:p w14:paraId="1C62FFE1">
      <w:pPr>
        <w:spacing w:line="440" w:lineRule="exact"/>
        <w:ind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20.1投标文件的编制</w:t>
      </w:r>
    </w:p>
    <w:p w14:paraId="7FEE0414">
      <w:pPr>
        <w:spacing w:line="440" w:lineRule="exact"/>
        <w:ind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7C4A19FC">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14:paraId="049B8D2B">
      <w:pPr>
        <w:spacing w:line="400" w:lineRule="exact"/>
        <w:ind w:firstLine="403" w:firstLineChars="192"/>
        <w:rPr>
          <w:rFonts w:hint="eastAsia" w:ascii="宋体"/>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.1</w:t>
      </w:r>
      <w:r>
        <w:rPr>
          <w:rFonts w:hint="eastAsia" w:ascii="宋体"/>
          <w:color w:val="000000"/>
          <w:szCs w:val="21"/>
          <w:highlight w:val="none"/>
        </w:rPr>
        <w:t>投标报价文件中的单价和总价全部采用人民币表示。投标人的报价应含有</w:t>
      </w:r>
      <w:r>
        <w:rPr>
          <w:rFonts w:hint="eastAsia" w:ascii="宋体"/>
          <w:color w:val="000000"/>
          <w:szCs w:val="21"/>
          <w:highlight w:val="none"/>
          <w:lang w:val="en-US" w:eastAsia="zh-CN"/>
        </w:rPr>
        <w:t>服务</w:t>
      </w:r>
      <w:r>
        <w:rPr>
          <w:rFonts w:hint="eastAsia" w:ascii="宋体"/>
          <w:color w:val="000000"/>
          <w:szCs w:val="21"/>
          <w:highlight w:val="none"/>
        </w:rPr>
        <w:t>、利润、税金、政策性文件规定及合同包含的所有风险、责任、义务等，即为完成招标文件要求的</w:t>
      </w:r>
      <w:r>
        <w:rPr>
          <w:rFonts w:hint="eastAsia" w:ascii="宋体"/>
          <w:color w:val="000000"/>
          <w:szCs w:val="21"/>
          <w:highlight w:val="none"/>
          <w:lang w:val="en-US" w:eastAsia="zh-CN"/>
        </w:rPr>
        <w:t>服务</w:t>
      </w:r>
      <w:r>
        <w:rPr>
          <w:rFonts w:hint="eastAsia" w:ascii="宋体"/>
          <w:color w:val="000000"/>
          <w:szCs w:val="21"/>
          <w:highlight w:val="none"/>
        </w:rPr>
        <w:t>内容所包含的一切应有费用，</w:t>
      </w:r>
      <w:r>
        <w:rPr>
          <w:rFonts w:hint="eastAsia" w:ascii="宋体" w:hAnsi="宋体" w:eastAsia="宋体" w:cs="Times New Roman"/>
          <w:color w:val="000000"/>
          <w:szCs w:val="21"/>
          <w:highlight w:val="none"/>
          <w:lang w:val="en-US" w:eastAsia="zh-CN"/>
        </w:rPr>
        <w:t>中标价格</w:t>
      </w:r>
      <w:r>
        <w:rPr>
          <w:rFonts w:hint="eastAsia" w:ascii="宋体" w:hAnsi="宋体" w:eastAsia="宋体" w:cs="Times New Roman"/>
          <w:color w:val="000000"/>
          <w:szCs w:val="21"/>
          <w:highlight w:val="none"/>
        </w:rPr>
        <w:t>今后将不作任何调整</w:t>
      </w:r>
      <w:r>
        <w:rPr>
          <w:rFonts w:hint="eastAsia" w:ascii="宋体" w:hAnsi="宋体" w:eastAsia="宋体" w:cs="Times New Roman"/>
          <w:color w:val="000000"/>
          <w:szCs w:val="21"/>
          <w:highlight w:val="none"/>
          <w:lang w:eastAsia="zh-CN"/>
        </w:rPr>
        <w:t>，</w:t>
      </w:r>
      <w:r>
        <w:rPr>
          <w:rFonts w:hint="eastAsia" w:ascii="宋体" w:eastAsia="宋体"/>
          <w:color w:val="000000"/>
          <w:szCs w:val="21"/>
          <w:highlight w:val="none"/>
          <w:lang w:val="en-US" w:eastAsia="zh-CN"/>
        </w:rPr>
        <w:t>采购人</w:t>
      </w:r>
      <w:r>
        <w:rPr>
          <w:rFonts w:hint="eastAsia" w:ascii="宋体"/>
          <w:color w:val="000000"/>
          <w:szCs w:val="21"/>
          <w:highlight w:val="none"/>
        </w:rPr>
        <w:t>后期不再追加费用，投标</w:t>
      </w:r>
      <w:r>
        <w:rPr>
          <w:rFonts w:hint="eastAsia" w:ascii="宋体"/>
          <w:color w:val="000000"/>
          <w:szCs w:val="21"/>
          <w:highlight w:val="none"/>
          <w:lang w:val="en-US" w:eastAsia="zh-CN"/>
        </w:rPr>
        <w:t>人</w:t>
      </w:r>
      <w:r>
        <w:rPr>
          <w:rFonts w:hint="eastAsia" w:ascii="宋体"/>
          <w:color w:val="000000"/>
          <w:szCs w:val="21"/>
          <w:highlight w:val="none"/>
        </w:rPr>
        <w:t>自行考虑投标风险。</w:t>
      </w:r>
    </w:p>
    <w:p w14:paraId="48CAEC46">
      <w:pPr>
        <w:spacing w:line="440" w:lineRule="exact"/>
        <w:ind w:firstLine="420" w:firstLineChars="200"/>
        <w:rPr>
          <w:rFonts w:hint="eastAsia" w:ascii="宋体"/>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2</w:t>
      </w:r>
      <w:r>
        <w:rPr>
          <w:rFonts w:hint="eastAsia" w:ascii="宋体"/>
          <w:color w:val="000000"/>
          <w:szCs w:val="21"/>
          <w:highlight w:val="none"/>
        </w:rPr>
        <w:t>投标人只允许有一个方案、一个报价。</w:t>
      </w:r>
    </w:p>
    <w:p w14:paraId="7681B6DC">
      <w:pPr>
        <w:spacing w:line="440" w:lineRule="exact"/>
        <w:ind w:firstLine="420" w:firstLineChars="200"/>
        <w:rPr>
          <w:rFonts w:hint="eastAsia" w:ascii="宋体"/>
          <w:color w:val="000000"/>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3</w:t>
      </w:r>
      <w:r>
        <w:rPr>
          <w:rFonts w:hint="eastAsia" w:ascii="宋体"/>
          <w:color w:val="000000"/>
          <w:szCs w:val="21"/>
          <w:highlight w:val="none"/>
        </w:rPr>
        <w:t>投标报价是完成项目全部内容（包括后期的相关服务）交付验收的</w:t>
      </w:r>
      <w:r>
        <w:rPr>
          <w:rFonts w:hint="eastAsia" w:ascii="宋体"/>
          <w:color w:val="000000"/>
          <w:szCs w:val="21"/>
          <w:highlight w:val="none"/>
          <w:lang w:val="en-US" w:eastAsia="zh-CN"/>
        </w:rPr>
        <w:t>价格</w:t>
      </w:r>
      <w:r>
        <w:rPr>
          <w:rFonts w:hint="eastAsia" w:ascii="宋体"/>
          <w:color w:val="000000"/>
          <w:szCs w:val="21"/>
          <w:highlight w:val="none"/>
        </w:rPr>
        <w:t>，其</w:t>
      </w:r>
      <w:r>
        <w:rPr>
          <w:rFonts w:hint="eastAsia" w:ascii="宋体"/>
          <w:color w:val="000000"/>
          <w:szCs w:val="21"/>
          <w:highlight w:val="none"/>
          <w:lang w:val="en-US" w:eastAsia="zh-CN"/>
        </w:rPr>
        <w:t>总</w:t>
      </w:r>
      <w:r>
        <w:rPr>
          <w:rFonts w:hint="eastAsia" w:ascii="宋体"/>
          <w:color w:val="000000"/>
          <w:szCs w:val="21"/>
          <w:highlight w:val="none"/>
        </w:rPr>
        <w:t>价即为履行合同的固定</w:t>
      </w:r>
      <w:r>
        <w:rPr>
          <w:rFonts w:hint="eastAsia" w:ascii="宋体"/>
          <w:color w:val="000000"/>
          <w:szCs w:val="21"/>
          <w:highlight w:val="none"/>
          <w:lang w:val="en-US" w:eastAsia="zh-CN"/>
        </w:rPr>
        <w:t>总价</w:t>
      </w:r>
      <w:r>
        <w:rPr>
          <w:rFonts w:hint="eastAsia" w:ascii="宋体"/>
          <w:color w:val="000000"/>
          <w:szCs w:val="21"/>
          <w:highlight w:val="none"/>
        </w:rPr>
        <w:t>。</w:t>
      </w:r>
    </w:p>
    <w:p w14:paraId="0277A39E">
      <w:pPr>
        <w:spacing w:line="440" w:lineRule="exact"/>
        <w:ind w:firstLine="420" w:firstLineChars="200"/>
        <w:rPr>
          <w:rFonts w:hint="eastAsia" w:ascii="宋体"/>
          <w:bCs/>
          <w:szCs w:val="21"/>
          <w:highlight w:val="none"/>
        </w:rPr>
      </w:pPr>
      <w:r>
        <w:rPr>
          <w:rFonts w:hint="eastAsia" w:ascii="宋体"/>
          <w:bCs/>
          <w:szCs w:val="21"/>
          <w:highlight w:val="none"/>
        </w:rPr>
        <w:t>2</w:t>
      </w:r>
      <w:r>
        <w:rPr>
          <w:rFonts w:hint="eastAsia" w:ascii="宋体"/>
          <w:bCs/>
          <w:szCs w:val="21"/>
          <w:highlight w:val="none"/>
          <w:lang w:val="en-US" w:eastAsia="zh-CN"/>
        </w:rPr>
        <w:t>1</w:t>
      </w:r>
      <w:r>
        <w:rPr>
          <w:rFonts w:hint="eastAsia" w:ascii="宋体"/>
          <w:bCs/>
          <w:szCs w:val="21"/>
          <w:highlight w:val="none"/>
        </w:rPr>
        <w:t>.</w:t>
      </w:r>
      <w:r>
        <w:rPr>
          <w:rFonts w:hint="eastAsia" w:ascii="宋体"/>
          <w:bCs/>
          <w:szCs w:val="21"/>
          <w:highlight w:val="none"/>
          <w:lang w:val="en-US" w:eastAsia="zh-CN"/>
        </w:rPr>
        <w:t>4</w:t>
      </w:r>
      <w:r>
        <w:rPr>
          <w:rFonts w:hint="eastAsia" w:ascii="宋体"/>
          <w:color w:val="000000"/>
          <w:szCs w:val="21"/>
          <w:highlight w:val="none"/>
        </w:rPr>
        <w:t>投标报价应由法定代表人或被授权人签署。</w:t>
      </w:r>
    </w:p>
    <w:p w14:paraId="39FF4D5E">
      <w:pPr>
        <w:spacing w:line="440" w:lineRule="exact"/>
        <w:ind w:firstLine="420" w:firstLineChars="200"/>
        <w:rPr>
          <w:rFonts w:hint="eastAsia" w:ascii="宋体"/>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5</w:t>
      </w:r>
      <w:r>
        <w:rPr>
          <w:rFonts w:hint="eastAsia" w:ascii="宋体"/>
          <w:bCs/>
          <w:color w:val="000000"/>
          <w:szCs w:val="21"/>
          <w:highlight w:val="none"/>
        </w:rPr>
        <w:t>投标人的报价不得高于本次招标最高限价</w:t>
      </w:r>
      <w:r>
        <w:rPr>
          <w:rFonts w:hint="eastAsia" w:ascii="宋体" w:hAnsi="宋体"/>
          <w:b/>
          <w:color w:val="000000"/>
          <w:szCs w:val="21"/>
          <w:highlight w:val="none"/>
        </w:rPr>
        <w:t>，</w:t>
      </w:r>
      <w:r>
        <w:rPr>
          <w:rFonts w:hint="eastAsia" w:ascii="宋体" w:hAnsi="宋体"/>
          <w:b/>
          <w:bCs/>
          <w:color w:val="000000"/>
          <w:szCs w:val="21"/>
          <w:highlight w:val="none"/>
        </w:rPr>
        <w:t>否则将作为无效投标处理。</w:t>
      </w:r>
    </w:p>
    <w:p w14:paraId="686E0A94">
      <w:pPr>
        <w:spacing w:line="440" w:lineRule="exact"/>
        <w:ind w:firstLine="420" w:firstLineChars="200"/>
        <w:rPr>
          <w:rFonts w:hint="eastAsia" w:ascii="宋体"/>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6</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14:paraId="353865D1">
      <w:pPr>
        <w:spacing w:line="440" w:lineRule="exact"/>
        <w:ind w:firstLine="420" w:firstLineChars="200"/>
        <w:rPr>
          <w:rFonts w:hint="eastAsia" w:ascii="宋体"/>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7</w:t>
      </w:r>
      <w:r>
        <w:rPr>
          <w:rFonts w:hint="eastAsia" w:ascii="宋体"/>
          <w:color w:val="000000"/>
          <w:szCs w:val="21"/>
          <w:highlight w:val="none"/>
        </w:rPr>
        <w:t>投标价中不得包含招标文件要求以外的内容，否则，在评标时不予核减，但在授予合同时，</w:t>
      </w:r>
      <w:r>
        <w:rPr>
          <w:rFonts w:hint="eastAsia" w:ascii="宋体"/>
          <w:color w:val="000000"/>
          <w:szCs w:val="21"/>
          <w:highlight w:val="none"/>
          <w:lang w:val="en-US" w:eastAsia="zh-CN"/>
        </w:rPr>
        <w:t>采购</w:t>
      </w:r>
      <w:r>
        <w:rPr>
          <w:rFonts w:hint="eastAsia" w:ascii="宋体"/>
          <w:color w:val="000000"/>
          <w:szCs w:val="21"/>
          <w:highlight w:val="none"/>
          <w:lang w:eastAsia="zh-CN"/>
        </w:rPr>
        <w:t>人</w:t>
      </w:r>
      <w:r>
        <w:rPr>
          <w:rFonts w:hint="eastAsia" w:ascii="宋体"/>
          <w:color w:val="000000"/>
          <w:szCs w:val="21"/>
          <w:highlight w:val="none"/>
        </w:rPr>
        <w:t>有权将这部分价格从其中标价格中扣除。</w:t>
      </w:r>
    </w:p>
    <w:p w14:paraId="2A87E540">
      <w:pPr>
        <w:spacing w:line="440" w:lineRule="exact"/>
        <w:ind w:firstLine="403" w:firstLineChars="192"/>
        <w:rPr>
          <w:rFonts w:hint="eastAsia" w:ascii="宋体"/>
          <w:color w:val="000000"/>
          <w:szCs w:val="21"/>
          <w:highlight w:val="none"/>
        </w:rPr>
      </w:pPr>
      <w:r>
        <w:rPr>
          <w:rFonts w:hint="eastAsia" w:ascii="宋体"/>
          <w:szCs w:val="21"/>
          <w:highlight w:val="none"/>
        </w:rPr>
        <w:t>2</w:t>
      </w:r>
      <w:r>
        <w:rPr>
          <w:rFonts w:hint="eastAsia" w:ascii="宋体"/>
          <w:szCs w:val="21"/>
          <w:highlight w:val="none"/>
          <w:lang w:val="en-US" w:eastAsia="zh-CN"/>
        </w:rPr>
        <w:t>1</w:t>
      </w:r>
      <w:r>
        <w:rPr>
          <w:rFonts w:hint="eastAsia" w:ascii="宋体"/>
          <w:szCs w:val="21"/>
          <w:highlight w:val="none"/>
        </w:rPr>
        <w:t>.</w:t>
      </w:r>
      <w:r>
        <w:rPr>
          <w:rFonts w:hint="eastAsia" w:ascii="宋体"/>
          <w:szCs w:val="21"/>
          <w:highlight w:val="none"/>
          <w:lang w:val="en-US" w:eastAsia="zh-CN"/>
        </w:rPr>
        <w:t>8</w:t>
      </w:r>
      <w:r>
        <w:rPr>
          <w:rFonts w:hint="eastAsia" w:ascii="宋体"/>
          <w:color w:val="000000"/>
          <w:szCs w:val="21"/>
          <w:highlight w:val="none"/>
        </w:rPr>
        <w:t>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703957A">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14:paraId="266C3B9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14:paraId="22D99EE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14:paraId="31BE70F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22.3出现特殊情况需要延长投标有效期的，采购人以书面形式通知所有投标人延长投标有效期。投标人同意延长的，不得要求或被允许修改或撤销其投标文件；投标人拒绝延长的，其投标失效。</w:t>
      </w:r>
    </w:p>
    <w:p w14:paraId="39B9206B">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14:paraId="7CFBF2D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14:paraId="60A870A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30407_WPSOffice_Level3"/>
      <w:bookmarkEnd w:id="31"/>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40548C4">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24.投标文件的份数和签署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加密文件。投标人中标后须递交与网上电子投标文件完全一致的纸质版投标文件，并按要求加盖公章；份数：正本1份，副本2份；中标单位领取中标通知书时，一并递交给招标代理机构。</w:t>
      </w:r>
    </w:p>
    <w:p w14:paraId="548266C0">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14:paraId="63E73B2E">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25.投标文件的提交</w:t>
      </w:r>
    </w:p>
    <w:p w14:paraId="4093439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283F4B13">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color w:val="000000"/>
          <w:kern w:val="0"/>
          <w:sz w:val="21"/>
          <w:szCs w:val="21"/>
          <w:highlight w:val="none"/>
          <w:u w:color="000000"/>
          <w:lang w:val="en-US" w:eastAsia="zh-CN" w:bidi="ar"/>
        </w:rPr>
      </w:pPr>
      <w:bookmarkStart w:id="34" w:name="_Toc490"/>
      <w:bookmarkEnd w:id="34"/>
      <w:r>
        <w:rPr>
          <w:rFonts w:hint="eastAsia" w:ascii="黑体" w:hAnsi="宋体" w:eastAsia="黑体" w:cs="宋体"/>
          <w:b/>
          <w:bCs/>
          <w:color w:val="000000"/>
          <w:kern w:val="0"/>
          <w:sz w:val="21"/>
          <w:szCs w:val="21"/>
          <w:highlight w:val="none"/>
          <w:u w:color="000000"/>
          <w:lang w:val="en-US" w:eastAsia="zh-CN" w:bidi="ar"/>
        </w:rPr>
        <w:t>26.投标文件的修改与撤回</w:t>
      </w:r>
    </w:p>
    <w:p w14:paraId="685E3D9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lang w:val="en-US" w:eastAsia="zh-CN"/>
        </w:rPr>
        <w:t>在规定的投标截止时间前，投标人可以自行从网上招投标系统撤回已递交的投标文件，并可修改后重新上传，开标时以投标截止时间前投标人最终上传的投标文件为准。</w:t>
      </w:r>
    </w:p>
    <w:p w14:paraId="384BCF6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2916068">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14:paraId="3682DF0C">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14:paraId="4C98F310">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27.1.1采购人投标须知前附表规定的提交投标文件的截止时间和地点公开开标</w:t>
      </w:r>
      <w:r>
        <w:rPr>
          <w:rFonts w:hint="eastAsia" w:ascii="宋体" w:cs="宋体"/>
          <w:color w:val="auto"/>
          <w:szCs w:val="21"/>
          <w:highlight w:val="none"/>
        </w:rPr>
        <w:t>。</w:t>
      </w:r>
    </w:p>
    <w:p w14:paraId="7C1F0F2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14:paraId="0E0E671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27.2.1采购人可以邀请相关监督部门参加。</w:t>
      </w:r>
    </w:p>
    <w:p w14:paraId="65923A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14:paraId="6439CE79">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A4BDE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553934FB">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9095F7A">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7839343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2D052C51">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28.开标异议</w:t>
      </w:r>
    </w:p>
    <w:p w14:paraId="2825AB9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w:t>
      </w:r>
      <w:r>
        <w:rPr>
          <w:rFonts w:hint="eastAsia" w:ascii="宋体" w:hAnsi="宋体" w:eastAsia="宋体" w:cs="宋体"/>
          <w:color w:val="000000"/>
          <w:szCs w:val="21"/>
          <w:highlight w:val="none"/>
          <w:lang w:val="en-US" w:eastAsia="zh-CN"/>
        </w:rPr>
        <w:t>采购</w:t>
      </w:r>
      <w:r>
        <w:rPr>
          <w:rFonts w:hint="eastAsia" w:ascii="宋体" w:hAnsi="宋体" w:eastAsia="宋体" w:cs="宋体"/>
          <w:color w:val="000000"/>
          <w:szCs w:val="21"/>
          <w:highlight w:val="none"/>
        </w:rPr>
        <w:t>人在开标过程中作出答复，并制作记录。</w:t>
      </w:r>
    </w:p>
    <w:p w14:paraId="7C618D2C">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29.评标委员会</w:t>
      </w:r>
    </w:p>
    <w:p w14:paraId="0ED52C8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29.1评标委员会的组成</w:t>
      </w:r>
    </w:p>
    <w:p w14:paraId="5168A42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自行组建</w:t>
      </w:r>
      <w:r>
        <w:rPr>
          <w:rFonts w:hint="eastAsia" w:ascii="宋体" w:hAnsi="宋体" w:cs="宋体"/>
          <w:color w:val="auto"/>
          <w:szCs w:val="21"/>
          <w:highlight w:val="none"/>
        </w:rPr>
        <w:t>。</w:t>
      </w:r>
    </w:p>
    <w:p w14:paraId="06C1C37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29.2评标委员会成员名单在中标结果确定前应当保密。</w:t>
      </w:r>
    </w:p>
    <w:p w14:paraId="0A19D68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29.3评标委员会成员有下述情形的，应当主动提出回避：</w:t>
      </w:r>
    </w:p>
    <w:p w14:paraId="7AF98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14:paraId="276C9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14:paraId="600CB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14:paraId="1E36E7F1">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评审专家发现本人与参加采购活动的投标人有利害关系的,应当主动提出回避。采购人或者代理机构发现评审专家与参加采购活动的投标人有利害关系的,应当要求其回避。</w:t>
      </w:r>
    </w:p>
    <w:p w14:paraId="4B43093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29.4评标委员会应当向采购人提出书面评标报告。评标报告应当如实记载以下内容：</w:t>
      </w:r>
    </w:p>
    <w:p w14:paraId="02C0F39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14:paraId="3159D5C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14:paraId="1E17268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14:paraId="3A356A2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14:paraId="759F078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14:paraId="11F5A791">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14:paraId="7C895A9A">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14:paraId="61F594C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14:paraId="7B098BA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14:paraId="3E09443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14:paraId="1075B95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14:paraId="507E756A">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29.5</w:t>
      </w:r>
      <w:r>
        <w:rPr>
          <w:rFonts w:hint="eastAsia" w:ascii="宋体" w:hAnsi="宋体" w:eastAsia="宋体" w:cs="宋体"/>
          <w:b/>
          <w:bCs/>
          <w:color w:val="000000"/>
          <w:kern w:val="0"/>
          <w:sz w:val="21"/>
          <w:szCs w:val="21"/>
          <w:highlight w:val="none"/>
          <w:u w:color="000000"/>
          <w:lang w:val="en-US" w:eastAsia="zh-CN" w:bidi="ar"/>
        </w:rPr>
        <w:t>采购人授权评标委员会对投标人资格进行审查。</w:t>
      </w:r>
    </w:p>
    <w:p w14:paraId="3AE67F4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30.评标</w:t>
      </w:r>
    </w:p>
    <w:p w14:paraId="4469D5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30.1评标准备工作</w:t>
      </w:r>
    </w:p>
    <w:p w14:paraId="3C80637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30.1.1阅读由采购人或招标代理单位编写的招标项目情况的说明材料；</w:t>
      </w:r>
    </w:p>
    <w:p w14:paraId="61B9DAB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30.1.2阅读、研究招标文件和相关评标资料，获取评标所需要的重要信息和数据；</w:t>
      </w:r>
    </w:p>
    <w:p w14:paraId="12BA931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30.1.3熟悉招标文件规定的评标方法及在评标过程中需要考虑的相关因素；</w:t>
      </w:r>
    </w:p>
    <w:p w14:paraId="5244D0D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30.1.4核对评标工作用表。</w:t>
      </w:r>
    </w:p>
    <w:p w14:paraId="369743D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30.2评标办法</w:t>
      </w:r>
    </w:p>
    <w:p w14:paraId="3AF810FA">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评标委员会按照第三章“评标办法”规定的方法、评审因素、标准和程序对投标文件进行评审。第三章“评标办法”没有规定的方法、评审因素和标准，不作为评标依据。</w:t>
      </w:r>
    </w:p>
    <w:p w14:paraId="41B51F0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14:paraId="148C1AC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遵循公平、公正、科学和择优的原则。</w:t>
      </w:r>
    </w:p>
    <w:p w14:paraId="60D98631">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30.4投标文件的澄清</w:t>
      </w:r>
    </w:p>
    <w:p w14:paraId="44B689C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30.4.1 在评标过程中，评标委员会认为需要，可要求投标人对投标文件中的有关问题进行澄清或提供补充说明及有关资料，投标人应做出书面答复。</w:t>
      </w:r>
    </w:p>
    <w:p w14:paraId="2882F5B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30.4.2 书面答复须经投标人法定代表人或其委托代理人签字或盖章，签字或盖章的书面答复将被视为投标文件的组成部分。</w:t>
      </w:r>
    </w:p>
    <w:p w14:paraId="00BF994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30.5报价合理性的判断</w:t>
      </w:r>
    </w:p>
    <w:p w14:paraId="27CEBAC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EDB5C0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30.6评审意见分歧的处理办法</w:t>
      </w:r>
    </w:p>
    <w:p w14:paraId="6234017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14:paraId="047DB1D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14:paraId="21CF6352">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30.7评标报告的签署</w:t>
      </w:r>
    </w:p>
    <w:p w14:paraId="5B87F86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50A8582">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30.8评标过程的保密</w:t>
      </w:r>
    </w:p>
    <w:p w14:paraId="709879C7">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14:paraId="101081F1">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30.9评标结果公告</w:t>
      </w:r>
    </w:p>
    <w:p w14:paraId="206EBE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采购人应将中标人的情况在滁州市城投工程咨询管理有限公司网站（https://www.czctgczx.com/）予以公告，公告期为1个工作日。</w:t>
      </w:r>
    </w:p>
    <w:p w14:paraId="4FDC3FD6">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31.定标</w:t>
      </w:r>
    </w:p>
    <w:p w14:paraId="3256A12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中标人的确定</w:t>
      </w:r>
    </w:p>
    <w:p w14:paraId="2511F5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31.1.1除投标人须知前附表规定评标委员会直接确定中标人外，采购人依据评标委员会推荐的中标候选人确定中标人，评标委员会推荐中标候选人的人数见投标人须知前附表。</w:t>
      </w:r>
    </w:p>
    <w:p w14:paraId="561F02EF">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31.1.2中标人确定后，采购人应将中标人名单在滁州市城投工程咨询管理有限公司网站（https://www.czctgczx.com/）予以公示。</w:t>
      </w:r>
    </w:p>
    <w:p w14:paraId="68830C7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中标通知书</w:t>
      </w:r>
    </w:p>
    <w:p w14:paraId="2ED1ECA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31.2.1</w:t>
      </w:r>
      <w:r>
        <w:rPr>
          <w:rFonts w:hint="eastAsia"/>
          <w:color w:val="000000"/>
          <w:highlight w:val="none"/>
        </w:rPr>
        <w:t>采购人或采购代理机构应在中标人确定之日起2个工作日内，在</w:t>
      </w:r>
      <w:r>
        <w:rPr>
          <w:rFonts w:hint="eastAsia" w:ascii="宋体" w:hAnsi="宋体" w:eastAsia="宋体" w:cs="宋体"/>
          <w:color w:val="000000"/>
          <w:kern w:val="0"/>
          <w:sz w:val="21"/>
          <w:szCs w:val="21"/>
          <w:highlight w:val="none"/>
          <w:u w:color="000000"/>
          <w:lang w:val="en-US" w:eastAsia="zh-CN" w:bidi="ar"/>
        </w:rPr>
        <w:t>滁州市城投工程咨询管理有限公司网站</w:t>
      </w:r>
      <w:r>
        <w:rPr>
          <w:rFonts w:hint="eastAsia"/>
          <w:color w:val="000000"/>
          <w:highlight w:val="none"/>
        </w:rPr>
        <w:t>公告中标结果并同时向中标人发出中标通知书。</w:t>
      </w:r>
    </w:p>
    <w:p w14:paraId="2A5E962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31.2.2中标通知书须加盖采购人、采购代理公司公章后发出。</w:t>
      </w:r>
    </w:p>
    <w:p w14:paraId="4DE9DDCB">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color w:val="000000"/>
          <w:kern w:val="0"/>
          <w:sz w:val="21"/>
          <w:szCs w:val="21"/>
          <w:highlight w:val="none"/>
          <w:u w:color="000000"/>
          <w:lang w:val="en-US" w:eastAsia="zh-CN" w:bidi="ar"/>
        </w:rPr>
      </w:pPr>
      <w:r>
        <w:rPr>
          <w:rFonts w:hint="eastAsia" w:ascii="宋体" w:hAnsi="宋体" w:eastAsia="宋体" w:cs="宋体"/>
          <w:b/>
          <w:bCs/>
          <w:color w:val="000000"/>
          <w:kern w:val="0"/>
          <w:sz w:val="21"/>
          <w:szCs w:val="21"/>
          <w:highlight w:val="none"/>
          <w:u w:color="000000"/>
          <w:lang w:val="en-US" w:eastAsia="zh-CN" w:bidi="ar"/>
        </w:rPr>
        <w:t xml:space="preserve">32.废标（重新招标）  </w:t>
      </w:r>
    </w:p>
    <w:p w14:paraId="3000320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7" w:name="_Toc28864"/>
      <w:bookmarkEnd w:id="37"/>
      <w:r>
        <w:rPr>
          <w:rFonts w:hint="eastAsia" w:ascii="宋体" w:hAnsi="宋体" w:eastAsia="宋体" w:cs="宋体"/>
          <w:color w:val="000000"/>
          <w:kern w:val="0"/>
          <w:sz w:val="21"/>
          <w:szCs w:val="21"/>
          <w:highlight w:val="none"/>
          <w:u w:color="000000"/>
          <w:lang w:val="en-US" w:eastAsia="zh-CN" w:bidi="ar"/>
        </w:rPr>
        <w:t>32.1出现下列情形之一，将导致项目废标：</w:t>
      </w:r>
    </w:p>
    <w:p w14:paraId="68C6DAE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（1）符合专业条件的投标人或者对招标文件做实质性响应的投标人不足规定数量的；</w:t>
      </w:r>
    </w:p>
    <w:p w14:paraId="2467CC2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14:paraId="7D5C060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（3）投标人的报价均超过了采购预算，采购人不能支付的；</w:t>
      </w:r>
    </w:p>
    <w:p w14:paraId="10E041C0">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（4）因重大变故，采购任务取消的。</w:t>
      </w:r>
    </w:p>
    <w:p w14:paraId="76035FAC">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p>
    <w:p w14:paraId="42E6431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33.合同授予标准</w:t>
      </w:r>
    </w:p>
    <w:p w14:paraId="0761267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33.1本招标项目的合同将授予按本投标须知第31条规定所确定的中标人。</w:t>
      </w:r>
    </w:p>
    <w:p w14:paraId="27B4B603">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34.合同协议书的签订</w:t>
      </w:r>
    </w:p>
    <w:p w14:paraId="265564B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34.1采购人与中标人将于中标通知书发出之日起7个工作日内，按照招标文件和中标人的投标文件订立书面采购合同。采购人和中标人不得再行订立背离合同实质性内容的其他协议。</w:t>
      </w:r>
    </w:p>
    <w:p w14:paraId="5DC040A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34.2采购人如不按本投标须知第31条的规定与中标人订立合同，或者采购人、中标人订立背离合同实质性内容的协议，给他人造成损失的，依法承担民事责任，同时依法承担相应法律责任。</w:t>
      </w:r>
    </w:p>
    <w:p w14:paraId="6272C4D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34.3中标人如不按本投标须知第31条的规定与采购人订立合同，则采购人将废除授标，给采购人造成损失的，依法承担民事责任，同时依法承担相应法律责任。</w:t>
      </w:r>
    </w:p>
    <w:p w14:paraId="18D7C2F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34.4中标人应当按照合同约定履行义务，完成中标项目，不得将中标项目转让（转包）给他人。</w:t>
      </w:r>
    </w:p>
    <w:p w14:paraId="0092A2E2">
      <w:pPr>
        <w:keepNext w:val="0"/>
        <w:keepLines w:val="0"/>
        <w:widowControl/>
        <w:suppressLineNumbers w:val="0"/>
        <w:spacing w:before="0" w:beforeAutospacing="0" w:after="0" w:afterAutospacing="0" w:line="440" w:lineRule="exact"/>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34.5招标文件对服务人员有证书等具体要求的，中标人在合同履行过程中不得擅自更换。因特殊情况，确需更换的，更换后的服务人员不得低于中标人的投标文件中委派服务技术人员资格条件，且须经采购人同意。</w:t>
      </w:r>
    </w:p>
    <w:p w14:paraId="54016F5B">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38" w:name="_Toc7247"/>
      <w:bookmarkEnd w:id="38"/>
      <w:r>
        <w:rPr>
          <w:rFonts w:hint="eastAsia" w:ascii="宋体" w:hAnsi="宋体" w:eastAsia="宋体" w:cs="宋体"/>
          <w:b/>
          <w:bCs w:val="0"/>
          <w:color w:val="000000"/>
          <w:kern w:val="0"/>
          <w:sz w:val="21"/>
          <w:szCs w:val="21"/>
          <w:highlight w:val="none"/>
          <w:u w:color="000000"/>
          <w:lang w:val="en-US" w:eastAsia="zh-CN" w:bidi="ar"/>
        </w:rPr>
        <w:t>35.</w:t>
      </w:r>
      <w:bookmarkStart w:id="39"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39"/>
    </w:p>
    <w:p w14:paraId="66E68F2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40" w:name="_Toc316_WPSOffice_Level3"/>
      <w:bookmarkEnd w:id="40"/>
      <w:bookmarkStart w:id="41" w:name="_Toc23484"/>
      <w:r>
        <w:rPr>
          <w:rFonts w:hint="eastAsia" w:ascii="宋体" w:hAnsi="宋体" w:eastAsia="宋体" w:cs="宋体"/>
          <w:color w:val="000000"/>
          <w:kern w:val="0"/>
          <w:sz w:val="21"/>
          <w:szCs w:val="21"/>
          <w:highlight w:val="none"/>
          <w:u w:color="000000"/>
          <w:lang w:val="en-US" w:eastAsia="zh-CN" w:bidi="ar"/>
        </w:rPr>
        <w:t>35.1</w:t>
      </w:r>
      <w:bookmarkEnd w:id="41"/>
      <w:r>
        <w:rPr>
          <w:rFonts w:hint="eastAsia" w:ascii="宋体" w:hAnsi="宋体" w:eastAsia="宋体" w:cs="宋体"/>
          <w:color w:val="000000"/>
          <w:kern w:val="0"/>
          <w:sz w:val="21"/>
          <w:szCs w:val="21"/>
          <w:highlight w:val="none"/>
          <w:u w:color="000000"/>
          <w:lang w:val="en-US" w:eastAsia="zh-CN" w:bidi="ar"/>
        </w:rPr>
        <w:t>本项目不收取履约担保。</w:t>
      </w:r>
    </w:p>
    <w:p w14:paraId="69B5E81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651A5ECE">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36.对采购人的纪律要求</w:t>
      </w:r>
      <w:r>
        <w:rPr>
          <w:rFonts w:hint="eastAsia" w:ascii="黑体" w:hAnsi="宋体" w:eastAsia="黑体" w:cs="宋体"/>
          <w:b/>
          <w:bCs w:val="0"/>
          <w:color w:val="000000"/>
          <w:kern w:val="0"/>
          <w:sz w:val="21"/>
          <w:szCs w:val="21"/>
          <w:highlight w:val="none"/>
          <w:u w:color="000000"/>
          <w:lang w:val="en-US" w:eastAsia="zh-CN" w:bidi="ar"/>
        </w:rPr>
        <w:t xml:space="preserve"> </w:t>
      </w:r>
    </w:p>
    <w:p w14:paraId="29BE83F8">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36.1采购人不得泄漏招标投标活动中应当保密的情况和资料，不得与投标人串通损害国家利益，社会公共利益或者他人合法权益。 </w:t>
      </w:r>
    </w:p>
    <w:p w14:paraId="39728F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37.对投标人的纪律要求 </w:t>
      </w:r>
    </w:p>
    <w:p w14:paraId="005C285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37.1投标人不得相互串通投标或者与采购人串通投标，不得向采购人或者评标委员会成员行贿谋取中标，不得以他人名义投标或者以其他方式弄虚作假骗取中标；投标人不得以任何方式干扰、影响评标工作。</w:t>
      </w:r>
    </w:p>
    <w:p w14:paraId="6BC3D4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38.对评标委员会成员的纪律要求 </w:t>
      </w:r>
    </w:p>
    <w:p w14:paraId="7D1912C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38.1评标委员会成员不得收受他人的财物或者其他好处，不得向他人透漏对投标文件的评审和比较、中标候选人的推荐情况以及评标有关的其他情况。</w:t>
      </w:r>
    </w:p>
    <w:p w14:paraId="028B6FFE">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38.2在评标活动中，评标委员会成员不得擅离职守，影响评标程序正常进行，不得使用第三章“评标办法”没有规定的评审因素和标准进行评标。 </w:t>
      </w:r>
    </w:p>
    <w:p w14:paraId="131A151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39.对与评标活动有关的工作人员的纪律要求 </w:t>
      </w:r>
    </w:p>
    <w:p w14:paraId="7743A1C2">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39.1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D9A3C6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（八）质疑与投诉</w:t>
      </w:r>
    </w:p>
    <w:p w14:paraId="6CD80C64">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b/>
          <w:color w:val="000000"/>
          <w:szCs w:val="21"/>
          <w:highlight w:val="none"/>
        </w:rPr>
      </w:pPr>
      <w:r>
        <w:rPr>
          <w:rFonts w:hint="eastAsia" w:ascii="宋体" w:hAnsi="宋体" w:eastAsia="宋体" w:cs="宋体"/>
          <w:b/>
          <w:bCs w:val="0"/>
          <w:color w:val="000000"/>
          <w:kern w:val="0"/>
          <w:sz w:val="21"/>
          <w:szCs w:val="21"/>
          <w:highlight w:val="none"/>
          <w:u w:color="000000"/>
          <w:lang w:val="en-US" w:eastAsia="zh-CN" w:bidi="ar"/>
        </w:rPr>
        <w:t xml:space="preserve">40. </w:t>
      </w:r>
      <w:r>
        <w:rPr>
          <w:rFonts w:hint="eastAsia" w:ascii="宋体" w:hAnsi="宋体"/>
          <w:b/>
          <w:color w:val="000000"/>
          <w:szCs w:val="21"/>
          <w:highlight w:val="none"/>
        </w:rPr>
        <w:t>询问、质疑</w:t>
      </w:r>
    </w:p>
    <w:p w14:paraId="5A10390E">
      <w:pPr>
        <w:spacing w:line="400" w:lineRule="exact"/>
        <w:ind w:firstLine="315" w:firstLineChars="150"/>
        <w:jc w:val="left"/>
        <w:rPr>
          <w:rFonts w:ascii="宋体" w:hAnsi="宋体"/>
          <w:color w:val="000000"/>
          <w:szCs w:val="21"/>
          <w:highlight w:val="none"/>
        </w:rPr>
      </w:pPr>
      <w:r>
        <w:rPr>
          <w:rFonts w:hint="eastAsia" w:ascii="宋体" w:hAnsi="宋体"/>
          <w:color w:val="000000"/>
          <w:szCs w:val="21"/>
          <w:highlight w:val="none"/>
          <w:lang w:val="en-US" w:eastAsia="zh-CN"/>
        </w:rPr>
        <w:t>40</w:t>
      </w:r>
      <w:r>
        <w:rPr>
          <w:rFonts w:ascii="宋体" w:hAnsi="宋体"/>
          <w:color w:val="000000"/>
          <w:szCs w:val="21"/>
          <w:highlight w:val="none"/>
        </w:rPr>
        <w:t>.1</w:t>
      </w:r>
      <w:r>
        <w:rPr>
          <w:rFonts w:hint="eastAsia" w:ascii="宋体" w:hAnsi="宋体"/>
          <w:color w:val="000000"/>
          <w:szCs w:val="21"/>
          <w:highlight w:val="none"/>
        </w:rPr>
        <w:t xml:space="preserve"> 投标人对招标活动事项有疑问的，可以向采购人提出询问，采购人将在三个工作日内作出答复，但答复的内容不涉及商业秘密。</w:t>
      </w:r>
    </w:p>
    <w:p w14:paraId="3FD21326">
      <w:pPr>
        <w:spacing w:line="400" w:lineRule="exact"/>
        <w:ind w:firstLine="315" w:firstLineChars="150"/>
        <w:jc w:val="left"/>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40</w:t>
      </w:r>
      <w:r>
        <w:rPr>
          <w:rFonts w:hint="eastAsia" w:ascii="宋体" w:hAnsi="宋体"/>
          <w:color w:val="000000"/>
          <w:szCs w:val="21"/>
          <w:highlight w:val="none"/>
        </w:rPr>
        <w:t>.2 投标人认为采购文件、采购过程和中标结果使自己的合法权益受到损害的，可以在知道或者应当知道其权益受到损害之日起七个工作日内，</w:t>
      </w:r>
      <w:r>
        <w:rPr>
          <w:rFonts w:hint="eastAsia" w:ascii="宋体" w:hAnsi="宋体"/>
          <w:color w:val="000000"/>
          <w:szCs w:val="21"/>
          <w:highlight w:val="none"/>
          <w:lang w:val="en-US" w:eastAsia="zh-CN"/>
        </w:rPr>
        <w:t>向采购人或代理机构提出</w:t>
      </w:r>
      <w:r>
        <w:rPr>
          <w:rFonts w:hint="eastAsia" w:ascii="宋体" w:hAnsi="宋体"/>
          <w:color w:val="000000"/>
          <w:szCs w:val="21"/>
          <w:highlight w:val="none"/>
        </w:rPr>
        <w:t>质疑，一份质疑函只能针对一个项目提出质疑，且针对同一招标采购程序环节的质疑应当一次性提出</w:t>
      </w:r>
      <w:r>
        <w:rPr>
          <w:rFonts w:hint="eastAsia" w:ascii="宋体" w:hAnsi="宋体"/>
          <w:color w:val="000000"/>
          <w:szCs w:val="21"/>
          <w:highlight w:val="none"/>
          <w:lang w:eastAsia="zh-CN"/>
        </w:rPr>
        <w:t>。</w:t>
      </w:r>
    </w:p>
    <w:p w14:paraId="45CD6E9C">
      <w:pPr>
        <w:spacing w:line="400" w:lineRule="exact"/>
        <w:ind w:firstLine="315" w:firstLineChars="150"/>
        <w:jc w:val="left"/>
        <w:rPr>
          <w:rFonts w:hint="eastAsia" w:ascii="宋体"/>
          <w:color w:val="000000"/>
          <w:kern w:val="10"/>
          <w:szCs w:val="21"/>
          <w:highlight w:val="none"/>
        </w:rPr>
      </w:pPr>
      <w:r>
        <w:rPr>
          <w:rFonts w:hint="eastAsia" w:ascii="宋体" w:hAnsi="宋体"/>
          <w:color w:val="000000"/>
          <w:szCs w:val="21"/>
          <w:highlight w:val="none"/>
          <w:lang w:val="en-US" w:eastAsia="zh-CN"/>
        </w:rPr>
        <w:t xml:space="preserve">40.3 </w:t>
      </w:r>
      <w:r>
        <w:rPr>
          <w:rFonts w:ascii="宋体"/>
          <w:color w:val="000000"/>
          <w:kern w:val="10"/>
          <w:szCs w:val="21"/>
          <w:highlight w:val="none"/>
        </w:rPr>
        <w:t>中标公告</w:t>
      </w:r>
      <w:r>
        <w:rPr>
          <w:rFonts w:hint="eastAsia" w:ascii="宋体"/>
          <w:color w:val="000000"/>
          <w:kern w:val="10"/>
          <w:szCs w:val="21"/>
          <w:highlight w:val="none"/>
        </w:rPr>
        <w:t>发</w:t>
      </w:r>
      <w:r>
        <w:rPr>
          <w:rFonts w:ascii="宋体"/>
          <w:color w:val="000000"/>
          <w:kern w:val="10"/>
          <w:szCs w:val="21"/>
          <w:highlight w:val="none"/>
        </w:rPr>
        <w:t>布后，参与投标的投标人对中标公告有质疑的，应该在</w:t>
      </w:r>
      <w:r>
        <w:rPr>
          <w:rFonts w:hint="eastAsia" w:ascii="宋体"/>
          <w:color w:val="000000"/>
          <w:kern w:val="10"/>
          <w:szCs w:val="21"/>
          <w:highlight w:val="none"/>
        </w:rPr>
        <w:t>公告期限届满</w:t>
      </w:r>
      <w:r>
        <w:rPr>
          <w:rFonts w:ascii="宋体"/>
          <w:color w:val="000000"/>
          <w:kern w:val="10"/>
          <w:szCs w:val="21"/>
          <w:highlight w:val="none"/>
        </w:rPr>
        <w:t>之日起七个工作日内向采购人提出。但属于第</w:t>
      </w:r>
      <w:r>
        <w:rPr>
          <w:rFonts w:hint="eastAsia" w:ascii="宋体"/>
          <w:color w:val="000000"/>
          <w:kern w:val="10"/>
          <w:szCs w:val="21"/>
          <w:highlight w:val="none"/>
          <w:lang w:val="en-US" w:eastAsia="zh-CN"/>
        </w:rPr>
        <w:t>42</w:t>
      </w:r>
      <w:r>
        <w:rPr>
          <w:rFonts w:ascii="宋体"/>
          <w:color w:val="000000"/>
          <w:kern w:val="10"/>
          <w:szCs w:val="21"/>
          <w:highlight w:val="none"/>
        </w:rPr>
        <w:t>.1</w:t>
      </w:r>
      <w:r>
        <w:rPr>
          <w:rFonts w:hint="eastAsia" w:ascii="宋体"/>
          <w:color w:val="000000"/>
          <w:kern w:val="10"/>
          <w:szCs w:val="21"/>
          <w:highlight w:val="none"/>
        </w:rPr>
        <w:t>款</w:t>
      </w:r>
      <w:r>
        <w:rPr>
          <w:rFonts w:ascii="宋体"/>
          <w:color w:val="000000"/>
          <w:kern w:val="10"/>
          <w:szCs w:val="21"/>
          <w:highlight w:val="none"/>
        </w:rPr>
        <w:t>问题，且未在规定时间提出质疑的，</w:t>
      </w:r>
      <w:r>
        <w:rPr>
          <w:rFonts w:hint="eastAsia" w:ascii="宋体"/>
          <w:color w:val="000000"/>
          <w:kern w:val="10"/>
          <w:szCs w:val="21"/>
          <w:highlight w:val="none"/>
        </w:rPr>
        <w:t>不予受理</w:t>
      </w:r>
      <w:r>
        <w:rPr>
          <w:rFonts w:ascii="宋体"/>
          <w:color w:val="000000"/>
          <w:kern w:val="10"/>
          <w:szCs w:val="21"/>
          <w:highlight w:val="none"/>
        </w:rPr>
        <w:t>。</w:t>
      </w:r>
    </w:p>
    <w:p w14:paraId="7748EB21">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宋体"/>
          <w:kern w:val="10"/>
          <w:highlight w:val="none"/>
          <w:lang w:val="en-US" w:eastAsia="zh-CN"/>
        </w:rPr>
        <w:t>40.4</w:t>
      </w:r>
      <w:r>
        <w:rPr>
          <w:rFonts w:hint="eastAsia" w:ascii="宋体" w:hAnsi="Times New Roman" w:eastAsia="宋体" w:cs="Times New Roman"/>
          <w:color w:val="000000"/>
          <w:kern w:val="10"/>
          <w:szCs w:val="21"/>
          <w:highlight w:val="none"/>
        </w:rPr>
        <w:t>参与投标的投标人对中标公告提出的质疑，负有举证的责任。投标人提出质疑应当提交质疑函和必要的证明材料。质疑函应当包括下列内容：</w:t>
      </w:r>
    </w:p>
    <w:p w14:paraId="6DFD7A09">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（一）投标人的姓名或者名称、地址、邮编、联系人及联系电话；</w:t>
      </w:r>
    </w:p>
    <w:p w14:paraId="635CDE0F">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（二）质疑项目的名称；</w:t>
      </w:r>
    </w:p>
    <w:p w14:paraId="3C1B3BEC">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（三）具体、明确的质疑事项和与质疑事项相关的请求；</w:t>
      </w:r>
    </w:p>
    <w:p w14:paraId="4A7BA136">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（四）事实依据；</w:t>
      </w:r>
    </w:p>
    <w:p w14:paraId="3B013F39">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（五）必要的法律依据；</w:t>
      </w:r>
    </w:p>
    <w:p w14:paraId="39E77E4E">
      <w:pPr>
        <w:spacing w:line="400" w:lineRule="exact"/>
        <w:ind w:firstLine="315" w:firstLineChars="150"/>
        <w:jc w:val="left"/>
        <w:rPr>
          <w:rFonts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（六）提出质疑的日期。</w:t>
      </w:r>
    </w:p>
    <w:p w14:paraId="6B8B6D89">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rPr>
        <w:t>投标人为自然人的，应当由本人签字；投标人为法人或者其他组织的，应当由法定代表人、主要负责人，或者其授权代表签字或者盖章，并加盖公章。</w:t>
      </w:r>
    </w:p>
    <w:p w14:paraId="09120D5E">
      <w:pPr>
        <w:spacing w:line="400" w:lineRule="exact"/>
        <w:ind w:firstLine="315" w:firstLineChars="150"/>
        <w:jc w:val="left"/>
        <w:rPr>
          <w:rFonts w:hint="eastAsia" w:ascii="宋体" w:hAnsi="Times New Roman" w:eastAsia="宋体" w:cs="Times New Roman"/>
          <w:color w:val="000000"/>
          <w:kern w:val="10"/>
          <w:szCs w:val="21"/>
          <w:highlight w:val="none"/>
        </w:rPr>
      </w:pPr>
      <w:r>
        <w:rPr>
          <w:rFonts w:hint="eastAsia" w:ascii="宋体" w:hAnsi="Times New Roman" w:eastAsia="宋体" w:cs="Times New Roman"/>
          <w:color w:val="000000"/>
          <w:kern w:val="10"/>
          <w:szCs w:val="21"/>
          <w:highlight w:val="none"/>
          <w:lang w:val="en-US" w:eastAsia="zh-CN"/>
        </w:rPr>
        <w:t>40</w:t>
      </w:r>
      <w:r>
        <w:rPr>
          <w:rFonts w:hint="eastAsia" w:ascii="宋体" w:hAnsi="Times New Roman" w:eastAsia="宋体" w:cs="Times New Roman"/>
          <w:color w:val="000000"/>
          <w:kern w:val="10"/>
          <w:szCs w:val="21"/>
          <w:highlight w:val="none"/>
        </w:rPr>
        <w:t>.5采购人或采购代理机构在收到投标人的质疑函后，将审查质疑函的格式、内容以及所附的证明文件是否符合要求。如不符合，说明原因退回投标人；如符合要求，则接受该质疑函。</w:t>
      </w:r>
    </w:p>
    <w:p w14:paraId="621FB58F">
      <w:pPr>
        <w:spacing w:line="400" w:lineRule="exact"/>
        <w:ind w:firstLine="315" w:firstLineChars="150"/>
        <w:jc w:val="left"/>
        <w:rPr>
          <w:rFonts w:hint="default" w:ascii="宋体" w:hAnsi="Times New Roman" w:eastAsia="宋体" w:cs="宋体"/>
          <w:kern w:val="10"/>
          <w:highlight w:val="none"/>
          <w:lang w:val="en-US" w:eastAsia="zh-CN"/>
        </w:rPr>
      </w:pPr>
      <w:r>
        <w:rPr>
          <w:rFonts w:hint="eastAsia" w:ascii="宋体"/>
          <w:color w:val="000000"/>
          <w:kern w:val="10"/>
          <w:szCs w:val="21"/>
          <w:highlight w:val="none"/>
          <w:lang w:val="en-US" w:eastAsia="zh-CN"/>
        </w:rPr>
        <w:t>40</w:t>
      </w:r>
      <w:r>
        <w:rPr>
          <w:rFonts w:hint="eastAsia" w:ascii="宋体"/>
          <w:color w:val="000000"/>
          <w:kern w:val="10"/>
          <w:szCs w:val="21"/>
          <w:highlight w:val="none"/>
        </w:rPr>
        <w:t>.6处理质疑的时间，从实际接受投标人质疑函的时间开始计算。</w:t>
      </w:r>
    </w:p>
    <w:p w14:paraId="384C63BC">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41.投诉</w:t>
      </w:r>
    </w:p>
    <w:p w14:paraId="0A8D6E91">
      <w:pPr>
        <w:spacing w:line="400" w:lineRule="exact"/>
        <w:ind w:firstLine="315" w:firstLineChars="150"/>
        <w:jc w:val="left"/>
        <w:rPr>
          <w:rFonts w:hint="eastAsia" w:ascii="宋体"/>
          <w:color w:val="000000"/>
          <w:kern w:val="10"/>
          <w:szCs w:val="21"/>
          <w:highlight w:val="none"/>
          <w:lang w:val="en-US" w:eastAsia="zh-CN"/>
        </w:rPr>
      </w:pPr>
      <w:r>
        <w:rPr>
          <w:rFonts w:hint="eastAsia" w:ascii="宋体"/>
          <w:color w:val="000000"/>
          <w:kern w:val="10"/>
          <w:szCs w:val="21"/>
          <w:highlight w:val="none"/>
          <w:lang w:val="en-US" w:eastAsia="zh-CN"/>
        </w:rPr>
        <w:t>41.1</w:t>
      </w:r>
      <w:r>
        <w:rPr>
          <w:rFonts w:hint="eastAsia" w:ascii="宋体"/>
          <w:color w:val="000000"/>
          <w:kern w:val="10"/>
          <w:szCs w:val="21"/>
          <w:highlight w:val="none"/>
        </w:rPr>
        <w:t>投标人对采购人的答复不满意，或者采购人未在规定的时间内答复的，可以在答复期满后十五个工作日内按有关规定，</w:t>
      </w:r>
      <w:r>
        <w:rPr>
          <w:rFonts w:hint="default" w:ascii="宋体"/>
          <w:color w:val="000000"/>
          <w:kern w:val="10"/>
          <w:szCs w:val="21"/>
          <w:highlight w:val="none"/>
          <w:lang w:val="en-US" w:eastAsia="zh-CN"/>
        </w:rPr>
        <w:t>以书面形式向</w:t>
      </w:r>
      <w:r>
        <w:rPr>
          <w:rFonts w:hint="eastAsia" w:ascii="宋体"/>
          <w:color w:val="000000"/>
          <w:kern w:val="10"/>
          <w:szCs w:val="21"/>
          <w:highlight w:val="none"/>
        </w:rPr>
        <w:t>同级政府采购监督管理部门</w:t>
      </w:r>
      <w:r>
        <w:rPr>
          <w:rFonts w:hint="default" w:ascii="宋体"/>
          <w:color w:val="000000"/>
          <w:kern w:val="10"/>
          <w:szCs w:val="21"/>
          <w:highlight w:val="none"/>
          <w:lang w:val="en-US" w:eastAsia="zh-CN"/>
        </w:rPr>
        <w:t>提出投诉</w:t>
      </w:r>
      <w:bookmarkStart w:id="42" w:name="_Toc58430316"/>
      <w:bookmarkEnd w:id="42"/>
      <w:r>
        <w:rPr>
          <w:rFonts w:hint="eastAsia" w:ascii="宋体"/>
          <w:color w:val="000000"/>
          <w:kern w:val="10"/>
          <w:szCs w:val="21"/>
          <w:highlight w:val="none"/>
          <w:lang w:val="en-US" w:eastAsia="zh-CN"/>
        </w:rPr>
        <w:t>。</w:t>
      </w:r>
    </w:p>
    <w:p w14:paraId="7E23C79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p>
    <w:p w14:paraId="1FC99F53">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77F5D194">
      <w:pPr>
        <w:rPr>
          <w:rFonts w:hint="eastAsia" w:ascii="宋体"/>
          <w:b/>
          <w:color w:val="auto"/>
          <w:sz w:val="32"/>
          <w:szCs w:val="32"/>
          <w:highlight w:val="none"/>
        </w:rPr>
      </w:pPr>
      <w:bookmarkStart w:id="43" w:name="_Toc14651"/>
      <w:bookmarkEnd w:id="43"/>
      <w:r>
        <w:rPr>
          <w:rFonts w:hint="eastAsia" w:ascii="宋体"/>
          <w:b/>
          <w:color w:val="auto"/>
          <w:sz w:val="32"/>
          <w:szCs w:val="32"/>
          <w:highlight w:val="none"/>
        </w:rPr>
        <w:br w:type="page"/>
      </w:r>
    </w:p>
    <w:p w14:paraId="39AFE087">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bookmarkStart w:id="44" w:name="_Toc58430326"/>
      <w:bookmarkStart w:id="45" w:name="_Toc469495735"/>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w:t>
      </w:r>
    </w:p>
    <w:p w14:paraId="1DAECDB2">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一、总则</w:t>
      </w:r>
    </w:p>
    <w:p w14:paraId="26FEC618">
      <w:pPr>
        <w:spacing w:line="440" w:lineRule="exact"/>
        <w:ind w:firstLine="316" w:firstLineChars="150"/>
        <w:jc w:val="left"/>
        <w:rPr>
          <w:rFonts w:hint="eastAsia" w:ascii="宋体"/>
          <w:b/>
          <w:szCs w:val="21"/>
          <w:highlight w:val="none"/>
        </w:rPr>
      </w:pPr>
      <w:r>
        <w:rPr>
          <w:rFonts w:hint="eastAsia" w:ascii="宋体"/>
          <w:b/>
          <w:szCs w:val="21"/>
          <w:highlight w:val="none"/>
        </w:rPr>
        <w:t xml:space="preserve"> 1. 本次评标采用经评审的最低价</w:t>
      </w:r>
      <w:r>
        <w:rPr>
          <w:rFonts w:ascii="宋体"/>
          <w:b/>
          <w:szCs w:val="21"/>
          <w:highlight w:val="none"/>
        </w:rPr>
        <w:t>法</w:t>
      </w:r>
    </w:p>
    <w:p w14:paraId="3F7DCFEB">
      <w:pPr>
        <w:spacing w:line="440" w:lineRule="exact"/>
        <w:ind w:firstLine="315" w:firstLineChars="15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1.1经评审的最低价法，是指推选投标文件满足交易文件全部实质性要求且投标报价最低的供应商为中标候选人的评标方法。</w:t>
      </w:r>
    </w:p>
    <w:p w14:paraId="4F55923B">
      <w:pPr>
        <w:spacing w:line="440" w:lineRule="exact"/>
        <w:ind w:firstLine="315" w:firstLineChars="150"/>
        <w:jc w:val="left"/>
        <w:rPr>
          <w:rFonts w:hint="eastAsia" w:ascii="宋体"/>
          <w:szCs w:val="21"/>
          <w:highlight w:val="none"/>
        </w:rPr>
      </w:pPr>
      <w:r>
        <w:rPr>
          <w:rFonts w:hint="eastAsia" w:ascii="宋体"/>
          <w:szCs w:val="21"/>
          <w:highlight w:val="none"/>
        </w:rPr>
        <w:t xml:space="preserve"> 1.2最低评标价</w:t>
      </w:r>
      <w:r>
        <w:rPr>
          <w:rFonts w:ascii="宋体"/>
          <w:szCs w:val="21"/>
          <w:highlight w:val="none"/>
        </w:rPr>
        <w:t>法</w:t>
      </w:r>
      <w:r>
        <w:rPr>
          <w:rFonts w:hint="eastAsia" w:ascii="宋体"/>
          <w:szCs w:val="21"/>
          <w:highlight w:val="none"/>
        </w:rPr>
        <w:t>一般适用于标准定制商品及通用服务</w:t>
      </w:r>
      <w:r>
        <w:rPr>
          <w:rFonts w:ascii="宋体"/>
          <w:szCs w:val="21"/>
          <w:highlight w:val="none"/>
        </w:rPr>
        <w:t>项目</w:t>
      </w:r>
      <w:r>
        <w:rPr>
          <w:rFonts w:hint="eastAsia" w:ascii="宋体"/>
          <w:szCs w:val="21"/>
          <w:highlight w:val="none"/>
        </w:rPr>
        <w:t>的</w:t>
      </w:r>
      <w:r>
        <w:rPr>
          <w:rFonts w:ascii="宋体"/>
          <w:szCs w:val="21"/>
          <w:highlight w:val="none"/>
        </w:rPr>
        <w:t>项目</w:t>
      </w:r>
      <w:r>
        <w:rPr>
          <w:rFonts w:hint="eastAsia" w:ascii="宋体"/>
          <w:szCs w:val="21"/>
          <w:highlight w:val="none"/>
        </w:rPr>
        <w:t>评审。</w:t>
      </w:r>
    </w:p>
    <w:p w14:paraId="5CEF5BF4">
      <w:pPr>
        <w:spacing w:line="440" w:lineRule="exact"/>
        <w:ind w:firstLine="422" w:firstLineChars="200"/>
        <w:rPr>
          <w:rFonts w:hint="eastAsia" w:ascii="宋体"/>
          <w:b/>
          <w:szCs w:val="21"/>
          <w:highlight w:val="none"/>
        </w:rPr>
      </w:pPr>
      <w:r>
        <w:rPr>
          <w:rFonts w:hint="eastAsia" w:ascii="宋体"/>
          <w:b/>
          <w:szCs w:val="21"/>
          <w:highlight w:val="none"/>
        </w:rPr>
        <w:t>2．评标程序</w:t>
      </w:r>
    </w:p>
    <w:p w14:paraId="7BC9F69F">
      <w:pPr>
        <w:spacing w:line="440" w:lineRule="exact"/>
        <w:ind w:firstLine="420" w:firstLineChars="200"/>
        <w:rPr>
          <w:rFonts w:hint="eastAsia" w:ascii="宋体"/>
          <w:szCs w:val="21"/>
          <w:highlight w:val="none"/>
        </w:rPr>
      </w:pPr>
      <w:r>
        <w:rPr>
          <w:rFonts w:hint="eastAsia" w:ascii="宋体"/>
          <w:szCs w:val="21"/>
          <w:highlight w:val="none"/>
        </w:rPr>
        <w:t>2.1投标文件的初审</w:t>
      </w:r>
    </w:p>
    <w:p w14:paraId="1336C1CB">
      <w:pPr>
        <w:spacing w:line="440" w:lineRule="exact"/>
        <w:ind w:firstLine="420" w:firstLineChars="200"/>
        <w:jc w:val="left"/>
        <w:rPr>
          <w:rFonts w:hint="eastAsia" w:ascii="宋体"/>
          <w:szCs w:val="21"/>
          <w:highlight w:val="none"/>
        </w:rPr>
      </w:pPr>
      <w:r>
        <w:rPr>
          <w:rFonts w:hint="eastAsia" w:ascii="宋体"/>
          <w:szCs w:val="21"/>
          <w:highlight w:val="none"/>
        </w:rPr>
        <w:t xml:space="preserve">2.1.1资格性检查。依据法律法规和交易文件的规定，对投标文件中的资格证明、等进行审查，以确定投标人是否具备投标资格。 </w:t>
      </w:r>
    </w:p>
    <w:p w14:paraId="1B9AB754">
      <w:pPr>
        <w:spacing w:line="440" w:lineRule="exact"/>
        <w:ind w:firstLine="420" w:firstLineChars="200"/>
        <w:jc w:val="left"/>
        <w:rPr>
          <w:rFonts w:hint="eastAsia" w:ascii="宋体"/>
          <w:szCs w:val="21"/>
          <w:highlight w:val="none"/>
        </w:rPr>
      </w:pPr>
      <w:r>
        <w:rPr>
          <w:rFonts w:hint="eastAsia" w:ascii="宋体"/>
          <w:szCs w:val="21"/>
          <w:highlight w:val="none"/>
        </w:rPr>
        <w:t>2.1.2符合性检查。依据交易文件的规定，从投标文件的有效性、完整性和对交易文件的响应程度进行审查，以确定投标人是否对交易文件的实质性要求作出响应。</w:t>
      </w:r>
    </w:p>
    <w:p w14:paraId="27E5E054">
      <w:pPr>
        <w:spacing w:line="440" w:lineRule="exact"/>
        <w:ind w:firstLine="420" w:firstLineChars="200"/>
        <w:rPr>
          <w:rFonts w:hint="eastAsia" w:ascii="宋体"/>
          <w:szCs w:val="21"/>
          <w:highlight w:val="none"/>
        </w:rPr>
      </w:pPr>
      <w:r>
        <w:rPr>
          <w:rFonts w:hint="eastAsia" w:ascii="宋体"/>
          <w:szCs w:val="21"/>
          <w:highlight w:val="none"/>
        </w:rPr>
        <w:t>2.2投标文件的澄清</w:t>
      </w:r>
    </w:p>
    <w:p w14:paraId="482EF291">
      <w:pPr>
        <w:spacing w:line="440" w:lineRule="exact"/>
        <w:ind w:firstLine="420" w:firstLineChars="200"/>
        <w:rPr>
          <w:rFonts w:hint="eastAsia" w:ascii="宋体"/>
          <w:szCs w:val="21"/>
          <w:highlight w:val="none"/>
        </w:rPr>
      </w:pPr>
      <w:r>
        <w:rPr>
          <w:rFonts w:hint="eastAsia" w:ascii="宋体"/>
          <w:szCs w:val="21"/>
          <w:highlight w:val="none"/>
        </w:rPr>
        <w:t>2.2.1在评标过程中，评标委员会认为需要，在监督人员在场的情况下，可要求投标单位对投标文件中的有关问题进行澄清或提供补充说明及有关资料，投标单位应做出书面答复。书面答复中不得变更价格、供货期、自报质量等实质性内容。</w:t>
      </w:r>
    </w:p>
    <w:p w14:paraId="33FF940B">
      <w:pPr>
        <w:spacing w:line="440" w:lineRule="exact"/>
        <w:ind w:firstLine="420" w:firstLineChars="200"/>
        <w:rPr>
          <w:rFonts w:hint="eastAsia" w:ascii="宋体"/>
          <w:szCs w:val="21"/>
          <w:highlight w:val="none"/>
        </w:rPr>
      </w:pPr>
      <w:r>
        <w:rPr>
          <w:rFonts w:hint="eastAsia" w:ascii="宋体"/>
          <w:szCs w:val="21"/>
          <w:highlight w:val="none"/>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78995274">
      <w:pPr>
        <w:spacing w:line="440" w:lineRule="exact"/>
        <w:ind w:firstLine="420" w:firstLineChars="200"/>
        <w:jc w:val="left"/>
        <w:rPr>
          <w:rFonts w:hint="eastAsia" w:ascii="宋体"/>
          <w:szCs w:val="21"/>
          <w:highlight w:val="none"/>
        </w:rPr>
      </w:pPr>
      <w:r>
        <w:rPr>
          <w:rFonts w:hint="eastAsia" w:ascii="宋体"/>
          <w:szCs w:val="21"/>
          <w:highlight w:val="none"/>
        </w:rPr>
        <w:t>2.2.3  招标人不接受投标单位主动提出的澄清。</w:t>
      </w:r>
    </w:p>
    <w:p w14:paraId="7D990541">
      <w:pPr>
        <w:spacing w:line="440" w:lineRule="exact"/>
        <w:ind w:firstLine="420" w:firstLineChars="200"/>
        <w:rPr>
          <w:rFonts w:hint="eastAsia" w:ascii="宋体"/>
          <w:szCs w:val="21"/>
          <w:highlight w:val="none"/>
        </w:rPr>
      </w:pPr>
      <w:r>
        <w:rPr>
          <w:rFonts w:hint="eastAsia" w:ascii="宋体"/>
          <w:szCs w:val="21"/>
          <w:highlight w:val="none"/>
        </w:rPr>
        <w:t>2.3比较与评价</w:t>
      </w:r>
    </w:p>
    <w:p w14:paraId="23840C63">
      <w:pPr>
        <w:spacing w:line="440" w:lineRule="exact"/>
        <w:ind w:firstLine="420" w:firstLineChars="200"/>
        <w:jc w:val="left"/>
        <w:rPr>
          <w:rFonts w:hint="eastAsia" w:ascii="宋体" w:eastAsiaTheme="minorEastAsia"/>
          <w:szCs w:val="21"/>
          <w:highlight w:val="none"/>
          <w:lang w:eastAsia="zh-CN"/>
        </w:rPr>
      </w:pPr>
      <w:r>
        <w:rPr>
          <w:rFonts w:hint="eastAsia" w:ascii="宋体"/>
          <w:szCs w:val="21"/>
          <w:highlight w:val="none"/>
        </w:rPr>
        <w:t>2．3.1</w:t>
      </w:r>
      <w:r>
        <w:rPr>
          <w:rFonts w:ascii="宋体"/>
          <w:szCs w:val="21"/>
          <w:highlight w:val="none"/>
        </w:rPr>
        <w:t>按交易文件中规定的评标方法和标准，对资格性检查和符合性检查合格的投标文件进行商务</w:t>
      </w:r>
      <w:r>
        <w:rPr>
          <w:rFonts w:hint="eastAsia" w:ascii="宋体"/>
          <w:szCs w:val="21"/>
          <w:highlight w:val="none"/>
        </w:rPr>
        <w:t>报价</w:t>
      </w:r>
      <w:r>
        <w:rPr>
          <w:rFonts w:ascii="宋体"/>
          <w:szCs w:val="21"/>
          <w:highlight w:val="none"/>
        </w:rPr>
        <w:t>评</w:t>
      </w:r>
      <w:r>
        <w:rPr>
          <w:rFonts w:hint="eastAsia" w:ascii="宋体"/>
          <w:szCs w:val="21"/>
          <w:highlight w:val="none"/>
        </w:rPr>
        <w:t>审</w:t>
      </w:r>
      <w:r>
        <w:rPr>
          <w:rFonts w:ascii="宋体"/>
          <w:szCs w:val="21"/>
          <w:highlight w:val="none"/>
        </w:rPr>
        <w:t>，综合比较与评价。</w:t>
      </w:r>
      <w:r>
        <w:rPr>
          <w:rFonts w:hint="eastAsia" w:ascii="宋体"/>
          <w:szCs w:val="21"/>
          <w:highlight w:val="none"/>
        </w:rPr>
        <w:t xml:space="preserve"> </w:t>
      </w:r>
    </w:p>
    <w:p w14:paraId="2695FFB2">
      <w:pPr>
        <w:spacing w:line="440" w:lineRule="exact"/>
        <w:ind w:firstLine="420" w:firstLineChars="200"/>
        <w:jc w:val="left"/>
        <w:rPr>
          <w:rFonts w:hint="eastAsia" w:ascii="宋体"/>
          <w:szCs w:val="21"/>
          <w:highlight w:val="none"/>
        </w:rPr>
      </w:pPr>
      <w:r>
        <w:rPr>
          <w:rFonts w:hint="eastAsia" w:ascii="宋体"/>
          <w:szCs w:val="21"/>
          <w:highlight w:val="none"/>
        </w:rPr>
        <w:t>2.4推荐中标候选人名单</w:t>
      </w:r>
    </w:p>
    <w:p w14:paraId="77AC3038">
      <w:pPr>
        <w:spacing w:line="440" w:lineRule="exact"/>
        <w:ind w:firstLine="420" w:firstLineChars="200"/>
        <w:jc w:val="left"/>
        <w:rPr>
          <w:rFonts w:hint="eastAsia" w:ascii="宋体"/>
          <w:szCs w:val="21"/>
          <w:highlight w:val="none"/>
        </w:rPr>
      </w:pPr>
      <w:r>
        <w:rPr>
          <w:rFonts w:hint="eastAsia" w:ascii="宋体"/>
          <w:szCs w:val="21"/>
          <w:highlight w:val="none"/>
        </w:rPr>
        <w:t>2.4.1中标候选人数量应当根据采购需要确定，但必须按顺序排列中标候选人。</w:t>
      </w:r>
    </w:p>
    <w:p w14:paraId="0B53C0D7">
      <w:pPr>
        <w:spacing w:line="440" w:lineRule="exact"/>
        <w:ind w:firstLine="420" w:firstLineChars="200"/>
        <w:jc w:val="left"/>
        <w:rPr>
          <w:rFonts w:hint="eastAsia" w:ascii="宋体"/>
          <w:szCs w:val="21"/>
          <w:highlight w:val="none"/>
        </w:rPr>
      </w:pPr>
      <w:r>
        <w:rPr>
          <w:rFonts w:hint="eastAsia" w:ascii="宋体"/>
          <w:szCs w:val="21"/>
          <w:highlight w:val="none"/>
        </w:rPr>
        <w:t>2.5在投标文件的审查、澄清、评价和比较以及授予合同过程中，投标单位对招标单位和评标委员会成员施加影响的任何行为，都将导致取消其中标资格。</w:t>
      </w:r>
    </w:p>
    <w:p w14:paraId="43E9179B">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14:paraId="583E4B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二、投标文件初审</w:t>
      </w:r>
    </w:p>
    <w:p w14:paraId="0982D11C">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14:paraId="39FAC6D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5"/>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14:paraId="0CD9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4239A6EF">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B3B8B7">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0E4A872F">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14:paraId="20C3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34CB3B5D">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966D3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5B1B48E5">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0D2E31D1">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color w:val="000000"/>
                <w:highlight w:val="none"/>
              </w:rPr>
              <w:t>检验电子标书。</w:t>
            </w:r>
          </w:p>
        </w:tc>
      </w:tr>
      <w:tr w14:paraId="4E12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14:paraId="63284F88">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14:paraId="75F4EB49">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3AF4CDDC">
            <w:pPr>
              <w:keepNext w:val="0"/>
              <w:keepLines w:val="0"/>
              <w:suppressLineNumbers w:val="0"/>
              <w:spacing w:before="0" w:beforeAutospacing="0" w:after="0" w:afterAutospacing="0"/>
              <w:ind w:left="0" w:right="0"/>
              <w:rPr>
                <w:rFonts w:hint="default" w:ascii="宋体" w:hAnsi="宋体" w:cs="宋体"/>
                <w:szCs w:val="21"/>
                <w:highlight w:val="none"/>
                <w:lang w:val="en-US" w:eastAsia="zh-CN"/>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4082DC57">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评审核验电子标书中的下列证书、证明材料：</w:t>
            </w:r>
          </w:p>
          <w:p w14:paraId="519550CC">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（1）投标人为企业（包括合伙企业）的，应提供有效的营业执照；</w:t>
            </w:r>
          </w:p>
          <w:p w14:paraId="714FB22F">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（2）投标人为事业单位的，应提供有效的事业单位法人证书；</w:t>
            </w:r>
          </w:p>
          <w:p w14:paraId="6F9E6172">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（3）投标人是非企业机构的，应提供有效的执业许可证或登记证书等证明文件；</w:t>
            </w:r>
          </w:p>
          <w:p w14:paraId="03793EB5">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（4）投标人是个体工商户的，应提供有效的个体工商户营业执照；</w:t>
            </w:r>
          </w:p>
          <w:p w14:paraId="067C9D08">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（5）投标人是自然人的，应提供有效的自然人身份证明。</w:t>
            </w:r>
          </w:p>
        </w:tc>
      </w:tr>
      <w:tr w14:paraId="13E3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continue"/>
            <w:tcBorders>
              <w:left w:val="single" w:color="auto" w:sz="4" w:space="0"/>
              <w:right w:val="single" w:color="auto" w:sz="4" w:space="0"/>
            </w:tcBorders>
            <w:shd w:val="clear" w:color="auto" w:fill="auto"/>
            <w:vAlign w:val="center"/>
          </w:tcPr>
          <w:p w14:paraId="3559466D">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1235" w:type="dxa"/>
            <w:vMerge w:val="continue"/>
            <w:tcBorders>
              <w:left w:val="single" w:color="auto" w:sz="4" w:space="0"/>
              <w:right w:val="single" w:color="auto" w:sz="4" w:space="0"/>
            </w:tcBorders>
            <w:shd w:val="clear" w:color="auto" w:fill="auto"/>
            <w:vAlign w:val="center"/>
          </w:tcPr>
          <w:p w14:paraId="2EE11936">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6E62ED77">
            <w:pPr>
              <w:keepNext w:val="0"/>
              <w:keepLines w:val="0"/>
              <w:suppressLineNumbers w:val="0"/>
              <w:spacing w:before="0" w:beforeAutospacing="0" w:after="0" w:afterAutospacing="0"/>
              <w:ind w:left="0" w:right="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3）投标人在国家密码管理局公告（第53号）发布的《商用密码检测机构（商用密码应用安全性评估业务）目录》内</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745669E1">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评审核验电子标书中的下列证书、证明材料：</w:t>
            </w:r>
          </w:p>
          <w:p w14:paraId="1CDAC4AA">
            <w:pPr>
              <w:keepNext w:val="0"/>
              <w:keepLines w:val="0"/>
              <w:widowControl/>
              <w:suppressLineNumbers w:val="0"/>
              <w:spacing w:before="0" w:beforeAutospacing="0" w:after="0" w:afterAutospacing="0" w:line="320" w:lineRule="exact"/>
              <w:ind w:left="0" w:right="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lang w:val="en-US" w:eastAsia="zh-CN" w:bidi="ar"/>
              </w:rPr>
              <w:t>国家密码管理局官网截图或者红头文件扫描件</w:t>
            </w:r>
          </w:p>
        </w:tc>
      </w:tr>
      <w:tr w14:paraId="0A9E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continue"/>
            <w:tcBorders>
              <w:left w:val="single" w:color="auto" w:sz="4" w:space="0"/>
              <w:right w:val="single" w:color="auto" w:sz="4" w:space="0"/>
            </w:tcBorders>
            <w:shd w:val="clear" w:color="auto" w:fill="auto"/>
            <w:vAlign w:val="center"/>
          </w:tcPr>
          <w:p w14:paraId="6104D3B3">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1235" w:type="dxa"/>
            <w:vMerge w:val="continue"/>
            <w:tcBorders>
              <w:left w:val="single" w:color="auto" w:sz="4" w:space="0"/>
              <w:right w:val="single" w:color="auto" w:sz="4" w:space="0"/>
            </w:tcBorders>
            <w:shd w:val="clear" w:color="auto" w:fill="auto"/>
            <w:vAlign w:val="center"/>
          </w:tcPr>
          <w:p w14:paraId="144AC80C">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477FCF45">
            <w:pPr>
              <w:keepNext w:val="0"/>
              <w:keepLines w:val="0"/>
              <w:suppressLineNumbers w:val="0"/>
              <w:spacing w:before="0" w:beforeAutospacing="0" w:after="0" w:afterAutospacing="0"/>
              <w:ind w:left="0" w:right="0"/>
              <w:rPr>
                <w:rFonts w:hint="default"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（4）投标人拟派不少于3人的项目测评团队，且全部测评人员须具有商用密码应用安全性评估人员测评能力考核证书或商用密码应用安全性评估从业人员考核证书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79CB5926">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评审核验电子标书中的下列证书、证明材料：</w:t>
            </w:r>
          </w:p>
          <w:p w14:paraId="0E1D3305">
            <w:pPr>
              <w:keepNext w:val="0"/>
              <w:keepLines w:val="0"/>
              <w:widowControl/>
              <w:numPr>
                <w:ilvl w:val="0"/>
                <w:numId w:val="3"/>
              </w:numPr>
              <w:suppressLineNumbers w:val="0"/>
              <w:spacing w:before="0" w:beforeAutospacing="0" w:after="0" w:afterAutospacing="0" w:line="320" w:lineRule="exact"/>
              <w:ind w:left="0" w:right="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拟派人员名单（格式自拟）；</w:t>
            </w:r>
          </w:p>
          <w:p w14:paraId="09835CE9">
            <w:pPr>
              <w:keepNext w:val="0"/>
              <w:keepLines w:val="0"/>
              <w:widowControl/>
              <w:numPr>
                <w:ilvl w:val="0"/>
                <w:numId w:val="3"/>
              </w:numPr>
              <w:suppressLineNumbers w:val="0"/>
              <w:spacing w:before="0" w:beforeAutospacing="0" w:after="0" w:afterAutospacing="0" w:line="320" w:lineRule="exact"/>
              <w:ind w:left="0" w:right="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拟派人员有效身份证扫描件（正反两面）；</w:t>
            </w:r>
          </w:p>
          <w:p w14:paraId="528521BF">
            <w:pPr>
              <w:keepNext w:val="0"/>
              <w:keepLines w:val="0"/>
              <w:widowControl/>
              <w:numPr>
                <w:ilvl w:val="0"/>
                <w:numId w:val="0"/>
              </w:numPr>
              <w:suppressLineNumbers w:val="0"/>
              <w:spacing w:before="0" w:beforeAutospacing="0" w:after="0" w:afterAutospacing="0" w:line="320" w:lineRule="exact"/>
              <w:ind w:left="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（3）拟派人员有效相关证书扫描件；</w:t>
            </w:r>
          </w:p>
          <w:p w14:paraId="64805783">
            <w:pPr>
              <w:keepNext w:val="0"/>
              <w:keepLines w:val="0"/>
              <w:widowControl/>
              <w:numPr>
                <w:ilvl w:val="0"/>
                <w:numId w:val="0"/>
              </w:numPr>
              <w:suppressLineNumbers w:val="0"/>
              <w:spacing w:before="0" w:beforeAutospacing="0" w:after="0" w:afterAutospacing="0" w:line="320" w:lineRule="exact"/>
              <w:ind w:left="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lang w:val="en-US" w:eastAsia="zh-CN" w:bidi="ar"/>
              </w:rPr>
              <w:t>（4）投标人为拟派人员缴纳的近3个月内（任意1个月即可）的社保证明材料。</w:t>
            </w:r>
          </w:p>
        </w:tc>
      </w:tr>
      <w:tr w14:paraId="12C0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14:paraId="78396C07">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14:paraId="51286E2B">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41A5D654">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（5）诚信投标承诺书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066037EA">
            <w:pPr>
              <w:keepNext w:val="0"/>
              <w:keepLines w:val="0"/>
              <w:suppressLineNumbers w:val="0"/>
              <w:spacing w:before="0" w:beforeAutospacing="0" w:after="0" w:afterAutospacing="0"/>
              <w:ind w:left="0" w:right="0"/>
              <w:jc w:val="center"/>
              <w:rPr>
                <w:rFonts w:hint="eastAsia" w:ascii="宋体" w:hAnsi="宋体" w:eastAsia="宋体" w:cs="宋体"/>
                <w:kern w:val="2"/>
                <w:highlight w:val="none"/>
                <w:lang w:val="en-US"/>
              </w:rPr>
            </w:pPr>
            <w:r>
              <w:rPr>
                <w:rFonts w:hint="eastAsia"/>
                <w:color w:val="000000"/>
                <w:highlight w:val="none"/>
              </w:rPr>
              <w:t>格式见附件，检验电子标书</w:t>
            </w:r>
          </w:p>
        </w:tc>
      </w:tr>
      <w:tr w14:paraId="411B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14:paraId="56A0FA36">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14:paraId="78AFA0CB">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1690A414">
            <w:pPr>
              <w:keepNext w:val="0"/>
              <w:keepLines w:val="0"/>
              <w:suppressLineNumbers w:val="0"/>
              <w:spacing w:before="0" w:beforeAutospacing="0" w:after="0" w:afterAutospacing="0"/>
              <w:ind w:left="0" w:leftChars="0" w:right="0" w:rightChars="0"/>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6）服务承诺书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621EE963">
            <w:pPr>
              <w:keepNext w:val="0"/>
              <w:keepLines w:val="0"/>
              <w:suppressLineNumbers w:val="0"/>
              <w:spacing w:before="0" w:beforeAutospacing="0" w:after="0" w:afterAutospacing="0"/>
              <w:ind w:left="0" w:leftChars="0" w:right="0" w:rightChars="0"/>
              <w:jc w:val="center"/>
              <w:rPr>
                <w:rFonts w:hint="eastAsia" w:ascii="宋体"/>
                <w:szCs w:val="24"/>
                <w:highlight w:val="none"/>
              </w:rPr>
            </w:pPr>
            <w:r>
              <w:rPr>
                <w:rFonts w:hint="eastAsia"/>
                <w:color w:val="000000"/>
                <w:highlight w:val="none"/>
              </w:rPr>
              <w:t>格式见附件，检验电子标书</w:t>
            </w:r>
          </w:p>
        </w:tc>
      </w:tr>
    </w:tbl>
    <w:p w14:paraId="04EA63BB">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14:paraId="6DAD91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2596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vAlign w:val="center"/>
          </w:tcPr>
          <w:p w14:paraId="23E908E4">
            <w:pPr>
              <w:keepNext w:val="0"/>
              <w:keepLines w:val="0"/>
              <w:suppressLineNumbers w:val="0"/>
              <w:spacing w:before="0" w:beforeAutospacing="0" w:after="0" w:afterAutospacing="0" w:line="400" w:lineRule="exact"/>
              <w:ind w:left="0" w:right="0"/>
              <w:jc w:val="center"/>
              <w:rPr>
                <w:rFonts w:hint="default"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vAlign w:val="center"/>
          </w:tcPr>
          <w:p w14:paraId="56FDC6E0">
            <w:pPr>
              <w:keepNext w:val="0"/>
              <w:keepLines w:val="0"/>
              <w:suppressLineNumbers w:val="0"/>
              <w:spacing w:before="0" w:beforeAutospacing="0" w:after="0" w:afterAutospacing="0" w:line="400" w:lineRule="exact"/>
              <w:ind w:left="0" w:right="0"/>
              <w:jc w:val="center"/>
              <w:rPr>
                <w:rFonts w:hint="default"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vAlign w:val="center"/>
          </w:tcPr>
          <w:p w14:paraId="5A3264B9">
            <w:pPr>
              <w:keepNext w:val="0"/>
              <w:keepLines w:val="0"/>
              <w:suppressLineNumbers w:val="0"/>
              <w:spacing w:before="0" w:beforeAutospacing="0" w:after="0" w:afterAutospacing="0" w:line="400" w:lineRule="exact"/>
              <w:ind w:left="0" w:right="0"/>
              <w:jc w:val="center"/>
              <w:rPr>
                <w:rFonts w:hint="default"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2D88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vAlign w:val="center"/>
          </w:tcPr>
          <w:p w14:paraId="7C6145C9">
            <w:pPr>
              <w:keepNext w:val="0"/>
              <w:keepLines w:val="0"/>
              <w:suppressLineNumbers w:val="0"/>
              <w:spacing w:before="0" w:beforeAutospacing="0" w:after="0" w:afterAutospacing="0" w:line="400" w:lineRule="exact"/>
              <w:ind w:left="0" w:right="0"/>
              <w:jc w:val="center"/>
              <w:rPr>
                <w:rFonts w:hint="default" w:ascii="宋体"/>
                <w:color w:val="000000"/>
                <w:szCs w:val="21"/>
                <w:highlight w:val="none"/>
              </w:rPr>
            </w:pPr>
            <w:r>
              <w:rPr>
                <w:rFonts w:hint="eastAsia" w:ascii="宋体"/>
                <w:color w:val="000000"/>
                <w:szCs w:val="21"/>
                <w:highlight w:val="none"/>
              </w:rPr>
              <w:t>1</w:t>
            </w:r>
          </w:p>
        </w:tc>
        <w:tc>
          <w:tcPr>
            <w:tcW w:w="1204" w:type="dxa"/>
            <w:vMerge w:val="restart"/>
            <w:vAlign w:val="center"/>
          </w:tcPr>
          <w:p w14:paraId="7B7ED2AA">
            <w:pPr>
              <w:keepNext w:val="0"/>
              <w:keepLines w:val="0"/>
              <w:suppressLineNumbers w:val="0"/>
              <w:spacing w:before="0" w:beforeAutospacing="0" w:after="0" w:afterAutospacing="0" w:line="400" w:lineRule="exact"/>
              <w:ind w:left="0" w:right="0"/>
              <w:jc w:val="center"/>
              <w:rPr>
                <w:rFonts w:hint="default"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vAlign w:val="center"/>
          </w:tcPr>
          <w:p w14:paraId="0E4CF2E6">
            <w:pPr>
              <w:keepNext w:val="0"/>
              <w:keepLines w:val="0"/>
              <w:suppressLineNumbers w:val="0"/>
              <w:adjustRightInd w:val="0"/>
              <w:snapToGrid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vAlign w:val="center"/>
          </w:tcPr>
          <w:p w14:paraId="2603B221">
            <w:pPr>
              <w:keepNext w:val="0"/>
              <w:keepLines w:val="0"/>
              <w:suppressLineNumbers w:val="0"/>
              <w:adjustRightInd w:val="0"/>
              <w:snapToGrid w:val="0"/>
              <w:spacing w:before="0" w:beforeAutospacing="0" w:after="0" w:afterAutospacing="0" w:line="400" w:lineRule="exact"/>
              <w:ind w:left="0" w:right="0"/>
              <w:jc w:val="left"/>
              <w:rPr>
                <w:rFonts w:hint="default"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33C6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vAlign w:val="center"/>
          </w:tcPr>
          <w:p w14:paraId="40C24E3B">
            <w:pPr>
              <w:keepNext w:val="0"/>
              <w:keepLines w:val="0"/>
              <w:suppressLineNumbers w:val="0"/>
              <w:spacing w:before="0" w:beforeAutospacing="0" w:after="0" w:afterAutospacing="0" w:line="400" w:lineRule="exact"/>
              <w:ind w:left="0" w:right="0"/>
              <w:rPr>
                <w:rFonts w:hint="default"/>
                <w:color w:val="000000"/>
                <w:highlight w:val="none"/>
              </w:rPr>
            </w:pPr>
          </w:p>
        </w:tc>
        <w:tc>
          <w:tcPr>
            <w:tcW w:w="1204" w:type="dxa"/>
            <w:vMerge w:val="continue"/>
            <w:vAlign w:val="center"/>
          </w:tcPr>
          <w:p w14:paraId="79C54785">
            <w:pPr>
              <w:keepNext w:val="0"/>
              <w:keepLines w:val="0"/>
              <w:suppressLineNumbers w:val="0"/>
              <w:spacing w:before="0" w:beforeAutospacing="0" w:after="0" w:afterAutospacing="0" w:line="400" w:lineRule="exact"/>
              <w:ind w:left="0" w:right="0"/>
              <w:jc w:val="center"/>
              <w:rPr>
                <w:rFonts w:hint="default"/>
                <w:color w:val="000000"/>
                <w:highlight w:val="none"/>
              </w:rPr>
            </w:pPr>
          </w:p>
        </w:tc>
        <w:tc>
          <w:tcPr>
            <w:tcW w:w="2931" w:type="dxa"/>
            <w:vAlign w:val="center"/>
          </w:tcPr>
          <w:p w14:paraId="3FD8AEB1">
            <w:pPr>
              <w:keepNext w:val="0"/>
              <w:keepLines w:val="0"/>
              <w:suppressLineNumbers w:val="0"/>
              <w:adjustRightInd w:val="0"/>
              <w:snapToGrid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vAlign w:val="center"/>
          </w:tcPr>
          <w:p w14:paraId="6D86BE7C">
            <w:pPr>
              <w:keepNext w:val="0"/>
              <w:keepLines w:val="0"/>
              <w:suppressLineNumbers w:val="0"/>
              <w:adjustRightInd w:val="0"/>
              <w:snapToGrid w:val="0"/>
              <w:spacing w:before="0" w:beforeAutospacing="0" w:after="0" w:afterAutospacing="0" w:line="400" w:lineRule="exact"/>
              <w:ind w:left="0" w:right="0"/>
              <w:jc w:val="left"/>
              <w:rPr>
                <w:rFonts w:hint="default" w:ascii="宋体" w:cs="宋体"/>
                <w:color w:val="000000"/>
                <w:szCs w:val="21"/>
                <w:highlight w:val="none"/>
              </w:rPr>
            </w:pPr>
            <w:r>
              <w:rPr>
                <w:rFonts w:hint="eastAsia" w:ascii="宋体" w:hAnsi="宋体" w:cs="宋体"/>
                <w:color w:val="000000"/>
                <w:szCs w:val="21"/>
                <w:highlight w:val="none"/>
              </w:rPr>
              <w:t>符合第七章“投标文件格式”的要求。</w:t>
            </w:r>
          </w:p>
        </w:tc>
      </w:tr>
      <w:tr w14:paraId="19CE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vAlign w:val="center"/>
          </w:tcPr>
          <w:p w14:paraId="2639DF89">
            <w:pPr>
              <w:keepNext w:val="0"/>
              <w:keepLines w:val="0"/>
              <w:suppressLineNumbers w:val="0"/>
              <w:spacing w:before="0" w:beforeAutospacing="0" w:after="0" w:afterAutospacing="0" w:line="400" w:lineRule="exact"/>
              <w:ind w:left="0" w:right="0"/>
              <w:rPr>
                <w:rFonts w:hint="default"/>
                <w:color w:val="000000"/>
                <w:highlight w:val="none"/>
              </w:rPr>
            </w:pPr>
          </w:p>
        </w:tc>
        <w:tc>
          <w:tcPr>
            <w:tcW w:w="1204" w:type="dxa"/>
            <w:vMerge w:val="continue"/>
            <w:vAlign w:val="center"/>
          </w:tcPr>
          <w:p w14:paraId="39AF206C">
            <w:pPr>
              <w:keepNext w:val="0"/>
              <w:keepLines w:val="0"/>
              <w:suppressLineNumbers w:val="0"/>
              <w:spacing w:before="0" w:beforeAutospacing="0" w:after="0" w:afterAutospacing="0" w:line="400" w:lineRule="exact"/>
              <w:ind w:left="0" w:right="0"/>
              <w:jc w:val="center"/>
              <w:rPr>
                <w:rFonts w:hint="default"/>
                <w:color w:val="000000"/>
                <w:highlight w:val="none"/>
              </w:rPr>
            </w:pPr>
          </w:p>
        </w:tc>
        <w:tc>
          <w:tcPr>
            <w:tcW w:w="2931" w:type="dxa"/>
            <w:vAlign w:val="center"/>
          </w:tcPr>
          <w:p w14:paraId="6A6470C1">
            <w:pPr>
              <w:keepNext w:val="0"/>
              <w:keepLines w:val="0"/>
              <w:suppressLineNumbers w:val="0"/>
              <w:adjustRightInd w:val="0"/>
              <w:snapToGrid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vAlign w:val="center"/>
          </w:tcPr>
          <w:p w14:paraId="6B48B0D5">
            <w:pPr>
              <w:keepNext w:val="0"/>
              <w:keepLines w:val="0"/>
              <w:suppressLineNumbers w:val="0"/>
              <w:adjustRightInd w:val="0"/>
              <w:snapToGrid w:val="0"/>
              <w:spacing w:before="0" w:beforeAutospacing="0" w:after="0" w:afterAutospacing="0" w:line="400" w:lineRule="exact"/>
              <w:ind w:left="0" w:right="0"/>
              <w:jc w:val="left"/>
              <w:rPr>
                <w:rFonts w:hint="default" w:ascii="宋体" w:cs="宋体"/>
                <w:color w:val="000000"/>
                <w:szCs w:val="21"/>
                <w:highlight w:val="none"/>
              </w:rPr>
            </w:pPr>
            <w:r>
              <w:rPr>
                <w:rFonts w:hint="eastAsia" w:ascii="宋体" w:hAnsi="宋体" w:cs="宋体"/>
                <w:color w:val="000000"/>
                <w:szCs w:val="21"/>
                <w:highlight w:val="none"/>
              </w:rPr>
              <w:t>按投标文件格式要求签章。</w:t>
            </w:r>
          </w:p>
        </w:tc>
      </w:tr>
      <w:tr w14:paraId="1778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vAlign w:val="center"/>
          </w:tcPr>
          <w:p w14:paraId="04DE3BF5">
            <w:pPr>
              <w:keepNext w:val="0"/>
              <w:keepLines w:val="0"/>
              <w:suppressLineNumbers w:val="0"/>
              <w:spacing w:before="0" w:beforeAutospacing="0" w:after="0" w:afterAutospacing="0" w:line="400" w:lineRule="exact"/>
              <w:ind w:left="0" w:right="0"/>
              <w:rPr>
                <w:rFonts w:hint="default"/>
                <w:color w:val="000000"/>
                <w:highlight w:val="none"/>
              </w:rPr>
            </w:pPr>
          </w:p>
        </w:tc>
        <w:tc>
          <w:tcPr>
            <w:tcW w:w="1204" w:type="dxa"/>
            <w:vMerge w:val="continue"/>
            <w:vAlign w:val="center"/>
          </w:tcPr>
          <w:p w14:paraId="6CC87C75">
            <w:pPr>
              <w:keepNext w:val="0"/>
              <w:keepLines w:val="0"/>
              <w:suppressLineNumbers w:val="0"/>
              <w:spacing w:before="0" w:beforeAutospacing="0" w:after="0" w:afterAutospacing="0" w:line="400" w:lineRule="exact"/>
              <w:ind w:left="0" w:right="0"/>
              <w:jc w:val="center"/>
              <w:rPr>
                <w:rFonts w:hint="default"/>
                <w:color w:val="000000"/>
                <w:highlight w:val="none"/>
              </w:rPr>
            </w:pPr>
          </w:p>
        </w:tc>
        <w:tc>
          <w:tcPr>
            <w:tcW w:w="2931" w:type="dxa"/>
            <w:vAlign w:val="center"/>
          </w:tcPr>
          <w:p w14:paraId="6BB3561E">
            <w:pPr>
              <w:keepNext w:val="0"/>
              <w:keepLines w:val="0"/>
              <w:suppressLineNumbers w:val="0"/>
              <w:adjustRightInd w:val="0"/>
              <w:snapToGrid w:val="0"/>
              <w:spacing w:before="0" w:beforeAutospacing="0" w:after="0" w:afterAutospacing="0" w:line="400" w:lineRule="exact"/>
              <w:ind w:left="0" w:right="0"/>
              <w:rPr>
                <w:rFonts w:hint="default" w:ascii="宋体"/>
                <w:color w:val="000000"/>
                <w:szCs w:val="21"/>
                <w:highlight w:val="none"/>
              </w:rPr>
            </w:pPr>
            <w:r>
              <w:rPr>
                <w:rFonts w:hint="eastAsia" w:ascii="宋体" w:hAnsi="宋体" w:cs="宋体"/>
                <w:color w:val="000000"/>
                <w:szCs w:val="21"/>
                <w:highlight w:val="none"/>
              </w:rPr>
              <w:t>报价唯一</w:t>
            </w:r>
          </w:p>
        </w:tc>
        <w:tc>
          <w:tcPr>
            <w:tcW w:w="4173" w:type="dxa"/>
            <w:vAlign w:val="center"/>
          </w:tcPr>
          <w:p w14:paraId="407E01E3">
            <w:pPr>
              <w:keepNext w:val="0"/>
              <w:keepLines w:val="0"/>
              <w:suppressLineNumbers w:val="0"/>
              <w:adjustRightInd w:val="0"/>
              <w:snapToGrid w:val="0"/>
              <w:spacing w:before="0" w:beforeAutospacing="0" w:after="0" w:afterAutospacing="0" w:line="400" w:lineRule="exact"/>
              <w:ind w:left="0" w:right="0"/>
              <w:jc w:val="left"/>
              <w:rPr>
                <w:rFonts w:hint="default"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35EF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vAlign w:val="center"/>
          </w:tcPr>
          <w:p w14:paraId="0023B465">
            <w:pPr>
              <w:keepNext w:val="0"/>
              <w:keepLines w:val="0"/>
              <w:suppressLineNumbers w:val="0"/>
              <w:spacing w:before="0" w:beforeAutospacing="0" w:after="0" w:afterAutospacing="0" w:line="400" w:lineRule="exact"/>
              <w:ind w:left="0" w:right="0"/>
              <w:jc w:val="center"/>
              <w:rPr>
                <w:rFonts w:hint="default" w:ascii="宋体"/>
                <w:color w:val="000000"/>
                <w:szCs w:val="21"/>
                <w:highlight w:val="none"/>
              </w:rPr>
            </w:pPr>
            <w:r>
              <w:rPr>
                <w:rFonts w:hint="eastAsia" w:ascii="宋体"/>
                <w:color w:val="000000"/>
                <w:szCs w:val="21"/>
                <w:highlight w:val="none"/>
              </w:rPr>
              <w:t>2</w:t>
            </w:r>
          </w:p>
        </w:tc>
        <w:tc>
          <w:tcPr>
            <w:tcW w:w="1204" w:type="dxa"/>
            <w:vMerge w:val="restart"/>
            <w:vAlign w:val="center"/>
          </w:tcPr>
          <w:p w14:paraId="72820DD6">
            <w:pPr>
              <w:keepNext w:val="0"/>
              <w:keepLines w:val="0"/>
              <w:suppressLineNumbers w:val="0"/>
              <w:adjustRightInd w:val="0"/>
              <w:snapToGrid w:val="0"/>
              <w:spacing w:before="0" w:beforeAutospacing="0" w:after="0" w:afterAutospacing="0" w:line="400" w:lineRule="exact"/>
              <w:ind w:left="0" w:right="0"/>
              <w:jc w:val="center"/>
              <w:rPr>
                <w:rFonts w:hint="default"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vAlign w:val="center"/>
          </w:tcPr>
          <w:p w14:paraId="11A4D0A4">
            <w:pPr>
              <w:keepNext w:val="0"/>
              <w:keepLines w:val="0"/>
              <w:suppressLineNumbers w:val="0"/>
              <w:adjustRightInd w:val="0"/>
              <w:snapToGrid w:val="0"/>
              <w:spacing w:before="0" w:beforeAutospacing="0" w:after="0" w:afterAutospacing="0" w:line="400" w:lineRule="exact"/>
              <w:ind w:left="0" w:right="0"/>
              <w:jc w:val="left"/>
              <w:rPr>
                <w:rFonts w:hint="default" w:ascii="宋体" w:cs="宋体"/>
                <w:color w:val="000000"/>
                <w:szCs w:val="21"/>
                <w:highlight w:val="none"/>
              </w:rPr>
            </w:pPr>
            <w:r>
              <w:rPr>
                <w:rFonts w:hint="eastAsia" w:ascii="宋体" w:hAnsi="宋体" w:cs="宋体"/>
                <w:color w:val="000000"/>
                <w:szCs w:val="21"/>
                <w:highlight w:val="none"/>
              </w:rPr>
              <w:t>服务期</w:t>
            </w:r>
          </w:p>
        </w:tc>
        <w:tc>
          <w:tcPr>
            <w:tcW w:w="4173" w:type="dxa"/>
            <w:vAlign w:val="center"/>
          </w:tcPr>
          <w:p w14:paraId="757652EC">
            <w:pPr>
              <w:keepNext w:val="0"/>
              <w:keepLines w:val="0"/>
              <w:suppressLineNumbers w:val="0"/>
              <w:adjustRightInd w:val="0"/>
              <w:snapToGrid w:val="0"/>
              <w:spacing w:before="0" w:beforeAutospacing="0" w:after="0" w:afterAutospacing="0" w:line="400" w:lineRule="exact"/>
              <w:ind w:left="0" w:right="0"/>
              <w:rPr>
                <w:rFonts w:hint="default" w:ascii="宋体" w:cs="宋体"/>
                <w:color w:val="000000"/>
                <w:szCs w:val="21"/>
                <w:highlight w:val="none"/>
              </w:rPr>
            </w:pPr>
            <w:r>
              <w:rPr>
                <w:rFonts w:hint="eastAsia" w:ascii="宋体" w:hAnsi="宋体" w:cs="宋体"/>
                <w:color w:val="000000"/>
                <w:szCs w:val="21"/>
                <w:highlight w:val="none"/>
              </w:rPr>
              <w:t>符合投标须知前附表规定。</w:t>
            </w:r>
          </w:p>
        </w:tc>
      </w:tr>
      <w:tr w14:paraId="6EB6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vAlign w:val="center"/>
          </w:tcPr>
          <w:p w14:paraId="5E27F931">
            <w:pPr>
              <w:keepNext w:val="0"/>
              <w:keepLines w:val="0"/>
              <w:suppressLineNumbers w:val="0"/>
              <w:spacing w:before="0" w:beforeAutospacing="0" w:after="0" w:afterAutospacing="0" w:line="400" w:lineRule="exact"/>
              <w:ind w:left="0" w:right="0"/>
              <w:rPr>
                <w:rFonts w:hint="default"/>
                <w:color w:val="000000"/>
                <w:highlight w:val="none"/>
              </w:rPr>
            </w:pPr>
          </w:p>
        </w:tc>
        <w:tc>
          <w:tcPr>
            <w:tcW w:w="1204" w:type="dxa"/>
            <w:vMerge w:val="continue"/>
            <w:vAlign w:val="center"/>
          </w:tcPr>
          <w:p w14:paraId="6E0EA6C1">
            <w:pPr>
              <w:keepNext w:val="0"/>
              <w:keepLines w:val="0"/>
              <w:suppressLineNumbers w:val="0"/>
              <w:spacing w:before="0" w:beforeAutospacing="0" w:after="0" w:afterAutospacing="0" w:line="400" w:lineRule="exact"/>
              <w:ind w:left="0" w:right="0"/>
              <w:rPr>
                <w:rFonts w:hint="default"/>
                <w:color w:val="000000"/>
                <w:highlight w:val="none"/>
              </w:rPr>
            </w:pPr>
          </w:p>
        </w:tc>
        <w:tc>
          <w:tcPr>
            <w:tcW w:w="2931" w:type="dxa"/>
            <w:vAlign w:val="center"/>
          </w:tcPr>
          <w:p w14:paraId="5FB41D23">
            <w:pPr>
              <w:keepNext w:val="0"/>
              <w:keepLines w:val="0"/>
              <w:suppressLineNumbers w:val="0"/>
              <w:adjustRightInd w:val="0"/>
              <w:snapToGrid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vAlign w:val="center"/>
          </w:tcPr>
          <w:p w14:paraId="5E300F83">
            <w:pPr>
              <w:keepNext w:val="0"/>
              <w:keepLines w:val="0"/>
              <w:suppressLineNumbers w:val="0"/>
              <w:adjustRightInd w:val="0"/>
              <w:snapToGrid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53DE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vAlign w:val="center"/>
          </w:tcPr>
          <w:p w14:paraId="4FC915F3">
            <w:pPr>
              <w:keepNext w:val="0"/>
              <w:keepLines w:val="0"/>
              <w:suppressLineNumbers w:val="0"/>
              <w:spacing w:before="0" w:beforeAutospacing="0" w:after="0" w:afterAutospacing="0" w:line="400" w:lineRule="exact"/>
              <w:ind w:left="0" w:right="0"/>
              <w:rPr>
                <w:rFonts w:hint="default"/>
                <w:color w:val="000000"/>
                <w:highlight w:val="none"/>
              </w:rPr>
            </w:pPr>
          </w:p>
        </w:tc>
        <w:tc>
          <w:tcPr>
            <w:tcW w:w="1204" w:type="dxa"/>
            <w:vMerge w:val="continue"/>
            <w:vAlign w:val="center"/>
          </w:tcPr>
          <w:p w14:paraId="21E6D54E">
            <w:pPr>
              <w:keepNext w:val="0"/>
              <w:keepLines w:val="0"/>
              <w:suppressLineNumbers w:val="0"/>
              <w:spacing w:before="0" w:beforeAutospacing="0" w:after="0" w:afterAutospacing="0" w:line="400" w:lineRule="exact"/>
              <w:ind w:left="0" w:right="0"/>
              <w:rPr>
                <w:rFonts w:hint="default"/>
                <w:color w:val="000000"/>
                <w:highlight w:val="none"/>
              </w:rPr>
            </w:pPr>
          </w:p>
        </w:tc>
        <w:tc>
          <w:tcPr>
            <w:tcW w:w="2931" w:type="dxa"/>
            <w:vAlign w:val="center"/>
          </w:tcPr>
          <w:p w14:paraId="50277FB8">
            <w:pPr>
              <w:keepNext w:val="0"/>
              <w:keepLines w:val="0"/>
              <w:suppressLineNumbers w:val="0"/>
              <w:adjustRightInd w:val="0"/>
              <w:snapToGrid w:val="0"/>
              <w:spacing w:before="0" w:beforeAutospacing="0" w:after="0" w:afterAutospacing="0" w:line="400" w:lineRule="exact"/>
              <w:ind w:left="0" w:right="0"/>
              <w:rPr>
                <w:rFonts w:hint="default" w:ascii="宋体" w:hAnsi="宋体" w:cs="宋体"/>
                <w:color w:val="000000"/>
                <w:szCs w:val="21"/>
                <w:highlight w:val="none"/>
              </w:rPr>
            </w:pPr>
            <w:r>
              <w:rPr>
                <w:rFonts w:hint="eastAsia" w:ascii="宋体" w:hAnsi="宋体" w:cs="宋体"/>
                <w:color w:val="000000"/>
                <w:szCs w:val="21"/>
                <w:highlight w:val="none"/>
              </w:rPr>
              <w:t>投标报价评审</w:t>
            </w:r>
          </w:p>
        </w:tc>
        <w:tc>
          <w:tcPr>
            <w:tcW w:w="4173" w:type="dxa"/>
            <w:vAlign w:val="center"/>
          </w:tcPr>
          <w:p w14:paraId="5380E340">
            <w:pPr>
              <w:keepNext w:val="0"/>
              <w:keepLines w:val="0"/>
              <w:suppressLineNumbers w:val="0"/>
              <w:adjustRightInd w:val="0"/>
              <w:snapToGrid w:val="0"/>
              <w:spacing w:before="0" w:beforeAutospacing="0" w:after="0" w:afterAutospacing="0" w:line="400" w:lineRule="exact"/>
              <w:ind w:left="0" w:right="0"/>
              <w:rPr>
                <w:rFonts w:hint="default" w:ascii="宋体" w:hAnsi="宋体" w:eastAsia="宋体" w:cs="宋体"/>
                <w:color w:val="000000"/>
                <w:szCs w:val="21"/>
                <w:highlight w:val="none"/>
              </w:rPr>
            </w:pPr>
            <w:r>
              <w:rPr>
                <w:rFonts w:hint="eastAsia" w:ascii="宋体" w:hAnsi="宋体" w:cs="宋体"/>
                <w:color w:val="000000"/>
                <w:spacing w:val="-6"/>
                <w:szCs w:val="21"/>
                <w:highlight w:val="none"/>
              </w:rPr>
              <w:t>不得高于最高投标限价。</w:t>
            </w:r>
          </w:p>
        </w:tc>
      </w:tr>
      <w:tr w14:paraId="6667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vAlign w:val="center"/>
          </w:tcPr>
          <w:p w14:paraId="66DAE790">
            <w:pPr>
              <w:keepNext w:val="0"/>
              <w:keepLines w:val="0"/>
              <w:suppressLineNumbers w:val="0"/>
              <w:spacing w:before="0" w:beforeAutospacing="0" w:after="0" w:afterAutospacing="0" w:line="400" w:lineRule="exact"/>
              <w:ind w:left="0" w:right="0"/>
              <w:jc w:val="center"/>
              <w:rPr>
                <w:rFonts w:hint="default" w:ascii="宋体"/>
                <w:color w:val="000000"/>
                <w:szCs w:val="21"/>
                <w:highlight w:val="none"/>
              </w:rPr>
            </w:pPr>
            <w:r>
              <w:rPr>
                <w:rFonts w:hint="eastAsia" w:ascii="宋体"/>
                <w:color w:val="000000"/>
                <w:szCs w:val="21"/>
                <w:highlight w:val="none"/>
              </w:rPr>
              <w:t>3</w:t>
            </w:r>
          </w:p>
        </w:tc>
        <w:tc>
          <w:tcPr>
            <w:tcW w:w="1204" w:type="dxa"/>
            <w:vMerge w:val="restart"/>
            <w:vAlign w:val="center"/>
          </w:tcPr>
          <w:p w14:paraId="09798E9E">
            <w:pPr>
              <w:keepNext w:val="0"/>
              <w:keepLines w:val="0"/>
              <w:suppressLineNumbers w:val="0"/>
              <w:adjustRightInd w:val="0"/>
              <w:snapToGrid w:val="0"/>
              <w:spacing w:before="0" w:beforeAutospacing="0" w:after="0" w:afterAutospacing="0" w:line="400" w:lineRule="exact"/>
              <w:ind w:left="0" w:right="0"/>
              <w:jc w:val="center"/>
              <w:rPr>
                <w:rFonts w:hint="default" w:ascii="宋体" w:cs="仿宋_GB2312"/>
                <w:color w:val="000000"/>
                <w:szCs w:val="21"/>
                <w:highlight w:val="none"/>
                <w:lang w:val="zh-CN"/>
              </w:rPr>
            </w:pPr>
            <w:r>
              <w:rPr>
                <w:rFonts w:hint="eastAsia" w:ascii="宋体" w:hAnsi="宋体" w:cs="宋体"/>
                <w:color w:val="000000"/>
                <w:szCs w:val="21"/>
                <w:highlight w:val="none"/>
              </w:rPr>
              <w:t>详细评审标准</w:t>
            </w:r>
          </w:p>
        </w:tc>
        <w:tc>
          <w:tcPr>
            <w:tcW w:w="2931" w:type="dxa"/>
            <w:vAlign w:val="center"/>
          </w:tcPr>
          <w:p w14:paraId="38342EBF">
            <w:pPr>
              <w:keepNext w:val="0"/>
              <w:keepLines w:val="0"/>
              <w:suppressLineNumbers w:val="0"/>
              <w:spacing w:before="0" w:beforeAutospacing="0" w:after="0" w:afterAutospacing="0" w:line="400" w:lineRule="exact"/>
              <w:ind w:left="0" w:right="0"/>
              <w:rPr>
                <w:rFonts w:hint="default"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vAlign w:val="center"/>
          </w:tcPr>
          <w:p w14:paraId="1A219B3C">
            <w:pPr>
              <w:keepNext w:val="0"/>
              <w:keepLines w:val="0"/>
              <w:suppressLineNumbers w:val="0"/>
              <w:spacing w:before="0" w:beforeAutospacing="0" w:after="0" w:afterAutospacing="0" w:line="400" w:lineRule="exact"/>
              <w:ind w:left="0" w:right="0"/>
              <w:rPr>
                <w:rFonts w:hint="default" w:ascii="宋体" w:eastAsia="宋体" w:cs="仿宋_GB2312"/>
                <w:color w:val="000000"/>
                <w:szCs w:val="21"/>
                <w:highlight w:val="none"/>
                <w:lang w:val="zh-CN"/>
              </w:rPr>
            </w:pPr>
            <w:r>
              <w:rPr>
                <w:rFonts w:hint="eastAsia" w:ascii="宋体" w:cs="仿宋_GB2312"/>
                <w:color w:val="000000"/>
                <w:szCs w:val="21"/>
                <w:highlight w:val="none"/>
                <w:lang w:val="zh-CN"/>
              </w:rPr>
              <w:t>完全响应或优于</w:t>
            </w:r>
            <w:r>
              <w:rPr>
                <w:rFonts w:hint="eastAsia" w:ascii="宋体" w:cs="仿宋_GB2312"/>
                <w:color w:val="000000"/>
                <w:szCs w:val="21"/>
                <w:highlight w:val="none"/>
                <w:lang w:val="en-US" w:eastAsia="zh-CN"/>
              </w:rPr>
              <w:t>招标文件</w:t>
            </w:r>
            <w:r>
              <w:rPr>
                <w:rFonts w:hint="eastAsia" w:ascii="宋体" w:cs="仿宋_GB2312"/>
                <w:color w:val="000000"/>
                <w:szCs w:val="21"/>
                <w:highlight w:val="none"/>
                <w:lang w:val="zh-CN"/>
              </w:rPr>
              <w:t>要求。</w:t>
            </w:r>
          </w:p>
        </w:tc>
      </w:tr>
      <w:tr w14:paraId="5823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vAlign w:val="center"/>
          </w:tcPr>
          <w:p w14:paraId="20BBFD84">
            <w:pPr>
              <w:keepNext w:val="0"/>
              <w:keepLines w:val="0"/>
              <w:suppressLineNumbers w:val="0"/>
              <w:spacing w:before="0" w:beforeAutospacing="0" w:after="0" w:afterAutospacing="0" w:line="400" w:lineRule="exact"/>
              <w:ind w:left="0" w:right="0"/>
              <w:jc w:val="center"/>
              <w:rPr>
                <w:rFonts w:hint="default" w:ascii="宋体"/>
                <w:color w:val="000000"/>
                <w:szCs w:val="21"/>
                <w:highlight w:val="none"/>
              </w:rPr>
            </w:pPr>
          </w:p>
        </w:tc>
        <w:tc>
          <w:tcPr>
            <w:tcW w:w="1204" w:type="dxa"/>
            <w:vMerge w:val="continue"/>
            <w:vAlign w:val="center"/>
          </w:tcPr>
          <w:p w14:paraId="434478BB">
            <w:pPr>
              <w:keepNext w:val="0"/>
              <w:keepLines w:val="0"/>
              <w:suppressLineNumbers w:val="0"/>
              <w:spacing w:before="0" w:beforeAutospacing="0" w:after="0" w:afterAutospacing="0" w:line="400" w:lineRule="exact"/>
              <w:ind w:left="0" w:right="0"/>
              <w:jc w:val="center"/>
              <w:rPr>
                <w:rFonts w:hint="default" w:ascii="宋体" w:cs="仿宋_GB2312"/>
                <w:color w:val="000000"/>
                <w:szCs w:val="21"/>
                <w:highlight w:val="none"/>
                <w:lang w:val="zh-CN"/>
              </w:rPr>
            </w:pPr>
          </w:p>
        </w:tc>
        <w:tc>
          <w:tcPr>
            <w:tcW w:w="2931" w:type="dxa"/>
            <w:vAlign w:val="center"/>
          </w:tcPr>
          <w:p w14:paraId="0D995E57">
            <w:pPr>
              <w:keepNext w:val="0"/>
              <w:keepLines w:val="0"/>
              <w:suppressLineNumbers w:val="0"/>
              <w:spacing w:before="0" w:beforeAutospacing="0" w:after="0" w:afterAutospacing="0" w:line="400" w:lineRule="exact"/>
              <w:ind w:left="0" w:right="0"/>
              <w:rPr>
                <w:rFonts w:hint="default"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vAlign w:val="center"/>
          </w:tcPr>
          <w:p w14:paraId="5598E19C">
            <w:pPr>
              <w:keepNext w:val="0"/>
              <w:keepLines w:val="0"/>
              <w:suppressLineNumbers w:val="0"/>
              <w:spacing w:before="0" w:beforeAutospacing="0" w:after="0" w:afterAutospacing="0" w:line="400" w:lineRule="exact"/>
              <w:ind w:left="0" w:right="0"/>
              <w:rPr>
                <w:rFonts w:hint="default"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6C1D831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14:paraId="2C132CD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14:paraId="7A4B816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14:paraId="5553D73C">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831"/>
      <w:bookmarkStart w:id="50"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14:paraId="3DC0A1CA">
      <w:pPr>
        <w:keepNext w:val="0"/>
        <w:keepLines w:val="0"/>
        <w:pageBreakBefore w:val="0"/>
        <w:widowControl w:val="0"/>
        <w:kinsoku/>
        <w:overflowPunct/>
        <w:topLinePunct w:val="0"/>
        <w:autoSpaceDE/>
        <w:autoSpaceDN/>
        <w:bidi w:val="0"/>
        <w:adjustRightInd/>
        <w:snapToGrid/>
        <w:spacing w:line="460" w:lineRule="exact"/>
        <w:ind w:firstLine="525" w:firstLineChars="250"/>
        <w:textAlignment w:val="auto"/>
        <w:rPr>
          <w:rFonts w:hint="eastAsia" w:ascii="宋体" w:eastAsiaTheme="minorEastAsia"/>
          <w:color w:val="000000"/>
          <w:szCs w:val="21"/>
          <w:highlight w:val="none"/>
          <w:lang w:eastAsia="zh-CN"/>
        </w:rPr>
      </w:pPr>
      <w:r>
        <w:rPr>
          <w:rFonts w:hint="eastAsia" w:ascii="宋体" w:cs="宋体"/>
          <w:color w:val="auto"/>
          <w:szCs w:val="21"/>
          <w:highlight w:val="none"/>
        </w:rPr>
        <w:t>5.1</w:t>
      </w:r>
      <w:r>
        <w:rPr>
          <w:rFonts w:hint="eastAsia" w:ascii="宋体"/>
          <w:color w:val="000000"/>
          <w:szCs w:val="21"/>
          <w:highlight w:val="none"/>
        </w:rPr>
        <w:t>评审阶段，评委可能会要求有关投标人就其投标文件中含义不明确、同类问题表述不一致或者有明显文字和计算错误的内容进行澄清。投标人必须在规定时间内进行回复</w:t>
      </w:r>
      <w:r>
        <w:rPr>
          <w:rFonts w:hint="eastAsia" w:ascii="宋体"/>
          <w:color w:val="000000"/>
          <w:szCs w:val="21"/>
          <w:highlight w:val="none"/>
          <w:lang w:eastAsia="zh-CN"/>
        </w:rPr>
        <w:t>。</w:t>
      </w:r>
    </w:p>
    <w:p w14:paraId="7871A6B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14:paraId="4249642A">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14:paraId="0E02A49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14:paraId="63694E1D">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174A7902">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44"/>
    <w:bookmarkEnd w:id="45"/>
    <w:p w14:paraId="5862126A">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四</w:t>
      </w:r>
      <w:r>
        <w:rPr>
          <w:rFonts w:hint="eastAsia" w:ascii="宋体"/>
          <w:b/>
          <w:color w:val="auto"/>
          <w:sz w:val="24"/>
          <w:szCs w:val="24"/>
          <w:highlight w:val="none"/>
          <w:lang w:eastAsia="zh-CN"/>
        </w:rPr>
        <w:t>、</w:t>
      </w:r>
      <w:r>
        <w:rPr>
          <w:rFonts w:hint="eastAsia" w:ascii="宋体"/>
          <w:b/>
          <w:color w:val="auto"/>
          <w:sz w:val="24"/>
          <w:szCs w:val="24"/>
          <w:highlight w:val="none"/>
        </w:rPr>
        <w:t>比较与评价</w:t>
      </w:r>
    </w:p>
    <w:p w14:paraId="292C71D7">
      <w:pPr>
        <w:widowControl w:val="0"/>
        <w:spacing w:line="440" w:lineRule="exact"/>
        <w:ind w:firstLine="420" w:firstLineChars="200"/>
        <w:textAlignment w:val="auto"/>
        <w:rPr>
          <w:rFonts w:hint="eastAsia" w:ascii="宋体" w:cs="宋体"/>
          <w:color w:val="auto"/>
          <w:szCs w:val="21"/>
          <w:highlight w:val="none"/>
        </w:rPr>
      </w:pPr>
      <w:bookmarkStart w:id="51" w:name="_Toc25521"/>
      <w:bookmarkStart w:id="52" w:name="_Toc19726_WPSOffice_Level2"/>
      <w:r>
        <w:rPr>
          <w:rFonts w:hint="eastAsia" w:ascii="宋体" w:cs="宋体"/>
          <w:color w:val="auto"/>
          <w:szCs w:val="21"/>
          <w:highlight w:val="none"/>
          <w:lang w:val="en-US" w:eastAsia="zh-CN"/>
        </w:rPr>
        <w:t>6.</w:t>
      </w:r>
      <w:r>
        <w:rPr>
          <w:rFonts w:hint="eastAsia" w:ascii="宋体" w:cs="宋体"/>
          <w:color w:val="auto"/>
          <w:szCs w:val="21"/>
          <w:highlight w:val="none"/>
        </w:rPr>
        <w:t>详细评审即按</w:t>
      </w:r>
      <w:r>
        <w:rPr>
          <w:rFonts w:hint="eastAsia" w:ascii="宋体" w:cs="宋体"/>
          <w:color w:val="auto"/>
          <w:szCs w:val="21"/>
          <w:highlight w:val="none"/>
          <w:lang w:val="en-US" w:eastAsia="zh-CN"/>
        </w:rPr>
        <w:t>招标</w:t>
      </w:r>
      <w:r>
        <w:rPr>
          <w:rFonts w:hint="eastAsia" w:ascii="宋体" w:cs="宋体"/>
          <w:color w:val="auto"/>
          <w:szCs w:val="21"/>
          <w:highlight w:val="none"/>
        </w:rPr>
        <w:t>文件中规定的评标方法和标准，评标委员会将对通过初审的投标文件，进行商务报价评审，综合比较与评价。</w:t>
      </w:r>
    </w:p>
    <w:p w14:paraId="34F75335">
      <w:pPr>
        <w:spacing w:line="40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color w:val="000000"/>
          <w:szCs w:val="21"/>
          <w:highlight w:val="none"/>
          <w:lang w:val="en-US" w:eastAsia="zh-CN"/>
        </w:rPr>
        <w:t>1</w:t>
      </w:r>
      <w:r>
        <w:rPr>
          <w:rFonts w:hint="eastAsia" w:ascii="宋体" w:hAnsi="宋体"/>
          <w:color w:val="000000"/>
          <w:szCs w:val="21"/>
          <w:highlight w:val="none"/>
        </w:rPr>
        <w:t>商务标评审</w:t>
      </w:r>
    </w:p>
    <w:p w14:paraId="536E8F44">
      <w:pPr>
        <w:spacing w:line="400" w:lineRule="exact"/>
        <w:ind w:firstLine="403" w:firstLineChars="192"/>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color w:val="000000"/>
          <w:szCs w:val="21"/>
          <w:highlight w:val="none"/>
          <w:lang w:val="en-US" w:eastAsia="zh-CN"/>
        </w:rPr>
        <w:t>1</w:t>
      </w:r>
      <w:r>
        <w:rPr>
          <w:rFonts w:hint="eastAsia" w:ascii="宋体" w:hAnsi="宋体"/>
          <w:color w:val="000000"/>
          <w:szCs w:val="21"/>
          <w:highlight w:val="none"/>
        </w:rPr>
        <w:t>.1对小型和微型企业、残疾人福利性企业、监狱企业产品的价格给予10%扣除，用扣除后的价格参与评审。</w:t>
      </w:r>
    </w:p>
    <w:p w14:paraId="7810207D">
      <w:pPr>
        <w:spacing w:line="400" w:lineRule="exact"/>
        <w:ind w:firstLine="403" w:firstLineChars="192"/>
        <w:rPr>
          <w:rFonts w:hint="eastAsia" w:ascii="宋体" w:hAnsi="宋体"/>
          <w:color w:val="000000"/>
          <w:szCs w:val="21"/>
          <w:highlight w:val="none"/>
        </w:rPr>
      </w:pPr>
      <w:r>
        <w:rPr>
          <w:rFonts w:hint="eastAsia" w:ascii="宋体" w:hAnsi="宋体"/>
          <w:color w:val="000000"/>
          <w:szCs w:val="21"/>
          <w:highlight w:val="none"/>
        </w:rPr>
        <w:t>中小型企业的划型标准执行《政府采购促进中小企业发展管理办法》（财库﹝2020﹞46 号）号文件。</w:t>
      </w:r>
    </w:p>
    <w:p w14:paraId="7EEB5ED1">
      <w:pPr>
        <w:snapToGrid w:val="0"/>
        <w:spacing w:line="440" w:lineRule="atLeast"/>
        <w:ind w:firstLine="420" w:firstLineChars="200"/>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color w:val="000000"/>
          <w:szCs w:val="21"/>
          <w:highlight w:val="none"/>
          <w:lang w:val="en-US" w:eastAsia="zh-CN"/>
        </w:rPr>
        <w:t>1</w:t>
      </w:r>
      <w:r>
        <w:rPr>
          <w:rFonts w:hint="eastAsia" w:ascii="宋体" w:hAnsi="宋体"/>
          <w:color w:val="000000"/>
          <w:szCs w:val="21"/>
          <w:highlight w:val="none"/>
        </w:rPr>
        <w:t>.2如评标委员会认为，投标人的报价明显低于其他通过符合性审查投标人的报价，有可能影响产品质量和不能诚信履约的，应当要求其在评标现场合理的时间内提供书面说明，必要时提交相关证明材料；投标人不能证明其报价合理性的，评标委员会应当将其作为无效投标处理。</w:t>
      </w:r>
    </w:p>
    <w:p w14:paraId="78475B4F">
      <w:pPr>
        <w:snapToGrid w:val="0"/>
        <w:spacing w:line="440" w:lineRule="atLeast"/>
        <w:ind w:firstLine="420" w:firstLineChars="200"/>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color w:val="000000"/>
          <w:szCs w:val="21"/>
          <w:highlight w:val="none"/>
          <w:lang w:val="en-US" w:eastAsia="zh-CN"/>
        </w:rPr>
        <w:t>1</w:t>
      </w:r>
      <w:r>
        <w:rPr>
          <w:rFonts w:hint="eastAsia" w:ascii="宋体" w:hAnsi="宋体"/>
          <w:color w:val="000000"/>
          <w:szCs w:val="21"/>
          <w:highlight w:val="none"/>
        </w:rPr>
        <w:t>.3评标委员会按修正后按投标报价由低到高顺序排序，确定中标候选人。</w:t>
      </w:r>
    </w:p>
    <w:p w14:paraId="7DE44CE9">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五</w:t>
      </w:r>
      <w:r>
        <w:rPr>
          <w:rFonts w:hint="eastAsia" w:ascii="宋体"/>
          <w:b/>
          <w:color w:val="auto"/>
          <w:sz w:val="24"/>
          <w:szCs w:val="24"/>
          <w:highlight w:val="none"/>
          <w:lang w:eastAsia="zh-CN"/>
        </w:rPr>
        <w:t>、</w:t>
      </w:r>
      <w:r>
        <w:rPr>
          <w:rFonts w:hint="eastAsia" w:ascii="宋体"/>
          <w:b/>
          <w:color w:val="auto"/>
          <w:sz w:val="24"/>
          <w:szCs w:val="24"/>
          <w:highlight w:val="none"/>
        </w:rPr>
        <w:t>推荐中标候选人</w:t>
      </w:r>
      <w:bookmarkEnd w:id="51"/>
      <w:bookmarkEnd w:id="52"/>
    </w:p>
    <w:p w14:paraId="489CA4E7">
      <w:pPr>
        <w:snapToGrid w:val="0"/>
        <w:spacing w:line="400" w:lineRule="exact"/>
        <w:ind w:firstLine="570"/>
        <w:jc w:val="left"/>
        <w:rPr>
          <w:rFonts w:hint="eastAsia" w:ascii="宋体"/>
          <w:color w:val="auto"/>
          <w:szCs w:val="21"/>
          <w:highlight w:val="none"/>
        </w:rPr>
      </w:pPr>
      <w:bookmarkStart w:id="53" w:name="_Toc267320058"/>
      <w:r>
        <w:rPr>
          <w:rFonts w:hint="eastAsia" w:ascii="宋体"/>
          <w:color w:val="auto"/>
          <w:szCs w:val="21"/>
          <w:highlight w:val="none"/>
        </w:rPr>
        <w:t>7.评标委员会对满足招标文件实质性要求的投标文件，最终按投标报价最低原则，推荐投标报价最低的为第一中标候选人，但投标报价低于其成本的除外。投标报价最低的投标人有两名或两名以上相同时，由</w:t>
      </w:r>
      <w:r>
        <w:rPr>
          <w:rFonts w:hint="eastAsia" w:ascii="宋体"/>
          <w:color w:val="auto"/>
          <w:szCs w:val="21"/>
          <w:highlight w:val="none"/>
          <w:lang w:val="en-US" w:eastAsia="zh-CN"/>
        </w:rPr>
        <w:t>采购</w:t>
      </w:r>
      <w:r>
        <w:rPr>
          <w:rFonts w:hint="eastAsia" w:ascii="宋体"/>
          <w:color w:val="auto"/>
          <w:szCs w:val="21"/>
          <w:highlight w:val="none"/>
        </w:rPr>
        <w:t>人现场采取随机摇号的方式确定中标候选人</w:t>
      </w:r>
      <w:r>
        <w:rPr>
          <w:rFonts w:hint="eastAsia" w:ascii="宋体"/>
          <w:color w:val="auto"/>
          <w:szCs w:val="21"/>
          <w:highlight w:val="none"/>
          <w:lang w:val="en-US" w:eastAsia="zh-CN"/>
        </w:rPr>
        <w:t>排序</w:t>
      </w:r>
      <w:r>
        <w:rPr>
          <w:rFonts w:hint="eastAsia" w:ascii="宋体"/>
          <w:color w:val="auto"/>
          <w:szCs w:val="21"/>
          <w:highlight w:val="none"/>
        </w:rPr>
        <w:t>。</w:t>
      </w:r>
    </w:p>
    <w:p w14:paraId="7A03C7BD">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宋体"/>
          <w:color w:val="auto"/>
          <w:szCs w:val="21"/>
          <w:highlight w:val="none"/>
          <w:lang w:val="en-US" w:eastAsia="zh-CN"/>
        </w:rPr>
      </w:pPr>
      <w:r>
        <w:rPr>
          <w:rFonts w:hint="eastAsia" w:ascii="黑体" w:eastAsia="黑体" w:cs="宋体"/>
          <w:b/>
          <w:color w:val="auto"/>
          <w:szCs w:val="21"/>
          <w:highlight w:val="none"/>
        </w:rPr>
        <w:t>8.</w:t>
      </w:r>
      <w:bookmarkEnd w:id="53"/>
      <w:r>
        <w:rPr>
          <w:rFonts w:hint="eastAsia" w:ascii="黑体" w:eastAsia="黑体" w:cs="宋体"/>
          <w:b/>
          <w:color w:val="auto"/>
          <w:szCs w:val="21"/>
          <w:highlight w:val="none"/>
        </w:rPr>
        <w:t>无效投标条款</w:t>
      </w:r>
      <w:r>
        <w:rPr>
          <w:rFonts w:hint="eastAsia" w:ascii="宋体"/>
          <w:color w:val="auto"/>
          <w:szCs w:val="21"/>
          <w:highlight w:val="none"/>
        </w:rPr>
        <w:t xml:space="preserve"> </w:t>
      </w:r>
      <w:r>
        <w:rPr>
          <w:rFonts w:hint="eastAsia" w:ascii="宋体"/>
          <w:color w:val="auto"/>
          <w:szCs w:val="21"/>
          <w:highlight w:val="none"/>
          <w:lang w:val="en-US" w:eastAsia="zh-CN"/>
        </w:rPr>
        <w:t xml:space="preserve"> </w:t>
      </w:r>
    </w:p>
    <w:p w14:paraId="06091946">
      <w:pPr>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8.</w:t>
      </w:r>
      <w:r>
        <w:rPr>
          <w:rFonts w:hint="eastAsia" w:ascii="宋体"/>
          <w:color w:val="auto"/>
          <w:szCs w:val="21"/>
          <w:highlight w:val="none"/>
          <w:lang w:val="en-US" w:eastAsia="zh-CN"/>
        </w:rPr>
        <w:t>1</w:t>
      </w:r>
      <w:r>
        <w:rPr>
          <w:rFonts w:hint="eastAsia" w:ascii="宋体" w:hAnsi="宋体" w:cs="宋体"/>
          <w:szCs w:val="21"/>
          <w:highlight w:val="none"/>
        </w:rPr>
        <w:t>投标申请人有下列情形之一的，其资格审查为不合格：</w:t>
      </w:r>
    </w:p>
    <w:p w14:paraId="266AD11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w:t>
      </w:r>
      <w:r>
        <w:rPr>
          <w:rFonts w:hint="eastAsia" w:ascii="宋体" w:hAnsi="宋体" w:cs="宋体"/>
          <w:szCs w:val="21"/>
          <w:highlight w:val="none"/>
        </w:rPr>
        <w:t>未上传电子标书或电子标书经审查不合格</w:t>
      </w:r>
      <w:r>
        <w:rPr>
          <w:rFonts w:hint="eastAsia" w:ascii="宋体"/>
          <w:color w:val="auto"/>
          <w:szCs w:val="21"/>
          <w:highlight w:val="none"/>
        </w:rPr>
        <w:t>；</w:t>
      </w:r>
    </w:p>
    <w:p w14:paraId="2B9C967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2</w:t>
      </w:r>
      <w:r>
        <w:rPr>
          <w:rFonts w:hint="eastAsia" w:ascii="宋体"/>
          <w:color w:val="auto"/>
          <w:szCs w:val="21"/>
          <w:highlight w:val="none"/>
        </w:rPr>
        <w:t>)投标人为本项目提供招标代理服务的；</w:t>
      </w:r>
    </w:p>
    <w:p w14:paraId="78F08884">
      <w:pPr>
        <w:snapToGrid w:val="0"/>
        <w:spacing w:line="400" w:lineRule="exact"/>
        <w:ind w:firstLine="420" w:firstLineChars="200"/>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3</w:t>
      </w:r>
      <w:r>
        <w:rPr>
          <w:rFonts w:hint="eastAsia" w:ascii="宋体"/>
          <w:color w:val="auto"/>
          <w:szCs w:val="21"/>
          <w:highlight w:val="none"/>
        </w:rPr>
        <w:t>)投标人与在本项目代理机构存在相互任职或工作的；</w:t>
      </w:r>
    </w:p>
    <w:p w14:paraId="3C766825">
      <w:pPr>
        <w:snapToGrid w:val="0"/>
        <w:spacing w:line="400" w:lineRule="exact"/>
        <w:ind w:firstLine="420" w:firstLineChars="200"/>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)投标人单位负责人为同一人或者存在控股、管理关系的不同单位的；</w:t>
      </w:r>
    </w:p>
    <w:p w14:paraId="79763A8A">
      <w:pPr>
        <w:snapToGrid w:val="0"/>
        <w:spacing w:line="400" w:lineRule="exact"/>
        <w:ind w:firstLine="420" w:firstLineChars="200"/>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)投标人基本资格条件和特定资格条件中有一项及以上不符合要求的；</w:t>
      </w:r>
    </w:p>
    <w:p w14:paraId="54E6103C">
      <w:pPr>
        <w:snapToGrid w:val="0"/>
        <w:spacing w:line="400" w:lineRule="exact"/>
        <w:ind w:firstLine="420" w:firstLineChars="200"/>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14:paraId="4D335B5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 </w:t>
      </w:r>
      <w:r>
        <w:rPr>
          <w:rFonts w:hint="eastAsia" w:ascii="宋体" w:hAnsi="宋体" w:cs="宋体"/>
          <w:szCs w:val="21"/>
          <w:highlight w:val="none"/>
        </w:rPr>
        <w:t>其他无效投标情况：</w:t>
      </w:r>
    </w:p>
    <w:p w14:paraId="42D833EE">
      <w:pPr>
        <w:spacing w:line="440" w:lineRule="exact"/>
        <w:ind w:firstLine="420" w:firstLineChars="200"/>
        <w:jc w:val="left"/>
        <w:rPr>
          <w:rFonts w:ascii="宋体" w:hAnsi="宋体" w:cs="宋体"/>
          <w:szCs w:val="21"/>
          <w:highlight w:val="none"/>
        </w:rPr>
      </w:pPr>
      <w:r>
        <w:rPr>
          <w:rFonts w:hint="eastAsia" w:ascii="宋体"/>
          <w:color w:val="auto"/>
          <w:szCs w:val="21"/>
          <w:highlight w:val="none"/>
        </w:rPr>
        <w:t>(1)</w:t>
      </w:r>
      <w:r>
        <w:rPr>
          <w:rFonts w:hint="eastAsia" w:ascii="宋体" w:hAnsi="宋体" w:cs="宋体"/>
          <w:szCs w:val="21"/>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D00278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szCs w:val="21"/>
          <w:highlight w:val="none"/>
        </w:rPr>
      </w:pPr>
      <w:r>
        <w:rPr>
          <w:rFonts w:hint="eastAsia" w:ascii="宋体"/>
          <w:color w:val="auto"/>
          <w:szCs w:val="21"/>
          <w:highlight w:val="none"/>
        </w:rPr>
        <w:t>(2)</w:t>
      </w:r>
      <w:r>
        <w:rPr>
          <w:rFonts w:hint="eastAsia" w:ascii="宋体" w:hAnsi="宋体" w:cs="宋体"/>
          <w:szCs w:val="21"/>
          <w:highlight w:val="none"/>
        </w:rPr>
        <w:t>调整或修正的价格经投标人书面确认后具有约束力。投标人不接修正价格的，其投标将被拒绝。</w:t>
      </w:r>
    </w:p>
    <w:p w14:paraId="755B19E0">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3</w:t>
      </w:r>
      <w:r>
        <w:rPr>
          <w:rFonts w:hint="eastAsia" w:ascii="宋体"/>
          <w:color w:val="auto"/>
          <w:szCs w:val="21"/>
          <w:highlight w:val="none"/>
        </w:rPr>
        <w:t>)</w:t>
      </w:r>
      <w:r>
        <w:rPr>
          <w:rFonts w:hint="eastAsia" w:ascii="宋体" w:hAnsi="宋体" w:cs="宋体"/>
          <w:szCs w:val="21"/>
          <w:highlight w:val="none"/>
        </w:rPr>
        <w:t>投标人有串通投标、弄虚作假、行贿等违法行为。</w:t>
      </w:r>
    </w:p>
    <w:p w14:paraId="71356784">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w:t>
      </w:r>
      <w:r>
        <w:rPr>
          <w:rFonts w:hint="eastAsia" w:ascii="宋体" w:hAnsi="宋体" w:cs="宋体"/>
          <w:szCs w:val="21"/>
          <w:highlight w:val="none"/>
        </w:rPr>
        <w:t>投标文件没有对招标文件的实质性要求和条件作出响应。</w:t>
      </w:r>
    </w:p>
    <w:p w14:paraId="583C2DB0">
      <w:pPr>
        <w:spacing w:line="440" w:lineRule="exact"/>
        <w:ind w:firstLine="420" w:firstLineChars="200"/>
        <w:jc w:val="left"/>
        <w:rPr>
          <w:rFonts w:hint="eastAsia" w:ascii="宋体" w:hAnsi="宋体" w:cs="宋体"/>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w:t>
      </w:r>
      <w:r>
        <w:rPr>
          <w:rFonts w:hint="eastAsia" w:ascii="宋体" w:hAnsi="宋体" w:cs="宋体"/>
          <w:szCs w:val="21"/>
          <w:highlight w:val="none"/>
        </w:rPr>
        <w:t>未按规定的格式填写导致实质性内容不全以及实质上不响应，或者关键字迹模糊、无法辨认</w:t>
      </w:r>
      <w:r>
        <w:rPr>
          <w:rFonts w:hint="eastAsia" w:ascii="宋体" w:hAnsi="宋体" w:cs="宋体"/>
          <w:szCs w:val="21"/>
          <w:highlight w:val="none"/>
          <w:lang w:eastAsia="zh-CN"/>
        </w:rPr>
        <w:t>。</w:t>
      </w:r>
    </w:p>
    <w:p w14:paraId="462CBA65">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hAnsi="宋体" w:cs="宋体"/>
          <w:szCs w:val="21"/>
          <w:highlight w:val="none"/>
        </w:rPr>
        <w:t>同一投标人提交两个以上不同的投标文件或者投标报价，但招标文件规定提交备选投标的除外。</w:t>
      </w:r>
    </w:p>
    <w:p w14:paraId="638AB8BF">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w:t>
      </w:r>
      <w:r>
        <w:rPr>
          <w:rFonts w:hint="eastAsia" w:ascii="宋体" w:hAnsi="宋体" w:cs="宋体"/>
          <w:szCs w:val="21"/>
          <w:highlight w:val="none"/>
        </w:rPr>
        <w:t>投标文件中存在</w:t>
      </w:r>
      <w:r>
        <w:rPr>
          <w:rFonts w:hint="eastAsia" w:ascii="宋体" w:hAnsi="宋体" w:cs="宋体"/>
          <w:szCs w:val="21"/>
          <w:highlight w:val="none"/>
          <w:lang w:val="en-US" w:eastAsia="zh-CN"/>
        </w:rPr>
        <w:t>采购</w:t>
      </w:r>
      <w:r>
        <w:rPr>
          <w:rFonts w:hint="eastAsia" w:ascii="宋体" w:hAnsi="宋体" w:cs="宋体"/>
          <w:szCs w:val="21"/>
          <w:highlight w:val="none"/>
        </w:rPr>
        <w:t>人不能接受的其他实质性条件。</w:t>
      </w:r>
    </w:p>
    <w:p w14:paraId="42D31CA6">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w:t>
      </w:r>
      <w:r>
        <w:rPr>
          <w:rFonts w:hint="eastAsia" w:ascii="宋体" w:hAnsi="宋体" w:cs="宋体"/>
          <w:szCs w:val="21"/>
          <w:highlight w:val="none"/>
        </w:rPr>
        <w:t>投标文件中填报的拟任项目负责人与资格审查通过的项目负责人前后不一致的。</w:t>
      </w:r>
    </w:p>
    <w:p w14:paraId="15D2C00C">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9</w:t>
      </w:r>
      <w:r>
        <w:rPr>
          <w:rFonts w:hint="eastAsia" w:ascii="宋体"/>
          <w:color w:val="auto"/>
          <w:szCs w:val="21"/>
          <w:highlight w:val="none"/>
        </w:rPr>
        <w:t>)</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15710AE5">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10</w:t>
      </w:r>
      <w:r>
        <w:rPr>
          <w:rFonts w:hint="eastAsia" w:ascii="宋体"/>
          <w:color w:val="auto"/>
          <w:szCs w:val="21"/>
          <w:highlight w:val="none"/>
        </w:rPr>
        <w:t>)</w:t>
      </w:r>
      <w:r>
        <w:rPr>
          <w:rFonts w:hint="eastAsia" w:ascii="宋体" w:hAnsi="宋体" w:cs="宋体"/>
          <w:szCs w:val="21"/>
          <w:highlight w:val="none"/>
        </w:rPr>
        <w:t>投标人单方面出现其他投标人材料。</w:t>
      </w:r>
    </w:p>
    <w:p w14:paraId="3FAF389E">
      <w:pPr>
        <w:spacing w:line="440" w:lineRule="exact"/>
        <w:ind w:firstLine="420" w:firstLineChars="200"/>
        <w:jc w:val="left"/>
        <w:rPr>
          <w:rFonts w:hint="eastAsia" w:ascii="宋体" w:hAnsi="宋体" w:cs="宋体"/>
          <w:szCs w:val="21"/>
          <w:highlight w:val="none"/>
        </w:rPr>
      </w:pPr>
      <w:r>
        <w:rPr>
          <w:rFonts w:hint="eastAsia" w:ascii="宋体"/>
          <w:color w:val="auto"/>
          <w:szCs w:val="21"/>
          <w:highlight w:val="none"/>
        </w:rPr>
        <w:t>(</w:t>
      </w:r>
      <w:r>
        <w:rPr>
          <w:rFonts w:hint="eastAsia" w:ascii="宋体"/>
          <w:color w:val="auto"/>
          <w:szCs w:val="21"/>
          <w:highlight w:val="none"/>
          <w:lang w:val="en-US" w:eastAsia="zh-CN"/>
        </w:rPr>
        <w:t>11</w:t>
      </w:r>
      <w:r>
        <w:rPr>
          <w:rFonts w:hint="eastAsia" w:ascii="宋体"/>
          <w:color w:val="auto"/>
          <w:szCs w:val="21"/>
          <w:highlight w:val="none"/>
        </w:rPr>
        <w:t>)</w:t>
      </w:r>
      <w:r>
        <w:rPr>
          <w:rFonts w:hint="eastAsia" w:ascii="宋体" w:hAnsi="宋体" w:cs="宋体"/>
          <w:szCs w:val="21"/>
          <w:highlight w:val="none"/>
        </w:rPr>
        <w:t>法律、法规规定的其他情形。</w:t>
      </w:r>
    </w:p>
    <w:p w14:paraId="3851199D">
      <w:pPr>
        <w:keepNext w:val="0"/>
        <w:keepLines w:val="0"/>
        <w:pageBreakBefore w:val="0"/>
        <w:widowControl w:val="0"/>
        <w:tabs>
          <w:tab w:val="left" w:pos="8820"/>
        </w:tabs>
        <w:kinsoku/>
        <w:wordWrap/>
        <w:overflowPunct/>
        <w:topLinePunct w:val="0"/>
        <w:autoSpaceDE/>
        <w:autoSpaceDN/>
        <w:bidi w:val="0"/>
        <w:adjustRightInd/>
        <w:snapToGrid w:val="0"/>
        <w:spacing w:line="420" w:lineRule="exact"/>
        <w:jc w:val="center"/>
        <w:textAlignment w:val="auto"/>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14:paraId="6837591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一、</w:t>
      </w:r>
      <w:r>
        <w:rPr>
          <w:rFonts w:hint="eastAsia" w:ascii="宋体" w:hAnsi="宋体" w:eastAsia="宋体" w:cs="宋体"/>
          <w:b/>
          <w:sz w:val="21"/>
          <w:szCs w:val="21"/>
          <w:highlight w:val="none"/>
          <w:lang w:val="en-US" w:eastAsia="zh-CN"/>
        </w:rPr>
        <w:t>项目概况</w:t>
      </w:r>
      <w:r>
        <w:rPr>
          <w:rFonts w:hint="eastAsia" w:ascii="宋体" w:hAnsi="宋体" w:eastAsia="宋体" w:cs="宋体"/>
          <w:b/>
          <w:sz w:val="21"/>
          <w:szCs w:val="21"/>
          <w:highlight w:val="none"/>
        </w:rPr>
        <w:t xml:space="preserve"> </w:t>
      </w:r>
    </w:p>
    <w:p w14:paraId="5C6A1679">
      <w:pPr>
        <w:spacing w:line="44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对滁州市电子政务外网实施商用密码应用安全性评估工作，本次评估范围包含市网络交换中心核心层、汇聚层相关网络安全设备以及县级节点设备，并出具密码应用安全性评估报告，协助编制密码应用整改提升方案。</w:t>
      </w:r>
    </w:p>
    <w:p w14:paraId="7049307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rPr>
        <w:t>二、</w:t>
      </w:r>
      <w:r>
        <w:rPr>
          <w:rFonts w:hint="eastAsia" w:ascii="宋体" w:hAnsi="宋体" w:eastAsia="宋体" w:cs="宋体"/>
          <w:b/>
          <w:sz w:val="21"/>
          <w:szCs w:val="21"/>
          <w:highlight w:val="none"/>
          <w:lang w:val="en-US" w:eastAsia="zh-CN"/>
        </w:rPr>
        <w:t>服务需求</w:t>
      </w:r>
    </w:p>
    <w:p w14:paraId="32B0DA28">
      <w:pPr>
        <w:widowControl w:val="0"/>
        <w:spacing w:line="440" w:lineRule="exact"/>
        <w:ind w:firstLine="420" w:firstLineChars="200"/>
        <w:jc w:val="left"/>
        <w:rPr>
          <w:rFonts w:hint="eastAsia"/>
          <w:highlight w:val="none"/>
          <w:lang w:val="en-US" w:eastAsia="zh-CN"/>
        </w:rPr>
      </w:pPr>
      <w:r>
        <w:rPr>
          <w:rFonts w:hint="eastAsia" w:ascii="宋体" w:hAnsi="宋体" w:eastAsia="宋体" w:cs="宋体"/>
          <w:sz w:val="21"/>
          <w:szCs w:val="21"/>
          <w:highlight w:val="none"/>
          <w:lang w:val="en-US" w:eastAsia="zh-CN"/>
        </w:rPr>
        <w:t>通过开展密码应用安全性评估，及时发现系统脆弱性，识别变化的风险，了解系统安全状况；根据被评估对象的实际情况、所属行业及系统使用的密码产品情况，选择并确定测评依据；在系统真实环境下进行测评，以评估密码保障是否安全有效，密码使用是否合规、正确、有效；通过测评深入查找密码应用的薄弱环节和安全隐患，发现系统存在的安全隐患和风险，提出可行性完善建议；分析面临的风险，为提升信息系统安全防护水平奠定基础。</w:t>
      </w:r>
    </w:p>
    <w:p w14:paraId="5EC72B55">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 基本要求</w:t>
      </w:r>
    </w:p>
    <w:p w14:paraId="25E8F3D9">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应严格根据相关国家标准、行业标准要求开展评估工作。依据《商用密码应用安全性评估管理办法（试行）》、《信息安全技术 信息系统密码应用基本要求》（GB/T39786-2021）、《信息安全技术 信息系统密码应用测评要求》（GB/T 43206-2023）、《商用密码应用安全性评估测评过程指南》（GM/T0116-2021）、《政务信息系统密码应用与安全性评估工作指南》等标准规范、指导性文件及管理要求，对照通过评审的密码应用方案，核查不适用指标的条件是否成立、替代性风险控制措施是否落实，从而确定适用和不适用的测评指标，然后从总体要求、物理和环境安全、网络和通信安全、设备和计算安全、应用和数据安全、密钥管理、安全管理等方面开展评估，根据被评估的电子政务外网系统当前的安全状况，从对被评估信息系统密码使用的合规性、正确性、有效性等方面进行检测和验证技术能力，通过测评发现系统存在的安全隐患和风险，给出评估结果并提出有针对性的整改建议。</w:t>
      </w:r>
    </w:p>
    <w:p w14:paraId="5F3AFE4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中标人应针对密码安全性评估范围和评估内容进行分析，制定完整的密码安全性评估方案，包括但不限于评估策略、评估方法、评估流程、评估环境等内容。</w:t>
      </w:r>
    </w:p>
    <w:p w14:paraId="53A704F7">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按评估计划时间安排，组织评估业务需求分析、编写评估方案计划，并组织按计划实施评估，根据评估结果，编写并提交评估报告，保证评估内容与评估方案一致。</w:t>
      </w:r>
    </w:p>
    <w:p w14:paraId="26CF3A0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中标人应根据采购人要求对范围内的全部建设内容组织初评，待整改完成后，中标人应再次组织复评。</w:t>
      </w:r>
    </w:p>
    <w:p w14:paraId="0A815274">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中标人应保证评估人员实际投入工作量不低于计划数，并确保高质量与高效率。</w:t>
      </w:r>
    </w:p>
    <w:p w14:paraId="738E243C">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在评估完成后，中标人需出具符合国家密码管理局要求的《密码应用安全性评估报告》，在报告中明确做出总结性的评估结论，</w:t>
      </w:r>
      <w:bookmarkStart w:id="54" w:name="OLE_LINK7"/>
      <w:r>
        <w:rPr>
          <w:rFonts w:hint="eastAsia" w:ascii="宋体" w:hAnsi="宋体" w:eastAsia="宋体" w:cs="宋体"/>
          <w:sz w:val="21"/>
          <w:szCs w:val="21"/>
          <w:highlight w:val="none"/>
          <w:lang w:val="en-US" w:eastAsia="zh-CN"/>
        </w:rPr>
        <w:t>协助编制密码应用整改提升方案。</w:t>
      </w:r>
      <w:bookmarkEnd w:id="54"/>
    </w:p>
    <w:p w14:paraId="6135F870">
      <w:pPr>
        <w:widowControl w:val="0"/>
        <w:spacing w:line="440" w:lineRule="exact"/>
        <w:ind w:left="420" w:leftChars="200" w:firstLine="0" w:firstLineChars="0"/>
        <w:jc w:val="left"/>
        <w:rPr>
          <w:rFonts w:hint="eastAsia" w:ascii="Calibri" w:hAnsi="Calibri" w:eastAsia="宋体" w:cs="Times New Roman"/>
          <w:sz w:val="21"/>
          <w:szCs w:val="24"/>
          <w:highlight w:val="none"/>
          <w:lang w:val="en-US" w:eastAsia="zh-CN"/>
        </w:rPr>
      </w:pPr>
      <w:bookmarkStart w:id="55" w:name="_Toc57139896"/>
      <w:r>
        <w:rPr>
          <w:rFonts w:hint="eastAsia" w:ascii="宋体" w:hAnsi="宋体" w:eastAsia="宋体" w:cs="宋体"/>
          <w:sz w:val="21"/>
          <w:szCs w:val="21"/>
          <w:highlight w:val="none"/>
          <w:lang w:val="en-US" w:eastAsia="zh-CN"/>
        </w:rPr>
        <w:t>2.2 技术要求与服务内容</w:t>
      </w:r>
      <w:bookmarkEnd w:id="55"/>
    </w:p>
    <w:p w14:paraId="4E249049">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2.2.1方案规划设计技术咨询</w:t>
      </w:r>
    </w:p>
    <w:p w14:paraId="544FE59C">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根据国家有关密码合规应用的要求以及被测系统的建设内容，协助编制本次密码应用安全性评估设计方案，并提供相关咨询服务，</w:t>
      </w:r>
      <w:r>
        <w:rPr>
          <w:rFonts w:hint="eastAsia" w:ascii="宋体" w:hAnsi="宋体" w:eastAsia="宋体" w:cs="宋体"/>
          <w:sz w:val="21"/>
          <w:szCs w:val="21"/>
          <w:highlight w:val="none"/>
          <w:lang w:val="en-US" w:eastAsia="zh-CN"/>
        </w:rPr>
        <w:t>包括但不限于测评前后对被测网络系统的整改建议、政策咨询、方案指导等。</w:t>
      </w:r>
    </w:p>
    <w:p w14:paraId="2D03B08C">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2.2.2开展密码应用安全性评估</w:t>
      </w:r>
    </w:p>
    <w:p w14:paraId="39BF24AD">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依据商用密码应用安全性评估标准规范和系统自身的安全需求分析，对被评估系统进行商用密码应用安全性评估，为重要网络和信息系统的密码安全提供科学评价，逐步规范网络运营者的密码使用和管理行为。</w:t>
      </w:r>
    </w:p>
    <w:p w14:paraId="400C76B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被评估对象的商用密码应用安全性评估服务内容如下:系统评估，及时发现系统脆弱性，识别变化的风险，了解系统安全状况。根据被评估对象的实际情况、所属行业及系统使用的</w:t>
      </w:r>
      <w:bookmarkStart w:id="207" w:name="_GoBack"/>
      <w:bookmarkEnd w:id="207"/>
      <w:r>
        <w:rPr>
          <w:rFonts w:hint="eastAsia" w:ascii="宋体" w:hAnsi="宋体" w:eastAsia="宋体" w:cs="宋体"/>
          <w:sz w:val="21"/>
          <w:szCs w:val="21"/>
          <w:highlight w:val="none"/>
          <w:lang w:val="en-US" w:eastAsia="zh-CN"/>
        </w:rPr>
        <w:t>密码产品情况，选择并确定测评依据。在系统真实环境下进行测评，以评估密码保障是否安全有效，密码使用是否合规、正确、有效。并通过测评发现系统存在的安全隐患和风险，提出可行性完善建议。</w:t>
      </w:r>
    </w:p>
    <w:p w14:paraId="7F13D8D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2.2.3密码技术应用测评</w:t>
      </w:r>
    </w:p>
    <w:p w14:paraId="2E8E096E">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主要包括但不限于：</w:t>
      </w:r>
    </w:p>
    <w:p w14:paraId="534A0486">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（1）物理和环境测评内容：身份鉴别、电子门禁记录数据的完整性、视频记录数据完整性、密码模块实现。</w:t>
      </w:r>
    </w:p>
    <w:p w14:paraId="6D129432">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（2）网络和通信测评内容：身份鉴别、内部网络安全接入(如有的话)、访问控制信息完整性、通信数据完整性、通信数据保密性、远程管理通道安全、密码模块实现。</w:t>
      </w:r>
    </w:p>
    <w:p w14:paraId="2012D996">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（3）设备和计算测评内容：身份鉴别、远程管理鉴别信息保密性、访问控制信息完整性、敏感标记完整性、重要程序或文件完整性、日志记录完整性、密码模块实现。</w:t>
      </w:r>
    </w:p>
    <w:p w14:paraId="418441DD">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（4）应用和数据测评内容：身份鉴别、访问控制信息和敏感标记完整性、数据传输保密性、数据存储保密性、数据传输完整性、数据存储完整性、日志记录完整性、重要应用程序的加载和卸载、抗抵赖。</w:t>
      </w:r>
    </w:p>
    <w:p w14:paraId="147B9DD7">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测评验证不同安全等级信息系统的商用密码应用是否达到具有相应安全等级的安全保护能力，是否满足相应安全等级的保护要求。</w:t>
      </w:r>
    </w:p>
    <w:p w14:paraId="5F887D2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2.2.4密钥管理测评</w:t>
      </w:r>
    </w:p>
    <w:p w14:paraId="41669DFC">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测网络系统密钥管理各环节，理清密钥流转的关系，对网络系统内的密钥(尤其是进出密码产品和密码模块的密钥)进行全生命周期的安全检查，包括密钥的生成、存储、分发、导入与导出、使用、备份与恢复、归档、销毁，确认所有密钥管理操作都是由符合GM/T 0005《随机性检测规范》和GM/T 0028《密码模块安全技术要求》规定的密码产品或密码模块实现，以及密钥管理和策略制定的全过程是否符合要求。</w:t>
      </w:r>
    </w:p>
    <w:p w14:paraId="6393E82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2.2.5安全管理测评</w:t>
      </w:r>
    </w:p>
    <w:p w14:paraId="615E53DC">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对制度、人员、实施和应急等四个方面安全管理的测评，并协助完善商用密码应用安全性管理制度，协助完善密码相关系统运维管理制度。</w:t>
      </w:r>
    </w:p>
    <w:p w14:paraId="2322AA5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2.2.6形成密码应用安全性评估相关报告</w:t>
      </w:r>
    </w:p>
    <w:p w14:paraId="0D83955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（1）密码应用安全评估报告</w:t>
      </w:r>
    </w:p>
    <w:p w14:paraId="06CE0177">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针对被评估的电子政务外网系统编制密码应用安全性评估报告，报告按照国家密码管理局要求包含的内容编制或参考模板编制。协助被评估单位认清风险，查找漏洞，找出差距，提出有针对性的加强完善密码安全管理和防护建议。</w:t>
      </w:r>
    </w:p>
    <w:p w14:paraId="239B4996">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（2）审核汇总形成密码应用安全性评估总结报告</w:t>
      </w:r>
    </w:p>
    <w:p w14:paraId="030B6B8B">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完成网络系统的密码应用性评估工作后，编制评估总结报告，对密评工作开展的情况，遇到的问题，密评结果数据、被评估单位上报的密码应用情况、梳理共性问题和个性问题，形成密码应用情况分析总结报告，提交纸质和电子版。</w:t>
      </w:r>
    </w:p>
    <w:p w14:paraId="38EE2309">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2.3评估原则</w:t>
      </w:r>
    </w:p>
    <w:p w14:paraId="1CF2794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规范性原则：中标人应严格依据相关国家标准GB/T39786《信息安全技术 信息系统密码应用基本要求》和合同约定开展规范的密评工作。</w:t>
      </w:r>
    </w:p>
    <w:p w14:paraId="1009B558">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专业性原则：中标人评估人员应具备专业的技术水平，能够进行高水平评估工作，从而充分保证评估的质量。</w:t>
      </w:r>
    </w:p>
    <w:p w14:paraId="517DF29E">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独立性原则：中标人应是独立的第三方，可以比较客观地开展工作，在利益和管理上不受外部的控制，使密评工作更为彻底。</w:t>
      </w:r>
    </w:p>
    <w:p w14:paraId="65928324">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最小影响原则：密评过程应提前对密码系统应用方案进行评估，对可能出现的问题进行分析和研判，要尽可能小地影响系统的正常运行，如可能造成较大影响，则应提前做出说明。</w:t>
      </w:r>
    </w:p>
    <w:p w14:paraId="51A4A729">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保密原则：中标人对在工作中获取的采购人业务信息、数据、文件、数字以及项目成果承担保密义务。未经对方同意，中标人不得对采购人的资料及文件擅自修改、复制、传播、向第三方转让，如发生泄密情况，中标人需承担一切由此引起的后果并承担赔偿责任。</w:t>
      </w:r>
    </w:p>
    <w:p w14:paraId="72A14757">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2.4项目实施要求</w:t>
      </w:r>
    </w:p>
    <w:p w14:paraId="75C56276">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（1）客观性和公正性要求</w:t>
      </w:r>
    </w:p>
    <w:p w14:paraId="106A9818">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在最小主观判断情形下，按照双方相互认可的方案，基于明确定义的测评方式和解释，实施评估活动。</w:t>
      </w:r>
    </w:p>
    <w:p w14:paraId="754194D2">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（2）保密要求</w:t>
      </w:r>
    </w:p>
    <w:p w14:paraId="3235E49E">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在测评过程中，需严格遵循保密原则，对服务过程中涉及到的任何用户信息未经允许不向其他任何第三方泄漏，以及不得利用这些信息损害采购人利益。</w:t>
      </w:r>
    </w:p>
    <w:p w14:paraId="2E2B4C33">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（3）最小影响要求</w:t>
      </w:r>
    </w:p>
    <w:p w14:paraId="7FE3B27E">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测评工作应该尽可能小地影响系统和网络的正常运行，不能对业务的正常运行产生明显的影响（包括系统性能明显下降、网络阻塞、服务中断等），如无法避免，则应预先做出说明并经采购人同意后实施，在项目实施过程中，需有可行性的风险规避处置措施。</w:t>
      </w:r>
    </w:p>
    <w:p w14:paraId="7898F1DB">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（4）规范性要求</w:t>
      </w:r>
    </w:p>
    <w:p w14:paraId="5B9B1DD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密码安全性评估服务的实施必须由专业的测评服务人员依照规范的操作流程进行，对操作过程和结果要有相应的记录，并提供完整的服务报告。</w:t>
      </w:r>
    </w:p>
    <w:p w14:paraId="16D34A1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（5）质量保障与项目管理要求</w:t>
      </w:r>
    </w:p>
    <w:p w14:paraId="7044920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在整个测评过程中，须特别重视项目质量管理。项目的实施将严格按照项目实施方案和流程进行，并由项目协调小组从中监督，控制项目的进度和质量。</w:t>
      </w:r>
    </w:p>
    <w:p w14:paraId="5219DC03">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（6）工作流程</w:t>
      </w:r>
    </w:p>
    <w:p w14:paraId="3063952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的技术文件中须清晰描述其如何安排项目的工作流程，包含但不限于以下环节：按国家密码管理局发布的（GM/T0116）《商用密码应用安全性评估测评过程指南（试行）》进行。包括密码应用方案评估、测评准备活动、方案编制活动、现场测评活动、分析和报告编制活动。</w:t>
      </w:r>
    </w:p>
    <w:p w14:paraId="6E0A599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2.5评测人员要求</w:t>
      </w:r>
    </w:p>
    <w:p w14:paraId="1B4F105D">
      <w:pPr>
        <w:widowControl w:val="0"/>
        <w:spacing w:line="440" w:lineRule="exact"/>
        <w:ind w:firstLine="420" w:firstLineChars="200"/>
        <w:jc w:val="left"/>
        <w:rPr>
          <w:rFonts w:hint="eastAsia" w:ascii="宋体" w:hAnsi="宋体" w:eastAsia="宋体" w:cs="宋体"/>
          <w:sz w:val="21"/>
          <w:szCs w:val="21"/>
          <w:highlight w:val="none"/>
          <w:lang w:val="en-US" w:eastAsia="zh-CN"/>
        </w:rPr>
      </w:pPr>
      <w:bookmarkStart w:id="56" w:name="_Toc57139897"/>
      <w:r>
        <w:rPr>
          <w:rFonts w:hint="eastAsia" w:ascii="宋体" w:hAnsi="宋体" w:eastAsia="宋体" w:cs="宋体"/>
          <w:sz w:val="21"/>
          <w:szCs w:val="21"/>
          <w:highlight w:val="none"/>
          <w:lang w:val="en-US" w:eastAsia="zh-CN"/>
        </w:rPr>
        <w:t>（1）项目实施团队必须具备有丰富经验的密评工程师，熟悉密评工作、具有扎实基础理论专业知识、具有知识产权意识、确保用户机密不被泄露。中标人应组织一个不少于3人的专业化团队来执行本项目。</w:t>
      </w:r>
    </w:p>
    <w:p w14:paraId="5E1E7BD8">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（2）中标人须指定一名项目经理，全程负责本次密评工作。项目经理需具有类似项目工作经验。</w:t>
      </w:r>
    </w:p>
    <w:p w14:paraId="1FEC919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（3）项目实施团队一经组建，未经采购人许可，不得轻易变更，并且团队任一成员在项目测评实施过程中到现场的响应时间不超过2小时。</w:t>
      </w:r>
    </w:p>
    <w:bookmarkEnd w:id="56"/>
    <w:p w14:paraId="1C13B760">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2.6项目服务期</w:t>
      </w:r>
    </w:p>
    <w:p w14:paraId="3A8A7635">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合同生效之日起至2026年12月31日，在服务期内完成所有评估工作</w:t>
      </w:r>
      <w:r>
        <w:rPr>
          <w:rFonts w:hint="eastAsia" w:ascii="宋体" w:hAnsi="宋体" w:eastAsia="宋体" w:cs="宋体"/>
          <w:sz w:val="21"/>
          <w:szCs w:val="21"/>
          <w:highlight w:val="none"/>
          <w:lang w:val="en-US" w:eastAsia="zh-CN"/>
        </w:rPr>
        <w:t>并通过验收</w:t>
      </w:r>
      <w:r>
        <w:rPr>
          <w:rFonts w:hint="eastAsia" w:ascii="宋体" w:hAnsi="宋体" w:eastAsia="宋体" w:cs="宋体"/>
          <w:sz w:val="21"/>
          <w:szCs w:val="21"/>
          <w:highlight w:val="none"/>
          <w:lang w:val="en-US" w:eastAsia="zh-CN"/>
        </w:rPr>
        <w:t>。</w:t>
      </w:r>
    </w:p>
    <w:p w14:paraId="6FD9E58B">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2.7报价要求</w:t>
      </w:r>
    </w:p>
    <w:p w14:paraId="79A7605F">
      <w:pPr>
        <w:spacing w:line="440" w:lineRule="exact"/>
        <w:ind w:firstLine="420" w:firstLineChars="200"/>
        <w:jc w:val="left"/>
        <w:rPr>
          <w:rFonts w:hint="eastAsia" w:ascii="宋体" w:hAnsi="宋体" w:cs="宋体"/>
          <w:szCs w:val="21"/>
          <w:highlight w:val="none"/>
          <w:lang w:val="en-US" w:eastAsia="zh-CN"/>
        </w:rPr>
      </w:pPr>
      <w:r>
        <w:rPr>
          <w:rFonts w:hint="eastAsia" w:ascii="宋体" w:hAnsi="宋体" w:eastAsia="宋体" w:cs="宋体"/>
          <w:sz w:val="21"/>
          <w:szCs w:val="21"/>
          <w:highlight w:val="none"/>
          <w:lang w:val="en-US" w:eastAsia="zh-CN"/>
        </w:rPr>
        <w:t>本项目为固定总价，投标报价包含履行合同所有内容的全部费用，包括密码应用安全性评估服务费、方案论证费、人工费、差旅费管理费、服务跟踪期内的维护费（软件升级费）、培训费、其他费用（如资料费，以及完成本项目所需要的其他费用）及所有价内价外税金及合理利润等，采购人后期不再增加任何费用，中标人需自行考虑各种风险，谨慎报价。</w:t>
      </w:r>
    </w:p>
    <w:p w14:paraId="088EAD72">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三、验收要求</w:t>
      </w:r>
    </w:p>
    <w:p w14:paraId="4F9B180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中标人按照服务需求，完成项目规定的工作内容，提供相关过程文档，最终出具商用密码应用安全性评估报告。</w:t>
      </w:r>
    </w:p>
    <w:p w14:paraId="1873A756">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四、其他要求</w:t>
      </w:r>
    </w:p>
    <w:p w14:paraId="650A214F">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4.1保密要求</w:t>
      </w:r>
    </w:p>
    <w:p w14:paraId="68B10158">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中标人及相关实施人员需分别与采购人签署保密协议。在执行服务过程中应严格按照保密协议相关要求执行。</w:t>
      </w:r>
    </w:p>
    <w:p w14:paraId="695686DD">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4.2廉政要求</w:t>
      </w:r>
    </w:p>
    <w:p w14:paraId="37CF78D8">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及其工作人员在项目招投标及实施过程中，应严格遵守国家关于廉政管理的法律法规规定，服从采购人对廉洁管理的各项要求，坚决杜绝各类行贿受贿等不廉洁行为，否则采购人有权要求更换相关人员，采购人将追究其违约责任。</w:t>
      </w:r>
    </w:p>
    <w:p w14:paraId="35BD4CFA">
      <w:pPr>
        <w:widowControl w:val="0"/>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4.3人员要求</w:t>
      </w:r>
    </w:p>
    <w:p w14:paraId="47B7A84F">
      <w:pPr>
        <w:widowControl w:val="0"/>
        <w:spacing w:line="440" w:lineRule="exact"/>
        <w:ind w:firstLine="420" w:firstLineChars="200"/>
        <w:jc w:val="left"/>
        <w:rPr>
          <w:rFonts w:hint="eastAsia" w:ascii="宋体" w:hAnsi="Calibri" w:eastAsia="宋体" w:cs="Times New Roman"/>
          <w:b/>
          <w:color w:val="auto"/>
          <w:sz w:val="30"/>
          <w:szCs w:val="30"/>
          <w:highlight w:val="none"/>
        </w:rPr>
      </w:pPr>
      <w:r>
        <w:rPr>
          <w:rFonts w:hint="eastAsia" w:ascii="宋体" w:hAnsi="宋体" w:eastAsia="宋体" w:cs="宋体"/>
          <w:sz w:val="21"/>
          <w:szCs w:val="21"/>
          <w:highlight w:val="none"/>
          <w:lang w:val="en-US" w:eastAsia="zh-CN"/>
        </w:rPr>
        <w:t>服务周期内中标人应提供不少于3名技术人员在采购人指定的地点提供测评服务。有关人员需遵守国家相关法律法规、行业有关管理规定及市数据资源管理局有关管理制度。</w:t>
      </w:r>
    </w:p>
    <w:p w14:paraId="409A3AE1">
      <w:pPr>
        <w:rPr>
          <w:rFonts w:hint="eastAsia" w:ascii="宋体"/>
          <w:b/>
          <w:color w:val="auto"/>
          <w:sz w:val="30"/>
          <w:szCs w:val="30"/>
          <w:highlight w:val="none"/>
        </w:rPr>
      </w:pPr>
    </w:p>
    <w:p w14:paraId="2C420129">
      <w:pPr>
        <w:rPr>
          <w:rFonts w:hint="eastAsia" w:ascii="宋体"/>
          <w:b/>
          <w:color w:val="auto"/>
          <w:sz w:val="30"/>
          <w:szCs w:val="30"/>
          <w:highlight w:val="none"/>
        </w:rPr>
      </w:pPr>
      <w:r>
        <w:rPr>
          <w:rFonts w:hint="eastAsia" w:ascii="宋体"/>
          <w:b/>
          <w:color w:val="auto"/>
          <w:sz w:val="30"/>
          <w:szCs w:val="30"/>
          <w:highlight w:val="none"/>
        </w:rPr>
        <w:br w:type="page"/>
      </w:r>
    </w:p>
    <w:p w14:paraId="5B883183">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p>
    <w:p w14:paraId="24E6052C">
      <w:pPr>
        <w:jc w:val="center"/>
        <w:rPr>
          <w:rFonts w:hint="eastAsia" w:ascii="宋体"/>
          <w:highlight w:val="none"/>
        </w:rPr>
      </w:pPr>
    </w:p>
    <w:p w14:paraId="0EA75657">
      <w:pPr>
        <w:spacing w:line="480" w:lineRule="auto"/>
        <w:jc w:val="both"/>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pPr>
    </w:p>
    <w:p w14:paraId="2D993AE0">
      <w:pPr>
        <w:spacing w:line="480" w:lineRule="auto"/>
        <w:jc w:val="center"/>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pPr>
    </w:p>
    <w:p w14:paraId="4A7DCF45">
      <w:pPr>
        <w:pStyle w:val="9"/>
        <w:rPr>
          <w:rFonts w:hint="eastAsia"/>
          <w:highlight w:val="none"/>
        </w:rPr>
      </w:pPr>
    </w:p>
    <w:p w14:paraId="7E96D3EA">
      <w:pPr>
        <w:spacing w:line="480" w:lineRule="auto"/>
        <w:jc w:val="center"/>
        <w:outlineLvl w:val="1"/>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pPr>
      <w:bookmarkStart w:id="57" w:name="_Toc3714"/>
      <w:r>
        <w:rPr>
          <w:rFonts w:cs="Times New Roman" w:asciiTheme="minorEastAsia" w:hAnsiTheme="minorEastAsia" w:eastAsiaTheme="minorEastAsia"/>
          <w:b/>
          <w:color w:val="000000" w:themeColor="text1"/>
          <w:sz w:val="28"/>
          <w:szCs w:val="28"/>
          <w:highlight w:val="none"/>
          <w14:textFill>
            <w14:solidFill>
              <w14:schemeClr w14:val="tx1"/>
            </w14:solidFill>
          </w14:textFill>
        </w:rPr>
        <w:t>政府采购合同</w:t>
      </w:r>
      <w:r>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t>参考范本</w:t>
      </w:r>
      <w:bookmarkEnd w:id="57"/>
    </w:p>
    <w:p w14:paraId="7E3DC69C">
      <w:pPr>
        <w:spacing w:line="480" w:lineRule="auto"/>
        <w:jc w:val="center"/>
        <w:outlineLvl w:val="1"/>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pPr>
      <w:bookmarkStart w:id="58" w:name="_Toc8560"/>
      <w:r>
        <w:rPr>
          <w:rFonts w:hint="eastAsia" w:cs="Times New Roman" w:asciiTheme="minorEastAsia" w:hAnsiTheme="minorEastAsia" w:eastAsiaTheme="minorEastAsia"/>
          <w:b/>
          <w:color w:val="000000" w:themeColor="text1"/>
          <w:sz w:val="28"/>
          <w:szCs w:val="28"/>
          <w:highlight w:val="none"/>
          <w14:textFill>
            <w14:solidFill>
              <w14:schemeClr w14:val="tx1"/>
            </w14:solidFill>
          </w14:textFill>
        </w:rPr>
        <w:t>（服务类）</w:t>
      </w:r>
      <w:bookmarkEnd w:id="58"/>
    </w:p>
    <w:p w14:paraId="65ED46B8">
      <w:pPr>
        <w:spacing w:line="480" w:lineRule="auto"/>
        <w:jc w:val="both"/>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p>
    <w:p w14:paraId="491C3F13">
      <w:pPr>
        <w:spacing w:line="480" w:lineRule="auto"/>
        <w:jc w:val="center"/>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p>
    <w:p w14:paraId="7B1D91E4">
      <w:pPr>
        <w:spacing w:line="360" w:lineRule="auto"/>
        <w:jc w:val="center"/>
        <w:outlineLvl w:val="1"/>
        <w:rPr>
          <w:rFonts w:hint="eastAsia" w:asciiTheme="minorEastAsia" w:hAnsiTheme="minorEastAsia" w:eastAsiaTheme="minorEastAsia"/>
          <w:b/>
          <w:color w:val="000000" w:themeColor="text1"/>
          <w:sz w:val="24"/>
          <w:highlight w:val="none"/>
          <w14:textFill>
            <w14:solidFill>
              <w14:schemeClr w14:val="tx1"/>
            </w14:solidFill>
          </w14:textFill>
        </w:rPr>
      </w:pPr>
      <w:bookmarkStart w:id="59" w:name="_Toc2449"/>
      <w:r>
        <w:rPr>
          <w:rFonts w:hint="eastAsia" w:asciiTheme="minorEastAsia" w:hAnsiTheme="minorEastAsia" w:eastAsiaTheme="minorEastAsia"/>
          <w:b/>
          <w:color w:val="000000" w:themeColor="text1"/>
          <w:sz w:val="24"/>
          <w:highlight w:val="none"/>
          <w14:textFill>
            <w14:solidFill>
              <w14:schemeClr w14:val="tx1"/>
            </w14:solidFill>
          </w14:textFill>
        </w:rPr>
        <w:t>第一部分 合同书</w:t>
      </w:r>
      <w:bookmarkEnd w:id="59"/>
    </w:p>
    <w:p w14:paraId="5671DEC4">
      <w:pPr>
        <w:spacing w:line="480" w:lineRule="auto"/>
        <w:jc w:val="center"/>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p>
    <w:p w14:paraId="59BD0854">
      <w:pPr>
        <w:pStyle w:val="2"/>
        <w:ind w:left="0" w:leftChars="0" w:firstLine="0" w:firstLineChars="0"/>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p>
    <w:p w14:paraId="5B0E2E3D">
      <w:pPr>
        <w:rPr>
          <w:rFonts w:hint="eastAsia"/>
          <w:highlight w:val="none"/>
        </w:rPr>
      </w:pPr>
    </w:p>
    <w:p w14:paraId="4E49A7A1">
      <w:pPr>
        <w:pStyle w:val="9"/>
        <w:rPr>
          <w:rFonts w:hint="eastAsia"/>
          <w:highlight w:val="none"/>
        </w:rPr>
      </w:pPr>
    </w:p>
    <w:p w14:paraId="18110D9D">
      <w:pPr>
        <w:spacing w:before="120" w:line="480" w:lineRule="auto"/>
        <w:ind w:left="960"/>
        <w:rPr>
          <w:rFonts w:hint="eastAsia" w:cs="Times New Roman" w:asciiTheme="minorEastAsia" w:hAnsiTheme="minorEastAsia" w:eastAsiaTheme="minorEastAsia"/>
          <w:color w:val="000000" w:themeColor="text1"/>
          <w:sz w:val="24"/>
          <w:szCs w:val="24"/>
          <w:highlight w:val="none"/>
          <w:u w:val="single"/>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项目名称：</w:t>
      </w:r>
      <w:r>
        <w:rPr>
          <w:rFonts w:hint="eastAsia" w:cs="Times New Roman" w:asciiTheme="minorEastAsia" w:hAnsiTheme="minorEastAsia"/>
          <w:color w:val="000000" w:themeColor="text1"/>
          <w:sz w:val="24"/>
          <w:szCs w:val="24"/>
          <w:highlight w:val="none"/>
          <w:u w:val="single"/>
          <w:lang w:eastAsia="zh-CN"/>
          <w14:textFill>
            <w14:solidFill>
              <w14:schemeClr w14:val="tx1"/>
            </w14:solidFill>
          </w14:textFill>
        </w:rPr>
        <w:t>滁州市电子政务外网密码应用安全性评估服务（2026年）项目</w:t>
      </w:r>
    </w:p>
    <w:p w14:paraId="62EC4BE0">
      <w:pPr>
        <w:spacing w:before="120" w:line="480" w:lineRule="auto"/>
        <w:ind w:left="960"/>
        <w:rPr>
          <w:rFonts w:hint="default"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项目编号：</w:t>
      </w:r>
      <w:r>
        <w:rPr>
          <w:rFonts w:hint="eastAsia" w:cs="Times New Roman" w:asciiTheme="minorEastAsia" w:hAnsiTheme="minorEastAsia"/>
          <w:color w:val="000000" w:themeColor="text1"/>
          <w:sz w:val="24"/>
          <w:szCs w:val="24"/>
          <w:highlight w:val="none"/>
          <w:u w:val="single"/>
          <w:lang w:val="en-US" w:eastAsia="zh-CN"/>
          <w14:textFill>
            <w14:solidFill>
              <w14:schemeClr w14:val="tx1"/>
            </w14:solidFill>
          </w14:textFill>
        </w:rPr>
        <w:t xml:space="preserve">                             </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 xml:space="preserve"> </w:t>
      </w:r>
    </w:p>
    <w:p w14:paraId="4576FC6B">
      <w:pPr>
        <w:spacing w:before="120" w:line="480" w:lineRule="auto"/>
        <w:ind w:left="960"/>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cs="Times New Roman" w:asciiTheme="minorEastAsia" w:hAnsiTheme="minorEastAsia" w:eastAsiaTheme="minorEastAsia"/>
          <w:color w:val="000000" w:themeColor="text1"/>
          <w:sz w:val="24"/>
          <w:szCs w:val="24"/>
          <w:highlight w:val="none"/>
          <w:u w:val="single"/>
          <w:lang w:eastAsia="zh-CN"/>
          <w14:textFill>
            <w14:solidFill>
              <w14:schemeClr w14:val="tx1"/>
            </w14:solidFill>
          </w14:textFill>
        </w:rPr>
        <w:t>滁州市数据资源管理局</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55AA0D83">
      <w:pPr>
        <w:spacing w:before="120" w:line="480" w:lineRule="auto"/>
        <w:ind w:left="960"/>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乙方（中标人）：</w:t>
      </w:r>
      <w:r>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108589B9">
      <w:pPr>
        <w:spacing w:before="120" w:line="480" w:lineRule="auto"/>
        <w:ind w:left="960"/>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签订地：</w:t>
      </w:r>
      <w:r>
        <w:rPr>
          <w:rFonts w:hint="eastAsia" w:cs="Times New Roman" w:asciiTheme="minorEastAsia" w:hAnsiTheme="minorEastAsia" w:eastAsiaTheme="minorEastAsia"/>
          <w:color w:val="000000" w:themeColor="text1"/>
          <w:sz w:val="24"/>
          <w:szCs w:val="24"/>
          <w:highlight w:val="none"/>
          <w:u w:val="single"/>
          <w:lang w:eastAsia="zh-CN"/>
          <w14:textFill>
            <w14:solidFill>
              <w14:schemeClr w14:val="tx1"/>
            </w14:solidFill>
          </w14:textFill>
        </w:rPr>
        <w:t>滁州市数据资源管理局</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3F46B590">
      <w:pPr>
        <w:spacing w:before="120" w:line="480" w:lineRule="auto"/>
        <w:ind w:firstLine="960" w:firstLineChars="400"/>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签订日期：</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年</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月</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日</w:t>
      </w:r>
    </w:p>
    <w:p w14:paraId="4FF70E10">
      <w:pPr>
        <w:widowControl/>
        <w:jc w:val="left"/>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br w:type="page"/>
      </w:r>
    </w:p>
    <w:p w14:paraId="1ED9D07B">
      <w:pPr>
        <w:spacing w:line="440" w:lineRule="exact"/>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滁州市数据资源管理局</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zh-CN"/>
          <w14:textFill>
            <w14:solidFill>
              <w14:schemeClr w14:val="tx1"/>
            </w14:solidFill>
          </w14:textFill>
        </w:rPr>
        <w:t>以下简称：甲方</w:t>
      </w:r>
      <w:r>
        <w:rPr>
          <w:rFonts w:hint="eastAsia" w:asciiTheme="minorEastAsia" w:hAnsiTheme="minorEastAsia" w:eastAsiaTheme="minorEastAsia"/>
          <w:color w:val="000000" w:themeColor="text1"/>
          <w:sz w:val="24"/>
          <w:highlight w:val="none"/>
          <w14:textFill>
            <w14:solidFill>
              <w14:schemeClr w14:val="tx1"/>
            </w14:solidFill>
          </w14:textFill>
        </w:rPr>
        <w:t xml:space="preserve">）通过 </w:t>
      </w:r>
      <w:r>
        <w:rPr>
          <w:rFonts w:hint="eastAsia" w:asciiTheme="minorEastAsia" w:hAnsiTheme="minorEastAsia"/>
          <w:color w:val="000000" w:themeColor="text1"/>
          <w:sz w:val="24"/>
          <w:highlight w:val="none"/>
          <w:u w:val="single"/>
          <w:lang w:eastAsia="zh-CN"/>
          <w14:textFill>
            <w14:solidFill>
              <w14:schemeClr w14:val="tx1"/>
            </w14:solidFill>
          </w14:textFill>
        </w:rPr>
        <w:t>滁州市城投工程咨询管理有限公司</w:t>
      </w:r>
      <w:r>
        <w:rPr>
          <w:rFonts w:hint="eastAsia" w:asciiTheme="minorEastAsia" w:hAnsiTheme="minorEastAsia" w:eastAsiaTheme="minorEastAsia"/>
          <w:color w:val="000000" w:themeColor="text1"/>
          <w:sz w:val="24"/>
          <w:highlight w:val="none"/>
          <w14:textFill>
            <w14:solidFill>
              <w14:schemeClr w14:val="tx1"/>
            </w14:solidFill>
          </w14:textFill>
        </w:rPr>
        <w:t>组织的</w:t>
      </w:r>
      <w:r>
        <w:rPr>
          <w:rFonts w:hint="eastAsia" w:asciiTheme="minorEastAsia" w:hAnsiTheme="minorEastAsia" w:eastAsiaTheme="minorEastAsia"/>
          <w:color w:val="000000" w:themeColor="text1"/>
          <w:sz w:val="24"/>
          <w:highlight w:val="none"/>
          <w:u w:val="single"/>
          <w14:textFill>
            <w14:solidFill>
              <w14:schemeClr w14:val="tx1"/>
            </w14:solidFill>
          </w14:textFill>
        </w:rPr>
        <w:t>公开招标</w:t>
      </w:r>
      <w:r>
        <w:rPr>
          <w:rFonts w:hint="eastAsia" w:asciiTheme="minorEastAsia" w:hAnsiTheme="minorEastAsia" w:eastAsiaTheme="minorEastAsia"/>
          <w:color w:val="000000" w:themeColor="text1"/>
          <w:sz w:val="24"/>
          <w:highlight w:val="none"/>
          <w14:textFill>
            <w14:solidFill>
              <w14:schemeClr w14:val="tx1"/>
            </w14:solidFill>
          </w14:textFill>
        </w:rPr>
        <w:t>方式采购活动，经评定，</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zh-CN"/>
          <w14:textFill>
            <w14:solidFill>
              <w14:schemeClr w14:val="tx1"/>
            </w14:solidFill>
          </w14:textFill>
        </w:rPr>
        <w:t>以下简称：乙方</w:t>
      </w:r>
      <w:r>
        <w:rPr>
          <w:rFonts w:hint="eastAsia" w:asciiTheme="minorEastAsia" w:hAnsiTheme="minorEastAsia" w:eastAsiaTheme="minorEastAsia"/>
          <w:color w:val="000000" w:themeColor="text1"/>
          <w:sz w:val="24"/>
          <w:highlight w:val="none"/>
          <w14:textFill>
            <w14:solidFill>
              <w14:schemeClr w14:val="tx1"/>
            </w14:solidFill>
          </w14:textFill>
        </w:rPr>
        <w:t>）为本项目中标人，现按照采购文件确定的事项签订本合同。</w:t>
      </w:r>
    </w:p>
    <w:p w14:paraId="7EFA7A98">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14:paraId="6B7B346A">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60" w:name="_Toc24059"/>
      <w:bookmarkStart w:id="61" w:name="_Toc3029"/>
      <w:bookmarkStart w:id="62" w:name="_Toc2232"/>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合同组成部分</w:t>
      </w:r>
      <w:bookmarkEnd w:id="60"/>
      <w:bookmarkEnd w:id="61"/>
      <w:bookmarkEnd w:id="62"/>
    </w:p>
    <w:p w14:paraId="7C10E8F1">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14:paraId="710C0F68">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1.1.1本合同及其补充合同、变更协议；</w:t>
      </w:r>
    </w:p>
    <w:p w14:paraId="5C69C6DB">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1.1.2中标通知书；</w:t>
      </w:r>
    </w:p>
    <w:p w14:paraId="43D820B0">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1.1.3投标文件（含澄清或者说明文件）；</w:t>
      </w:r>
    </w:p>
    <w:p w14:paraId="5C000E1B">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1.1.4招标文件（含澄清或者修改文件）；</w:t>
      </w:r>
    </w:p>
    <w:p w14:paraId="60B43B18">
      <w:pPr>
        <w:spacing w:line="440" w:lineRule="exact"/>
        <w:ind w:firstLine="435"/>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1.1.5其他相关采购文件。</w:t>
      </w:r>
    </w:p>
    <w:p w14:paraId="430D4CAE">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63" w:name="_Toc6311"/>
      <w:bookmarkStart w:id="64" w:name="_Toc18585"/>
      <w:bookmarkStart w:id="65" w:name="_Toc22185"/>
      <w:bookmarkStart w:id="66" w:name="_Toc2918"/>
      <w:bookmarkStart w:id="67" w:name="_Toc677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1.2 </w:t>
      </w:r>
      <w:bookmarkEnd w:id="63"/>
      <w:bookmarkEnd w:id="64"/>
      <w:bookmarkEnd w:id="65"/>
      <w:bookmarkEnd w:id="66"/>
      <w:bookmarkEnd w:id="67"/>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服务</w:t>
      </w:r>
    </w:p>
    <w:p w14:paraId="7487BF37">
      <w:pPr>
        <w:spacing w:line="440" w:lineRule="exact"/>
        <w:ind w:firstLine="435"/>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1.2.1服务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名称：</w:t>
      </w:r>
      <w:r>
        <w:rPr>
          <w:rFonts w:hint="eastAsia" w:cs="Times New Roman" w:asciiTheme="minorEastAsia" w:hAnsiTheme="minorEastAsia"/>
          <w:color w:val="000000" w:themeColor="text1"/>
          <w:sz w:val="24"/>
          <w:szCs w:val="24"/>
          <w:highlight w:val="none"/>
          <w:u w:val="single"/>
          <w:lang w:eastAsia="zh-CN"/>
          <w14:textFill>
            <w14:solidFill>
              <w14:schemeClr w14:val="tx1"/>
            </w14:solidFill>
          </w14:textFill>
        </w:rPr>
        <w:t>滁州市电子政务外网密码应用安全性评估服务（2026年）项目</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21141D8C">
      <w:pPr>
        <w:spacing w:line="440" w:lineRule="exact"/>
        <w:ind w:firstLine="435"/>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1.2.2服务内容</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highlight w:val="none"/>
          <w:u w:val="single"/>
        </w:rPr>
        <w:t>招标文件第</w:t>
      </w:r>
      <w:r>
        <w:rPr>
          <w:rFonts w:hint="eastAsia" w:ascii="宋体" w:hAnsi="宋体" w:eastAsia="宋体" w:cs="宋体"/>
          <w:sz w:val="24"/>
          <w:highlight w:val="none"/>
          <w:u w:val="single"/>
          <w:lang w:val="en-US" w:eastAsia="zh-CN"/>
        </w:rPr>
        <w:t>四</w:t>
      </w:r>
      <w:r>
        <w:rPr>
          <w:rFonts w:hint="eastAsia" w:ascii="宋体" w:hAnsi="宋体" w:eastAsia="宋体" w:cs="宋体"/>
          <w:sz w:val="24"/>
          <w:highlight w:val="none"/>
          <w:u w:val="single"/>
        </w:rPr>
        <w:t>章采购需求全部内容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0820E6C1">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1.2.3服务质量：</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满足招标文件要求及采购人</w:t>
      </w:r>
      <w:r>
        <w:rPr>
          <w:rFonts w:hint="eastAsia" w:ascii="宋体" w:hAnsi="宋体" w:eastAsia="宋体" w:cs="宋体"/>
          <w:color w:val="000000" w:themeColor="text1"/>
          <w:sz w:val="24"/>
          <w:szCs w:val="24"/>
          <w:highlight w:val="none"/>
          <w:u w:val="single"/>
          <w14:textFill>
            <w14:solidFill>
              <w14:schemeClr w14:val="tx1"/>
            </w14:solidFill>
          </w14:textFill>
        </w:rPr>
        <w:t>相关要求</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38217329">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68" w:name="_Toc23292"/>
      <w:bookmarkStart w:id="69" w:name="_Toc21631"/>
      <w:bookmarkStart w:id="70" w:name="_Toc21551"/>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3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价款</w:t>
      </w:r>
      <w:bookmarkEnd w:id="68"/>
      <w:bookmarkEnd w:id="69"/>
      <w:bookmarkEnd w:id="70"/>
    </w:p>
    <w:p w14:paraId="4F96FDB8">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本合同价为</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14:textFill>
            <w14:solidFill>
              <w14:schemeClr w14:val="tx1"/>
            </w14:solidFill>
          </w14:textFill>
        </w:rPr>
        <w:t>元</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（大写：人民币</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元）</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p>
    <w:p w14:paraId="2F8A3DBD">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71" w:name="_Toc10340"/>
      <w:bookmarkStart w:id="72" w:name="_Toc1814"/>
      <w:bookmarkStart w:id="73" w:name="_Toc22618"/>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4 付款方式和发票开具方式</w:t>
      </w:r>
      <w:bookmarkEnd w:id="71"/>
      <w:bookmarkEnd w:id="72"/>
      <w:bookmarkEnd w:id="73"/>
    </w:p>
    <w:p w14:paraId="5F35D6A8">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1.4.1</w:t>
      </w:r>
      <w:r>
        <w:rPr>
          <w:rFonts w:cs="Times New Roman" w:asciiTheme="minorEastAsia" w:hAnsiTheme="minorEastAsia" w:eastAsiaTheme="minorEastAsia"/>
          <w:color w:val="000000" w:themeColor="text1"/>
          <w:sz w:val="24"/>
          <w:szCs w:val="24"/>
          <w:highlight w:val="none"/>
          <w14:textFill>
            <w14:solidFill>
              <w14:schemeClr w14:val="tx1"/>
            </w14:solidFill>
          </w14:textFill>
        </w:rPr>
        <w:t>付款方式：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乙方完成商用密码应用安全性评估并出具报告后30天内，甲方一次性支付全部合同价款</w:t>
      </w:r>
      <w:r>
        <w:rPr>
          <w:rFonts w:hint="eastAsia" w:ascii="宋体" w:hAnsi="宋体" w:eastAsia="宋体" w:cs="宋体"/>
          <w:color w:val="000000" w:themeColor="text1"/>
          <w:sz w:val="24"/>
          <w:szCs w:val="24"/>
          <w:highlight w:val="none"/>
          <w:u w:val="single"/>
          <w14:textFill>
            <w14:solidFill>
              <w14:schemeClr w14:val="tx1"/>
            </w14:solidFill>
          </w14:textFill>
        </w:rPr>
        <w:t>；</w:t>
      </w:r>
    </w:p>
    <w:p w14:paraId="368737A7">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1.4.2发票开具方式：</w:t>
      </w:r>
      <w:r>
        <w:rPr>
          <w:rFonts w:hint="eastAsia" w:ascii="宋体" w:hAnsi="宋体" w:eastAsia="宋体" w:cs="宋体"/>
          <w:color w:val="000000" w:themeColor="text1"/>
          <w:sz w:val="24"/>
          <w:szCs w:val="24"/>
          <w:highlight w:val="none"/>
          <w:u w:val="single"/>
          <w14:textFill>
            <w14:solidFill>
              <w14:schemeClr w14:val="tx1"/>
            </w14:solidFill>
          </w14:textFill>
        </w:rPr>
        <w:t>开具符合要求的发票</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10DFF46A">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74" w:name="_Toc2846"/>
      <w:bookmarkStart w:id="75" w:name="_Toc32071"/>
      <w:bookmarkStart w:id="76" w:name="_Toc19304"/>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5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服务</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期限</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、地点和方式</w:t>
      </w:r>
      <w:bookmarkEnd w:id="74"/>
      <w:bookmarkEnd w:id="75"/>
      <w:bookmarkEnd w:id="76"/>
    </w:p>
    <w:p w14:paraId="23EFA877">
      <w:pPr>
        <w:spacing w:line="440" w:lineRule="exact"/>
        <w:ind w:firstLine="480" w:firstLineChars="200"/>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1.5.1服务期限</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color w:val="000000" w:themeColor="text1"/>
          <w:sz w:val="24"/>
          <w:szCs w:val="24"/>
          <w:highlight w:val="none"/>
          <w:u w:val="single"/>
          <w:lang w:val="en-US" w:eastAsia="zh-CN"/>
          <w14:textFill>
            <w14:solidFill>
              <w14:schemeClr w14:val="tx1"/>
            </w14:solidFill>
          </w14:textFill>
        </w:rPr>
        <w:t>合同生效之日起至2026年12月31日</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4626C39F">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1.5.2服务地点</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甲方指定地点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3400D73B">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1.5.3服务方式：</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甲方指定方式</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207007E2">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77" w:name="_Toc27250"/>
      <w:bookmarkStart w:id="78" w:name="_Toc19554"/>
      <w:bookmarkStart w:id="79" w:name="_Toc2142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1.6 违约责任</w:t>
      </w:r>
      <w:bookmarkEnd w:id="77"/>
      <w:bookmarkEnd w:id="78"/>
      <w:bookmarkEnd w:id="79"/>
    </w:p>
    <w:p w14:paraId="380FC025">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1.6.1除不可抗力外，如果乙方没有按照本合同约定的期限、地点和方式履行，那么甲方可要求乙方支付违约金，违约金按每迟延履行一日的应提供而未提供服务价格的0.1%计算，最高限额为本合同总价的10%；迟延履行的违约金计算数额达到前述最高限额之日起，甲方有权在要求乙方支付违约金的同时，书面通知乙方解除本合同；</w:t>
      </w:r>
    </w:p>
    <w:p w14:paraId="6119EE67">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1.6.2除不可抗力外，如果甲方没有按照本合同约定的付款方式付款，那么乙方可要求甲方支付违约金，违约金按每迟延付款一日的应付而未付款的0.1%计算，最高限额为本合同总价的10%；迟延付款的违约金计算数额达到前述最高限额之日起，乙方有权在要求甲方支付违约金的同时，书面通知甲方解除本合同；</w:t>
      </w:r>
    </w:p>
    <w:p w14:paraId="30B268E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BD854E4">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CAE800B">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98843E6">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1.6.6如果出现政府采购监督管理部门在处理投诉事项期间，书面通知甲方暂停采购活动的情形，或者询问或质疑事项可能影响中标结果的，导致甲方中止履行合同的情形，均不视为甲方违约。</w:t>
      </w:r>
    </w:p>
    <w:p w14:paraId="01B6B7FE">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cs="Times New Roman" w:asciiTheme="minorEastAsia" w:hAnsiTheme="minorEastAsia" w:eastAsiaTheme="minorEastAsia"/>
          <w:color w:val="000000" w:themeColor="text1"/>
          <w:sz w:val="24"/>
          <w:szCs w:val="24"/>
          <w:highlight w:val="none"/>
          <w14:textFill>
            <w14:solidFill>
              <w14:schemeClr w14:val="tx1"/>
            </w14:solidFill>
          </w14:textFill>
        </w:rPr>
        <w:t>导致乙方遭受的直接损失，乙方可向甲方申请赔偿，赔偿金额由双方协商一致；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针对因政策变化等原因不能签订合同或解除合同时，造成乙方合法利益受损的情形，可以给予乙方合理补偿，补偿金额不得超过乙方的直接损失。</w:t>
      </w:r>
    </w:p>
    <w:p w14:paraId="77A1F702">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0" w:name="_Toc15583"/>
      <w:bookmarkStart w:id="81" w:name="_Toc28375"/>
      <w:bookmarkStart w:id="82" w:name="_Toc16021"/>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1.7</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争议的解决</w:t>
      </w:r>
      <w:bookmarkEnd w:id="80"/>
      <w:bookmarkEnd w:id="81"/>
      <w:bookmarkEnd w:id="82"/>
    </w:p>
    <w:p w14:paraId="6425436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本合</w:t>
      </w:r>
      <w:r>
        <w:rPr>
          <w:rFonts w:cs="Times New Roman" w:asciiTheme="minorEastAsia" w:hAnsiTheme="minorEastAsia" w:eastAsiaTheme="minorEastAsia"/>
          <w:color w:val="000000" w:themeColor="text1"/>
          <w:sz w:val="24"/>
          <w:szCs w:val="24"/>
          <w:highlight w:val="none"/>
          <w14:textFill>
            <w14:solidFill>
              <w14:schemeClr w14:val="tx1"/>
            </w14:solidFill>
          </w14:textFill>
        </w:rPr>
        <w:t>同履行过程中发生的任何争议，双方当事人均可</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通过和解或者调解解决；不愿和解、调解或者和解、调解不成的，可以选择下列第</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种方式解决：</w:t>
      </w:r>
    </w:p>
    <w:p w14:paraId="292E7459">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（1）将争议提交</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滁州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仲裁委员会依申请仲裁时其现行有效的仲裁规则裁决；</w:t>
      </w:r>
    </w:p>
    <w:p w14:paraId="4DDFDBC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（2）向</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甲方（采购人）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人民法院起诉。</w:t>
      </w:r>
    </w:p>
    <w:p w14:paraId="2A3DD813">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3" w:name="_Toc11173"/>
      <w:bookmarkStart w:id="84" w:name="_Toc15322"/>
      <w:bookmarkStart w:id="85" w:name="_Toc7245"/>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1.8</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合同生效</w:t>
      </w:r>
      <w:bookmarkEnd w:id="83"/>
      <w:bookmarkEnd w:id="84"/>
      <w:bookmarkEnd w:id="85"/>
    </w:p>
    <w:p w14:paraId="67D2FE6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本合同自</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双方当事人盖章时</w:t>
      </w:r>
      <w:r>
        <w:rPr>
          <w:rFonts w:cs="Times New Roman" w:asciiTheme="minorEastAsia" w:hAnsiTheme="minorEastAsia" w:eastAsiaTheme="minorEastAsia"/>
          <w:color w:val="000000" w:themeColor="text1"/>
          <w:sz w:val="24"/>
          <w:szCs w:val="24"/>
          <w:highlight w:val="none"/>
          <w14:textFill>
            <w14:solidFill>
              <w14:schemeClr w14:val="tx1"/>
            </w14:solidFill>
          </w14:textFill>
        </w:rPr>
        <w:t>生效。</w:t>
      </w:r>
    </w:p>
    <w:p w14:paraId="22E25675">
      <w:pPr>
        <w:autoSpaceDE w:val="0"/>
        <w:autoSpaceDN w:val="0"/>
        <w:adjustRightInd w:val="0"/>
        <w:spacing w:line="440" w:lineRule="exact"/>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p>
    <w:p w14:paraId="5DC5181B">
      <w:pPr>
        <w:autoSpaceDE w:val="0"/>
        <w:autoSpaceDN w:val="0"/>
        <w:adjustRightInd w:val="0"/>
        <w:spacing w:line="440" w:lineRule="exact"/>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p>
    <w:p w14:paraId="1FF7C227">
      <w:pPr>
        <w:autoSpaceDE w:val="0"/>
        <w:autoSpaceDN w:val="0"/>
        <w:adjustRightInd w:val="0"/>
        <w:spacing w:line="440" w:lineRule="exact"/>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p>
    <w:p w14:paraId="34B6E272">
      <w:pPr>
        <w:autoSpaceDE w:val="0"/>
        <w:autoSpaceDN w:val="0"/>
        <w:adjustRightInd w:val="0"/>
        <w:spacing w:line="440" w:lineRule="exact"/>
        <w:rPr>
          <w:rFonts w:hint="eastAsia" w:cs="Times New Roman" w:asciiTheme="minorEastAsia" w:hAnsiTheme="minorEastAsia" w:eastAsiaTheme="minorEastAsia"/>
          <w:bCs/>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bCs/>
          <w:color w:val="000000" w:themeColor="text1"/>
          <w:sz w:val="24"/>
          <w:szCs w:val="24"/>
          <w:highlight w:val="none"/>
          <w:lang w:val="zh-CN"/>
          <w14:textFill>
            <w14:solidFill>
              <w14:schemeClr w14:val="tx1"/>
            </w14:solidFill>
          </w14:textFill>
        </w:rPr>
        <w:t xml:space="preserve">甲 </w:t>
      </w:r>
      <w:r>
        <w:rPr>
          <w:rFonts w:cs="Times New Roman" w:asciiTheme="minorEastAsia" w:hAnsiTheme="minorEastAsia" w:eastAsiaTheme="minorEastAsia"/>
          <w:bCs/>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lang w:val="zh-CN"/>
          <w14:textFill>
            <w14:solidFill>
              <w14:schemeClr w14:val="tx1"/>
            </w14:solidFill>
          </w14:textFill>
        </w:rPr>
        <w:t>方：</w:t>
      </w:r>
      <w:r>
        <w:rPr>
          <w:rFonts w:hint="eastAsia" w:cs="Times New Roman" w:asciiTheme="minorEastAsia" w:hAnsiTheme="minorEastAsia" w:eastAsiaTheme="minorEastAsia"/>
          <w:bCs/>
          <w:color w:val="000000" w:themeColor="text1"/>
          <w:sz w:val="24"/>
          <w:szCs w:val="24"/>
          <w:highlight w:val="none"/>
          <w:u w:val="single"/>
          <w:lang w:val="zh-CN"/>
          <w14:textFill>
            <w14:solidFill>
              <w14:schemeClr w14:val="tx1"/>
            </w14:solidFill>
          </w14:textFill>
        </w:rPr>
        <w:t xml:space="preserve">    （单位盖章）     </w:t>
      </w:r>
      <w:r>
        <w:rPr>
          <w:rFonts w:hint="eastAsia" w:cs="Times New Roman" w:asciiTheme="minorEastAsia" w:hAnsiTheme="minorEastAsia" w:eastAsiaTheme="minorEastAsia"/>
          <w:bCs/>
          <w:color w:val="000000" w:themeColor="text1"/>
          <w:sz w:val="24"/>
          <w:szCs w:val="24"/>
          <w:highlight w:val="none"/>
          <w:lang w:val="zh-CN"/>
          <w14:textFill>
            <w14:solidFill>
              <w14:schemeClr w14:val="tx1"/>
            </w14:solidFill>
          </w14:textFill>
        </w:rPr>
        <w:t xml:space="preserve">          乙方：</w:t>
      </w:r>
      <w:r>
        <w:rPr>
          <w:rFonts w:hint="eastAsia" w:cs="Times New Roman" w:asciiTheme="minorEastAsia" w:hAnsiTheme="minorEastAsia" w:eastAsiaTheme="minorEastAsia"/>
          <w:bCs/>
          <w:color w:val="000000" w:themeColor="text1"/>
          <w:sz w:val="24"/>
          <w:szCs w:val="24"/>
          <w:highlight w:val="none"/>
          <w:u w:val="single"/>
          <w:lang w:val="zh-CN"/>
          <w14:textFill>
            <w14:solidFill>
              <w14:schemeClr w14:val="tx1"/>
            </w14:solidFill>
          </w14:textFill>
        </w:rPr>
        <w:t xml:space="preserve">    （单位盖章）     </w:t>
      </w:r>
    </w:p>
    <w:p w14:paraId="06F640DD">
      <w:pPr>
        <w:autoSpaceDE w:val="0"/>
        <w:autoSpaceDN w:val="0"/>
        <w:adjustRightInd w:val="0"/>
        <w:spacing w:line="440" w:lineRule="exact"/>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 xml:space="preserve">法定代表人                             </w:t>
      </w:r>
      <w:r>
        <w:rPr>
          <w:rFonts w:cs="Times New Roman" w:asciiTheme="minorEastAsia" w:hAnsiTheme="minorEastAsia" w:eastAsiaTheme="minorEastAsia"/>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法定代表人</w:t>
      </w:r>
    </w:p>
    <w:p w14:paraId="78E6CD57">
      <w:pPr>
        <w:autoSpaceDE w:val="0"/>
        <w:autoSpaceDN w:val="0"/>
        <w:adjustRightInd w:val="0"/>
        <w:spacing w:line="440" w:lineRule="exact"/>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或授权代表（签字）：                      或授权代表（签字）：</w:t>
      </w:r>
    </w:p>
    <w:p w14:paraId="18A47161">
      <w:pPr>
        <w:widowControl/>
        <w:spacing w:line="440" w:lineRule="exact"/>
        <w:jc w:val="left"/>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pPr>
      <w:bookmarkStart w:id="86" w:name="_Toc331685783"/>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时间：</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日               时间：</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highlight w:val="none"/>
          <w14:textFill>
            <w14:solidFill>
              <w14:schemeClr w14:val="tx1"/>
            </w14:solidFill>
          </w14:textFill>
        </w:rPr>
        <w:t>日</w:t>
      </w:r>
    </w:p>
    <w:p w14:paraId="76BBE36D">
      <w:pPr>
        <w:spacing w:line="44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 xml:space="preserve">                          </w:t>
      </w:r>
      <w:r>
        <w:rPr>
          <w:rFonts w:ascii="宋体" w:hAnsi="宋体" w:eastAsia="宋体"/>
          <w:color w:val="000000" w:themeColor="text1"/>
          <w:sz w:val="24"/>
          <w:szCs w:val="24"/>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 xml:space="preserve"> </w:t>
      </w:r>
      <w:bookmarkStart w:id="87" w:name="_Hlk110099149"/>
      <w:r>
        <w:rPr>
          <w:rFonts w:hint="eastAsia" w:ascii="宋体" w:hAnsi="宋体" w:eastAsia="宋体"/>
          <w:color w:val="000000" w:themeColor="text1"/>
          <w:sz w:val="24"/>
          <w:szCs w:val="24"/>
          <w:highlight w:val="none"/>
          <w14:textFill>
            <w14:solidFill>
              <w14:schemeClr w14:val="tx1"/>
            </w14:solidFill>
          </w14:textFill>
        </w:rPr>
        <w:t>乙方账户信息</w:t>
      </w:r>
    </w:p>
    <w:p w14:paraId="65EE1A45">
      <w:pPr>
        <w:spacing w:line="44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 xml:space="preserve">                          </w:t>
      </w:r>
      <w:r>
        <w:rPr>
          <w:rFonts w:ascii="宋体" w:hAnsi="宋体" w:eastAsia="宋体"/>
          <w:color w:val="000000" w:themeColor="text1"/>
          <w:sz w:val="24"/>
          <w:szCs w:val="24"/>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 xml:space="preserve"> 户名：</w:t>
      </w:r>
      <w:r>
        <w:rPr>
          <w:rFonts w:hint="eastAsia" w:ascii="宋体" w:hAnsi="宋体" w:eastAsia="宋体"/>
          <w:color w:val="000000" w:themeColor="text1"/>
          <w:sz w:val="24"/>
          <w:szCs w:val="24"/>
          <w:highlight w:val="none"/>
          <w:u w:val="single"/>
          <w14:textFill>
            <w14:solidFill>
              <w14:schemeClr w14:val="tx1"/>
            </w14:solidFill>
          </w14:textFill>
        </w:rPr>
        <w:t xml:space="preserve">            </w:t>
      </w:r>
    </w:p>
    <w:p w14:paraId="2E238D01">
      <w:pPr>
        <w:spacing w:line="44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 xml:space="preserve">                                         账号：</w:t>
      </w:r>
      <w:r>
        <w:rPr>
          <w:rFonts w:hint="eastAsia" w:ascii="宋体" w:hAnsi="宋体" w:eastAsia="宋体"/>
          <w:color w:val="000000" w:themeColor="text1"/>
          <w:sz w:val="24"/>
          <w:szCs w:val="24"/>
          <w:highlight w:val="none"/>
          <w:u w:val="single"/>
          <w14:textFill>
            <w14:solidFill>
              <w14:schemeClr w14:val="tx1"/>
            </w14:solidFill>
          </w14:textFill>
        </w:rPr>
        <w:t xml:space="preserve">            </w:t>
      </w:r>
    </w:p>
    <w:p w14:paraId="4DDD46D5">
      <w:pPr>
        <w:spacing w:line="44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 xml:space="preserve">                           </w:t>
      </w:r>
      <w:r>
        <w:rPr>
          <w:rFonts w:ascii="宋体" w:hAnsi="宋体" w:eastAsia="宋体"/>
          <w:color w:val="000000" w:themeColor="text1"/>
          <w:sz w:val="24"/>
          <w:szCs w:val="24"/>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开户银行：</w:t>
      </w:r>
      <w:r>
        <w:rPr>
          <w:rFonts w:hint="eastAsia" w:ascii="宋体" w:hAnsi="宋体" w:eastAsia="宋体"/>
          <w:color w:val="000000" w:themeColor="text1"/>
          <w:sz w:val="24"/>
          <w:szCs w:val="24"/>
          <w:highlight w:val="none"/>
          <w:u w:val="single"/>
          <w14:textFill>
            <w14:solidFill>
              <w14:schemeClr w14:val="tx1"/>
            </w14:solidFill>
          </w14:textFill>
        </w:rPr>
        <w:t xml:space="preserve">        </w:t>
      </w:r>
    </w:p>
    <w:bookmarkEnd w:id="87"/>
    <w:p w14:paraId="6AE2916E">
      <w:pPr>
        <w:widowControl/>
        <w:spacing w:line="440" w:lineRule="exact"/>
        <w:jc w:val="left"/>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r>
        <w:rPr>
          <w:rFonts w:cs="Times New Roman" w:asciiTheme="minorEastAsia" w:hAnsiTheme="minorEastAsia" w:eastAsiaTheme="minorEastAsia"/>
          <w:b/>
          <w:color w:val="000000" w:themeColor="text1"/>
          <w:sz w:val="24"/>
          <w:szCs w:val="24"/>
          <w:highlight w:val="none"/>
          <w14:textFill>
            <w14:solidFill>
              <w14:schemeClr w14:val="tx1"/>
            </w14:solidFill>
          </w14:textFill>
        </w:rPr>
        <w:br w:type="page"/>
      </w:r>
    </w:p>
    <w:p w14:paraId="56CEFACE">
      <w:pPr>
        <w:spacing w:line="440" w:lineRule="exact"/>
        <w:jc w:val="center"/>
        <w:outlineLvl w:val="1"/>
        <w:rPr>
          <w:rFonts w:hint="eastAsia" w:asciiTheme="minorEastAsia" w:hAnsiTheme="minorEastAsia" w:eastAsiaTheme="minorEastAsia"/>
          <w:b/>
          <w:color w:val="000000" w:themeColor="text1"/>
          <w:sz w:val="24"/>
          <w:highlight w:val="none"/>
          <w14:textFill>
            <w14:solidFill>
              <w14:schemeClr w14:val="tx1"/>
            </w14:solidFill>
          </w14:textFill>
        </w:rPr>
      </w:pPr>
      <w:bookmarkStart w:id="88" w:name="_Toc415"/>
      <w:r>
        <w:rPr>
          <w:rFonts w:hint="eastAsia" w:asciiTheme="minorEastAsia" w:hAnsiTheme="minorEastAsia" w:eastAsiaTheme="minorEastAsia"/>
          <w:b/>
          <w:color w:val="000000" w:themeColor="text1"/>
          <w:sz w:val="24"/>
          <w:highlight w:val="none"/>
          <w14:textFill>
            <w14:solidFill>
              <w14:schemeClr w14:val="tx1"/>
            </w14:solidFill>
          </w14:textFill>
        </w:rPr>
        <w:t>第二部分</w:t>
      </w:r>
      <w:r>
        <w:rPr>
          <w:rFonts w:asciiTheme="minorEastAsia" w:hAnsiTheme="minorEastAsia" w:eastAsiaTheme="minorEastAsia"/>
          <w:b/>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4"/>
          <w:highlight w:val="none"/>
          <w14:textFill>
            <w14:solidFill>
              <w14:schemeClr w14:val="tx1"/>
            </w14:solidFill>
          </w14:textFill>
        </w:rPr>
        <w:t>合同一般条款</w:t>
      </w:r>
      <w:bookmarkEnd w:id="86"/>
      <w:bookmarkEnd w:id="88"/>
    </w:p>
    <w:p w14:paraId="06DFECB7">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9" w:name="_Toc487900349"/>
      <w:bookmarkStart w:id="90" w:name="_Ref467379225"/>
      <w:bookmarkStart w:id="91" w:name="_Ref467379195"/>
      <w:bookmarkStart w:id="92" w:name="_Toc259093669"/>
      <w:bookmarkStart w:id="93" w:name="_Ref467378404"/>
      <w:bookmarkStart w:id="94" w:name="_Toc16917"/>
      <w:bookmarkStart w:id="95" w:name="_Toc19614"/>
      <w:bookmarkStart w:id="96" w:name="_Toc28763"/>
      <w:bookmarkStart w:id="97" w:name="_Ref467379094"/>
      <w:bookmarkStart w:id="98" w:name="_Ref467378499"/>
      <w:bookmarkStart w:id="99" w:name="_Ref467379205"/>
      <w:bookmarkStart w:id="100" w:name="_Ref467379101"/>
      <w:bookmarkStart w:id="101" w:name="_Ref467379109"/>
      <w:bookmarkStart w:id="102" w:name="_Toc279701240"/>
      <w:bookmarkStart w:id="103" w:name="_Ref467379214"/>
      <w:bookmarkStart w:id="104" w:name="_Ref46737846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定义</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8A72D7B">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本合同中的下列</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词</w:t>
      </w:r>
      <w:r>
        <w:rPr>
          <w:rFonts w:cs="Times New Roman" w:asciiTheme="minorEastAsia" w:hAnsiTheme="minorEastAsia" w:eastAsiaTheme="minorEastAsia"/>
          <w:color w:val="000000" w:themeColor="text1"/>
          <w:sz w:val="24"/>
          <w:szCs w:val="24"/>
          <w:highlight w:val="none"/>
          <w14:textFill>
            <w14:solidFill>
              <w14:schemeClr w14:val="tx1"/>
            </w14:solidFill>
          </w14:textFill>
        </w:rPr>
        <w:t>语应</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按以下内容进行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解释：</w:t>
      </w:r>
    </w:p>
    <w:p w14:paraId="21408EBF">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cs="Times New Roman" w:asciiTheme="minorEastAsia" w:hAnsiTheme="minorEastAsia" w:eastAsiaTheme="minorEastAsia"/>
          <w:color w:val="000000" w:themeColor="text1"/>
          <w:sz w:val="24"/>
          <w:szCs w:val="24"/>
          <w:highlight w:val="none"/>
          <w14:textFill>
            <w14:solidFill>
              <w14:schemeClr w14:val="tx1"/>
            </w14:solidFill>
          </w14:textFill>
        </w:rPr>
        <w:t>“合同”系指采购人和中标人签订的载明双方当事人所达成的协议，并包括所有的附件、附录和构成合同的其他文件。</w:t>
      </w:r>
    </w:p>
    <w:p w14:paraId="4D21D47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1.2“合同价”系指根据合同约定，中标人在完全履行合同义务后</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采购人应支付给中标人的价格。</w:t>
      </w:r>
    </w:p>
    <w:p w14:paraId="282A49DD">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”系指</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中标人</w:t>
      </w:r>
      <w:r>
        <w:rPr>
          <w:rFonts w:cs="Times New Roman" w:asciiTheme="minorEastAsia" w:hAnsiTheme="minorEastAsia" w:eastAsiaTheme="minorEastAsia"/>
          <w:color w:val="000000" w:themeColor="text1"/>
          <w:sz w:val="24"/>
          <w:szCs w:val="24"/>
          <w:highlight w:val="none"/>
          <w14:textFill>
            <w14:solidFill>
              <w14:schemeClr w14:val="tx1"/>
            </w14:solidFill>
          </w14:textFill>
        </w:rPr>
        <w:t>根据合同约定应向采购人</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除货物和工程以外的其他政府采购对象，包括采购人自身需要的服务和向社会公众提供的公共服务。</w:t>
      </w:r>
    </w:p>
    <w:p w14:paraId="1B612820">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bookmarkStart w:id="105" w:name="_Ref467378840"/>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4</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”系指与</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中标人</w:t>
      </w:r>
      <w:r>
        <w:rPr>
          <w:rFonts w:cs="Times New Roman" w:asciiTheme="minorEastAsia" w:hAnsiTheme="minorEastAsia" w:eastAsiaTheme="minorEastAsia"/>
          <w:color w:val="000000" w:themeColor="text1"/>
          <w:sz w:val="24"/>
          <w:szCs w:val="24"/>
          <w:highlight w:val="none"/>
          <w14:textFill>
            <w14:solidFill>
              <w14:schemeClr w14:val="tx1"/>
            </w14:solidFill>
          </w14:textFill>
        </w:rPr>
        <w:t>签署合同的采购人</w:t>
      </w:r>
      <w:bookmarkEnd w:id="105"/>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；采购人委托采购代理机构代表其与乙方签订合同的，采购人的授权委托书作为合同附件。</w:t>
      </w:r>
    </w:p>
    <w:p w14:paraId="6B6AA724">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bookmarkStart w:id="106" w:name="_Ref467379400"/>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5</w:t>
      </w:r>
      <w:r>
        <w:rPr>
          <w:rFonts w:cs="Times New Roman" w:asciiTheme="minorEastAsia" w:hAnsiTheme="minorEastAsia" w:eastAsiaTheme="minorEastAsia"/>
          <w:color w:val="000000" w:themeColor="text1"/>
          <w:sz w:val="24"/>
          <w:szCs w:val="24"/>
          <w:highlight w:val="none"/>
          <w14:textFill>
            <w14:solidFill>
              <w14:schemeClr w14:val="tx1"/>
            </w14:solidFill>
          </w14:textFill>
        </w:rPr>
        <w:t>“乙方”系指根据合同约定</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提供服务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的中标人</w:t>
      </w:r>
      <w:bookmarkEnd w:id="106"/>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EA6BDCF">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bookmarkStart w:id="107" w:name="_Ref467379436"/>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6</w:t>
      </w:r>
      <w:r>
        <w:rPr>
          <w:rFonts w:cs="Times New Roman" w:asciiTheme="minorEastAsia" w:hAnsiTheme="minorEastAsia" w:eastAsiaTheme="minorEastAsia"/>
          <w:color w:val="000000" w:themeColor="text1"/>
          <w:sz w:val="24"/>
          <w:szCs w:val="24"/>
          <w:highlight w:val="none"/>
          <w14:textFill>
            <w14:solidFill>
              <w14:schemeClr w14:val="tx1"/>
            </w14:solidFill>
          </w14:textFill>
        </w:rPr>
        <w:t>“现场”系指合同约定</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提供服务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的地点。</w:t>
      </w:r>
      <w:bookmarkEnd w:id="107"/>
    </w:p>
    <w:p w14:paraId="47686C4D">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08" w:name="_Toc279701241"/>
      <w:bookmarkStart w:id="109" w:name="_Toc32504"/>
      <w:bookmarkStart w:id="110" w:name="_Toc27635"/>
      <w:bookmarkStart w:id="111" w:name="_Toc13336"/>
      <w:bookmarkStart w:id="112" w:name="_Toc487900350"/>
      <w:bookmarkStart w:id="113" w:name="_Toc259093670"/>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 技术规范</w:t>
      </w:r>
      <w:bookmarkEnd w:id="108"/>
      <w:bookmarkEnd w:id="109"/>
      <w:bookmarkEnd w:id="110"/>
      <w:bookmarkEnd w:id="111"/>
      <w:bookmarkEnd w:id="112"/>
      <w:bookmarkEnd w:id="113"/>
    </w:p>
    <w:p w14:paraId="33169FD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如果采购文件中没有技术规范的相应说明，那么应以国家有关部门最新颁布的相应标准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和</w:t>
      </w:r>
      <w:r>
        <w:rPr>
          <w:rFonts w:cs="Times New Roman" w:asciiTheme="minorEastAsia" w:hAnsiTheme="minorEastAsia" w:eastAsiaTheme="minorEastAsia"/>
          <w:color w:val="000000" w:themeColor="text1"/>
          <w:sz w:val="24"/>
          <w:szCs w:val="24"/>
          <w:highlight w:val="none"/>
          <w14:textFill>
            <w14:solidFill>
              <w14:schemeClr w14:val="tx1"/>
            </w14:solidFill>
          </w14:textFill>
        </w:rPr>
        <w:t>规范为准。</w:t>
      </w:r>
    </w:p>
    <w:p w14:paraId="116D6C1D">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14" w:name="_Toc9829"/>
      <w:bookmarkStart w:id="115" w:name="_Toc31634"/>
      <w:bookmarkStart w:id="116" w:name="_Toc259093671"/>
      <w:bookmarkStart w:id="117" w:name="_Toc487900351"/>
      <w:bookmarkStart w:id="118" w:name="_Toc279701242"/>
      <w:bookmarkStart w:id="119" w:name="_Toc2785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3 知识产权</w:t>
      </w:r>
      <w:bookmarkEnd w:id="114"/>
      <w:bookmarkEnd w:id="115"/>
      <w:bookmarkEnd w:id="116"/>
      <w:bookmarkEnd w:id="117"/>
      <w:bookmarkEnd w:id="118"/>
      <w:bookmarkEnd w:id="119"/>
    </w:p>
    <w:p w14:paraId="2CAC8069">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2.3.1乙</w:t>
      </w:r>
      <w:r>
        <w:rPr>
          <w:rFonts w:cs="Times New Roman" w:asciiTheme="minorEastAsia" w:hAnsiTheme="minorEastAsia" w:eastAsiaTheme="minorEastAsia"/>
          <w:color w:val="000000" w:themeColor="text1"/>
          <w:sz w:val="24"/>
          <w:szCs w:val="24"/>
          <w:highlight w:val="none"/>
          <w14:textFill>
            <w14:solidFill>
              <w14:schemeClr w14:val="tx1"/>
            </w14:solidFill>
          </w14:textFill>
        </w:rPr>
        <w:t>方应保证</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其提供的服务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不受任何第三方提出的侵犯其著作权、商标权、专利权等知识产权方面的起诉</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如果任何第三方提出侵权</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指控</w:t>
      </w:r>
      <w:r>
        <w:rPr>
          <w:rFonts w:cs="Times New Roman" w:asciiTheme="minorEastAsia" w:hAnsiTheme="minorEastAsia" w:eastAsiaTheme="minorEastAsia"/>
          <w:color w:val="000000" w:themeColor="text1"/>
          <w:sz w:val="24"/>
          <w:szCs w:val="24"/>
          <w:highlight w:val="none"/>
          <w14:textFill>
            <w14:solidFill>
              <w14:schemeClr w14:val="tx1"/>
            </w14:solidFill>
          </w14:textFill>
        </w:rPr>
        <w:t>，那么乙方须与该第三方交涉并承担由此发生的一切责任、费用和赔偿</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0409F6FE">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20" w:name="_Ref467378591"/>
      <w:bookmarkStart w:id="121" w:name="_Ref467379527"/>
      <w:bookmarkStart w:id="122" w:name="_Ref467379536"/>
      <w:bookmarkStart w:id="123" w:name="_Toc279701245"/>
      <w:bookmarkStart w:id="124" w:name="_Toc487900354"/>
      <w:bookmarkStart w:id="125" w:name="_Toc259093674"/>
      <w:bookmarkStart w:id="126" w:name="_Ref467379542"/>
      <w:bookmarkStart w:id="127" w:name="_Ref467378541"/>
      <w:bookmarkStart w:id="128" w:name="_Toc30272"/>
      <w:bookmarkStart w:id="129" w:name="_Toc26182"/>
      <w:bookmarkStart w:id="130" w:name="_Toc19074"/>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bookmarkEnd w:id="120"/>
      <w:bookmarkEnd w:id="121"/>
      <w:bookmarkEnd w:id="122"/>
      <w:bookmarkEnd w:id="123"/>
      <w:bookmarkEnd w:id="124"/>
      <w:bookmarkEnd w:id="125"/>
      <w:bookmarkEnd w:id="126"/>
      <w:bookmarkEnd w:id="127"/>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4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履约检查和问题反馈</w:t>
      </w:r>
      <w:bookmarkEnd w:id="128"/>
      <w:bookmarkEnd w:id="129"/>
      <w:bookmarkEnd w:id="130"/>
    </w:p>
    <w:p w14:paraId="46F16F9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bookmarkStart w:id="131" w:name="_Toc186431854"/>
      <w:bookmarkStart w:id="132" w:name="_Toc279701247"/>
      <w:bookmarkStart w:id="133" w:name="_Ref467379793"/>
      <w:bookmarkStart w:id="134" w:name="_Toc487900357"/>
      <w:bookmarkStart w:id="135" w:name="_Toc259093676"/>
      <w:bookmarkStart w:id="136" w:name="_Ref467379807"/>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2.4</w:t>
      </w:r>
      <w:r>
        <w:rPr>
          <w:rFonts w:cs="Times New Roman" w:asciiTheme="minorEastAsia" w:hAnsiTheme="minorEastAsia" w:eastAsiaTheme="minorEastAsia"/>
          <w:color w:val="000000" w:themeColor="text1"/>
          <w:sz w:val="24"/>
          <w:szCs w:val="24"/>
          <w:highlight w:val="none"/>
          <w14:textFill>
            <w14:solidFill>
              <w14:schemeClr w14:val="tx1"/>
            </w14:solidFill>
          </w14:textFill>
        </w:rPr>
        <w:t>.1甲方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有权</w:t>
      </w:r>
      <w:r>
        <w:rPr>
          <w:rFonts w:cs="Times New Roman" w:asciiTheme="minorEastAsia" w:hAnsiTheme="minorEastAsia" w:eastAsiaTheme="minorEastAsia"/>
          <w:color w:val="000000" w:themeColor="text1"/>
          <w:sz w:val="24"/>
          <w:szCs w:val="24"/>
          <w:highlight w:val="none"/>
          <w14:textFill>
            <w14:solidFill>
              <w14:schemeClr w14:val="tx1"/>
            </w14:solidFill>
          </w14:textFill>
        </w:rPr>
        <w:t>在其认为必要时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14:paraId="2E7BB756">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4</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.2合同履行期间，甲方有权将履行过程中出现的问题反馈给乙方，双方当事人应以书面形式约定需要完善和改进的内容</w:t>
      </w:r>
      <w:bookmarkEnd w:id="131"/>
      <w:bookmarkStart w:id="137" w:name="_Toc186431855"/>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bookmarkEnd w:id="137"/>
    <w:p w14:paraId="57D5077D">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38" w:name="_Toc19219"/>
      <w:bookmarkStart w:id="139" w:name="_Toc28451"/>
      <w:bookmarkStart w:id="140" w:name="_Toc7836"/>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结算方式和付款条件</w:t>
      </w:r>
      <w:bookmarkEnd w:id="132"/>
      <w:bookmarkEnd w:id="133"/>
      <w:bookmarkEnd w:id="134"/>
      <w:bookmarkEnd w:id="135"/>
      <w:bookmarkEnd w:id="136"/>
      <w:bookmarkEnd w:id="138"/>
      <w:bookmarkEnd w:id="139"/>
      <w:bookmarkEnd w:id="140"/>
    </w:p>
    <w:p w14:paraId="403E0D3A">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详见</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p>
    <w:p w14:paraId="3BF322C5">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41" w:name="_Toc259093677"/>
      <w:bookmarkStart w:id="142" w:name="_Toc279701248"/>
      <w:bookmarkStart w:id="143" w:name="_Ref467379863"/>
      <w:bookmarkStart w:id="144" w:name="_Ref467379852"/>
      <w:bookmarkStart w:id="145" w:name="_Toc487900358"/>
      <w:bookmarkStart w:id="146" w:name="_Ref467379923"/>
      <w:bookmarkStart w:id="147" w:name="_Toc774"/>
      <w:bookmarkStart w:id="148" w:name="_Toc3225"/>
      <w:bookmarkStart w:id="149" w:name="_Toc16110"/>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技术资料</w:t>
      </w:r>
      <w:bookmarkEnd w:id="141"/>
      <w:bookmarkEnd w:id="142"/>
      <w:bookmarkEnd w:id="143"/>
      <w:bookmarkEnd w:id="144"/>
      <w:bookmarkEnd w:id="145"/>
      <w:bookmarkEnd w:id="146"/>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和保密义务</w:t>
      </w:r>
      <w:bookmarkEnd w:id="147"/>
      <w:bookmarkEnd w:id="148"/>
      <w:bookmarkEnd w:id="149"/>
    </w:p>
    <w:p w14:paraId="29823099">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6.1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乙方有权依据合同约定和项目需要，向甲方了解有关情况，调阅有关资料等，甲方应予积极配合；</w:t>
      </w:r>
    </w:p>
    <w:p w14:paraId="3FAE74A1">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6</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.2乙方有义务妥善保管和保护由甲方提供的前款信息和资料等；</w:t>
      </w:r>
    </w:p>
    <w:p w14:paraId="47E6FF93">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6.</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000000" w:themeColor="text1"/>
          <w:sz w:val="24"/>
          <w:szCs w:val="24"/>
          <w:highlight w:val="none"/>
          <w14:textFill>
            <w14:solidFill>
              <w14:schemeClr w14:val="tx1"/>
            </w14:solidFill>
          </w14:textFill>
        </w:rPr>
        <w:t>技术情报</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技术资料</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、商业秘密和商业信息等，并采取一切合理和必要措施和方式防止任何第三方接触到对方当事人的上述保密信息和资料。</w:t>
      </w:r>
    </w:p>
    <w:p w14:paraId="11FCC7CA">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50" w:name="_Toc7860"/>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2.7 质量保证</w:t>
      </w:r>
      <w:bookmarkEnd w:id="150"/>
    </w:p>
    <w:p w14:paraId="2BB9056E">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.1乙方应建立和完善履行合同的内部质量保证体系，并提供相关内部规章制度给甲方，以便甲方进行监督检查；</w:t>
      </w:r>
    </w:p>
    <w:p w14:paraId="1F6CFD79">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.2乙方应保证履行合同的人员数量和素质、软件和硬件设备的配置、场地、环境和设施等满足全面履行合同的要求，并应接受甲方的监督检查。</w:t>
      </w:r>
    </w:p>
    <w:p w14:paraId="2183EDF2">
      <w:pPr>
        <w:spacing w:line="440" w:lineRule="exact"/>
        <w:ind w:firstLine="437"/>
        <w:outlineLvl w:val="2"/>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bookmarkStart w:id="151" w:name="_Toc22267"/>
      <w:r>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t>2.8 延迟履行</w:t>
      </w:r>
      <w:bookmarkEnd w:id="151"/>
    </w:p>
    <w:p w14:paraId="279EBF50">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在合同履行过程中，如果乙方遇到不能按时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提供服务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的情况，应及时以书面形式将不能按时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提供服务</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的理由、预期延误时间通知甲方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w:t>
      </w:r>
      <w:r>
        <w:rPr>
          <w:rFonts w:cs="Times New Roman" w:asciiTheme="minorEastAsia" w:hAnsiTheme="minorEastAsia" w:eastAsiaTheme="minorEastAsia"/>
          <w:color w:val="000000" w:themeColor="text1"/>
          <w:sz w:val="24"/>
          <w:szCs w:val="24"/>
          <w:highlight w:val="none"/>
          <w14:textFill>
            <w14:solidFill>
              <w14:schemeClr w14:val="tx1"/>
            </w14:solidFill>
          </w14:textFill>
        </w:rPr>
        <w:t>方收到乙方通知后，认为其理由正当的，可以书面形式酌情同意乙方可以延长</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的具体时间。</w:t>
      </w:r>
    </w:p>
    <w:p w14:paraId="71A3330F">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52" w:name="_Toc7502"/>
      <w:bookmarkStart w:id="153" w:name="_Ref467378121"/>
      <w:bookmarkStart w:id="154" w:name="_Toc487900364"/>
      <w:bookmarkStart w:id="155" w:name="_Toc279701254"/>
      <w:bookmarkStart w:id="156" w:name="_Toc259093683"/>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2.9 合同变更</w:t>
      </w:r>
      <w:bookmarkEnd w:id="152"/>
    </w:p>
    <w:p w14:paraId="2189724A">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9</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.1双方当事人协商一致，可以签订书面补充合同的形式变更合同，但不得违背采购文件确定的事项；</w:t>
      </w:r>
    </w:p>
    <w:p w14:paraId="786D19A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9</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.2合同继续履行将损害国家利益和社会公共利益的，双方当事人应当以书面形式变更合同。有过错的一方应当承担赔偿责任，双方当事人都有过错的，各自承担相应的责任。</w:t>
      </w:r>
      <w:bookmarkStart w:id="157" w:name="_Toc279701259"/>
      <w:bookmarkStart w:id="158" w:name="_Toc487900369"/>
      <w:bookmarkStart w:id="159" w:name="_Toc259093688"/>
    </w:p>
    <w:p w14:paraId="23A45D33">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60" w:name="_Toc22955"/>
      <w:bookmarkStart w:id="161" w:name="_Toc10366"/>
      <w:bookmarkStart w:id="162" w:name="_Toc15237"/>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0</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合同转让</w:t>
      </w:r>
      <w:bookmarkEnd w:id="157"/>
      <w:bookmarkEnd w:id="158"/>
      <w:bookmarkEnd w:id="159"/>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和分包</w:t>
      </w:r>
      <w:bookmarkEnd w:id="160"/>
      <w:bookmarkEnd w:id="161"/>
      <w:bookmarkEnd w:id="162"/>
    </w:p>
    <w:p w14:paraId="66C6A48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合同的权利义务依法不</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得</w:t>
      </w:r>
      <w:r>
        <w:rPr>
          <w:rFonts w:cs="Times New Roman" w:asciiTheme="minorEastAsia" w:hAnsiTheme="minorEastAsia" w:eastAsiaTheme="minorEastAsia"/>
          <w:color w:val="000000" w:themeColor="text1"/>
          <w:sz w:val="24"/>
          <w:szCs w:val="24"/>
          <w:highlight w:val="none"/>
          <w14:textFill>
            <w14:solidFill>
              <w14:schemeClr w14:val="tx1"/>
            </w14:solidFill>
          </w14:textFill>
        </w:rPr>
        <w:t>转让</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但经甲方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同意，乙方可以依法采取分包方式履行合同，即：依法可以</w:t>
      </w:r>
      <w:r>
        <w:rPr>
          <w:rFonts w:cs="Times New Roman" w:asciiTheme="minorEastAsia" w:hAnsiTheme="minorEastAsia" w:eastAsiaTheme="minorEastAsia"/>
          <w:color w:val="000000" w:themeColor="text1"/>
          <w:sz w:val="24"/>
          <w:szCs w:val="24"/>
          <w:highlight w:val="none"/>
          <w14:textFill>
            <w14:solidFill>
              <w14:schemeClr w14:val="tx1"/>
            </w14:solidFill>
          </w14:textFill>
        </w:rPr>
        <w:t>将合同项下的部分非主体、非关键性工作分包给他人完成</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接受分包的人应当具备相应的资格条件，并不得再次分包</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且乙方应就分包项目向甲方负责</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与分包供应商就分包项目向甲方承担连带责任。</w:t>
      </w:r>
    </w:p>
    <w:p w14:paraId="784B6252">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63" w:name="_Toc13566"/>
      <w:bookmarkStart w:id="164" w:name="_Toc14066"/>
      <w:bookmarkStart w:id="165" w:name="_Toc16508"/>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 不可抗力</w:t>
      </w:r>
      <w:bookmarkEnd w:id="163"/>
      <w:bookmarkEnd w:id="164"/>
      <w:bookmarkEnd w:id="165"/>
    </w:p>
    <w:p w14:paraId="70414FF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2330EAFA">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.2因不可抗力致使不能实现合同目的的，当事人可以解除合同；</w:t>
      </w:r>
    </w:p>
    <w:p w14:paraId="4EB85422">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.3因</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不可抗力致使合同有变更必要的，双方当事人应在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约定时间内以书面形式变更合同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53B1B743">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4</w:t>
      </w:r>
      <w:r>
        <w:rPr>
          <w:rFonts w:cs="Times New Roman" w:asciiTheme="minorEastAsia" w:hAnsiTheme="minorEastAsia" w:eastAsiaTheme="minorEastAsia"/>
          <w:color w:val="000000" w:themeColor="text1"/>
          <w:sz w:val="24"/>
          <w:szCs w:val="24"/>
          <w:highlight w:val="none"/>
          <w14:textFill>
            <w14:solidFill>
              <w14:schemeClr w14:val="tx1"/>
            </w14:solidFill>
          </w14:textFill>
        </w:rPr>
        <w:t>受</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不可抗力</w:t>
      </w:r>
      <w:r>
        <w:rPr>
          <w:rFonts w:cs="Times New Roman" w:asciiTheme="minorEastAsia" w:hAnsiTheme="minorEastAsia" w:eastAsiaTheme="minorEastAsia"/>
          <w:color w:val="000000" w:themeColor="text1"/>
          <w:sz w:val="24"/>
          <w:szCs w:val="24"/>
          <w:highlight w:val="none"/>
          <w14:textFill>
            <w14:solidFill>
              <w14:schemeClr w14:val="tx1"/>
            </w14:solidFill>
          </w14:textFill>
        </w:rPr>
        <w:t>影响的一方在不可抗力发生后</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应在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约定时间内以书面形式通知</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对</w:t>
      </w:r>
      <w:r>
        <w:rPr>
          <w:rFonts w:cs="Times New Roman" w:asciiTheme="minorEastAsia" w:hAnsiTheme="minorEastAsia" w:eastAsiaTheme="minorEastAsia"/>
          <w:color w:val="000000" w:themeColor="text1"/>
          <w:sz w:val="24"/>
          <w:szCs w:val="24"/>
          <w:highlight w:val="none"/>
          <w14:textFill>
            <w14:solidFill>
              <w14:schemeClr w14:val="tx1"/>
            </w14:solidFill>
          </w14:textFill>
        </w:rPr>
        <w:t>方当事人，并在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约定时间内，将有关部门出具的证明文件送达</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对方当事人</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p>
    <w:p w14:paraId="737F2CAE">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66" w:name="_Toc279701255"/>
      <w:bookmarkStart w:id="167" w:name="_Toc689"/>
      <w:bookmarkStart w:id="168" w:name="_Toc30676"/>
      <w:bookmarkStart w:id="169" w:name="_Toc6969"/>
      <w:bookmarkStart w:id="170" w:name="_Toc259093684"/>
      <w:bookmarkStart w:id="171" w:name="_Toc487900365"/>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12</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税费</w:t>
      </w:r>
      <w:bookmarkEnd w:id="166"/>
      <w:bookmarkEnd w:id="167"/>
      <w:bookmarkEnd w:id="168"/>
      <w:bookmarkEnd w:id="169"/>
      <w:bookmarkEnd w:id="170"/>
      <w:bookmarkEnd w:id="171"/>
    </w:p>
    <w:p w14:paraId="4F59D8E0">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与合同有关的一切税费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均按照中华人民共和国法律的相关规定</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缴纳</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p>
    <w:p w14:paraId="428A8296">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72" w:name="_Toc8298"/>
      <w:bookmarkStart w:id="173" w:name="_Toc7102"/>
      <w:bookmarkStart w:id="174" w:name="_Toc279701258"/>
      <w:bookmarkStart w:id="175" w:name="_Toc487900368"/>
      <w:bookmarkStart w:id="176" w:name="_Toc16959"/>
      <w:bookmarkStart w:id="177" w:name="_Toc259093687"/>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13</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乙方破产</w:t>
      </w:r>
      <w:bookmarkEnd w:id="172"/>
      <w:bookmarkEnd w:id="173"/>
      <w:bookmarkEnd w:id="174"/>
      <w:bookmarkEnd w:id="175"/>
      <w:bookmarkEnd w:id="176"/>
      <w:bookmarkEnd w:id="177"/>
    </w:p>
    <w:p w14:paraId="6334925F">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，但合同的</w:t>
      </w:r>
      <w:r>
        <w:rPr>
          <w:rFonts w:cs="Times New Roman" w:asciiTheme="minorEastAsia" w:hAnsiTheme="minorEastAsia" w:eastAsiaTheme="minorEastAsia"/>
          <w:color w:val="000000" w:themeColor="text1"/>
          <w:sz w:val="24"/>
          <w:szCs w:val="24"/>
          <w:highlight w:val="none"/>
          <w14:textFill>
            <w14:solidFill>
              <w14:schemeClr w14:val="tx1"/>
            </w14:solidFill>
          </w14:textFill>
        </w:rPr>
        <w:t>终止不损害或不影响甲方已经采取或将要采取的任何要求乙方支付违约金</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赔偿损失等的行动或补救措施的权利</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05E62389">
      <w:pPr>
        <w:spacing w:line="440" w:lineRule="exact"/>
        <w:ind w:firstLine="437"/>
        <w:outlineLvl w:val="2"/>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bookmarkStart w:id="178" w:name="_Toc15387"/>
      <w:bookmarkStart w:id="179" w:name="_Toc29333"/>
      <w:bookmarkStart w:id="180" w:name="_Toc6134"/>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4</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合同中止、终止</w:t>
      </w:r>
      <w:bookmarkEnd w:id="178"/>
      <w:bookmarkEnd w:id="179"/>
      <w:bookmarkEnd w:id="180"/>
    </w:p>
    <w:p w14:paraId="2256EB53">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4</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.1双方当事人不得擅自中止或者终止合同；</w:t>
      </w:r>
    </w:p>
    <w:p w14:paraId="39A37BEA">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w:t>
      </w:r>
      <w:r>
        <w:rPr>
          <w:rFonts w:cs="Times New Roman" w:asciiTheme="minorEastAsia" w:hAnsiTheme="minorEastAsia" w:eastAsiaTheme="minorEastAsia"/>
          <w:color w:val="000000" w:themeColor="text1"/>
          <w:sz w:val="24"/>
          <w:szCs w:val="24"/>
          <w:highlight w:val="none"/>
          <w14:textFill>
            <w14:solidFill>
              <w14:schemeClr w14:val="tx1"/>
            </w14:solidFill>
          </w14:textFill>
        </w:rPr>
        <w:t>4</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.2合同继续履行将损害国家利益和社会公共利益的，双方当事人应当中止或者终止合同。有过错的一方应当承担赔偿责任，双方当事人都有过错的，各自承担相应的责任。</w:t>
      </w:r>
    </w:p>
    <w:p w14:paraId="410FD942">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181" w:name="_Toc14563"/>
      <w:bookmarkStart w:id="182" w:name="_Toc1125"/>
      <w:bookmarkStart w:id="183" w:name="_Toc6596"/>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检验和验收</w:t>
      </w:r>
      <w:bookmarkEnd w:id="181"/>
      <w:bookmarkEnd w:id="182"/>
      <w:bookmarkEnd w:id="183"/>
    </w:p>
    <w:p w14:paraId="55AD595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5</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1乙方按照</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的约定</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定期提交服务报告</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，甲方按照</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的约定进行定期验收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0F09C5C5">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E993F85">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2.15.3检验和验收标准、程序等具体内容以及前述验收书的效力详见</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hint="eastAsia" w:cs="Times New Roman" w:asciiTheme="minorEastAsia" w:hAnsiTheme="minorEastAsia" w:eastAsiaTheme="minorEastAsia"/>
          <w:i/>
          <w:color w:val="000000" w:themeColor="text1"/>
          <w:sz w:val="24"/>
          <w:szCs w:val="24"/>
          <w:highlight w:val="none"/>
          <w14:textFill>
            <w14:solidFill>
              <w14:schemeClr w14:val="tx1"/>
            </w14:solidFill>
          </w14:textFill>
        </w:rPr>
        <w:t>。</w:t>
      </w:r>
    </w:p>
    <w:bookmarkEnd w:id="153"/>
    <w:bookmarkEnd w:id="154"/>
    <w:bookmarkEnd w:id="155"/>
    <w:bookmarkEnd w:id="156"/>
    <w:p w14:paraId="04A2C5BD">
      <w:pPr>
        <w:spacing w:line="440" w:lineRule="exact"/>
        <w:ind w:firstLine="437"/>
        <w:outlineLvl w:val="2"/>
        <w:rPr>
          <w:rFonts w:hint="eastAsia" w:cs="Times New Roman" w:asciiTheme="minorEastAsia" w:hAnsiTheme="minorEastAsia" w:eastAsiaTheme="minorEastAsia"/>
          <w:b/>
          <w:bCs/>
          <w:color w:val="000000" w:themeColor="text1"/>
          <w:sz w:val="24"/>
          <w:szCs w:val="24"/>
          <w:highlight w:val="none"/>
          <w14:textFill>
            <w14:solidFill>
              <w14:schemeClr w14:val="tx1"/>
            </w14:solidFill>
          </w14:textFill>
        </w:rPr>
      </w:pPr>
      <w:bookmarkStart w:id="184" w:name="_Toc259093692"/>
      <w:bookmarkStart w:id="185" w:name="_Toc279701263"/>
      <w:bookmarkStart w:id="186" w:name="_Toc12773"/>
      <w:bookmarkStart w:id="187" w:name="_Toc487900373"/>
      <w:bookmarkStart w:id="188" w:name="_Toc18567"/>
      <w:bookmarkStart w:id="189" w:name="_Toc10330"/>
      <w:r>
        <w:rPr>
          <w:rFonts w:hint="eastAsia" w:cs="Times New Roman" w:asciiTheme="minorEastAsia" w:hAnsiTheme="minorEastAsia" w:eastAsiaTheme="minorEastAsia"/>
          <w:b/>
          <w:bCs/>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14:textFill>
            <w14:solidFill>
              <w14:schemeClr w14:val="tx1"/>
            </w14:solidFill>
          </w14:textFill>
        </w:rPr>
        <w:t>16</w:t>
      </w:r>
      <w:r>
        <w:rPr>
          <w:rFonts w:hint="eastAsia" w:cs="Times New Roman" w:asciiTheme="minorEastAsia" w:hAnsiTheme="minorEastAsia" w:eastAsiaTheme="minorEastAsia"/>
          <w:b/>
          <w:bCs/>
          <w:color w:val="000000" w:themeColor="text1"/>
          <w:sz w:val="24"/>
          <w:szCs w:val="24"/>
          <w:highlight w:val="none"/>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合同使用的文字和</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适用的法律</w:t>
      </w:r>
      <w:bookmarkEnd w:id="184"/>
      <w:bookmarkEnd w:id="185"/>
      <w:bookmarkEnd w:id="186"/>
      <w:bookmarkEnd w:id="187"/>
      <w:bookmarkEnd w:id="188"/>
      <w:bookmarkEnd w:id="189"/>
    </w:p>
    <w:p w14:paraId="4FD1BC10">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16.1合同使用汉语书就</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变更和解释</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1EA34545">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16</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.2合同适用</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中华人民共和国法律。</w:t>
      </w:r>
    </w:p>
    <w:p w14:paraId="3E2FFE35">
      <w:pPr>
        <w:spacing w:line="440" w:lineRule="exact"/>
        <w:ind w:firstLine="437"/>
        <w:outlineLvl w:val="2"/>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bookmarkStart w:id="190" w:name="_Toc16673"/>
      <w:bookmarkStart w:id="191" w:name="_Toc259093693"/>
      <w:bookmarkStart w:id="192" w:name="_Toc12004"/>
      <w:bookmarkStart w:id="193" w:name="_Toc3148"/>
      <w:bookmarkStart w:id="194" w:name="_Toc279701264"/>
      <w:bookmarkStart w:id="195" w:name="_Toc487900374"/>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17</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履约保证金</w:t>
      </w:r>
      <w:bookmarkEnd w:id="190"/>
      <w:bookmarkEnd w:id="191"/>
      <w:bookmarkEnd w:id="192"/>
      <w:bookmarkEnd w:id="193"/>
      <w:bookmarkEnd w:id="194"/>
    </w:p>
    <w:p w14:paraId="33B4925E">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.1采购文件要求乙方提交履约保证金的，乙方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应按</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约定的方式</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，以支票、汇票、本票或者金融机构、担保机构出具的保函等非现金形式提交；</w:t>
      </w:r>
    </w:p>
    <w:p w14:paraId="2A3FAC73">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17.2履约保证金在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约定期间内不予退还或者应完全有效</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，前述约定期间届满</w:t>
      </w:r>
      <w:r>
        <w:rPr>
          <w:rFonts w:cs="Times New Roman" w:asciiTheme="minorEastAsia" w:hAnsiTheme="minorEastAsia" w:eastAsiaTheme="minorEastAsia"/>
          <w:color w:val="000000" w:themeColor="text1"/>
          <w:sz w:val="24"/>
          <w:szCs w:val="24"/>
          <w:highlight w:val="none"/>
          <w14:textFill>
            <w14:solidFill>
              <w14:schemeClr w14:val="tx1"/>
            </w14:solidFill>
          </w14:textFill>
        </w:rPr>
        <w:t>之日起</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w:t>
      </w:r>
      <w:r>
        <w:rPr>
          <w:rFonts w:cs="Times New Roman" w:asciiTheme="minorEastAsia" w:hAnsiTheme="minorEastAsia" w:eastAsiaTheme="minorEastAsia"/>
          <w:color w:val="000000" w:themeColor="text1"/>
          <w:sz w:val="24"/>
          <w:szCs w:val="24"/>
          <w:highlight w:val="none"/>
          <w14:textFill>
            <w14:solidFill>
              <w14:schemeClr w14:val="tx1"/>
            </w14:solidFill>
          </w14:textFill>
        </w:rPr>
        <w:t>工作日内，甲方应将履约保证金退还乙方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，甲方逾期退还履约保证金应承担违约责任。</w:t>
      </w:r>
    </w:p>
    <w:p w14:paraId="0DF08E36">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.3</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如果乙方不履行合同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，履约保证金不予退还；如果乙方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未能按合同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约</w:t>
      </w:r>
      <w:r>
        <w:rPr>
          <w:rFonts w:cs="Times New Roman" w:asciiTheme="minorEastAsia" w:hAnsiTheme="minorEastAsia" w:eastAsiaTheme="minorEastAsia"/>
          <w:color w:val="000000" w:themeColor="text1"/>
          <w:sz w:val="24"/>
          <w:szCs w:val="24"/>
          <w:highlight w:val="none"/>
          <w14:textFill>
            <w14:solidFill>
              <w14:schemeClr w14:val="tx1"/>
            </w14:solidFill>
          </w14:textFill>
        </w:rPr>
        <w:t>定全面履行义务，那么甲方有权从履约保证金中取得补偿或赔偿</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，同时不影响甲方要求乙方承担合同约定的超过履约保证金的违约责任的权利。</w:t>
      </w:r>
    </w:p>
    <w:bookmarkEnd w:id="195"/>
    <w:p w14:paraId="6B2BB622">
      <w:pPr>
        <w:spacing w:line="440" w:lineRule="exact"/>
        <w:ind w:firstLine="437"/>
        <w:outlineLvl w:val="2"/>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bookmarkStart w:id="196" w:name="_Toc14001"/>
      <w:bookmarkStart w:id="197" w:name="_Toc6885"/>
      <w:bookmarkStart w:id="198" w:name="_Toc19890"/>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18</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合同份数</w:t>
      </w:r>
      <w:bookmarkEnd w:id="196"/>
      <w:bookmarkEnd w:id="197"/>
      <w:bookmarkEnd w:id="198"/>
    </w:p>
    <w:p w14:paraId="459633BC">
      <w:pPr>
        <w:spacing w:line="440" w:lineRule="exact"/>
        <w:ind w:firstLine="435"/>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合同份数按</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规定</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每份均具有同等法律效力</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36FF3F5C">
      <w:pPr>
        <w:spacing w:line="440" w:lineRule="exact"/>
        <w:jc w:val="center"/>
        <w:outlineLvl w:val="1"/>
        <w:rPr>
          <w:rFonts w:hint="eastAsia" w:asciiTheme="minorEastAsia" w:hAnsiTheme="minorEastAsia" w:eastAsiaTheme="minorEastAsia"/>
          <w:b/>
          <w:color w:val="000000" w:themeColor="text1"/>
          <w:sz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br w:type="page"/>
      </w:r>
      <w:bookmarkStart w:id="199" w:name="_Toc3736"/>
      <w:r>
        <w:rPr>
          <w:rFonts w:hint="eastAsia" w:asciiTheme="minorEastAsia" w:hAnsiTheme="minorEastAsia" w:eastAsiaTheme="minorEastAsia"/>
          <w:b/>
          <w:color w:val="000000" w:themeColor="text1"/>
          <w:sz w:val="24"/>
          <w:highlight w:val="none"/>
          <w14:textFill>
            <w14:solidFill>
              <w14:schemeClr w14:val="tx1"/>
            </w14:solidFill>
          </w14:textFill>
        </w:rPr>
        <w:t>第三部分</w:t>
      </w:r>
      <w:r>
        <w:rPr>
          <w:rFonts w:asciiTheme="minorEastAsia" w:hAnsiTheme="minorEastAsia" w:eastAsiaTheme="minorEastAsia"/>
          <w:b/>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4"/>
          <w:highlight w:val="none"/>
          <w14:textFill>
            <w14:solidFill>
              <w14:schemeClr w14:val="tx1"/>
            </w14:solidFill>
          </w14:textFill>
        </w:rPr>
        <w:t>合同专用条款</w:t>
      </w:r>
      <w:bookmarkEnd w:id="199"/>
    </w:p>
    <w:p w14:paraId="2233DC1C">
      <w:pPr>
        <w:keepNext w:val="0"/>
        <w:keepLines w:val="0"/>
        <w:pageBreakBefore w:val="0"/>
        <w:widowControl w:val="0"/>
        <w:kinsoku/>
        <w:wordWrap/>
        <w:overflowPunct/>
        <w:topLinePunct w:val="0"/>
        <w:autoSpaceDE/>
        <w:autoSpaceDN/>
        <w:bidi w:val="0"/>
        <w:adjustRightInd/>
        <w:snapToGrid/>
        <w:spacing w:line="400" w:lineRule="exact"/>
        <w:ind w:firstLine="435"/>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本部分</w:t>
      </w:r>
      <w:r>
        <w:rPr>
          <w:rFonts w:cs="Times New Roman" w:asciiTheme="minorEastAsia" w:hAnsiTheme="minorEastAsia" w:eastAsiaTheme="minorEastAsia"/>
          <w:color w:val="000000" w:themeColor="text1"/>
          <w:sz w:val="24"/>
          <w:szCs w:val="24"/>
          <w:highlight w:val="none"/>
          <w14:textFill>
            <w14:solidFill>
              <w14:schemeClr w14:val="tx1"/>
            </w14:solidFill>
          </w14:textFill>
        </w:rPr>
        <w:t>是对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前两</w:t>
      </w:r>
      <w:r>
        <w:rPr>
          <w:rFonts w:cs="Times New Roman" w:asciiTheme="minorEastAsia" w:hAnsiTheme="minorEastAsia" w:eastAsiaTheme="minorEastAsia"/>
          <w:color w:val="000000" w:themeColor="text1"/>
          <w:sz w:val="24"/>
          <w:szCs w:val="24"/>
          <w:highlight w:val="none"/>
          <w14:textFill>
            <w14:solidFill>
              <w14:schemeClr w14:val="tx1"/>
            </w14:solidFill>
          </w14:textFill>
        </w:rPr>
        <w:t>部分的补充和修改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前两</w:t>
      </w:r>
      <w:r>
        <w:rPr>
          <w:rFonts w:cs="Times New Roman" w:asciiTheme="minorEastAsia" w:hAnsiTheme="minorEastAsia" w:eastAsiaTheme="minorEastAsia"/>
          <w:color w:val="000000" w:themeColor="text1"/>
          <w:sz w:val="24"/>
          <w:szCs w:val="24"/>
          <w:highlight w:val="none"/>
          <w14:textFill>
            <w14:solidFill>
              <w14:schemeClr w14:val="tx1"/>
            </w14:solidFill>
          </w14:textFill>
        </w:rPr>
        <w:t>部分和本部分的约定不一致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应以本部分的约定为准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本部分的条款号应与</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前两部分</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的条款号保持对应</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；与前两部分</w:t>
      </w:r>
      <w:r>
        <w:rPr>
          <w:rFonts w:cs="Times New Roman" w:asciiTheme="minorEastAsia" w:hAnsiTheme="minorEastAsia" w:eastAsiaTheme="minorEastAsia"/>
          <w:color w:val="000000" w:themeColor="text1"/>
          <w:sz w:val="24"/>
          <w:szCs w:val="24"/>
          <w:highlight w:val="none"/>
          <w14:textFill>
            <w14:solidFill>
              <w14:schemeClr w14:val="tx1"/>
            </w14:solidFill>
          </w14:textFill>
        </w:rPr>
        <w:t>无对应关系的内容可另行编制条款号</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tbl>
      <w:tblPr>
        <w:tblStyle w:val="25"/>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1BF8D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75F62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r>
              <w:rPr>
                <w:rFonts w:hint="default" w:cs="Times New Roman" w:asciiTheme="minorEastAsia" w:hAnsiTheme="minorEastAsia" w:eastAsiaTheme="minorEastAsia"/>
                <w:b/>
                <w:color w:val="000000" w:themeColor="text1"/>
                <w:sz w:val="24"/>
                <w:szCs w:val="24"/>
                <w:highlight w:val="none"/>
                <w14:textFill>
                  <w14:solidFill>
                    <w14:schemeClr w14:val="tx1"/>
                  </w14:solidFill>
                </w14:textFill>
              </w:rPr>
              <w:t>条款号</w:t>
            </w:r>
          </w:p>
        </w:tc>
        <w:tc>
          <w:tcPr>
            <w:tcW w:w="7568" w:type="dxa"/>
            <w:vAlign w:val="center"/>
          </w:tcPr>
          <w:p w14:paraId="7D13D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b/>
                <w:color w:val="000000" w:themeColor="text1"/>
                <w:sz w:val="24"/>
                <w:szCs w:val="24"/>
                <w:highlight w:val="none"/>
                <w14:textFill>
                  <w14:solidFill>
                    <w14:schemeClr w14:val="tx1"/>
                  </w14:solidFill>
                </w14:textFill>
              </w:rPr>
            </w:pPr>
            <w:r>
              <w:rPr>
                <w:rFonts w:hint="default" w:cs="Times New Roman" w:asciiTheme="minorEastAsia" w:hAnsiTheme="minorEastAsia" w:eastAsiaTheme="minorEastAsia"/>
                <w:b/>
                <w:color w:val="000000" w:themeColor="text1"/>
                <w:sz w:val="24"/>
                <w:szCs w:val="24"/>
                <w:highlight w:val="none"/>
                <w14:textFill>
                  <w14:solidFill>
                    <w14:schemeClr w14:val="tx1"/>
                  </w14:solidFill>
                </w14:textFill>
              </w:rPr>
              <w:t>约定内容</w:t>
            </w:r>
          </w:p>
        </w:tc>
      </w:tr>
      <w:tr w14:paraId="2166F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5F80D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2.5</w:t>
            </w:r>
          </w:p>
        </w:tc>
        <w:tc>
          <w:tcPr>
            <w:tcW w:w="7568" w:type="dxa"/>
            <w:vAlign w:val="center"/>
          </w:tcPr>
          <w:p w14:paraId="2B92C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ighlight w:val="none"/>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乙方完成商用密码应用安全性评估并出具报告后30天内，甲方一次性支付全部合同价款。</w:t>
            </w:r>
          </w:p>
        </w:tc>
      </w:tr>
      <w:tr w14:paraId="14716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2BC931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2.11.3</w:t>
            </w:r>
          </w:p>
        </w:tc>
        <w:tc>
          <w:tcPr>
            <w:tcW w:w="7568" w:type="dxa"/>
            <w:vAlign w:val="center"/>
          </w:tcPr>
          <w:p w14:paraId="6703C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因不可抗力致使合同有变更必要的，双方当事人应在不可抗力发生的</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15</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个工作日内以书面形式变更合同</w:t>
            </w:r>
            <w:r>
              <w:rPr>
                <w:rFonts w:hint="eastAsia" w:cs="Times New Roman" w:asciiTheme="minorEastAsia" w:hAnsiTheme="minorEastAsia"/>
                <w:color w:val="000000" w:themeColor="text1"/>
                <w:sz w:val="24"/>
                <w:szCs w:val="24"/>
                <w:highlight w:val="none"/>
                <w:lang w:eastAsia="zh-CN"/>
                <w14:textFill>
                  <w14:solidFill>
                    <w14:schemeClr w14:val="tx1"/>
                  </w14:solidFill>
                </w14:textFill>
              </w:rPr>
              <w:t>。</w:t>
            </w:r>
          </w:p>
        </w:tc>
      </w:tr>
      <w:tr w14:paraId="62241D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CD3C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2.11.4</w:t>
            </w:r>
          </w:p>
        </w:tc>
        <w:tc>
          <w:tcPr>
            <w:tcW w:w="7568" w:type="dxa"/>
            <w:vAlign w:val="center"/>
          </w:tcPr>
          <w:p w14:paraId="3066C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受不可抗力影响的一方在不可抗力发生后，应在不可抗力发生的</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个工作日内以书面形式通知对方当事人，并在</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个工作日内，将有关部门出具的证明文件送达对方当事人</w:t>
            </w:r>
            <w:r>
              <w:rPr>
                <w:rFonts w:hint="eastAsia" w:cs="Times New Roman" w:asciiTheme="minorEastAsia" w:hAnsiTheme="minorEastAsia"/>
                <w:color w:val="000000" w:themeColor="text1"/>
                <w:sz w:val="24"/>
                <w:szCs w:val="24"/>
                <w:highlight w:val="none"/>
                <w:lang w:eastAsia="zh-CN"/>
                <w14:textFill>
                  <w14:solidFill>
                    <w14:schemeClr w14:val="tx1"/>
                  </w14:solidFill>
                </w14:textFill>
              </w:rPr>
              <w:t>。</w:t>
            </w:r>
          </w:p>
        </w:tc>
      </w:tr>
      <w:tr w14:paraId="13B3A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90" w:hRule="atLeast"/>
          <w:jc w:val="center"/>
        </w:trPr>
        <w:tc>
          <w:tcPr>
            <w:tcW w:w="794" w:type="dxa"/>
            <w:tcBorders>
              <w:left w:val="single" w:color="auto" w:sz="4" w:space="0"/>
            </w:tcBorders>
            <w:vAlign w:val="center"/>
          </w:tcPr>
          <w:p w14:paraId="5A5293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2.15</w:t>
            </w:r>
          </w:p>
        </w:tc>
        <w:tc>
          <w:tcPr>
            <w:tcW w:w="7568" w:type="dxa"/>
            <w:vAlign w:val="center"/>
          </w:tcPr>
          <w:p w14:paraId="2E586D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eastAsia="宋体"/>
                <w:highlight w:val="none"/>
                <w:lang w:val="en-US" w:eastAsia="zh-CN"/>
              </w:rPr>
            </w:pPr>
            <w:r>
              <w:rPr>
                <w:rFonts w:hint="eastAsia" w:ascii="宋体" w:hAnsi="宋体" w:eastAsia="宋体" w:cs="宋体"/>
                <w:color w:val="000000"/>
                <w:sz w:val="24"/>
                <w:szCs w:val="24"/>
                <w:highlight w:val="none"/>
              </w:rPr>
              <w:t>乙方须接受甲方对项目执行情况、服务质量等的监督、检查和验收，甲方有权查看与项目直接相关的凭证和资料，乙方应予以配合。</w:t>
            </w:r>
          </w:p>
        </w:tc>
      </w:tr>
      <w:tr w14:paraId="41C7DF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143CB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sz w:val="24"/>
                <w:highlight w:val="none"/>
              </w:rPr>
            </w:pPr>
            <w:r>
              <w:rPr>
                <w:rFonts w:hint="eastAsia" w:ascii="宋体" w:hAnsi="宋体" w:eastAsia="宋体"/>
                <w:sz w:val="24"/>
                <w:highlight w:val="none"/>
              </w:rPr>
              <w:t>2.17</w:t>
            </w:r>
          </w:p>
        </w:tc>
        <w:tc>
          <w:tcPr>
            <w:tcW w:w="7568" w:type="dxa"/>
            <w:vAlign w:val="center"/>
          </w:tcPr>
          <w:p w14:paraId="593AC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本项目免收</w:t>
            </w: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履约保证金。</w:t>
            </w:r>
          </w:p>
        </w:tc>
      </w:tr>
      <w:tr w14:paraId="62209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AC228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2.18</w:t>
            </w:r>
          </w:p>
        </w:tc>
        <w:tc>
          <w:tcPr>
            <w:tcW w:w="7568" w:type="dxa"/>
            <w:vAlign w:val="center"/>
          </w:tcPr>
          <w:p w14:paraId="394B4F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ascii="宋体" w:hAnsi="宋体" w:eastAsia="宋体" w:cs="宋体"/>
                <w:color w:val="auto"/>
                <w:sz w:val="24"/>
                <w:highlight w:val="none"/>
              </w:rPr>
              <w:t>合同一式</w:t>
            </w:r>
            <w:r>
              <w:rPr>
                <w:rFonts w:hint="eastAsia" w:ascii="宋体" w:hAnsi="宋体" w:eastAsia="宋体" w:cs="宋体"/>
                <w:color w:val="auto"/>
                <w:sz w:val="24"/>
                <w:highlight w:val="none"/>
                <w:lang w:val="en-US" w:eastAsia="zh-CN"/>
              </w:rPr>
              <w:t>肆</w:t>
            </w:r>
            <w:r>
              <w:rPr>
                <w:rFonts w:hint="eastAsia" w:ascii="宋体" w:hAnsi="宋体" w:eastAsia="宋体" w:cs="宋体"/>
                <w:color w:val="auto"/>
                <w:sz w:val="24"/>
                <w:highlight w:val="none"/>
              </w:rPr>
              <w:t>份，甲乙双方各执</w:t>
            </w:r>
            <w:r>
              <w:rPr>
                <w:rFonts w:hint="eastAsia" w:ascii="宋体" w:hAnsi="宋体" w:eastAsia="宋体" w:cs="宋体"/>
                <w:color w:val="auto"/>
                <w:sz w:val="24"/>
                <w:highlight w:val="none"/>
                <w:lang w:val="en-US" w:eastAsia="zh-CN"/>
              </w:rPr>
              <w:t>贰</w:t>
            </w:r>
            <w:r>
              <w:rPr>
                <w:rFonts w:hint="eastAsia" w:ascii="宋体" w:hAnsi="宋体" w:eastAsia="宋体" w:cs="宋体"/>
                <w:color w:val="auto"/>
                <w:sz w:val="24"/>
                <w:highlight w:val="none"/>
              </w:rPr>
              <w:t>份。</w:t>
            </w:r>
          </w:p>
        </w:tc>
      </w:tr>
      <w:tr w14:paraId="3A8A68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00F1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3</w:t>
            </w:r>
          </w:p>
        </w:tc>
        <w:tc>
          <w:tcPr>
            <w:tcW w:w="7568" w:type="dxa"/>
            <w:vAlign w:val="center"/>
          </w:tcPr>
          <w:p w14:paraId="420AE9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auto"/>
                <w:sz w:val="24"/>
                <w:szCs w:val="24"/>
                <w:highlight w:val="none"/>
              </w:rPr>
              <w:t>严禁乙方转包合同服务内容的行为，一经发现甲方即终止合同并报行业主管部门进行相应处罚。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）乙方未按合同约定履行各项工作内容，甲</w:t>
            </w:r>
            <w:r>
              <w:rPr>
                <w:rFonts w:hint="eastAsia" w:ascii="宋体" w:hAnsi="宋体" w:eastAsia="宋体" w:cs="宋体"/>
                <w:color w:val="000000" w:themeColor="text1"/>
                <w:sz w:val="24"/>
                <w:szCs w:val="24"/>
                <w:highlight w:val="none"/>
                <w14:textFill>
                  <w14:solidFill>
                    <w14:schemeClr w14:val="tx1"/>
                  </w14:solidFill>
                </w14:textFill>
              </w:rPr>
              <w:t xml:space="preserve">方有权视违约情节的轻重，处以1000 元/次违约金（从合同价款中扣除）。情节严重的，解除合同。 </w:t>
            </w:r>
          </w:p>
        </w:tc>
      </w:tr>
      <w:tr w14:paraId="2A22C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4794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4</w:t>
            </w:r>
          </w:p>
        </w:tc>
        <w:tc>
          <w:tcPr>
            <w:tcW w:w="7568" w:type="dxa"/>
            <w:vAlign w:val="center"/>
          </w:tcPr>
          <w:p w14:paraId="4035F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应要求进入甲方工作场所的人员知悉其必须承担的保密义务和责任，遵守国家保密法律、法规，自觉遵守工作纪律和规章制度，不做任何窃取或泄漏国家秘密、商业秘密和个人秘密的行为。乙方须将有关人员的情况（姓名、 性别、身份证号码、家庭住址、联系方式）及签订的保密协议书面报甲方备案。</w:t>
            </w:r>
          </w:p>
        </w:tc>
      </w:tr>
      <w:tr w14:paraId="38201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3C6A21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5</w:t>
            </w:r>
          </w:p>
        </w:tc>
        <w:tc>
          <w:tcPr>
            <w:tcW w:w="7568" w:type="dxa"/>
            <w:tcBorders>
              <w:top w:val="single" w:color="auto" w:sz="6" w:space="0"/>
              <w:left w:val="single" w:color="auto" w:sz="6" w:space="0"/>
              <w:bottom w:val="single" w:color="auto" w:sz="6" w:space="0"/>
              <w:right w:val="single" w:color="auto" w:sz="6" w:space="0"/>
            </w:tcBorders>
            <w:vAlign w:val="center"/>
          </w:tcPr>
          <w:p w14:paraId="51BA1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验收要求：乙方按照服务需求，完成项目规定的工作内容，提供相关过程文档，最终出具商用密码应用安全性评估报告。</w:t>
            </w:r>
          </w:p>
        </w:tc>
      </w:tr>
      <w:tr w14:paraId="143AA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44E35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6</w:t>
            </w:r>
          </w:p>
        </w:tc>
        <w:tc>
          <w:tcPr>
            <w:tcW w:w="7568" w:type="dxa"/>
            <w:tcBorders>
              <w:top w:val="single" w:color="auto" w:sz="6" w:space="0"/>
              <w:left w:val="single" w:color="auto" w:sz="6" w:space="0"/>
              <w:bottom w:val="single" w:color="auto" w:sz="6" w:space="0"/>
              <w:right w:val="single" w:color="auto" w:sz="6" w:space="0"/>
            </w:tcBorders>
            <w:vAlign w:val="center"/>
          </w:tcPr>
          <w:p w14:paraId="6AA38F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根据滁州市数据资源管理局《项目标后履约告知函》做好向项目实施工作。</w:t>
            </w:r>
          </w:p>
        </w:tc>
      </w:tr>
      <w:tr w14:paraId="3A4D50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7CF9A349">
            <w:pPr>
              <w:keepNext w:val="0"/>
              <w:keepLines w:val="0"/>
              <w:suppressLineNumbers w:val="0"/>
              <w:spacing w:before="0" w:beforeAutospacing="0" w:after="0" w:afterAutospacing="0" w:line="440" w:lineRule="exact"/>
              <w:ind w:left="0" w:leftChars="0" w:right="0" w:rightChars="0"/>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770B5912">
            <w:pPr>
              <w:keepNext w:val="0"/>
              <w:keepLines w:val="0"/>
              <w:suppressLineNumbers w:val="0"/>
              <w:spacing w:before="0" w:beforeAutospacing="0" w:after="0" w:afterAutospacing="0" w:line="440" w:lineRule="exact"/>
              <w:ind w:left="0" w:leftChars="0" w:right="0" w:rightChars="0"/>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（签订合同时可补充）</w:t>
            </w:r>
          </w:p>
        </w:tc>
      </w:tr>
    </w:tbl>
    <w:p w14:paraId="2A406EFD">
      <w:pPr>
        <w:rPr>
          <w:rFonts w:hint="eastAsia" w:ascii="宋体" w:hAnsi="宋体" w:eastAsia="宋体" w:cs="宋体"/>
          <w:color w:val="auto"/>
          <w:kern w:val="2"/>
          <w:sz w:val="28"/>
          <w:szCs w:val="28"/>
          <w:highlight w:val="none"/>
          <w:u w:color="auto"/>
          <w:lang w:val="en-US" w:eastAsia="zh-CN" w:bidi="ar"/>
        </w:rPr>
      </w:pPr>
    </w:p>
    <w:p w14:paraId="3320696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bookmarkStart w:id="200" w:name="_Toc6275_WPSOffice_Level1"/>
      <w:bookmarkEnd w:id="200"/>
      <w:r>
        <w:rPr>
          <w:rFonts w:hint="eastAsia" w:ascii="宋体" w:hAnsi="宋体" w:eastAsia="宋体" w:cs="宋体"/>
          <w:color w:val="auto"/>
          <w:kern w:val="2"/>
          <w:sz w:val="28"/>
          <w:szCs w:val="28"/>
          <w:highlight w:val="none"/>
          <w:u w:color="auto"/>
          <w:lang w:val="en-US" w:eastAsia="zh-CN" w:bidi="ar"/>
        </w:rPr>
        <w:t>第六章 投标文件格式</w:t>
      </w:r>
    </w:p>
    <w:p w14:paraId="56573949">
      <w:pPr>
        <w:jc w:val="right"/>
        <w:rPr>
          <w:rFonts w:ascii="宋体" w:hAnsi="宋体"/>
          <w:sz w:val="28"/>
          <w:szCs w:val="28"/>
          <w:highlight w:val="none"/>
          <w:bdr w:val="single" w:color="auto" w:sz="4" w:space="0"/>
        </w:rPr>
      </w:pPr>
    </w:p>
    <w:p w14:paraId="02E9805B">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000000"/>
          <w:kern w:val="0"/>
          <w:sz w:val="20"/>
          <w:szCs w:val="20"/>
          <w:highlight w:val="none"/>
          <w:u w:color="000000"/>
          <w:lang w:val="en-US" w:eastAsia="zh-CN" w:bidi="ar"/>
        </w:rPr>
      </w:pPr>
      <w:r>
        <w:rPr>
          <w:rFonts w:hint="eastAsia" w:ascii="黑体" w:hAnsi="宋体" w:eastAsia="黑体" w:cs="黑体"/>
          <w:color w:val="000000"/>
          <w:kern w:val="0"/>
          <w:sz w:val="20"/>
          <w:szCs w:val="20"/>
          <w:highlight w:val="none"/>
          <w:u w:color="000000"/>
          <w:lang w:val="en-US" w:eastAsia="zh-CN" w:bidi="ar"/>
        </w:rPr>
        <w:t xml:space="preserve"> </w:t>
      </w:r>
    </w:p>
    <w:p w14:paraId="38909D4F">
      <w:pPr>
        <w:pStyle w:val="2"/>
        <w:rPr>
          <w:rFonts w:hint="eastAsia"/>
          <w:highlight w:val="none"/>
          <w:lang w:val="en-US"/>
        </w:rPr>
      </w:pPr>
    </w:p>
    <w:p w14:paraId="0856A6E2">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201" w:name="_Toc21573"/>
      <w:bookmarkEnd w:id="201"/>
      <w:bookmarkStart w:id="202" w:name="_Toc128_WPSOffice_Level1"/>
      <w:r>
        <w:rPr>
          <w:rFonts w:hint="eastAsia" w:ascii="宋体" w:hAnsi="宋体" w:eastAsia="宋体" w:cs="宋体"/>
          <w:b/>
          <w:bCs w:val="0"/>
          <w:color w:val="000000"/>
          <w:kern w:val="0"/>
          <w:sz w:val="44"/>
          <w:szCs w:val="44"/>
          <w:highlight w:val="none"/>
          <w:u w:color="000000"/>
          <w:lang w:val="en-US" w:eastAsia="zh-CN" w:bidi="ar"/>
        </w:rPr>
        <w:t>投标文件</w:t>
      </w:r>
      <w:bookmarkEnd w:id="202"/>
    </w:p>
    <w:p w14:paraId="0BC25123">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000000"/>
          <w:kern w:val="0"/>
          <w:sz w:val="44"/>
          <w:szCs w:val="44"/>
          <w:highlight w:val="none"/>
          <w:u w:color="000000"/>
          <w:lang w:val="en-US" w:eastAsia="zh-CN" w:bidi="ar"/>
        </w:rPr>
      </w:pPr>
      <w:bookmarkStart w:id="203" w:name="_Toc19336_WPSOffice_Level2"/>
      <w:bookmarkEnd w:id="203"/>
    </w:p>
    <w:p w14:paraId="1D5ADCDF">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594CBE02">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204" w:name="_Toc7180_WPSOffice_Level3"/>
      <w:bookmarkEnd w:id="204"/>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3E4635E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0B8BDB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62CF22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C8D7676">
      <w:pPr>
        <w:pStyle w:val="11"/>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2B4619F2">
      <w:pPr>
        <w:pStyle w:val="21"/>
        <w:widowControl/>
        <w:rPr>
          <w:highlight w:val="none"/>
          <w:lang w:val="en-US"/>
        </w:rPr>
      </w:pPr>
      <w:r>
        <w:rPr>
          <w:highlight w:val="none"/>
          <w:lang w:val="en-US"/>
        </w:rPr>
        <w:t xml:space="preserve"> </w:t>
      </w:r>
    </w:p>
    <w:p w14:paraId="05BD128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D400C3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1696BA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6F3DB6F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923C9E0">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7F04836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104A3534">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205" w:name="_Toc14710_WPSOffice_Level1"/>
      <w:bookmarkEnd w:id="205"/>
      <w:r>
        <w:rPr>
          <w:rFonts w:hint="eastAsia" w:ascii="宋体" w:hAnsi="宋体" w:eastAsia="宋体" w:cs="宋体"/>
          <w:b/>
          <w:bCs w:val="0"/>
          <w:color w:val="000000"/>
          <w:kern w:val="0"/>
          <w:sz w:val="44"/>
          <w:szCs w:val="44"/>
          <w:highlight w:val="none"/>
          <w:u w:color="000000"/>
          <w:lang w:val="en-US" w:eastAsia="zh-CN" w:bidi="ar"/>
        </w:rPr>
        <w:t>目   录</w:t>
      </w:r>
    </w:p>
    <w:p w14:paraId="6E23718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90411E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（1）法人代表人身份证明及其有效身份证（或法人代表授权委托书及其有效身份证）（格式见附件）；</w:t>
      </w:r>
    </w:p>
    <w:p w14:paraId="277E3411">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（2）具有独立承担民事责任的能力证明材料；</w:t>
      </w:r>
    </w:p>
    <w:p w14:paraId="548C9ED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（3）投标人在国家密码管理局公告（第53号）发布的《商用密码检测机构（商用密码应用安全性评估业务）目录》内；</w:t>
      </w:r>
    </w:p>
    <w:p w14:paraId="4FAC9D9B">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（4）投标人拟派不少于3人的项目测评团队，且全部测评人员须具有商用密码应用安全性评估人员测评能力考核证书或商用密码应用安全性评估从业人员考核证书；</w:t>
      </w:r>
    </w:p>
    <w:p w14:paraId="0462EE55">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（5）诚信投标承诺书（格式见附件）；</w:t>
      </w:r>
    </w:p>
    <w:p w14:paraId="5A407C4B">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（6）服务承诺书（格式见附件）；</w:t>
      </w:r>
    </w:p>
    <w:p w14:paraId="5272892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（7）开标一览表（格式见附件）；</w:t>
      </w:r>
    </w:p>
    <w:p w14:paraId="2790F9B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（8）投标函（格式见附件）；</w:t>
      </w:r>
    </w:p>
    <w:p w14:paraId="5D2FB57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（9）中小企业声明函，残疾人福利性企业（格式见附件）（如是）；</w:t>
      </w:r>
    </w:p>
    <w:p w14:paraId="15BFD03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（10）省级以上监狱管理局、戒毒管理局（含新疆生产建设兵团）出具的属于监狱企业的证明（如是）；</w:t>
      </w:r>
    </w:p>
    <w:p w14:paraId="3292B27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（11）招标文件中要求提供的其他相关资料。</w:t>
      </w:r>
    </w:p>
    <w:p w14:paraId="76017D36">
      <w:pPr>
        <w:pStyle w:val="11"/>
        <w:rPr>
          <w:rFonts w:hint="eastAsia" w:ascii="宋体" w:hAnsi="宋体" w:eastAsia="宋体" w:cs="Times New Roman"/>
          <w:color w:val="000000"/>
          <w:szCs w:val="21"/>
          <w:highlight w:val="none"/>
          <w:lang w:val="en-US" w:eastAsia="zh-CN"/>
        </w:rPr>
      </w:pPr>
    </w:p>
    <w:p w14:paraId="3D8AA109">
      <w:pPr>
        <w:rPr>
          <w:rFonts w:hint="default"/>
          <w:highlight w:val="none"/>
          <w:lang w:val="en-US" w:eastAsia="zh-CN"/>
        </w:rPr>
      </w:pPr>
      <w:r>
        <w:rPr>
          <w:rFonts w:hint="eastAsia" w:ascii="宋体" w:hAnsi="宋体" w:eastAsia="宋体" w:cs="Times New Roman"/>
          <w:color w:val="000000"/>
          <w:szCs w:val="21"/>
          <w:highlight w:val="none"/>
          <w:lang w:val="en-US" w:eastAsia="zh-CN"/>
        </w:rPr>
        <w:t>注：</w:t>
      </w:r>
      <w:r>
        <w:rPr>
          <w:rFonts w:hint="eastAsia" w:ascii="宋体" w:hAnsi="宋体" w:cs="宋体"/>
          <w:szCs w:val="21"/>
          <w:highlight w:val="none"/>
        </w:rPr>
        <w:t>若投标人为</w:t>
      </w:r>
      <w:r>
        <w:rPr>
          <w:rFonts w:hint="eastAsia" w:ascii="宋体" w:hAnsi="宋体" w:cs="宋体"/>
          <w:szCs w:val="21"/>
          <w:highlight w:val="none"/>
          <w:lang w:val="en-US" w:eastAsia="zh-CN"/>
        </w:rPr>
        <w:t>若为银行、保险、石油化工、电力、电信、邮政等有行业特殊情况的企业的</w:t>
      </w:r>
      <w:r>
        <w:rPr>
          <w:rFonts w:hint="eastAsia" w:ascii="宋体" w:hAnsi="宋体" w:cs="宋体"/>
          <w:szCs w:val="21"/>
          <w:highlight w:val="none"/>
        </w:rPr>
        <w:t>分支机构</w:t>
      </w:r>
      <w:r>
        <w:rPr>
          <w:rFonts w:hint="eastAsia" w:ascii="宋体" w:hAnsi="宋体" w:cs="宋体"/>
          <w:szCs w:val="21"/>
          <w:highlight w:val="none"/>
          <w:lang w:val="en-US" w:eastAsia="zh-CN"/>
        </w:rPr>
        <w:t>或分公司</w:t>
      </w:r>
      <w:r>
        <w:rPr>
          <w:rFonts w:hint="eastAsia" w:ascii="宋体" w:hAnsi="宋体" w:cs="宋体"/>
          <w:szCs w:val="21"/>
          <w:highlight w:val="none"/>
        </w:rPr>
        <w:t>，其</w:t>
      </w:r>
      <w:r>
        <w:rPr>
          <w:rFonts w:hint="eastAsia" w:ascii="宋体" w:hAnsi="宋体" w:cs="宋体"/>
          <w:szCs w:val="21"/>
          <w:highlight w:val="none"/>
          <w:lang w:val="en-US" w:eastAsia="zh-CN"/>
        </w:rPr>
        <w:t>投标文件</w:t>
      </w:r>
      <w:r>
        <w:rPr>
          <w:rFonts w:hint="eastAsia" w:ascii="宋体" w:hAnsi="宋体" w:cs="宋体"/>
          <w:szCs w:val="21"/>
          <w:highlight w:val="none"/>
        </w:rPr>
        <w:t>中所要求的法定代表人的所有签</w:t>
      </w:r>
      <w:r>
        <w:rPr>
          <w:rFonts w:hint="eastAsia" w:ascii="宋体" w:hAnsi="宋体" w:cs="宋体"/>
          <w:szCs w:val="21"/>
          <w:highlight w:val="none"/>
          <w:lang w:val="en-US" w:eastAsia="zh-CN"/>
        </w:rPr>
        <w:t>章</w:t>
      </w:r>
      <w:r>
        <w:rPr>
          <w:rFonts w:hint="eastAsia" w:ascii="宋体" w:hAnsi="宋体" w:cs="宋体"/>
          <w:szCs w:val="21"/>
          <w:highlight w:val="none"/>
        </w:rPr>
        <w:t>及</w:t>
      </w:r>
      <w:r>
        <w:rPr>
          <w:rFonts w:hint="eastAsia" w:ascii="宋体" w:hAnsi="宋体" w:cs="宋体"/>
          <w:szCs w:val="21"/>
          <w:highlight w:val="none"/>
          <w:lang w:val="en-US" w:eastAsia="zh-CN"/>
        </w:rPr>
        <w:t>涉及</w:t>
      </w:r>
      <w:r>
        <w:rPr>
          <w:rFonts w:hint="eastAsia" w:ascii="宋体" w:hAnsi="宋体" w:cs="宋体"/>
          <w:szCs w:val="21"/>
          <w:highlight w:val="none"/>
        </w:rPr>
        <w:t>材料，</w:t>
      </w:r>
      <w:r>
        <w:rPr>
          <w:rFonts w:hint="eastAsia" w:ascii="宋体" w:hAnsi="宋体" w:cs="宋体"/>
          <w:szCs w:val="21"/>
          <w:highlight w:val="none"/>
          <w:lang w:val="en-US" w:eastAsia="zh-CN"/>
        </w:rPr>
        <w:t>可以由</w:t>
      </w:r>
      <w:r>
        <w:rPr>
          <w:rFonts w:hint="eastAsia" w:ascii="宋体" w:hAnsi="宋体" w:cs="宋体"/>
          <w:szCs w:val="21"/>
          <w:highlight w:val="none"/>
          <w:lang w:eastAsia="zh-CN"/>
        </w:rPr>
        <w:t>其</w:t>
      </w:r>
      <w:r>
        <w:rPr>
          <w:rFonts w:hint="eastAsia" w:ascii="宋体" w:hAnsi="宋体" w:cs="宋体"/>
          <w:szCs w:val="21"/>
          <w:highlight w:val="none"/>
        </w:rPr>
        <w:t>分支机构</w:t>
      </w:r>
      <w:r>
        <w:rPr>
          <w:rFonts w:hint="eastAsia" w:ascii="宋体" w:hAnsi="宋体" w:cs="宋体"/>
          <w:szCs w:val="21"/>
          <w:highlight w:val="none"/>
          <w:lang w:val="en-US" w:eastAsia="zh-CN"/>
        </w:rPr>
        <w:t>或分公司</w:t>
      </w:r>
      <w:r>
        <w:rPr>
          <w:rFonts w:hint="eastAsia" w:ascii="宋体" w:hAnsi="宋体" w:cs="宋体"/>
          <w:szCs w:val="21"/>
          <w:highlight w:val="none"/>
        </w:rPr>
        <w:t>负责人</w:t>
      </w:r>
      <w:r>
        <w:rPr>
          <w:rFonts w:hint="eastAsia" w:ascii="宋体" w:hAnsi="宋体" w:cs="宋体"/>
          <w:szCs w:val="21"/>
          <w:highlight w:val="none"/>
          <w:lang w:val="en-US" w:eastAsia="zh-CN"/>
        </w:rPr>
        <w:t>进行</w:t>
      </w:r>
      <w:r>
        <w:rPr>
          <w:rFonts w:hint="eastAsia" w:ascii="宋体" w:hAnsi="宋体" w:cs="宋体"/>
          <w:szCs w:val="21"/>
          <w:highlight w:val="none"/>
        </w:rPr>
        <w:t>签</w:t>
      </w:r>
      <w:r>
        <w:rPr>
          <w:rFonts w:hint="eastAsia" w:ascii="宋体" w:hAnsi="宋体" w:cs="宋体"/>
          <w:szCs w:val="21"/>
          <w:highlight w:val="none"/>
          <w:lang w:val="en-US" w:eastAsia="zh-CN"/>
        </w:rPr>
        <w:t>章</w:t>
      </w:r>
      <w:r>
        <w:rPr>
          <w:rFonts w:hint="eastAsia" w:ascii="宋体" w:hAnsi="宋体" w:cs="宋体"/>
          <w:szCs w:val="21"/>
          <w:highlight w:val="none"/>
        </w:rPr>
        <w:t>及</w:t>
      </w:r>
      <w:r>
        <w:rPr>
          <w:rFonts w:hint="eastAsia" w:ascii="宋体" w:hAnsi="宋体" w:cs="宋体"/>
          <w:szCs w:val="21"/>
          <w:highlight w:val="none"/>
          <w:lang w:val="en-US" w:eastAsia="zh-CN"/>
        </w:rPr>
        <w:t>提供相应</w:t>
      </w:r>
      <w:r>
        <w:rPr>
          <w:rFonts w:hint="eastAsia" w:ascii="宋体" w:hAnsi="宋体" w:cs="宋体"/>
          <w:szCs w:val="21"/>
          <w:highlight w:val="none"/>
        </w:rPr>
        <w:t>材料。</w:t>
      </w:r>
    </w:p>
    <w:p w14:paraId="68A1C4C9">
      <w:pPr>
        <w:keepNext w:val="0"/>
        <w:keepLines w:val="0"/>
        <w:widowControl/>
        <w:suppressLineNumbers w:val="0"/>
        <w:autoSpaceDE w:val="0"/>
        <w:autoSpaceDN/>
        <w:spacing w:before="0" w:beforeAutospacing="0" w:after="0" w:afterAutospacing="0" w:line="480" w:lineRule="auto"/>
        <w:ind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79512A39">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14:paraId="07386938">
      <w:pPr>
        <w:pStyle w:val="51"/>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206" w:name="_Toc6019_WPSOffice_Level1"/>
      <w:bookmarkEnd w:id="206"/>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14:paraId="1388DB12">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6B33D15">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6BCE416">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CDABD43">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14:paraId="5DB969DB">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B104646">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14:paraId="4BCBBFE1">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14:paraId="5216F98B">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14:paraId="1B364EFF">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14:paraId="083381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14:paraId="74B879A8">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14:paraId="6D78E9E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0548151B">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采购人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14:paraId="3FA8C80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35740CD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338CDE3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14:paraId="16ED9C7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401DBF04">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083AFF3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2AB2BE00">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2972F67">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15525015">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583454C0">
      <w:pPr>
        <w:keepNext w:val="0"/>
        <w:keepLines w:val="0"/>
        <w:pageBreakBefore w:val="0"/>
        <w:widowControl w:val="0"/>
        <w:kinsoku/>
        <w:wordWrap/>
        <w:overflowPunct/>
        <w:topLinePunct w:val="0"/>
        <w:autoSpaceDE/>
        <w:autoSpaceDN/>
        <w:bidi w:val="0"/>
        <w:adjustRightInd/>
        <w:snapToGrid/>
        <w:spacing w:line="38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309BF68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76884D1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4C0CB97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881E29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6D7489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w:t>
      </w:r>
      <w:r>
        <w:rPr>
          <w:rFonts w:hint="eastAsia" w:ascii="宋体" w:hAnsi="宋体"/>
          <w:color w:val="auto"/>
          <w:szCs w:val="21"/>
          <w:highlight w:val="none"/>
          <w:lang w:eastAsia="zh-CN"/>
        </w:rPr>
        <w:t>采购人</w:t>
      </w:r>
      <w:r>
        <w:rPr>
          <w:rFonts w:hint="eastAsia" w:ascii="宋体" w:hAnsi="宋体"/>
          <w:color w:val="auto"/>
          <w:szCs w:val="21"/>
          <w:highlight w:val="none"/>
        </w:rPr>
        <w:t>的合法权益；</w:t>
      </w:r>
    </w:p>
    <w:p w14:paraId="1AD7A51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w:t>
      </w:r>
      <w:r>
        <w:rPr>
          <w:rFonts w:hint="eastAsia" w:ascii="宋体" w:hAnsi="宋体"/>
          <w:color w:val="auto"/>
          <w:szCs w:val="21"/>
          <w:highlight w:val="none"/>
          <w:lang w:eastAsia="zh-CN"/>
        </w:rPr>
        <w:t>采购人</w:t>
      </w:r>
      <w:r>
        <w:rPr>
          <w:rFonts w:hint="eastAsia" w:ascii="宋体" w:hAnsi="宋体"/>
          <w:color w:val="auto"/>
          <w:szCs w:val="21"/>
          <w:highlight w:val="none"/>
        </w:rPr>
        <w:t>、代理机构或其他投标人串通投标，损害国家利益、社会公共利益或者他人的合法权益；</w:t>
      </w:r>
    </w:p>
    <w:p w14:paraId="21A8EA0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color w:val="auto"/>
          <w:highlight w:val="none"/>
          <w:lang w:eastAsia="zh-CN"/>
        </w:rPr>
      </w:pPr>
      <w:r>
        <w:rPr>
          <w:rFonts w:hint="eastAsia" w:ascii="宋体" w:hAnsi="宋体"/>
          <w:color w:val="auto"/>
          <w:szCs w:val="21"/>
          <w:highlight w:val="none"/>
        </w:rPr>
        <w:t>六、我公司没有下列情形：</w:t>
      </w:r>
      <w:r>
        <w:rPr>
          <w:rFonts w:hint="eastAsia" w:ascii="宋体" w:hAnsi="宋体" w:eastAsia="宋体" w:cs="宋体"/>
          <w:color w:val="auto"/>
          <w:szCs w:val="21"/>
          <w:highlight w:val="none"/>
          <w:lang w:bidi="ar"/>
        </w:rPr>
        <w:t>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w:t>
      </w:r>
      <w:r>
        <w:rPr>
          <w:rFonts w:hint="eastAsia" w:ascii="宋体" w:hAnsi="宋体"/>
          <w:color w:val="auto"/>
          <w:szCs w:val="21"/>
          <w:highlight w:val="none"/>
        </w:rPr>
        <w:t>。</w:t>
      </w:r>
    </w:p>
    <w:p w14:paraId="3176AB9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、保证中标后不转包，若有分包征得</w:t>
      </w:r>
      <w:r>
        <w:rPr>
          <w:rFonts w:hint="eastAsia" w:ascii="宋体" w:hAnsi="宋体"/>
          <w:color w:val="auto"/>
          <w:szCs w:val="21"/>
          <w:highlight w:val="none"/>
          <w:lang w:eastAsia="zh-CN"/>
        </w:rPr>
        <w:t>采购人</w:t>
      </w:r>
      <w:r>
        <w:rPr>
          <w:rFonts w:hint="eastAsia" w:ascii="宋体" w:hAnsi="宋体"/>
          <w:color w:val="auto"/>
          <w:szCs w:val="21"/>
          <w:highlight w:val="none"/>
        </w:rPr>
        <w:t>同意；</w:t>
      </w:r>
    </w:p>
    <w:p w14:paraId="2115801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w:t>
      </w:r>
      <w:r>
        <w:rPr>
          <w:rFonts w:hint="eastAsia" w:ascii="宋体" w:hAnsi="宋体"/>
          <w:color w:val="auto"/>
          <w:szCs w:val="21"/>
          <w:highlight w:val="none"/>
          <w:lang w:val="en-US" w:eastAsia="zh-CN"/>
        </w:rPr>
        <w:t>招标</w:t>
      </w:r>
      <w:r>
        <w:rPr>
          <w:rFonts w:hint="eastAsia" w:ascii="宋体" w:hAnsi="宋体"/>
          <w:color w:val="auto"/>
          <w:szCs w:val="21"/>
          <w:highlight w:val="none"/>
        </w:rPr>
        <w:t>文件要求提供相关后续服务；</w:t>
      </w:r>
    </w:p>
    <w:p w14:paraId="266AD44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280EBF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42506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采购人</w:t>
      </w:r>
      <w:r>
        <w:rPr>
          <w:rFonts w:hint="eastAsia" w:ascii="宋体" w:hAnsi="宋体"/>
          <w:color w:val="auto"/>
          <w:szCs w:val="21"/>
          <w:highlight w:val="none"/>
        </w:rPr>
        <w:t>造成损失的，依法承担赔偿责任。</w:t>
      </w:r>
    </w:p>
    <w:p w14:paraId="15C8EC22">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开户银行：                          基本账户：</w:t>
      </w:r>
    </w:p>
    <w:p w14:paraId="35F5B0EB">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 xml:space="preserve">投标单位（签章或盖章）：         </w:t>
      </w:r>
      <w:r>
        <w:rPr>
          <w:rFonts w:hint="eastAsia" w:ascii="宋体" w:hAnsi="宋体"/>
          <w:szCs w:val="21"/>
          <w:highlight w:val="none"/>
          <w:lang w:val="en-US" w:eastAsia="zh-CN"/>
        </w:rPr>
        <w:t xml:space="preserve">  </w:t>
      </w:r>
      <w:r>
        <w:rPr>
          <w:rFonts w:hint="eastAsia" w:ascii="宋体" w:hAnsi="宋体"/>
          <w:szCs w:val="21"/>
          <w:highlight w:val="none"/>
        </w:rPr>
        <w:t xml:space="preserve"> 法定代表人（签字或签章）：</w:t>
      </w:r>
    </w:p>
    <w:p w14:paraId="333B46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14:paraId="6220F11E">
      <w:pPr>
        <w:keepNext/>
        <w:keepLines/>
        <w:spacing w:line="720" w:lineRule="auto"/>
        <w:jc w:val="both"/>
        <w:outlineLvl w:val="2"/>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14:paraId="1A07D8CC">
      <w:pPr>
        <w:keepNext/>
        <w:keepLines/>
        <w:spacing w:line="720" w:lineRule="auto"/>
        <w:jc w:val="center"/>
        <w:outlineLvl w:val="2"/>
        <w:rPr>
          <w:b/>
          <w:bCs/>
          <w:sz w:val="28"/>
          <w:szCs w:val="28"/>
          <w:highlight w:val="none"/>
        </w:rPr>
      </w:pPr>
      <w:r>
        <w:rPr>
          <w:rFonts w:hint="eastAsia"/>
          <w:b/>
          <w:bCs/>
          <w:sz w:val="28"/>
          <w:szCs w:val="28"/>
          <w:highlight w:val="none"/>
        </w:rPr>
        <w:t>服务承诺书</w:t>
      </w:r>
    </w:p>
    <w:p w14:paraId="6717070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采购</w:t>
      </w:r>
      <w:r>
        <w:rPr>
          <w:rFonts w:hint="eastAsia" w:ascii="宋体" w:hAnsi="宋体"/>
          <w:color w:val="000000"/>
          <w:sz w:val="24"/>
          <w:highlight w:val="none"/>
          <w:u w:val="single"/>
        </w:rPr>
        <w:t>人）     ：</w:t>
      </w:r>
    </w:p>
    <w:p w14:paraId="72EB087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p>
    <w:p w14:paraId="63D2047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14:paraId="2C838DE0">
      <w:pPr>
        <w:spacing w:line="720" w:lineRule="auto"/>
        <w:rPr>
          <w:rFonts w:ascii="宋体" w:hAnsi="宋体"/>
          <w:color w:val="000000"/>
          <w:sz w:val="24"/>
          <w:highlight w:val="none"/>
        </w:rPr>
      </w:pPr>
      <w:r>
        <w:rPr>
          <w:rFonts w:hint="eastAsia" w:ascii="宋体" w:hAnsi="宋体"/>
          <w:color w:val="000000"/>
          <w:sz w:val="24"/>
          <w:highlight w:val="none"/>
        </w:rPr>
        <w:t> </w:t>
      </w:r>
    </w:p>
    <w:p w14:paraId="6583E45E">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14:paraId="30E537EC">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14:paraId="33806926">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DB37B6">
      <w:pPr>
        <w:rPr>
          <w:highlight w:val="none"/>
        </w:rPr>
      </w:pPr>
      <w:r>
        <w:rPr>
          <w:highlight w:val="none"/>
        </w:rPr>
        <w:br w:type="page"/>
      </w:r>
    </w:p>
    <w:p w14:paraId="1D78324B">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25BD7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开标一览表</w:t>
      </w:r>
    </w:p>
    <w:p w14:paraId="4225A89A">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6462B40">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960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3D975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69DC151D">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67B5BA0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53ED3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568B8FF0">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6AA9E423">
            <w:pPr>
              <w:pStyle w:val="16"/>
              <w:widowControl/>
              <w:spacing w:line="460" w:lineRule="exact"/>
              <w:ind w:left="86" w:leftChars="41"/>
              <w:rPr>
                <w:rFonts w:hint="eastAsia" w:ascii="宋体" w:hAnsi="Arial" w:eastAsia="宋体" w:cs="宋体"/>
                <w:sz w:val="24"/>
                <w:szCs w:val="24"/>
                <w:highlight w:val="none"/>
                <w:lang w:val="en-US"/>
              </w:rPr>
            </w:pPr>
          </w:p>
        </w:tc>
      </w:tr>
      <w:tr w14:paraId="7F979C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68437FF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83F2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宋体"/>
                <w:color w:val="000000"/>
                <w:sz w:val="24"/>
                <w:highlight w:val="none"/>
              </w:rPr>
            </w:pPr>
            <w:r>
              <w:rPr>
                <w:rFonts w:hint="eastAsia" w:ascii="宋体"/>
                <w:color w:val="000000"/>
                <w:sz w:val="24"/>
                <w:highlight w:val="none"/>
              </w:rPr>
              <w:t>投标</w:t>
            </w:r>
            <w:r>
              <w:rPr>
                <w:rFonts w:hint="eastAsia" w:ascii="宋体"/>
                <w:color w:val="000000"/>
                <w:sz w:val="24"/>
                <w:highlight w:val="none"/>
                <w:lang w:val="en-US" w:eastAsia="zh-CN"/>
              </w:rPr>
              <w:t>报</w:t>
            </w:r>
            <w:r>
              <w:rPr>
                <w:rFonts w:hint="eastAsia" w:ascii="宋体"/>
                <w:color w:val="000000"/>
                <w:sz w:val="24"/>
                <w:highlight w:val="none"/>
              </w:rPr>
              <w:t>价（大写）：</w:t>
            </w:r>
            <w:r>
              <w:rPr>
                <w:rFonts w:hint="eastAsia" w:ascii="宋体"/>
                <w:color w:val="000000"/>
                <w:sz w:val="24"/>
                <w:highlight w:val="none"/>
                <w:u w:val="single"/>
              </w:rPr>
              <w:t xml:space="preserve">                   </w:t>
            </w:r>
            <w:r>
              <w:rPr>
                <w:rFonts w:hint="eastAsia" w:ascii="宋体"/>
                <w:color w:val="000000"/>
                <w:sz w:val="24"/>
                <w:highlight w:val="none"/>
              </w:rPr>
              <w:t>元</w:t>
            </w:r>
          </w:p>
          <w:p w14:paraId="06EC2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textAlignment w:val="auto"/>
              <w:rPr>
                <w:rFonts w:hint="eastAsia" w:ascii="宋体"/>
                <w:color w:val="000000"/>
                <w:sz w:val="24"/>
                <w:highlight w:val="none"/>
              </w:rPr>
            </w:pPr>
            <w:r>
              <w:rPr>
                <w:rFonts w:hint="eastAsia" w:ascii="宋体"/>
                <w:color w:val="000000"/>
                <w:sz w:val="24"/>
                <w:highlight w:val="none"/>
              </w:rPr>
              <w:t>（</w:t>
            </w:r>
            <w:r>
              <w:rPr>
                <w:rFonts w:hint="eastAsia" w:ascii="宋体"/>
                <w:color w:val="000000"/>
                <w:sz w:val="24"/>
                <w:highlight w:val="none"/>
                <w:lang w:val="en-US" w:eastAsia="zh-CN"/>
              </w:rPr>
              <w:t>小</w:t>
            </w:r>
            <w:r>
              <w:rPr>
                <w:rFonts w:hint="eastAsia" w:ascii="宋体"/>
                <w:color w:val="000000"/>
                <w:sz w:val="24"/>
                <w:highlight w:val="none"/>
              </w:rPr>
              <w:t>写）：</w:t>
            </w:r>
            <w:r>
              <w:rPr>
                <w:rFonts w:hint="eastAsia" w:ascii="宋体"/>
                <w:color w:val="000000"/>
                <w:sz w:val="24"/>
                <w:highlight w:val="none"/>
                <w:u w:val="single"/>
              </w:rPr>
              <w:t xml:space="preserve">                    </w:t>
            </w:r>
            <w:r>
              <w:rPr>
                <w:rFonts w:hint="eastAsia" w:ascii="宋体"/>
                <w:color w:val="000000"/>
                <w:sz w:val="24"/>
                <w:highlight w:val="none"/>
              </w:rPr>
              <w:t>元</w:t>
            </w:r>
          </w:p>
          <w:p w14:paraId="2153B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eastAsia" w:ascii="宋体"/>
                <w:color w:val="auto"/>
                <w:sz w:val="24"/>
                <w:highlight w:val="none"/>
              </w:rPr>
            </w:pPr>
            <w:r>
              <w:rPr>
                <w:rFonts w:hint="eastAsia" w:ascii="宋体"/>
                <w:color w:val="auto"/>
                <w:szCs w:val="21"/>
                <w:highlight w:val="none"/>
                <w:lang w:val="zh-CN"/>
              </w:rPr>
              <w:t>其中，</w:t>
            </w:r>
            <w:r>
              <w:rPr>
                <w:rFonts w:hint="eastAsia" w:ascii="宋体" w:hAnsi="宋体" w:cs="宋体"/>
                <w:b/>
                <w:color w:val="auto"/>
                <w:szCs w:val="21"/>
                <w:highlight w:val="none"/>
              </w:rPr>
              <w:t>小、微型、监狱、残疾人福利性企业报价（</w:t>
            </w:r>
            <w:r>
              <w:rPr>
                <w:rFonts w:hint="eastAsia" w:ascii="宋体"/>
                <w:color w:val="auto"/>
                <w:szCs w:val="21"/>
                <w:highlight w:val="none"/>
              </w:rPr>
              <w:t>注：非小微等企业可以不填写</w:t>
            </w:r>
            <w:r>
              <w:rPr>
                <w:rFonts w:hint="eastAsia" w:ascii="宋体" w:hAnsi="宋体" w:cs="宋体"/>
                <w:b/>
                <w:color w:val="auto"/>
                <w:szCs w:val="21"/>
                <w:highlight w:val="none"/>
              </w:rPr>
              <w:t>）</w:t>
            </w:r>
          </w:p>
          <w:p w14:paraId="3A30B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firstLine="1080" w:firstLineChars="450"/>
              <w:textAlignment w:val="auto"/>
              <w:rPr>
                <w:rFonts w:hint="eastAsia" w:ascii="宋体" w:hAnsi="宋体"/>
                <w:color w:val="auto"/>
                <w:sz w:val="24"/>
                <w:highlight w:val="none"/>
              </w:rPr>
            </w:pPr>
            <w:r>
              <w:rPr>
                <w:rFonts w:hint="eastAsia" w:ascii="宋体" w:hAnsi="宋体"/>
                <w:color w:val="auto"/>
                <w:sz w:val="24"/>
                <w:highlight w:val="none"/>
              </w:rPr>
              <w:t>（大写）：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14:paraId="75B56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firstLine="1200" w:firstLineChars="500"/>
              <w:textAlignment w:val="auto"/>
              <w:rPr>
                <w:rFonts w:hint="eastAsia" w:ascii="宋体" w:hAnsi="宋体"/>
                <w:color w:val="auto"/>
                <w:sz w:val="24"/>
                <w:highlight w:val="none"/>
              </w:rPr>
            </w:pP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14:paraId="2B5FF9D8">
            <w:pPr>
              <w:keepNext w:val="0"/>
              <w:keepLines w:val="0"/>
              <w:pageBreakBefore w:val="0"/>
              <w:widowControl/>
              <w:suppressLineNumbers w:val="0"/>
              <w:kinsoku/>
              <w:wordWrap/>
              <w:overflowPunct/>
              <w:topLinePunct w:val="0"/>
              <w:autoSpaceDE/>
              <w:autoSpaceDN/>
              <w:bidi w:val="0"/>
              <w:snapToGrid/>
              <w:spacing w:before="0" w:beforeAutospacing="0" w:after="0" w:afterAutospacing="0" w:line="440" w:lineRule="exact"/>
              <w:ind w:left="0" w:right="0"/>
              <w:jc w:val="both"/>
              <w:textAlignment w:val="auto"/>
              <w:rPr>
                <w:rFonts w:hint="default"/>
                <w:kern w:val="2"/>
                <w:sz w:val="24"/>
                <w:szCs w:val="24"/>
                <w:highlight w:val="none"/>
                <w:lang w:val="en-US"/>
              </w:rPr>
            </w:pPr>
            <w:r>
              <w:rPr>
                <w:rFonts w:hint="eastAsia" w:ascii="宋体"/>
                <w:color w:val="000000"/>
                <w:sz w:val="24"/>
                <w:highlight w:val="none"/>
              </w:rPr>
              <w:t>服务期：</w:t>
            </w:r>
          </w:p>
        </w:tc>
      </w:tr>
    </w:tbl>
    <w:p w14:paraId="0D74E67F">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16A54B9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5784D394">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2BB474CE">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start="1"/>
          <w:cols w:space="425" w:num="1"/>
          <w:docGrid w:type="lines" w:linePitch="312" w:charSpace="0"/>
        </w:sectPr>
      </w:pPr>
    </w:p>
    <w:p w14:paraId="14760068">
      <w:pPr>
        <w:keepNext w:val="0"/>
        <w:keepLines w:val="0"/>
        <w:widowControl/>
        <w:suppressLineNumbers w:val="0"/>
        <w:spacing w:before="0" w:beforeAutospacing="0" w:after="0" w:afterAutospacing="0" w:line="360" w:lineRule="exact"/>
        <w:ind w:right="0"/>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AE24D7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5F6228E6">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069A1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(采购人)       </w:t>
      </w:r>
      <w:r>
        <w:rPr>
          <w:rFonts w:hint="eastAsia" w:ascii="宋体" w:hAnsi="宋体" w:eastAsia="宋体" w:cs="宋体"/>
          <w:color w:val="000000"/>
          <w:kern w:val="0"/>
          <w:sz w:val="24"/>
          <w:szCs w:val="24"/>
          <w:highlight w:val="none"/>
          <w:u w:color="000000"/>
          <w:lang w:val="en-US" w:eastAsia="zh-CN" w:bidi="ar"/>
        </w:rPr>
        <w:t xml:space="preserve"> </w:t>
      </w:r>
    </w:p>
    <w:p w14:paraId="46990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7826C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2.我方愿意按照招标文件规定的各项要求，向采购人提供本项目的服务，投标报价为人民币（大写）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2A761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070E7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83F5C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6CE3E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4BC67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0E94A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5667C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B499C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1751A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39DC3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0D3004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703B883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08E360FD">
      <w:pPr>
        <w:rPr>
          <w:rFonts w:hint="eastAsia"/>
          <w:color w:val="auto"/>
          <w:highlight w:val="none"/>
        </w:rPr>
      </w:pPr>
      <w:r>
        <w:rPr>
          <w:b/>
          <w:bCs w:val="0"/>
          <w:sz w:val="32"/>
          <w:szCs w:val="32"/>
          <w:highlight w:val="none"/>
          <w:lang w:eastAsia="zh-CN"/>
        </w:rPr>
        <w:br w:type="page"/>
      </w: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6</w:t>
      </w:r>
      <w:r>
        <w:rPr>
          <w:rFonts w:hint="eastAsia" w:ascii="宋体" w:hAnsi="宋体"/>
          <w:b/>
          <w:color w:val="auto"/>
          <w:sz w:val="30"/>
          <w:szCs w:val="30"/>
          <w:highlight w:val="none"/>
        </w:rPr>
        <w:t xml:space="preserve">          </w:t>
      </w:r>
    </w:p>
    <w:p w14:paraId="0208E483">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中小企业声明函（服务）</w:t>
      </w:r>
    </w:p>
    <w:p w14:paraId="6435CFC3">
      <w:pPr>
        <w:ind w:firstLine="420" w:firstLineChars="200"/>
        <w:rPr>
          <w:rFonts w:hint="eastAsia"/>
          <w:color w:val="auto"/>
          <w:sz w:val="21"/>
          <w:szCs w:val="21"/>
          <w:highlight w:val="none"/>
        </w:rPr>
      </w:pPr>
      <w:r>
        <w:rPr>
          <w:rFonts w:hint="eastAsia"/>
          <w:color w:val="auto"/>
          <w:sz w:val="21"/>
          <w:szCs w:val="21"/>
          <w:highlight w:val="none"/>
        </w:rPr>
        <w:t>本公司（联合体）郑重声明，根据《政府采购促进中小企业发展管理办法》（财库﹝2020﹞46 号）的规定，本公司（联合体）参加</w:t>
      </w:r>
      <w:r>
        <w:rPr>
          <w:rFonts w:hint="eastAsia"/>
          <w:color w:val="auto"/>
          <w:sz w:val="21"/>
          <w:szCs w:val="21"/>
          <w:highlight w:val="none"/>
          <w:u w:val="single"/>
        </w:rPr>
        <w:t xml:space="preserve"> （单位名称） </w:t>
      </w:r>
      <w:r>
        <w:rPr>
          <w:rFonts w:hint="eastAsia"/>
          <w:color w:val="auto"/>
          <w:sz w:val="21"/>
          <w:szCs w:val="21"/>
          <w:highlight w:val="none"/>
        </w:rPr>
        <w:t>的</w:t>
      </w:r>
      <w:r>
        <w:rPr>
          <w:rFonts w:hint="eastAsia"/>
          <w:color w:val="auto"/>
          <w:sz w:val="21"/>
          <w:szCs w:val="21"/>
          <w:highlight w:val="none"/>
          <w:u w:val="single"/>
        </w:rPr>
        <w:t>（项目名称）</w:t>
      </w:r>
      <w:r>
        <w:rPr>
          <w:rFonts w:hint="eastAsia"/>
          <w:color w:val="auto"/>
          <w:sz w:val="21"/>
          <w:szCs w:val="21"/>
          <w:highlight w:val="none"/>
        </w:rPr>
        <w:t>采购活动，服务全部由符合政策要求的中小企业承接。相关企业（含联合体中的中小企业、签订分包意向协议的中小企业）的具体情况如下：</w:t>
      </w:r>
    </w:p>
    <w:p w14:paraId="518690EA">
      <w:pPr>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（标的名称） </w:t>
      </w:r>
      <w:r>
        <w:rPr>
          <w:rFonts w:hint="eastAsia"/>
          <w:color w:val="auto"/>
          <w:sz w:val="21"/>
          <w:szCs w:val="21"/>
          <w:highlight w:val="none"/>
        </w:rPr>
        <w:t>，属于</w:t>
      </w:r>
      <w:r>
        <w:rPr>
          <w:rFonts w:hint="eastAsia"/>
          <w:color w:val="auto"/>
          <w:sz w:val="21"/>
          <w:szCs w:val="21"/>
          <w:highlight w:val="none"/>
          <w:u w:val="single"/>
          <w:lang w:val="en-US" w:eastAsia="zh-CN"/>
        </w:rPr>
        <w:t>软件和信息技术服务业</w:t>
      </w:r>
      <w:r>
        <w:rPr>
          <w:rFonts w:hint="eastAsia"/>
          <w:color w:val="auto"/>
          <w:sz w:val="21"/>
          <w:szCs w:val="21"/>
          <w:highlight w:val="none"/>
        </w:rPr>
        <w:t>；承建（承接）企业为</w:t>
      </w:r>
      <w:r>
        <w:rPr>
          <w:rFonts w:hint="eastAsia"/>
          <w:color w:val="auto"/>
          <w:sz w:val="21"/>
          <w:szCs w:val="21"/>
          <w:highlight w:val="none"/>
          <w:u w:val="single"/>
        </w:rPr>
        <w:t xml:space="preserve"> （企业名称） </w:t>
      </w:r>
      <w:r>
        <w:rPr>
          <w:rFonts w:hint="eastAsia"/>
          <w:color w:val="auto"/>
          <w:sz w:val="21"/>
          <w:szCs w:val="21"/>
          <w:highlight w:val="none"/>
        </w:rPr>
        <w:t>，从业人员</w:t>
      </w:r>
      <w:r>
        <w:rPr>
          <w:rFonts w:hint="eastAsia"/>
          <w:color w:val="auto"/>
          <w:sz w:val="21"/>
          <w:szCs w:val="21"/>
          <w:highlight w:val="none"/>
          <w:u w:val="single"/>
        </w:rPr>
        <w:t xml:space="preserve">  </w:t>
      </w:r>
      <w:r>
        <w:rPr>
          <w:rFonts w:hint="eastAsia"/>
          <w:color w:val="auto"/>
          <w:sz w:val="21"/>
          <w:szCs w:val="21"/>
          <w:highlight w:val="none"/>
        </w:rPr>
        <w:t>人，营业收入为</w:t>
      </w:r>
      <w:r>
        <w:rPr>
          <w:rFonts w:hint="eastAsia"/>
          <w:color w:val="auto"/>
          <w:sz w:val="21"/>
          <w:szCs w:val="21"/>
          <w:highlight w:val="none"/>
          <w:u w:val="single"/>
        </w:rPr>
        <w:t xml:space="preserve">  </w:t>
      </w:r>
      <w:r>
        <w:rPr>
          <w:rFonts w:hint="eastAsia"/>
          <w:color w:val="auto"/>
          <w:sz w:val="21"/>
          <w:szCs w:val="21"/>
          <w:highlight w:val="none"/>
        </w:rPr>
        <w:t>万元，资产总额为</w:t>
      </w:r>
      <w:r>
        <w:rPr>
          <w:rFonts w:hint="eastAsia"/>
          <w:color w:val="auto"/>
          <w:sz w:val="21"/>
          <w:szCs w:val="21"/>
          <w:highlight w:val="none"/>
          <w:u w:val="single"/>
        </w:rPr>
        <w:t xml:space="preserve">  </w:t>
      </w:r>
      <w:r>
        <w:rPr>
          <w:rFonts w:hint="eastAsia"/>
          <w:color w:val="auto"/>
          <w:sz w:val="21"/>
          <w:szCs w:val="21"/>
          <w:highlight w:val="none"/>
        </w:rPr>
        <w:t>万元</w:t>
      </w:r>
      <w:r>
        <w:rPr>
          <w:rFonts w:hint="eastAsia"/>
          <w:color w:val="auto"/>
          <w:sz w:val="21"/>
          <w:szCs w:val="21"/>
          <w:highlight w:val="none"/>
          <w:vertAlign w:val="superscript"/>
        </w:rPr>
        <w:t xml:space="preserve">1 </w:t>
      </w:r>
      <w:r>
        <w:rPr>
          <w:rFonts w:hint="eastAsia"/>
          <w:color w:val="auto"/>
          <w:sz w:val="21"/>
          <w:szCs w:val="21"/>
          <w:highlight w:val="none"/>
        </w:rPr>
        <w:t>，属于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514EC0A1">
      <w:pPr>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（标的名称）  </w:t>
      </w:r>
      <w:r>
        <w:rPr>
          <w:rFonts w:hint="eastAsia"/>
          <w:color w:val="auto"/>
          <w:sz w:val="21"/>
          <w:szCs w:val="21"/>
          <w:highlight w:val="none"/>
        </w:rPr>
        <w:t>，属于</w:t>
      </w:r>
      <w:r>
        <w:rPr>
          <w:rFonts w:hint="eastAsia"/>
          <w:color w:val="auto"/>
          <w:sz w:val="21"/>
          <w:szCs w:val="21"/>
          <w:highlight w:val="none"/>
          <w:u w:val="single"/>
          <w:lang w:val="en-US" w:eastAsia="zh-CN"/>
        </w:rPr>
        <w:t>软件和信息技术服务业</w:t>
      </w:r>
      <w:r>
        <w:rPr>
          <w:rFonts w:hint="eastAsia"/>
          <w:color w:val="auto"/>
          <w:sz w:val="21"/>
          <w:szCs w:val="21"/>
          <w:highlight w:val="none"/>
        </w:rPr>
        <w:t xml:space="preserve">；承建（承接）企业为 </w:t>
      </w:r>
      <w:r>
        <w:rPr>
          <w:rFonts w:hint="eastAsia"/>
          <w:color w:val="auto"/>
          <w:sz w:val="21"/>
          <w:szCs w:val="21"/>
          <w:highlight w:val="none"/>
          <w:u w:val="single"/>
        </w:rPr>
        <w:t xml:space="preserve">（企业名称） </w:t>
      </w:r>
      <w:r>
        <w:rPr>
          <w:rFonts w:hint="eastAsia"/>
          <w:color w:val="auto"/>
          <w:sz w:val="21"/>
          <w:szCs w:val="21"/>
          <w:highlight w:val="none"/>
        </w:rPr>
        <w:t>，从业人员</w:t>
      </w:r>
      <w:r>
        <w:rPr>
          <w:rFonts w:hint="eastAsia"/>
          <w:color w:val="auto"/>
          <w:sz w:val="21"/>
          <w:szCs w:val="21"/>
          <w:highlight w:val="none"/>
          <w:u w:val="single"/>
        </w:rPr>
        <w:t xml:space="preserve">  </w:t>
      </w:r>
      <w:r>
        <w:rPr>
          <w:rFonts w:hint="eastAsia"/>
          <w:color w:val="auto"/>
          <w:sz w:val="21"/>
          <w:szCs w:val="21"/>
          <w:highlight w:val="none"/>
        </w:rPr>
        <w:t>人，营业收入为</w:t>
      </w:r>
      <w:r>
        <w:rPr>
          <w:rFonts w:hint="eastAsia"/>
          <w:color w:val="auto"/>
          <w:sz w:val="21"/>
          <w:szCs w:val="21"/>
          <w:highlight w:val="none"/>
          <w:u w:val="single"/>
        </w:rPr>
        <w:t xml:space="preserve">  </w:t>
      </w:r>
      <w:r>
        <w:rPr>
          <w:rFonts w:hint="eastAsia"/>
          <w:color w:val="auto"/>
          <w:sz w:val="21"/>
          <w:szCs w:val="21"/>
          <w:highlight w:val="none"/>
        </w:rPr>
        <w:t>万元，资产总额为</w:t>
      </w:r>
      <w:r>
        <w:rPr>
          <w:rFonts w:hint="eastAsia"/>
          <w:color w:val="auto"/>
          <w:sz w:val="21"/>
          <w:szCs w:val="21"/>
          <w:highlight w:val="none"/>
          <w:u w:val="single"/>
        </w:rPr>
        <w:t xml:space="preserve">  </w:t>
      </w:r>
      <w:r>
        <w:rPr>
          <w:rFonts w:hint="eastAsia"/>
          <w:color w:val="auto"/>
          <w:sz w:val="21"/>
          <w:szCs w:val="21"/>
          <w:highlight w:val="none"/>
        </w:rPr>
        <w:t>万元</w:t>
      </w:r>
      <w:r>
        <w:rPr>
          <w:rFonts w:hint="eastAsia"/>
          <w:color w:val="auto"/>
          <w:sz w:val="21"/>
          <w:szCs w:val="21"/>
          <w:highlight w:val="none"/>
          <w:vertAlign w:val="superscript"/>
        </w:rPr>
        <w:t>1</w:t>
      </w:r>
      <w:r>
        <w:rPr>
          <w:rFonts w:hint="eastAsia"/>
          <w:color w:val="auto"/>
          <w:sz w:val="21"/>
          <w:szCs w:val="21"/>
          <w:highlight w:val="none"/>
        </w:rPr>
        <w:t>，属于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696C61FF">
      <w:pPr>
        <w:ind w:firstLine="420" w:firstLineChars="200"/>
        <w:rPr>
          <w:color w:val="auto"/>
          <w:sz w:val="21"/>
          <w:szCs w:val="21"/>
          <w:highlight w:val="none"/>
        </w:rPr>
      </w:pPr>
      <w:r>
        <w:rPr>
          <w:rFonts w:hint="eastAsia"/>
          <w:color w:val="auto"/>
          <w:sz w:val="21"/>
          <w:szCs w:val="21"/>
          <w:highlight w:val="none"/>
        </w:rPr>
        <w:t>……</w:t>
      </w:r>
    </w:p>
    <w:p w14:paraId="6B76A46C">
      <w:pPr>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00C18985">
      <w:pPr>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2339AB22">
      <w:pPr>
        <w:ind w:right="420" w:firstLine="4620" w:firstLineChars="2200"/>
        <w:rPr>
          <w:rFonts w:hint="eastAsia"/>
          <w:color w:val="auto"/>
          <w:highlight w:val="none"/>
        </w:rPr>
      </w:pPr>
      <w:r>
        <w:rPr>
          <w:rFonts w:hint="eastAsia"/>
          <w:color w:val="auto"/>
          <w:sz w:val="21"/>
          <w:szCs w:val="21"/>
          <w:highlight w:val="none"/>
        </w:rPr>
        <w:t>企业名</w:t>
      </w:r>
      <w:r>
        <w:rPr>
          <w:rFonts w:hint="eastAsia"/>
          <w:color w:val="auto"/>
          <w:highlight w:val="none"/>
        </w:rPr>
        <w:t>称（盖章）：</w:t>
      </w:r>
    </w:p>
    <w:p w14:paraId="58AFC631">
      <w:pPr>
        <w:ind w:right="420" w:firstLine="4620" w:firstLineChars="2200"/>
        <w:rPr>
          <w:rFonts w:hint="eastAsia"/>
          <w:color w:val="auto"/>
          <w:highlight w:val="none"/>
        </w:rPr>
      </w:pPr>
    </w:p>
    <w:p w14:paraId="7670C1A6">
      <w:pPr>
        <w:ind w:right="420" w:firstLine="420" w:firstLineChars="200"/>
        <w:jc w:val="center"/>
        <w:rPr>
          <w:rFonts w:hint="eastAsia"/>
          <w:color w:val="auto"/>
          <w:highlight w:val="none"/>
        </w:rPr>
      </w:pPr>
      <w:r>
        <w:rPr>
          <w:rFonts w:hint="eastAsia"/>
          <w:color w:val="auto"/>
          <w:highlight w:val="none"/>
        </w:rPr>
        <w:t xml:space="preserve">               日 期：</w:t>
      </w:r>
    </w:p>
    <w:p w14:paraId="2D56009A">
      <w:pPr>
        <w:rPr>
          <w:color w:val="auto"/>
          <w:sz w:val="18"/>
          <w:szCs w:val="18"/>
          <w:highlight w:val="none"/>
        </w:rPr>
      </w:pPr>
      <w:r>
        <w:rPr>
          <w:rFonts w:hint="eastAsia"/>
          <w:color w:val="auto"/>
          <w:sz w:val="18"/>
          <w:szCs w:val="18"/>
          <w:highlight w:val="none"/>
        </w:rPr>
        <w:t>注</w:t>
      </w:r>
      <w:r>
        <w:rPr>
          <w:color w:val="auto"/>
          <w:sz w:val="18"/>
          <w:szCs w:val="18"/>
          <w:highlight w:val="none"/>
        </w:rPr>
        <w:t>1</w:t>
      </w:r>
      <w:r>
        <w:rPr>
          <w:rFonts w:hint="eastAsia"/>
          <w:color w:val="auto"/>
          <w:sz w:val="18"/>
          <w:szCs w:val="18"/>
          <w:highlight w:val="none"/>
        </w:rPr>
        <w:t>从业人员、营业收入、资产总额填报上一年度数据，无上一年度数据的新成立企业可不填报。</w:t>
      </w:r>
    </w:p>
    <w:p w14:paraId="612E66AD">
      <w:pPr>
        <w:spacing w:line="360" w:lineRule="exact"/>
        <w:ind w:firstLine="443" w:firstLineChars="147"/>
        <w:rPr>
          <w:rFonts w:hint="eastAsia" w:ascii="宋体" w:hAnsi="宋体"/>
          <w:b/>
          <w:color w:val="auto"/>
          <w:sz w:val="30"/>
          <w:szCs w:val="30"/>
          <w:highlight w:val="none"/>
        </w:rPr>
      </w:pPr>
    </w:p>
    <w:p w14:paraId="5BA55000">
      <w:pPr>
        <w:spacing w:line="360" w:lineRule="exact"/>
        <w:ind w:firstLine="443" w:firstLineChars="147"/>
        <w:rPr>
          <w:rFonts w:hint="eastAsia" w:eastAsia="宋体"/>
          <w:color w:val="auto"/>
          <w:sz w:val="24"/>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7</w:t>
      </w:r>
    </w:p>
    <w:p w14:paraId="6EB0C1EA">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残疾人福利性</w:t>
      </w:r>
      <w:r>
        <w:rPr>
          <w:rFonts w:hint="eastAsia" w:ascii="宋体" w:hAnsi="宋体"/>
          <w:b/>
          <w:color w:val="auto"/>
          <w:sz w:val="28"/>
          <w:szCs w:val="28"/>
          <w:highlight w:val="none"/>
          <w:lang w:eastAsia="zh-CN"/>
        </w:rPr>
        <w:t>单位</w:t>
      </w:r>
      <w:r>
        <w:rPr>
          <w:rFonts w:hint="eastAsia" w:ascii="宋体" w:hAnsi="宋体"/>
          <w:b/>
          <w:color w:val="auto"/>
          <w:sz w:val="28"/>
          <w:szCs w:val="28"/>
          <w:highlight w:val="none"/>
        </w:rPr>
        <w:t>声明函</w:t>
      </w:r>
    </w:p>
    <w:p w14:paraId="522C2639">
      <w:pPr>
        <w:spacing w:line="588" w:lineRule="exact"/>
        <w:ind w:firstLine="630" w:firstLineChars="300"/>
        <w:rPr>
          <w:color w:val="auto"/>
          <w:highlight w:val="none"/>
        </w:rPr>
      </w:pPr>
      <w:r>
        <w:rPr>
          <w:rFonts w:hint="eastAsia"/>
          <w:color w:val="auto"/>
          <w:highlight w:val="none"/>
          <w:lang w:eastAsia="zh-CN"/>
        </w:rPr>
        <w:t>本单位</w:t>
      </w:r>
      <w:r>
        <w:rPr>
          <w:color w:val="auto"/>
          <w:highlight w:val="none"/>
        </w:rPr>
        <w:t>郑重声</w:t>
      </w:r>
      <w:r>
        <w:rPr>
          <w:rFonts w:hint="eastAsia"/>
          <w:color w:val="auto"/>
          <w:highlight w:val="none"/>
        </w:rPr>
        <w:t>明，</w:t>
      </w:r>
      <w:r>
        <w:rPr>
          <w:rFonts w:hint="eastAsia" w:ascii="Calibri" w:hAnsi="Calibri" w:eastAsia="宋体"/>
          <w:color w:val="auto"/>
          <w:spacing w:val="0"/>
          <w:sz w:val="21"/>
          <w:szCs w:val="24"/>
          <w:highlight w:val="none"/>
        </w:rPr>
        <w:t>根据《财政部 民政部 中国残疾人联合会关于促进残疾人就业政府采购政策的通知》（财库</w:t>
      </w:r>
      <w:r>
        <w:rPr>
          <w:rFonts w:hint="eastAsia" w:ascii="Calibri" w:hAnsi="Calibri" w:eastAsia="宋体"/>
          <w:color w:val="auto"/>
          <w:sz w:val="21"/>
          <w:szCs w:val="24"/>
          <w:highlight w:val="none"/>
        </w:rPr>
        <w:t>〔2017〕141</w:t>
      </w:r>
      <w:r>
        <w:rPr>
          <w:rFonts w:hint="eastAsia" w:ascii="Calibri" w:hAnsi="Calibri" w:eastAsia="宋体"/>
          <w:color w:val="auto"/>
          <w:spacing w:val="0"/>
          <w:sz w:val="21"/>
          <w:szCs w:val="24"/>
          <w:highlight w:val="none"/>
        </w:rPr>
        <w:t>号）的规定</w:t>
      </w:r>
      <w:r>
        <w:rPr>
          <w:rFonts w:hint="eastAsia"/>
          <w:color w:val="auto"/>
          <w:highlight w:val="none"/>
          <w:lang w:eastAsia="zh-CN"/>
        </w:rPr>
        <w:t>，</w:t>
      </w:r>
      <w:r>
        <w:rPr>
          <w:rFonts w:hint="eastAsia"/>
          <w:color w:val="auto"/>
          <w:highlight w:val="none"/>
        </w:rPr>
        <w:t>本单位为符合条件的残疾人福利性单位，且本单位参加______单位的______项目采购活动由本单位提供服务。</w:t>
      </w:r>
    </w:p>
    <w:p w14:paraId="062B46B9">
      <w:pPr>
        <w:spacing w:line="588" w:lineRule="exact"/>
        <w:ind w:firstLine="630" w:firstLineChars="300"/>
        <w:rPr>
          <w:color w:val="auto"/>
          <w:highlight w:val="none"/>
        </w:rPr>
      </w:pPr>
      <w:r>
        <w:rPr>
          <w:rFonts w:hint="eastAsia"/>
          <w:color w:val="auto"/>
          <w:highlight w:val="none"/>
        </w:rPr>
        <w:t>本单位对上述声明的真实性负责。如有虚假，将依法承担相应责任。</w:t>
      </w:r>
    </w:p>
    <w:p w14:paraId="683E7B71">
      <w:pPr>
        <w:spacing w:line="588" w:lineRule="exact"/>
        <w:ind w:firstLine="630" w:firstLineChars="300"/>
        <w:rPr>
          <w:color w:val="auto"/>
          <w:highlight w:val="none"/>
        </w:rPr>
      </w:pPr>
      <w:r>
        <w:rPr>
          <w:rFonts w:hint="eastAsia"/>
          <w:color w:val="auto"/>
          <w:highlight w:val="none"/>
        </w:rPr>
        <w:t xml:space="preserve">                                      投标人（盖单位章）：</w:t>
      </w:r>
    </w:p>
    <w:p w14:paraId="44E620C6">
      <w:pPr>
        <w:spacing w:line="588" w:lineRule="exact"/>
        <w:ind w:firstLine="630" w:firstLineChars="300"/>
        <w:rPr>
          <w:color w:val="auto"/>
          <w:highlight w:val="none"/>
        </w:rPr>
      </w:pPr>
      <w:r>
        <w:rPr>
          <w:rFonts w:hint="eastAsia"/>
          <w:color w:val="auto"/>
          <w:highlight w:val="none"/>
        </w:rPr>
        <w:t xml:space="preserve">                                                日  期：</w:t>
      </w:r>
    </w:p>
    <w:p w14:paraId="50AC1EA0">
      <w:pPr>
        <w:pStyle w:val="11"/>
        <w:rPr>
          <w:highlight w:val="none"/>
          <w:lang w:eastAsia="zh-CN"/>
        </w:rPr>
      </w:pPr>
    </w:p>
    <w:p w14:paraId="3C99150B">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4BFC833B">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05C158F5">
      <w:pPr>
        <w:pStyle w:val="23"/>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第七章</w:t>
      </w:r>
      <w:r>
        <w:rPr>
          <w:b/>
          <w:bCs w:val="0"/>
          <w:sz w:val="32"/>
          <w:szCs w:val="32"/>
          <w:highlight w:val="none"/>
          <w:lang w:val="en-US"/>
        </w:rPr>
        <w:t xml:space="preserve">   </w:t>
      </w:r>
      <w:r>
        <w:rPr>
          <w:rFonts w:hint="eastAsia"/>
          <w:b/>
          <w:bCs w:val="0"/>
          <w:sz w:val="32"/>
          <w:szCs w:val="32"/>
          <w:highlight w:val="none"/>
          <w:lang w:eastAsia="zh-CN"/>
        </w:rPr>
        <w:t>采购人</w:t>
      </w:r>
      <w:r>
        <w:rPr>
          <w:b/>
          <w:bCs w:val="0"/>
          <w:sz w:val="32"/>
          <w:szCs w:val="32"/>
          <w:highlight w:val="none"/>
          <w:lang w:eastAsia="zh-CN"/>
        </w:rPr>
        <w:t>、</w:t>
      </w:r>
      <w:r>
        <w:rPr>
          <w:rFonts w:hint="eastAsia"/>
          <w:b/>
          <w:bCs w:val="0"/>
          <w:sz w:val="32"/>
          <w:szCs w:val="32"/>
          <w:highlight w:val="none"/>
          <w:lang w:val="en-US" w:eastAsia="zh-CN"/>
        </w:rPr>
        <w:t>采购</w:t>
      </w:r>
      <w:r>
        <w:rPr>
          <w:b/>
          <w:bCs w:val="0"/>
          <w:sz w:val="32"/>
          <w:szCs w:val="32"/>
          <w:highlight w:val="none"/>
          <w:lang w:eastAsia="zh-CN"/>
        </w:rPr>
        <w:t>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4EF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52CD2A38">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5FB23E9B">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滁州市电子政务外网密码应用安全性评估服务（2026年）项目</w:t>
            </w:r>
            <w:r>
              <w:rPr>
                <w:rFonts w:hint="eastAsia" w:ascii="宋体" w:hAnsi="宋体" w:eastAsia="宋体" w:cs="宋体"/>
                <w:color w:val="000000"/>
                <w:kern w:val="2"/>
                <w:sz w:val="28"/>
                <w:szCs w:val="28"/>
                <w:highlight w:val="none"/>
                <w:u w:color="000000"/>
                <w:lang w:val="en-US" w:eastAsia="zh-CN" w:bidi="ar"/>
              </w:rPr>
              <w:t>招标文件进行确认。</w:t>
            </w:r>
          </w:p>
          <w:p w14:paraId="21919AA0">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采购人：滁州市数据资源管理局 </w:t>
            </w:r>
          </w:p>
          <w:p w14:paraId="4B2BCDA0">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联系人：顾勇健 </w:t>
            </w:r>
          </w:p>
          <w:p w14:paraId="4BBF9440">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联系电话：0550-3215669</w:t>
            </w:r>
          </w:p>
          <w:p w14:paraId="713E9714">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14:paraId="31DAA524">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14:paraId="3D2B7566">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2F10EBCC">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2026年7月</w:t>
            </w:r>
          </w:p>
          <w:p w14:paraId="5AEAFE1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D3D3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0AFB331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3EDC7B3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采购代理机构：滁州市城投工程咨询管理有限公司</w:t>
            </w:r>
          </w:p>
          <w:p w14:paraId="7761321D">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A2B504C">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658010F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32192CD7">
            <w:pPr>
              <w:pStyle w:val="11"/>
              <w:widowControl/>
              <w:spacing w:before="0" w:beforeAutospacing="0" w:after="120" w:afterAutospacing="0"/>
              <w:ind w:leftChars="200" w:right="0" w:firstLine="560"/>
              <w:rPr>
                <w:kern w:val="2"/>
                <w:sz w:val="28"/>
                <w:szCs w:val="28"/>
                <w:highlight w:val="none"/>
                <w:lang w:val="en-US"/>
              </w:rPr>
            </w:pPr>
          </w:p>
          <w:p w14:paraId="2B0EB90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03C46392">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E91537D">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44010023">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2026年7月</w:t>
            </w:r>
          </w:p>
        </w:tc>
      </w:tr>
    </w:tbl>
    <w:p w14:paraId="20527D5A">
      <w:pPr>
        <w:rPr>
          <w:highlight w:val="none"/>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F8D34">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0300F">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5403">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3A5403">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F3D4A">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F1872">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5F1872">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D262">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C9F48E7B"/>
    <w:multiLevelType w:val="singleLevel"/>
    <w:tmpl w:val="C9F48E7B"/>
    <w:lvl w:ilvl="0" w:tentative="0">
      <w:start w:val="3"/>
      <w:numFmt w:val="decimal"/>
      <w:lvlText w:val="%1."/>
      <w:lvlJc w:val="left"/>
      <w:pPr>
        <w:tabs>
          <w:tab w:val="left" w:pos="312"/>
        </w:tabs>
      </w:pPr>
    </w:lvl>
  </w:abstractNum>
  <w:abstractNum w:abstractNumId="2">
    <w:nsid w:val="12C6286C"/>
    <w:multiLevelType w:val="singleLevel"/>
    <w:tmpl w:val="12C6286C"/>
    <w:lvl w:ilvl="0" w:tentative="0">
      <w:start w:val="1"/>
      <w:numFmt w:val="decimal"/>
      <w:suff w:val="nothing"/>
      <w:lvlText w:val="（%1）"/>
      <w:lvlJc w:val="left"/>
    </w:lvl>
  </w:abstractNum>
  <w:abstractNum w:abstractNumId="3">
    <w:nsid w:val="2323379E"/>
    <w:multiLevelType w:val="multilevel"/>
    <w:tmpl w:val="2323379E"/>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E57865"/>
    <w:rsid w:val="01394488"/>
    <w:rsid w:val="01AA0375"/>
    <w:rsid w:val="01D118B5"/>
    <w:rsid w:val="01E872A1"/>
    <w:rsid w:val="03A16DF2"/>
    <w:rsid w:val="03EB72C0"/>
    <w:rsid w:val="06B76AF5"/>
    <w:rsid w:val="06D54ED0"/>
    <w:rsid w:val="07C12328"/>
    <w:rsid w:val="082162C2"/>
    <w:rsid w:val="09587016"/>
    <w:rsid w:val="0B625D1F"/>
    <w:rsid w:val="0B8B29D7"/>
    <w:rsid w:val="0B911CD2"/>
    <w:rsid w:val="0B9716C3"/>
    <w:rsid w:val="0CEF01A1"/>
    <w:rsid w:val="0D586601"/>
    <w:rsid w:val="0D8F0D8C"/>
    <w:rsid w:val="0E064672"/>
    <w:rsid w:val="0E264319"/>
    <w:rsid w:val="0E602A45"/>
    <w:rsid w:val="0EBB3464"/>
    <w:rsid w:val="0EE03F31"/>
    <w:rsid w:val="0FEC3D6A"/>
    <w:rsid w:val="10182671"/>
    <w:rsid w:val="109009AA"/>
    <w:rsid w:val="10E74A70"/>
    <w:rsid w:val="114F3AD5"/>
    <w:rsid w:val="12082018"/>
    <w:rsid w:val="13EA2ED7"/>
    <w:rsid w:val="14334ED5"/>
    <w:rsid w:val="146F369C"/>
    <w:rsid w:val="14C00319"/>
    <w:rsid w:val="14CF696D"/>
    <w:rsid w:val="15D46184"/>
    <w:rsid w:val="16813D78"/>
    <w:rsid w:val="176B18F2"/>
    <w:rsid w:val="18D96084"/>
    <w:rsid w:val="1A9E45FD"/>
    <w:rsid w:val="1AB3384D"/>
    <w:rsid w:val="1D1554B2"/>
    <w:rsid w:val="1D2A5FD4"/>
    <w:rsid w:val="1D424249"/>
    <w:rsid w:val="1DA44462"/>
    <w:rsid w:val="1E474369"/>
    <w:rsid w:val="1E567970"/>
    <w:rsid w:val="1E8E7AA4"/>
    <w:rsid w:val="1F9647B1"/>
    <w:rsid w:val="1FBE5586"/>
    <w:rsid w:val="202979CC"/>
    <w:rsid w:val="20971013"/>
    <w:rsid w:val="219922A7"/>
    <w:rsid w:val="222D5B93"/>
    <w:rsid w:val="22EA440E"/>
    <w:rsid w:val="23503E27"/>
    <w:rsid w:val="23A81E13"/>
    <w:rsid w:val="23DF40E5"/>
    <w:rsid w:val="24C85C3F"/>
    <w:rsid w:val="25F022C1"/>
    <w:rsid w:val="277C7584"/>
    <w:rsid w:val="287E4991"/>
    <w:rsid w:val="29681BB6"/>
    <w:rsid w:val="29BA55DC"/>
    <w:rsid w:val="2B783572"/>
    <w:rsid w:val="2CD13D11"/>
    <w:rsid w:val="2D921DED"/>
    <w:rsid w:val="2EE605DD"/>
    <w:rsid w:val="2FD4269B"/>
    <w:rsid w:val="31BD5E43"/>
    <w:rsid w:val="372E5DD5"/>
    <w:rsid w:val="382B3EBA"/>
    <w:rsid w:val="3AFB18B9"/>
    <w:rsid w:val="3BFD65FB"/>
    <w:rsid w:val="40585B1F"/>
    <w:rsid w:val="41C76417"/>
    <w:rsid w:val="42AB7679"/>
    <w:rsid w:val="43EE045E"/>
    <w:rsid w:val="440F4D94"/>
    <w:rsid w:val="4443363F"/>
    <w:rsid w:val="451231DA"/>
    <w:rsid w:val="453542F4"/>
    <w:rsid w:val="454247AC"/>
    <w:rsid w:val="454513CE"/>
    <w:rsid w:val="456E0582"/>
    <w:rsid w:val="46DE1424"/>
    <w:rsid w:val="47DC16A5"/>
    <w:rsid w:val="49C27036"/>
    <w:rsid w:val="4B8A2C90"/>
    <w:rsid w:val="4BBE3EC0"/>
    <w:rsid w:val="4BF21D42"/>
    <w:rsid w:val="4C3857CB"/>
    <w:rsid w:val="4F522371"/>
    <w:rsid w:val="502A52F7"/>
    <w:rsid w:val="50620C14"/>
    <w:rsid w:val="51A91BC3"/>
    <w:rsid w:val="523D4012"/>
    <w:rsid w:val="54C56489"/>
    <w:rsid w:val="56797A9A"/>
    <w:rsid w:val="570240F3"/>
    <w:rsid w:val="5704772F"/>
    <w:rsid w:val="58BC42F8"/>
    <w:rsid w:val="59237566"/>
    <w:rsid w:val="5A716DDB"/>
    <w:rsid w:val="5AB972A9"/>
    <w:rsid w:val="5AC41FE9"/>
    <w:rsid w:val="5AD57D84"/>
    <w:rsid w:val="5BEA4FCB"/>
    <w:rsid w:val="5C2219D2"/>
    <w:rsid w:val="5C940834"/>
    <w:rsid w:val="5D351170"/>
    <w:rsid w:val="5EEC02FA"/>
    <w:rsid w:val="5F35414B"/>
    <w:rsid w:val="642277FE"/>
    <w:rsid w:val="6491766D"/>
    <w:rsid w:val="6509245E"/>
    <w:rsid w:val="668A652A"/>
    <w:rsid w:val="691E05DB"/>
    <w:rsid w:val="6CC47100"/>
    <w:rsid w:val="6EA934B6"/>
    <w:rsid w:val="72D30C05"/>
    <w:rsid w:val="75843174"/>
    <w:rsid w:val="76B7003F"/>
    <w:rsid w:val="76BC44B4"/>
    <w:rsid w:val="776831AA"/>
    <w:rsid w:val="7782285E"/>
    <w:rsid w:val="77FF70A2"/>
    <w:rsid w:val="78412396"/>
    <w:rsid w:val="794F00D8"/>
    <w:rsid w:val="79924E45"/>
    <w:rsid w:val="7F216B07"/>
    <w:rsid w:val="EDCF2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4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6">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annotation text"/>
    <w:basedOn w:val="1"/>
    <w:qFormat/>
    <w:uiPriority w:val="0"/>
    <w:pPr>
      <w:jc w:val="left"/>
    </w:pPr>
    <w:rPr>
      <w:kern w:val="1"/>
    </w:rPr>
  </w:style>
  <w:style w:type="paragraph" w:styleId="8">
    <w:name w:val="Body Text 3"/>
    <w:basedOn w:val="1"/>
    <w:qFormat/>
    <w:uiPriority w:val="0"/>
    <w:rPr>
      <w:rFonts w:ascii="宋体" w:hAnsi="Calibri" w:eastAsia="宋体" w:cs="Times New Roman"/>
      <w:sz w:val="24"/>
      <w:szCs w:val="20"/>
    </w:rPr>
  </w:style>
  <w:style w:type="paragraph" w:styleId="9">
    <w:name w:val="Body Text"/>
    <w:basedOn w:val="1"/>
    <w:next w:val="10"/>
    <w:qFormat/>
    <w:uiPriority w:val="0"/>
    <w:pPr>
      <w:widowControl w:val="0"/>
      <w:snapToGrid w:val="0"/>
      <w:spacing w:line="360" w:lineRule="auto"/>
    </w:pPr>
    <w:rPr>
      <w:rFonts w:ascii="Arial" w:hAnsi="Arial" w:eastAsia="仿宋_GB2312"/>
      <w:sz w:val="31"/>
    </w:rPr>
  </w:style>
  <w:style w:type="paragraph" w:styleId="10">
    <w:name w:val="Body Text First Indent"/>
    <w:basedOn w:val="9"/>
    <w:next w:val="11"/>
    <w:unhideWhenUsed/>
    <w:qFormat/>
    <w:uiPriority w:val="99"/>
    <w:pPr>
      <w:ind w:firstLine="420" w:firstLineChars="100"/>
    </w:pPr>
  </w:style>
  <w:style w:type="paragraph" w:styleId="11">
    <w:name w:val="Body Text First Indent 2"/>
    <w:basedOn w:val="12"/>
    <w:link w:val="4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12">
    <w:name w:val="Body Text Indent"/>
    <w:basedOn w:val="1"/>
    <w:link w:val="44"/>
    <w:qFormat/>
    <w:uiPriority w:val="0"/>
    <w:pPr>
      <w:spacing w:after="120" w:afterLines="0" w:afterAutospacing="0"/>
      <w:ind w:left="420" w:leftChars="200"/>
    </w:pPr>
  </w:style>
  <w:style w:type="paragraph" w:styleId="13">
    <w:name w:val="List Continue"/>
    <w:basedOn w:val="1"/>
    <w:qFormat/>
    <w:uiPriority w:val="0"/>
    <w:pPr>
      <w:spacing w:after="120"/>
      <w:ind w:left="420"/>
    </w:pPr>
  </w:style>
  <w:style w:type="paragraph" w:styleId="14">
    <w:name w:val="index 4"/>
    <w:basedOn w:val="1"/>
    <w:next w:val="1"/>
    <w:qFormat/>
    <w:uiPriority w:val="99"/>
    <w:pPr>
      <w:ind w:left="600" w:leftChars="600"/>
    </w:pPr>
    <w:rPr>
      <w:szCs w:val="24"/>
    </w:rPr>
  </w:style>
  <w:style w:type="paragraph" w:styleId="15">
    <w:name w:val="Plain Text"/>
    <w:basedOn w:val="1"/>
    <w:next w:val="1"/>
    <w:link w:val="4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4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50"/>
    <w:qFormat/>
    <w:uiPriority w:val="0"/>
    <w:pPr>
      <w:tabs>
        <w:tab w:val="center" w:pos="4153"/>
        <w:tab w:val="right" w:pos="8306"/>
      </w:tabs>
      <w:snapToGrid w:val="0"/>
      <w:jc w:val="left"/>
    </w:pPr>
    <w:rPr>
      <w:sz w:val="18"/>
    </w:rPr>
  </w:style>
  <w:style w:type="paragraph" w:styleId="18">
    <w:name w:val="envelope return"/>
    <w:basedOn w:val="1"/>
    <w:next w:val="5"/>
    <w:qFormat/>
    <w:uiPriority w:val="0"/>
    <w:pPr>
      <w:snapToGrid w:val="0"/>
    </w:pPr>
    <w:rPr>
      <w:rFonts w:ascii="Arial" w:hAnsi="Arial"/>
    </w:rPr>
  </w:style>
  <w:style w:type="paragraph" w:styleId="19">
    <w:name w:val="header"/>
    <w:basedOn w:val="1"/>
    <w:link w:val="4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Body Text 2"/>
    <w:basedOn w:val="1"/>
    <w:unhideWhenUsed/>
    <w:qFormat/>
    <w:uiPriority w:val="99"/>
    <w:pPr>
      <w:spacing w:after="120" w:line="480" w:lineRule="auto"/>
    </w:p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Title"/>
    <w:basedOn w:val="1"/>
    <w:next w:val="1"/>
    <w:qFormat/>
    <w:uiPriority w:val="0"/>
    <w:pPr>
      <w:numPr>
        <w:ilvl w:val="0"/>
        <w:numId w:val="1"/>
      </w:numPr>
      <w:spacing w:line="360" w:lineRule="auto"/>
      <w:jc w:val="left"/>
      <w:outlineLvl w:val="0"/>
    </w:pPr>
    <w:rPr>
      <w:rFonts w:ascii="Cambria" w:hAnsi="Cambria"/>
      <w:b/>
      <w:bCs/>
      <w:sz w:val="28"/>
      <w:szCs w:val="32"/>
    </w:rPr>
  </w:style>
  <w:style w:type="character" w:styleId="27">
    <w:name w:val="Strong"/>
    <w:basedOn w:val="26"/>
    <w:qFormat/>
    <w:uiPriority w:val="0"/>
    <w:rPr>
      <w:b/>
      <w:bCs/>
    </w:rPr>
  </w:style>
  <w:style w:type="character" w:styleId="28">
    <w:name w:val="FollowedHyperlink"/>
    <w:basedOn w:val="26"/>
    <w:qFormat/>
    <w:uiPriority w:val="0"/>
    <w:rPr>
      <w:color w:val="800080"/>
      <w:u w:val="none"/>
    </w:rPr>
  </w:style>
  <w:style w:type="character" w:styleId="29">
    <w:name w:val="Emphasis"/>
    <w:basedOn w:val="26"/>
    <w:qFormat/>
    <w:uiPriority w:val="0"/>
    <w:rPr>
      <w:b/>
      <w:bCs/>
    </w:rPr>
  </w:style>
  <w:style w:type="character" w:styleId="30">
    <w:name w:val="HTML Definition"/>
    <w:basedOn w:val="26"/>
    <w:qFormat/>
    <w:uiPriority w:val="0"/>
  </w:style>
  <w:style w:type="character" w:styleId="31">
    <w:name w:val="HTML Typewriter"/>
    <w:basedOn w:val="26"/>
    <w:qFormat/>
    <w:uiPriority w:val="0"/>
    <w:rPr>
      <w:rFonts w:hint="default" w:ascii="monospace" w:hAnsi="monospace" w:eastAsia="monospace" w:cs="monospace"/>
      <w:sz w:val="20"/>
    </w:rPr>
  </w:style>
  <w:style w:type="character" w:styleId="32">
    <w:name w:val="HTML Acronym"/>
    <w:basedOn w:val="26"/>
    <w:qFormat/>
    <w:uiPriority w:val="0"/>
  </w:style>
  <w:style w:type="character" w:styleId="33">
    <w:name w:val="HTML Variable"/>
    <w:basedOn w:val="26"/>
    <w:qFormat/>
    <w:uiPriority w:val="0"/>
  </w:style>
  <w:style w:type="character" w:styleId="34">
    <w:name w:val="Hyperlink"/>
    <w:qFormat/>
    <w:uiPriority w:val="99"/>
    <w:rPr>
      <w:color w:val="333333"/>
      <w:u w:val="none"/>
    </w:rPr>
  </w:style>
  <w:style w:type="character" w:styleId="35">
    <w:name w:val="HTML Code"/>
    <w:basedOn w:val="26"/>
    <w:qFormat/>
    <w:uiPriority w:val="0"/>
    <w:rPr>
      <w:rFonts w:hint="default" w:ascii="monospace" w:hAnsi="monospace" w:eastAsia="monospace" w:cs="monospace"/>
      <w:sz w:val="20"/>
    </w:rPr>
  </w:style>
  <w:style w:type="character" w:styleId="36">
    <w:name w:val="HTML Cite"/>
    <w:basedOn w:val="26"/>
    <w:qFormat/>
    <w:uiPriority w:val="0"/>
  </w:style>
  <w:style w:type="character" w:styleId="37">
    <w:name w:val="HTML Keyboard"/>
    <w:basedOn w:val="26"/>
    <w:qFormat/>
    <w:uiPriority w:val="0"/>
    <w:rPr>
      <w:rFonts w:hint="default" w:ascii="monospace" w:hAnsi="monospace" w:eastAsia="monospace" w:cs="monospace"/>
      <w:sz w:val="20"/>
    </w:rPr>
  </w:style>
  <w:style w:type="character" w:styleId="38">
    <w:name w:val="HTML Sample"/>
    <w:basedOn w:val="26"/>
    <w:qFormat/>
    <w:uiPriority w:val="0"/>
    <w:rPr>
      <w:rFonts w:ascii="monospace" w:hAnsi="monospace" w:eastAsia="monospace" w:cs="monospace"/>
    </w:rPr>
  </w:style>
  <w:style w:type="paragraph" w:customStyle="1" w:styleId="3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40">
    <w:name w:val="正文文字 8"/>
    <w:basedOn w:val="1"/>
    <w:next w:val="1"/>
    <w:qFormat/>
    <w:uiPriority w:val="0"/>
    <w:pPr>
      <w:ind w:left="240"/>
    </w:pPr>
    <w:rPr>
      <w:sz w:val="16"/>
    </w:rPr>
  </w:style>
  <w:style w:type="paragraph" w:customStyle="1" w:styleId="4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4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3">
    <w:name w:val="二级标题"/>
    <w:basedOn w:val="1"/>
    <w:next w:val="1"/>
    <w:qFormat/>
    <w:uiPriority w:val="0"/>
    <w:rPr>
      <w:rFonts w:hint="eastAsia" w:eastAsia="楷体"/>
    </w:rPr>
  </w:style>
  <w:style w:type="character" w:customStyle="1" w:styleId="44">
    <w:name w:val="正文文本缩进 Char"/>
    <w:basedOn w:val="26"/>
    <w:link w:val="12"/>
    <w:qFormat/>
    <w:uiPriority w:val="0"/>
    <w:rPr>
      <w:rFonts w:hint="default" w:ascii="Times New Roman" w:hAnsi="Times New Roman" w:eastAsia="宋体" w:cs="Times New Roman"/>
      <w:color w:val="000000"/>
      <w:kern w:val="0"/>
      <w:szCs w:val="21"/>
      <w:u w:color="000000"/>
    </w:rPr>
  </w:style>
  <w:style w:type="character" w:customStyle="1" w:styleId="45">
    <w:name w:val="正文首行缩进 2 Char"/>
    <w:basedOn w:val="44"/>
    <w:link w:val="11"/>
    <w:qFormat/>
    <w:uiPriority w:val="0"/>
    <w:rPr>
      <w:rFonts w:hint="default" w:ascii="Times New Roman" w:hAnsi="Times New Roman" w:eastAsia="宋体" w:cs="Times New Roman"/>
      <w:color w:val="000000"/>
      <w:kern w:val="0"/>
      <w:szCs w:val="21"/>
      <w:u w:color="000000"/>
    </w:rPr>
  </w:style>
  <w:style w:type="character" w:customStyle="1" w:styleId="46">
    <w:name w:val="日期 Char"/>
    <w:basedOn w:val="26"/>
    <w:link w:val="16"/>
    <w:qFormat/>
    <w:uiPriority w:val="0"/>
    <w:rPr>
      <w:rFonts w:ascii="Arial" w:hAnsi="Arial" w:eastAsia="仿宋_GB2312" w:cs="Arial"/>
      <w:color w:val="000000"/>
      <w:sz w:val="32"/>
      <w:szCs w:val="32"/>
      <w:u w:color="000000"/>
    </w:rPr>
  </w:style>
  <w:style w:type="character" w:customStyle="1" w:styleId="47">
    <w:name w:val="标题 2 Char"/>
    <w:basedOn w:val="26"/>
    <w:link w:val="2"/>
    <w:qFormat/>
    <w:uiPriority w:val="0"/>
    <w:rPr>
      <w:rFonts w:hint="default" w:ascii="Times New Roman" w:hAnsi="Times New Roman" w:eastAsia="宋体" w:cs="Times New Roman"/>
      <w:kern w:val="0"/>
      <w:sz w:val="24"/>
      <w:szCs w:val="24"/>
    </w:rPr>
  </w:style>
  <w:style w:type="character" w:customStyle="1" w:styleId="48">
    <w:name w:val="页眉 Char"/>
    <w:basedOn w:val="26"/>
    <w:link w:val="19"/>
    <w:qFormat/>
    <w:uiPriority w:val="0"/>
    <w:rPr>
      <w:rFonts w:hint="default" w:ascii="Times New Roman" w:hAnsi="Times New Roman" w:eastAsia="宋体" w:cs="Times New Roman"/>
      <w:color w:val="000000"/>
      <w:kern w:val="0"/>
      <w:sz w:val="18"/>
      <w:szCs w:val="18"/>
      <w:u w:color="000000"/>
    </w:rPr>
  </w:style>
  <w:style w:type="character" w:customStyle="1" w:styleId="49">
    <w:name w:val="纯文本 Char"/>
    <w:basedOn w:val="26"/>
    <w:link w:val="15"/>
    <w:qFormat/>
    <w:uiPriority w:val="0"/>
    <w:rPr>
      <w:rFonts w:hint="eastAsia" w:ascii="宋体" w:hAnsi="宋体" w:eastAsia="宋体" w:cs="宋体"/>
      <w:szCs w:val="21"/>
    </w:rPr>
  </w:style>
  <w:style w:type="character" w:customStyle="1" w:styleId="50">
    <w:name w:val="页脚 Char"/>
    <w:basedOn w:val="26"/>
    <w:link w:val="17"/>
    <w:qFormat/>
    <w:uiPriority w:val="0"/>
    <w:rPr>
      <w:rFonts w:hint="default" w:ascii="Times New Roman" w:hAnsi="Times New Roman" w:eastAsia="宋体" w:cs="Times New Roman"/>
      <w:color w:val="000000"/>
      <w:kern w:val="0"/>
      <w:sz w:val="18"/>
      <w:szCs w:val="18"/>
      <w:u w:color="000000"/>
    </w:rPr>
  </w:style>
  <w:style w:type="paragraph" w:customStyle="1" w:styleId="5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52">
    <w:name w:val="List Paragraph"/>
    <w:basedOn w:val="1"/>
    <w:qFormat/>
    <w:uiPriority w:val="0"/>
    <w:pPr>
      <w:widowControl w:val="0"/>
      <w:spacing w:line="240" w:lineRule="auto"/>
      <w:ind w:firstLine="200" w:firstLineChars="200"/>
      <w:textAlignment w:val="auto"/>
    </w:pPr>
    <w:rPr>
      <w:u w:val="none" w:color="000000"/>
    </w:rPr>
  </w:style>
  <w:style w:type="character" w:customStyle="1" w:styleId="53">
    <w:name w:val="NormalCharacter"/>
    <w:semiHidden/>
    <w:qFormat/>
    <w:uiPriority w:val="0"/>
  </w:style>
  <w:style w:type="paragraph" w:customStyle="1" w:styleId="54">
    <w:name w:val="正文1"/>
    <w:basedOn w:val="1"/>
    <w:qFormat/>
    <w:uiPriority w:val="0"/>
    <w:pPr>
      <w:spacing w:line="500" w:lineRule="exact"/>
      <w:jc w:val="center"/>
    </w:pPr>
    <w:rPr>
      <w:b/>
      <w:sz w:val="36"/>
    </w:rPr>
  </w:style>
  <w:style w:type="paragraph" w:customStyle="1" w:styleId="5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56">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57">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58">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59">
    <w:name w:val="首行缩进"/>
    <w:basedOn w:val="1"/>
    <w:next w:val="13"/>
    <w:qFormat/>
    <w:uiPriority w:val="0"/>
    <w:pPr>
      <w:spacing w:line="360" w:lineRule="auto"/>
      <w:ind w:firstLine="480" w:firstLineChars="200"/>
    </w:pPr>
    <w:rPr>
      <w:sz w:val="24"/>
      <w:lang w:val="zh-CN"/>
    </w:rPr>
  </w:style>
  <w:style w:type="paragraph" w:customStyle="1" w:styleId="60">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61">
    <w:name w:val="_正文段落"/>
    <w:basedOn w:val="1"/>
    <w:qFormat/>
    <w:uiPriority w:val="0"/>
    <w:pPr>
      <w:spacing w:line="360" w:lineRule="auto"/>
      <w:ind w:firstLine="200" w:firstLineChars="200"/>
      <w:jc w:val="left"/>
    </w:pPr>
    <w:rPr>
      <w:rFonts w:ascii="宋体" w:hAnsi="宋体"/>
      <w:kern w:val="2"/>
      <w:sz w:val="24"/>
      <w:szCs w:val="24"/>
    </w:rPr>
  </w:style>
  <w:style w:type="character" w:customStyle="1" w:styleId="62">
    <w:name w:val="status"/>
    <w:basedOn w:val="26"/>
    <w:qFormat/>
    <w:uiPriority w:val="0"/>
    <w:rPr>
      <w:color w:val="0776DD"/>
    </w:rPr>
  </w:style>
  <w:style w:type="character" w:customStyle="1" w:styleId="63">
    <w:name w:val="time"/>
    <w:basedOn w:val="26"/>
    <w:qFormat/>
    <w:uiPriority w:val="0"/>
  </w:style>
  <w:style w:type="character" w:customStyle="1" w:styleId="64">
    <w:name w:val="mini-outputtext1"/>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15169</Words>
  <Characters>16869</Characters>
  <Lines>0</Lines>
  <Paragraphs>0</Paragraphs>
  <TotalTime>74</TotalTime>
  <ScaleCrop>false</ScaleCrop>
  <LinksUpToDate>false</LinksUpToDate>
  <CharactersWithSpaces>17340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2023-10-08T17:28:00Z</cp:lastPrinted>
  <dcterms:modified xsi:type="dcterms:W3CDTF">2026-07-24T09:49:27Z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136F1D4CE95D47D6BAB5FAACB0BBA8E5_13</vt:lpwstr>
  </property>
  <property fmtid="{D5CDD505-2E9C-101B-9397-08002B2CF9AE}" pid="4" name="KSOTemplateDocerSaveRecord">
    <vt:lpwstr>eyJoZGlkIjoiMTljMDcwYWJmYjExZWQzNTVmZDAzZTYwM2JlMzJmZDYiLCJ1c2VySWQiOiIzODU2Mzk2OTQifQ==</vt:lpwstr>
  </property>
</Properties>
</file>