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F6537F">
      <w:pPr>
        <w:jc w:val="center"/>
        <w:rPr>
          <w:rFonts w:ascii="宋体" w:cs="宋体"/>
          <w:b/>
          <w:color w:val="auto"/>
          <w:kern w:val="0"/>
          <w:sz w:val="44"/>
          <w:szCs w:val="44"/>
          <w:highlight w:val="none"/>
        </w:rPr>
      </w:pPr>
      <w:bookmarkStart w:id="0" w:name="_Toc506107265"/>
      <w:bookmarkStart w:id="1" w:name="_Toc15058843"/>
      <w:bookmarkStart w:id="2" w:name="_Toc246996898"/>
      <w:bookmarkStart w:id="3" w:name="_Toc296602400"/>
      <w:bookmarkStart w:id="4" w:name="_Toc247085669"/>
      <w:bookmarkStart w:id="5" w:name="_Toc324404811"/>
      <w:bookmarkStart w:id="6" w:name="_Toc461631222"/>
      <w:bookmarkStart w:id="7" w:name="OLE_LINK5"/>
      <w:bookmarkStart w:id="8" w:name="OLE_LINK1"/>
      <w:bookmarkStart w:id="9" w:name="OLE_LINK2"/>
      <w:bookmarkStart w:id="10" w:name="OLE_LINK3"/>
      <w:bookmarkStart w:id="11" w:name="OLE_LINK4"/>
    </w:p>
    <w:p w14:paraId="2E1672FC">
      <w:pPr>
        <w:keepNext w:val="0"/>
        <w:keepLines w:val="0"/>
        <w:pageBreakBefore w:val="0"/>
        <w:widowControl w:val="0"/>
        <w:kinsoku/>
        <w:wordWrap/>
        <w:overflowPunct/>
        <w:topLinePunct w:val="0"/>
        <w:autoSpaceDE/>
        <w:autoSpaceDN/>
        <w:bidi w:val="0"/>
        <w:adjustRightInd/>
        <w:snapToGrid/>
        <w:spacing w:line="800" w:lineRule="exact"/>
        <w:ind w:right="-386" w:rightChars="-184"/>
        <w:jc w:val="center"/>
        <w:textAlignment w:val="auto"/>
        <w:rPr>
          <w:rFonts w:hint="default" w:ascii="宋体" w:eastAsia="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滁州经开区市政道路排水管网更新改造项目监理</w:t>
      </w:r>
    </w:p>
    <w:p w14:paraId="7E8EBF87">
      <w:pPr>
        <w:wordWrap w:val="0"/>
        <w:ind w:firstLine="2640" w:firstLineChars="1100"/>
        <w:rPr>
          <w:color w:val="auto"/>
          <w:sz w:val="24"/>
          <w:highlight w:val="none"/>
        </w:rPr>
      </w:pPr>
    </w:p>
    <w:p w14:paraId="1F57AE3E">
      <w:pPr>
        <w:wordWrap w:val="0"/>
        <w:ind w:firstLine="2640" w:firstLineChars="1100"/>
        <w:rPr>
          <w:color w:val="auto"/>
          <w:sz w:val="24"/>
          <w:highlight w:val="none"/>
        </w:rPr>
      </w:pPr>
    </w:p>
    <w:p w14:paraId="3823A9A0">
      <w:pPr>
        <w:adjustRightInd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65C7F92C">
      <w:pPr>
        <w:jc w:val="center"/>
        <w:rPr>
          <w:rFonts w:hint="default" w:ascii="宋体" w:hAnsi="宋体" w:eastAsia="宋体" w:cs="宋体"/>
          <w:color w:val="auto"/>
          <w:sz w:val="72"/>
          <w:szCs w:val="72"/>
          <w:highlight w:val="none"/>
          <w:lang w:val="en-US" w:eastAsia="zh-CN"/>
        </w:rPr>
      </w:pPr>
      <w:r>
        <w:rPr>
          <w:rFonts w:hint="eastAsia"/>
          <w:color w:val="auto"/>
          <w:sz w:val="28"/>
          <w:szCs w:val="28"/>
          <w:highlight w:val="none"/>
        </w:rPr>
        <w:t>项目编号：czsjgc202</w:t>
      </w:r>
      <w:r>
        <w:rPr>
          <w:rFonts w:hint="eastAsia"/>
          <w:color w:val="auto"/>
          <w:sz w:val="28"/>
          <w:szCs w:val="28"/>
          <w:highlight w:val="none"/>
          <w:lang w:val="en-US" w:eastAsia="zh-CN"/>
        </w:rPr>
        <w:t>508-001</w:t>
      </w:r>
    </w:p>
    <w:p w14:paraId="67F2960A">
      <w:pPr>
        <w:jc w:val="center"/>
        <w:rPr>
          <w:color w:val="auto"/>
          <w:sz w:val="24"/>
          <w:highlight w:val="none"/>
        </w:rPr>
      </w:pPr>
      <w:r>
        <w:rPr>
          <w:color w:val="auto"/>
          <w:sz w:val="24"/>
          <w:highlight w:val="none"/>
        </w:rPr>
        <w:t xml:space="preserve"> </w:t>
      </w:r>
    </w:p>
    <w:p w14:paraId="28C32417">
      <w:pPr>
        <w:spacing w:line="400" w:lineRule="exact"/>
        <w:jc w:val="center"/>
        <w:rPr>
          <w:rFonts w:ascii="宋体"/>
          <w:b/>
          <w:color w:val="auto"/>
          <w:sz w:val="39"/>
          <w:highlight w:val="none"/>
        </w:rPr>
      </w:pPr>
    </w:p>
    <w:p w14:paraId="56FAF9AF">
      <w:pPr>
        <w:spacing w:line="400" w:lineRule="exact"/>
        <w:rPr>
          <w:color w:val="auto"/>
          <w:highlight w:val="none"/>
        </w:rPr>
      </w:pPr>
    </w:p>
    <w:p w14:paraId="73AC4777">
      <w:pPr>
        <w:spacing w:line="720" w:lineRule="exact"/>
        <w:rPr>
          <w:b/>
          <w:bCs/>
          <w:color w:val="auto"/>
          <w:sz w:val="28"/>
          <w:szCs w:val="28"/>
          <w:highlight w:val="none"/>
        </w:rPr>
      </w:pPr>
    </w:p>
    <w:p w14:paraId="2B1A5209">
      <w:pPr>
        <w:pStyle w:val="45"/>
        <w:rPr>
          <w:b/>
          <w:bCs/>
          <w:color w:val="auto"/>
          <w:sz w:val="28"/>
          <w:szCs w:val="28"/>
          <w:highlight w:val="none"/>
        </w:rPr>
      </w:pPr>
    </w:p>
    <w:p w14:paraId="276A298E">
      <w:pPr>
        <w:rPr>
          <w:b/>
          <w:bCs/>
          <w:color w:val="auto"/>
          <w:sz w:val="28"/>
          <w:szCs w:val="28"/>
          <w:highlight w:val="none"/>
        </w:rPr>
      </w:pPr>
    </w:p>
    <w:p w14:paraId="45F71B3B">
      <w:pPr>
        <w:pStyle w:val="45"/>
        <w:rPr>
          <w:b/>
          <w:bCs/>
          <w:color w:val="auto"/>
          <w:sz w:val="28"/>
          <w:szCs w:val="28"/>
          <w:highlight w:val="none"/>
        </w:rPr>
      </w:pPr>
    </w:p>
    <w:p w14:paraId="72CEE13D">
      <w:pPr>
        <w:rPr>
          <w:b/>
          <w:bCs/>
          <w:color w:val="auto"/>
          <w:sz w:val="28"/>
          <w:szCs w:val="28"/>
          <w:highlight w:val="none"/>
        </w:rPr>
      </w:pPr>
    </w:p>
    <w:p w14:paraId="679E703A">
      <w:pPr>
        <w:pStyle w:val="45"/>
        <w:rPr>
          <w:color w:val="auto"/>
          <w:highlight w:val="none"/>
        </w:rPr>
      </w:pPr>
    </w:p>
    <w:p w14:paraId="35354C02">
      <w:pPr>
        <w:spacing w:line="720" w:lineRule="exact"/>
        <w:rPr>
          <w:b/>
          <w:bCs/>
          <w:color w:val="auto"/>
          <w:sz w:val="28"/>
          <w:szCs w:val="28"/>
          <w:highlight w:val="none"/>
        </w:rPr>
      </w:pPr>
    </w:p>
    <w:p w14:paraId="4F66E7B2">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招标单位</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eastAsia="zh-CN"/>
        </w:rPr>
        <w:t>滁州华城建设开发有限公司</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rPr>
        <w:t>（盖章）</w:t>
      </w:r>
    </w:p>
    <w:p w14:paraId="0B912454">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（隶属于国家级经济技术开发区的国有企业）</w:t>
      </w:r>
    </w:p>
    <w:p w14:paraId="2C0E7133">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代理机构：</w:t>
      </w:r>
      <w:r>
        <w:rPr>
          <w:rFonts w:hint="eastAsia" w:ascii="宋体" w:hAnsi="宋体" w:cs="宋体"/>
          <w:b/>
          <w:bCs/>
          <w:color w:val="auto"/>
          <w:sz w:val="28"/>
          <w:szCs w:val="28"/>
          <w:highlight w:val="none"/>
          <w:u w:val="single"/>
          <w:lang w:eastAsia="zh-CN"/>
        </w:rPr>
        <w:t>滁州市城投工程咨询管理有限公司</w:t>
      </w:r>
      <w:r>
        <w:rPr>
          <w:rFonts w:hint="eastAsia" w:ascii="宋体" w:hAnsi="宋体" w:cs="宋体"/>
          <w:b/>
          <w:bCs/>
          <w:color w:val="auto"/>
          <w:sz w:val="28"/>
          <w:szCs w:val="28"/>
          <w:highlight w:val="none"/>
        </w:rPr>
        <w:t>（盖章）</w:t>
      </w:r>
    </w:p>
    <w:p w14:paraId="58866562">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202</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rPr>
        <w:t xml:space="preserve">年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8 </w:t>
      </w:r>
      <w:r>
        <w:rPr>
          <w:rFonts w:hint="eastAsia" w:ascii="宋体" w:hAnsi="宋体" w:cs="宋体"/>
          <w:b/>
          <w:bCs/>
          <w:color w:val="auto"/>
          <w:sz w:val="28"/>
          <w:szCs w:val="28"/>
          <w:highlight w:val="none"/>
        </w:rPr>
        <w:t>月</w:t>
      </w:r>
    </w:p>
    <w:p w14:paraId="6770D198">
      <w:pPr>
        <w:jc w:val="center"/>
        <w:rPr>
          <w:color w:val="auto"/>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318FFC1B">
      <w:pPr>
        <w:spacing w:line="700" w:lineRule="exact"/>
        <w:jc w:val="center"/>
        <w:rPr>
          <w:color w:val="auto"/>
          <w:sz w:val="44"/>
          <w:szCs w:val="44"/>
          <w:highlight w:val="none"/>
        </w:rPr>
      </w:pPr>
      <w:r>
        <w:rPr>
          <w:rFonts w:hint="eastAsia"/>
          <w:color w:val="auto"/>
          <w:sz w:val="44"/>
          <w:szCs w:val="44"/>
          <w:highlight w:val="none"/>
        </w:rPr>
        <w:t>目</w:t>
      </w:r>
      <w:r>
        <w:rPr>
          <w:color w:val="auto"/>
          <w:sz w:val="44"/>
          <w:szCs w:val="44"/>
          <w:highlight w:val="none"/>
        </w:rPr>
        <w:t xml:space="preserve">   </w:t>
      </w:r>
      <w:r>
        <w:rPr>
          <w:rFonts w:hint="eastAsia"/>
          <w:color w:val="auto"/>
          <w:sz w:val="44"/>
          <w:szCs w:val="44"/>
          <w:highlight w:val="none"/>
        </w:rPr>
        <w:t>录</w:t>
      </w:r>
      <w:bookmarkEnd w:id="0"/>
      <w:bookmarkEnd w:id="1"/>
      <w:bookmarkEnd w:id="2"/>
      <w:bookmarkEnd w:id="3"/>
      <w:bookmarkEnd w:id="4"/>
      <w:bookmarkEnd w:id="5"/>
      <w:bookmarkEnd w:id="6"/>
      <w:bookmarkStart w:id="12" w:name="_Toc144974479"/>
      <w:bookmarkStart w:id="13" w:name="_Toc152045511"/>
      <w:bookmarkStart w:id="14" w:name="_Toc179632527"/>
      <w:bookmarkStart w:id="15" w:name="_Toc152042287"/>
    </w:p>
    <w:p w14:paraId="339AF1AD">
      <w:pPr>
        <w:pStyle w:val="29"/>
        <w:tabs>
          <w:tab w:val="right" w:leader="dot" w:pos="9072"/>
        </w:tabs>
        <w:spacing w:line="480" w:lineRule="auto"/>
        <w:rPr>
          <w:b w:val="0"/>
          <w:bCs w:val="0"/>
          <w:color w:val="auto"/>
          <w:sz w:val="24"/>
          <w:szCs w:val="24"/>
          <w:highlight w:val="none"/>
        </w:rPr>
      </w:pP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TOC \o "1-3" \h \z \u </w:instrText>
      </w:r>
      <w:r>
        <w:rPr>
          <w:rFonts w:ascii="宋体" w:hAnsi="宋体" w:cs="宋体"/>
          <w:b w:val="0"/>
          <w:bCs w:val="0"/>
          <w:caps w:val="0"/>
          <w:color w:val="auto"/>
          <w:sz w:val="24"/>
          <w:szCs w:val="24"/>
          <w:highlight w:val="none"/>
        </w:rPr>
        <w:fldChar w:fldCharType="separate"/>
      </w: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HYPERLINK \l _Toc4058 </w:instrText>
      </w:r>
      <w:r>
        <w:rPr>
          <w:rFonts w:ascii="宋体" w:hAnsi="宋体" w:cs="宋体"/>
          <w:b w:val="0"/>
          <w:bCs w:val="0"/>
          <w:caps w:val="0"/>
          <w:color w:val="auto"/>
          <w:sz w:val="24"/>
          <w:szCs w:val="24"/>
          <w:highlight w:val="none"/>
        </w:rPr>
        <w:fldChar w:fldCharType="separate"/>
      </w:r>
      <w:r>
        <w:rPr>
          <w:rFonts w:hint="eastAsia"/>
          <w:b w:val="0"/>
          <w:bCs w:val="0"/>
          <w:color w:val="auto"/>
          <w:sz w:val="24"/>
          <w:szCs w:val="24"/>
          <w:highlight w:val="none"/>
        </w:rPr>
        <w:t>招标公告</w:t>
      </w:r>
      <w:r>
        <w:rPr>
          <w:b w:val="0"/>
          <w:bCs w:val="0"/>
          <w:color w:val="auto"/>
          <w:sz w:val="24"/>
          <w:szCs w:val="24"/>
          <w:highlight w:val="none"/>
        </w:rPr>
        <w:tab/>
      </w:r>
      <w:r>
        <w:rPr>
          <w:rFonts w:hint="eastAsia"/>
          <w:b w:val="0"/>
          <w:bCs w:val="0"/>
          <w:color w:val="auto"/>
          <w:sz w:val="24"/>
          <w:szCs w:val="24"/>
          <w:highlight w:val="none"/>
          <w:lang w:val="en-US" w:eastAsia="zh-CN"/>
        </w:rPr>
        <w:t>1</w:t>
      </w:r>
      <w:r>
        <w:rPr>
          <w:rFonts w:ascii="宋体" w:hAnsi="宋体" w:cs="宋体"/>
          <w:b w:val="0"/>
          <w:bCs w:val="0"/>
          <w:caps w:val="0"/>
          <w:color w:val="auto"/>
          <w:sz w:val="24"/>
          <w:szCs w:val="24"/>
          <w:highlight w:val="none"/>
        </w:rPr>
        <w:fldChar w:fldCharType="end"/>
      </w:r>
    </w:p>
    <w:p w14:paraId="272772C8">
      <w:pPr>
        <w:pStyle w:val="29"/>
        <w:tabs>
          <w:tab w:val="right" w:leader="dot" w:pos="9072"/>
        </w:tabs>
        <w:spacing w:line="480" w:lineRule="auto"/>
        <w:rPr>
          <w:b w:val="0"/>
          <w:bCs w:val="0"/>
          <w:color w:val="auto"/>
          <w:sz w:val="24"/>
          <w:szCs w:val="24"/>
          <w:highlight w:val="none"/>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_Toc22978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第一章</w:t>
      </w:r>
      <w:r>
        <w:rPr>
          <w:b w:val="0"/>
          <w:bCs w:val="0"/>
          <w:color w:val="auto"/>
          <w:sz w:val="24"/>
          <w:szCs w:val="24"/>
          <w:highlight w:val="none"/>
        </w:rPr>
        <w:t xml:space="preserve"> </w:t>
      </w:r>
      <w:r>
        <w:rPr>
          <w:rFonts w:hint="eastAsia"/>
          <w:b w:val="0"/>
          <w:bCs w:val="0"/>
          <w:color w:val="auto"/>
          <w:sz w:val="24"/>
          <w:szCs w:val="24"/>
          <w:highlight w:val="none"/>
        </w:rPr>
        <w:t>投标人须知</w:t>
      </w:r>
      <w:r>
        <w:rPr>
          <w:b w:val="0"/>
          <w:bCs w:val="0"/>
          <w:color w:val="auto"/>
          <w:sz w:val="24"/>
          <w:szCs w:val="24"/>
          <w:highlight w:val="none"/>
        </w:rPr>
        <w:tab/>
      </w:r>
      <w:r>
        <w:rPr>
          <w:rFonts w:hint="eastAsia"/>
          <w:b w:val="0"/>
          <w:bCs w:val="0"/>
          <w:color w:val="auto"/>
          <w:sz w:val="24"/>
          <w:szCs w:val="24"/>
          <w:highlight w:val="none"/>
          <w:lang w:val="en-US" w:eastAsia="zh-CN"/>
        </w:rPr>
        <w:t>9</w:t>
      </w:r>
      <w:r>
        <w:rPr>
          <w:rFonts w:hAnsi="宋体" w:cs="宋体"/>
          <w:b w:val="0"/>
          <w:bCs w:val="0"/>
          <w:caps/>
          <w:color w:val="auto"/>
          <w:sz w:val="24"/>
          <w:szCs w:val="24"/>
          <w:highlight w:val="none"/>
        </w:rPr>
        <w:fldChar w:fldCharType="end"/>
      </w:r>
    </w:p>
    <w:p w14:paraId="5C8B10B1">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_Toc7754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第二章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资格审查办法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0</w:t>
      </w:r>
    </w:p>
    <w:p w14:paraId="70262009">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_Toc2515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第三章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评标办法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3</w:t>
      </w:r>
    </w:p>
    <w:p w14:paraId="6CD89003">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_Toc28636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第四章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合同条款及格式</w:t>
      </w:r>
      <w:r>
        <w:rPr>
          <w:b w:val="0"/>
          <w:bCs w:val="0"/>
          <w:color w:val="auto"/>
          <w:sz w:val="24"/>
          <w:szCs w:val="24"/>
          <w:highlight w:val="none"/>
        </w:rPr>
        <w:tab/>
      </w:r>
      <w:r>
        <w:rPr>
          <w:rFonts w:hint="eastAsia"/>
          <w:b w:val="0"/>
          <w:bCs w:val="0"/>
          <w:color w:val="auto"/>
          <w:sz w:val="24"/>
          <w:szCs w:val="24"/>
          <w:highlight w:val="none"/>
          <w:lang w:val="en-US" w:eastAsia="zh-CN"/>
        </w:rPr>
        <w:t>4</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2</w:t>
      </w:r>
    </w:p>
    <w:p w14:paraId="1A8DD10F">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_Toc4268 </w:instrText>
      </w:r>
      <w:r>
        <w:rPr>
          <w:rFonts w:hAnsi="宋体" w:cs="宋体"/>
          <w:b w:val="0"/>
          <w:bCs w:val="0"/>
          <w:caps/>
          <w:color w:val="auto"/>
          <w:sz w:val="24"/>
          <w:szCs w:val="24"/>
          <w:highlight w:val="none"/>
        </w:rPr>
        <w:fldChar w:fldCharType="separate"/>
      </w:r>
      <w:r>
        <w:rPr>
          <w:rFonts w:hint="eastAsia" w:ascii="Arial" w:hAnsi="Arial" w:eastAsia="宋体" w:cs="Times New Roman"/>
          <w:b w:val="0"/>
          <w:bCs w:val="0"/>
          <w:color w:val="auto"/>
          <w:kern w:val="0"/>
          <w:sz w:val="24"/>
          <w:szCs w:val="24"/>
          <w:highlight w:val="none"/>
          <w:lang w:val="en-US" w:eastAsia="zh-CN" w:bidi="ar-SA"/>
        </w:rPr>
        <w:t>第五章  监理内容和要求</w:t>
      </w:r>
      <w:r>
        <w:rPr>
          <w:b w:val="0"/>
          <w:bCs w:val="0"/>
          <w:color w:val="auto"/>
          <w:sz w:val="24"/>
          <w:szCs w:val="24"/>
          <w:highlight w:val="none"/>
        </w:rPr>
        <w:tab/>
      </w:r>
      <w:r>
        <w:rPr>
          <w:rFonts w:hint="eastAsia"/>
          <w:b w:val="0"/>
          <w:bCs w:val="0"/>
          <w:color w:val="auto"/>
          <w:sz w:val="24"/>
          <w:szCs w:val="24"/>
          <w:highlight w:val="none"/>
          <w:lang w:val="en-US" w:eastAsia="zh-CN"/>
        </w:rPr>
        <w:t>7</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1</w:t>
      </w:r>
    </w:p>
    <w:p w14:paraId="638A1DC5">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_Toc16481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六</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投标文件格式</w:t>
      </w:r>
      <w:r>
        <w:rPr>
          <w:b w:val="0"/>
          <w:bCs w:val="0"/>
          <w:color w:val="auto"/>
          <w:sz w:val="24"/>
          <w:szCs w:val="24"/>
          <w:highlight w:val="none"/>
        </w:rPr>
        <w:tab/>
      </w:r>
      <w:r>
        <w:rPr>
          <w:rFonts w:hint="eastAsia"/>
          <w:b w:val="0"/>
          <w:bCs w:val="0"/>
          <w:color w:val="auto"/>
          <w:sz w:val="24"/>
          <w:szCs w:val="24"/>
          <w:highlight w:val="none"/>
          <w:lang w:val="en-US" w:eastAsia="zh-CN"/>
        </w:rPr>
        <w:t>7</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3</w:t>
      </w:r>
    </w:p>
    <w:p w14:paraId="646CA79D">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_Toc1919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附件1 关于联合惩戒失信行为加强信用查询管理的通知</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2</w:t>
      </w:r>
    </w:p>
    <w:p w14:paraId="0E5CBD1A">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_Toc6120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附件2 “信用中国”查询的严重失信行为类别及判定依据</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5</w:t>
      </w:r>
    </w:p>
    <w:p w14:paraId="2D0B76F4">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_Toc27547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七</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招标单位、招标代理机构对本招标文件的确认</w:t>
      </w:r>
      <w:r>
        <w:rPr>
          <w:b w:val="0"/>
          <w:bCs w:val="0"/>
          <w:color w:val="auto"/>
          <w:sz w:val="24"/>
          <w:szCs w:val="24"/>
          <w:highlight w:val="none"/>
        </w:rPr>
        <w:tab/>
      </w:r>
      <w:r>
        <w:rPr>
          <w:rFonts w:hint="eastAsia"/>
          <w:b w:val="0"/>
          <w:bCs w:val="0"/>
          <w:color w:val="auto"/>
          <w:sz w:val="24"/>
          <w:szCs w:val="24"/>
          <w:highlight w:val="none"/>
          <w:lang w:val="en-US" w:eastAsia="zh-CN"/>
        </w:rPr>
        <w:t>9</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0</w:t>
      </w:r>
    </w:p>
    <w:p w14:paraId="1B2EDCDA">
      <w:pPr>
        <w:pStyle w:val="45"/>
        <w:spacing w:line="700" w:lineRule="exact"/>
        <w:ind w:left="0" w:leftChars="0" w:firstLine="0" w:firstLineChars="0"/>
        <w:jc w:val="left"/>
        <w:rPr>
          <w:color w:val="auto"/>
          <w:sz w:val="24"/>
          <w:szCs w:val="24"/>
          <w:highlight w:val="none"/>
        </w:rPr>
      </w:pPr>
      <w:r>
        <w:rPr>
          <w:rFonts w:hAnsi="宋体" w:cs="宋体"/>
          <w:b w:val="0"/>
          <w:bCs w:val="0"/>
          <w:caps/>
          <w:color w:val="auto"/>
          <w:sz w:val="24"/>
          <w:szCs w:val="24"/>
          <w:highlight w:val="none"/>
        </w:rPr>
        <w:fldChar w:fldCharType="end"/>
      </w:r>
    </w:p>
    <w:p w14:paraId="19352CCC">
      <w:pPr>
        <w:pStyle w:val="43"/>
        <w:spacing w:line="700" w:lineRule="exact"/>
        <w:jc w:val="left"/>
        <w:rPr>
          <w:color w:val="auto"/>
          <w:sz w:val="24"/>
          <w:szCs w:val="24"/>
          <w:highlight w:val="none"/>
        </w:rPr>
      </w:pPr>
    </w:p>
    <w:p w14:paraId="021F44B0">
      <w:pPr>
        <w:bidi w:val="0"/>
        <w:rPr>
          <w:color w:val="auto"/>
          <w:highlight w:val="none"/>
        </w:rPr>
      </w:pPr>
    </w:p>
    <w:p w14:paraId="4D18BD6C">
      <w:pPr>
        <w:bidi w:val="0"/>
        <w:rPr>
          <w:color w:val="auto"/>
          <w:highlight w:val="none"/>
        </w:rPr>
      </w:pPr>
    </w:p>
    <w:p w14:paraId="04588BA2">
      <w:pPr>
        <w:bidi w:val="0"/>
        <w:rPr>
          <w:color w:val="auto"/>
          <w:highlight w:val="none"/>
        </w:rPr>
      </w:pPr>
    </w:p>
    <w:p w14:paraId="39DE170B">
      <w:pPr>
        <w:bidi w:val="0"/>
        <w:rPr>
          <w:color w:val="auto"/>
          <w:highlight w:val="none"/>
        </w:rPr>
      </w:pPr>
    </w:p>
    <w:p w14:paraId="64DE2E6D">
      <w:pPr>
        <w:bidi w:val="0"/>
        <w:rPr>
          <w:color w:val="auto"/>
          <w:highlight w:val="none"/>
        </w:rPr>
      </w:pPr>
    </w:p>
    <w:p w14:paraId="420A3E0C">
      <w:pPr>
        <w:bidi w:val="0"/>
        <w:rPr>
          <w:color w:val="auto"/>
          <w:highlight w:val="none"/>
        </w:rPr>
      </w:pPr>
    </w:p>
    <w:p w14:paraId="1E758B37">
      <w:pPr>
        <w:bidi w:val="0"/>
        <w:rPr>
          <w:color w:val="auto"/>
          <w:highlight w:val="none"/>
        </w:rPr>
      </w:pPr>
    </w:p>
    <w:p w14:paraId="4F61D401">
      <w:pPr>
        <w:bidi w:val="0"/>
        <w:rPr>
          <w:color w:val="auto"/>
          <w:highlight w:val="none"/>
        </w:rPr>
      </w:pPr>
    </w:p>
    <w:p w14:paraId="101DCA3B">
      <w:pPr>
        <w:tabs>
          <w:tab w:val="left" w:pos="7034"/>
        </w:tabs>
        <w:bidi w:val="0"/>
        <w:jc w:val="left"/>
        <w:rPr>
          <w:rFonts w:hint="eastAsia" w:eastAsia="宋体"/>
          <w:color w:val="auto"/>
          <w:highlight w:val="none"/>
          <w:lang w:eastAsia="zh-CN"/>
        </w:rPr>
        <w:sectPr>
          <w:footerReference r:id="rId5" w:type="default"/>
          <w:pgSz w:w="11906" w:h="16838"/>
          <w:pgMar w:top="1134" w:right="1417" w:bottom="1134" w:left="1417" w:header="851" w:footer="992" w:gutter="0"/>
          <w:pgNumType w:start="1"/>
          <w:cols w:space="720" w:num="1"/>
          <w:docGrid w:type="lines" w:linePitch="312" w:charSpace="0"/>
        </w:sectPr>
      </w:pPr>
      <w:r>
        <w:rPr>
          <w:rFonts w:hint="eastAsia"/>
          <w:color w:val="auto"/>
          <w:highlight w:val="none"/>
          <w:lang w:eastAsia="zh-CN"/>
        </w:rPr>
        <w:tab/>
      </w:r>
    </w:p>
    <w:p w14:paraId="67FEE1E9">
      <w:pPr>
        <w:pStyle w:val="43"/>
        <w:spacing w:beforeLines="50" w:afterLines="50" w:line="440" w:lineRule="exact"/>
        <w:rPr>
          <w:rFonts w:hint="eastAsia"/>
          <w:bCs/>
          <w:color w:val="auto"/>
          <w:sz w:val="28"/>
          <w:szCs w:val="28"/>
          <w:highlight w:val="none"/>
          <w:lang w:val="en-US" w:eastAsia="zh-CN"/>
        </w:rPr>
      </w:pPr>
      <w:bookmarkStart w:id="16" w:name="_Toc3705"/>
      <w:r>
        <w:rPr>
          <w:rFonts w:hint="eastAsia"/>
          <w:bCs/>
          <w:color w:val="auto"/>
          <w:sz w:val="28"/>
          <w:szCs w:val="28"/>
          <w:highlight w:val="none"/>
          <w:lang w:val="en-US" w:eastAsia="zh-CN"/>
        </w:rPr>
        <w:t>滁州经开区市政道路排水管网更新改造项目监理</w:t>
      </w:r>
      <w:r>
        <w:rPr>
          <w:rFonts w:hint="eastAsia"/>
          <w:bCs/>
          <w:color w:val="auto"/>
          <w:sz w:val="28"/>
          <w:szCs w:val="28"/>
          <w:highlight w:val="none"/>
        </w:rPr>
        <w:t>招标公告信息</w:t>
      </w:r>
      <w:bookmarkEnd w:id="16"/>
    </w:p>
    <w:tbl>
      <w:tblPr>
        <w:tblStyle w:val="4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313"/>
      </w:tblGrid>
      <w:tr w14:paraId="3A8F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9AB233F">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3828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57B26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8313" w:type="dxa"/>
            <w:noWrap w:val="0"/>
            <w:vAlign w:val="top"/>
          </w:tcPr>
          <w:p w14:paraId="1CD5F636">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滁州经开区市政道路排水管网更新改造项目监理</w:t>
            </w:r>
          </w:p>
        </w:tc>
      </w:tr>
      <w:tr w14:paraId="7130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772D1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8313" w:type="dxa"/>
            <w:noWrap w:val="0"/>
            <w:vAlign w:val="center"/>
          </w:tcPr>
          <w:p w14:paraId="2FE64FBC">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滁州经济技术开发区经济运行局</w:t>
            </w:r>
          </w:p>
        </w:tc>
      </w:tr>
      <w:tr w14:paraId="28E7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EC7ABF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8313" w:type="dxa"/>
            <w:noWrap w:val="0"/>
            <w:vAlign w:val="center"/>
          </w:tcPr>
          <w:p w14:paraId="140BC187">
            <w:pPr>
              <w:keepNext w:val="0"/>
              <w:keepLines w:val="0"/>
              <w:pageBreakBefore w:val="0"/>
              <w:widowControl/>
              <w:kinsoku/>
              <w:overflowPunct/>
              <w:autoSpaceDE/>
              <w:autoSpaceDN/>
              <w:bidi w:val="0"/>
              <w:adjustRightInd/>
              <w:snapToGrid/>
              <w:spacing w:line="500" w:lineRule="exact"/>
              <w:jc w:val="left"/>
              <w:textAlignment w:val="auto"/>
              <w:rPr>
                <w:rFonts w:hint="default"/>
                <w:color w:val="auto"/>
                <w:highlight w:val="none"/>
                <w:lang w:val="en-US"/>
              </w:rPr>
            </w:pPr>
            <w:r>
              <w:rPr>
                <w:rFonts w:hint="eastAsia"/>
                <w:color w:val="auto"/>
                <w:highlight w:val="none"/>
              </w:rPr>
              <w:t>关于</w:t>
            </w:r>
            <w:r>
              <w:rPr>
                <w:rFonts w:hint="eastAsia" w:ascii="宋体" w:hAnsi="宋体" w:cs="宋体"/>
                <w:bCs/>
                <w:color w:val="auto"/>
                <w:kern w:val="1"/>
                <w:sz w:val="21"/>
                <w:szCs w:val="21"/>
                <w:highlight w:val="none"/>
                <w:lang w:val="en-US" w:eastAsia="zh-CN"/>
              </w:rPr>
              <w:t>滁州经开区市政道路排水管网更新改造项目可行性研究报告的批复</w:t>
            </w:r>
          </w:p>
          <w:p w14:paraId="503E53E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滁开经运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2024】58</w:t>
            </w:r>
            <w:r>
              <w:rPr>
                <w:rFonts w:hint="eastAsia" w:ascii="宋体" w:hAnsi="宋体" w:cs="宋体"/>
                <w:color w:val="auto"/>
                <w:szCs w:val="21"/>
                <w:highlight w:val="none"/>
              </w:rPr>
              <w:t>号</w:t>
            </w:r>
          </w:p>
        </w:tc>
      </w:tr>
      <w:tr w14:paraId="5396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09989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8313" w:type="dxa"/>
            <w:noWrap w:val="0"/>
            <w:vAlign w:val="center"/>
          </w:tcPr>
          <w:p w14:paraId="317E6F2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滁州华城建设开发有限公司</w:t>
            </w:r>
          </w:p>
        </w:tc>
      </w:tr>
      <w:tr w14:paraId="1D8D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0089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8313" w:type="dxa"/>
            <w:noWrap w:val="0"/>
            <w:vAlign w:val="center"/>
          </w:tcPr>
          <w:p w14:paraId="38B929B3">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滁州华城建设开发有限公司</w:t>
            </w:r>
          </w:p>
        </w:tc>
      </w:tr>
      <w:tr w14:paraId="5478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9EAEA0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8313" w:type="dxa"/>
            <w:noWrap w:val="0"/>
            <w:vAlign w:val="center"/>
          </w:tcPr>
          <w:p w14:paraId="0F1D7CB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财政及自筹资金</w:t>
            </w:r>
          </w:p>
        </w:tc>
      </w:tr>
      <w:tr w14:paraId="3594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55C854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8313" w:type="dxa"/>
            <w:noWrap w:val="0"/>
            <w:vAlign w:val="center"/>
          </w:tcPr>
          <w:p w14:paraId="7E6475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w:t>
            </w:r>
          </w:p>
        </w:tc>
      </w:tr>
      <w:tr w14:paraId="083D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32ED1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8313" w:type="dxa"/>
            <w:noWrap w:val="0"/>
            <w:vAlign w:val="center"/>
          </w:tcPr>
          <w:p w14:paraId="5D56BE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公开招标</w:t>
            </w:r>
          </w:p>
        </w:tc>
      </w:tr>
      <w:tr w14:paraId="2F22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5C359F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8313" w:type="dxa"/>
            <w:noWrap w:val="0"/>
            <w:vAlign w:val="center"/>
          </w:tcPr>
          <w:p w14:paraId="55679D1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综合评估法</w:t>
            </w:r>
          </w:p>
        </w:tc>
      </w:tr>
      <w:tr w14:paraId="07E0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AC0F00C">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2888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7386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8313" w:type="dxa"/>
            <w:noWrap w:val="0"/>
            <w:vAlign w:val="center"/>
          </w:tcPr>
          <w:p w14:paraId="7DBB73F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滁州经开区市政道路排水管网更新改造项目监理</w:t>
            </w:r>
          </w:p>
        </w:tc>
      </w:tr>
      <w:tr w14:paraId="20E3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F39FF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313" w:type="dxa"/>
            <w:noWrap w:val="0"/>
            <w:vAlign w:val="center"/>
          </w:tcPr>
          <w:p w14:paraId="5AD4C28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w:t>
            </w:r>
            <w:r>
              <w:rPr>
                <w:rFonts w:hint="eastAsia" w:ascii="宋体" w:hAnsi="宋体" w:cs="宋体"/>
                <w:color w:val="auto"/>
                <w:sz w:val="21"/>
                <w:szCs w:val="21"/>
                <w:highlight w:val="none"/>
                <w:lang w:val="en-US" w:eastAsia="zh-CN"/>
              </w:rPr>
              <w:t xml:space="preserve">508-001 </w:t>
            </w:r>
          </w:p>
        </w:tc>
      </w:tr>
      <w:tr w14:paraId="4139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3" w:type="dxa"/>
            <w:noWrap w:val="0"/>
            <w:vAlign w:val="center"/>
          </w:tcPr>
          <w:p w14:paraId="0B0B6DC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8313" w:type="dxa"/>
            <w:noWrap w:val="0"/>
            <w:vAlign w:val="center"/>
          </w:tcPr>
          <w:p w14:paraId="52A616D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一个标段</w:t>
            </w:r>
          </w:p>
        </w:tc>
      </w:tr>
      <w:tr w14:paraId="367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459F69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招标项目标段编号</w:t>
            </w:r>
          </w:p>
        </w:tc>
        <w:tc>
          <w:tcPr>
            <w:tcW w:w="8313" w:type="dxa"/>
            <w:noWrap w:val="0"/>
            <w:vAlign w:val="center"/>
          </w:tcPr>
          <w:p w14:paraId="4506C72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czsjgc202</w:t>
            </w:r>
            <w:r>
              <w:rPr>
                <w:rFonts w:hint="eastAsia" w:ascii="宋体" w:hAnsi="宋体" w:cs="宋体"/>
                <w:color w:val="auto"/>
                <w:sz w:val="21"/>
                <w:szCs w:val="21"/>
                <w:highlight w:val="none"/>
                <w:lang w:val="en-US" w:eastAsia="zh-CN"/>
              </w:rPr>
              <w:t xml:space="preserve">508-001 </w:t>
            </w:r>
          </w:p>
        </w:tc>
      </w:tr>
      <w:tr w14:paraId="187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B5CF3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8313" w:type="dxa"/>
            <w:noWrap w:val="0"/>
            <w:vAlign w:val="center"/>
          </w:tcPr>
          <w:p w14:paraId="43C09EA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color w:val="auto"/>
                <w:szCs w:val="21"/>
                <w:highlight w:val="none"/>
              </w:rPr>
              <w:t>滁州经开区辖区内</w:t>
            </w:r>
          </w:p>
        </w:tc>
      </w:tr>
      <w:tr w14:paraId="16DE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1004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8313" w:type="dxa"/>
            <w:noWrap w:val="0"/>
            <w:vAlign w:val="center"/>
          </w:tcPr>
          <w:p w14:paraId="4E71ABA6">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color w:val="auto"/>
                <w:szCs w:val="21"/>
                <w:highlight w:val="none"/>
              </w:rPr>
              <w:t>经开区范围内市政道路雨污水管网更新改造，涉及排水管网里程约700公里，包括：管网清淤疏通，</w:t>
            </w:r>
            <w:r>
              <w:rPr>
                <w:rFonts w:hint="eastAsia"/>
                <w:color w:val="auto"/>
                <w:szCs w:val="21"/>
                <w:highlight w:val="none"/>
                <w:lang w:val="en-US" w:eastAsia="zh-CN"/>
              </w:rPr>
              <w:t>排水泵站，</w:t>
            </w:r>
            <w:r>
              <w:rPr>
                <w:color w:val="auto"/>
                <w:szCs w:val="21"/>
                <w:highlight w:val="none"/>
              </w:rPr>
              <w:t>病害情况复核，新建及修复管网，混接改造，配套检查井、雨水篦等</w:t>
            </w:r>
            <w:r>
              <w:rPr>
                <w:rFonts w:hint="eastAsia"/>
                <w:color w:val="auto"/>
                <w:szCs w:val="21"/>
                <w:highlight w:val="none"/>
              </w:rPr>
              <w:t>。</w:t>
            </w:r>
          </w:p>
        </w:tc>
      </w:tr>
      <w:tr w14:paraId="4E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F79EF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8313" w:type="dxa"/>
            <w:noWrap w:val="0"/>
            <w:vAlign w:val="center"/>
          </w:tcPr>
          <w:p w14:paraId="17C457B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lang w:val="en-US" w:eastAsia="zh-CN"/>
              </w:rPr>
              <w:t>项目投资约44909.31</w:t>
            </w:r>
            <w:r>
              <w:rPr>
                <w:rFonts w:hint="eastAsia" w:ascii="宋体" w:hAnsi="宋体" w:cs="宋体"/>
                <w:color w:val="auto"/>
                <w:sz w:val="21"/>
                <w:szCs w:val="21"/>
                <w:highlight w:val="none"/>
                <w:lang w:val="en-US" w:eastAsia="zh-CN"/>
              </w:rPr>
              <w:t>万</w:t>
            </w:r>
            <w:r>
              <w:rPr>
                <w:rFonts w:hint="default" w:ascii="宋体" w:hAnsi="宋体" w:eastAsia="宋体" w:cs="宋体"/>
                <w:color w:val="auto"/>
                <w:sz w:val="21"/>
                <w:szCs w:val="21"/>
                <w:highlight w:val="none"/>
                <w:lang w:val="en-US" w:eastAsia="zh-CN"/>
              </w:rPr>
              <w:t>元，服务费用约</w:t>
            </w:r>
            <w:r>
              <w:rPr>
                <w:rFonts w:hint="eastAsia" w:ascii="宋体" w:hAnsi="宋体" w:cs="宋体"/>
                <w:color w:val="auto"/>
                <w:sz w:val="21"/>
                <w:szCs w:val="21"/>
                <w:highlight w:val="none"/>
                <w:lang w:val="en-US" w:eastAsia="zh-CN"/>
              </w:rPr>
              <w:t>450</w:t>
            </w:r>
            <w:r>
              <w:rPr>
                <w:rFonts w:hint="default" w:ascii="宋体" w:hAnsi="宋体" w:eastAsia="宋体" w:cs="宋体"/>
                <w:color w:val="auto"/>
                <w:sz w:val="21"/>
                <w:szCs w:val="21"/>
                <w:highlight w:val="none"/>
                <w:lang w:val="en-US" w:eastAsia="zh-CN"/>
              </w:rPr>
              <w:t>万元。</w:t>
            </w:r>
          </w:p>
        </w:tc>
      </w:tr>
      <w:tr w14:paraId="6C7C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3085BB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8313" w:type="dxa"/>
            <w:noWrap w:val="0"/>
            <w:vAlign w:val="center"/>
          </w:tcPr>
          <w:p w14:paraId="431B92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w:t>
            </w:r>
          </w:p>
        </w:tc>
      </w:tr>
      <w:tr w14:paraId="60F9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D19333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8313" w:type="dxa"/>
            <w:noWrap w:val="0"/>
            <w:vAlign w:val="center"/>
          </w:tcPr>
          <w:p w14:paraId="7C9041F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r>
              <w:rPr>
                <w:rFonts w:hint="eastAsia" w:ascii="宋体" w:hAnsi="宋体" w:eastAsia="宋体" w:cs="宋体"/>
                <w:color w:val="auto"/>
                <w:sz w:val="21"/>
                <w:szCs w:val="21"/>
                <w:highlight w:val="none"/>
                <w:lang w:eastAsia="zh-CN"/>
              </w:rPr>
              <w:t>。</w:t>
            </w:r>
          </w:p>
        </w:tc>
      </w:tr>
      <w:tr w14:paraId="0711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484E3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项目类别</w:t>
            </w:r>
          </w:p>
        </w:tc>
        <w:tc>
          <w:tcPr>
            <w:tcW w:w="8313" w:type="dxa"/>
            <w:noWrap w:val="0"/>
            <w:vAlign w:val="center"/>
          </w:tcPr>
          <w:p w14:paraId="034511F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市政公用工程</w:t>
            </w:r>
          </w:p>
        </w:tc>
      </w:tr>
      <w:tr w14:paraId="1295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C54C0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8313" w:type="dxa"/>
            <w:noWrap w:val="0"/>
            <w:vAlign w:val="center"/>
          </w:tcPr>
          <w:p w14:paraId="6A026CC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1F2E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5ED36FE">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1DD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C9D307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8313" w:type="dxa"/>
            <w:noWrap w:val="0"/>
            <w:vAlign w:val="center"/>
          </w:tcPr>
          <w:p w14:paraId="29D7DEA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投标人须具备建设行政主管部门颁发的监理综合资质或建设行政主管部门颁发的市政公用工程监理乙级（或以上）资质。</w:t>
            </w:r>
          </w:p>
        </w:tc>
      </w:tr>
      <w:tr w14:paraId="3B0B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65814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cs="宋体"/>
                <w:bCs/>
                <w:snapToGrid w:val="0"/>
                <w:color w:val="auto"/>
                <w:kern w:val="0"/>
                <w:sz w:val="21"/>
                <w:szCs w:val="21"/>
                <w:highlight w:val="none"/>
                <w:lang w:val="en-US" w:eastAsia="zh-CN"/>
              </w:rPr>
              <w:t>（总监理工程师）</w:t>
            </w:r>
            <w:r>
              <w:rPr>
                <w:rFonts w:hint="eastAsia" w:ascii="宋体" w:hAnsi="宋体" w:eastAsia="宋体" w:cs="宋体"/>
                <w:bCs/>
                <w:snapToGrid w:val="0"/>
                <w:color w:val="auto"/>
                <w:kern w:val="0"/>
                <w:sz w:val="21"/>
                <w:szCs w:val="21"/>
                <w:highlight w:val="none"/>
              </w:rPr>
              <w:t>资格要求</w:t>
            </w:r>
          </w:p>
        </w:tc>
        <w:tc>
          <w:tcPr>
            <w:tcW w:w="8313" w:type="dxa"/>
            <w:noWrap w:val="0"/>
            <w:vAlign w:val="center"/>
          </w:tcPr>
          <w:p w14:paraId="63012B5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同时具有工程类高级工程师及以上职称和</w:t>
            </w:r>
            <w:r>
              <w:rPr>
                <w:rFonts w:hint="eastAsia" w:ascii="宋体" w:hAnsi="宋体" w:eastAsia="宋体" w:cs="宋体"/>
                <w:color w:val="auto"/>
                <w:sz w:val="21"/>
                <w:szCs w:val="21"/>
                <w:highlight w:val="none"/>
              </w:rPr>
              <w:t>在投标单位注册的</w:t>
            </w:r>
            <w:r>
              <w:rPr>
                <w:rFonts w:hint="eastAsia" w:ascii="宋体" w:hAnsi="宋体" w:cs="宋体"/>
                <w:color w:val="auto"/>
                <w:sz w:val="21"/>
                <w:szCs w:val="21"/>
                <w:highlight w:val="none"/>
                <w:lang w:val="en-US" w:eastAsia="zh-CN"/>
              </w:rPr>
              <w:t>市政公用</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专业国家级注册监理工程师证书【</w:t>
            </w:r>
            <w:r>
              <w:rPr>
                <w:rFonts w:hint="eastAsia" w:ascii="宋体" w:hAnsi="宋体" w:eastAsia="宋体" w:cs="宋体"/>
                <w:color w:val="auto"/>
                <w:sz w:val="21"/>
                <w:szCs w:val="21"/>
                <w:highlight w:val="none"/>
                <w:lang w:val="en-US" w:eastAsia="zh-CN"/>
              </w:rPr>
              <w:t>总监理工程师无在建</w:t>
            </w:r>
            <w:r>
              <w:rPr>
                <w:rFonts w:hint="eastAsia" w:ascii="宋体" w:hAnsi="宋体" w:eastAsia="宋体" w:cs="宋体"/>
                <w:color w:val="auto"/>
                <w:sz w:val="21"/>
                <w:szCs w:val="21"/>
                <w:highlight w:val="none"/>
              </w:rPr>
              <w:t>项目，否则取消中标资格。</w:t>
            </w:r>
            <w:r>
              <w:rPr>
                <w:rFonts w:hint="eastAsia" w:ascii="宋体" w:hAnsi="宋体" w:eastAsia="宋体" w:cs="宋体"/>
                <w:color w:val="auto"/>
                <w:sz w:val="21"/>
                <w:szCs w:val="21"/>
                <w:highlight w:val="none"/>
                <w:lang w:val="en-US" w:eastAsia="zh-CN"/>
              </w:rPr>
              <w:t>在建项目是指以项目负责人（总监理工程师）的身份承担其他尚未完工（以竣工或交工或完工验收报告等手续为准）的项目或已中标的项目（以发放中标通知书为准）</w:t>
            </w:r>
            <w:r>
              <w:rPr>
                <w:rFonts w:hint="eastAsia" w:ascii="宋体" w:hAnsi="宋体" w:eastAsia="宋体" w:cs="宋体"/>
                <w:color w:val="auto"/>
                <w:sz w:val="21"/>
                <w:szCs w:val="21"/>
                <w:highlight w:val="none"/>
              </w:rPr>
              <w:t>】。本项目不接受投标截止时间前六个月内在滁州市区域内办理过项目负责人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变更备案手续的原项目负责人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作为拟任项目负责人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参加投标。</w:t>
            </w:r>
          </w:p>
        </w:tc>
      </w:tr>
      <w:tr w14:paraId="37DF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39EE2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信誉要求</w:t>
            </w:r>
          </w:p>
        </w:tc>
        <w:tc>
          <w:tcPr>
            <w:tcW w:w="8313" w:type="dxa"/>
            <w:noWrap w:val="0"/>
            <w:vAlign w:val="center"/>
          </w:tcPr>
          <w:p w14:paraId="480838B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投标人存在以下情形之一的，不得被确定为中标人：</w:t>
            </w:r>
          </w:p>
          <w:p w14:paraId="0395491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5B9C2EA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23140AE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2EF935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87C50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2DB4C5B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48261A4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9EE43A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52C6270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1C884E5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E514FA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2.投标人所属分公司、办事处等分支机构存在第3款信誉要求①-⑩项情形之一的，接受其被确定为中标人。</w:t>
            </w:r>
          </w:p>
          <w:p w14:paraId="7B32CFC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67D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3" w:type="dxa"/>
            <w:noWrap w:val="0"/>
            <w:vAlign w:val="center"/>
          </w:tcPr>
          <w:p w14:paraId="75BA3B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8313" w:type="dxa"/>
            <w:noWrap w:val="0"/>
            <w:vAlign w:val="center"/>
          </w:tcPr>
          <w:p w14:paraId="36B36254">
            <w:pPr>
              <w:pStyle w:val="45"/>
              <w:keepNext w:val="0"/>
              <w:keepLines w:val="0"/>
              <w:pageBreakBefore w:val="0"/>
              <w:kinsoku/>
              <w:overflowPunct/>
              <w:autoSpaceDE/>
              <w:autoSpaceDN/>
              <w:bidi w:val="0"/>
              <w:adjustRightInd/>
              <w:snapToGrid/>
              <w:spacing w:line="500" w:lineRule="exact"/>
              <w:ind w:left="0" w:leftChars="0" w:firstLine="0" w:firstLineChars="0"/>
              <w:textAlignment w:val="auto"/>
              <w:rPr>
                <w:rFonts w:hint="default"/>
                <w:color w:val="auto"/>
                <w:highlight w:val="none"/>
                <w:lang w:val="en-US" w:eastAsia="zh-CN"/>
              </w:rPr>
            </w:pPr>
            <w:r>
              <w:rPr>
                <w:rFonts w:hint="eastAsia" w:ascii="宋体" w:hAnsi="宋体" w:eastAsia="宋体" w:cs="宋体"/>
                <w:color w:val="auto"/>
                <w:sz w:val="21"/>
                <w:szCs w:val="21"/>
                <w:highlight w:val="none"/>
              </w:rPr>
              <w:t>本次不接受联合体投标</w:t>
            </w:r>
            <w:r>
              <w:rPr>
                <w:rFonts w:hint="eastAsia" w:ascii="宋体" w:hAnsi="宋体" w:eastAsia="宋体" w:cs="宋体"/>
                <w:color w:val="auto"/>
                <w:sz w:val="21"/>
                <w:szCs w:val="21"/>
                <w:highlight w:val="none"/>
                <w:lang w:eastAsia="zh-CN"/>
              </w:rPr>
              <w:t>。</w:t>
            </w:r>
          </w:p>
        </w:tc>
      </w:tr>
      <w:tr w14:paraId="73E9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B64D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多标段投标</w:t>
            </w:r>
          </w:p>
        </w:tc>
        <w:tc>
          <w:tcPr>
            <w:tcW w:w="8313" w:type="dxa"/>
            <w:noWrap w:val="0"/>
            <w:vAlign w:val="center"/>
          </w:tcPr>
          <w:p w14:paraId="43EB334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05F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82414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8313" w:type="dxa"/>
            <w:noWrap w:val="0"/>
            <w:vAlign w:val="center"/>
          </w:tcPr>
          <w:p w14:paraId="6E60EB4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FDF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EDDE7D7">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50FF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33" w:type="dxa"/>
            <w:noWrap w:val="0"/>
            <w:vAlign w:val="center"/>
          </w:tcPr>
          <w:p w14:paraId="024429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8313" w:type="dxa"/>
            <w:noWrap w:val="0"/>
            <w:vAlign w:val="center"/>
          </w:tcPr>
          <w:p w14:paraId="15289E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u w:val="single"/>
                <w:lang w:val="en-US" w:eastAsia="zh-CN"/>
              </w:rPr>
              <w:t>202</w:t>
            </w:r>
            <w:r>
              <w:rPr>
                <w:rFonts w:hint="eastAsia" w:ascii="宋体" w:hAnsi="宋体" w:cs="宋体"/>
                <w:bCs/>
                <w:snapToGrid w:val="0"/>
                <w:color w:val="auto"/>
                <w:kern w:val="0"/>
                <w:sz w:val="21"/>
                <w:szCs w:val="21"/>
                <w:highlight w:val="none"/>
                <w:u w:val="single"/>
                <w:lang w:val="en-US" w:eastAsia="zh-CN"/>
              </w:rPr>
              <w:t>5</w:t>
            </w:r>
            <w:r>
              <w:rPr>
                <w:rFonts w:hint="eastAsia" w:ascii="宋体" w:hAnsi="宋体" w:eastAsia="宋体" w:cs="宋体"/>
                <w:bCs/>
                <w:snapToGrid w:val="0"/>
                <w:color w:val="auto"/>
                <w:kern w:val="0"/>
                <w:sz w:val="21"/>
                <w:szCs w:val="21"/>
                <w:highlight w:val="none"/>
              </w:rPr>
              <w:t>年</w:t>
            </w:r>
            <w:r>
              <w:rPr>
                <w:rFonts w:hint="eastAsia" w:ascii="宋体" w:hAnsi="宋体" w:cs="宋体"/>
                <w:bCs/>
                <w:snapToGrid w:val="0"/>
                <w:color w:val="auto"/>
                <w:kern w:val="0"/>
                <w:sz w:val="21"/>
                <w:szCs w:val="21"/>
                <w:highlight w:val="none"/>
                <w:u w:val="single"/>
                <w:lang w:val="en-US" w:eastAsia="zh-CN"/>
              </w:rPr>
              <w:t xml:space="preserve"> 8</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 xml:space="preserve">1 </w:t>
            </w:r>
            <w:r>
              <w:rPr>
                <w:rFonts w:hint="eastAsia" w:ascii="宋体" w:hAnsi="宋体" w:eastAsia="宋体" w:cs="宋体"/>
                <w:bCs/>
                <w:snapToGrid w:val="0"/>
                <w:color w:val="auto"/>
                <w:kern w:val="0"/>
                <w:sz w:val="21"/>
                <w:szCs w:val="21"/>
                <w:highlight w:val="none"/>
              </w:rPr>
              <w:t>日</w:t>
            </w:r>
            <w:r>
              <w:rPr>
                <w:rFonts w:hint="eastAsia" w:ascii="宋体" w:hAnsi="宋体" w:cs="宋体"/>
                <w:bCs/>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时</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分至</w:t>
            </w:r>
            <w:r>
              <w:rPr>
                <w:rFonts w:hint="eastAsia" w:ascii="宋体" w:hAnsi="宋体" w:eastAsia="宋体" w:cs="宋体"/>
                <w:bCs/>
                <w:snapToGrid w:val="0"/>
                <w:color w:val="auto"/>
                <w:kern w:val="0"/>
                <w:sz w:val="21"/>
                <w:szCs w:val="21"/>
                <w:highlight w:val="none"/>
                <w:u w:val="single"/>
                <w:lang w:val="en-US" w:eastAsia="zh-CN"/>
              </w:rPr>
              <w:t>202</w:t>
            </w:r>
            <w:r>
              <w:rPr>
                <w:rFonts w:hint="eastAsia" w:ascii="宋体" w:hAnsi="宋体" w:cs="宋体"/>
                <w:bCs/>
                <w:snapToGrid w:val="0"/>
                <w:color w:val="auto"/>
                <w:kern w:val="0"/>
                <w:sz w:val="21"/>
                <w:szCs w:val="21"/>
                <w:highlight w:val="none"/>
                <w:u w:val="single"/>
                <w:lang w:val="en-US" w:eastAsia="zh-CN"/>
              </w:rPr>
              <w:t>5</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 xml:space="preserve">8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 xml:space="preserve">25 </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lang w:val="en-US" w:eastAsia="zh-CN"/>
              </w:rPr>
              <w:t xml:space="preserve"> 8 </w:t>
            </w:r>
            <w:r>
              <w:rPr>
                <w:rFonts w:hint="eastAsia" w:ascii="宋体" w:hAnsi="宋体" w:eastAsia="宋体" w:cs="宋体"/>
                <w:bCs/>
                <w:snapToGrid w:val="0"/>
                <w:color w:val="auto"/>
                <w:kern w:val="0"/>
                <w:sz w:val="21"/>
                <w:szCs w:val="21"/>
                <w:highlight w:val="none"/>
              </w:rPr>
              <w:t xml:space="preserve">时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w:t>
            </w:r>
          </w:p>
        </w:tc>
      </w:tr>
      <w:tr w14:paraId="2000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061E70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获取方式</w:t>
            </w:r>
          </w:p>
        </w:tc>
        <w:tc>
          <w:tcPr>
            <w:tcW w:w="8313" w:type="dxa"/>
            <w:noWrap w:val="0"/>
            <w:vAlign w:val="center"/>
          </w:tcPr>
          <w:p w14:paraId="10F934D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Cs/>
                <w:snapToGrid w:val="0"/>
                <w:color w:val="auto"/>
                <w:kern w:val="0"/>
                <w:sz w:val="21"/>
                <w:szCs w:val="21"/>
                <w:highlight w:val="none"/>
                <w:u w:val="none"/>
              </w:rPr>
            </w:pPr>
            <w:r>
              <w:rPr>
                <w:rFonts w:hint="eastAsia" w:ascii="宋体" w:hAnsi="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rPr>
              <w:t>潜在投标人须</w:t>
            </w:r>
            <w:r>
              <w:rPr>
                <w:rFonts w:hint="eastAsia" w:ascii="宋体" w:hAnsi="宋体" w:eastAsia="宋体" w:cs="宋体"/>
                <w:bCs/>
                <w:snapToGrid w:val="0"/>
                <w:color w:val="auto"/>
                <w:kern w:val="0"/>
                <w:sz w:val="21"/>
                <w:szCs w:val="21"/>
                <w:highlight w:val="none"/>
                <w:u w:val="none"/>
              </w:rPr>
              <w:t>登录滁州市公共资源交易中心网站（http://ggzy.chuzhou.gov.cn/）查阅并下载电子招标文件。</w:t>
            </w:r>
          </w:p>
          <w:p w14:paraId="30695E38">
            <w:pPr>
              <w:keepNext w:val="0"/>
              <w:keepLines w:val="0"/>
              <w:pageBreakBefore w:val="0"/>
              <w:widowControl/>
              <w:kinsoku/>
              <w:wordWrap/>
              <w:overflowPunct/>
              <w:topLine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rPr>
              <w:t>招标文件获取过程中有任何疑问，请在工作时间（工作时间：工作日8:00-12:00,14:30-17:30）拨打0550-3801701。</w:t>
            </w:r>
          </w:p>
        </w:tc>
      </w:tr>
      <w:tr w14:paraId="7282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103A3D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8313" w:type="dxa"/>
            <w:noWrap w:val="0"/>
            <w:vAlign w:val="center"/>
          </w:tcPr>
          <w:p w14:paraId="42C1625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tc>
      </w:tr>
      <w:tr w14:paraId="340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7D414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8313" w:type="dxa"/>
            <w:noWrap w:val="0"/>
            <w:vAlign w:val="center"/>
          </w:tcPr>
          <w:p w14:paraId="7C6F972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50A5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0852E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投标文件递交的方式</w:t>
            </w:r>
          </w:p>
        </w:tc>
        <w:tc>
          <w:tcPr>
            <w:tcW w:w="8313" w:type="dxa"/>
            <w:noWrap w:val="0"/>
            <w:vAlign w:val="center"/>
          </w:tcPr>
          <w:p w14:paraId="34AAA8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投标人应在投标截止时间前通过滁州市公共资源交易中心交易系统递交电子投标文件。</w:t>
            </w:r>
          </w:p>
        </w:tc>
      </w:tr>
      <w:tr w14:paraId="05E5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1DAEA9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8313" w:type="dxa"/>
            <w:noWrap w:val="0"/>
            <w:vAlign w:val="center"/>
          </w:tcPr>
          <w:p w14:paraId="6567908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012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6536165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8313" w:type="dxa"/>
            <w:noWrap w:val="0"/>
            <w:vAlign w:val="center"/>
          </w:tcPr>
          <w:p w14:paraId="3ABC18E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网上开标，投标人登录滁州市不见面开标系统参与网上开标（网址：https://ggzy.chuzhou.gov.cn/BidOpening/bidopeninghallaction/hall/login）。操作手册见https://ggzy.chuzhou.gov.cn/fwzn/011006/20240510/f0637388-583d-4c69-8331-05b6adfcf24d.html。</w:t>
            </w:r>
          </w:p>
        </w:tc>
      </w:tr>
      <w:tr w14:paraId="4D8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BABD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8313" w:type="dxa"/>
            <w:noWrap w:val="0"/>
            <w:vAlign w:val="center"/>
          </w:tcPr>
          <w:p w14:paraId="040271D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0元</w:t>
            </w:r>
          </w:p>
        </w:tc>
      </w:tr>
      <w:tr w14:paraId="2AB9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79E72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8313" w:type="dxa"/>
            <w:noWrap w:val="0"/>
            <w:vAlign w:val="center"/>
          </w:tcPr>
          <w:p w14:paraId="099A743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本次招标公告同时在滁州市公共资源交易中心、安徽省公共资源交易监管网、安徽省招标投标信息网等网站发布。</w:t>
            </w:r>
          </w:p>
        </w:tc>
      </w:tr>
      <w:tr w14:paraId="30EA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9DF8CC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投标人提出异议的截止时间及方式</w:t>
            </w:r>
          </w:p>
        </w:tc>
        <w:tc>
          <w:tcPr>
            <w:tcW w:w="8313" w:type="dxa"/>
            <w:noWrap w:val="0"/>
            <w:vAlign w:val="center"/>
          </w:tcPr>
          <w:p w14:paraId="51FCA67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如投标人对招标文件有异议，请于202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日8时（投标截止10日）前在滁州市公共资源交易中心网电子交易系统中进行异议，具体操作步骤和程序请参见服务指南&gt;交易须知&gt;在线异议、质疑和投诉操作手册。</w:t>
            </w:r>
          </w:p>
        </w:tc>
      </w:tr>
      <w:tr w14:paraId="7A13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ECFF40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受理异议的联系人及联系方式</w:t>
            </w:r>
          </w:p>
        </w:tc>
        <w:tc>
          <w:tcPr>
            <w:tcW w:w="8313" w:type="dxa"/>
            <w:noWrap w:val="0"/>
            <w:vAlign w:val="center"/>
          </w:tcPr>
          <w:p w14:paraId="77170E1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cs="宋体"/>
                <w:color w:val="auto"/>
                <w:sz w:val="21"/>
                <w:szCs w:val="21"/>
                <w:highlight w:val="none"/>
                <w:shd w:val="clear" w:color="auto" w:fill="FFFFFF"/>
                <w:lang w:val="en-US" w:eastAsia="zh-CN"/>
              </w:rPr>
            </w:pPr>
            <w:r>
              <w:rPr>
                <w:rFonts w:hint="eastAsia" w:ascii="宋体" w:hAnsi="宋体" w:eastAsia="宋体" w:cs="宋体"/>
                <w:color w:val="auto"/>
                <w:kern w:val="0"/>
                <w:sz w:val="21"/>
                <w:szCs w:val="21"/>
                <w:highlight w:val="none"/>
                <w:lang w:val="en-US" w:eastAsia="zh-CN"/>
              </w:rPr>
              <w:t>联系人：</w:t>
            </w:r>
            <w:r>
              <w:rPr>
                <w:rFonts w:hint="eastAsia" w:ascii="宋体" w:hAnsi="宋体" w:cs="宋体"/>
                <w:color w:val="auto"/>
                <w:kern w:val="0"/>
                <w:sz w:val="21"/>
                <w:szCs w:val="21"/>
                <w:highlight w:val="none"/>
                <w:lang w:val="en-US" w:eastAsia="zh-CN"/>
              </w:rPr>
              <w:t>李工、</w:t>
            </w:r>
            <w:r>
              <w:rPr>
                <w:rFonts w:hint="eastAsia" w:ascii="宋体" w:hAnsi="宋体" w:cs="宋体"/>
                <w:color w:val="auto"/>
                <w:sz w:val="21"/>
                <w:szCs w:val="21"/>
                <w:highlight w:val="none"/>
                <w:shd w:val="clear" w:color="auto" w:fill="FFFFFF"/>
                <w:lang w:val="en-US" w:eastAsia="zh-CN"/>
              </w:rPr>
              <w:t>杨韦</w:t>
            </w:r>
          </w:p>
          <w:p w14:paraId="34A3696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w:t>
            </w:r>
            <w:r>
              <w:rPr>
                <w:rFonts w:hint="eastAsia" w:ascii="宋体" w:hAnsi="宋体" w:cs="宋体"/>
                <w:color w:val="auto"/>
                <w:sz w:val="21"/>
                <w:szCs w:val="21"/>
                <w:highlight w:val="none"/>
                <w:lang w:eastAsia="zh-CN"/>
              </w:rPr>
              <w:t>0550-3219389、</w:t>
            </w:r>
            <w:r>
              <w:rPr>
                <w:rFonts w:hint="eastAsia" w:ascii="宋体" w:hAnsi="宋体" w:cs="宋体"/>
                <w:color w:val="auto"/>
                <w:kern w:val="0"/>
                <w:sz w:val="21"/>
                <w:szCs w:val="21"/>
                <w:highlight w:val="none"/>
                <w:lang w:val="en-US" w:eastAsia="zh-CN"/>
              </w:rPr>
              <w:t>0550-3519590</w:t>
            </w:r>
            <w:r>
              <w:rPr>
                <w:rFonts w:hint="eastAsia" w:ascii="宋体" w:hAnsi="宋体" w:eastAsia="宋体" w:cs="宋体"/>
                <w:color w:val="auto"/>
                <w:sz w:val="21"/>
                <w:szCs w:val="21"/>
                <w:highlight w:val="none"/>
                <w:shd w:val="clear" w:color="auto" w:fill="FFFFFF"/>
                <w:lang w:val="en-US" w:eastAsia="zh-CN"/>
              </w:rPr>
              <w:t>。</w:t>
            </w:r>
          </w:p>
        </w:tc>
      </w:tr>
      <w:tr w14:paraId="7BE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19A0716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投标人提出投诉的方式</w:t>
            </w:r>
          </w:p>
        </w:tc>
        <w:tc>
          <w:tcPr>
            <w:tcW w:w="8313" w:type="dxa"/>
            <w:shd w:val="clear" w:color="auto" w:fill="auto"/>
            <w:noWrap w:val="0"/>
            <w:vAlign w:val="top"/>
          </w:tcPr>
          <w:p w14:paraId="60710DC1">
            <w:pPr>
              <w:keepNext w:val="0"/>
              <w:keepLines w:val="0"/>
              <w:pageBreakBefore w:val="0"/>
              <w:widowControl/>
              <w:kinsoku/>
              <w:wordWrap w:val="0"/>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u w:val="none"/>
              </w:rPr>
              <w:t xml:space="preserve">投标人或者其他利害关系人认为招标投标活动违反法律、法规和规章规定的，有权向相关行政监督部门投诉。在线投诉具体步骤和程序请参照服务指南&gt;投诉渠道 </w:t>
            </w:r>
            <w:r>
              <w:rPr>
                <w:rFonts w:ascii="宋体" w:hAnsi="宋体" w:cs="宋体"/>
                <w:color w:val="auto"/>
                <w:kern w:val="0"/>
                <w:szCs w:val="21"/>
                <w:highlight w:val="none"/>
                <w:u w:val="none"/>
              </w:rPr>
              <w:t>https://ggzy.chuzhou.gov.cn/fwzn/011001/serviceGuide.html</w:t>
            </w:r>
            <w:r>
              <w:rPr>
                <w:rFonts w:hint="eastAsia" w:ascii="宋体" w:hAnsi="宋体" w:cs="宋体"/>
                <w:color w:val="auto"/>
                <w:kern w:val="0"/>
                <w:szCs w:val="21"/>
                <w:highlight w:val="none"/>
                <w:u w:val="none"/>
              </w:rPr>
              <w:t>；投诉书格式等内容参见服务指南&gt;办事指南&gt;投标人服务&gt;投诉受理一次告知书</w:t>
            </w:r>
            <w:r>
              <w:rPr>
                <w:rFonts w:ascii="宋体" w:hAnsi="宋体" w:cs="宋体"/>
                <w:color w:val="auto"/>
                <w:kern w:val="0"/>
                <w:szCs w:val="21"/>
                <w:highlight w:val="none"/>
                <w:u w:val="none"/>
              </w:rPr>
              <w:t>https://ggzy.chuzhou.gov.cn/fwzn/011001/011001001/011001001003/20211022/4b7d87ec-2c58-49b0-b76c-3a6277377930.html</w:t>
            </w:r>
            <w:r>
              <w:rPr>
                <w:rFonts w:hint="eastAsia" w:ascii="宋体" w:hAnsi="宋体" w:cs="宋体"/>
                <w:color w:val="auto"/>
                <w:kern w:val="0"/>
                <w:szCs w:val="21"/>
                <w:highlight w:val="none"/>
                <w:u w:val="none"/>
              </w:rPr>
              <w:t>。</w:t>
            </w:r>
          </w:p>
        </w:tc>
      </w:tr>
      <w:tr w14:paraId="66B3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77647C7">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5A6B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53189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8313" w:type="dxa"/>
            <w:noWrap w:val="0"/>
            <w:vAlign w:val="center"/>
          </w:tcPr>
          <w:p w14:paraId="45D7C0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投标保证金的金额：</w:t>
            </w:r>
            <w:r>
              <w:rPr>
                <w:rFonts w:hint="eastAsia" w:ascii="宋体" w:hAnsi="宋体" w:cs="宋体"/>
                <w:color w:val="auto"/>
                <w:kern w:val="0"/>
                <w:szCs w:val="21"/>
                <w:highlight w:val="none"/>
                <w:lang w:val="en-US" w:eastAsia="zh-CN"/>
              </w:rPr>
              <w:t>8.8</w:t>
            </w:r>
            <w:r>
              <w:rPr>
                <w:rFonts w:hint="eastAsia" w:ascii="宋体" w:hAnsi="宋体" w:cs="宋体"/>
                <w:color w:val="auto"/>
                <w:kern w:val="0"/>
                <w:szCs w:val="21"/>
                <w:highlight w:val="none"/>
              </w:rPr>
              <w:t>万元，要求投标人提交投标保证金。</w:t>
            </w:r>
          </w:p>
        </w:tc>
      </w:tr>
      <w:tr w14:paraId="6D9C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A794D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投标保证金形式</w:t>
            </w:r>
          </w:p>
        </w:tc>
        <w:tc>
          <w:tcPr>
            <w:tcW w:w="8313" w:type="dxa"/>
            <w:noWrap w:val="0"/>
            <w:vAlign w:val="center"/>
          </w:tcPr>
          <w:p w14:paraId="29D7E12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p>
        </w:tc>
      </w:tr>
      <w:tr w14:paraId="1C32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FD9E77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接收投标保证金的账户信息</w:t>
            </w:r>
          </w:p>
        </w:tc>
        <w:tc>
          <w:tcPr>
            <w:tcW w:w="8313" w:type="dxa"/>
            <w:noWrap w:val="0"/>
            <w:vAlign w:val="center"/>
          </w:tcPr>
          <w:p w14:paraId="6F878E04">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37E0403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48CEEE4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2766D7E7">
            <w:pPr>
              <w:keepNext w:val="0"/>
              <w:keepLines w:val="0"/>
              <w:pageBreakBefore w:val="0"/>
              <w:widowControl/>
              <w:kinsoku/>
              <w:overflowPunct/>
              <w:autoSpaceDE/>
              <w:autoSpaceDN/>
              <w:bidi w:val="0"/>
              <w:adjustRightInd/>
              <w:snapToGrid/>
              <w:spacing w:line="500" w:lineRule="exact"/>
              <w:jc w:val="left"/>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账  号：</w:t>
            </w:r>
            <w:r>
              <w:rPr>
                <w:rFonts w:hint="default" w:ascii="宋体" w:hAnsi="宋体" w:cs="宋体"/>
                <w:color w:val="auto"/>
                <w:kern w:val="0"/>
                <w:szCs w:val="21"/>
                <w:highlight w:val="none"/>
                <w:lang w:val="en-US" w:eastAsia="zh-CN"/>
              </w:rPr>
              <w:t>176749187405</w:t>
            </w:r>
          </w:p>
          <w:p w14:paraId="7DFCAFB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301A0E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7A3E077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123340010400044210000000460</w:t>
            </w:r>
          </w:p>
          <w:p w14:paraId="06A79C8F">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w:t>
            </w:r>
            <w:r>
              <w:rPr>
                <w:rFonts w:hint="eastAsia" w:ascii="宋体" w:hAnsi="宋体" w:cs="宋体"/>
                <w:color w:val="auto"/>
                <w:kern w:val="0"/>
                <w:szCs w:val="21"/>
                <w:highlight w:val="none"/>
                <w:lang w:val="en-US" w:eastAsia="zh-CN"/>
              </w:rPr>
              <w:t>8-001</w:t>
            </w:r>
            <w:r>
              <w:rPr>
                <w:rFonts w:hint="eastAsia" w:ascii="宋体" w:hAnsi="宋体" w:cs="宋体"/>
                <w:color w:val="auto"/>
                <w:kern w:val="0"/>
                <w:szCs w:val="21"/>
                <w:highlight w:val="none"/>
              </w:rPr>
              <w:t>项目投标保证金”。</w:t>
            </w:r>
          </w:p>
          <w:p w14:paraId="15F188F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采用支票、银行汇票、本票等非现金形式提交投标保证金时，投标人应在付款人开户行申请书附言处注明“czsjgc20250</w:t>
            </w:r>
            <w:r>
              <w:rPr>
                <w:rFonts w:hint="eastAsia" w:ascii="宋体" w:hAnsi="宋体" w:cs="宋体"/>
                <w:color w:val="auto"/>
                <w:kern w:val="0"/>
                <w:szCs w:val="21"/>
                <w:highlight w:val="none"/>
                <w:lang w:val="en-US" w:eastAsia="zh-CN"/>
              </w:rPr>
              <w:t>8-001</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5C37F5E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采用电子保函形式具体要求如下：</w:t>
            </w:r>
          </w:p>
          <w:p w14:paraId="14E242F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3D860725">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a.投标人须在投标文件提交截止时间前提供与滁州市公共资源交易中心金融服务平台对接的电子保函，否则视为投标保证金未按规定要求缴纳。</w:t>
            </w:r>
          </w:p>
          <w:p w14:paraId="28BEE624">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6F49680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3CD735A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33BD2B5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采用纸质保函形式具体要求如下：</w:t>
            </w:r>
          </w:p>
          <w:p w14:paraId="76EB7ABF">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59A9967E">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2E789D5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43AC081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6ECF00D2">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5E3C111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3754E7D7">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11169283">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3FDD167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79670F08">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6D5A8B21">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5076675">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0DBA5C3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402EED2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5.是否适用免缴投标保证金政策：不适用。</w:t>
            </w:r>
          </w:p>
        </w:tc>
      </w:tr>
      <w:tr w14:paraId="4D2F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B0AB70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备注</w:t>
            </w:r>
          </w:p>
        </w:tc>
        <w:tc>
          <w:tcPr>
            <w:tcW w:w="8313" w:type="dxa"/>
            <w:noWrap w:val="0"/>
            <w:vAlign w:val="center"/>
          </w:tcPr>
          <w:p w14:paraId="50FDDAC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4C83F629">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6160A03F">
            <w:pPr>
              <w:pStyle w:val="45"/>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投标人采用虚假银行保函、担保机构担保、保证保险方式提交投标保证金的，应依法承担弄虚作假、骗取中标的法律责任。</w:t>
            </w:r>
          </w:p>
        </w:tc>
      </w:tr>
      <w:tr w14:paraId="2D49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62DC2F2">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其他说明</w:t>
            </w:r>
          </w:p>
        </w:tc>
      </w:tr>
      <w:tr w14:paraId="43C4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10449AD">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重要说明</w:t>
            </w:r>
          </w:p>
        </w:tc>
        <w:tc>
          <w:tcPr>
            <w:tcW w:w="8313" w:type="dxa"/>
            <w:noWrap w:val="0"/>
            <w:vAlign w:val="center"/>
          </w:tcPr>
          <w:p w14:paraId="472106A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本项目只接受在安徽省公共资源交易市场主体库（</w:t>
            </w:r>
            <w:r>
              <w:rPr>
                <w:rFonts w:ascii="宋体" w:hAnsi="宋体" w:cs="宋体"/>
                <w:color w:val="auto"/>
                <w:kern w:val="0"/>
                <w:szCs w:val="21"/>
                <w:highlight w:val="none"/>
              </w:rPr>
              <w:t>http://ggzy.ah.gov.cn/ahggfwpt-zhutiku/dengludenglu</w:t>
            </w:r>
            <w:r>
              <w:rPr>
                <w:rFonts w:hint="eastAsia" w:ascii="宋体" w:hAnsi="宋体" w:eastAsia="宋体" w:cs="宋体"/>
                <w:color w:val="auto"/>
                <w:kern w:val="0"/>
                <w:sz w:val="21"/>
                <w:szCs w:val="21"/>
                <w:highlight w:val="none"/>
              </w:rPr>
              <w:t>）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608D01A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请投标人登录滁州市公共资源交易中心网站查看参加本项目的程序（具体操作步骤和程序请参见服务指南&gt;交易须知&gt;投标人填写投标信息、下载文件及网上提问操作手册）。</w:t>
            </w:r>
          </w:p>
          <w:p w14:paraId="22C5C75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64A748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eastAsia="宋体"/>
                <w:color w:val="auto"/>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投标文件格式、内容和制作要求以招标文件为准，投标文件制作工具中提供的相关格式及内容仅供参考，投标企业可根据招标文件要求自行调整。</w:t>
            </w:r>
          </w:p>
        </w:tc>
      </w:tr>
      <w:tr w14:paraId="4CFF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633FA5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特别提示</w:t>
            </w:r>
          </w:p>
        </w:tc>
        <w:tc>
          <w:tcPr>
            <w:tcW w:w="8313" w:type="dxa"/>
            <w:noWrap w:val="0"/>
            <w:vAlign w:val="center"/>
          </w:tcPr>
          <w:p w14:paraId="50FD3CE8">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1.本项目投标保证金、履约保证金、工程质量保证金、农民工工资保证金均支持保函使用。以现金形式提交保证金的，应当同时退还保证金本金和银行同期存款利息。</w:t>
            </w:r>
          </w:p>
          <w:p w14:paraId="68696FB3">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.投标人应填写投标信息并下载招标文件，否则无法上传投标文件。</w:t>
            </w:r>
          </w:p>
          <w:p w14:paraId="3F95459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注:投标人如为联合体的,牵头人必须完善投标人信息，并在上传投标文件环节添加联合体投标信息。</w:t>
            </w:r>
          </w:p>
          <w:p w14:paraId="2E3A0AD5">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5A59D9D">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.如果过程中出现招标文件更改，应以最后发布的招标答疑澄清文件中的模板制作本项目最新投标文件。</w:t>
            </w:r>
          </w:p>
          <w:p w14:paraId="1622B14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.投标人应当用本单位CA数字证书制作投标文件，制作成功后进行投标文件上传。 </w:t>
            </w:r>
          </w:p>
          <w:p w14:paraId="1E4B036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44C2809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.请投标人注意加密投标文件CA数字证书的有效期，不在有效期的CA数字证书无法解密投标文件。</w:t>
            </w:r>
          </w:p>
          <w:p w14:paraId="63CFDF5D">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.投标人投标MAC地址一致或申请开具电子保函MAC地址一致的，由评标委员会否决其投标。</w:t>
            </w:r>
          </w:p>
          <w:p w14:paraId="3B087DC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.投标人投标文件中单方面出现其他投标人材料的（依法组成联合体投标的除外），由评标委员会否决其投标。</w:t>
            </w:r>
          </w:p>
          <w:p w14:paraId="3C1F223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14:paraId="26BD28A7">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.若存在不予退还投标人投标保证金的情形，银行转账的，由市公共资源交易中心代为收缴，递交保函的，由招标人予以追缴。</w:t>
            </w:r>
          </w:p>
          <w:p w14:paraId="0DD6F73E">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6EA5FBE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13.投标人联系人或联系电话相同的，由评标委员会否决其投标，并报告监管部门作不良行为处理和进一步调查。</w:t>
            </w:r>
          </w:p>
          <w:p w14:paraId="26617B0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2FF9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3054F68D">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79FF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A3A3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8313" w:type="dxa"/>
            <w:noWrap w:val="0"/>
            <w:vAlign w:val="center"/>
          </w:tcPr>
          <w:p w14:paraId="51337894">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滁州华城建设开发有限公司</w:t>
            </w:r>
            <w:r>
              <w:rPr>
                <w:rFonts w:hint="eastAsia" w:ascii="宋体" w:hAnsi="宋体" w:eastAsia="宋体" w:cs="宋体"/>
                <w:color w:val="auto"/>
                <w:kern w:val="0"/>
                <w:sz w:val="21"/>
                <w:szCs w:val="21"/>
                <w:highlight w:val="none"/>
                <w:lang w:eastAsia="zh-CN"/>
              </w:rPr>
              <w:t xml:space="preserve"> </w:t>
            </w:r>
          </w:p>
        </w:tc>
      </w:tr>
      <w:tr w14:paraId="458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8C2EA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8313" w:type="dxa"/>
            <w:noWrap w:val="0"/>
            <w:vAlign w:val="center"/>
          </w:tcPr>
          <w:p w14:paraId="2DB3EEBC">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滁州市全椒路155号</w:t>
            </w:r>
          </w:p>
        </w:tc>
      </w:tr>
      <w:tr w14:paraId="3409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1609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8313" w:type="dxa"/>
            <w:noWrap w:val="0"/>
            <w:vAlign w:val="center"/>
          </w:tcPr>
          <w:p w14:paraId="6B40F848">
            <w:pPr>
              <w:keepNext w:val="0"/>
              <w:keepLines w:val="0"/>
              <w:pageBreakBefore w:val="0"/>
              <w:widowControl/>
              <w:kinsoku/>
              <w:overflowPunct/>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李工</w:t>
            </w:r>
          </w:p>
        </w:tc>
      </w:tr>
      <w:tr w14:paraId="0B0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11845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8313" w:type="dxa"/>
            <w:noWrap w:val="0"/>
            <w:vAlign w:val="center"/>
          </w:tcPr>
          <w:p w14:paraId="1BAC331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lang w:val="en-US" w:eastAsia="zh-CN"/>
              </w:rPr>
              <w:t>0550-3219389</w:t>
            </w:r>
          </w:p>
        </w:tc>
      </w:tr>
      <w:tr w14:paraId="18F3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33" w:type="dxa"/>
            <w:noWrap w:val="0"/>
            <w:vAlign w:val="center"/>
          </w:tcPr>
          <w:p w14:paraId="0341FEB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8313" w:type="dxa"/>
            <w:noWrap w:val="0"/>
            <w:vAlign w:val="center"/>
          </w:tcPr>
          <w:p w14:paraId="507BAE3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滁州市城投工程咨询管理有限公司</w:t>
            </w:r>
          </w:p>
        </w:tc>
      </w:tr>
      <w:tr w14:paraId="2BDD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33" w:type="dxa"/>
            <w:noWrap w:val="0"/>
            <w:vAlign w:val="center"/>
          </w:tcPr>
          <w:p w14:paraId="2A525F9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8313" w:type="dxa"/>
            <w:noWrap w:val="0"/>
            <w:vAlign w:val="center"/>
          </w:tcPr>
          <w:p w14:paraId="2E83D54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620</w:t>
            </w:r>
            <w:r>
              <w:rPr>
                <w:rFonts w:hint="eastAsia" w:ascii="宋体" w:hAnsi="宋体" w:eastAsia="宋体" w:cs="宋体"/>
                <w:color w:val="auto"/>
                <w:sz w:val="21"/>
                <w:szCs w:val="21"/>
                <w:highlight w:val="none"/>
              </w:rPr>
              <w:t>室</w:t>
            </w:r>
          </w:p>
        </w:tc>
      </w:tr>
      <w:tr w14:paraId="473E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D3454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w:t>
            </w:r>
          </w:p>
          <w:p w14:paraId="5C1C74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联系人</w:t>
            </w:r>
          </w:p>
        </w:tc>
        <w:tc>
          <w:tcPr>
            <w:tcW w:w="8313" w:type="dxa"/>
            <w:noWrap w:val="0"/>
            <w:vAlign w:val="center"/>
          </w:tcPr>
          <w:p w14:paraId="2AF9B82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杨韦</w:t>
            </w:r>
          </w:p>
        </w:tc>
      </w:tr>
      <w:tr w14:paraId="71F1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64DE9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8313" w:type="dxa"/>
            <w:noWrap w:val="0"/>
            <w:vAlign w:val="center"/>
          </w:tcPr>
          <w:p w14:paraId="1CABE0C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w:t>
            </w:r>
            <w:r>
              <w:rPr>
                <w:rFonts w:hint="eastAsia" w:ascii="宋体" w:hAnsi="宋体" w:eastAsia="宋体" w:cs="宋体"/>
                <w:color w:val="auto"/>
                <w:sz w:val="21"/>
                <w:szCs w:val="21"/>
                <w:highlight w:val="none"/>
                <w:lang w:val="en-US" w:eastAsia="zh-CN"/>
              </w:rPr>
              <w:t>90、18005501210</w:t>
            </w:r>
          </w:p>
        </w:tc>
      </w:tr>
      <w:tr w14:paraId="667D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5EB1789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kern w:val="2"/>
                <w:sz w:val="21"/>
                <w:szCs w:val="21"/>
                <w:highlight w:val="none"/>
                <w:lang w:val="en-US" w:eastAsia="zh-CN" w:bidi="ar-SA"/>
              </w:rPr>
            </w:pPr>
            <w:bookmarkStart w:id="17" w:name="_Toc35424883"/>
            <w:bookmarkStart w:id="18" w:name="_Toc152042303"/>
            <w:bookmarkStart w:id="19" w:name="_Toc324404813"/>
            <w:bookmarkStart w:id="20" w:name="_Toc152045527"/>
            <w:bookmarkStart w:id="21" w:name="_Toc35425050"/>
            <w:bookmarkStart w:id="22" w:name="_Toc144974495"/>
            <w:bookmarkStart w:id="23" w:name="_Toc246996916"/>
            <w:bookmarkStart w:id="24" w:name="_Toc179632544"/>
            <w:bookmarkStart w:id="25" w:name="_Toc506107267"/>
            <w:bookmarkStart w:id="26" w:name="_Toc246996173"/>
            <w:bookmarkStart w:id="27" w:name="_Toc15058844"/>
            <w:bookmarkStart w:id="28" w:name="_Toc8504"/>
            <w:bookmarkStart w:id="29" w:name="_Toc247085687"/>
            <w:r>
              <w:rPr>
                <w:rFonts w:hint="eastAsia" w:ascii="宋体" w:hAnsi="宋体" w:eastAsia="宋体" w:cs="宋体"/>
                <w:bCs/>
                <w:color w:val="auto"/>
                <w:spacing w:val="-6"/>
                <w:sz w:val="21"/>
                <w:szCs w:val="21"/>
                <w:highlight w:val="none"/>
              </w:rPr>
              <w:t>招标投标行政监督部门</w:t>
            </w:r>
          </w:p>
        </w:tc>
        <w:tc>
          <w:tcPr>
            <w:tcW w:w="8313" w:type="dxa"/>
            <w:shd w:val="clear" w:color="auto" w:fill="auto"/>
            <w:noWrap w:val="0"/>
            <w:vAlign w:val="center"/>
          </w:tcPr>
          <w:p w14:paraId="521A482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滁州市公共资源交易监督管理局</w:t>
            </w:r>
          </w:p>
        </w:tc>
      </w:tr>
      <w:bookmarkEnd w:id="12"/>
      <w:bookmarkEnd w:id="13"/>
      <w:bookmarkEnd w:id="14"/>
      <w:bookmarkEnd w:id="15"/>
    </w:tbl>
    <w:p w14:paraId="11C7579A">
      <w:pPr>
        <w:rPr>
          <w:rFonts w:hint="eastAsia"/>
          <w:bCs/>
          <w:color w:val="auto"/>
          <w:szCs w:val="32"/>
          <w:highlight w:val="none"/>
        </w:rPr>
      </w:pPr>
      <w:r>
        <w:rPr>
          <w:rFonts w:hint="eastAsia"/>
          <w:bCs/>
          <w:color w:val="auto"/>
          <w:szCs w:val="32"/>
          <w:highlight w:val="none"/>
        </w:rPr>
        <w:br w:type="page"/>
      </w:r>
    </w:p>
    <w:p w14:paraId="525E6F6C">
      <w:pPr>
        <w:pStyle w:val="43"/>
        <w:spacing w:beforeLines="50" w:afterLines="50" w:line="440" w:lineRule="exact"/>
        <w:rPr>
          <w:bCs/>
          <w:color w:val="auto"/>
          <w:szCs w:val="32"/>
          <w:highlight w:val="none"/>
        </w:rPr>
      </w:pPr>
      <w:r>
        <w:rPr>
          <w:rFonts w:hint="eastAsia"/>
          <w:bCs/>
          <w:color w:val="auto"/>
          <w:szCs w:val="32"/>
          <w:highlight w:val="none"/>
        </w:rPr>
        <w:t>第一章</w:t>
      </w:r>
      <w:r>
        <w:rPr>
          <w:bCs/>
          <w:color w:val="auto"/>
          <w:szCs w:val="32"/>
          <w:highlight w:val="none"/>
        </w:rPr>
        <w:t xml:space="preserve"> </w:t>
      </w:r>
      <w:r>
        <w:rPr>
          <w:rFonts w:hint="eastAsia"/>
          <w:bCs/>
          <w:color w:val="auto"/>
          <w:szCs w:val="32"/>
          <w:highlight w:val="none"/>
        </w:rPr>
        <w:t>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0FC85048">
      <w:pPr>
        <w:spacing w:beforeLines="50" w:afterLines="50" w:line="440" w:lineRule="exact"/>
        <w:jc w:val="center"/>
        <w:rPr>
          <w:b/>
          <w:bCs/>
          <w:color w:val="auto"/>
          <w:sz w:val="28"/>
          <w:szCs w:val="28"/>
          <w:highlight w:val="none"/>
        </w:rPr>
      </w:pPr>
      <w:bookmarkStart w:id="30" w:name="_Toc324404814"/>
      <w:bookmarkStart w:id="31" w:name="_Toc246996174"/>
      <w:bookmarkStart w:id="32" w:name="_Toc179632545"/>
      <w:bookmarkStart w:id="33" w:name="_Toc152042304"/>
      <w:bookmarkStart w:id="34" w:name="_Toc152045528"/>
      <w:bookmarkStart w:id="35" w:name="_Toc506107268"/>
      <w:bookmarkStart w:id="36" w:name="_Toc144974496"/>
      <w:bookmarkStart w:id="37" w:name="_Toc15058845"/>
      <w:bookmarkStart w:id="38" w:name="_Toc246996917"/>
      <w:bookmarkStart w:id="39" w:name="_Toc35425051"/>
      <w:bookmarkStart w:id="40" w:name="_Toc247085688"/>
      <w:bookmarkStart w:id="41" w:name="_Toc35424884"/>
      <w:r>
        <w:rPr>
          <w:rFonts w:hint="eastAsia"/>
          <w:b/>
          <w:bCs/>
          <w:color w:val="auto"/>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6"/>
        <w:tblW w:w="10527" w:type="dxa"/>
        <w:jc w:val="center"/>
        <w:tblLayout w:type="fixed"/>
        <w:tblCellMar>
          <w:top w:w="0" w:type="dxa"/>
          <w:left w:w="108" w:type="dxa"/>
          <w:bottom w:w="0" w:type="dxa"/>
          <w:right w:w="108" w:type="dxa"/>
        </w:tblCellMar>
      </w:tblPr>
      <w:tblGrid>
        <w:gridCol w:w="868"/>
        <w:gridCol w:w="910"/>
        <w:gridCol w:w="1220"/>
        <w:gridCol w:w="7529"/>
      </w:tblGrid>
      <w:tr w14:paraId="1650CDD5">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3DFA9D3">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bookmarkStart w:id="42" w:name="_Toc246996918"/>
            <w:bookmarkStart w:id="43" w:name="_Toc179632546"/>
            <w:bookmarkStart w:id="44" w:name="_Toc506107269"/>
            <w:bookmarkStart w:id="45" w:name="_Toc144974497"/>
            <w:bookmarkStart w:id="46" w:name="_Toc152042305"/>
            <w:bookmarkStart w:id="47" w:name="_Toc247085689"/>
            <w:bookmarkStart w:id="48" w:name="_Toc152045529"/>
            <w:bookmarkStart w:id="49" w:name="_Toc246996175"/>
            <w:bookmarkStart w:id="50" w:name="_Toc324404815"/>
            <w:r>
              <w:rPr>
                <w:rFonts w:hint="eastAsia" w:ascii="宋体" w:hAnsi="宋体" w:eastAsia="宋体" w:cs="宋体"/>
                <w:b/>
                <w:color w:val="auto"/>
                <w:sz w:val="21"/>
                <w:szCs w:val="21"/>
                <w:highlight w:val="none"/>
              </w:rPr>
              <w:t>序号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9B08DE4">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7529" w:type="dxa"/>
            <w:tcBorders>
              <w:top w:val="single" w:color="auto" w:sz="4" w:space="0"/>
              <w:left w:val="single" w:color="auto" w:sz="4" w:space="0"/>
              <w:bottom w:val="single" w:color="auto" w:sz="4" w:space="0"/>
              <w:right w:val="single" w:color="auto" w:sz="4" w:space="0"/>
            </w:tcBorders>
            <w:vAlign w:val="center"/>
          </w:tcPr>
          <w:p w14:paraId="11E71231">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385E9DA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8840D2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259489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7529" w:type="dxa"/>
            <w:tcBorders>
              <w:top w:val="single" w:color="auto" w:sz="4" w:space="0"/>
              <w:left w:val="single" w:color="auto" w:sz="4" w:space="0"/>
              <w:bottom w:val="single" w:color="auto" w:sz="4" w:space="0"/>
              <w:right w:val="single" w:color="auto" w:sz="4" w:space="0"/>
            </w:tcBorders>
            <w:vAlign w:val="center"/>
          </w:tcPr>
          <w:p w14:paraId="0E43ACCF">
            <w:pPr>
              <w:pStyle w:val="40"/>
              <w:keepNext w:val="0"/>
              <w:keepLines w:val="0"/>
              <w:pageBreakBefore w:val="0"/>
              <w:kinsoku/>
              <w:overflowPunct/>
              <w:autoSpaceDE/>
              <w:autoSpaceDN/>
              <w:bidi w:val="0"/>
              <w:spacing w:beforeAutospacing="0" w:afterAutospacing="0" w:line="440" w:lineRule="exact"/>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rPr>
              <w:t>见招标公告</w:t>
            </w:r>
          </w:p>
        </w:tc>
      </w:tr>
      <w:tr w14:paraId="7FAF5C1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7FDCA0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FB75B1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7529" w:type="dxa"/>
            <w:tcBorders>
              <w:top w:val="single" w:color="auto" w:sz="4" w:space="0"/>
              <w:left w:val="single" w:color="auto" w:sz="4" w:space="0"/>
              <w:bottom w:val="single" w:color="auto" w:sz="4" w:space="0"/>
              <w:right w:val="single" w:color="auto" w:sz="4" w:space="0"/>
            </w:tcBorders>
            <w:vAlign w:val="center"/>
          </w:tcPr>
          <w:p w14:paraId="1165BC4A">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1807A83F">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1D9352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F653D7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529" w:type="dxa"/>
            <w:tcBorders>
              <w:top w:val="single" w:color="auto" w:sz="4" w:space="0"/>
              <w:left w:val="single" w:color="auto" w:sz="4" w:space="0"/>
              <w:bottom w:val="single" w:color="auto" w:sz="4" w:space="0"/>
              <w:right w:val="single" w:color="auto" w:sz="4" w:space="0"/>
            </w:tcBorders>
            <w:vAlign w:val="center"/>
          </w:tcPr>
          <w:p w14:paraId="6AFF854F">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见招标公告</w:t>
            </w:r>
          </w:p>
        </w:tc>
      </w:tr>
      <w:tr w14:paraId="2F168B66">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6348F8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F934A9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529" w:type="dxa"/>
            <w:tcBorders>
              <w:top w:val="single" w:color="auto" w:sz="4" w:space="0"/>
              <w:left w:val="single" w:color="auto" w:sz="4" w:space="0"/>
              <w:bottom w:val="single" w:color="auto" w:sz="4" w:space="0"/>
              <w:right w:val="single" w:color="auto" w:sz="4" w:space="0"/>
            </w:tcBorders>
            <w:vAlign w:val="center"/>
          </w:tcPr>
          <w:p w14:paraId="01CF8283">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滁州市内</w:t>
            </w:r>
          </w:p>
        </w:tc>
      </w:tr>
      <w:tr w14:paraId="1B1F2D73">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16594A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EC588B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529" w:type="dxa"/>
            <w:tcBorders>
              <w:top w:val="single" w:color="auto" w:sz="4" w:space="0"/>
              <w:left w:val="single" w:color="auto" w:sz="4" w:space="0"/>
              <w:bottom w:val="single" w:color="auto" w:sz="4" w:space="0"/>
              <w:right w:val="single" w:color="auto" w:sz="4" w:space="0"/>
            </w:tcBorders>
            <w:vAlign w:val="center"/>
          </w:tcPr>
          <w:p w14:paraId="716B68C3">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default" w:ascii="宋体" w:hAnsi="宋体" w:cs="宋体"/>
                <w:color w:val="auto"/>
                <w:szCs w:val="21"/>
                <w:highlight w:val="none"/>
                <w:lang w:val="en-US" w:eastAsia="zh-CN"/>
              </w:rPr>
              <w:t>自筹及财政资金</w:t>
            </w:r>
            <w:r>
              <w:rPr>
                <w:rFonts w:hint="eastAsia" w:ascii="宋体" w:hAnsi="宋体" w:eastAsia="宋体" w:cs="宋体"/>
                <w:color w:val="auto"/>
                <w:sz w:val="21"/>
                <w:szCs w:val="21"/>
                <w:highlight w:val="none"/>
              </w:rPr>
              <w:t>；比例：100%</w:t>
            </w:r>
          </w:p>
        </w:tc>
      </w:tr>
      <w:tr w14:paraId="112ADDA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82931B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CA33E1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7529" w:type="dxa"/>
            <w:tcBorders>
              <w:top w:val="single" w:color="auto" w:sz="4" w:space="0"/>
              <w:left w:val="single" w:color="auto" w:sz="4" w:space="0"/>
              <w:bottom w:val="single" w:color="auto" w:sz="4" w:space="0"/>
              <w:right w:val="single" w:color="auto" w:sz="4" w:space="0"/>
            </w:tcBorders>
            <w:vAlign w:val="center"/>
          </w:tcPr>
          <w:p w14:paraId="559F8DC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详见招标公告</w:t>
            </w:r>
          </w:p>
        </w:tc>
      </w:tr>
      <w:tr w14:paraId="4AAB101C">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2223E2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63F4C92">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529" w:type="dxa"/>
            <w:tcBorders>
              <w:top w:val="single" w:color="auto" w:sz="4" w:space="0"/>
              <w:left w:val="single" w:color="auto" w:sz="4" w:space="0"/>
              <w:bottom w:val="single" w:color="auto" w:sz="4" w:space="0"/>
              <w:right w:val="single" w:color="auto" w:sz="4" w:space="0"/>
            </w:tcBorders>
            <w:vAlign w:val="center"/>
          </w:tcPr>
          <w:p w14:paraId="0A54E7E5">
            <w:pPr>
              <w:pStyle w:val="120"/>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综合评估法</w:t>
            </w:r>
          </w:p>
        </w:tc>
      </w:tr>
      <w:tr w14:paraId="193CBA6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6525DD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B182F5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7529" w:type="dxa"/>
            <w:tcBorders>
              <w:top w:val="single" w:color="auto" w:sz="4" w:space="0"/>
              <w:left w:val="single" w:color="auto" w:sz="4" w:space="0"/>
              <w:bottom w:val="single" w:color="auto" w:sz="4" w:space="0"/>
              <w:right w:val="single" w:color="auto" w:sz="4" w:space="0"/>
            </w:tcBorders>
            <w:vAlign w:val="center"/>
          </w:tcPr>
          <w:p w14:paraId="1B1B701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自本合同签订之日起至本项目竣工结算及保修阶段（缺陷责任期）期满止。</w:t>
            </w:r>
          </w:p>
          <w:p w14:paraId="7CB85A5F">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建设期约</w:t>
            </w:r>
            <w:r>
              <w:rPr>
                <w:rFonts w:hint="eastAsia" w:ascii="宋体" w:hAnsi="宋体" w:cs="宋体"/>
                <w:bCs/>
                <w:color w:val="auto"/>
                <w:sz w:val="21"/>
                <w:szCs w:val="21"/>
                <w:highlight w:val="none"/>
                <w:u w:val="single"/>
                <w:lang w:val="en-US" w:eastAsia="zh-CN"/>
              </w:rPr>
              <w:t>450</w:t>
            </w:r>
            <w:r>
              <w:rPr>
                <w:rFonts w:hint="eastAsia" w:ascii="宋体" w:hAnsi="宋体" w:eastAsia="宋体" w:cs="宋体"/>
                <w:bCs/>
                <w:color w:val="auto"/>
                <w:sz w:val="21"/>
                <w:szCs w:val="21"/>
                <w:highlight w:val="none"/>
              </w:rPr>
              <w:t>个日历天，</w:t>
            </w:r>
            <w:r>
              <w:rPr>
                <w:rFonts w:hint="eastAsia" w:ascii="宋体" w:hAnsi="宋体" w:eastAsia="宋体" w:cs="宋体"/>
                <w:bCs/>
                <w:color w:val="auto"/>
                <w:sz w:val="21"/>
                <w:szCs w:val="21"/>
                <w:highlight w:val="none"/>
                <w:lang w:val="en-US" w:eastAsia="zh-CN"/>
              </w:rPr>
              <w:t>仅用于投标文件制作</w:t>
            </w:r>
            <w:r>
              <w:rPr>
                <w:rFonts w:hint="eastAsia" w:ascii="宋体" w:hAnsi="宋体" w:eastAsia="宋体" w:cs="宋体"/>
                <w:bCs/>
                <w:color w:val="auto"/>
                <w:sz w:val="21"/>
                <w:szCs w:val="21"/>
                <w:highlight w:val="none"/>
              </w:rPr>
              <w:t>系统里填写工期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不作为评审标准</w:t>
            </w:r>
            <w:r>
              <w:rPr>
                <w:rFonts w:hint="eastAsia" w:ascii="宋体" w:hAnsi="宋体" w:eastAsia="宋体" w:cs="宋体"/>
                <w:bCs/>
                <w:color w:val="auto"/>
                <w:sz w:val="21"/>
                <w:szCs w:val="21"/>
                <w:highlight w:val="none"/>
              </w:rPr>
              <w:t>。</w:t>
            </w:r>
          </w:p>
        </w:tc>
      </w:tr>
      <w:tr w14:paraId="7F3782A9">
        <w:tblPrEx>
          <w:tblCellMar>
            <w:top w:w="0" w:type="dxa"/>
            <w:left w:w="108" w:type="dxa"/>
            <w:bottom w:w="0" w:type="dxa"/>
            <w:right w:w="108" w:type="dxa"/>
          </w:tblCellMar>
        </w:tblPrEx>
        <w:trPr>
          <w:trHeight w:val="805" w:hRule="atLeast"/>
          <w:jc w:val="center"/>
        </w:trPr>
        <w:tc>
          <w:tcPr>
            <w:tcW w:w="868" w:type="dxa"/>
            <w:vMerge w:val="restart"/>
            <w:tcBorders>
              <w:top w:val="single" w:color="auto" w:sz="4" w:space="0"/>
              <w:left w:val="single" w:color="auto" w:sz="4" w:space="0"/>
              <w:right w:val="single" w:color="auto" w:sz="4" w:space="0"/>
            </w:tcBorders>
            <w:vAlign w:val="center"/>
          </w:tcPr>
          <w:p w14:paraId="46A4B529">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7B8346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7529" w:type="dxa"/>
            <w:tcBorders>
              <w:top w:val="single" w:color="auto" w:sz="4" w:space="0"/>
              <w:left w:val="single" w:color="auto" w:sz="4" w:space="0"/>
              <w:bottom w:val="single" w:color="auto" w:sz="4" w:space="0"/>
              <w:right w:val="single" w:color="auto" w:sz="4" w:space="0"/>
            </w:tcBorders>
            <w:vAlign w:val="center"/>
          </w:tcPr>
          <w:p w14:paraId="3167358F">
            <w:pPr>
              <w:pStyle w:val="45"/>
              <w:keepNext w:val="0"/>
              <w:keepLines w:val="0"/>
              <w:pageBreakBefore w:val="0"/>
              <w:kinsoku/>
              <w:overflowPunct/>
              <w:autoSpaceDE/>
              <w:autoSpaceDN/>
              <w:bidi w:val="0"/>
              <w:spacing w:line="440" w:lineRule="exact"/>
              <w:ind w:left="0" w:leftChars="0"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3F26A6E2">
        <w:tblPrEx>
          <w:tblCellMar>
            <w:top w:w="0" w:type="dxa"/>
            <w:left w:w="108" w:type="dxa"/>
            <w:bottom w:w="0" w:type="dxa"/>
            <w:right w:w="108" w:type="dxa"/>
          </w:tblCellMar>
        </w:tblPrEx>
        <w:trPr>
          <w:trHeight w:val="575" w:hRule="atLeast"/>
          <w:jc w:val="center"/>
        </w:trPr>
        <w:tc>
          <w:tcPr>
            <w:tcW w:w="868" w:type="dxa"/>
            <w:vMerge w:val="continue"/>
            <w:tcBorders>
              <w:left w:val="single" w:color="auto" w:sz="4" w:space="0"/>
              <w:bottom w:val="single" w:color="auto" w:sz="4" w:space="0"/>
              <w:right w:val="single" w:color="auto" w:sz="4" w:space="0"/>
            </w:tcBorders>
            <w:vAlign w:val="center"/>
          </w:tcPr>
          <w:p w14:paraId="5F4DABF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426CB6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招标文件发布时间：</w:t>
            </w:r>
          </w:p>
        </w:tc>
        <w:tc>
          <w:tcPr>
            <w:tcW w:w="7529" w:type="dxa"/>
            <w:tcBorders>
              <w:top w:val="single" w:color="auto" w:sz="4" w:space="0"/>
              <w:left w:val="single" w:color="auto" w:sz="4" w:space="0"/>
              <w:bottom w:val="single" w:color="auto" w:sz="4" w:space="0"/>
              <w:right w:val="single" w:color="auto" w:sz="4" w:space="0"/>
            </w:tcBorders>
            <w:vAlign w:val="center"/>
          </w:tcPr>
          <w:p w14:paraId="04E7AADC">
            <w:pPr>
              <w:keepNext w:val="0"/>
              <w:keepLines w:val="0"/>
              <w:pageBreakBefore w:val="0"/>
              <w:kinsoku/>
              <w:overflowPunct/>
              <w:autoSpaceDE/>
              <w:autoSpaceDN/>
              <w:bidi w:val="0"/>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详见招标公告</w:t>
            </w:r>
          </w:p>
        </w:tc>
      </w:tr>
      <w:tr w14:paraId="237CF38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472AC2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ACCACB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踏勘现场</w:t>
            </w:r>
          </w:p>
        </w:tc>
        <w:tc>
          <w:tcPr>
            <w:tcW w:w="7529" w:type="dxa"/>
            <w:tcBorders>
              <w:top w:val="single" w:color="auto" w:sz="4" w:space="0"/>
              <w:left w:val="single" w:color="auto" w:sz="4" w:space="0"/>
              <w:bottom w:val="single" w:color="auto" w:sz="4" w:space="0"/>
              <w:right w:val="single" w:color="auto" w:sz="4" w:space="0"/>
            </w:tcBorders>
            <w:vAlign w:val="center"/>
          </w:tcPr>
          <w:p w14:paraId="0ED206B7">
            <w:pPr>
              <w:pStyle w:val="15"/>
              <w:keepNext w:val="0"/>
              <w:keepLines w:val="0"/>
              <w:pageBreakBefore w:val="0"/>
              <w:kinsoku/>
              <w:overflowPunct/>
              <w:topLinePunct/>
              <w:autoSpaceDE/>
              <w:autoSpaceDN/>
              <w:bidi w:val="0"/>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4"/>
                <w:kern w:val="0"/>
                <w:sz w:val="21"/>
                <w:szCs w:val="21"/>
                <w:highlight w:val="none"/>
              </w:rPr>
              <w:t>不组织，投标人自行组织踏勘现场</w:t>
            </w:r>
            <w:r>
              <w:rPr>
                <w:rFonts w:hint="eastAsia" w:ascii="宋体" w:hAnsi="宋体" w:eastAsia="宋体" w:cs="宋体"/>
                <w:color w:val="auto"/>
                <w:sz w:val="21"/>
                <w:szCs w:val="21"/>
                <w:highlight w:val="none"/>
              </w:rPr>
              <w:t>；□组织</w:t>
            </w:r>
          </w:p>
        </w:tc>
      </w:tr>
      <w:tr w14:paraId="5C758A9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D8FC44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335A50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投标预备会</w:t>
            </w:r>
          </w:p>
        </w:tc>
        <w:tc>
          <w:tcPr>
            <w:tcW w:w="7529" w:type="dxa"/>
            <w:tcBorders>
              <w:top w:val="single" w:color="auto" w:sz="4" w:space="0"/>
              <w:left w:val="single" w:color="auto" w:sz="4" w:space="0"/>
              <w:bottom w:val="single" w:color="auto" w:sz="4" w:space="0"/>
              <w:right w:val="single" w:color="auto" w:sz="4" w:space="0"/>
            </w:tcBorders>
            <w:vAlign w:val="center"/>
          </w:tcPr>
          <w:p w14:paraId="33B979EF">
            <w:pPr>
              <w:pStyle w:val="15"/>
              <w:keepNext w:val="0"/>
              <w:keepLines w:val="0"/>
              <w:pageBreakBefore w:val="0"/>
              <w:kinsoku/>
              <w:overflowPunct/>
              <w:topLinePunct/>
              <w:autoSpaceDE/>
              <w:autoSpaceDN/>
              <w:bidi w:val="0"/>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4"/>
                <w:kern w:val="0"/>
                <w:sz w:val="21"/>
                <w:szCs w:val="21"/>
                <w:highlight w:val="none"/>
              </w:rPr>
              <w:t>不召开</w:t>
            </w:r>
            <w:r>
              <w:rPr>
                <w:rFonts w:hint="eastAsia" w:ascii="宋体" w:hAnsi="宋体" w:eastAsia="宋体" w:cs="宋体"/>
                <w:color w:val="auto"/>
                <w:sz w:val="21"/>
                <w:szCs w:val="21"/>
                <w:highlight w:val="none"/>
              </w:rPr>
              <w:t>；□召开</w:t>
            </w:r>
          </w:p>
        </w:tc>
      </w:tr>
      <w:tr w14:paraId="5EE7A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547177E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420D84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2C0580A6">
            <w:pPr>
              <w:keepNext w:val="0"/>
              <w:keepLines w:val="0"/>
              <w:pageBreakBefore w:val="0"/>
              <w:kinsoku/>
              <w:wordWrap w:val="0"/>
              <w:overflowPunct/>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如投标人对招标文件有疑问，请于</w:t>
            </w:r>
            <w:r>
              <w:rPr>
                <w:rFonts w:hint="eastAsia" w:ascii="宋体" w:hAnsi="宋体" w:eastAsia="宋体" w:cs="宋体"/>
                <w:b/>
                <w:bCs/>
                <w:color w:val="auto"/>
                <w:kern w:val="0"/>
                <w:sz w:val="21"/>
                <w:szCs w:val="21"/>
                <w:highlight w:val="none"/>
              </w:rPr>
              <w:t>202</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时</w:t>
            </w:r>
            <w:r>
              <w:rPr>
                <w:rFonts w:hint="eastAsia" w:ascii="宋体" w:hAnsi="宋体" w:eastAsia="宋体" w:cs="宋体"/>
                <w:color w:val="auto"/>
                <w:sz w:val="21"/>
                <w:szCs w:val="21"/>
                <w:highlight w:val="none"/>
              </w:rPr>
              <w:t>（投标截止10 日）</w:t>
            </w:r>
            <w:r>
              <w:rPr>
                <w:rFonts w:hint="eastAsia" w:ascii="宋体" w:hAnsi="宋体" w:eastAsia="宋体" w:cs="宋体"/>
                <w:color w:val="auto"/>
                <w:kern w:val="0"/>
                <w:sz w:val="21"/>
                <w:szCs w:val="21"/>
                <w:highlight w:val="none"/>
              </w:rPr>
              <w:t>前在滁州市公共资源交易中心网电子交易系统中进行异议，具体操作步骤和程序请参见服务指南&gt;交易须知&gt;在线异议、质疑和投诉操作手册。</w:t>
            </w:r>
          </w:p>
        </w:tc>
      </w:tr>
      <w:tr w14:paraId="06B7F36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1113E6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9FF57E9">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招标人澄清的时间及方式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6BD42BC5">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日17时前</w:t>
            </w:r>
            <w:r>
              <w:rPr>
                <w:rFonts w:hint="eastAsia" w:ascii="宋体" w:hAnsi="宋体" w:eastAsia="宋体" w:cs="宋体"/>
                <w:color w:val="auto"/>
                <w:kern w:val="0"/>
                <w:sz w:val="21"/>
                <w:szCs w:val="21"/>
                <w:highlight w:val="none"/>
              </w:rPr>
              <w:t>在滁州市公共资源交易中心网站</w:t>
            </w:r>
            <w:r>
              <w:rPr>
                <w:rFonts w:hint="eastAsia" w:ascii="宋体" w:hAnsi="宋体" w:eastAsia="宋体" w:cs="宋体"/>
                <w:color w:val="auto"/>
                <w:sz w:val="21"/>
                <w:szCs w:val="21"/>
                <w:highlight w:val="none"/>
              </w:rPr>
              <w:t xml:space="preserve"> “答疑澄清文件”栏目予以公告</w:t>
            </w:r>
            <w:r>
              <w:rPr>
                <w:rFonts w:hint="eastAsia" w:ascii="宋体" w:hAnsi="宋体" w:eastAsia="宋体" w:cs="宋体"/>
                <w:color w:val="auto"/>
                <w:kern w:val="0"/>
                <w:sz w:val="21"/>
                <w:szCs w:val="21"/>
                <w:highlight w:val="none"/>
              </w:rPr>
              <w:t>。</w:t>
            </w:r>
          </w:p>
        </w:tc>
      </w:tr>
      <w:tr w14:paraId="1491500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7F9AF48F">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C46B2E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7529" w:type="dxa"/>
            <w:tcBorders>
              <w:top w:val="single" w:color="auto" w:sz="4" w:space="0"/>
              <w:left w:val="single" w:color="auto" w:sz="4" w:space="0"/>
              <w:bottom w:val="single" w:color="auto" w:sz="4" w:space="0"/>
              <w:right w:val="single" w:color="auto" w:sz="4" w:space="0"/>
            </w:tcBorders>
            <w:vAlign w:val="center"/>
          </w:tcPr>
          <w:p w14:paraId="3AB036F9">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本工程招标澄清答疑文件等。</w:t>
            </w:r>
          </w:p>
        </w:tc>
      </w:tr>
      <w:tr w14:paraId="102DEF8F">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A7B7C5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014F0E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最高投标限价（费率）</w:t>
            </w:r>
          </w:p>
        </w:tc>
        <w:tc>
          <w:tcPr>
            <w:tcW w:w="7529" w:type="dxa"/>
            <w:tcBorders>
              <w:top w:val="single" w:color="auto" w:sz="4" w:space="0"/>
              <w:left w:val="single" w:color="auto" w:sz="4" w:space="0"/>
              <w:bottom w:val="single" w:color="auto" w:sz="4" w:space="0"/>
              <w:right w:val="single" w:color="auto" w:sz="4" w:space="0"/>
            </w:tcBorders>
            <w:vAlign w:val="center"/>
          </w:tcPr>
          <w:p w14:paraId="78137459">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本项目监理费用最高投标限价（费率）为：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6E00761D">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注：投标报价费率要求精确到小数点后第二位，如填报多位小数的，按小数点后第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位四舍五入修正投标报价费率（如：某投标报价费率为0.785%，则修正为0.79%；某投标报价费率为0.784%，则修正为0.78%）。投标单位所报费率不得高于招标人发布的最高限价（费率），否则按无效标处理。</w:t>
            </w:r>
          </w:p>
          <w:p w14:paraId="274D4A76">
            <w:pPr>
              <w:pStyle w:val="45"/>
              <w:ind w:left="0" w:leftChars="0" w:firstLine="0" w:firstLineChars="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本项目监理费用最终支付以工程结算总造价为计费基数，监理费用=工程结算总造价*中标费率。</w:t>
            </w:r>
            <w:r>
              <w:rPr>
                <w:rFonts w:hint="eastAsia" w:ascii="宋体" w:hAnsi="宋体" w:eastAsia="宋体" w:cs="宋体"/>
                <w:color w:val="auto"/>
                <w:sz w:val="21"/>
                <w:szCs w:val="21"/>
                <w:highlight w:val="none"/>
              </w:rPr>
              <w:t>中标后中标费率不予调整。无论任何原因导致的工期延长，委托人均不再增加监理费用。</w:t>
            </w:r>
            <w:r>
              <w:rPr>
                <w:rFonts w:hint="eastAsia" w:ascii="宋体" w:hAnsi="宋体" w:eastAsia="宋体" w:cs="宋体"/>
                <w:b/>
                <w:bCs/>
                <w:color w:val="auto"/>
                <w:sz w:val="21"/>
                <w:szCs w:val="21"/>
                <w:highlight w:val="none"/>
              </w:rPr>
              <w:t>注：初期暂以工程施工中标价为计费基数计算监理费，最终支付以工程结算总造价为计费基数计算监理费。</w:t>
            </w:r>
          </w:p>
        </w:tc>
      </w:tr>
      <w:tr w14:paraId="4FB06E5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CB6F71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5A8080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29" w:type="dxa"/>
            <w:tcBorders>
              <w:top w:val="single" w:color="auto" w:sz="4" w:space="0"/>
              <w:left w:val="single" w:color="auto" w:sz="4" w:space="0"/>
              <w:bottom w:val="single" w:color="auto" w:sz="4" w:space="0"/>
              <w:right w:val="single" w:color="auto" w:sz="4" w:space="0"/>
            </w:tcBorders>
            <w:vAlign w:val="center"/>
          </w:tcPr>
          <w:p w14:paraId="274DB237">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5B5144D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CFB8EA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FF72792">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29" w:type="dxa"/>
            <w:tcBorders>
              <w:top w:val="single" w:color="auto" w:sz="4" w:space="0"/>
              <w:left w:val="single" w:color="auto" w:sz="4" w:space="0"/>
              <w:bottom w:val="single" w:color="auto" w:sz="4" w:space="0"/>
              <w:right w:val="single" w:color="auto" w:sz="4" w:space="0"/>
            </w:tcBorders>
            <w:vAlign w:val="center"/>
          </w:tcPr>
          <w:p w14:paraId="780122E5">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63C27B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21B723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7E044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529" w:type="dxa"/>
            <w:tcBorders>
              <w:top w:val="single" w:color="auto" w:sz="4" w:space="0"/>
              <w:left w:val="single" w:color="auto" w:sz="4" w:space="0"/>
              <w:bottom w:val="single" w:color="auto" w:sz="4" w:space="0"/>
              <w:right w:val="single" w:color="auto" w:sz="4" w:space="0"/>
            </w:tcBorders>
            <w:vAlign w:val="center"/>
          </w:tcPr>
          <w:p w14:paraId="4435DFFA">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电子投标文件须按格式文件要求签字或盖章（电子签章），招标文件格式中要求“签章”部位，指电子签章或盖章后扫描上传均可。否则经评委会一致认定后，按照无效投标处理。</w:t>
            </w:r>
          </w:p>
        </w:tc>
      </w:tr>
      <w:tr w14:paraId="5FA5817A">
        <w:tblPrEx>
          <w:tblCellMar>
            <w:top w:w="0" w:type="dxa"/>
            <w:left w:w="108" w:type="dxa"/>
            <w:bottom w:w="0" w:type="dxa"/>
            <w:right w:w="108" w:type="dxa"/>
          </w:tblCellMar>
        </w:tblPrEx>
        <w:trPr>
          <w:trHeight w:val="209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DD449A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30520C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529" w:type="dxa"/>
            <w:tcBorders>
              <w:top w:val="single" w:color="auto" w:sz="4" w:space="0"/>
              <w:left w:val="single" w:color="auto" w:sz="4" w:space="0"/>
              <w:bottom w:val="single" w:color="auto" w:sz="4" w:space="0"/>
              <w:right w:val="single" w:color="auto" w:sz="4" w:space="0"/>
            </w:tcBorders>
            <w:vAlign w:val="center"/>
          </w:tcPr>
          <w:p w14:paraId="0D60A40C">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网上递交的电子投标文件：一份，加密电子投标文件应在投标截止时间前通过交易中心电子交易系统上传。</w:t>
            </w:r>
          </w:p>
          <w:p w14:paraId="74943118">
            <w:pPr>
              <w:pStyle w:val="45"/>
              <w:keepNext w:val="0"/>
              <w:keepLines w:val="0"/>
              <w:pageBreakBefore w:val="0"/>
              <w:kinsoku/>
              <w:overflowPunct/>
              <w:autoSpaceDE/>
              <w:autoSpaceDN/>
              <w:bidi w:val="0"/>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（投标人中标后须递交与网上电子投标文件完全一致的纸质版投标文件，并按要求加盖公章；份数：正本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w:t>
            </w:r>
            <w:r>
              <w:rPr>
                <w:rFonts w:hint="eastAsia" w:hAnsi="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rPr>
              <w:t>领取中标通知书时，一并递交给招标代理机构）。</w:t>
            </w:r>
          </w:p>
        </w:tc>
      </w:tr>
      <w:tr w14:paraId="76040BFF">
        <w:tblPrEx>
          <w:tblCellMar>
            <w:top w:w="0" w:type="dxa"/>
            <w:left w:w="108" w:type="dxa"/>
            <w:bottom w:w="0" w:type="dxa"/>
            <w:right w:w="108" w:type="dxa"/>
          </w:tblCellMar>
        </w:tblPrEx>
        <w:trPr>
          <w:trHeight w:val="510" w:hRule="atLeast"/>
          <w:jc w:val="center"/>
        </w:trPr>
        <w:tc>
          <w:tcPr>
            <w:tcW w:w="868" w:type="dxa"/>
            <w:vMerge w:val="restart"/>
            <w:tcBorders>
              <w:left w:val="single" w:color="auto" w:sz="4" w:space="0"/>
              <w:right w:val="single" w:color="auto" w:sz="4" w:space="0"/>
            </w:tcBorders>
            <w:vAlign w:val="center"/>
          </w:tcPr>
          <w:p w14:paraId="331B00F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60CEBC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3D9D7688">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pacing w:val="-4"/>
                <w:kern w:val="0"/>
                <w:sz w:val="21"/>
                <w:szCs w:val="21"/>
                <w:highlight w:val="none"/>
              </w:rPr>
              <w:t>202</w:t>
            </w:r>
            <w:r>
              <w:rPr>
                <w:rFonts w:hint="eastAsia" w:ascii="宋体" w:hAnsi="宋体" w:cs="宋体"/>
                <w:b/>
                <w:color w:val="auto"/>
                <w:spacing w:val="-4"/>
                <w:kern w:val="0"/>
                <w:sz w:val="21"/>
                <w:szCs w:val="21"/>
                <w:highlight w:val="none"/>
                <w:lang w:val="en-US" w:eastAsia="zh-CN"/>
              </w:rPr>
              <w:t>5</w:t>
            </w:r>
            <w:r>
              <w:rPr>
                <w:rFonts w:hint="eastAsia" w:ascii="宋体" w:hAnsi="宋体" w:eastAsia="宋体" w:cs="宋体"/>
                <w:b/>
                <w:color w:val="auto"/>
                <w:spacing w:val="-4"/>
                <w:kern w:val="0"/>
                <w:sz w:val="21"/>
                <w:szCs w:val="21"/>
                <w:highlight w:val="none"/>
              </w:rPr>
              <w:t>年</w:t>
            </w:r>
            <w:r>
              <w:rPr>
                <w:rFonts w:hint="eastAsia" w:ascii="宋体" w:hAnsi="宋体" w:cs="宋体"/>
                <w:b/>
                <w:color w:val="auto"/>
                <w:spacing w:val="-4"/>
                <w:kern w:val="0"/>
                <w:sz w:val="21"/>
                <w:szCs w:val="21"/>
                <w:highlight w:val="none"/>
                <w:lang w:val="en-US" w:eastAsia="zh-CN"/>
              </w:rPr>
              <w:t>8</w:t>
            </w:r>
            <w:r>
              <w:rPr>
                <w:rFonts w:hint="eastAsia" w:ascii="宋体" w:hAnsi="宋体" w:eastAsia="宋体" w:cs="宋体"/>
                <w:b/>
                <w:color w:val="auto"/>
                <w:spacing w:val="-4"/>
                <w:kern w:val="0"/>
                <w:sz w:val="21"/>
                <w:szCs w:val="21"/>
                <w:highlight w:val="none"/>
              </w:rPr>
              <w:t>月</w:t>
            </w:r>
            <w:r>
              <w:rPr>
                <w:rFonts w:hint="eastAsia" w:ascii="宋体" w:hAnsi="宋体" w:cs="宋体"/>
                <w:b/>
                <w:color w:val="auto"/>
                <w:spacing w:val="-4"/>
                <w:kern w:val="0"/>
                <w:sz w:val="21"/>
                <w:szCs w:val="21"/>
                <w:highlight w:val="none"/>
                <w:lang w:val="en-US" w:eastAsia="zh-CN"/>
              </w:rPr>
              <w:t>25</w:t>
            </w:r>
            <w:r>
              <w:rPr>
                <w:rFonts w:hint="eastAsia" w:ascii="宋体" w:hAnsi="宋体" w:eastAsia="宋体" w:cs="宋体"/>
                <w:b/>
                <w:color w:val="auto"/>
                <w:spacing w:val="-4"/>
                <w:kern w:val="0"/>
                <w:sz w:val="21"/>
                <w:szCs w:val="21"/>
                <w:highlight w:val="none"/>
              </w:rPr>
              <w:t>日08时</w:t>
            </w:r>
            <w:r>
              <w:rPr>
                <w:rFonts w:hint="eastAsia" w:ascii="宋体" w:hAnsi="宋体" w:eastAsia="宋体" w:cs="宋体"/>
                <w:b/>
                <w:color w:val="auto"/>
                <w:spacing w:val="-4"/>
                <w:kern w:val="0"/>
                <w:sz w:val="21"/>
                <w:szCs w:val="21"/>
                <w:highlight w:val="none"/>
                <w:lang w:val="en-US" w:eastAsia="zh-CN"/>
              </w:rPr>
              <w:t>00</w:t>
            </w:r>
            <w:r>
              <w:rPr>
                <w:rFonts w:hint="eastAsia" w:ascii="宋体" w:hAnsi="宋体" w:eastAsia="宋体" w:cs="宋体"/>
                <w:b/>
                <w:color w:val="auto"/>
                <w:spacing w:val="-4"/>
                <w:kern w:val="0"/>
                <w:sz w:val="21"/>
                <w:szCs w:val="21"/>
                <w:highlight w:val="none"/>
              </w:rPr>
              <w:t>分（北京时间）</w:t>
            </w:r>
          </w:p>
        </w:tc>
      </w:tr>
      <w:tr w14:paraId="264FC2FD">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1D492BB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8D4964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40F0227D">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解密程序开始后60分钟内（以本项目网上招投标系统解密倒计时为准）。</w:t>
            </w:r>
          </w:p>
          <w:p w14:paraId="6ED1C67A">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解密时间为</w:t>
            </w:r>
            <w:r>
              <w:rPr>
                <w:rFonts w:hint="eastAsia" w:ascii="宋体" w:hAnsi="宋体" w:eastAsia="宋体" w:cs="宋体"/>
                <w:b/>
                <w:color w:val="auto"/>
                <w:kern w:val="0"/>
                <w:sz w:val="21"/>
                <w:szCs w:val="21"/>
                <w:highlight w:val="none"/>
              </w:rPr>
              <w:t>202</w:t>
            </w:r>
            <w:r>
              <w:rPr>
                <w:rFonts w:hint="eastAsia" w:ascii="宋体" w:hAnsi="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25</w:t>
            </w:r>
            <w:r>
              <w:rPr>
                <w:rFonts w:hint="eastAsia" w:ascii="宋体" w:hAnsi="宋体" w:eastAsia="宋体" w:cs="宋体"/>
                <w:b/>
                <w:color w:val="auto"/>
                <w:kern w:val="0"/>
                <w:sz w:val="21"/>
                <w:szCs w:val="21"/>
                <w:highlight w:val="none"/>
              </w:rPr>
              <w:t>日8时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r>
              <w:rPr>
                <w:rFonts w:hint="eastAsia" w:ascii="宋体" w:hAnsi="宋体" w:eastAsia="宋体" w:cs="宋体"/>
                <w:b/>
                <w:color w:val="auto"/>
                <w:sz w:val="21"/>
                <w:szCs w:val="21"/>
                <w:highlight w:val="none"/>
              </w:rPr>
              <w:t>至</w:t>
            </w:r>
            <w:bookmarkStart w:id="51" w:name="_Toc35424885"/>
            <w:r>
              <w:rPr>
                <w:rFonts w:hint="eastAsia" w:ascii="宋体" w:hAnsi="宋体" w:eastAsia="宋体" w:cs="宋体"/>
                <w:b/>
                <w:color w:val="auto"/>
                <w:kern w:val="0"/>
                <w:sz w:val="21"/>
                <w:szCs w:val="21"/>
                <w:highlight w:val="none"/>
              </w:rPr>
              <w:t>202</w:t>
            </w:r>
            <w:r>
              <w:rPr>
                <w:rFonts w:hint="eastAsia" w:ascii="宋体" w:hAnsi="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25</w:t>
            </w:r>
            <w:r>
              <w:rPr>
                <w:rFonts w:hint="eastAsia" w:ascii="宋体" w:hAnsi="宋体" w:eastAsia="宋体" w:cs="宋体"/>
                <w:b/>
                <w:color w:val="auto"/>
                <w:kern w:val="0"/>
                <w:sz w:val="21"/>
                <w:szCs w:val="21"/>
                <w:highlight w:val="none"/>
              </w:rPr>
              <w:t>日9时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bookmarkEnd w:id="51"/>
          </w:p>
        </w:tc>
      </w:tr>
      <w:tr w14:paraId="24720E23">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61F48C3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E6EA62F">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7529" w:type="dxa"/>
            <w:tcBorders>
              <w:top w:val="single" w:color="auto" w:sz="4" w:space="0"/>
              <w:left w:val="single" w:color="auto" w:sz="4" w:space="0"/>
              <w:bottom w:val="single" w:color="auto" w:sz="4" w:space="0"/>
              <w:right w:val="single" w:color="auto" w:sz="4" w:space="0"/>
            </w:tcBorders>
            <w:vAlign w:val="center"/>
          </w:tcPr>
          <w:p w14:paraId="5201A3D0">
            <w:pPr>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加密的电子投标文件：必须在投标截止时间前网上递交。</w:t>
            </w:r>
          </w:p>
          <w:p w14:paraId="64D39C3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(本项目采取远程解密方式，投标人无需递交电子光盘)</w:t>
            </w:r>
          </w:p>
        </w:tc>
      </w:tr>
      <w:tr w14:paraId="4BEA7B83">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4633ED7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E44ACE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7529" w:type="dxa"/>
            <w:tcBorders>
              <w:top w:val="single" w:color="auto" w:sz="4" w:space="0"/>
              <w:left w:val="single" w:color="auto" w:sz="4" w:space="0"/>
              <w:bottom w:val="single" w:color="auto" w:sz="4" w:space="0"/>
              <w:right w:val="single" w:color="auto" w:sz="4" w:space="0"/>
            </w:tcBorders>
            <w:vAlign w:val="center"/>
          </w:tcPr>
          <w:p w14:paraId="5FB49F76">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2380B400">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开标地点：滁州市公共资源交易中心(滁州市龙蟠大道109号房产大厦二楼)</w:t>
            </w:r>
          </w:p>
        </w:tc>
      </w:tr>
      <w:tr w14:paraId="52842D78">
        <w:tblPrEx>
          <w:tblCellMar>
            <w:top w:w="0" w:type="dxa"/>
            <w:left w:w="108" w:type="dxa"/>
            <w:bottom w:w="0" w:type="dxa"/>
            <w:right w:w="108" w:type="dxa"/>
          </w:tblCellMar>
        </w:tblPrEx>
        <w:trPr>
          <w:trHeight w:val="557" w:hRule="atLeast"/>
          <w:jc w:val="center"/>
        </w:trPr>
        <w:tc>
          <w:tcPr>
            <w:tcW w:w="868" w:type="dxa"/>
            <w:vMerge w:val="continue"/>
            <w:tcBorders>
              <w:left w:val="single" w:color="auto" w:sz="4" w:space="0"/>
              <w:right w:val="single" w:color="auto" w:sz="4" w:space="0"/>
            </w:tcBorders>
            <w:vAlign w:val="center"/>
          </w:tcPr>
          <w:p w14:paraId="7EE4155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BB38E0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w:t>
            </w:r>
          </w:p>
        </w:tc>
        <w:tc>
          <w:tcPr>
            <w:tcW w:w="7529" w:type="dxa"/>
            <w:tcBorders>
              <w:top w:val="single" w:color="auto" w:sz="4" w:space="0"/>
              <w:left w:val="single" w:color="auto" w:sz="4" w:space="0"/>
              <w:bottom w:val="single" w:color="auto" w:sz="4" w:space="0"/>
              <w:right w:val="single" w:color="auto" w:sz="4" w:space="0"/>
            </w:tcBorders>
            <w:vAlign w:val="center"/>
          </w:tcPr>
          <w:p w14:paraId="0D354D72">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2C8C6311">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429EC5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99CBBD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529" w:type="dxa"/>
            <w:tcBorders>
              <w:top w:val="single" w:color="auto" w:sz="4" w:space="0"/>
              <w:left w:val="single" w:color="auto" w:sz="4" w:space="0"/>
              <w:bottom w:val="single" w:color="auto" w:sz="4" w:space="0"/>
              <w:right w:val="single" w:color="auto" w:sz="4" w:space="0"/>
            </w:tcBorders>
            <w:vAlign w:val="center"/>
          </w:tcPr>
          <w:p w14:paraId="405DE308">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评标委员会构成：</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人，其中招标人代表</w:t>
            </w:r>
            <w:r>
              <w:rPr>
                <w:rFonts w:hint="eastAsia" w:ascii="宋体" w:hAnsi="宋体" w:cs="宋体"/>
                <w:b/>
                <w:bCs/>
                <w:color w:val="auto"/>
                <w:sz w:val="21"/>
                <w:szCs w:val="21"/>
                <w:highlight w:val="none"/>
                <w:u w:val="none"/>
                <w:lang w:val="en-US" w:eastAsia="zh-CN"/>
              </w:rPr>
              <w:t>0</w:t>
            </w:r>
            <w:r>
              <w:rPr>
                <w:rFonts w:hint="eastAsia" w:ascii="宋体" w:hAnsi="宋体" w:eastAsia="宋体" w:cs="宋体"/>
                <w:b/>
                <w:bCs/>
                <w:color w:val="auto"/>
                <w:sz w:val="21"/>
                <w:szCs w:val="21"/>
                <w:highlight w:val="none"/>
                <w:u w:val="none"/>
                <w:lang w:val="en-US" w:eastAsia="zh-CN"/>
              </w:rPr>
              <w:t>人，评标专家</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人</w:t>
            </w:r>
          </w:p>
          <w:p w14:paraId="4C48E14C">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评标专家确定方式：专家评委由招标人在开标前从专家库中随机抽取。</w:t>
            </w:r>
          </w:p>
        </w:tc>
      </w:tr>
      <w:tr w14:paraId="01375FD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DE0AE2D">
            <w:pPr>
              <w:keepNext w:val="0"/>
              <w:keepLines w:val="0"/>
              <w:pageBreakBefore w:val="0"/>
              <w:kinsoku/>
              <w:overflowPunct/>
              <w:autoSpaceDE/>
              <w:autoSpaceDN/>
              <w:bidi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E49BCC5">
            <w:pPr>
              <w:keepNext w:val="0"/>
              <w:keepLines w:val="0"/>
              <w:pageBreakBefore w:val="0"/>
              <w:kinsoku/>
              <w:overflowPunct/>
              <w:autoSpaceDE/>
              <w:autoSpaceDN/>
              <w:bidi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是否授权评标委员会确定中标候选人</w:t>
            </w:r>
          </w:p>
        </w:tc>
        <w:tc>
          <w:tcPr>
            <w:tcW w:w="7529" w:type="dxa"/>
            <w:tcBorders>
              <w:top w:val="single" w:color="auto" w:sz="4" w:space="0"/>
              <w:left w:val="single" w:color="auto" w:sz="4" w:space="0"/>
              <w:bottom w:val="single" w:color="auto" w:sz="4" w:space="0"/>
              <w:right w:val="single" w:color="auto" w:sz="4" w:space="0"/>
            </w:tcBorders>
            <w:vAlign w:val="center"/>
          </w:tcPr>
          <w:p w14:paraId="313DF7AC">
            <w:pPr>
              <w:keepNext w:val="0"/>
              <w:keepLines w:val="0"/>
              <w:pageBreakBefore w:val="0"/>
              <w:kinsoku/>
              <w:overflowPunct/>
              <w:autoSpaceDE/>
              <w:autoSpaceDN/>
              <w:bidi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是，推荐的中标候选人数：</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名，并标明排序。</w:t>
            </w:r>
          </w:p>
        </w:tc>
      </w:tr>
      <w:tr w14:paraId="2AB74F90">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71255A4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2130" w:type="dxa"/>
            <w:gridSpan w:val="2"/>
            <w:tcBorders>
              <w:top w:val="single" w:color="auto" w:sz="4" w:space="0"/>
              <w:left w:val="single" w:color="auto" w:sz="4" w:space="0"/>
              <w:right w:val="single" w:color="auto" w:sz="4" w:space="0"/>
            </w:tcBorders>
            <w:vAlign w:val="center"/>
          </w:tcPr>
          <w:p w14:paraId="43E6AB5F">
            <w:pPr>
              <w:keepNext w:val="0"/>
              <w:keepLines w:val="0"/>
              <w:pageBreakBefore w:val="0"/>
              <w:kinsoku/>
              <w:overflowPunct/>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7529" w:type="dxa"/>
            <w:tcBorders>
              <w:top w:val="single" w:color="auto" w:sz="4" w:space="0"/>
              <w:left w:val="single" w:color="auto" w:sz="4" w:space="0"/>
              <w:right w:val="single" w:color="auto" w:sz="4" w:space="0"/>
            </w:tcBorders>
            <w:vAlign w:val="center"/>
          </w:tcPr>
          <w:p w14:paraId="1A578974">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06691FE3">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公示期限：公示发布次日起3日（如公示第三日为休息日或节假日，则顺延至休息日或节假日后第一个工作日）</w:t>
            </w:r>
          </w:p>
        </w:tc>
      </w:tr>
      <w:tr w14:paraId="2142ADB4">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7AB027D9">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130" w:type="dxa"/>
            <w:gridSpan w:val="2"/>
            <w:tcBorders>
              <w:top w:val="single" w:color="auto" w:sz="4" w:space="0"/>
              <w:left w:val="single" w:color="auto" w:sz="4" w:space="0"/>
              <w:right w:val="single" w:color="auto" w:sz="4" w:space="0"/>
            </w:tcBorders>
            <w:vAlign w:val="center"/>
          </w:tcPr>
          <w:p w14:paraId="55C80AFB">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是否授权评标委员会确定中标人</w:t>
            </w:r>
          </w:p>
        </w:tc>
        <w:tc>
          <w:tcPr>
            <w:tcW w:w="7529" w:type="dxa"/>
            <w:tcBorders>
              <w:top w:val="single" w:color="auto" w:sz="4" w:space="0"/>
              <w:left w:val="single" w:color="auto" w:sz="4" w:space="0"/>
              <w:right w:val="single" w:color="auto" w:sz="4" w:space="0"/>
            </w:tcBorders>
            <w:vAlign w:val="center"/>
          </w:tcPr>
          <w:p w14:paraId="74D21FBA">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否</w:t>
            </w:r>
          </w:p>
        </w:tc>
      </w:tr>
      <w:tr w14:paraId="32BA77C3">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5DD2C4FC">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130" w:type="dxa"/>
            <w:gridSpan w:val="2"/>
            <w:tcBorders>
              <w:top w:val="single" w:color="auto" w:sz="4" w:space="0"/>
              <w:left w:val="single" w:color="auto" w:sz="4" w:space="0"/>
              <w:right w:val="single" w:color="auto" w:sz="4" w:space="0"/>
            </w:tcBorders>
            <w:vAlign w:val="center"/>
          </w:tcPr>
          <w:p w14:paraId="6889AF9B">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中标结果公示媒介</w:t>
            </w:r>
          </w:p>
        </w:tc>
        <w:tc>
          <w:tcPr>
            <w:tcW w:w="7529" w:type="dxa"/>
            <w:tcBorders>
              <w:top w:val="single" w:color="auto" w:sz="4" w:space="0"/>
              <w:left w:val="single" w:color="auto" w:sz="4" w:space="0"/>
              <w:right w:val="single" w:color="auto" w:sz="4" w:space="0"/>
            </w:tcBorders>
            <w:vAlign w:val="center"/>
          </w:tcPr>
          <w:p w14:paraId="4C2F969F">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633076A0">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公示期限：1日</w:t>
            </w:r>
          </w:p>
        </w:tc>
      </w:tr>
      <w:tr w14:paraId="0CB1F17E">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137AA249">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130" w:type="dxa"/>
            <w:gridSpan w:val="2"/>
            <w:tcBorders>
              <w:top w:val="single" w:color="auto" w:sz="4" w:space="0"/>
              <w:left w:val="single" w:color="auto" w:sz="4" w:space="0"/>
              <w:right w:val="single" w:color="auto" w:sz="4" w:space="0"/>
            </w:tcBorders>
            <w:vAlign w:val="center"/>
          </w:tcPr>
          <w:p w14:paraId="22F0C9E8">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中标通知书发出形式</w:t>
            </w:r>
          </w:p>
        </w:tc>
        <w:tc>
          <w:tcPr>
            <w:tcW w:w="7529" w:type="dxa"/>
            <w:tcBorders>
              <w:top w:val="single" w:color="auto" w:sz="4" w:space="0"/>
              <w:left w:val="single" w:color="auto" w:sz="4" w:space="0"/>
              <w:right w:val="single" w:color="auto" w:sz="4" w:space="0"/>
            </w:tcBorders>
            <w:vAlign w:val="center"/>
          </w:tcPr>
          <w:p w14:paraId="3203AF95">
            <w:pPr>
              <w:keepNext w:val="0"/>
              <w:keepLines w:val="0"/>
              <w:pageBreakBefore w:val="0"/>
              <w:widowControl/>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数据电文</w:t>
            </w:r>
          </w:p>
        </w:tc>
      </w:tr>
      <w:tr w14:paraId="01271E2F">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967BBEC">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6E45D83">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529" w:type="dxa"/>
            <w:tcBorders>
              <w:top w:val="single" w:color="auto" w:sz="4" w:space="0"/>
              <w:left w:val="single" w:color="auto" w:sz="4" w:space="0"/>
              <w:bottom w:val="single" w:color="auto" w:sz="4" w:space="0"/>
              <w:right w:val="single" w:color="auto" w:sz="4" w:space="0"/>
            </w:tcBorders>
            <w:vAlign w:val="center"/>
          </w:tcPr>
          <w:p w14:paraId="0DF46A9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要求中标人提交履约保证金。</w:t>
            </w:r>
          </w:p>
          <w:p w14:paraId="19683D4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形式：支持银行转账、银行电汇、银行保函、担保机构担保、保证保险使用。</w:t>
            </w:r>
          </w:p>
          <w:p w14:paraId="0A662F1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中标监理费</w:t>
            </w:r>
            <w:r>
              <w:rPr>
                <w:rFonts w:hint="eastAsia" w:ascii="宋体" w:hAnsi="宋体" w:eastAsia="宋体" w:cs="宋体"/>
                <w:color w:val="auto"/>
                <w:sz w:val="21"/>
                <w:szCs w:val="21"/>
                <w:highlight w:val="none"/>
              </w:rPr>
              <w:t>×2%</w:t>
            </w:r>
          </w:p>
          <w:p w14:paraId="27A0B04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收款单位：滁州华城建设开发有限公司 </w:t>
            </w:r>
          </w:p>
          <w:p w14:paraId="00F4C31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开户行：兴业银行滁州分行  </w:t>
            </w:r>
          </w:p>
          <w:p w14:paraId="4BDB9EE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银行账号：496010100100178453 </w:t>
            </w:r>
          </w:p>
          <w:p w14:paraId="7687794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汇款务必注明缴款人名称及用途，切勿以现金存入</w:t>
            </w:r>
          </w:p>
          <w:p w14:paraId="61DE1E2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财务电话：0550-3520529</w:t>
            </w:r>
          </w:p>
          <w:p w14:paraId="530ED45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缴纳时限：中标通知书发出之日起，3个日历天内应委派代表与招标人联系办理履约担保并商讨书面合同签订等事宜；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0753813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履约担保退还时限：竣工验收合格后30日内一次性退还。</w:t>
            </w:r>
          </w:p>
          <w:p w14:paraId="5459AF5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其他相关要求：</w:t>
            </w:r>
          </w:p>
          <w:p w14:paraId="3270C939">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具体要求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满足招标人要求。</w:t>
            </w:r>
          </w:p>
          <w:p w14:paraId="46D6795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联合体参加投标且中标的，以联合体牵头人的名义按上述要求缴纳履约担保。</w:t>
            </w:r>
          </w:p>
        </w:tc>
      </w:tr>
      <w:tr w14:paraId="63D5C07E">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77E7CF4">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6AD0AC">
            <w:pPr>
              <w:keepNext w:val="0"/>
              <w:keepLines w:val="0"/>
              <w:pageBreakBefore w:val="0"/>
              <w:kinsoku/>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w:t>
            </w:r>
          </w:p>
        </w:tc>
        <w:tc>
          <w:tcPr>
            <w:tcW w:w="7529" w:type="dxa"/>
            <w:tcBorders>
              <w:top w:val="single" w:color="auto" w:sz="4" w:space="0"/>
              <w:left w:val="single" w:color="auto" w:sz="4" w:space="0"/>
              <w:bottom w:val="single" w:color="auto" w:sz="4" w:space="0"/>
              <w:right w:val="single" w:color="auto" w:sz="4" w:space="0"/>
            </w:tcBorders>
            <w:vAlign w:val="top"/>
          </w:tcPr>
          <w:p w14:paraId="13AFE7CB">
            <w:pPr>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tc>
      </w:tr>
      <w:tr w14:paraId="507FC5CD">
        <w:tblPrEx>
          <w:tblCellMar>
            <w:top w:w="0" w:type="dxa"/>
            <w:left w:w="108" w:type="dxa"/>
            <w:bottom w:w="0" w:type="dxa"/>
            <w:right w:w="108" w:type="dxa"/>
          </w:tblCellMar>
        </w:tblPrEx>
        <w:trPr>
          <w:trHeight w:val="90" w:hRule="atLeast"/>
          <w:jc w:val="center"/>
        </w:trPr>
        <w:tc>
          <w:tcPr>
            <w:tcW w:w="10527" w:type="dxa"/>
            <w:gridSpan w:val="4"/>
            <w:tcBorders>
              <w:top w:val="single" w:color="auto" w:sz="4" w:space="0"/>
              <w:left w:val="single" w:color="auto" w:sz="4" w:space="0"/>
              <w:bottom w:val="single" w:color="auto" w:sz="4" w:space="0"/>
              <w:right w:val="single" w:color="auto" w:sz="4" w:space="0"/>
            </w:tcBorders>
            <w:vAlign w:val="center"/>
          </w:tcPr>
          <w:p w14:paraId="3AA746B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33643902">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44C0BC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178A1A0">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是</w:t>
            </w:r>
            <w:r>
              <w:rPr>
                <w:rFonts w:hint="eastAsia" w:ascii="宋体" w:hAnsi="宋体" w:eastAsia="宋体" w:cs="宋体"/>
                <w:color w:val="auto"/>
                <w:sz w:val="21"/>
                <w:szCs w:val="21"/>
                <w:highlight w:val="none"/>
              </w:rPr>
              <w:t>，具体要求：按招标文件规定。</w:t>
            </w:r>
          </w:p>
        </w:tc>
      </w:tr>
      <w:tr w14:paraId="711F1F7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6B425F6">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1E93467">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代理服务费具体金额：</w:t>
            </w:r>
            <w:r>
              <w:rPr>
                <w:rFonts w:hint="eastAsia" w:ascii="宋体" w:hAnsi="宋体" w:eastAsia="宋体" w:cs="宋体"/>
                <w:color w:val="auto"/>
                <w:kern w:val="0"/>
                <w:sz w:val="21"/>
                <w:szCs w:val="21"/>
                <w:highlight w:val="none"/>
                <w:lang w:val="en-US" w:eastAsia="zh-CN"/>
              </w:rPr>
              <w:t>32000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参照计价格[2002]1980号文件40%执行）</w:t>
            </w:r>
            <w:r>
              <w:rPr>
                <w:rFonts w:hint="eastAsia" w:ascii="宋体" w:hAnsi="宋体" w:eastAsia="宋体" w:cs="宋体"/>
                <w:color w:val="auto"/>
                <w:kern w:val="0"/>
                <w:sz w:val="21"/>
                <w:szCs w:val="21"/>
                <w:highlight w:val="none"/>
              </w:rPr>
              <w:t>；</w:t>
            </w:r>
          </w:p>
          <w:p w14:paraId="1A64AB4F">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代理服务费支付主体：中标人</w:t>
            </w:r>
          </w:p>
          <w:p w14:paraId="6B9351DB">
            <w:pPr>
              <w:keepNext w:val="0"/>
              <w:keepLines w:val="0"/>
              <w:pageBreakBefore w:val="0"/>
              <w:kinsoku/>
              <w:overflowPunct/>
              <w:bidi w:val="0"/>
              <w:adjustRightInd w:val="0"/>
              <w:snapToGrid w:val="0"/>
              <w:spacing w:line="500" w:lineRule="exact"/>
              <w:textAlignment w:val="auto"/>
              <w:rPr>
                <w:rFonts w:hint="eastAsia"/>
              </w:rPr>
            </w:pPr>
            <w:r>
              <w:rPr>
                <w:rFonts w:hint="eastAsia" w:ascii="宋体" w:hAnsi="宋体" w:eastAsia="宋体" w:cs="宋体"/>
                <w:color w:val="auto"/>
                <w:kern w:val="0"/>
                <w:sz w:val="21"/>
                <w:szCs w:val="21"/>
                <w:highlight w:val="none"/>
                <w:lang w:val="en-US" w:eastAsia="zh-CN"/>
              </w:rPr>
              <w:t>支付方式为由中标人在领取中标通知书时一次性支付给代理机构。</w:t>
            </w:r>
          </w:p>
        </w:tc>
      </w:tr>
      <w:tr w14:paraId="3CB8331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039DF6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专家评审劳务费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1B421C9F">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费用或支付标准：以实际发生费用为准</w:t>
            </w:r>
          </w:p>
          <w:p w14:paraId="7C3CB8A7">
            <w:pPr>
              <w:pStyle w:val="45"/>
              <w:keepNext w:val="0"/>
              <w:keepLines w:val="0"/>
              <w:pageBreakBefore w:val="0"/>
              <w:kinsoku/>
              <w:overflowPunct/>
              <w:bidi w:val="0"/>
              <w:spacing w:line="500" w:lineRule="exact"/>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支付主体：代理机构</w:t>
            </w:r>
            <w:bookmarkStart w:id="807" w:name="_GoBack"/>
            <w:bookmarkEnd w:id="807"/>
          </w:p>
        </w:tc>
      </w:tr>
      <w:tr w14:paraId="55587F4A">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E0B6B4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8C55AF2">
            <w:pPr>
              <w:pStyle w:val="119"/>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构成本招标文</w:t>
            </w:r>
            <w:r>
              <w:rPr>
                <w:rFonts w:hint="eastAsia"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件的各个组成文件应互为解释，互为说明；</w:t>
            </w:r>
          </w:p>
          <w:p w14:paraId="421503D9">
            <w:pPr>
              <w:pStyle w:val="119"/>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同一组成文件中就同一事项的规定或约定不一致的，以编排顺序在后者为准；</w:t>
            </w:r>
          </w:p>
          <w:p w14:paraId="4BDE5F11">
            <w:pPr>
              <w:pStyle w:val="119"/>
              <w:keepNext w:val="0"/>
              <w:keepLines w:val="0"/>
              <w:pageBreakBefore w:val="0"/>
              <w:tabs>
                <w:tab w:val="left" w:pos="351"/>
              </w:tabs>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如有不明确或不一致，构成合同文件组成内容的，以合同文件约定内容为准，且以专用合同条款约定的合同文件优先顺序解释；</w:t>
            </w:r>
          </w:p>
          <w:p w14:paraId="7C3758AB">
            <w:pPr>
              <w:pStyle w:val="119"/>
              <w:keepNext w:val="0"/>
              <w:keepLines w:val="0"/>
              <w:pageBreakBefore w:val="0"/>
              <w:tabs>
                <w:tab w:val="left" w:pos="354"/>
              </w:tabs>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系统中提供的表格（或格式文件）与招标文件中不一致时，以招标文件中提供的为准；</w:t>
            </w:r>
          </w:p>
          <w:p w14:paraId="185519A5">
            <w:pPr>
              <w:pStyle w:val="119"/>
              <w:keepNext w:val="0"/>
              <w:keepLines w:val="0"/>
              <w:pageBreakBefore w:val="0"/>
              <w:tabs>
                <w:tab w:val="left" w:pos="636"/>
              </w:tabs>
              <w:kinsoku/>
              <w:wordWrap/>
              <w:overflowPunct/>
              <w:autoSpaceDE/>
              <w:autoSpaceDN/>
              <w:bidi w:val="0"/>
              <w:adjustRightInd w:val="0"/>
              <w:snapToGrid w:val="0"/>
              <w:spacing w:line="440" w:lineRule="exact"/>
              <w:jc w:val="left"/>
              <w:textAlignment w:val="auto"/>
              <w:rPr>
                <w:rFonts w:hint="eastAsia" w:ascii="宋体" w:hAnsi="宋体" w:eastAsia="宋体" w:cs="宋体"/>
                <w:strike/>
                <w:color w:val="auto"/>
                <w:sz w:val="21"/>
                <w:szCs w:val="21"/>
                <w:highlight w:val="none"/>
              </w:rPr>
            </w:pPr>
            <w:r>
              <w:rPr>
                <w:rFonts w:hint="eastAsia" w:ascii="宋体" w:hAnsi="宋体" w:eastAsia="宋体" w:cs="宋体"/>
                <w:bCs/>
                <w:color w:val="auto"/>
                <w:kern w:val="2"/>
                <w:sz w:val="21"/>
                <w:szCs w:val="21"/>
                <w:highlight w:val="none"/>
                <w:lang w:val="en-US" w:eastAsia="zh-CN" w:bidi="ar-SA"/>
              </w:rPr>
              <w:t>5</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按本款前述规定仍不能形成结论的，由招标人负责解释。</w:t>
            </w:r>
          </w:p>
        </w:tc>
      </w:tr>
      <w:tr w14:paraId="7CACA7F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42E372">
            <w:pPr>
              <w:keepNext w:val="0"/>
              <w:keepLines w:val="0"/>
              <w:pageBreakBefore w:val="0"/>
              <w:kinsoku/>
              <w:overflowPunct/>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D7FD41C">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default" w:ascii="宋体" w:hAnsi="宋体" w:eastAsia="宋体" w:cs="宋体"/>
                <w:b/>
                <w:bCs/>
                <w:color w:val="auto"/>
                <w:sz w:val="21"/>
                <w:szCs w:val="21"/>
                <w:highlight w:val="none"/>
                <w:lang w:val="en-US" w:eastAsia="zh-CN"/>
              </w:rPr>
            </w:pP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人员配备：总监理工程师1人（同时具有工程类高级工程师及以上职称和在投标单位注册的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r>
              <w:rPr>
                <w:rFonts w:hint="eastAsia" w:hAnsi="宋体" w:cs="宋体"/>
                <w:b w:val="0"/>
                <w:bCs w:val="0"/>
                <w:color w:val="auto"/>
                <w:sz w:val="21"/>
                <w:szCs w:val="21"/>
                <w:highlight w:val="none"/>
                <w:lang w:val="en-US" w:eastAsia="zh-CN"/>
              </w:rPr>
              <w:t>总监理工程师代表1人</w:t>
            </w: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专业监理工程师不少于</w:t>
            </w:r>
            <w:r>
              <w:rPr>
                <w:rFonts w:hint="eastAsia"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val="zh-CN"/>
              </w:rPr>
              <w:t>具有国家监理工程师注册证书或省建设厅或省监理协会颁发的监理工程师岗位证书人员</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均为市政公用工程类专业</w:t>
            </w:r>
            <w:r>
              <w:rPr>
                <w:rFonts w:hint="eastAsia" w:ascii="宋体" w:hAnsi="宋体" w:eastAsia="宋体" w:cs="宋体"/>
                <w:b w:val="0"/>
                <w:bCs w:val="0"/>
                <w:color w:val="auto"/>
                <w:sz w:val="21"/>
                <w:szCs w:val="21"/>
                <w:highlight w:val="none"/>
              </w:rPr>
              <w:t>），监理员不少于</w:t>
            </w:r>
            <w:r>
              <w:rPr>
                <w:rFonts w:hint="eastAsia"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人</w:t>
            </w:r>
            <w:r>
              <w:rPr>
                <w:rFonts w:hint="eastAsia" w:hAnsi="宋体" w:cs="宋体"/>
                <w:b w:val="0"/>
                <w:bCs w:val="0"/>
                <w:color w:val="auto"/>
                <w:sz w:val="21"/>
                <w:szCs w:val="21"/>
                <w:highlight w:val="none"/>
                <w:lang w:eastAsia="zh-CN"/>
              </w:rPr>
              <w:t>，见证员不少于1人（可兼任）</w:t>
            </w:r>
            <w:r>
              <w:rPr>
                <w:rFonts w:hint="eastAsia" w:ascii="宋体" w:hAnsi="宋体" w:eastAsia="宋体" w:cs="宋体"/>
                <w:b w:val="0"/>
                <w:bCs w:val="0"/>
                <w:color w:val="auto"/>
                <w:sz w:val="21"/>
                <w:szCs w:val="21"/>
                <w:highlight w:val="none"/>
              </w:rPr>
              <w:t>。</w:t>
            </w:r>
            <w:r>
              <w:rPr>
                <w:rFonts w:hint="eastAsia" w:hAnsi="宋体" w:cs="宋体"/>
                <w:b/>
                <w:bCs/>
                <w:color w:val="auto"/>
                <w:sz w:val="21"/>
                <w:szCs w:val="21"/>
                <w:highlight w:val="none"/>
                <w:lang w:val="en-US" w:eastAsia="zh-CN"/>
              </w:rPr>
              <w:t>（注：总监工程师代表可以由符合要求的专业监理工程师兼任。）</w:t>
            </w:r>
          </w:p>
          <w:p w14:paraId="64A0E032">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rPr>
            </w:pP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中标后人员配备</w:t>
            </w:r>
            <w:r>
              <w:rPr>
                <w:rFonts w:hint="eastAsia" w:ascii="宋体" w:hAnsi="宋体" w:eastAsia="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满足上述文件要求，提请建设行政主管部门和招投标监督管理部门进行处罚。</w:t>
            </w:r>
          </w:p>
          <w:p w14:paraId="6FD50B61">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 xml:space="preserve">3.拟组建的监理部人员年龄均不得超过60周岁，其中项目负责人（总监理工程师）的国家级 </w:t>
            </w:r>
          </w:p>
          <w:p w14:paraId="5E16BC70">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注册监理工程师证书在投标单位注册且在有效期内的可延至65周岁。</w:t>
            </w:r>
          </w:p>
          <w:p w14:paraId="16A4E976">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招标阶段除</w:t>
            </w:r>
            <w:r>
              <w:rPr>
                <w:rFonts w:hint="eastAsia" w:ascii="宋体" w:hAnsi="宋体" w:eastAsia="宋体" w:cs="宋体"/>
                <w:b w:val="0"/>
                <w:bCs w:val="0"/>
                <w:color w:val="auto"/>
                <w:sz w:val="21"/>
                <w:szCs w:val="21"/>
                <w:highlight w:val="none"/>
                <w:lang w:val="en-US" w:eastAsia="zh-CN"/>
              </w:rPr>
              <w:t>项目负责人（总监理工程师）</w:t>
            </w:r>
            <w:r>
              <w:rPr>
                <w:rFonts w:hint="eastAsia" w:hAnsi="宋体" w:cs="宋体"/>
                <w:b w:val="0"/>
                <w:bCs w:val="0"/>
                <w:color w:val="auto"/>
                <w:sz w:val="21"/>
                <w:szCs w:val="21"/>
                <w:highlight w:val="none"/>
                <w:lang w:val="en-US" w:eastAsia="zh-CN"/>
              </w:rPr>
              <w:t>、总监理工程师代表及</w:t>
            </w:r>
            <w:r>
              <w:rPr>
                <w:rFonts w:hint="eastAsia" w:ascii="宋体" w:hAnsi="宋体" w:eastAsia="宋体" w:cs="宋体"/>
                <w:b w:val="0"/>
                <w:bCs w:val="0"/>
                <w:color w:val="auto"/>
                <w:sz w:val="21"/>
                <w:szCs w:val="21"/>
                <w:highlight w:val="none"/>
                <w:lang w:val="en-US" w:eastAsia="zh-CN"/>
              </w:rPr>
              <w:t>专业监理工程师外，其余人员无需提供相关证书。</w:t>
            </w:r>
          </w:p>
          <w:p w14:paraId="06CA7FFA">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中标人中标后，在项目单位规定的时间内提供根据招标要求所配置的监理员证书（已下文明确取消的证书，须提供相关证明材料）及投标单位为其缴纳的投标前近三个月的社保材料</w:t>
            </w:r>
            <w:r>
              <w:rPr>
                <w:rFonts w:hint="eastAsia" w:ascii="宋体" w:hAnsi="宋体" w:eastAsia="宋体" w:cs="宋体"/>
                <w:b w:val="0"/>
                <w:bCs w:val="0"/>
                <w:color w:val="auto"/>
                <w:sz w:val="21"/>
                <w:szCs w:val="21"/>
                <w:highlight w:val="none"/>
              </w:rPr>
              <w:t>。未在规定时间内提供或所提供的人员不满足要求的，</w:t>
            </w:r>
            <w:r>
              <w:rPr>
                <w:rFonts w:hint="eastAsia" w:ascii="宋体" w:hAnsi="宋体" w:eastAsia="宋体" w:cs="宋体"/>
                <w:b w:val="0"/>
                <w:bCs w:val="0"/>
                <w:color w:val="auto"/>
                <w:sz w:val="21"/>
                <w:szCs w:val="21"/>
                <w:highlight w:val="none"/>
                <w:lang w:val="en-US" w:eastAsia="zh-CN"/>
              </w:rPr>
              <w:t>视为违约，</w:t>
            </w:r>
            <w:r>
              <w:rPr>
                <w:rFonts w:hint="eastAsia" w:ascii="宋体" w:hAnsi="宋体" w:eastAsia="宋体" w:cs="宋体"/>
                <w:b w:val="0"/>
                <w:bCs w:val="0"/>
                <w:color w:val="auto"/>
                <w:sz w:val="21"/>
                <w:szCs w:val="21"/>
                <w:highlight w:val="none"/>
              </w:rPr>
              <w:t>情节严重的，提请建设行政主管部门和招投标监督管理部门进行处罚。</w:t>
            </w:r>
          </w:p>
        </w:tc>
      </w:tr>
      <w:tr w14:paraId="61155F27">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56ECDE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监理人员费用考核</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E10B0CC">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监理费总价结合投标人员到位数量来结算。即：投标总价/服务期（月）/监理架构总人数=每个人员每月应得的费用，经现场考勤，少投入1人扣除1人应得费用（以委托人签字认可的考勤表为准）。中标后，如实际到岗人数不满足要求的，将按上述标准从监理费用中予以扣除。（各专业监理可结合项目的实施阶段经委托人签字认可后分期到岗）</w:t>
            </w:r>
          </w:p>
        </w:tc>
      </w:tr>
      <w:tr w14:paraId="73E0F3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668AC576">
            <w:pPr>
              <w:keepNext w:val="0"/>
              <w:keepLines w:val="0"/>
              <w:pageBreakBefore w:val="0"/>
              <w:kinsoku/>
              <w:overflowPunct/>
              <w:autoSpaceDE/>
              <w:autoSpaceDN/>
              <w:bidi w:val="0"/>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监理考核考勤</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71CACD1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人员考核：工程开工进场后，监理单位必须按招标文件要求和投标承诺配备项目总监、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以监理单位任命文为准。未经发包人同意，不得更换上述人员。发包人将组织对上述人员进行业务能力考核，对未按投标文件配备或经考核不合格要求更换人员的，（从第一次监理例会进行计算时间）监理单位累计7日内必须整改调整到位。否则，对于总监，</w:t>
            </w:r>
            <w:r>
              <w:rPr>
                <w:rFonts w:hint="eastAsia" w:ascii="宋体" w:hAnsi="宋体" w:cs="宋体"/>
                <w:color w:val="auto"/>
                <w:sz w:val="21"/>
                <w:szCs w:val="21"/>
                <w:highlight w:val="none"/>
                <w:lang w:val="en-US" w:eastAsia="zh-CN"/>
              </w:rPr>
              <w:t>按处以</w:t>
            </w:r>
            <w:r>
              <w:rPr>
                <w:rFonts w:hint="eastAsia" w:ascii="宋体" w:hAnsi="宋体" w:eastAsia="宋体" w:cs="宋体"/>
                <w:color w:val="auto"/>
                <w:sz w:val="21"/>
                <w:szCs w:val="21"/>
                <w:highlight w:val="none"/>
              </w:rPr>
              <w:t>2000元/人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专业监理工程师、监理员按</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天的违约金进行处罚。累计28日内未整改调整到位的，发包人有权终止合同，并提请相关行政主管部门对企业和人员进行“黑名单”处罚。</w:t>
            </w:r>
          </w:p>
          <w:p w14:paraId="1C35094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在第一次监理例会，监理单位针对投标承诺配备项目总监，监理单位为本项目配备的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483D4BC7">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在图纸交底会议，监理单位针对投标承诺配备项目总监，监理单位为本项目配备的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570051BC">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员考勤：①监理部所有管理人员上下班实行人脸识别电子考勤，人脸识别电子考勤系统设备必须与招标人现行使用的监管平台无缝对接。②监管平台设备及人脸识别电子考勤系统设备，监理人可以租赁或购买，但租赁或购买费用由监理人在投标报价时自行考虑，含在投标报价中，招标人将不再支付任何费用。③监管平台考勤范围为本项目监理部和项目部所有管理人员，监管平台信息及数据录入（包括质量、进度、安全、施工许可办理等）均由监理单位负责。</w:t>
            </w:r>
          </w:p>
          <w:p w14:paraId="002CCC0E">
            <w:pPr>
              <w:keepNext w:val="0"/>
              <w:keepLines w:val="0"/>
              <w:pageBreakBefore w:val="0"/>
              <w:kinsoku/>
              <w:overflowPunct/>
              <w:autoSpaceDE/>
              <w:autoSpaceDN/>
              <w:bidi w:val="0"/>
              <w:spacing w:line="5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根据施工实际需要安排，按照经批准的人员进场计划进行考勤。总监每月在岗时间不得少于22天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专业监理工程师、监理员每月在岗时间不得少于25天。未按规定在岗履责的，对总监处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天的违约金，对</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天的违约金。监理部人员离岗必须向发包人代表履行请假手续，若被相关部门日常检查和随机抽查中发现不在岗的，又未履行请假手续的，处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5000元/人/次的违约金。</w:t>
            </w:r>
          </w:p>
        </w:tc>
      </w:tr>
      <w:tr w14:paraId="2A17112A">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A418EA7">
            <w:pPr>
              <w:keepNext w:val="0"/>
              <w:keepLines w:val="0"/>
              <w:pageBreakBefore w:val="0"/>
              <w:shd w:val="clear" w:color="auto" w:fill="auto"/>
              <w:kinsoku/>
              <w:overflowPunct/>
              <w:autoSpaceDE/>
              <w:autoSpaceDN/>
              <w:bidi w:val="0"/>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日常履责管理</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151920F">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一、工作纪律</w:t>
            </w:r>
          </w:p>
          <w:p w14:paraId="588076F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程项目开工后，应按时向建设单位提供监理规划、监理细则，总监应常驻工程现场，根据施工内容可按投标承诺安排人员进退场，进退场人员报项目组备案纳入考勤。工作期间上下班应与施工单位同步，不得无故离岗、迟到、早退、酗酒，检查中如有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，工作期间酗酒的予以清退。</w:t>
            </w:r>
          </w:p>
          <w:p w14:paraId="77F3C563">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2.应认真审核施工图，在施工图纸交底、会审时，提出图纸中各专业存在的错、漏、碰、缺等，并提出优化意见，及时协调图纸变更手续，不及时办理</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48527A3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3.现场配备必要的检测设备和仪器，按职责做好见证取样、抽检工作；无设备和仪器处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，未做好见证取样或抽检</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865920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4.审查第三方检测方案并负责第三方检测过程中的协调和报告运用，不审查或协调不力的</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F9054B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5.定期召开监理例会，认真书写监理例会纪要并于监理例会后的24小时内下发例会纪要，不及时传发以上资料的处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监理日志填写内容齐全、真实、清晰、可追溯；监理月报应包括监理管理执行情况说明，质量、进度、安全控制情况评析等内容详实。每月3日前报上月监理月报至建设单位项目组审阅，日志、月报内容不详实或超期</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B2AED8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6.应公正开展监理工作，不得故意刁难施工单位，现场验收不得拖延，工程资料应及时签认，一经发现违反规定，处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EAD7B08">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7.不得向施工单位推销材料、介绍队伍、索取钱物、报销费用，不得接受施工单位、供货商的吃请或接受回扣，一经发现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3000元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，并记入“黑名单”。</w:t>
            </w:r>
          </w:p>
          <w:p w14:paraId="0371B5ED">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8.监理人员在服务期内如果有重大失职，造成经济损失的监理公司应予以赔偿损失。不准泄露与工程有关的技术和机密，对建设单位造成损失的按照合同有关规定执行，并记入黑名单。</w:t>
            </w:r>
          </w:p>
          <w:p w14:paraId="09BA581F">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二、质量控制</w:t>
            </w:r>
          </w:p>
          <w:p w14:paraId="1B73E05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1.审核各专业施工方案，使之符合规范及标准强制性条文的规定，并监督施工单位按批准的方案施工，发现问题应及时解决。发现审核后的施工方案有严重审查错误而不及时处理的，处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6AF12CB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30%的</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rPr>
              <w:t>，并记入“黑名单”。</w:t>
            </w:r>
          </w:p>
          <w:p w14:paraId="36E6D82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3.材料进场验收手续齐全，质量证明资料与实物核验符合设计及规范要求。由于发现不及时或发现未经批准的材料使用，监理不采取措施制止的，处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1D8C34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4.对现场存在的质量问题、安全隐患应及时发现并及时发出整改通知单。施工中存在质量问题，能够及时发现并进行处理的，及时安排处理并复查，质量问题不得隐瞒并私自处理；否则发现处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。经验收合格的工程，应不得再有质量问题。</w:t>
            </w:r>
          </w:p>
          <w:p w14:paraId="5D74BEC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5.监理单位对各种质量检验报告单、中间交工证书符合要求的及时签认；对施工单位的报验的关键部位或工序要及时进行验收，凡未履行签字验收程序就进行下道施工的发现处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CCEB733">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6.各级巡查检查中对现场管理混乱、观感质量差的处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；检查中发现未按图纸及《规范》施工，监理理应发现而未发现，视为监理失误，处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1000--10000元/次</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违约金；上述行为虽被监理人员发现但未采取有效措施，听之任之的，处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2000--20000元</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违约金。情节严重的记入“黑名单”。</w:t>
            </w:r>
          </w:p>
          <w:p w14:paraId="71B9758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3D4D642">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三、进度、投资控制</w:t>
            </w:r>
          </w:p>
          <w:p w14:paraId="0DE2FC9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1.监理单位须配合施工进度,根据总进度计划,要求施工单位提出各分部、分项工程的季度、月度的具体计划安排,组织各专业监理工程师审查其可行性并提出意见，如不审查处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eastAsia="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5A26B9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2.为了配合施工单位按计划完成施工任务，在施工过程中，监理人员应加强过程检查，对违反施工规范、与图纸不符、有严重错误的问题敢于指出并要求整改，必要时签发监理通知，以减少工序验收时返工。</w:t>
            </w:r>
          </w:p>
          <w:p w14:paraId="4887CE6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3.监理工程师审核施工方提交的已完成工程量月报,对设计变更及工地洽商等造成的工程量增减变化情况进行审查,不符合质量要求不予签认，对进度滞后提出原因分析并督促采取补救措施，及时汇报业主方。</w:t>
            </w:r>
          </w:p>
          <w:p w14:paraId="470AA4D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实行业主、监理、跟审和施工单位四方共同计量方式，严格控制工程量清单数量，做到及时、准确、不漏计、不重计。为保证请款资料的完整性、准确性，采取进度款支付联合会审逐级签认，若监理单位出现漏签、错签、代签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DF2DCE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四、安全文明生产、扬尘控制</w:t>
            </w:r>
          </w:p>
          <w:p w14:paraId="24F723C5">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1.监理部应定期组织现场安全文明生产检查，对检查发现的问题应及时督促施工单位整改，并将整改结果上报建设单位。</w:t>
            </w:r>
          </w:p>
          <w:p w14:paraId="0C4ABD1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2.督促施工单位严格执行大气污染防治措施，做好台账，若出现防治措施不到位，被巡查、检查发现的，按相关大气污染防治规定处罚。</w:t>
            </w:r>
          </w:p>
          <w:p w14:paraId="760BCF99">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3.做好日常安全监护及督促，对发现下述情况，监理单位不按照要求提出整改听之任之的，对监理单位处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1000元/项</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96B5E3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（1）工程标牌未设置，或设置位置不醒目，破损未及时修复的。</w:t>
            </w:r>
          </w:p>
          <w:p w14:paraId="144A479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或不完善，未对施工作业人员进行安全生产教育或分部分项工程未进行安全技术交底，施工单位特种作业人员未持证上岗。</w:t>
            </w:r>
          </w:p>
          <w:p w14:paraId="48B79112">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1082745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2EA52AE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73FFDF3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744626E5">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（7）施工现场成品、半成品及原材料未按规定堆放的。</w:t>
            </w:r>
          </w:p>
          <w:p w14:paraId="3C0FAA4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67830A2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03B8156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五、监理合同补充条款</w:t>
            </w:r>
          </w:p>
          <w:p w14:paraId="1B4B690D">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1.单位工程质量未达到施工合同约定质量标准，每出现一项扣减监理费用10000元，依次类推。</w:t>
            </w:r>
          </w:p>
          <w:p w14:paraId="0E937CD9">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2.因监理服务不及时造成工期延误每天扣减监理费用500元。</w:t>
            </w:r>
          </w:p>
          <w:p w14:paraId="51F4BCB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3.因监理责任造成的工程质量返工，对监理单位</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返工损失总额的10%</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62DB003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4.如监理人员与施工单位串通弄虚作假，降低工程质量，将不合格材料按照合格签字的，给委托人造成损失。视其情节轻重，扣减监理费用10000元—30000元，并追究经济法律责任。</w:t>
            </w:r>
          </w:p>
          <w:p w14:paraId="44B0577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5.若是监理人员与施工单位串通弄虚作假，签发不实的经济和工期签证，给委托人造成损失。视其情节轻重，扣减监理费用10000元—20000元，并追究经济法律责任。</w:t>
            </w:r>
          </w:p>
          <w:p w14:paraId="65B7D38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六、其他</w:t>
            </w:r>
          </w:p>
          <w:p w14:paraId="08385112">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项目组、业主代表将严格按此要求进行检查，并对监理单位进行考核。所有处罚均函告监理公司并予以公布。</w:t>
            </w:r>
          </w:p>
        </w:tc>
      </w:tr>
      <w:tr w14:paraId="66AE4C2B">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2F66E8C5">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约谈制度</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02F363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项目公示期满，下发中标通知书前，中标单位必须按照招标单位的规定参加项目实施前约谈，中标单位的法人代表或负责人（公司副总以上）和项目负责人必须参加约谈会议。</w:t>
            </w:r>
          </w:p>
          <w:p w14:paraId="7521BB5F">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中标单位的法人代表参加约谈的，参与会议时须提供有效身份证明和职务任命文件；中标单位的负责人（公司副总以上）参加约谈的，参与会议时须提供授权委托书、有效身份证明和职务任命文件，以及社保部门出具的本单位为其缴纳的养老保险证明（证明文件两个月内有效）。</w:t>
            </w:r>
          </w:p>
        </w:tc>
      </w:tr>
      <w:tr w14:paraId="58D1612D">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E0FD82">
            <w:pPr>
              <w:keepNext w:val="0"/>
              <w:keepLines w:val="0"/>
              <w:pageBreakBefore w:val="0"/>
              <w:shd w:val="clear" w:color="auto" w:fill="auto"/>
              <w:kinsoku/>
              <w:overflowPunct/>
              <w:autoSpaceDE/>
              <w:autoSpaceDN/>
              <w:bidi w:val="0"/>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禁止条款</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445D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tc>
      </w:tr>
      <w:tr w14:paraId="22DE705A">
        <w:tblPrEx>
          <w:tblCellMar>
            <w:top w:w="0" w:type="dxa"/>
            <w:left w:w="108" w:type="dxa"/>
            <w:bottom w:w="0" w:type="dxa"/>
            <w:right w:w="108" w:type="dxa"/>
          </w:tblCellMar>
        </w:tblPrEx>
        <w:trPr>
          <w:trHeight w:val="2465"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5D98D2B">
            <w:pPr>
              <w:keepNext w:val="0"/>
              <w:keepLines w:val="0"/>
              <w:pageBreakBefore w:val="0"/>
              <w:widowControl/>
              <w:kinsoku/>
              <w:overflowPunct/>
              <w:autoSpaceDE/>
              <w:autoSpaceDN/>
              <w:bidi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评标过程中的澄清、说明或补正</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7CCA24C8">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评标委员会通过网上招投标系统将需要澄清、说明或补正的内容以询标函的形式发送给投标人，投标人应安排专人登录网上招投标系统并保持在线状态，以便及时接收评标委员会可能发出的询标函。</w:t>
            </w:r>
          </w:p>
          <w:p w14:paraId="1C1608F4">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60F20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0815A76">
            <w:pPr>
              <w:keepNext w:val="0"/>
              <w:keepLines w:val="0"/>
              <w:pageBreakBefore w:val="0"/>
              <w:widowControl/>
              <w:kinsoku/>
              <w:overflowPunct/>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137DFE5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1.本项目投标保证金、履约保证金、工程质量保证金、农民工工资保证金均支持保函使用。以现金形式提交保证金的，应当同时退还保证金本金和银行同期存款利息。</w:t>
            </w:r>
          </w:p>
          <w:p w14:paraId="65A42D4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2.项目负责人必须是投标人本单位工作人员，提供虚假资料谋取中标将被依法处罚。</w:t>
            </w:r>
            <w:r>
              <w:rPr>
                <w:rFonts w:hint="eastAsia" w:ascii="宋体" w:hAnsi="宋体" w:eastAsia="宋体" w:cs="宋体"/>
                <w:color w:val="auto"/>
                <w:sz w:val="21"/>
                <w:szCs w:val="21"/>
                <w:highlight w:val="none"/>
                <w:lang w:val="zh-CN" w:eastAsia="zh-CN"/>
              </w:rPr>
              <w:t>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w:t>
            </w:r>
            <w:r>
              <w:rPr>
                <w:rFonts w:hint="eastAsia" w:ascii="宋体" w:hAnsi="宋体" w:eastAsia="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zh-CN" w:eastAsia="zh-CN"/>
              </w:rPr>
              <w:t>公共资源交易监督管理局）依法处理。</w:t>
            </w:r>
          </w:p>
          <w:p w14:paraId="6CF5B01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中标人未履行下述义务的，</w:t>
            </w:r>
            <w:r>
              <w:rPr>
                <w:rFonts w:hint="eastAsia" w:ascii="宋体" w:hAnsi="宋体" w:eastAsia="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zh-CN" w:eastAsia="zh-CN"/>
              </w:rPr>
              <w:t>公共资源交易监督管理局将依法对中标人进行处理，追究相关责任：</w:t>
            </w:r>
          </w:p>
          <w:p w14:paraId="73C9244C">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①招标文件载明在规定期限内中标人应领取《中标通知书》，若中标人未在规定期限内领取《中标通知书》，招标人有权取消中标人中标资格，并将相关违约行为报送监管部门，实施信用惩戒；</w:t>
            </w:r>
          </w:p>
          <w:p w14:paraId="4B3EAB3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②中标人应在规定期限内提交履约担保并与招标人签订合同， 若中标人未能在规定期限内提交履约担保或签订合同，招标人有权取消中标人中标资格，并将相关违约行为报送监管部门，记不良行为记录，实施信用惩戒；</w:t>
            </w:r>
          </w:p>
          <w:p w14:paraId="0AFC096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③合同签订后，中标人存在规定时间内不组织人员进场开工、不履行供货安装义务等情况，招标人有权解除合同，并追究违约责任，同时将相关违约行为报送监管部门，记不良行为记录， 实施信用惩戒；</w:t>
            </w:r>
          </w:p>
          <w:p w14:paraId="6112C2E2">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④中标人中标后被监管部门查实存在违法行为，不满足中标条件的，中标无效，并做好项目后续工作；</w:t>
            </w:r>
          </w:p>
          <w:p w14:paraId="4061FC14">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⑤中标人在中标项目发生投诉、信访举报案件、履约存在争议时，拒绝协助配合执法部门调查案件的，招标人可以取消其中标资格或解除合同。</w:t>
            </w:r>
          </w:p>
        </w:tc>
      </w:tr>
      <w:tr w14:paraId="46AD803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137840F6">
            <w:pPr>
              <w:keepNext w:val="0"/>
              <w:keepLines w:val="0"/>
              <w:pageBreakBefore w:val="0"/>
              <w:kinsoku/>
              <w:overflowPunct/>
              <w:autoSpaceDE/>
              <w:autoSpaceDN/>
              <w:bidi w:val="0"/>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友情提示</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A190B87">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加密投标文件上传到系统后，需要投标企业和招标代理公司在投标截止时间后共同解锁，不存在商务报价等投标信息通过系统泄密的风险；投标截止时间前，已上传的投标文件也可以撤回修改。集中到投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tc>
      </w:tr>
    </w:tbl>
    <w:p w14:paraId="67100176">
      <w:pPr>
        <w:rPr>
          <w:rFonts w:ascii="宋体" w:cs="宋体"/>
          <w:color w:val="auto"/>
          <w:sz w:val="24"/>
          <w:highlight w:val="none"/>
        </w:rPr>
      </w:pPr>
      <w:bookmarkStart w:id="52" w:name="_Toc35424887"/>
      <w:bookmarkStart w:id="53" w:name="_Toc15058846"/>
      <w:bookmarkStart w:id="54" w:name="_Toc35425053"/>
      <w:bookmarkStart w:id="55" w:name="_Toc5813"/>
      <w:r>
        <w:rPr>
          <w:rFonts w:ascii="宋体" w:cs="宋体"/>
          <w:color w:val="auto"/>
          <w:sz w:val="24"/>
          <w:highlight w:val="none"/>
        </w:rPr>
        <w:br w:type="page"/>
      </w:r>
    </w:p>
    <w:p w14:paraId="51913814">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总则</w:t>
      </w:r>
      <w:bookmarkEnd w:id="42"/>
      <w:bookmarkEnd w:id="43"/>
      <w:bookmarkEnd w:id="44"/>
      <w:bookmarkEnd w:id="45"/>
      <w:bookmarkEnd w:id="46"/>
      <w:bookmarkEnd w:id="47"/>
      <w:bookmarkEnd w:id="48"/>
      <w:bookmarkEnd w:id="49"/>
      <w:bookmarkEnd w:id="50"/>
      <w:bookmarkEnd w:id="52"/>
      <w:bookmarkEnd w:id="53"/>
      <w:bookmarkEnd w:id="54"/>
      <w:bookmarkEnd w:id="55"/>
    </w:p>
    <w:p w14:paraId="7CAED6F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kern w:val="44"/>
          <w:highlight w:val="none"/>
        </w:rPr>
      </w:pPr>
      <w:bookmarkStart w:id="56" w:name="_Toc296602421"/>
      <w:bookmarkStart w:id="57" w:name="_Toc324404816"/>
      <w:bookmarkStart w:id="58" w:name="_Toc179632547"/>
      <w:bookmarkStart w:id="59" w:name="_Toc4678"/>
      <w:bookmarkStart w:id="60" w:name="_Toc144974498"/>
      <w:bookmarkStart w:id="61" w:name="_Toc246996176"/>
      <w:bookmarkStart w:id="62" w:name="_Toc35424888"/>
      <w:bookmarkStart w:id="63" w:name="_Toc246996919"/>
      <w:bookmarkStart w:id="64" w:name="_Toc152042306"/>
      <w:bookmarkStart w:id="65" w:name="_Toc15058847"/>
      <w:bookmarkStart w:id="66" w:name="_Toc35425054"/>
      <w:bookmarkStart w:id="67" w:name="_Toc506107270"/>
      <w:bookmarkStart w:id="68" w:name="_Toc247085690"/>
      <w:bookmarkStart w:id="69" w:name="_Toc152045530"/>
      <w:r>
        <w:rPr>
          <w:rFonts w:ascii="宋体" w:hAnsi="宋体" w:eastAsia="宋体" w:cs="宋体"/>
          <w:color w:val="auto"/>
          <w:kern w:val="44"/>
          <w:highlight w:val="none"/>
        </w:rPr>
        <w:t xml:space="preserve">1.1 </w:t>
      </w:r>
      <w:r>
        <w:rPr>
          <w:rFonts w:hint="eastAsia" w:ascii="宋体" w:hAnsi="宋体" w:eastAsia="宋体" w:cs="宋体"/>
          <w:color w:val="auto"/>
          <w:kern w:val="44"/>
          <w:highlight w:val="none"/>
        </w:rPr>
        <w:t>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552A8E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1.1.1</w:t>
      </w:r>
      <w:r>
        <w:rPr>
          <w:rFonts w:hint="eastAsia" w:ascii="宋体" w:hAnsi="宋体" w:cs="宋体"/>
          <w:color w:val="auto"/>
          <w:szCs w:val="21"/>
          <w:highlight w:val="none"/>
        </w:rPr>
        <w:t>根据《中华人民共和国招标投标法》《中华人民共和国招标投标法实施条例》等有关法律、法规和规章的规定，本招标项目已具备招标条件，现对本项目进行招标。</w:t>
      </w:r>
    </w:p>
    <w:p w14:paraId="134FF47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本招标项目招标人：见投标人须知前附表。</w:t>
      </w:r>
    </w:p>
    <w:p w14:paraId="65BF16D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本招标项目招标代理机构：见投标人须知前附表。</w:t>
      </w:r>
    </w:p>
    <w:p w14:paraId="496F0E51">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本招标项目名称：见投标人须知前附表。</w:t>
      </w:r>
    </w:p>
    <w:p w14:paraId="16855956">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1.1.5 </w:t>
      </w:r>
      <w:r>
        <w:rPr>
          <w:rFonts w:hint="eastAsia" w:ascii="宋体" w:hAnsi="宋体" w:cs="宋体"/>
          <w:color w:val="auto"/>
          <w:szCs w:val="21"/>
          <w:highlight w:val="none"/>
        </w:rPr>
        <w:t>本招标项目建设地点：见投标人须知前附表。</w:t>
      </w:r>
    </w:p>
    <w:p w14:paraId="0D4EC423">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70" w:name="_Toc35425055"/>
      <w:bookmarkStart w:id="71" w:name="_Toc506107271"/>
      <w:bookmarkStart w:id="72" w:name="_Toc35424889"/>
      <w:bookmarkStart w:id="73" w:name="_Toc246996920"/>
      <w:bookmarkStart w:id="74" w:name="_Toc324404817"/>
      <w:bookmarkStart w:id="75" w:name="_Toc152042307"/>
      <w:bookmarkStart w:id="76" w:name="_Toc7142"/>
      <w:bookmarkStart w:id="77" w:name="_Toc144974499"/>
      <w:bookmarkStart w:id="78" w:name="_Toc15058848"/>
      <w:bookmarkStart w:id="79" w:name="_Toc296602422"/>
      <w:bookmarkStart w:id="80" w:name="_Toc152045531"/>
      <w:bookmarkStart w:id="81" w:name="_Toc179632548"/>
      <w:bookmarkStart w:id="82" w:name="_Toc247085691"/>
      <w:bookmarkStart w:id="83" w:name="_Toc246996177"/>
      <w:r>
        <w:rPr>
          <w:rFonts w:ascii="宋体" w:hAnsi="宋体" w:eastAsia="宋体" w:cs="宋体"/>
          <w:color w:val="auto"/>
          <w:highlight w:val="none"/>
        </w:rPr>
        <w:t xml:space="preserve">1.2 </w:t>
      </w:r>
      <w:r>
        <w:rPr>
          <w:rFonts w:hint="eastAsia" w:ascii="宋体" w:hAnsi="宋体" w:eastAsia="宋体" w:cs="宋体"/>
          <w:color w:val="auto"/>
          <w:highlight w:val="none"/>
        </w:rPr>
        <w:t>资金来源和落实情况</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245E40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本招标项目的资金来源及出资比例：见投标人须知前附表。</w:t>
      </w:r>
    </w:p>
    <w:p w14:paraId="2C96C2A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本招标项目的资金落实情况：见投标人须知前附表。</w:t>
      </w:r>
    </w:p>
    <w:p w14:paraId="6EDB3B2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84" w:name="_Toc152045532"/>
      <w:bookmarkStart w:id="85" w:name="_Toc246996921"/>
      <w:bookmarkStart w:id="86" w:name="_Toc246996178"/>
      <w:bookmarkStart w:id="87" w:name="_Toc296602423"/>
      <w:bookmarkStart w:id="88" w:name="_Toc35425056"/>
      <w:bookmarkStart w:id="89" w:name="_Toc506107272"/>
      <w:bookmarkStart w:id="90" w:name="_Toc152042308"/>
      <w:bookmarkStart w:id="91" w:name="_Toc6330"/>
      <w:bookmarkStart w:id="92" w:name="_Toc247085692"/>
      <w:bookmarkStart w:id="93" w:name="_Toc324404818"/>
      <w:bookmarkStart w:id="94" w:name="_Toc35424890"/>
      <w:bookmarkStart w:id="95" w:name="_Toc179632549"/>
      <w:bookmarkStart w:id="96" w:name="_Toc15058849"/>
      <w:bookmarkStart w:id="97" w:name="_Toc144974500"/>
      <w:r>
        <w:rPr>
          <w:rFonts w:ascii="宋体" w:hAnsi="宋体" w:eastAsia="宋体" w:cs="宋体"/>
          <w:color w:val="auto"/>
          <w:highlight w:val="none"/>
        </w:rPr>
        <w:t xml:space="preserve">1.3 </w:t>
      </w:r>
      <w:r>
        <w:rPr>
          <w:rFonts w:hint="eastAsia" w:ascii="宋体" w:hAnsi="宋体" w:eastAsia="宋体" w:cs="宋体"/>
          <w:color w:val="auto"/>
          <w:highlight w:val="none"/>
        </w:rPr>
        <w:t>招标范围、服务期限、质量要求</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933835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1.3.1 </w:t>
      </w:r>
      <w:r>
        <w:rPr>
          <w:rFonts w:hint="eastAsia" w:ascii="宋体" w:hAnsi="宋体" w:cs="宋体"/>
          <w:color w:val="auto"/>
          <w:szCs w:val="21"/>
          <w:highlight w:val="none"/>
        </w:rPr>
        <w:t>本次招标范围：见投标人须知前附表。</w:t>
      </w:r>
    </w:p>
    <w:p w14:paraId="79A549E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1.3.2 </w:t>
      </w:r>
      <w:r>
        <w:rPr>
          <w:rFonts w:hint="eastAsia" w:ascii="宋体" w:hAnsi="宋体" w:cs="宋体"/>
          <w:color w:val="auto"/>
          <w:szCs w:val="21"/>
          <w:highlight w:val="none"/>
        </w:rPr>
        <w:t>本招标项目的服务期限：见投标人须知前附表。</w:t>
      </w:r>
    </w:p>
    <w:p w14:paraId="66D3DDB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1.3.3 </w:t>
      </w:r>
      <w:r>
        <w:rPr>
          <w:rFonts w:hint="eastAsia" w:ascii="宋体" w:hAnsi="宋体" w:cs="宋体"/>
          <w:color w:val="auto"/>
          <w:szCs w:val="21"/>
          <w:highlight w:val="none"/>
        </w:rPr>
        <w:t>本招标项目的质量要求：见投标人须知前附表。</w:t>
      </w:r>
    </w:p>
    <w:p w14:paraId="6785194C">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98" w:name="_Toc26897"/>
      <w:bookmarkStart w:id="99" w:name="_Toc35425057"/>
      <w:bookmarkStart w:id="100" w:name="_Toc506107273"/>
      <w:bookmarkStart w:id="101" w:name="_Toc324404819"/>
      <w:bookmarkStart w:id="102" w:name="_Toc247085693"/>
      <w:bookmarkStart w:id="103" w:name="_Toc246996922"/>
      <w:bookmarkStart w:id="104" w:name="_Toc179632551"/>
      <w:bookmarkStart w:id="105" w:name="_Toc296602424"/>
      <w:bookmarkStart w:id="106" w:name="_Toc246996179"/>
      <w:bookmarkStart w:id="107" w:name="_Toc35424891"/>
      <w:bookmarkStart w:id="108" w:name="_Toc152042310"/>
      <w:bookmarkStart w:id="109" w:name="_Toc144974502"/>
      <w:bookmarkStart w:id="110" w:name="_Toc15058850"/>
      <w:bookmarkStart w:id="111" w:name="_Toc152045534"/>
      <w:r>
        <w:rPr>
          <w:rFonts w:ascii="宋体" w:hAnsi="宋体" w:eastAsia="宋体" w:cs="宋体"/>
          <w:color w:val="auto"/>
          <w:highlight w:val="none"/>
        </w:rPr>
        <w:t xml:space="preserve">1.4 </w:t>
      </w:r>
      <w:r>
        <w:rPr>
          <w:rFonts w:hint="eastAsia" w:ascii="宋体" w:hAnsi="宋体" w:eastAsia="宋体" w:cs="宋体"/>
          <w:color w:val="auto"/>
          <w:highlight w:val="none"/>
        </w:rPr>
        <w:t>投标人资格要求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B60090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投标人应具备承担本项目的资质条件、能力和信誉。</w:t>
      </w:r>
    </w:p>
    <w:p w14:paraId="24FC31E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0554C9F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（2）信誉要求：见投标人须知前附表；</w:t>
      </w:r>
    </w:p>
    <w:p w14:paraId="60BEDC3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资格：见投标人须知前附表；</w:t>
      </w:r>
    </w:p>
    <w:p w14:paraId="10EBAC3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3DC36E02">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112" w:name="_Toc179632552"/>
      <w:bookmarkStart w:id="113" w:name="_Toc10179"/>
      <w:bookmarkStart w:id="114" w:name="_Toc35425058"/>
      <w:bookmarkStart w:id="115" w:name="_Toc15058851"/>
      <w:bookmarkStart w:id="116" w:name="_Toc35424892"/>
      <w:bookmarkStart w:id="117" w:name="_Toc246996923"/>
      <w:bookmarkStart w:id="118" w:name="_Toc324404820"/>
      <w:bookmarkStart w:id="119" w:name="_Toc246996180"/>
      <w:bookmarkStart w:id="120" w:name="_Toc247085694"/>
      <w:bookmarkStart w:id="121" w:name="_Toc506107274"/>
      <w:bookmarkStart w:id="122" w:name="_Toc152045535"/>
      <w:bookmarkStart w:id="123" w:name="_Toc296602425"/>
      <w:bookmarkStart w:id="124" w:name="_Toc144974503"/>
      <w:bookmarkStart w:id="125" w:name="_Toc152042311"/>
      <w:r>
        <w:rPr>
          <w:rFonts w:hint="eastAsia" w:ascii="宋体" w:hAnsi="宋体" w:eastAsia="宋体" w:cs="宋体"/>
          <w:color w:val="auto"/>
          <w:szCs w:val="21"/>
          <w:highlight w:val="none"/>
        </w:rPr>
        <w:t>1.4.2 投标人（包括联合体各成员）不得与本标段相关单位存在下列关联关系：</w:t>
      </w:r>
    </w:p>
    <w:p w14:paraId="49984341">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14:paraId="4C6D5FC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14:paraId="732827E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（3）与本标段的其他投标人同为一个单位负责人；</w:t>
      </w:r>
    </w:p>
    <w:p w14:paraId="4757D08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（4）与本标段的其他投标人存在控股、管理关系；</w:t>
      </w:r>
    </w:p>
    <w:p w14:paraId="14479944">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（5）为本标段前期准备提供设计或咨询服务的法人或其任何附属机构（单位）；</w:t>
      </w:r>
    </w:p>
    <w:p w14:paraId="660B035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）为本标段的代建人；</w:t>
      </w:r>
    </w:p>
    <w:p w14:paraId="2422A71F">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）为本标段的招标代理机构；</w:t>
      </w:r>
    </w:p>
    <w:p w14:paraId="0E6A894F">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）与本标段的代建人或招标代理机构同为一个法定代表人；</w:t>
      </w:r>
    </w:p>
    <w:p w14:paraId="2209190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）与本标段的代建人或招标代理机构存在控股或参股关系；</w:t>
      </w:r>
    </w:p>
    <w:p w14:paraId="2DD696A9">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）法律法规或投标人须知前附表规定的其他情形。</w:t>
      </w:r>
    </w:p>
    <w:p w14:paraId="6D831CF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1.5 </w:t>
      </w:r>
      <w:r>
        <w:rPr>
          <w:rFonts w:hint="eastAsia" w:ascii="宋体" w:hAnsi="宋体" w:eastAsia="宋体" w:cs="宋体"/>
          <w:color w:val="auto"/>
          <w:highlight w:val="none"/>
        </w:rPr>
        <w:t>费用承担</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F4E87E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投标人准备和参加投标活动发生的费用自理。</w:t>
      </w:r>
    </w:p>
    <w:p w14:paraId="0D020FF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26" w:name="_Toc152045536"/>
      <w:bookmarkStart w:id="127" w:name="_Toc152042312"/>
      <w:bookmarkStart w:id="128" w:name="_Toc296602426"/>
      <w:bookmarkStart w:id="129" w:name="_Toc179632553"/>
      <w:bookmarkStart w:id="130" w:name="_Toc506107275"/>
      <w:bookmarkStart w:id="131" w:name="_Toc144974504"/>
      <w:bookmarkStart w:id="132" w:name="_Toc247085695"/>
      <w:bookmarkStart w:id="133" w:name="_Toc246996181"/>
      <w:bookmarkStart w:id="134" w:name="_Toc324404821"/>
      <w:bookmarkStart w:id="135" w:name="_Toc35424893"/>
      <w:bookmarkStart w:id="136" w:name="_Toc246996924"/>
      <w:bookmarkStart w:id="137" w:name="_Toc15058852"/>
      <w:bookmarkStart w:id="138" w:name="_Toc4092"/>
      <w:bookmarkStart w:id="139" w:name="_Toc35425059"/>
      <w:r>
        <w:rPr>
          <w:rFonts w:ascii="宋体" w:hAnsi="宋体" w:eastAsia="宋体" w:cs="宋体"/>
          <w:color w:val="auto"/>
          <w:highlight w:val="none"/>
        </w:rPr>
        <w:t xml:space="preserve">1.6 </w:t>
      </w:r>
      <w:r>
        <w:rPr>
          <w:rFonts w:hint="eastAsia" w:ascii="宋体" w:hAnsi="宋体" w:eastAsia="宋体" w:cs="宋体"/>
          <w:color w:val="auto"/>
          <w:highlight w:val="none"/>
        </w:rPr>
        <w:t>保密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68DB05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r>
        <w:rPr>
          <w:rFonts w:ascii="宋体" w:hAnsi="宋体" w:cs="宋体"/>
          <w:color w:val="auto"/>
          <w:szCs w:val="21"/>
          <w:highlight w:val="none"/>
        </w:rPr>
        <w:t xml:space="preserve"> </w:t>
      </w:r>
    </w:p>
    <w:p w14:paraId="721CC8F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40" w:name="_Toc144974505"/>
      <w:bookmarkStart w:id="141" w:name="_Toc506107276"/>
      <w:bookmarkStart w:id="142" w:name="_Toc296602427"/>
      <w:bookmarkStart w:id="143" w:name="_Toc35425060"/>
      <w:bookmarkStart w:id="144" w:name="_Toc246996925"/>
      <w:bookmarkStart w:id="145" w:name="_Toc246996182"/>
      <w:bookmarkStart w:id="146" w:name="_Toc152045537"/>
      <w:bookmarkStart w:id="147" w:name="_Toc152042313"/>
      <w:bookmarkStart w:id="148" w:name="_Toc324404822"/>
      <w:bookmarkStart w:id="149" w:name="_Toc179632554"/>
      <w:bookmarkStart w:id="150" w:name="_Toc4119"/>
      <w:bookmarkStart w:id="151" w:name="_Toc15058853"/>
      <w:bookmarkStart w:id="152" w:name="_Toc247085696"/>
      <w:bookmarkStart w:id="153" w:name="_Toc35424894"/>
      <w:r>
        <w:rPr>
          <w:rFonts w:ascii="宋体" w:hAnsi="宋体" w:eastAsia="宋体" w:cs="宋体"/>
          <w:color w:val="auto"/>
          <w:highlight w:val="none"/>
        </w:rPr>
        <w:t xml:space="preserve">1.7 </w:t>
      </w:r>
      <w:r>
        <w:rPr>
          <w:rFonts w:hint="eastAsia" w:ascii="宋体" w:hAnsi="宋体" w:eastAsia="宋体" w:cs="宋体"/>
          <w:color w:val="auto"/>
          <w:highlight w:val="none"/>
        </w:rPr>
        <w:t>语言</w:t>
      </w:r>
      <w:bookmarkEnd w:id="140"/>
      <w:r>
        <w:rPr>
          <w:rFonts w:hint="eastAsia" w:ascii="宋体" w:hAnsi="宋体" w:eastAsia="宋体" w:cs="宋体"/>
          <w:color w:val="auto"/>
          <w:highlight w:val="none"/>
        </w:rPr>
        <w:t>文字</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7936C29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154" w:name="_Toc247085697"/>
      <w:bookmarkStart w:id="155" w:name="_Toc179632555"/>
      <w:bookmarkStart w:id="156" w:name="_Toc144974506"/>
      <w:bookmarkStart w:id="157" w:name="_Toc152042314"/>
      <w:bookmarkStart w:id="158" w:name="_Toc152045538"/>
      <w:bookmarkStart w:id="159" w:name="_Toc246996183"/>
      <w:bookmarkStart w:id="160" w:name="_Toc246996926"/>
      <w:r>
        <w:rPr>
          <w:rFonts w:hint="eastAsia" w:ascii="宋体" w:hAnsi="宋体" w:cs="宋体"/>
          <w:color w:val="auto"/>
          <w:szCs w:val="21"/>
          <w:highlight w:val="none"/>
        </w:rPr>
        <w:t>招标投标文件使用的语言文字为中文。专用术语使用外文的，应附有中文注释。</w:t>
      </w:r>
    </w:p>
    <w:p w14:paraId="40AA0D4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1" w:name="_Toc15058854"/>
      <w:bookmarkStart w:id="162" w:name="_Toc35425061"/>
      <w:bookmarkStart w:id="163" w:name="_Toc13408"/>
      <w:bookmarkStart w:id="164" w:name="_Toc296602428"/>
      <w:bookmarkStart w:id="165" w:name="_Toc35424895"/>
      <w:bookmarkStart w:id="166" w:name="_Toc324404823"/>
      <w:bookmarkStart w:id="167" w:name="_Toc506107277"/>
      <w:r>
        <w:rPr>
          <w:rFonts w:ascii="宋体" w:hAnsi="宋体" w:eastAsia="宋体" w:cs="宋体"/>
          <w:color w:val="auto"/>
          <w:highlight w:val="none"/>
        </w:rPr>
        <w:t xml:space="preserve">1.8 </w:t>
      </w:r>
      <w:r>
        <w:rPr>
          <w:rFonts w:hint="eastAsia" w:ascii="宋体" w:hAnsi="宋体" w:eastAsia="宋体" w:cs="宋体"/>
          <w:color w:val="auto"/>
          <w:highlight w:val="none"/>
        </w:rPr>
        <w:t>计量单位</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746FFA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256E7B4">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8" w:name="_Toc152042315"/>
      <w:bookmarkStart w:id="169" w:name="_Toc35425062"/>
      <w:bookmarkStart w:id="170" w:name="_Toc15058855"/>
      <w:bookmarkStart w:id="171" w:name="_Toc247592876"/>
      <w:bookmarkStart w:id="172" w:name="_Toc144974507"/>
      <w:bookmarkStart w:id="173" w:name="_Toc296602429"/>
      <w:bookmarkStart w:id="174" w:name="_Toc247513962"/>
      <w:bookmarkStart w:id="175" w:name="_Toc324404824"/>
      <w:bookmarkStart w:id="176" w:name="_Toc35424896"/>
      <w:bookmarkStart w:id="177" w:name="_Toc152045539"/>
      <w:bookmarkStart w:id="178" w:name="_Toc506107278"/>
      <w:bookmarkStart w:id="179" w:name="_Toc11493"/>
      <w:bookmarkStart w:id="180" w:name="_Toc247527563"/>
      <w:r>
        <w:rPr>
          <w:rFonts w:ascii="宋体" w:hAnsi="宋体" w:eastAsia="宋体" w:cs="宋体"/>
          <w:color w:val="auto"/>
          <w:highlight w:val="none"/>
        </w:rPr>
        <w:t xml:space="preserve">1.9 </w:t>
      </w:r>
      <w:r>
        <w:rPr>
          <w:rFonts w:hint="eastAsia" w:ascii="宋体" w:hAnsi="宋体" w:eastAsia="宋体" w:cs="宋体"/>
          <w:color w:val="auto"/>
          <w:highlight w:val="none"/>
        </w:rPr>
        <w:t>踏勘现场</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7EC1D6A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181" w:name="_Toc35424897"/>
      <w:bookmarkStart w:id="182" w:name="_Toc247513963"/>
      <w:bookmarkStart w:id="183" w:name="_Toc296602430"/>
      <w:bookmarkStart w:id="184" w:name="_Toc152045540"/>
      <w:bookmarkStart w:id="185" w:name="_Toc15058856"/>
      <w:bookmarkStart w:id="186" w:name="_Toc324404825"/>
      <w:bookmarkStart w:id="187" w:name="_Toc35425063"/>
      <w:bookmarkStart w:id="188" w:name="_Toc247592877"/>
      <w:bookmarkStart w:id="189" w:name="_Toc152042316"/>
      <w:bookmarkStart w:id="190" w:name="_Toc144974508"/>
      <w:bookmarkStart w:id="191" w:name="_Toc506107279"/>
      <w:bookmarkStart w:id="192" w:name="_Toc22954"/>
      <w:bookmarkStart w:id="193" w:name="_Toc247527564"/>
      <w:r>
        <w:rPr>
          <w:rFonts w:hint="eastAsia" w:ascii="宋体" w:hAnsi="宋体" w:cs="宋体"/>
          <w:color w:val="auto"/>
          <w:szCs w:val="21"/>
          <w:highlight w:val="none"/>
        </w:rPr>
        <w:t>1.9.1</w:t>
      </w:r>
      <w:r>
        <w:rPr>
          <w:rFonts w:hint="eastAsia" w:ascii="宋体" w:hAnsi="宋体" w:eastAsia="宋体" w:cs="宋体"/>
          <w:color w:val="auto"/>
          <w:szCs w:val="21"/>
          <w:highlight w:val="none"/>
        </w:rPr>
        <w:t xml:space="preserve">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3CD8AEF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2B88056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4EDFCC8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79D43C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288DA0F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1.10 </w:t>
      </w:r>
      <w:r>
        <w:rPr>
          <w:rFonts w:hint="eastAsia" w:ascii="宋体" w:hAnsi="宋体" w:eastAsia="宋体" w:cs="宋体"/>
          <w:color w:val="auto"/>
          <w:highlight w:val="none"/>
        </w:rPr>
        <w:t>投标预备会</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59DB9B2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60F67F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6A4B9AD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94" w:name="_Toc15058857"/>
      <w:bookmarkStart w:id="195" w:name="_Toc35425064"/>
      <w:bookmarkStart w:id="196" w:name="_Toc324404826"/>
      <w:bookmarkStart w:id="197" w:name="_Toc506107280"/>
      <w:bookmarkStart w:id="198" w:name="_Toc296602431"/>
      <w:bookmarkStart w:id="199" w:name="_Toc32016"/>
      <w:bookmarkStart w:id="200" w:name="_Toc35424898"/>
      <w:r>
        <w:rPr>
          <w:rFonts w:ascii="宋体" w:hAnsi="宋体" w:eastAsia="宋体" w:cs="宋体"/>
          <w:color w:val="auto"/>
          <w:highlight w:val="none"/>
        </w:rPr>
        <w:t xml:space="preserve">1.11 </w:t>
      </w:r>
      <w:r>
        <w:rPr>
          <w:rFonts w:hint="eastAsia" w:ascii="宋体" w:hAnsi="宋体" w:eastAsia="宋体" w:cs="宋体"/>
          <w:color w:val="auto"/>
          <w:highlight w:val="none"/>
        </w:rPr>
        <w:t>偏离</w:t>
      </w:r>
      <w:bookmarkEnd w:id="194"/>
      <w:bookmarkEnd w:id="195"/>
      <w:bookmarkEnd w:id="196"/>
      <w:bookmarkEnd w:id="197"/>
      <w:bookmarkEnd w:id="198"/>
      <w:bookmarkEnd w:id="199"/>
      <w:bookmarkEnd w:id="200"/>
    </w:p>
    <w:p w14:paraId="1A5A811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bookmarkStart w:id="201" w:name="_Toc152042318"/>
      <w:bookmarkStart w:id="202" w:name="_Toc35425065"/>
      <w:bookmarkStart w:id="203" w:name="_Toc144974510"/>
      <w:bookmarkStart w:id="204" w:name="_Toc246996930"/>
      <w:bookmarkStart w:id="205" w:name="_Toc246996187"/>
      <w:bookmarkStart w:id="206" w:name="_Toc247085701"/>
      <w:bookmarkStart w:id="207" w:name="_Toc506107281"/>
      <w:bookmarkStart w:id="208" w:name="_Toc179632560"/>
      <w:bookmarkStart w:id="209" w:name="_Toc15058858"/>
      <w:bookmarkStart w:id="210" w:name="_Toc324404827"/>
      <w:bookmarkStart w:id="211" w:name="_Toc4012"/>
      <w:bookmarkStart w:id="212" w:name="_Toc35424899"/>
      <w:bookmarkStart w:id="213" w:name="_Toc152045542"/>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.1投标文件偏离招标文件某些要求，视为投标文件存在偏差。偏差包括重大偏差和细微偏差。</w:t>
      </w:r>
    </w:p>
    <w:p w14:paraId="76FA170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.2投标文件应对招标文件的实质性要求和条件作出满足性或更有利于招标人的响应，否则，视为投标文件存在重大偏差，投标人的投标将被否决。</w:t>
      </w:r>
    </w:p>
    <w:p w14:paraId="119E986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章“评标办法”中所列任一无效投标情形的，均属于存在重大偏差。</w:t>
      </w:r>
    </w:p>
    <w:p w14:paraId="2AACB0A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.3投标文件中的下列偏差为细微偏差：</w:t>
      </w:r>
    </w:p>
    <w:p w14:paraId="2CB2740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章“评标办法”规定的算术性错误和投标报价的其他错误；</w:t>
      </w:r>
    </w:p>
    <w:p w14:paraId="00AFF61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14:paraId="6230D42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.4评标委员会对投标文件中的细微偏差按如下规定处理：</w:t>
      </w:r>
    </w:p>
    <w:p w14:paraId="2993721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项（1）目所述的细微偏差，按照第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章“评标办法”的规定予以修正并要求投标人进行澄清；</w:t>
      </w:r>
    </w:p>
    <w:p w14:paraId="1D55D980">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项（2）目所述的细微偏差，可要求投标人对细微偏差进行澄清。</w:t>
      </w:r>
    </w:p>
    <w:p w14:paraId="4D526CE0">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招标文件</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45CB7C3E">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14" w:name="_Toc179632561"/>
      <w:bookmarkStart w:id="215" w:name="_Toc144974511"/>
      <w:bookmarkStart w:id="216" w:name="_Toc247085702"/>
      <w:bookmarkStart w:id="217" w:name="_Toc506107282"/>
      <w:bookmarkStart w:id="218" w:name="_Toc35425066"/>
      <w:bookmarkStart w:id="219" w:name="_Toc296602433"/>
      <w:bookmarkStart w:id="220" w:name="_Toc152045543"/>
      <w:bookmarkStart w:id="221" w:name="_Toc35424900"/>
      <w:bookmarkStart w:id="222" w:name="_Toc13213"/>
      <w:bookmarkStart w:id="223" w:name="_Toc246996931"/>
      <w:bookmarkStart w:id="224" w:name="_Toc246996188"/>
      <w:bookmarkStart w:id="225" w:name="_Toc15058859"/>
      <w:bookmarkStart w:id="226" w:name="_Toc152042319"/>
      <w:bookmarkStart w:id="227" w:name="_Toc324404828"/>
      <w:r>
        <w:rPr>
          <w:rFonts w:ascii="宋体" w:hAnsi="宋体" w:eastAsia="宋体" w:cs="宋体"/>
          <w:color w:val="auto"/>
          <w:highlight w:val="none"/>
        </w:rPr>
        <w:t xml:space="preserve">2.1 </w:t>
      </w:r>
      <w:r>
        <w:rPr>
          <w:rFonts w:hint="eastAsia" w:ascii="宋体" w:hAnsi="宋体" w:eastAsia="宋体" w:cs="宋体"/>
          <w:color w:val="auto"/>
          <w:highlight w:val="none"/>
        </w:rPr>
        <w:t>招标文件的组成</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D6496D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本招标文件包括：</w:t>
      </w:r>
    </w:p>
    <w:p w14:paraId="0C4540FE">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）招标公告；</w:t>
      </w:r>
    </w:p>
    <w:p w14:paraId="7BF18F8B">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）投标人须知；</w:t>
      </w:r>
    </w:p>
    <w:p w14:paraId="340DB79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）资格审查办法</w:t>
      </w:r>
    </w:p>
    <w:p w14:paraId="6EF2765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）评标办法；</w:t>
      </w:r>
    </w:p>
    <w:p w14:paraId="73C7420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）合同条款及格式；</w:t>
      </w:r>
    </w:p>
    <w:p w14:paraId="2194351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）投标文件格式；</w:t>
      </w:r>
    </w:p>
    <w:p w14:paraId="0D9610F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）投标人须知前附表规定的其他材料。</w:t>
      </w:r>
    </w:p>
    <w:p w14:paraId="1493F2E3">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根据本章第</w:t>
      </w:r>
      <w:r>
        <w:rPr>
          <w:rFonts w:ascii="宋体" w:hAnsi="宋体" w:cs="宋体"/>
          <w:color w:val="auto"/>
          <w:szCs w:val="21"/>
          <w:highlight w:val="none"/>
        </w:rPr>
        <w:t>1.10</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款对招标文件所作的澄清、修改，构成招标文件的组成部分。</w:t>
      </w:r>
    </w:p>
    <w:p w14:paraId="2E1600A5">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28" w:name="_Toc32239"/>
      <w:bookmarkStart w:id="229" w:name="_Toc15058860"/>
      <w:bookmarkStart w:id="230" w:name="_Toc506107283"/>
      <w:bookmarkStart w:id="231" w:name="_Toc144974512"/>
      <w:bookmarkStart w:id="232" w:name="_Toc247085703"/>
      <w:bookmarkStart w:id="233" w:name="_Toc35425067"/>
      <w:bookmarkStart w:id="234" w:name="_Toc246996189"/>
      <w:bookmarkStart w:id="235" w:name="_Toc296602434"/>
      <w:bookmarkStart w:id="236" w:name="_Toc152045544"/>
      <w:bookmarkStart w:id="237" w:name="_Toc324404829"/>
      <w:bookmarkStart w:id="238" w:name="_Toc179632562"/>
      <w:bookmarkStart w:id="239" w:name="_Toc246996932"/>
      <w:bookmarkStart w:id="240" w:name="_Toc35424901"/>
      <w:bookmarkStart w:id="241" w:name="_Toc152042320"/>
      <w:r>
        <w:rPr>
          <w:rFonts w:ascii="宋体" w:hAnsi="宋体" w:eastAsia="宋体" w:cs="宋体"/>
          <w:color w:val="auto"/>
          <w:highlight w:val="none"/>
        </w:rPr>
        <w:t xml:space="preserve">2.2 </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color w:val="auto"/>
          <w:highlight w:val="none"/>
        </w:rPr>
        <w:t>招标文件的异议</w:t>
      </w:r>
      <w:r>
        <w:rPr>
          <w:rFonts w:ascii="宋体" w:hAnsi="宋体" w:eastAsia="宋体" w:cs="宋体"/>
          <w:color w:val="auto"/>
          <w:highlight w:val="none"/>
        </w:rPr>
        <w:t xml:space="preserve"> </w:t>
      </w:r>
    </w:p>
    <w:p w14:paraId="51FF716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r>
        <w:rPr>
          <w:rFonts w:ascii="宋体" w:hAnsi="宋体" w:eastAsia="宋体" w:cs="宋体"/>
          <w:color w:val="auto"/>
          <w:szCs w:val="21"/>
          <w:highlight w:val="none"/>
        </w:rPr>
        <w:t xml:space="preserve"> </w:t>
      </w:r>
    </w:p>
    <w:p w14:paraId="21F97B99">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42" w:name="_Toc506107284"/>
      <w:bookmarkStart w:id="243" w:name="_Toc324404830"/>
      <w:bookmarkStart w:id="244" w:name="_Toc179632563"/>
      <w:bookmarkStart w:id="245" w:name="_Toc24633"/>
      <w:bookmarkStart w:id="246" w:name="_Toc246996933"/>
      <w:bookmarkStart w:id="247" w:name="_Toc152042321"/>
      <w:bookmarkStart w:id="248" w:name="_Toc35424902"/>
      <w:bookmarkStart w:id="249" w:name="_Toc15058861"/>
      <w:bookmarkStart w:id="250" w:name="_Toc152045545"/>
      <w:bookmarkStart w:id="251" w:name="_Toc247085704"/>
      <w:bookmarkStart w:id="252" w:name="_Toc296602435"/>
      <w:bookmarkStart w:id="253" w:name="_Toc35425068"/>
      <w:bookmarkStart w:id="254" w:name="_Toc246996190"/>
      <w:bookmarkStart w:id="255" w:name="_Toc144974513"/>
      <w:r>
        <w:rPr>
          <w:rFonts w:ascii="宋体" w:hAnsi="宋体" w:eastAsia="宋体" w:cs="宋体"/>
          <w:color w:val="auto"/>
          <w:highlight w:val="none"/>
        </w:rPr>
        <w:t xml:space="preserve">2.3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color w:val="auto"/>
          <w:highlight w:val="none"/>
        </w:rPr>
        <w:t>招标文件的澄清</w:t>
      </w:r>
    </w:p>
    <w:p w14:paraId="3DD9C20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bookmarkStart w:id="256" w:name="_Toc324404831"/>
      <w:bookmarkStart w:id="257" w:name="_Toc35424903"/>
      <w:bookmarkStart w:id="258" w:name="_Toc35425069"/>
      <w:bookmarkStart w:id="259" w:name="_Toc15058862"/>
      <w:bookmarkStart w:id="260" w:name="_Toc2696"/>
      <w:r>
        <w:rPr>
          <w:rFonts w:hint="eastAsia" w:ascii="宋体" w:hAnsi="宋体" w:eastAsia="宋体" w:cs="宋体"/>
          <w:color w:val="auto"/>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6BFDF8F8">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2.4</w:t>
      </w:r>
      <w:bookmarkEnd w:id="256"/>
      <w:r>
        <w:rPr>
          <w:rFonts w:hint="eastAsia" w:ascii="宋体" w:hAnsi="宋体" w:eastAsia="宋体" w:cs="宋体"/>
          <w:color w:val="auto"/>
          <w:highlight w:val="none"/>
        </w:rPr>
        <w:t>最高投标限价</w:t>
      </w:r>
      <w:bookmarkEnd w:id="257"/>
      <w:bookmarkEnd w:id="258"/>
      <w:bookmarkEnd w:id="259"/>
      <w:bookmarkEnd w:id="260"/>
    </w:p>
    <w:p w14:paraId="394488B5">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最高投标限价的作用和说明</w:t>
      </w:r>
    </w:p>
    <w:p w14:paraId="193B4A8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7CB11C95">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）投标人对最高投标限价（费率）有异议的，可在</w:t>
      </w:r>
      <w:r>
        <w:rPr>
          <w:rFonts w:hint="eastAsia" w:ascii="宋体" w:hAnsi="宋体" w:cs="宋体"/>
          <w:color w:val="auto"/>
          <w:highlight w:val="none"/>
        </w:rPr>
        <w:t>投标人须知前附表规定的时间内向招标人提出异议，</w:t>
      </w:r>
      <w:r>
        <w:rPr>
          <w:rFonts w:hint="eastAsia" w:ascii="宋体" w:hAnsi="宋体" w:cs="宋体"/>
          <w:color w:val="auto"/>
          <w:szCs w:val="21"/>
          <w:highlight w:val="none"/>
        </w:rPr>
        <w:t>未在规定时间内提出异议的或投标人提出异议经招标人复核后的最高投标限价（费率），视为合理有效。</w:t>
      </w:r>
    </w:p>
    <w:p w14:paraId="0BD9960D">
      <w:pPr>
        <w:pStyle w:val="4"/>
        <w:spacing w:beforeLines="50" w:afterLines="50"/>
        <w:ind w:firstLine="482" w:firstLineChars="200"/>
        <w:rPr>
          <w:rFonts w:ascii="宋体" w:hAnsi="宋体" w:eastAsia="宋体" w:cs="宋体"/>
          <w:color w:val="auto"/>
          <w:sz w:val="24"/>
          <w:szCs w:val="24"/>
          <w:highlight w:val="none"/>
        </w:rPr>
      </w:pPr>
      <w:bookmarkStart w:id="261" w:name="_Toc246996934"/>
      <w:bookmarkStart w:id="262" w:name="_Toc35425070"/>
      <w:bookmarkStart w:id="263" w:name="_Toc152042322"/>
      <w:bookmarkStart w:id="264" w:name="_Toc246996191"/>
      <w:bookmarkStart w:id="265" w:name="_Toc324404832"/>
      <w:bookmarkStart w:id="266" w:name="_Toc15058863"/>
      <w:bookmarkStart w:id="267" w:name="_Toc6464"/>
      <w:bookmarkStart w:id="268" w:name="_Toc35424904"/>
      <w:bookmarkStart w:id="269" w:name="_Toc506107285"/>
      <w:bookmarkStart w:id="270" w:name="_Toc179632564"/>
      <w:bookmarkStart w:id="271" w:name="_Toc152045546"/>
      <w:bookmarkStart w:id="272" w:name="_Toc144974514"/>
      <w:bookmarkStart w:id="273" w:name="_Toc247085705"/>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投标文件</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19DB78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74" w:name="_Toc35424905"/>
      <w:bookmarkStart w:id="275" w:name="_Toc324404833"/>
      <w:bookmarkStart w:id="276" w:name="_Toc506107286"/>
      <w:bookmarkStart w:id="277" w:name="_Toc157"/>
      <w:bookmarkStart w:id="278" w:name="_Toc296602437"/>
      <w:bookmarkStart w:id="279" w:name="_Toc15058864"/>
      <w:bookmarkStart w:id="280" w:name="_Toc246996192"/>
      <w:bookmarkStart w:id="281" w:name="_Toc152042323"/>
      <w:bookmarkStart w:id="282" w:name="_Toc35425071"/>
      <w:bookmarkStart w:id="283" w:name="_Toc247085706"/>
      <w:bookmarkStart w:id="284" w:name="_Toc246996935"/>
      <w:bookmarkStart w:id="285" w:name="_Toc152045547"/>
      <w:bookmarkStart w:id="286" w:name="_Toc144974515"/>
      <w:bookmarkStart w:id="287" w:name="_Toc179632565"/>
      <w:r>
        <w:rPr>
          <w:rFonts w:ascii="宋体" w:hAnsi="宋体" w:eastAsia="宋体" w:cs="宋体"/>
          <w:color w:val="auto"/>
          <w:highlight w:val="none"/>
        </w:rPr>
        <w:t xml:space="preserve">3.1 </w:t>
      </w:r>
      <w:r>
        <w:rPr>
          <w:rFonts w:hint="eastAsia" w:ascii="宋体" w:hAnsi="宋体" w:eastAsia="宋体" w:cs="宋体"/>
          <w:color w:val="auto"/>
          <w:highlight w:val="none"/>
        </w:rPr>
        <w:t>投标文件的组成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E8B7875">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highlight w:val="none"/>
          <w:lang w:val="en-US" w:eastAsia="zh-CN"/>
        </w:rPr>
      </w:pPr>
      <w:bookmarkStart w:id="288" w:name="_Toc296602438"/>
      <w:bookmarkStart w:id="289" w:name="_Toc179632566"/>
      <w:bookmarkStart w:id="290" w:name="_Toc35425072"/>
      <w:bookmarkStart w:id="291" w:name="_Toc324404834"/>
      <w:bookmarkStart w:id="292" w:name="_Toc15058865"/>
      <w:bookmarkStart w:id="293" w:name="_Toc6829"/>
      <w:bookmarkStart w:id="294" w:name="_Toc247085707"/>
      <w:bookmarkStart w:id="295" w:name="_Toc144974516"/>
      <w:bookmarkStart w:id="296" w:name="_Toc35424906"/>
      <w:bookmarkStart w:id="297" w:name="_Toc152042324"/>
      <w:bookmarkStart w:id="298" w:name="_Toc246996936"/>
      <w:bookmarkStart w:id="299" w:name="_Toc506107287"/>
      <w:bookmarkStart w:id="300" w:name="_Toc246996193"/>
      <w:bookmarkStart w:id="301" w:name="_Toc152045548"/>
      <w:r>
        <w:rPr>
          <w:rFonts w:hint="eastAsia" w:ascii="宋体" w:hAnsi="宋体" w:cs="宋体"/>
          <w:color w:val="auto"/>
          <w:szCs w:val="21"/>
          <w:highlight w:val="none"/>
        </w:rPr>
        <w:t>投标文件的具体组成部分及材料要求详见本招标文件第五章“投标文件格式”。</w:t>
      </w:r>
    </w:p>
    <w:p w14:paraId="52D4739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3.2 </w:t>
      </w:r>
      <w:r>
        <w:rPr>
          <w:rFonts w:hint="eastAsia" w:ascii="宋体" w:hAnsi="宋体" w:eastAsia="宋体" w:cs="宋体"/>
          <w:color w:val="auto"/>
          <w:highlight w:val="none"/>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A5BAC29">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bookmarkStart w:id="302" w:name="_Toc246996937"/>
      <w:bookmarkStart w:id="303" w:name="_Toc324404835"/>
      <w:bookmarkStart w:id="304" w:name="_Toc246996194"/>
      <w:bookmarkStart w:id="305" w:name="_Toc247085708"/>
      <w:bookmarkStart w:id="306" w:name="_Toc152042325"/>
      <w:bookmarkStart w:id="307" w:name="_Toc152045549"/>
      <w:bookmarkStart w:id="308" w:name="_Toc144974517"/>
      <w:bookmarkStart w:id="309" w:name="_Toc179632567"/>
      <w:bookmarkStart w:id="310" w:name="_Toc296602439"/>
      <w:r>
        <w:rPr>
          <w:rFonts w:ascii="宋体" w:hAnsi="宋体" w:cs="宋体"/>
          <w:color w:val="auto"/>
          <w:highlight w:val="none"/>
        </w:rPr>
        <w:t>3.2.1</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7A5BEB9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3.2.2</w:t>
      </w:r>
      <w:r>
        <w:rPr>
          <w:rFonts w:hint="eastAsia" w:ascii="宋体" w:hAnsi="宋体" w:cs="宋体"/>
          <w:color w:val="auto"/>
          <w:highlight w:val="none"/>
        </w:rPr>
        <w:t>投标报价应由法定代表人或被授权人签署。</w:t>
      </w:r>
    </w:p>
    <w:p w14:paraId="112A680B">
      <w:pPr>
        <w:pageBreakBefore w:val="0"/>
        <w:widowControl w:val="0"/>
        <w:kinsoku/>
        <w:wordWrap/>
        <w:overflowPunct/>
        <w:topLinePunct w:val="0"/>
        <w:autoSpaceDE/>
        <w:autoSpaceDN/>
        <w:bidi w:val="0"/>
        <w:spacing w:line="500" w:lineRule="exact"/>
        <w:ind w:left="15" w:leftChars="7" w:firstLine="420" w:firstLineChars="200"/>
        <w:jc w:val="left"/>
        <w:textAlignment w:val="auto"/>
        <w:rPr>
          <w:rFonts w:ascii="宋体" w:cs="宋体"/>
          <w:color w:val="auto"/>
          <w:highlight w:val="none"/>
        </w:rPr>
      </w:pPr>
      <w:r>
        <w:rPr>
          <w:rFonts w:ascii="宋体" w:hAnsi="宋体" w:cs="宋体"/>
          <w:color w:val="auto"/>
          <w:highlight w:val="none"/>
        </w:rPr>
        <w:t>3.2.3</w:t>
      </w:r>
      <w:r>
        <w:rPr>
          <w:rFonts w:hint="eastAsia" w:ascii="宋体" w:hAnsi="宋体" w:cs="宋体"/>
          <w:color w:val="auto"/>
          <w:highlight w:val="none"/>
        </w:rPr>
        <w:t>投标人的投标报价应为项目招标范围内</w:t>
      </w:r>
      <w:r>
        <w:rPr>
          <w:rFonts w:hint="eastAsia" w:ascii="宋体" w:hAnsi="宋体" w:cs="宋体"/>
          <w:color w:val="auto"/>
          <w:highlight w:val="none"/>
          <w:lang w:val="en-US" w:eastAsia="zh-CN"/>
        </w:rPr>
        <w:t>服务</w:t>
      </w:r>
      <w:r>
        <w:rPr>
          <w:rFonts w:hint="eastAsia" w:ascii="宋体" w:hAnsi="宋体" w:cs="宋体"/>
          <w:color w:val="auto"/>
          <w:highlight w:val="none"/>
        </w:rPr>
        <w:t>单位所提供的全部服务工作内容所需的全部费用，包含所有成本、利润和税金等全部费用。</w:t>
      </w:r>
    </w:p>
    <w:p w14:paraId="5F43564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highlight w:val="none"/>
        </w:rPr>
        <w:t>3.2.4</w:t>
      </w:r>
      <w:r>
        <w:rPr>
          <w:rFonts w:hint="eastAsia" w:ascii="宋体" w:hAnsi="宋体" w:cs="宋体"/>
          <w:color w:val="auto"/>
          <w:highlight w:val="none"/>
        </w:rPr>
        <w:t>不论任何原因导致的工期延长，招标人均不再补偿</w:t>
      </w:r>
      <w:r>
        <w:rPr>
          <w:rFonts w:hint="eastAsia" w:ascii="宋体" w:hAnsi="宋体" w:cs="宋体"/>
          <w:color w:val="auto"/>
          <w:highlight w:val="none"/>
          <w:lang w:val="en-US" w:eastAsia="zh-CN"/>
        </w:rPr>
        <w:t>服务</w:t>
      </w:r>
      <w:r>
        <w:rPr>
          <w:rFonts w:hint="eastAsia" w:ascii="宋体" w:hAnsi="宋体" w:cs="宋体"/>
          <w:color w:val="auto"/>
          <w:highlight w:val="none"/>
        </w:rPr>
        <w:t>费用。</w:t>
      </w:r>
    </w:p>
    <w:p w14:paraId="614DA59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1" w:name="_Toc506107288"/>
      <w:bookmarkStart w:id="312" w:name="_Toc31735"/>
      <w:bookmarkStart w:id="313" w:name="_Toc15058866"/>
      <w:bookmarkStart w:id="314" w:name="_Toc35424907"/>
      <w:bookmarkStart w:id="315" w:name="_Toc35425073"/>
      <w:r>
        <w:rPr>
          <w:rFonts w:ascii="宋体" w:hAnsi="宋体" w:eastAsia="宋体" w:cs="宋体"/>
          <w:color w:val="auto"/>
          <w:highlight w:val="none"/>
        </w:rPr>
        <w:t xml:space="preserve">3.3 </w:t>
      </w:r>
      <w:r>
        <w:rPr>
          <w:rFonts w:hint="eastAsia" w:ascii="宋体" w:hAnsi="宋体" w:eastAsia="宋体" w:cs="宋体"/>
          <w:color w:val="auto"/>
          <w:highlight w:val="none"/>
        </w:rPr>
        <w:t>投标有效期</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1C26C4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3.3.1 </w:t>
      </w:r>
      <w:r>
        <w:rPr>
          <w:rFonts w:hint="eastAsia" w:ascii="宋体" w:hAnsi="宋体" w:cs="宋体"/>
          <w:color w:val="auto"/>
          <w:szCs w:val="21"/>
          <w:highlight w:val="none"/>
        </w:rPr>
        <w:t>除投标人须知前附表另有规定外，投标有效期为</w:t>
      </w:r>
      <w:r>
        <w:rPr>
          <w:rFonts w:ascii="宋体" w:hAnsi="宋体" w:cs="宋体"/>
          <w:color w:val="auto"/>
          <w:szCs w:val="21"/>
          <w:highlight w:val="none"/>
        </w:rPr>
        <w:t>90</w:t>
      </w:r>
      <w:r>
        <w:rPr>
          <w:rFonts w:hint="eastAsia" w:ascii="宋体" w:hAnsi="宋体" w:cs="宋体"/>
          <w:color w:val="auto"/>
          <w:szCs w:val="21"/>
          <w:highlight w:val="none"/>
        </w:rPr>
        <w:t>天。</w:t>
      </w:r>
    </w:p>
    <w:p w14:paraId="38658219">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在投标有效期内，投标人撤销或修改其投标文件的，应承担招标文件和法律规定的责任。</w:t>
      </w:r>
    </w:p>
    <w:p w14:paraId="0BA596E5">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3.3.3</w:t>
      </w:r>
      <w:r>
        <w:rPr>
          <w:rFonts w:hint="eastAsia" w:ascii="宋体" w:hAnsi="宋体" w:cs="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75892C1">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6" w:name="_Toc35424908"/>
      <w:bookmarkStart w:id="317" w:name="_Toc324404836"/>
      <w:bookmarkStart w:id="318" w:name="_Toc246996195"/>
      <w:bookmarkStart w:id="319" w:name="_Toc152045550"/>
      <w:bookmarkStart w:id="320" w:name="_Toc35425074"/>
      <w:bookmarkStart w:id="321" w:name="_Toc152042326"/>
      <w:bookmarkStart w:id="322" w:name="_Toc296602440"/>
      <w:bookmarkStart w:id="323" w:name="_Toc144974518"/>
      <w:bookmarkStart w:id="324" w:name="_Toc246996938"/>
      <w:bookmarkStart w:id="325" w:name="_Toc10714"/>
      <w:bookmarkStart w:id="326" w:name="_Toc179632568"/>
      <w:bookmarkStart w:id="327" w:name="_Toc247085709"/>
      <w:bookmarkStart w:id="328" w:name="_Toc506107289"/>
      <w:bookmarkStart w:id="329" w:name="_Toc15058867"/>
      <w:r>
        <w:rPr>
          <w:rFonts w:ascii="宋体" w:hAnsi="宋体" w:eastAsia="宋体" w:cs="宋体"/>
          <w:color w:val="auto"/>
          <w:highlight w:val="none"/>
        </w:rPr>
        <w:t xml:space="preserve">3.4 </w:t>
      </w:r>
      <w:r>
        <w:rPr>
          <w:rFonts w:hint="eastAsia" w:ascii="宋体" w:hAnsi="宋体" w:eastAsia="宋体" w:cs="宋体"/>
          <w:color w:val="auto"/>
          <w:highlight w:val="none"/>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DBFF82C">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3.4.1投标人须知前附表规定递交投标保证金的，投标人在递交投标文件的同时，应按投标人须知前附表规定的金额、担保形式和第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章“投标文件格式”规定的或者事先经过招标人认可的保证金格式递交保证金，并作为其投标文件的组成部分。</w:t>
      </w:r>
    </w:p>
    <w:p w14:paraId="7E65344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0E5FDB1C">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14:paraId="4E156082">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3.4.3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00F3753E">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1FECF8C8">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50B79DC">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2F86876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3.4.5 投标保证金按《</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"https://www.chuzhou.gov.cn/group1/M00/12/83/CpYI8mGDiKqAD_IkAAEIAMLVghw186.doc" \t "_blank" </w:instrText>
      </w:r>
      <w:r>
        <w:rPr>
          <w:rFonts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2E7712F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30" w:name="_Toc296602442"/>
      <w:bookmarkStart w:id="331" w:name="_Toc35425075"/>
      <w:bookmarkStart w:id="332" w:name="_Toc35424909"/>
      <w:bookmarkStart w:id="333" w:name="_Toc19037"/>
      <w:bookmarkStart w:id="334" w:name="_Toc506107290"/>
      <w:bookmarkStart w:id="335" w:name="_Toc324404837"/>
      <w:bookmarkStart w:id="336" w:name="_Toc15058868"/>
      <w:bookmarkStart w:id="337" w:name="_Toc247085711"/>
      <w:bookmarkStart w:id="338" w:name="_Toc152042329"/>
      <w:bookmarkStart w:id="339" w:name="_Toc246996940"/>
      <w:bookmarkStart w:id="340" w:name="_Toc246996197"/>
      <w:bookmarkStart w:id="341" w:name="_Toc179632571"/>
      <w:bookmarkStart w:id="342" w:name="_Toc144974521"/>
      <w:bookmarkStart w:id="343" w:name="_Toc152045553"/>
      <w:r>
        <w:rPr>
          <w:rFonts w:ascii="宋体" w:hAnsi="宋体" w:eastAsia="宋体" w:cs="宋体"/>
          <w:color w:val="auto"/>
          <w:highlight w:val="none"/>
        </w:rPr>
        <w:t>3.5</w:t>
      </w:r>
      <w:r>
        <w:rPr>
          <w:rFonts w:hint="eastAsia" w:ascii="宋体" w:hAnsi="宋体" w:eastAsia="宋体" w:cs="宋体"/>
          <w:color w:val="auto"/>
          <w:highlight w:val="none"/>
        </w:rPr>
        <w:t>投标文件的编制</w:t>
      </w:r>
      <w:bookmarkEnd w:id="330"/>
      <w:bookmarkEnd w:id="331"/>
      <w:bookmarkEnd w:id="332"/>
      <w:bookmarkEnd w:id="333"/>
      <w:bookmarkEnd w:id="334"/>
      <w:bookmarkEnd w:id="335"/>
      <w:bookmarkEnd w:id="336"/>
    </w:p>
    <w:p w14:paraId="415CD55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3.5.1</w:t>
      </w:r>
      <w:r>
        <w:rPr>
          <w:rFonts w:hint="eastAsia" w:ascii="宋体" w:hAnsi="宋体" w:cs="宋体"/>
          <w:color w:val="auto"/>
          <w:szCs w:val="21"/>
          <w:highlight w:val="none"/>
        </w:rPr>
        <w:t>投标文件应按第五章“投标文件格式”进行编写，如有必要，可以增加附页，作为投标文件的组成部分。</w:t>
      </w:r>
    </w:p>
    <w:p w14:paraId="01FFB9D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3.5.2 </w:t>
      </w:r>
      <w:r>
        <w:rPr>
          <w:rFonts w:hint="eastAsia" w:ascii="宋体" w:hAnsi="宋体" w:cs="宋体"/>
          <w:color w:val="auto"/>
          <w:szCs w:val="21"/>
          <w:highlight w:val="none"/>
        </w:rPr>
        <w:t>投标文件应当对招标文件有关服务期限、投标有效期、质量要求、技术标准和要求、招标范围等实质性内容作出响应。</w:t>
      </w:r>
    </w:p>
    <w:bookmarkEnd w:id="337"/>
    <w:bookmarkEnd w:id="338"/>
    <w:bookmarkEnd w:id="339"/>
    <w:bookmarkEnd w:id="340"/>
    <w:bookmarkEnd w:id="341"/>
    <w:bookmarkEnd w:id="342"/>
    <w:bookmarkEnd w:id="343"/>
    <w:p w14:paraId="6B45D797">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344" w:name="_Toc247085713"/>
      <w:bookmarkStart w:id="345" w:name="_Toc246996942"/>
      <w:bookmarkStart w:id="346" w:name="_Toc246996199"/>
      <w:bookmarkStart w:id="347" w:name="_Toc179632573"/>
      <w:bookmarkStart w:id="348" w:name="_Toc152042331"/>
      <w:bookmarkStart w:id="349" w:name="_Toc152045555"/>
      <w:bookmarkStart w:id="350" w:name="_Toc144974523"/>
      <w:bookmarkStart w:id="351" w:name="_Toc324404838"/>
      <w:r>
        <w:rPr>
          <w:rFonts w:ascii="宋体" w:hAnsi="宋体" w:cs="宋体"/>
          <w:color w:val="auto"/>
          <w:szCs w:val="21"/>
          <w:highlight w:val="none"/>
        </w:rPr>
        <w:t>3.5.3</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49C59677">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352" w:name="_Toc35425076"/>
      <w:bookmarkStart w:id="353" w:name="_Toc15058869"/>
      <w:bookmarkStart w:id="354" w:name="_Toc506107291"/>
      <w:bookmarkStart w:id="355" w:name="_Toc35424910"/>
      <w:bookmarkStart w:id="356" w:name="_Toc19455"/>
      <w:r>
        <w:rPr>
          <w:rFonts w:hint="eastAsia" w:ascii="宋体" w:hAnsi="宋体" w:cs="宋体"/>
          <w:bCs/>
          <w:snapToGrid w:val="0"/>
          <w:color w:val="auto"/>
          <w:kern w:val="0"/>
          <w:szCs w:val="21"/>
          <w:highlight w:val="none"/>
        </w:rPr>
        <w:t>3.5.</w:t>
      </w: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。同时招标人将投标人上述弄虚作假行为上报公共资源交易监督管理部门处理。</w:t>
      </w:r>
    </w:p>
    <w:p w14:paraId="0AAB868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投标文件的制作应满足以下规定：</w:t>
      </w:r>
    </w:p>
    <w:p w14:paraId="40318126">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（1）投标文件由投标人使用电子交易系统提供的“投标文件制作工具”制作生成。“投标文件制作工具”可以通过电子交易系统下载。</w:t>
      </w:r>
    </w:p>
    <w:p w14:paraId="1425850D">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五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703B29BD">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389DE9E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（4）投标文件制作的具体方法详见“投标文件制作工具”中的帮助文档。</w:t>
      </w:r>
    </w:p>
    <w:p w14:paraId="453799A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7B4AB39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1673B25D">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59DA33E0">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357" w:name="_Toc78803346"/>
      <w:bookmarkStart w:id="358" w:name="_Toc14473"/>
      <w:bookmarkStart w:id="359" w:name="_Toc15058870"/>
      <w:bookmarkStart w:id="360" w:name="_Toc35424911"/>
      <w:bookmarkStart w:id="361" w:name="_Toc35425077"/>
      <w:bookmarkStart w:id="362" w:name="_Toc15058874"/>
      <w:bookmarkStart w:id="363" w:name="_Toc35424915"/>
      <w:bookmarkStart w:id="364" w:name="_Toc179632577"/>
      <w:bookmarkStart w:id="365" w:name="_Toc324404842"/>
      <w:bookmarkStart w:id="366" w:name="_Toc246996203"/>
      <w:bookmarkStart w:id="367" w:name="_Toc144974527"/>
      <w:bookmarkStart w:id="368" w:name="_Toc29639"/>
      <w:bookmarkStart w:id="369" w:name="_Toc506107295"/>
      <w:bookmarkStart w:id="370" w:name="_Toc247085717"/>
      <w:bookmarkStart w:id="371" w:name="_Toc35425081"/>
      <w:bookmarkStart w:id="372" w:name="_Toc152042335"/>
      <w:bookmarkStart w:id="373" w:name="_Toc152045559"/>
      <w:bookmarkStart w:id="374" w:name="_Toc246996946"/>
      <w:r>
        <w:rPr>
          <w:rFonts w:hint="eastAsia" w:ascii="宋体" w:hAnsi="宋体" w:eastAsia="宋体" w:cs="宋体"/>
          <w:color w:val="auto"/>
          <w:highlight w:val="none"/>
        </w:rPr>
        <w:t>4.1投标文件上传</w:t>
      </w:r>
      <w:bookmarkEnd w:id="357"/>
      <w:bookmarkEnd w:id="358"/>
      <w:bookmarkEnd w:id="359"/>
      <w:bookmarkEnd w:id="360"/>
      <w:bookmarkEnd w:id="361"/>
    </w:p>
    <w:p w14:paraId="7767C8F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4.1.1请投标人通过系统下载投标工具制作投标文件，并利用CA数字证书进行上传投标文件，上传已加密的投标文件，务必通过此方式上传投标文件。</w:t>
      </w:r>
    </w:p>
    <w:p w14:paraId="56BFEDA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4.1.2投标人在投标文件编制、签章、上传过程中如有任何操作的疑问请及时联系技术支持，电话：0550-3801701。</w:t>
      </w:r>
    </w:p>
    <w:p w14:paraId="3E36C926">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375" w:name="_Toc246996943"/>
      <w:bookmarkStart w:id="376" w:name="_Toc246996200"/>
      <w:bookmarkStart w:id="377" w:name="_Toc247085714"/>
      <w:bookmarkStart w:id="378" w:name="_Toc35424912"/>
      <w:bookmarkStart w:id="379" w:name="_Toc324404839"/>
      <w:bookmarkStart w:id="380" w:name="_Toc15058871"/>
      <w:bookmarkStart w:id="381" w:name="_Toc152042332"/>
      <w:bookmarkStart w:id="382" w:name="_Toc506107292"/>
      <w:bookmarkStart w:id="383" w:name="_Toc3526"/>
      <w:bookmarkStart w:id="384" w:name="_Toc152045556"/>
      <w:bookmarkStart w:id="385" w:name="_Toc179632574"/>
      <w:bookmarkStart w:id="386" w:name="_Toc35425078"/>
      <w:bookmarkStart w:id="387" w:name="_Toc296602444"/>
      <w:bookmarkStart w:id="388" w:name="_Toc144974524"/>
      <w:r>
        <w:rPr>
          <w:rFonts w:hint="eastAsia" w:ascii="宋体" w:hAnsi="宋体" w:eastAsia="宋体" w:cs="宋体"/>
          <w:color w:val="auto"/>
          <w:highlight w:val="none"/>
        </w:rPr>
        <w:t>4.2投标文件的密封和标记</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C328B0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bookmarkStart w:id="389" w:name="_Toc144974525"/>
      <w:bookmarkStart w:id="390" w:name="_Toc324404840"/>
      <w:bookmarkStart w:id="391" w:name="_Toc296602445"/>
      <w:bookmarkStart w:id="392" w:name="_Toc152045557"/>
      <w:bookmarkStart w:id="393" w:name="_Toc246996944"/>
      <w:bookmarkStart w:id="394" w:name="_Toc246996201"/>
      <w:bookmarkStart w:id="395" w:name="_Toc152042333"/>
      <w:bookmarkStart w:id="396" w:name="_Toc179632575"/>
      <w:bookmarkStart w:id="397" w:name="_Toc247085715"/>
      <w:r>
        <w:rPr>
          <w:rFonts w:hint="eastAsia" w:ascii="宋体" w:hAnsi="宋体" w:cs="宋体"/>
          <w:color w:val="auto"/>
          <w:szCs w:val="21"/>
          <w:highlight w:val="none"/>
        </w:rPr>
        <w:t>4.2.1投标文件应按照本章第3.5.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项要求制作并加密，否则招标人不予接收，以投标人在投标截止时间前网上递交的电子投标文件为准。</w:t>
      </w:r>
    </w:p>
    <w:p w14:paraId="20BFDC86">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398" w:name="_Toc506107293"/>
      <w:bookmarkStart w:id="399" w:name="_Toc35425079"/>
      <w:bookmarkStart w:id="400" w:name="_Toc12275"/>
      <w:bookmarkStart w:id="401" w:name="_Toc35424913"/>
      <w:bookmarkStart w:id="402" w:name="_Toc15058872"/>
      <w:r>
        <w:rPr>
          <w:rFonts w:hint="eastAsia" w:ascii="宋体" w:hAnsi="宋体" w:eastAsia="宋体" w:cs="宋体"/>
          <w:color w:val="auto"/>
          <w:highlight w:val="none"/>
        </w:rPr>
        <w:t>4.3 投标文件的递交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C6838A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4.3.1 投标人应在投标截止时间前将加密投标文件上传至电子交易系统。</w:t>
      </w:r>
    </w:p>
    <w:p w14:paraId="1A4235E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除投标人须知前附表另有规定外，投标人所递交的投标文件不予退还。</w:t>
      </w:r>
    </w:p>
    <w:p w14:paraId="0452004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的，电子交易系统应当拒收，投标无效。</w:t>
      </w:r>
    </w:p>
    <w:p w14:paraId="143FD5F1">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403" w:name="_Toc506107294"/>
      <w:bookmarkStart w:id="404" w:name="_Toc247085716"/>
      <w:bookmarkStart w:id="405" w:name="_Toc152042334"/>
      <w:bookmarkStart w:id="406" w:name="_Toc246996945"/>
      <w:bookmarkStart w:id="407" w:name="_Toc324404841"/>
      <w:bookmarkStart w:id="408" w:name="_Toc35425080"/>
      <w:bookmarkStart w:id="409" w:name="_Toc35424914"/>
      <w:bookmarkStart w:id="410" w:name="_Toc246996202"/>
      <w:bookmarkStart w:id="411" w:name="_Toc179632576"/>
      <w:bookmarkStart w:id="412" w:name="_Toc19572"/>
      <w:bookmarkStart w:id="413" w:name="_Toc78803347"/>
      <w:bookmarkStart w:id="414" w:name="_Toc296602446"/>
      <w:bookmarkStart w:id="415" w:name="_Toc152045558"/>
      <w:bookmarkStart w:id="416" w:name="_Toc15058873"/>
      <w:bookmarkStart w:id="417" w:name="_Toc144974526"/>
      <w:r>
        <w:rPr>
          <w:rFonts w:hint="eastAsia" w:ascii="宋体" w:hAnsi="宋体" w:eastAsia="宋体" w:cs="宋体"/>
          <w:color w:val="auto"/>
          <w:highlight w:val="none"/>
        </w:rPr>
        <w:t>4.4 投标文件的修改与撤回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E6B81E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4.4.1 在规定的投标截止时间前，投标人可以自行从网上招投标系统撤回已递交的投标文件，并可修改后重新加密上传，开标时以投标截止时间前投标人最终上传的投标文件为准。</w:t>
      </w:r>
    </w:p>
    <w:p w14:paraId="0634C455">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rPr>
        <w:t>开标</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195153C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18" w:name="_Toc506107296"/>
      <w:bookmarkStart w:id="419" w:name="_Toc296602448"/>
      <w:bookmarkStart w:id="420" w:name="_Toc179632578"/>
      <w:bookmarkStart w:id="421" w:name="_Toc15058875"/>
      <w:bookmarkStart w:id="422" w:name="_Toc246996204"/>
      <w:bookmarkStart w:id="423" w:name="_Toc35424916"/>
      <w:bookmarkStart w:id="424" w:name="_Toc35425082"/>
      <w:bookmarkStart w:id="425" w:name="_Toc247085718"/>
      <w:bookmarkStart w:id="426" w:name="_Toc13691"/>
      <w:bookmarkStart w:id="427" w:name="_Toc152042336"/>
      <w:bookmarkStart w:id="428" w:name="_Toc324404843"/>
      <w:bookmarkStart w:id="429" w:name="_Toc246996947"/>
      <w:bookmarkStart w:id="430" w:name="_Toc144974528"/>
      <w:bookmarkStart w:id="431" w:name="_Toc152045560"/>
      <w:r>
        <w:rPr>
          <w:rFonts w:ascii="宋体" w:hAnsi="宋体" w:eastAsia="宋体" w:cs="宋体"/>
          <w:color w:val="auto"/>
          <w:highlight w:val="none"/>
        </w:rPr>
        <w:t xml:space="preserve">5.1 </w:t>
      </w:r>
      <w:r>
        <w:rPr>
          <w:rFonts w:hint="eastAsia" w:ascii="宋体" w:hAnsi="宋体" w:eastAsia="宋体" w:cs="宋体"/>
          <w:color w:val="auto"/>
          <w:highlight w:val="none"/>
        </w:rPr>
        <w:t>开标时间和地点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F495F3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432" w:name="_Toc35424917"/>
      <w:bookmarkStart w:id="433" w:name="_Toc324404844"/>
      <w:bookmarkStart w:id="434" w:name="_Toc144974529"/>
      <w:bookmarkStart w:id="435" w:name="_Toc15058876"/>
      <w:bookmarkStart w:id="436" w:name="_Toc179632579"/>
      <w:bookmarkStart w:id="437" w:name="_Toc506107297"/>
      <w:bookmarkStart w:id="438" w:name="_Toc246996205"/>
      <w:bookmarkStart w:id="439" w:name="_Toc246996948"/>
      <w:bookmarkStart w:id="440" w:name="_Toc152042337"/>
      <w:bookmarkStart w:id="441" w:name="_Toc247085719"/>
      <w:bookmarkStart w:id="442" w:name="_Toc152045561"/>
      <w:bookmarkStart w:id="443" w:name="_Toc296602449"/>
      <w:bookmarkStart w:id="444" w:name="_Toc35425083"/>
      <w:bookmarkStart w:id="445" w:name="_Toc32451"/>
      <w:r>
        <w:rPr>
          <w:rFonts w:hint="eastAsia" w:ascii="宋体" w:hAnsi="宋体" w:eastAsia="宋体" w:cs="宋体"/>
          <w:color w:val="auto"/>
          <w:szCs w:val="21"/>
          <w:highlight w:val="none"/>
        </w:rPr>
        <w:t>招标人在投标人须知前附表规定的投标截止时间（开标时间）和地点通过电子交易系统公开开标。</w:t>
      </w:r>
    </w:p>
    <w:p w14:paraId="32BF627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5.2 </w:t>
      </w:r>
      <w:r>
        <w:rPr>
          <w:rFonts w:hint="eastAsia" w:ascii="宋体" w:hAnsi="宋体" w:eastAsia="宋体" w:cs="宋体"/>
          <w:color w:val="auto"/>
          <w:highlight w:val="none"/>
        </w:rPr>
        <w:t>开标程序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39ACB2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主持人按下列程序进行开标：</w:t>
      </w:r>
      <w:bookmarkStart w:id="446" w:name="_Toc296602450"/>
      <w:bookmarkStart w:id="447" w:name="_Toc324404845"/>
    </w:p>
    <w:p w14:paraId="6B7CE97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bookmarkStart w:id="448" w:name="_Toc35425084"/>
      <w:bookmarkStart w:id="449" w:name="_Toc5999"/>
      <w:bookmarkStart w:id="450" w:name="_Toc15058883"/>
      <w:bookmarkStart w:id="451" w:name="_Toc506107298"/>
      <w:bookmarkStart w:id="452" w:name="_Toc35424918"/>
      <w:r>
        <w:rPr>
          <w:rFonts w:hint="eastAsia" w:ascii="宋体" w:hAnsi="宋体" w:cs="宋体"/>
          <w:bCs/>
          <w:snapToGrid w:val="0"/>
          <w:color w:val="auto"/>
          <w:kern w:val="0"/>
          <w:szCs w:val="21"/>
          <w:highlight w:val="none"/>
        </w:rPr>
        <w:t>（1）公布在投标截止时间前通过电子交易系统完成投标文件递交的投标人名称；</w:t>
      </w:r>
    </w:p>
    <w:p w14:paraId="2CD124F4">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（2）投标人在投标截止时间后在投标人须知前附表规定的解密时间内完成投标文件的解密工作；</w:t>
      </w:r>
    </w:p>
    <w:p w14:paraId="62CCA21E">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snapToGrid w:val="0"/>
          <w:color w:val="auto"/>
          <w:kern w:val="0"/>
          <w:szCs w:val="21"/>
          <w:highlight w:val="none"/>
        </w:rPr>
        <w:t>招标人或招标代理机构完成解密工作，导入并读取所有成功解密的投标文件；</w:t>
      </w:r>
    </w:p>
    <w:p w14:paraId="0FE0D292">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（4）按投标人须知前附表规定公布投标人名称、标段名称、投标报价、质量目标、工期及其他内容；</w:t>
      </w:r>
    </w:p>
    <w:p w14:paraId="30E1BEF3">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（5）开标结束。</w:t>
      </w:r>
    </w:p>
    <w:p w14:paraId="667D090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5.3 </w:t>
      </w:r>
      <w:r>
        <w:rPr>
          <w:rFonts w:hint="eastAsia" w:ascii="宋体" w:hAnsi="宋体" w:eastAsia="宋体" w:cs="宋体"/>
          <w:color w:val="auto"/>
          <w:highlight w:val="none"/>
        </w:rPr>
        <w:t>开标异议</w:t>
      </w:r>
      <w:bookmarkEnd w:id="446"/>
      <w:bookmarkEnd w:id="447"/>
      <w:bookmarkEnd w:id="448"/>
      <w:bookmarkEnd w:id="449"/>
      <w:bookmarkEnd w:id="450"/>
      <w:bookmarkEnd w:id="451"/>
      <w:bookmarkEnd w:id="452"/>
    </w:p>
    <w:p w14:paraId="0D2E401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投标人对开标有异议的，应当在开标时提出，招标人当场作出答复，并制作记录。异议与答复应通过电子交易系统进行。</w:t>
      </w:r>
    </w:p>
    <w:p w14:paraId="466DBDCB">
      <w:pPr>
        <w:pStyle w:val="4"/>
        <w:spacing w:beforeLines="50" w:afterLines="50"/>
        <w:ind w:firstLine="482" w:firstLineChars="200"/>
        <w:rPr>
          <w:rFonts w:ascii="宋体" w:hAnsi="宋体" w:eastAsia="宋体" w:cs="宋体"/>
          <w:color w:val="auto"/>
          <w:sz w:val="24"/>
          <w:szCs w:val="24"/>
          <w:highlight w:val="none"/>
        </w:rPr>
      </w:pPr>
      <w:bookmarkStart w:id="453" w:name="_Toc15058884"/>
      <w:bookmarkStart w:id="454" w:name="_Toc35425085"/>
      <w:bookmarkStart w:id="455" w:name="_Toc20689"/>
      <w:bookmarkStart w:id="456" w:name="_Toc144974530"/>
      <w:bookmarkStart w:id="457" w:name="_Toc152045562"/>
      <w:bookmarkStart w:id="458" w:name="_Toc35424919"/>
      <w:bookmarkStart w:id="459" w:name="_Toc246996949"/>
      <w:bookmarkStart w:id="460" w:name="_Toc179632580"/>
      <w:bookmarkStart w:id="461" w:name="_Toc506107299"/>
      <w:bookmarkStart w:id="462" w:name="_Toc246996206"/>
      <w:bookmarkStart w:id="463" w:name="_Toc152042338"/>
      <w:bookmarkStart w:id="464" w:name="_Toc324404846"/>
      <w:bookmarkStart w:id="465" w:name="_Toc247085720"/>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评标</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37165C6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66" w:name="_Toc246996207"/>
      <w:bookmarkStart w:id="467" w:name="_Toc246996950"/>
      <w:bookmarkStart w:id="468" w:name="_Toc324404847"/>
      <w:bookmarkStart w:id="469" w:name="_Toc179632581"/>
      <w:bookmarkStart w:id="470" w:name="_Toc14249"/>
      <w:bookmarkStart w:id="471" w:name="_Toc152045563"/>
      <w:bookmarkStart w:id="472" w:name="_Toc144974531"/>
      <w:bookmarkStart w:id="473" w:name="_Toc35425086"/>
      <w:bookmarkStart w:id="474" w:name="_Toc506107300"/>
      <w:bookmarkStart w:id="475" w:name="_Toc247085721"/>
      <w:bookmarkStart w:id="476" w:name="_Toc152042339"/>
      <w:bookmarkStart w:id="477" w:name="_Toc35424920"/>
      <w:bookmarkStart w:id="478" w:name="_Toc15058885"/>
      <w:bookmarkStart w:id="479" w:name="_Toc296602452"/>
      <w:r>
        <w:rPr>
          <w:rFonts w:ascii="宋体" w:hAnsi="宋体" w:eastAsia="宋体" w:cs="宋体"/>
          <w:color w:val="auto"/>
          <w:highlight w:val="none"/>
        </w:rPr>
        <w:t xml:space="preserve">6.1 </w:t>
      </w:r>
      <w:r>
        <w:rPr>
          <w:rFonts w:hint="eastAsia" w:ascii="宋体" w:hAnsi="宋体" w:eastAsia="宋体" w:cs="宋体"/>
          <w:color w:val="auto"/>
          <w:highlight w:val="none"/>
        </w:rPr>
        <w:t>评标委员会</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CC613F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B25AF2B">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6.1.2 </w:t>
      </w:r>
      <w:r>
        <w:rPr>
          <w:rFonts w:hint="eastAsia" w:ascii="宋体" w:hAnsi="宋体" w:cs="宋体"/>
          <w:color w:val="auto"/>
          <w:szCs w:val="21"/>
          <w:highlight w:val="none"/>
        </w:rPr>
        <w:t>评标委员会成员有下列情形之一的，应当回避：</w:t>
      </w:r>
    </w:p>
    <w:p w14:paraId="40078BF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3434749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362AB49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7B243C5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32CDC80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9F01BC5">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color w:val="auto"/>
          <w:highlight w:val="none"/>
        </w:rPr>
      </w:pPr>
      <w:bookmarkStart w:id="480" w:name="_Toc296602453"/>
      <w:bookmarkStart w:id="481" w:name="_Toc246996208"/>
      <w:bookmarkStart w:id="482" w:name="_Toc247085722"/>
      <w:bookmarkStart w:id="483" w:name="_Toc35425087"/>
      <w:bookmarkStart w:id="484" w:name="_Toc35424921"/>
      <w:bookmarkStart w:id="485" w:name="_Toc179632582"/>
      <w:bookmarkStart w:id="486" w:name="_Toc506107301"/>
      <w:bookmarkStart w:id="487" w:name="_Toc152045564"/>
      <w:bookmarkStart w:id="488" w:name="_Toc152042340"/>
      <w:bookmarkStart w:id="489" w:name="_Toc12948"/>
      <w:bookmarkStart w:id="490" w:name="_Toc144974532"/>
      <w:bookmarkStart w:id="491" w:name="_Toc246996951"/>
      <w:bookmarkStart w:id="492" w:name="_Toc15058886"/>
      <w:bookmarkStart w:id="493" w:name="_Toc324404848"/>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76C51E3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6.2 </w:t>
      </w:r>
      <w:r>
        <w:rPr>
          <w:rFonts w:hint="eastAsia" w:ascii="宋体" w:hAnsi="宋体" w:eastAsia="宋体" w:cs="宋体"/>
          <w:color w:val="auto"/>
          <w:highlight w:val="none"/>
        </w:rPr>
        <w:t>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D07BB9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评标活动遵循公平、公正、科学和择优的原则。</w:t>
      </w:r>
    </w:p>
    <w:p w14:paraId="5295F7A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94" w:name="_Toc152042341"/>
      <w:bookmarkStart w:id="495" w:name="_Toc35424922"/>
      <w:bookmarkStart w:id="496" w:name="_Toc152045565"/>
      <w:bookmarkStart w:id="497" w:name="_Toc247085723"/>
      <w:bookmarkStart w:id="498" w:name="_Toc15058887"/>
      <w:bookmarkStart w:id="499" w:name="_Toc144974533"/>
      <w:bookmarkStart w:id="500" w:name="_Toc246996952"/>
      <w:bookmarkStart w:id="501" w:name="_Toc246996209"/>
      <w:bookmarkStart w:id="502" w:name="_Toc179632583"/>
      <w:bookmarkStart w:id="503" w:name="_Toc14892"/>
      <w:bookmarkStart w:id="504" w:name="_Toc324404849"/>
      <w:bookmarkStart w:id="505" w:name="_Toc296602454"/>
      <w:bookmarkStart w:id="506" w:name="_Toc35425088"/>
      <w:bookmarkStart w:id="507" w:name="_Toc506107302"/>
      <w:r>
        <w:rPr>
          <w:rFonts w:ascii="宋体" w:hAnsi="宋体" w:eastAsia="宋体" w:cs="宋体"/>
          <w:color w:val="auto"/>
          <w:highlight w:val="none"/>
        </w:rPr>
        <w:t xml:space="preserve">6.3 </w:t>
      </w:r>
      <w:r>
        <w:rPr>
          <w:rFonts w:hint="eastAsia" w:ascii="宋体" w:hAnsi="宋体" w:eastAsia="宋体" w:cs="宋体"/>
          <w:color w:val="auto"/>
          <w:highlight w:val="none"/>
        </w:rPr>
        <w:t>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E786CA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08" w:name="_Toc152045566"/>
      <w:bookmarkStart w:id="509" w:name="_Toc324404850"/>
      <w:bookmarkStart w:id="510" w:name="_Toc179632584"/>
      <w:bookmarkStart w:id="511" w:name="_Toc247085724"/>
      <w:bookmarkStart w:id="512" w:name="_Toc246996210"/>
      <w:bookmarkStart w:id="513" w:name="_Toc144974534"/>
      <w:bookmarkStart w:id="514" w:name="_Toc246996953"/>
      <w:bookmarkStart w:id="515" w:name="_Toc152042342"/>
      <w:r>
        <w:rPr>
          <w:rFonts w:hint="eastAsia" w:ascii="宋体" w:hAnsi="宋体" w:cs="宋体"/>
          <w:color w:val="auto"/>
          <w:szCs w:val="21"/>
          <w:highlight w:val="none"/>
        </w:rPr>
        <w:t>6.3.1评标委员会按照第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章“评标办法”规定的方法、评审因素、标准和程序对投标文件进行评审。第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章“评标办法”没有规定的方法、评审因素和标准，不作为评标依据。</w:t>
      </w:r>
    </w:p>
    <w:p w14:paraId="6CED83C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2483EC14">
      <w:pPr>
        <w:pStyle w:val="4"/>
        <w:spacing w:beforeLines="50" w:afterLines="50"/>
        <w:ind w:firstLine="482" w:firstLineChars="200"/>
        <w:rPr>
          <w:rFonts w:ascii="宋体" w:hAnsi="宋体" w:eastAsia="宋体" w:cs="宋体"/>
          <w:color w:val="auto"/>
          <w:sz w:val="24"/>
          <w:szCs w:val="24"/>
          <w:highlight w:val="none"/>
        </w:rPr>
      </w:pPr>
      <w:bookmarkStart w:id="516" w:name="_Toc26182"/>
      <w:bookmarkStart w:id="517" w:name="_Toc35424923"/>
      <w:bookmarkStart w:id="518" w:name="_Toc506107303"/>
      <w:bookmarkStart w:id="519" w:name="_Toc15058888"/>
      <w:bookmarkStart w:id="520" w:name="_Toc35425089"/>
      <w:r>
        <w:rPr>
          <w:rFonts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rPr>
        <w:t>合同授予</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548C6020">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21" w:name="_Toc506107305"/>
      <w:bookmarkStart w:id="522" w:name="_Toc95223374"/>
      <w:bookmarkStart w:id="523" w:name="_Toc296602457"/>
      <w:bookmarkStart w:id="524" w:name="_Toc60061472"/>
      <w:bookmarkStart w:id="525" w:name="_Toc83301726"/>
      <w:bookmarkStart w:id="526" w:name="_Toc324404852"/>
      <w:bookmarkStart w:id="527" w:name="_Toc15058890"/>
      <w:bookmarkStart w:id="528" w:name="_Toc296602458"/>
      <w:bookmarkStart w:id="529" w:name="_Toc35425092"/>
      <w:bookmarkStart w:id="530" w:name="_Toc35424926"/>
      <w:bookmarkStart w:id="531" w:name="_Toc324404853"/>
      <w:bookmarkStart w:id="532" w:name="_Toc179632586"/>
      <w:bookmarkStart w:id="533" w:name="_Toc246996955"/>
      <w:bookmarkStart w:id="534" w:name="_Toc6833"/>
      <w:bookmarkStart w:id="535" w:name="_Toc152042344"/>
      <w:bookmarkStart w:id="536" w:name="_Toc246996212"/>
      <w:bookmarkStart w:id="537" w:name="_Toc247085726"/>
      <w:bookmarkStart w:id="538" w:name="_Toc144974536"/>
      <w:bookmarkStart w:id="539" w:name="_Toc152045568"/>
      <w:r>
        <w:rPr>
          <w:rFonts w:hint="eastAsia" w:ascii="宋体" w:hAnsi="宋体" w:eastAsia="宋体" w:cs="宋体"/>
          <w:color w:val="auto"/>
          <w:highlight w:val="none"/>
        </w:rPr>
        <w:t>7.1 中标候选人公示</w:t>
      </w:r>
      <w:bookmarkEnd w:id="521"/>
      <w:bookmarkEnd w:id="522"/>
      <w:bookmarkEnd w:id="523"/>
      <w:bookmarkEnd w:id="524"/>
      <w:bookmarkEnd w:id="525"/>
      <w:bookmarkEnd w:id="526"/>
      <w:bookmarkEnd w:id="527"/>
    </w:p>
    <w:p w14:paraId="06ECACF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40" w:name="_Toc60061473"/>
      <w:r>
        <w:rPr>
          <w:rFonts w:hint="eastAsia" w:ascii="宋体" w:hAnsi="宋体" w:cs="宋体"/>
          <w:color w:val="auto"/>
          <w:szCs w:val="21"/>
          <w:highlight w:val="none"/>
        </w:rPr>
        <w:t>招标人在收到评标报告之日起3日内，按照投标人须知前附表规定的公示媒介和期限依法公示。中标候选人，公示期不得少于3日。</w:t>
      </w:r>
    </w:p>
    <w:p w14:paraId="3322A134">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3C78F94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投标人或其他利害关系人对评标结果有异议的，应在中标候选人公示期间提出。招标人将在收到异议之日起3日内作出答复；作出答复前，将暂停招标投标活动。</w:t>
      </w:r>
    </w:p>
    <w:p w14:paraId="680989E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18131C7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5C7E939C">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 业绩奖项公示</w:t>
      </w:r>
      <w:bookmarkEnd w:id="540"/>
    </w:p>
    <w:p w14:paraId="1290943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招标人对中标候选人的得分业绩和奖项进行公示。</w:t>
      </w:r>
    </w:p>
    <w:p w14:paraId="7E99B7B2">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1" w:name="_Toc83301727"/>
      <w:bookmarkStart w:id="542" w:name="_Toc95223375"/>
      <w:bookmarkStart w:id="543" w:name="_Toc15058891"/>
      <w:bookmarkStart w:id="544" w:name="_Toc60061474"/>
      <w:bookmarkStart w:id="545" w:name="_Toc506107306"/>
      <w:r>
        <w:rPr>
          <w:rFonts w:hint="eastAsia" w:ascii="宋体" w:hAnsi="宋体" w:eastAsia="宋体" w:cs="宋体"/>
          <w:color w:val="auto"/>
          <w:highlight w:val="none"/>
        </w:rPr>
        <w:t>7.5 定标</w:t>
      </w:r>
      <w:bookmarkEnd w:id="541"/>
      <w:bookmarkEnd w:id="542"/>
    </w:p>
    <w:p w14:paraId="0877785E">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63156036">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6" w:name="_Toc95223376"/>
      <w:bookmarkStart w:id="547" w:name="_Toc83301728"/>
      <w:r>
        <w:rPr>
          <w:rFonts w:hint="eastAsia" w:ascii="宋体" w:hAnsi="宋体" w:eastAsia="宋体" w:cs="宋体"/>
          <w:color w:val="auto"/>
          <w:highlight w:val="none"/>
        </w:rPr>
        <w:t>7.6 中标通知</w:t>
      </w:r>
      <w:bookmarkEnd w:id="543"/>
      <w:bookmarkEnd w:id="544"/>
      <w:bookmarkEnd w:id="545"/>
      <w:bookmarkEnd w:id="546"/>
      <w:bookmarkEnd w:id="547"/>
    </w:p>
    <w:p w14:paraId="592D23C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在本招标文件规定的投标有效期内，招标人以数据电文形式向中标人发出中标通知书，同时将中标结果通知未中标的投标人。</w:t>
      </w:r>
    </w:p>
    <w:p w14:paraId="074E8AA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8" w:name="_Toc95223377"/>
      <w:r>
        <w:rPr>
          <w:rFonts w:hint="eastAsia" w:ascii="宋体" w:hAnsi="宋体" w:eastAsia="宋体" w:cs="宋体"/>
          <w:color w:val="auto"/>
          <w:highlight w:val="none"/>
        </w:rPr>
        <w:t>7.7 中标结果公示</w:t>
      </w:r>
      <w:bookmarkEnd w:id="548"/>
    </w:p>
    <w:p w14:paraId="14A5766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招标人在确定中标人之日起3日内，按照投标人须知前附表规定的公示媒介和期限依法公示中标结果。</w:t>
      </w:r>
    </w:p>
    <w:p w14:paraId="1DEDA0F8">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9" w:name="_Toc152042345"/>
      <w:bookmarkStart w:id="550" w:name="_Toc60061476"/>
      <w:bookmarkStart w:id="551" w:name="_Toc506107307"/>
      <w:bookmarkStart w:id="552" w:name="_Toc179632587"/>
      <w:bookmarkStart w:id="553" w:name="_Toc247085727"/>
      <w:bookmarkStart w:id="554" w:name="_Toc246996213"/>
      <w:bookmarkStart w:id="555" w:name="_Toc324404854"/>
      <w:bookmarkStart w:id="556" w:name="_Toc83301730"/>
      <w:bookmarkStart w:id="557" w:name="_Toc144974537"/>
      <w:bookmarkStart w:id="558" w:name="_Toc95223378"/>
      <w:bookmarkStart w:id="559" w:name="_Toc15058892"/>
      <w:bookmarkStart w:id="560" w:name="_Toc296602459"/>
      <w:bookmarkStart w:id="561" w:name="_Toc246996956"/>
      <w:bookmarkStart w:id="562" w:name="_Toc152045569"/>
      <w:r>
        <w:rPr>
          <w:rFonts w:hint="eastAsia" w:ascii="宋体" w:hAnsi="宋体" w:eastAsia="宋体" w:cs="宋体"/>
          <w:color w:val="auto"/>
          <w:highlight w:val="none"/>
        </w:rPr>
        <w:t>7.8 履约担保</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0058DE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7.8.1在签订合同前，中标人应按投标人须知前附表规定的担保形式和招标文件第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章“合同条款及格式”规定的或者事先经过招标人书面认可的履约担保格式向招标人提交履约担保。</w:t>
      </w:r>
      <w:r>
        <w:rPr>
          <w:rFonts w:hint="eastAsia"/>
          <w:color w:val="auto"/>
          <w:highlight w:val="none"/>
        </w:rPr>
        <w:t>联合体中标的，其履约担保应符合投标人须知前附表规定的金额、担保形式和招标文件第</w:t>
      </w:r>
      <w:r>
        <w:rPr>
          <w:rFonts w:hint="eastAsia"/>
          <w:color w:val="auto"/>
          <w:highlight w:val="none"/>
          <w:lang w:val="en-US" w:eastAsia="zh-CN"/>
        </w:rPr>
        <w:t>四</w:t>
      </w:r>
      <w:r>
        <w:rPr>
          <w:rFonts w:hint="eastAsia"/>
          <w:color w:val="auto"/>
          <w:highlight w:val="none"/>
        </w:rPr>
        <w:t>章“合同条款及格式”规定的履约担保格式要求。</w:t>
      </w:r>
    </w:p>
    <w:p w14:paraId="06ECD8E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52F6A3A2">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63" w:name="_Toc83301731"/>
      <w:bookmarkStart w:id="564" w:name="_Toc15058893"/>
      <w:bookmarkStart w:id="565" w:name="_Toc152045570"/>
      <w:bookmarkStart w:id="566" w:name="_Toc246996214"/>
      <w:bookmarkStart w:id="567" w:name="_Toc296602460"/>
      <w:bookmarkStart w:id="568" w:name="_Toc152042346"/>
      <w:bookmarkStart w:id="569" w:name="_Toc60061477"/>
      <w:bookmarkStart w:id="570" w:name="_Toc506107308"/>
      <w:bookmarkStart w:id="571" w:name="_Toc247085728"/>
      <w:bookmarkStart w:id="572" w:name="_Toc179632588"/>
      <w:bookmarkStart w:id="573" w:name="_Toc144974538"/>
      <w:bookmarkStart w:id="574" w:name="_Toc95223379"/>
      <w:bookmarkStart w:id="575" w:name="_Toc324404855"/>
      <w:bookmarkStart w:id="576" w:name="_Toc246996957"/>
      <w:r>
        <w:rPr>
          <w:rFonts w:hint="eastAsia" w:ascii="宋体" w:hAnsi="宋体" w:eastAsia="宋体" w:cs="宋体"/>
          <w:color w:val="auto"/>
          <w:highlight w:val="none"/>
        </w:rPr>
        <w:t>7.9 签订合同</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51415F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7.9.1本招标工程的合同将授予按本须知第7.6款规定所确定的中标人。</w:t>
      </w:r>
    </w:p>
    <w:p w14:paraId="3748B4CF">
      <w:pPr>
        <w:pStyle w:val="45"/>
        <w:pageBreakBefore w:val="0"/>
        <w:widowControl w:val="0"/>
        <w:kinsoku/>
        <w:wordWrap/>
        <w:overflowPunct/>
        <w:topLinePunct w:val="0"/>
        <w:autoSpaceDE/>
        <w:autoSpaceDN/>
        <w:bidi w:val="0"/>
        <w:spacing w:line="500" w:lineRule="exact"/>
        <w:ind w:left="0" w:leftChars="0" w:firstLine="31680"/>
        <w:textAlignment w:val="auto"/>
        <w:rPr>
          <w:rFonts w:hint="eastAsia"/>
          <w:color w:val="auto"/>
          <w:highlight w:val="none"/>
        </w:rPr>
      </w:pPr>
      <w:r>
        <w:rPr>
          <w:rFonts w:hint="eastAsia" w:hAnsi="宋体" w:cs="宋体"/>
          <w:b/>
          <w:bCs/>
          <w:color w:val="auto"/>
          <w:szCs w:val="21"/>
          <w:highlight w:val="none"/>
          <w:lang w:val="en-US" w:eastAsia="zh-CN"/>
        </w:rPr>
        <w:t>项目负责人（总监理工程师）无在建项目，否则取消中标资格。</w:t>
      </w:r>
      <w:r>
        <w:rPr>
          <w:rFonts w:hint="eastAsia"/>
          <w:b/>
          <w:bCs/>
          <w:color w:val="auto"/>
          <w:highlight w:val="none"/>
        </w:rPr>
        <w:t>在建项目是指以项目负责人（总监理工程师）的身份承担其他尚未完工（以竣工或交工或完工验收报告等手续为准）的项目或已中标的项目（以发放中标通知书为准）。</w:t>
      </w:r>
    </w:p>
    <w:bookmarkEnd w:id="528"/>
    <w:bookmarkEnd w:id="529"/>
    <w:bookmarkEnd w:id="530"/>
    <w:bookmarkEnd w:id="531"/>
    <w:bookmarkEnd w:id="532"/>
    <w:bookmarkEnd w:id="533"/>
    <w:bookmarkEnd w:id="534"/>
    <w:bookmarkEnd w:id="535"/>
    <w:bookmarkEnd w:id="536"/>
    <w:bookmarkEnd w:id="537"/>
    <w:bookmarkEnd w:id="538"/>
    <w:bookmarkEnd w:id="539"/>
    <w:p w14:paraId="5D90C07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bookmarkStart w:id="577" w:name="_Toc15058894"/>
      <w:bookmarkStart w:id="578" w:name="_Toc324404856"/>
      <w:bookmarkStart w:id="579" w:name="_Toc506107309"/>
      <w:r>
        <w:rPr>
          <w:rFonts w:hint="eastAsia" w:ascii="宋体" w:hAnsi="宋体" w:cs="宋体"/>
          <w:bCs/>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4E63B7A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7.9.3 发出中标通知书后，招标人无正当理由拒签合同的，招标人向中标人退还投标保证金；给中标人造成损失的，还应当赔偿损失。</w:t>
      </w:r>
    </w:p>
    <w:p w14:paraId="37BA7FE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7.9.4  除法定情形外，建设工程合同履行期间项目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不得更换。项目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确需变更的，应根据招标文件要求，变更后的项目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不低于投标文件中拟派项目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的资格条件。</w:t>
      </w:r>
    </w:p>
    <w:p w14:paraId="32C07240">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color w:val="auto"/>
          <w:highlight w:val="none"/>
        </w:rPr>
        <w:t xml:space="preserve">7.9.5 </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3FD2677F">
      <w:pPr>
        <w:pStyle w:val="4"/>
        <w:spacing w:beforeLines="50" w:afterLines="50"/>
        <w:ind w:firstLine="482" w:firstLineChars="200"/>
        <w:rPr>
          <w:rFonts w:hint="eastAsia" w:ascii="宋体" w:hAnsi="宋体" w:eastAsia="宋体" w:cs="宋体"/>
          <w:color w:val="auto"/>
          <w:sz w:val="24"/>
          <w:szCs w:val="24"/>
          <w:highlight w:val="none"/>
        </w:rPr>
      </w:pPr>
      <w:bookmarkStart w:id="580" w:name="_Toc60061478"/>
      <w:bookmarkStart w:id="581" w:name="_Toc179632589"/>
      <w:bookmarkStart w:id="582" w:name="_Toc152045571"/>
      <w:bookmarkStart w:id="583" w:name="_Toc144974539"/>
      <w:bookmarkStart w:id="584" w:name="_Toc83301732"/>
      <w:bookmarkStart w:id="585" w:name="_Toc152042347"/>
      <w:bookmarkStart w:id="586" w:name="_Toc95223381"/>
      <w:bookmarkStart w:id="587" w:name="_Toc29809"/>
      <w:bookmarkStart w:id="588" w:name="_Toc35424931"/>
      <w:bookmarkStart w:id="589" w:name="_Toc35425097"/>
      <w:r>
        <w:rPr>
          <w:rFonts w:hint="eastAsia" w:ascii="宋体" w:hAnsi="宋体" w:eastAsia="宋体" w:cs="宋体"/>
          <w:color w:val="auto"/>
          <w:sz w:val="24"/>
          <w:szCs w:val="24"/>
          <w:highlight w:val="none"/>
        </w:rPr>
        <w:t>8. 重新招标和不再招标</w:t>
      </w:r>
      <w:bookmarkEnd w:id="580"/>
      <w:bookmarkEnd w:id="581"/>
      <w:bookmarkEnd w:id="582"/>
      <w:bookmarkEnd w:id="583"/>
      <w:bookmarkEnd w:id="584"/>
      <w:bookmarkEnd w:id="585"/>
      <w:bookmarkEnd w:id="586"/>
    </w:p>
    <w:p w14:paraId="0AB8E74A">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0" w:name="_Toc179632590"/>
      <w:bookmarkStart w:id="591" w:name="_Toc95223382"/>
      <w:bookmarkStart w:id="592" w:name="_Toc144974540"/>
      <w:bookmarkStart w:id="593" w:name="_Toc60061479"/>
      <w:bookmarkStart w:id="594" w:name="_Toc152045572"/>
      <w:bookmarkStart w:id="595" w:name="_Toc83301733"/>
      <w:bookmarkStart w:id="596" w:name="_Toc152042348"/>
      <w:r>
        <w:rPr>
          <w:rFonts w:hint="eastAsia" w:ascii="宋体" w:hAnsi="宋体" w:eastAsia="宋体" w:cs="宋体"/>
          <w:b/>
          <w:bCs/>
          <w:color w:val="auto"/>
          <w:kern w:val="2"/>
          <w:sz w:val="21"/>
          <w:szCs w:val="32"/>
          <w:highlight w:val="none"/>
          <w:lang w:val="en-US" w:eastAsia="zh-CN" w:bidi="ar-SA"/>
        </w:rPr>
        <w:t>8.1 重新招标</w:t>
      </w:r>
      <w:bookmarkEnd w:id="590"/>
      <w:bookmarkEnd w:id="591"/>
      <w:bookmarkEnd w:id="592"/>
      <w:bookmarkEnd w:id="593"/>
      <w:bookmarkEnd w:id="594"/>
      <w:bookmarkEnd w:id="595"/>
      <w:bookmarkEnd w:id="596"/>
    </w:p>
    <w:p w14:paraId="551A56F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依法必须招标的项目有下列情形之一的，招标人将重新招标：</w:t>
      </w:r>
    </w:p>
    <w:p w14:paraId="3FCDAB3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（1）投标截止时间止，投标人少于3个的；</w:t>
      </w:r>
    </w:p>
    <w:p w14:paraId="71D8D79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（2）经评标委员会评审后否决所有投标的；</w:t>
      </w:r>
    </w:p>
    <w:p w14:paraId="23A7D8B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（3）中标候选人均未与招标人签订合同的；</w:t>
      </w:r>
    </w:p>
    <w:p w14:paraId="2D3FD33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（4）法律、法规规定的其他情形。</w:t>
      </w:r>
    </w:p>
    <w:p w14:paraId="7CC2F4C4">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7" w:name="_Toc179632591"/>
      <w:bookmarkStart w:id="598" w:name="_Toc152045573"/>
      <w:bookmarkStart w:id="599" w:name="_Toc60061480"/>
      <w:bookmarkStart w:id="600" w:name="_Toc152042349"/>
      <w:bookmarkStart w:id="601" w:name="_Toc144974541"/>
      <w:bookmarkStart w:id="602" w:name="_Toc95223383"/>
      <w:bookmarkStart w:id="603" w:name="_Toc83301734"/>
      <w:r>
        <w:rPr>
          <w:rFonts w:hint="eastAsia" w:ascii="宋体" w:hAnsi="宋体" w:eastAsia="宋体" w:cs="宋体"/>
          <w:b/>
          <w:bCs/>
          <w:color w:val="auto"/>
          <w:kern w:val="2"/>
          <w:sz w:val="21"/>
          <w:szCs w:val="32"/>
          <w:highlight w:val="none"/>
          <w:lang w:val="en-US" w:eastAsia="zh-CN" w:bidi="ar-SA"/>
        </w:rPr>
        <w:t>8.2 不再招标</w:t>
      </w:r>
      <w:bookmarkEnd w:id="597"/>
      <w:bookmarkEnd w:id="598"/>
      <w:bookmarkEnd w:id="599"/>
      <w:bookmarkEnd w:id="600"/>
      <w:bookmarkEnd w:id="601"/>
      <w:bookmarkEnd w:id="602"/>
      <w:bookmarkEnd w:id="603"/>
    </w:p>
    <w:p w14:paraId="04FE787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重新招标后投标人仍少于3个或者所有投标被否决的，属于必须审批或核准的工程建设项目，经原审批或核准部门批准后不再进行招标。</w:t>
      </w:r>
    </w:p>
    <w:p w14:paraId="6028ECDB">
      <w:pPr>
        <w:pStyle w:val="4"/>
        <w:spacing w:beforeLines="50" w:afterLines="50"/>
        <w:ind w:firstLine="482" w:firstLineChars="200"/>
        <w:rPr>
          <w:rFonts w:hint="eastAsia" w:ascii="宋体" w:hAnsi="宋体" w:eastAsia="宋体" w:cs="宋体"/>
          <w:color w:val="auto"/>
          <w:sz w:val="24"/>
          <w:szCs w:val="24"/>
          <w:highlight w:val="none"/>
        </w:rPr>
      </w:pPr>
      <w:bookmarkStart w:id="604" w:name="_Toc95223384"/>
      <w:bookmarkStart w:id="605" w:name="_Toc60061481"/>
      <w:bookmarkStart w:id="606" w:name="_Toc83301735"/>
      <w:r>
        <w:rPr>
          <w:rFonts w:hint="eastAsia" w:ascii="宋体" w:hAnsi="宋体" w:eastAsia="宋体" w:cs="宋体"/>
          <w:color w:val="auto"/>
          <w:sz w:val="24"/>
          <w:szCs w:val="24"/>
          <w:highlight w:val="none"/>
        </w:rPr>
        <w:t>9. 纪律和监督</w:t>
      </w:r>
      <w:bookmarkEnd w:id="604"/>
      <w:bookmarkEnd w:id="605"/>
      <w:bookmarkEnd w:id="606"/>
    </w:p>
    <w:p w14:paraId="14C7D133">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07" w:name="_Toc60061482"/>
      <w:bookmarkStart w:id="608" w:name="_Toc83301736"/>
      <w:bookmarkStart w:id="609" w:name="_Toc95223385"/>
      <w:r>
        <w:rPr>
          <w:rFonts w:hint="eastAsia" w:ascii="宋体" w:hAnsi="宋体" w:eastAsia="宋体" w:cs="宋体"/>
          <w:b/>
          <w:bCs/>
          <w:color w:val="auto"/>
          <w:kern w:val="2"/>
          <w:sz w:val="21"/>
          <w:szCs w:val="32"/>
          <w:highlight w:val="none"/>
          <w:lang w:val="en-US" w:eastAsia="zh-CN" w:bidi="ar-SA"/>
        </w:rPr>
        <w:t>9.1 对招标人的纪律要求</w:t>
      </w:r>
      <w:bookmarkEnd w:id="607"/>
      <w:bookmarkEnd w:id="608"/>
      <w:bookmarkEnd w:id="609"/>
    </w:p>
    <w:p w14:paraId="119C51A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3C8C8762">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0" w:name="_Toc83301737"/>
      <w:bookmarkStart w:id="611" w:name="_Toc60061483"/>
      <w:bookmarkStart w:id="612" w:name="_Toc95223386"/>
      <w:r>
        <w:rPr>
          <w:rFonts w:hint="eastAsia" w:ascii="宋体" w:hAnsi="宋体" w:eastAsia="宋体" w:cs="宋体"/>
          <w:b/>
          <w:bCs/>
          <w:color w:val="auto"/>
          <w:kern w:val="2"/>
          <w:sz w:val="21"/>
          <w:szCs w:val="32"/>
          <w:highlight w:val="none"/>
          <w:lang w:val="en-US" w:eastAsia="zh-CN" w:bidi="ar-SA"/>
        </w:rPr>
        <w:t>9.2 对投标人的纪律要求</w:t>
      </w:r>
      <w:bookmarkEnd w:id="610"/>
      <w:bookmarkEnd w:id="611"/>
      <w:bookmarkEnd w:id="612"/>
    </w:p>
    <w:p w14:paraId="00F1AF1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E1E098">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3" w:name="_Toc95223387"/>
      <w:bookmarkStart w:id="614" w:name="_Toc83301738"/>
      <w:bookmarkStart w:id="615" w:name="_Toc60061484"/>
      <w:r>
        <w:rPr>
          <w:rFonts w:hint="eastAsia" w:ascii="宋体" w:hAnsi="宋体" w:eastAsia="宋体" w:cs="宋体"/>
          <w:b/>
          <w:bCs/>
          <w:color w:val="auto"/>
          <w:kern w:val="2"/>
          <w:sz w:val="21"/>
          <w:szCs w:val="32"/>
          <w:highlight w:val="none"/>
          <w:lang w:val="en-US" w:eastAsia="zh-CN" w:bidi="ar-SA"/>
        </w:rPr>
        <w:t>9.3 对评标委员会成员的纪律要求</w:t>
      </w:r>
      <w:bookmarkEnd w:id="613"/>
      <w:bookmarkEnd w:id="614"/>
      <w:bookmarkEnd w:id="615"/>
    </w:p>
    <w:p w14:paraId="5018AC3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3BD01A9">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6" w:name="_Toc83301739"/>
      <w:bookmarkStart w:id="617" w:name="_Toc60061485"/>
      <w:bookmarkStart w:id="618" w:name="_Toc95223388"/>
      <w:r>
        <w:rPr>
          <w:rFonts w:hint="eastAsia" w:ascii="宋体" w:hAnsi="宋体" w:eastAsia="宋体" w:cs="宋体"/>
          <w:b/>
          <w:bCs/>
          <w:color w:val="auto"/>
          <w:kern w:val="2"/>
          <w:sz w:val="21"/>
          <w:szCs w:val="32"/>
          <w:highlight w:val="none"/>
          <w:lang w:val="en-US" w:eastAsia="zh-CN" w:bidi="ar-SA"/>
        </w:rPr>
        <w:t>9.4 对与评标活动有关的工作人员的纪律要求</w:t>
      </w:r>
      <w:bookmarkEnd w:id="616"/>
      <w:bookmarkEnd w:id="617"/>
      <w:bookmarkEnd w:id="618"/>
    </w:p>
    <w:p w14:paraId="7B585B7E">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DA0E663">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9" w:name="_Toc60061486"/>
      <w:bookmarkStart w:id="620" w:name="_Toc95223389"/>
      <w:bookmarkStart w:id="621" w:name="_Toc83301740"/>
      <w:r>
        <w:rPr>
          <w:rFonts w:hint="eastAsia" w:ascii="宋体" w:hAnsi="宋体" w:eastAsia="宋体" w:cs="宋体"/>
          <w:b/>
          <w:bCs/>
          <w:color w:val="auto"/>
          <w:kern w:val="2"/>
          <w:sz w:val="21"/>
          <w:szCs w:val="32"/>
          <w:highlight w:val="none"/>
          <w:lang w:val="en-US" w:eastAsia="zh-CN" w:bidi="ar-SA"/>
        </w:rPr>
        <w:t>9.5 投诉</w:t>
      </w:r>
      <w:bookmarkEnd w:id="619"/>
      <w:bookmarkEnd w:id="620"/>
      <w:bookmarkEnd w:id="621"/>
    </w:p>
    <w:p w14:paraId="5243C28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BC9B31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9.5.2投标人和其他利害关系人对招标文件、开标和评标结果事项投诉的，应当按照投标人须知的规定先向招标人提出异议。异议答复期间不计算在第9.5.1</w:t>
      </w:r>
      <w:r>
        <w:rPr>
          <w:rFonts w:hint="eastAsia"/>
          <w:color w:val="auto"/>
          <w:highlight w:val="none"/>
        </w:rPr>
        <w:t>项</w:t>
      </w:r>
      <w:r>
        <w:rPr>
          <w:rFonts w:hint="eastAsia" w:ascii="宋体" w:hAnsi="宋体" w:cs="宋体"/>
          <w:color w:val="auto"/>
          <w:szCs w:val="21"/>
          <w:highlight w:val="none"/>
        </w:rPr>
        <w:t>规定的期限内。</w:t>
      </w:r>
    </w:p>
    <w:p w14:paraId="18D6B2F4">
      <w:pPr>
        <w:pStyle w:val="4"/>
        <w:spacing w:beforeLines="50" w:afterLines="50"/>
        <w:ind w:firstLine="482" w:firstLineChars="200"/>
        <w:rPr>
          <w:rFonts w:hint="eastAsia" w:ascii="宋体" w:hAnsi="宋体" w:eastAsia="宋体" w:cs="宋体"/>
          <w:color w:val="auto"/>
          <w:sz w:val="24"/>
          <w:szCs w:val="24"/>
          <w:highlight w:val="none"/>
        </w:rPr>
      </w:pPr>
      <w:bookmarkStart w:id="622" w:name="_Toc95223390"/>
      <w:bookmarkStart w:id="623" w:name="_Toc60061487"/>
      <w:bookmarkStart w:id="624" w:name="_Toc83301741"/>
      <w:r>
        <w:rPr>
          <w:rFonts w:hint="eastAsia" w:ascii="宋体" w:hAnsi="宋体" w:eastAsia="宋体" w:cs="宋体"/>
          <w:color w:val="auto"/>
          <w:sz w:val="24"/>
          <w:szCs w:val="24"/>
          <w:highlight w:val="none"/>
        </w:rPr>
        <w:t>10.需要补充的其他内容</w:t>
      </w:r>
      <w:bookmarkEnd w:id="622"/>
      <w:bookmarkEnd w:id="623"/>
      <w:bookmarkEnd w:id="624"/>
      <w:bookmarkStart w:id="625" w:name="_Toc60061488"/>
    </w:p>
    <w:p w14:paraId="705ED85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bookmarkEnd w:id="625"/>
    </w:p>
    <w:p w14:paraId="28EEE735">
      <w:pPr>
        <w:pStyle w:val="4"/>
        <w:spacing w:beforeLines="50" w:afterLines="50"/>
        <w:ind w:firstLine="482" w:firstLineChars="200"/>
        <w:rPr>
          <w:rFonts w:ascii="宋体" w:hAnsi="宋体" w:eastAsia="宋体" w:cs="宋体"/>
          <w:color w:val="auto"/>
          <w:sz w:val="24"/>
          <w:szCs w:val="24"/>
          <w:highlight w:val="none"/>
        </w:rPr>
      </w:pPr>
    </w:p>
    <w:bookmarkEnd w:id="577"/>
    <w:bookmarkEnd w:id="578"/>
    <w:bookmarkEnd w:id="579"/>
    <w:bookmarkEnd w:id="587"/>
    <w:bookmarkEnd w:id="588"/>
    <w:bookmarkEnd w:id="589"/>
    <w:p w14:paraId="1848214F">
      <w:pPr>
        <w:pStyle w:val="3"/>
        <w:rPr>
          <w:color w:val="auto"/>
          <w:highlight w:val="none"/>
        </w:rPr>
      </w:pPr>
      <w:bookmarkStart w:id="626" w:name="_Toc324404864"/>
      <w:bookmarkStart w:id="627" w:name="_Toc35424939"/>
      <w:bookmarkStart w:id="628" w:name="_Toc35425105"/>
      <w:bookmarkStart w:id="629" w:name="_Toc15058902"/>
      <w:bookmarkStart w:id="630" w:name="_Toc506107317"/>
      <w:bookmarkStart w:id="631" w:name="_Toc296602475"/>
      <w:r>
        <w:rPr>
          <w:color w:val="auto"/>
          <w:highlight w:val="none"/>
        </w:rPr>
        <w:br w:type="page"/>
      </w:r>
      <w:bookmarkStart w:id="632" w:name="_Toc18840"/>
      <w:r>
        <w:rPr>
          <w:rFonts w:hint="eastAsia" w:ascii="Arial" w:hAnsi="Arial"/>
          <w:color w:val="auto"/>
          <w:kern w:val="0"/>
          <w:sz w:val="32"/>
          <w:szCs w:val="32"/>
          <w:highlight w:val="none"/>
        </w:rPr>
        <w:t>第二章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资格审查</w:t>
      </w:r>
      <w:bookmarkEnd w:id="626"/>
      <w:r>
        <w:rPr>
          <w:rFonts w:hint="eastAsia" w:ascii="Arial" w:hAnsi="Arial"/>
          <w:color w:val="auto"/>
          <w:kern w:val="0"/>
          <w:sz w:val="32"/>
          <w:szCs w:val="32"/>
          <w:highlight w:val="none"/>
        </w:rPr>
        <w:t>办法</w:t>
      </w:r>
      <w:bookmarkEnd w:id="627"/>
      <w:bookmarkEnd w:id="628"/>
      <w:bookmarkEnd w:id="629"/>
      <w:bookmarkEnd w:id="630"/>
      <w:bookmarkEnd w:id="632"/>
    </w:p>
    <w:p w14:paraId="64BD181E">
      <w:pPr>
        <w:spacing w:beforeLines="50" w:afterLines="50" w:line="440" w:lineRule="exact"/>
        <w:jc w:val="center"/>
        <w:rPr>
          <w:rFonts w:ascii="宋体" w:cs="宋体"/>
          <w:b/>
          <w:bCs/>
          <w:color w:val="auto"/>
          <w:sz w:val="28"/>
          <w:szCs w:val="22"/>
          <w:highlight w:val="none"/>
        </w:rPr>
      </w:pPr>
      <w:bookmarkStart w:id="633" w:name="_Toc324404865"/>
      <w:bookmarkStart w:id="634" w:name="_Toc15058903"/>
      <w:bookmarkStart w:id="635" w:name="_Toc35424940"/>
      <w:bookmarkStart w:id="636" w:name="_Toc35425106"/>
      <w:bookmarkStart w:id="637" w:name="_Toc506107318"/>
      <w:r>
        <w:rPr>
          <w:rFonts w:hint="eastAsia" w:ascii="宋体" w:hAnsi="宋体" w:cs="宋体"/>
          <w:b/>
          <w:bCs/>
          <w:color w:val="auto"/>
          <w:sz w:val="28"/>
          <w:szCs w:val="22"/>
          <w:highlight w:val="none"/>
        </w:rPr>
        <w:t>资格审查办法前附表</w:t>
      </w:r>
      <w:bookmarkEnd w:id="633"/>
      <w:bookmarkEnd w:id="634"/>
      <w:bookmarkEnd w:id="635"/>
      <w:bookmarkEnd w:id="636"/>
      <w:bookmarkEnd w:id="637"/>
    </w:p>
    <w:p w14:paraId="2B36D0D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A3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vAlign w:val="center"/>
          </w:tcPr>
          <w:p w14:paraId="6E0DAD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序号</w:t>
            </w:r>
          </w:p>
        </w:tc>
        <w:tc>
          <w:tcPr>
            <w:tcW w:w="6183" w:type="dxa"/>
            <w:vAlign w:val="center"/>
          </w:tcPr>
          <w:p w14:paraId="4B8833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审查内容</w:t>
            </w:r>
          </w:p>
        </w:tc>
        <w:tc>
          <w:tcPr>
            <w:tcW w:w="1860" w:type="dxa"/>
            <w:vAlign w:val="center"/>
          </w:tcPr>
          <w:p w14:paraId="52C416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评审标准</w:t>
            </w:r>
          </w:p>
        </w:tc>
      </w:tr>
      <w:tr w14:paraId="1B17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vAlign w:val="center"/>
          </w:tcPr>
          <w:p w14:paraId="25CD6B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r>
              <w:rPr>
                <w:rFonts w:ascii="宋体" w:hAnsi="宋体" w:cs="宋体"/>
                <w:color w:val="auto"/>
                <w:szCs w:val="21"/>
                <w:highlight w:val="none"/>
              </w:rPr>
              <w:t>1</w:t>
            </w:r>
          </w:p>
        </w:tc>
        <w:tc>
          <w:tcPr>
            <w:tcW w:w="1258" w:type="dxa"/>
            <w:vMerge w:val="restart"/>
            <w:vAlign w:val="center"/>
          </w:tcPr>
          <w:p w14:paraId="6AB153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审查资料</w:t>
            </w:r>
          </w:p>
        </w:tc>
        <w:tc>
          <w:tcPr>
            <w:tcW w:w="6183" w:type="dxa"/>
            <w:vAlign w:val="center"/>
          </w:tcPr>
          <w:p w14:paraId="686888C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p>
        </w:tc>
        <w:tc>
          <w:tcPr>
            <w:tcW w:w="1860" w:type="dxa"/>
            <w:vAlign w:val="center"/>
          </w:tcPr>
          <w:p w14:paraId="7205F1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color w:val="auto"/>
                <w:szCs w:val="21"/>
                <w:highlight w:val="none"/>
              </w:rPr>
            </w:pPr>
            <w:r>
              <w:rPr>
                <w:rFonts w:hint="eastAsia" w:ascii="宋体" w:hAnsi="宋体" w:cs="宋体"/>
                <w:b/>
                <w:color w:val="auto"/>
                <w:szCs w:val="21"/>
                <w:highlight w:val="none"/>
              </w:rPr>
              <w:t>检验电子标书</w:t>
            </w:r>
          </w:p>
        </w:tc>
      </w:tr>
      <w:tr w14:paraId="4C6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1D9267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7BBD8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3657C22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r>
              <w:rPr>
                <w:rFonts w:hint="eastAsia" w:ascii="宋体" w:hAnsi="宋体" w:cs="宋体"/>
                <w:color w:val="auto"/>
                <w:szCs w:val="21"/>
                <w:highlight w:val="none"/>
                <w:lang w:eastAsia="zh-CN"/>
              </w:rPr>
              <w:t>诚信投标承诺书（或《公共信用信息报告（无违法违规证明版或核查版）》）（</w:t>
            </w:r>
            <w:r>
              <w:rPr>
                <w:rFonts w:hint="eastAsia" w:ascii="宋体" w:hAnsi="宋体" w:cs="宋体"/>
                <w:color w:val="auto"/>
                <w:szCs w:val="21"/>
                <w:highlight w:val="none"/>
                <w:lang w:val="en-US" w:eastAsia="zh-CN"/>
              </w:rPr>
              <w:t>格式见附件）</w:t>
            </w:r>
          </w:p>
        </w:tc>
        <w:tc>
          <w:tcPr>
            <w:tcW w:w="1860" w:type="dxa"/>
            <w:vMerge w:val="restart"/>
            <w:vAlign w:val="center"/>
          </w:tcPr>
          <w:p w14:paraId="0906A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color w:val="auto"/>
                <w:szCs w:val="21"/>
                <w:highlight w:val="none"/>
              </w:rPr>
            </w:pPr>
            <w:r>
              <w:rPr>
                <w:rFonts w:hint="eastAsia" w:ascii="宋体" w:hAnsi="宋体" w:cs="宋体"/>
                <w:b/>
                <w:color w:val="auto"/>
                <w:szCs w:val="21"/>
                <w:highlight w:val="none"/>
              </w:rPr>
              <w:t>检验电子标书</w:t>
            </w:r>
          </w:p>
        </w:tc>
      </w:tr>
      <w:tr w14:paraId="3A8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42F624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57EB40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32885C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企业营业执照</w:t>
            </w:r>
          </w:p>
        </w:tc>
        <w:tc>
          <w:tcPr>
            <w:tcW w:w="1860" w:type="dxa"/>
            <w:vMerge w:val="continue"/>
            <w:vAlign w:val="center"/>
          </w:tcPr>
          <w:p w14:paraId="528596E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b/>
                <w:color w:val="auto"/>
                <w:szCs w:val="21"/>
                <w:highlight w:val="none"/>
              </w:rPr>
            </w:pPr>
          </w:p>
        </w:tc>
      </w:tr>
      <w:tr w14:paraId="00E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4AA635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5976CA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552170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vAlign w:val="center"/>
          </w:tcPr>
          <w:p w14:paraId="7C95CC2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b/>
                <w:color w:val="auto"/>
                <w:szCs w:val="21"/>
                <w:highlight w:val="none"/>
              </w:rPr>
            </w:pPr>
          </w:p>
        </w:tc>
      </w:tr>
      <w:tr w14:paraId="4360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41DA91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29027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5323F81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eastAsia="宋体" w:cs="宋体"/>
                <w:color w:val="auto"/>
                <w:szCs w:val="21"/>
                <w:highlight w:val="none"/>
                <w:lang w:val="en-US" w:eastAsia="zh-CN"/>
              </w:rPr>
            </w:pP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tc>
        <w:tc>
          <w:tcPr>
            <w:tcW w:w="1860" w:type="dxa"/>
            <w:vMerge w:val="continue"/>
            <w:vAlign w:val="center"/>
          </w:tcPr>
          <w:p w14:paraId="6C46F8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364A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2147E6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405F9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2F6A6A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highlight w:val="none"/>
              </w:rPr>
            </w:pP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color w:val="auto"/>
                <w:szCs w:val="21"/>
                <w:highlight w:val="none"/>
                <w:lang w:val="en-US" w:eastAsia="zh-CN"/>
              </w:rPr>
              <w:t>承诺函</w:t>
            </w:r>
            <w:r>
              <w:rPr>
                <w:rFonts w:hint="eastAsia" w:ascii="宋体" w:hAnsi="宋体" w:cs="宋体"/>
                <w:color w:val="auto"/>
                <w:szCs w:val="21"/>
                <w:highlight w:val="none"/>
              </w:rPr>
              <w:t>（格式见附件）</w:t>
            </w:r>
          </w:p>
        </w:tc>
        <w:tc>
          <w:tcPr>
            <w:tcW w:w="1860" w:type="dxa"/>
            <w:vMerge w:val="continue"/>
            <w:vAlign w:val="center"/>
          </w:tcPr>
          <w:p w14:paraId="134A65D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7971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54C162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BE97C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tcPr>
          <w:p w14:paraId="4471EF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56068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eastAsia="宋体" w:cs="宋体"/>
                <w:color w:val="auto"/>
                <w:highlight w:val="none"/>
                <w:lang w:val="en-US" w:eastAsia="zh-CN"/>
              </w:rPr>
            </w:pPr>
            <w:r>
              <w:rPr>
                <w:rFonts w:hint="eastAsia" w:ascii="宋体" w:hAnsi="宋体" w:eastAsia="宋体" w:cs="宋体"/>
                <w:b/>
                <w:bCs/>
                <w:color w:val="auto"/>
                <w:szCs w:val="21"/>
                <w:highlight w:val="none"/>
                <w:lang w:val="en-US" w:eastAsia="zh-CN"/>
              </w:rPr>
              <w:t>注：若项目负责人为退休人员，可用下列材料代替招标文件要求的养老保险材料;①退休证明材料；②</w:t>
            </w:r>
            <w:r>
              <w:rPr>
                <w:rFonts w:hint="eastAsia" w:ascii="宋体" w:hAnsi="宋体" w:eastAsia="宋体" w:cs="宋体"/>
                <w:b/>
                <w:bCs/>
                <w:color w:val="auto"/>
                <w:kern w:val="2"/>
                <w:sz w:val="21"/>
                <w:szCs w:val="21"/>
                <w:highlight w:val="none"/>
                <w:u w:val="none" w:color="auto"/>
                <w:lang w:val="en-US" w:eastAsia="zh-CN" w:bidi="ar-SA"/>
              </w:rPr>
              <w:t>与投标人签订的聘用（返聘）合同</w:t>
            </w:r>
            <w:r>
              <w:rPr>
                <w:rFonts w:hint="eastAsia" w:ascii="宋体" w:hAnsi="宋体" w:eastAsia="宋体" w:cs="宋体"/>
                <w:b/>
                <w:bCs/>
                <w:color w:val="auto"/>
                <w:szCs w:val="21"/>
                <w:highlight w:val="none"/>
                <w:lang w:val="en-US" w:eastAsia="zh-CN"/>
              </w:rPr>
              <w:t>；③拟派人员社保卡所在银行出具的近三个月连续的退休工资流水；④拟派人员工资卡所在银行出具的最近三个月连续的工资流水和投标单位出具的拟派人员工资表（加盖投标单位公章）</w:t>
            </w:r>
          </w:p>
        </w:tc>
        <w:tc>
          <w:tcPr>
            <w:tcW w:w="1860" w:type="dxa"/>
            <w:vMerge w:val="continue"/>
            <w:vAlign w:val="center"/>
          </w:tcPr>
          <w:p w14:paraId="63657E4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24B8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75AF70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BBA63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1016E41A">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宋体" w:eastAsia="宋体" w:cs="宋体"/>
                <w:color w:val="auto"/>
                <w:szCs w:val="21"/>
                <w:highlight w:val="none"/>
                <w:lang w:val="en-US" w:eastAsia="zh-CN"/>
              </w:rPr>
            </w:pPr>
            <w:r>
              <w:rPr>
                <w:rFonts w:hint="eastAsia" w:hAnsi="宋体" w:cs="宋体"/>
                <w:b/>
                <w:bCs/>
                <w:color w:val="auto"/>
                <w:sz w:val="21"/>
                <w:szCs w:val="21"/>
                <w:highlight w:val="none"/>
                <w:lang w:val="en-US" w:eastAsia="zh-CN"/>
              </w:rPr>
              <w:t>监理机构人员名单（格式自拟，须明确岗位并体现姓名、联系方式、身份证号码）</w:t>
            </w:r>
            <w:r>
              <w:rPr>
                <w:rFonts w:hint="eastAsia" w:hAnsi="宋体" w:cs="宋体"/>
                <w:b/>
                <w:bCs/>
                <w:color w:val="auto"/>
                <w:sz w:val="21"/>
                <w:szCs w:val="21"/>
                <w:highlight w:val="none"/>
                <w:lang w:val="en-US" w:eastAsia="zh-CN"/>
              </w:rPr>
              <w:br w:type="textWrapping"/>
            </w:r>
            <w:r>
              <w:rPr>
                <w:rFonts w:hint="eastAsia" w:hAnsi="宋体" w:cs="宋体"/>
                <w:b/>
                <w:bCs/>
                <w:color w:val="auto"/>
                <w:sz w:val="21"/>
                <w:szCs w:val="21"/>
                <w:highlight w:val="none"/>
                <w:lang w:val="en-US" w:eastAsia="zh-CN"/>
              </w:rPr>
              <w:t>注：项目进场时提供的人员须与此名单人员保持一致。</w:t>
            </w:r>
          </w:p>
        </w:tc>
        <w:tc>
          <w:tcPr>
            <w:tcW w:w="1860" w:type="dxa"/>
            <w:vMerge w:val="continue"/>
            <w:vAlign w:val="center"/>
          </w:tcPr>
          <w:p w14:paraId="659748C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42D8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522AEC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6BBF7E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42ABCE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总监理工程师代表及</w:t>
            </w:r>
            <w:r>
              <w:rPr>
                <w:rFonts w:hint="eastAsia"/>
                <w:b w:val="0"/>
                <w:bCs w:val="0"/>
                <w:color w:val="auto"/>
                <w:highlight w:val="none"/>
              </w:rPr>
              <w:t>专业监理工程师</w:t>
            </w:r>
            <w:r>
              <w:rPr>
                <w:rFonts w:hint="eastAsia"/>
                <w:b w:val="0"/>
                <w:bCs w:val="0"/>
                <w:color w:val="auto"/>
                <w:highlight w:val="none"/>
                <w:lang w:val="en-US" w:eastAsia="zh-CN"/>
              </w:rPr>
              <w:t>证书</w:t>
            </w:r>
          </w:p>
          <w:p w14:paraId="18C0AC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b/>
                <w:bCs/>
                <w:color w:val="auto"/>
                <w:highlight w:val="none"/>
                <w:lang w:val="en-US" w:eastAsia="zh-CN"/>
              </w:rPr>
            </w:pPr>
            <w:r>
              <w:rPr>
                <w:rFonts w:hint="eastAsia"/>
                <w:b/>
                <w:bCs/>
                <w:color w:val="auto"/>
                <w:highlight w:val="none"/>
                <w:lang w:val="en-US" w:eastAsia="zh-CN"/>
              </w:rPr>
              <w:t>①专业以注册专业(或学历专业或职称专业）为准，以学历专业（或职称专业）证明其专业的，还须提供学历</w:t>
            </w:r>
            <w:r>
              <w:rPr>
                <w:rFonts w:hint="eastAsia" w:ascii="Times New Roman" w:hAnsi="Times New Roman" w:cs="Times New Roman"/>
                <w:b/>
                <w:bCs/>
                <w:color w:val="auto"/>
                <w:highlight w:val="none"/>
                <w:lang w:val="en-US" w:eastAsia="zh-CN"/>
              </w:rPr>
              <w:t>证书(或职称证书）。</w:t>
            </w:r>
          </w:p>
          <w:p w14:paraId="3164C5CD">
            <w:pPr>
              <w:pStyle w:val="4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②专业监理工程师可以采用国家级注册监理工程师代替，但其专业应满足上述要求。</w:t>
            </w:r>
          </w:p>
          <w:p w14:paraId="470F3F18">
            <w:pPr>
              <w:rPr>
                <w:rFonts w:hint="default"/>
                <w:color w:val="auto"/>
                <w:highlight w:val="none"/>
                <w:lang w:val="en-US"/>
              </w:rPr>
            </w:pPr>
            <w:r>
              <w:rPr>
                <w:rFonts w:hint="default" w:hAnsi="宋体" w:cs="宋体"/>
                <w:b/>
                <w:bCs/>
                <w:color w:val="auto"/>
                <w:sz w:val="21"/>
                <w:szCs w:val="21"/>
                <w:highlight w:val="none"/>
                <w:lang w:val="en-US" w:eastAsia="zh-CN"/>
              </w:rPr>
              <w:t>③</w:t>
            </w:r>
            <w:r>
              <w:rPr>
                <w:rFonts w:hint="eastAsia" w:hAnsi="宋体" w:cs="宋体"/>
                <w:b/>
                <w:bCs/>
                <w:color w:val="auto"/>
                <w:sz w:val="21"/>
                <w:szCs w:val="21"/>
                <w:highlight w:val="none"/>
                <w:lang w:val="en-US" w:eastAsia="zh-CN"/>
              </w:rPr>
              <w:t>总监工程师代表可以由符合要求的专业监理工程师兼任。</w:t>
            </w:r>
          </w:p>
        </w:tc>
        <w:tc>
          <w:tcPr>
            <w:tcW w:w="1860" w:type="dxa"/>
            <w:vMerge w:val="continue"/>
            <w:vAlign w:val="center"/>
          </w:tcPr>
          <w:p w14:paraId="0A808E1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bl>
    <w:p w14:paraId="1D15CC42">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重要提示：</w:t>
      </w:r>
    </w:p>
    <w:p w14:paraId="6C83522A">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05C6A3AB">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）评标专家在检验电子标书过程中，如果由于投标人自身原因导致评标专家无法查看并检验电子标书中以上相关资料的，视为无效标处理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即使投标人将原件携带至现场的，同样按无效标处理。</w:t>
      </w:r>
    </w:p>
    <w:p w14:paraId="3528F857">
      <w:pPr>
        <w:pStyle w:val="4"/>
        <w:spacing w:beforeLines="50" w:afterLines="50"/>
        <w:ind w:firstLine="422" w:firstLineChars="200"/>
        <w:rPr>
          <w:rFonts w:ascii="宋体" w:hAnsi="宋体" w:eastAsia="宋体" w:cs="宋体"/>
          <w:color w:val="auto"/>
          <w:highlight w:val="none"/>
        </w:rPr>
      </w:pPr>
      <w:bookmarkStart w:id="638" w:name="_Toc27127"/>
      <w:bookmarkStart w:id="639" w:name="_Toc15058904"/>
      <w:bookmarkStart w:id="640" w:name="_Toc324404866"/>
      <w:bookmarkStart w:id="641" w:name="_Toc506107319"/>
      <w:bookmarkStart w:id="642" w:name="_Toc35424941"/>
      <w:bookmarkStart w:id="643" w:name="_Toc35425107"/>
      <w:r>
        <w:rPr>
          <w:rFonts w:ascii="宋体" w:hAnsi="宋体" w:eastAsia="宋体" w:cs="宋体"/>
          <w:color w:val="auto"/>
          <w:highlight w:val="none"/>
        </w:rPr>
        <w:t>1.</w:t>
      </w:r>
      <w:r>
        <w:rPr>
          <w:rFonts w:hint="eastAsia" w:ascii="宋体" w:hAnsi="宋体" w:eastAsia="宋体" w:cs="宋体"/>
          <w:color w:val="auto"/>
          <w:highlight w:val="none"/>
        </w:rPr>
        <w:t>审查资料</w:t>
      </w:r>
      <w:bookmarkEnd w:id="638"/>
      <w:bookmarkEnd w:id="639"/>
      <w:bookmarkEnd w:id="640"/>
      <w:bookmarkEnd w:id="641"/>
      <w:bookmarkEnd w:id="642"/>
      <w:bookmarkEnd w:id="643"/>
    </w:p>
    <w:p w14:paraId="6ABD1E83">
      <w:pPr>
        <w:spacing w:line="440" w:lineRule="exact"/>
        <w:ind w:firstLine="420" w:firstLineChars="200"/>
        <w:jc w:val="left"/>
        <w:rPr>
          <w:rFonts w:ascii="宋体" w:cs="宋体"/>
          <w:color w:val="auto"/>
          <w:szCs w:val="21"/>
          <w:highlight w:val="none"/>
        </w:rPr>
      </w:pPr>
      <w:bookmarkStart w:id="644" w:name="_Toc15058905"/>
      <w:bookmarkStart w:id="645" w:name="_Toc324404867"/>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473C89DF">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47902815">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1E17B864">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4107D663">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091279F5">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无在建</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6752D0A5">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4315065">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szCs w:val="21"/>
          <w:highlight w:val="none"/>
          <w:lang w:val="en-US" w:eastAsia="zh-CN"/>
        </w:rPr>
        <w:t>监理机构人员名单（格式自拟）；</w:t>
      </w:r>
    </w:p>
    <w:p w14:paraId="0528BB91">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9）总监理工程师代表及专业监理工程师证书。</w:t>
      </w:r>
    </w:p>
    <w:p w14:paraId="6F9DDEB6">
      <w:pPr>
        <w:spacing w:line="440" w:lineRule="exact"/>
        <w:ind w:firstLine="422" w:firstLineChars="200"/>
        <w:jc w:val="left"/>
        <w:rPr>
          <w:rFonts w:ascii="宋体" w:cs="宋体"/>
          <w:b/>
          <w:bCs/>
          <w:color w:val="auto"/>
          <w:highlight w:val="none"/>
        </w:rPr>
      </w:pPr>
      <w:r>
        <w:rPr>
          <w:rFonts w:hint="eastAsia" w:ascii="宋体" w:hAnsi="宋体" w:cs="宋体"/>
          <w:b/>
          <w:bCs/>
          <w:color w:val="auto"/>
          <w:highlight w:val="none"/>
        </w:rPr>
        <w:t>温馨提示：</w:t>
      </w:r>
      <w:bookmarkEnd w:id="644"/>
    </w:p>
    <w:p w14:paraId="2404C893">
      <w:pPr>
        <w:spacing w:line="440" w:lineRule="exact"/>
        <w:ind w:firstLine="420" w:firstLineChars="200"/>
        <w:jc w:val="left"/>
        <w:rPr>
          <w:rFonts w:hint="eastAsia" w:ascii="宋体" w:cs="宋体"/>
          <w:b w:val="0"/>
          <w:bCs w:val="0"/>
          <w:color w:val="auto"/>
          <w:highlight w:val="none"/>
        </w:rPr>
      </w:pPr>
      <w:bookmarkStart w:id="646" w:name="_Toc15058906"/>
      <w:bookmarkStart w:id="647" w:name="_Toc58229031"/>
      <w:r>
        <w:rPr>
          <w:rFonts w:hint="eastAsia" w:ascii="宋体" w:cs="宋体"/>
          <w:b w:val="0"/>
          <w:bCs w:val="0"/>
          <w:color w:val="auto"/>
          <w:highlight w:val="none"/>
        </w:rPr>
        <w:t>（1）</w:t>
      </w:r>
      <w:bookmarkEnd w:id="646"/>
      <w:bookmarkEnd w:id="647"/>
      <w:bookmarkStart w:id="648" w:name="_Toc58229032"/>
      <w:bookmarkStart w:id="649" w:name="_Toc15058907"/>
      <w:r>
        <w:rPr>
          <w:rFonts w:hint="eastAsia" w:ascii="宋体" w:cs="宋体"/>
          <w:b w:val="0"/>
          <w:bCs w:val="0"/>
          <w:color w:val="auto"/>
          <w:highlight w:val="none"/>
        </w:rPr>
        <w:t>请各投标人自行完善安徽省公共资源交易市场主体库中的单位基本信息，保证信息最新且有效。</w:t>
      </w:r>
    </w:p>
    <w:p w14:paraId="6F8D4A9F">
      <w:pPr>
        <w:spacing w:line="440" w:lineRule="exact"/>
        <w:ind w:firstLine="420" w:firstLineChars="200"/>
        <w:jc w:val="left"/>
        <w:rPr>
          <w:rFonts w:ascii="宋体" w:cs="宋体"/>
          <w:b w:val="0"/>
          <w:bCs w:val="0"/>
          <w:color w:val="auto"/>
          <w:highlight w:val="none"/>
        </w:rPr>
      </w:pPr>
      <w:r>
        <w:rPr>
          <w:rFonts w:hint="eastAsia" w:ascii="宋体" w:cs="宋体"/>
          <w:b w:val="0"/>
          <w:bCs w:val="0"/>
          <w:color w:val="auto"/>
          <w:highlight w:val="none"/>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bookmarkEnd w:id="648"/>
      <w:bookmarkEnd w:id="649"/>
    </w:p>
    <w:p w14:paraId="28B138DA">
      <w:pPr>
        <w:pStyle w:val="4"/>
        <w:spacing w:beforeLines="50" w:afterLines="50"/>
        <w:ind w:firstLine="422" w:firstLineChars="200"/>
        <w:rPr>
          <w:rFonts w:ascii="宋体" w:hAnsi="宋体" w:eastAsia="宋体" w:cs="宋体"/>
          <w:color w:val="auto"/>
          <w:highlight w:val="none"/>
        </w:rPr>
      </w:pPr>
      <w:bookmarkStart w:id="650" w:name="_Toc35424942"/>
      <w:bookmarkStart w:id="651" w:name="_Toc15058909"/>
      <w:bookmarkStart w:id="652" w:name="_Toc12549"/>
      <w:bookmarkStart w:id="653" w:name="_Toc35425108"/>
      <w:bookmarkStart w:id="654" w:name="_Toc506107320"/>
      <w:r>
        <w:rPr>
          <w:rFonts w:ascii="宋体" w:hAnsi="宋体" w:eastAsia="宋体" w:cs="宋体"/>
          <w:color w:val="auto"/>
          <w:highlight w:val="none"/>
        </w:rPr>
        <w:t>2.</w:t>
      </w:r>
      <w:r>
        <w:rPr>
          <w:rFonts w:hint="eastAsia" w:ascii="宋体" w:hAnsi="宋体" w:eastAsia="宋体" w:cs="宋体"/>
          <w:color w:val="auto"/>
          <w:highlight w:val="none"/>
        </w:rPr>
        <w:t>审查办法</w:t>
      </w:r>
      <w:bookmarkEnd w:id="645"/>
      <w:bookmarkEnd w:id="650"/>
      <w:bookmarkEnd w:id="651"/>
      <w:bookmarkEnd w:id="652"/>
      <w:bookmarkEnd w:id="653"/>
      <w:bookmarkEnd w:id="654"/>
    </w:p>
    <w:p w14:paraId="5C929E8C">
      <w:pPr>
        <w:pStyle w:val="4"/>
        <w:spacing w:beforeLines="50" w:afterLines="50"/>
        <w:ind w:firstLine="420" w:firstLineChars="200"/>
        <w:rPr>
          <w:rFonts w:hint="eastAsia" w:ascii="宋体" w:hAnsi="宋体" w:eastAsia="宋体" w:cs="宋体"/>
          <w:b w:val="0"/>
          <w:bCs w:val="0"/>
          <w:color w:val="auto"/>
          <w:kern w:val="2"/>
          <w:sz w:val="21"/>
          <w:szCs w:val="21"/>
          <w:highlight w:val="none"/>
          <w:lang w:val="en-US" w:eastAsia="zh-CN" w:bidi="ar-SA"/>
        </w:rPr>
      </w:pPr>
      <w:bookmarkStart w:id="655" w:name="_Toc15626"/>
      <w:bookmarkStart w:id="656" w:name="_Toc506107321"/>
      <w:bookmarkStart w:id="657" w:name="_Toc35424943"/>
      <w:bookmarkStart w:id="658" w:name="_Toc324404868"/>
      <w:bookmarkStart w:id="659" w:name="_Toc35425109"/>
      <w:bookmarkStart w:id="660" w:name="_Toc15058910"/>
      <w:r>
        <w:rPr>
          <w:rFonts w:hint="eastAsia" w:ascii="宋体" w:hAnsi="宋体" w:eastAsia="宋体" w:cs="宋体"/>
          <w:b w:val="0"/>
          <w:bCs w:val="0"/>
          <w:color w:val="auto"/>
          <w:kern w:val="2"/>
          <w:sz w:val="21"/>
          <w:szCs w:val="21"/>
          <w:highlight w:val="none"/>
          <w:lang w:val="en-US" w:eastAsia="zh-CN" w:bidi="ar-SA"/>
        </w:rPr>
        <w:t>由资格审查委员会（评标委员会）按资格审查办法前附表中资格审查必要合格条件评审表要求对投标人审查资料进行核验。</w:t>
      </w:r>
    </w:p>
    <w:p w14:paraId="269D2317">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资格审查委员会和审查标准</w:t>
      </w:r>
      <w:bookmarkEnd w:id="655"/>
      <w:bookmarkEnd w:id="656"/>
      <w:bookmarkEnd w:id="657"/>
      <w:bookmarkEnd w:id="658"/>
      <w:bookmarkEnd w:id="659"/>
      <w:bookmarkEnd w:id="660"/>
    </w:p>
    <w:p w14:paraId="609A30B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bookmarkStart w:id="661" w:name="_Toc35425110"/>
      <w:bookmarkStart w:id="662" w:name="_Toc15058911"/>
      <w:bookmarkStart w:id="663" w:name="_Toc324404869"/>
      <w:bookmarkStart w:id="664" w:name="_Toc35424944"/>
      <w:bookmarkStart w:id="665" w:name="_Toc10330"/>
      <w:bookmarkStart w:id="666" w:name="_Toc506107322"/>
      <w:r>
        <w:rPr>
          <w:rFonts w:hint="eastAsia" w:ascii="宋体" w:hAnsi="宋体" w:eastAsia="宋体" w:cs="宋体"/>
          <w:b w:val="0"/>
          <w:bCs w:val="0"/>
          <w:color w:val="auto"/>
          <w:kern w:val="2"/>
          <w:sz w:val="21"/>
          <w:szCs w:val="21"/>
          <w:highlight w:val="none"/>
          <w:lang w:val="en-US" w:eastAsia="zh-CN" w:bidi="ar-SA"/>
        </w:rPr>
        <w:t>3.1资格审查由招标人依法组建的资格审查委员会（或评标委员会）负责。审查标准见资格审查办法前附表。</w:t>
      </w:r>
    </w:p>
    <w:p w14:paraId="3D794A8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3.2由资格审查委员会（评标委员会）按资格审查办法前附表要求对投标人的审查资料进行核验。投标申请人有下列情形之一的，其资格审查为不合格： </w:t>
      </w:r>
    </w:p>
    <w:p w14:paraId="22A5F14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（1）未上传电子标书或电子标书经审查不合格；</w:t>
      </w:r>
    </w:p>
    <w:p w14:paraId="49A18B2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（2）联合体投标人没有提交联合体协议书；</w:t>
      </w:r>
    </w:p>
    <w:p w14:paraId="3F3D6BC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（3）保证金不按第</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 xml:space="preserve">章“投标人须知”及其前附表要求提交投标保证金的； </w:t>
      </w:r>
    </w:p>
    <w:p w14:paraId="5A49FC3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（4）投标人未办理省主体库登记入库手续的；</w:t>
      </w:r>
    </w:p>
    <w:p w14:paraId="2923744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（5）投标人投标 MAC 地址一致的；</w:t>
      </w:r>
    </w:p>
    <w:p w14:paraId="71B9611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（6）投标人申请开具电子保函 MAC 地址一致的；</w:t>
      </w:r>
    </w:p>
    <w:p w14:paraId="4BA3691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（7）投标人投标文件制作机器码、文件创建标识码及造价软件加密锁号信息雷同的；</w:t>
      </w:r>
    </w:p>
    <w:p w14:paraId="1FC1195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（8）法律、法规规定的其他情形。</w:t>
      </w:r>
    </w:p>
    <w:p w14:paraId="74E2E289">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审查结果</w:t>
      </w:r>
      <w:bookmarkEnd w:id="661"/>
      <w:bookmarkEnd w:id="662"/>
      <w:bookmarkEnd w:id="663"/>
      <w:bookmarkEnd w:id="664"/>
      <w:bookmarkEnd w:id="665"/>
      <w:bookmarkEnd w:id="666"/>
    </w:p>
    <w:p w14:paraId="5EBD620C">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667" w:name="_Toc506107323"/>
    </w:p>
    <w:p w14:paraId="01DC2B2D">
      <w:pPr>
        <w:pStyle w:val="3"/>
        <w:spacing w:beforeLines="50" w:afterLines="50"/>
        <w:rPr>
          <w:color w:val="auto"/>
          <w:highlight w:val="none"/>
        </w:rPr>
      </w:pPr>
      <w:bookmarkStart w:id="668" w:name="_Toc35424945"/>
      <w:bookmarkStart w:id="669" w:name="_Toc35425111"/>
      <w:bookmarkStart w:id="670" w:name="_Toc15058912"/>
      <w:r>
        <w:rPr>
          <w:color w:val="auto"/>
          <w:highlight w:val="none"/>
        </w:rPr>
        <w:br w:type="page"/>
      </w:r>
      <w:bookmarkStart w:id="671" w:name="_Toc24443"/>
      <w:r>
        <w:rPr>
          <w:rFonts w:hint="eastAsia" w:ascii="Arial" w:hAnsi="Arial"/>
          <w:color w:val="auto"/>
          <w:kern w:val="0"/>
          <w:sz w:val="32"/>
          <w:szCs w:val="32"/>
          <w:highlight w:val="none"/>
        </w:rPr>
        <w:t>第三章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评标办法</w:t>
      </w:r>
      <w:bookmarkEnd w:id="631"/>
      <w:bookmarkEnd w:id="667"/>
      <w:bookmarkEnd w:id="668"/>
      <w:bookmarkEnd w:id="669"/>
      <w:bookmarkEnd w:id="670"/>
      <w:bookmarkEnd w:id="671"/>
    </w:p>
    <w:p w14:paraId="3134D80C">
      <w:pPr>
        <w:spacing w:beforeLines="50" w:afterLines="50" w:line="440" w:lineRule="exact"/>
        <w:jc w:val="center"/>
        <w:rPr>
          <w:rFonts w:hint="eastAsia" w:ascii="宋体" w:hAnsi="宋体" w:cs="宋体"/>
          <w:b/>
          <w:bCs/>
          <w:color w:val="auto"/>
          <w:sz w:val="28"/>
          <w:szCs w:val="28"/>
          <w:highlight w:val="none"/>
        </w:rPr>
      </w:pPr>
      <w:bookmarkStart w:id="672" w:name="_Toc35425112"/>
      <w:bookmarkStart w:id="673" w:name="_Toc35424946"/>
      <w:r>
        <w:rPr>
          <w:rFonts w:hint="eastAsia" w:ascii="宋体" w:hAnsi="宋体" w:cs="宋体"/>
          <w:b/>
          <w:bCs/>
          <w:color w:val="auto"/>
          <w:sz w:val="28"/>
          <w:szCs w:val="28"/>
          <w:highlight w:val="none"/>
        </w:rPr>
        <w:t>评标办法前附表</w:t>
      </w:r>
      <w:bookmarkEnd w:id="672"/>
      <w:bookmarkEnd w:id="673"/>
    </w:p>
    <w:p w14:paraId="25C413B5">
      <w:pPr>
        <w:pStyle w:val="45"/>
        <w:spacing w:line="500" w:lineRule="exact"/>
        <w:ind w:left="0" w:leftChars="0"/>
        <w:rPr>
          <w:b/>
          <w:bCs/>
          <w:color w:val="auto"/>
          <w:highlight w:val="none"/>
        </w:rPr>
      </w:pPr>
      <w:r>
        <w:rPr>
          <w:rFonts w:hint="eastAsia"/>
          <w:color w:val="auto"/>
          <w:highlight w:val="none"/>
        </w:rPr>
        <w:t>第一阶段，评标委员会对投标人依次进行</w:t>
      </w:r>
      <w:r>
        <w:rPr>
          <w:rFonts w:hint="eastAsia"/>
          <w:color w:val="auto"/>
          <w:highlight w:val="none"/>
          <w:lang w:val="en-US" w:eastAsia="zh-CN"/>
        </w:rPr>
        <w:t>项目负责人答辩、</w:t>
      </w:r>
      <w:r>
        <w:rPr>
          <w:rFonts w:hint="eastAsia"/>
          <w:color w:val="auto"/>
          <w:highlight w:val="none"/>
        </w:rPr>
        <w:t>资信文件审查，对均满足要求的投标人先进行除投标报价之外的评审因素打分，汇总后的得分按照从高到低进行排序（</w:t>
      </w:r>
      <w:r>
        <w:rPr>
          <w:rFonts w:hint="eastAsia"/>
          <w:b/>
          <w:color w:val="auto"/>
          <w:highlight w:val="none"/>
        </w:rPr>
        <w:t>得分相同的并列，下一个排名顺延。如2个投标人并列第一，则第3个排名为第三名</w:t>
      </w:r>
      <w:r>
        <w:rPr>
          <w:rFonts w:hint="eastAsia"/>
          <w:color w:val="auto"/>
          <w:highlight w:val="none"/>
        </w:rPr>
        <w:t>），选择总得分排前N个的投标人进入第二阶段评标，N取值为7。</w:t>
      </w:r>
      <w:r>
        <w:rPr>
          <w:rFonts w:hint="eastAsia"/>
          <w:b/>
          <w:color w:val="auto"/>
          <w:highlight w:val="none"/>
        </w:rPr>
        <w:t>与第N个得分相同的一并进入第二阶段评标</w:t>
      </w:r>
      <w:r>
        <w:rPr>
          <w:rFonts w:hint="eastAsia"/>
          <w:color w:val="auto"/>
          <w:highlight w:val="none"/>
        </w:rPr>
        <w:t>。</w:t>
      </w:r>
      <w:r>
        <w:rPr>
          <w:rFonts w:hint="eastAsia"/>
          <w:b/>
          <w:bCs/>
          <w:color w:val="auto"/>
          <w:highlight w:val="none"/>
        </w:rPr>
        <w:t>若通过</w:t>
      </w:r>
      <w:r>
        <w:rPr>
          <w:rFonts w:hint="eastAsia"/>
          <w:b/>
          <w:bCs/>
          <w:color w:val="auto"/>
          <w:highlight w:val="none"/>
          <w:lang w:val="en-US" w:eastAsia="zh-CN"/>
        </w:rPr>
        <w:t>项目负责人答辩及资信文件审查</w:t>
      </w:r>
      <w:r>
        <w:rPr>
          <w:rFonts w:hint="eastAsia"/>
          <w:b/>
          <w:bCs/>
          <w:color w:val="auto"/>
          <w:highlight w:val="none"/>
        </w:rPr>
        <w:t>的有效投标人＜7家且≥3家时，所有有效投标人均入围，评标委员会将对所有有效投标人进行商务标评审。</w:t>
      </w:r>
    </w:p>
    <w:p w14:paraId="7D252A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第二阶段，投标报价评审。评标委员会仅针对进入第二阶段的投标人商务标文件进行评审，评审过程中如出现无效投标，将替补至7个投标人，剩余投标人不足替补至7个的，至少替补至3个，否则本项目流标。以进入第二阶段的有效投标报价作为评标基准价计算范围。根据投标报价评审规则计算投标报价得分。确定中标候选人排序时，招标人按照各项评审因素的总得分从高到低进行排序，得分第一的投标人为第一中标候选人。如总得分相等，以投标报价低的优先，投标报价仍相等，由评标委员会主任委员或招标人随机抽取确定排名。</w:t>
      </w:r>
    </w:p>
    <w:p w14:paraId="1F4B60E0">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一）项目负责人答辩</w:t>
      </w:r>
      <w:r>
        <w:rPr>
          <w:rFonts w:hint="eastAsia" w:ascii="宋体" w:hAnsi="宋体" w:cs="宋体"/>
          <w:b/>
          <w:bCs/>
          <w:color w:val="auto"/>
          <w:sz w:val="24"/>
          <w:highlight w:val="none"/>
        </w:rPr>
        <w:t>（满分</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tbl>
      <w:tblPr>
        <w:tblStyle w:val="47"/>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516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4B5B4668">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1F422C0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631D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7479F0DA">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项目负责人答辩（5分）</w:t>
            </w:r>
          </w:p>
        </w:tc>
        <w:tc>
          <w:tcPr>
            <w:tcW w:w="8700" w:type="dxa"/>
            <w:vAlign w:val="center"/>
          </w:tcPr>
          <w:p w14:paraId="68AFA309">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项目对项目负责人进行答辩，评标委员会根据各投标人所提供的相关资料及项目负责人答辩情况进行综合性对比，取所有评委评分中分别去掉一个最高和最低评分后的平均值为答辩最终得分，小数点后保留两位小数，第三位四舍五入。 </w:t>
            </w:r>
          </w:p>
          <w:p w14:paraId="273C59DF">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提问内容包括但不限于以下内容：①招标项目涉及的技术掌握情况、项目管理领域知识、经验和技能</w:t>
            </w:r>
            <w:r>
              <w:rPr>
                <w:rFonts w:hint="eastAsia" w:ascii="宋体" w:hAnsi="宋体" w:cs="Times New Roman"/>
                <w:color w:val="auto"/>
                <w:szCs w:val="21"/>
                <w:highlight w:val="none"/>
                <w:lang w:val="en-US" w:eastAsia="zh-CN"/>
              </w:rPr>
              <w:t>、总体筹划、施工重难点等</w:t>
            </w:r>
            <w:r>
              <w:rPr>
                <w:rFonts w:hint="eastAsia" w:ascii="宋体" w:hAnsi="宋体" w:eastAsia="宋体" w:cs="Times New Roman"/>
                <w:color w:val="auto"/>
                <w:szCs w:val="21"/>
                <w:highlight w:val="none"/>
                <w:lang w:val="en-US" w:eastAsia="zh-CN"/>
              </w:rPr>
              <w:t>；②对招标项目质量、进度、造价、安全、环境管理重点、难点的把握程度等</w:t>
            </w:r>
            <w:r>
              <w:rPr>
                <w:rFonts w:hint="eastAsia" w:ascii="宋体" w:hAnsi="宋体" w:cs="Times New Roman"/>
                <w:b/>
                <w:bCs/>
                <w:color w:val="auto"/>
                <w:szCs w:val="21"/>
                <w:highlight w:val="none"/>
                <w:lang w:val="en-US" w:eastAsia="zh-CN"/>
              </w:rPr>
              <w:t>。</w:t>
            </w:r>
            <w:r>
              <w:rPr>
                <w:rFonts w:hint="eastAsia" w:ascii="宋体" w:hAnsi="宋体" w:eastAsia="宋体" w:cs="Times New Roman"/>
                <w:color w:val="auto"/>
                <w:szCs w:val="21"/>
                <w:highlight w:val="none"/>
                <w:lang w:val="en-US" w:eastAsia="zh-CN"/>
              </w:rPr>
              <w:t>优秀得</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分，良好得</w:t>
            </w:r>
            <w:r>
              <w:rPr>
                <w:rFonts w:hint="eastAsia" w:ascii="宋体" w:hAnsi="宋体" w:cs="Times New Roman"/>
                <w:color w:val="auto"/>
                <w:szCs w:val="21"/>
                <w:highlight w:val="none"/>
                <w:lang w:val="en-US" w:eastAsia="zh-CN"/>
              </w:rPr>
              <w:t>4.5</w:t>
            </w:r>
            <w:r>
              <w:rPr>
                <w:rFonts w:hint="eastAsia" w:ascii="宋体" w:hAnsi="宋体" w:eastAsia="宋体" w:cs="Times New Roman"/>
                <w:color w:val="auto"/>
                <w:szCs w:val="21"/>
                <w:highlight w:val="none"/>
                <w:lang w:val="en-US" w:eastAsia="zh-CN"/>
              </w:rPr>
              <w:t>分，一般得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分，合格得</w:t>
            </w:r>
            <w:r>
              <w:rPr>
                <w:rFonts w:hint="eastAsia" w:ascii="宋体" w:hAnsi="宋体" w:cs="Times New Roman"/>
                <w:color w:val="auto"/>
                <w:szCs w:val="21"/>
                <w:highlight w:val="none"/>
                <w:lang w:val="en-US" w:eastAsia="zh-CN"/>
              </w:rPr>
              <w:t>3.5</w:t>
            </w:r>
            <w:r>
              <w:rPr>
                <w:rFonts w:hint="eastAsia" w:ascii="宋体" w:hAnsi="宋体" w:eastAsia="宋体" w:cs="Times New Roman"/>
                <w:color w:val="auto"/>
                <w:szCs w:val="21"/>
                <w:highlight w:val="none"/>
                <w:lang w:val="en-US" w:eastAsia="zh-CN"/>
              </w:rPr>
              <w:t>分，不合格或未参与答辩的不得分，本项目满分</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分。</w:t>
            </w:r>
          </w:p>
          <w:p w14:paraId="16561F94">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重要说明：</w:t>
            </w:r>
          </w:p>
          <w:p w14:paraId="4995CF7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具体操作详见附件“滁州市不见面答辩操作手册”，参加答辩的项目负责人进行相关操作，包括但不限于CA锁办理登录或者移动标证通办理登录、安装客户端，确保网络及电脑等相关电子设备畅通情况下完成答辩工作。</w:t>
            </w:r>
          </w:p>
          <w:p w14:paraId="0D43DA0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2.项目负责人答辩工作将在资格审查前组织开展，请各投标人拟派的项目负责人做好充分准备工作，认真查阅“滁州市公共资源交易不见面答辩操作手册（投标人）2025年6月修订版”。</w:t>
            </w:r>
            <w:r>
              <w:rPr>
                <w:rFonts w:hint="eastAsia" w:ascii="宋体" w:hAnsi="宋体" w:cs="Times New Roman"/>
                <w:b/>
                <w:bCs/>
                <w:color w:val="auto"/>
                <w:szCs w:val="21"/>
                <w:highlight w:val="none"/>
                <w:lang w:val="en-US" w:eastAsia="zh-CN"/>
              </w:rPr>
              <w:t>学习网址链接：</w:t>
            </w:r>
            <w:r>
              <w:rPr>
                <w:rFonts w:hint="eastAsia" w:ascii="宋体" w:hAnsi="宋体" w:eastAsia="宋体" w:cs="Times New Roman"/>
                <w:b/>
                <w:bCs/>
                <w:color w:val="auto"/>
                <w:szCs w:val="21"/>
                <w:highlight w:val="none"/>
                <w:lang w:val="en-US" w:eastAsia="zh-CN"/>
              </w:rPr>
              <w:fldChar w:fldCharType="begin"/>
            </w:r>
            <w:r>
              <w:rPr>
                <w:rFonts w:hint="eastAsia" w:ascii="宋体" w:hAnsi="宋体" w:eastAsia="宋体" w:cs="Times New Roman"/>
                <w:b/>
                <w:bCs/>
                <w:color w:val="auto"/>
                <w:szCs w:val="21"/>
                <w:highlight w:val="none"/>
                <w:lang w:val="en-US" w:eastAsia="zh-CN"/>
              </w:rPr>
              <w:instrText xml:space="preserve"> HYPERLINK "http://ahcz.ebpu.com/sysConfigItem/selectDetail/1328260" </w:instrText>
            </w:r>
            <w:r>
              <w:rPr>
                <w:rFonts w:hint="eastAsia" w:ascii="宋体" w:hAnsi="宋体" w:eastAsia="宋体" w:cs="Times New Roman"/>
                <w:b/>
                <w:bCs/>
                <w:color w:val="auto"/>
                <w:szCs w:val="21"/>
                <w:highlight w:val="none"/>
                <w:lang w:val="en-US" w:eastAsia="zh-CN"/>
              </w:rPr>
              <w:fldChar w:fldCharType="separate"/>
            </w:r>
            <w:r>
              <w:rPr>
                <w:rStyle w:val="57"/>
                <w:rFonts w:hint="eastAsia" w:ascii="宋体" w:hAnsi="宋体" w:eastAsia="宋体" w:cs="Times New Roman"/>
                <w:b/>
                <w:bCs/>
                <w:szCs w:val="21"/>
                <w:highlight w:val="none"/>
                <w:lang w:val="en-US" w:eastAsia="zh-CN"/>
              </w:rPr>
              <w:t>http://ahcz.ebpu.com/sysConfigItem/selectDetail/1328260</w:t>
            </w:r>
            <w:r>
              <w:rPr>
                <w:rFonts w:hint="eastAsia" w:ascii="宋体" w:hAnsi="宋体" w:eastAsia="宋体" w:cs="Times New Roman"/>
                <w:b/>
                <w:bCs/>
                <w:color w:val="auto"/>
                <w:szCs w:val="21"/>
                <w:highlight w:val="none"/>
                <w:lang w:val="en-US" w:eastAsia="zh-CN"/>
              </w:rPr>
              <w:fldChar w:fldCharType="end"/>
            </w:r>
          </w:p>
          <w:p w14:paraId="1C363139">
            <w:pPr>
              <w:pStyle w:val="2"/>
              <w:rPr>
                <w:rFonts w:hint="default"/>
                <w:lang w:val="en-US" w:eastAsia="zh-CN"/>
              </w:rPr>
            </w:pPr>
            <w:r>
              <w:rPr>
                <w:rFonts w:hint="eastAsia" w:ascii="宋体" w:hAnsi="宋体" w:eastAsia="宋体" w:cs="Times New Roman"/>
                <w:b/>
                <w:bCs/>
                <w:color w:val="auto"/>
                <w:kern w:val="2"/>
                <w:sz w:val="21"/>
                <w:szCs w:val="21"/>
                <w:highlight w:val="none"/>
                <w:lang w:val="en-US" w:eastAsia="zh-CN" w:bidi="ar-SA"/>
              </w:rPr>
              <w:t>3.项目负责人答辩过程中，不得出现可能泄露投标人单位及个人信息等有关表述，否则该评分点作零分处理。</w:t>
            </w:r>
          </w:p>
        </w:tc>
      </w:tr>
    </w:tbl>
    <w:p w14:paraId="368C4714">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分）</w:t>
      </w:r>
    </w:p>
    <w:tbl>
      <w:tblPr>
        <w:tblStyle w:val="47"/>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739E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29F02830">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7ED9CDE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6508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676913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企业业绩</w:t>
            </w:r>
          </w:p>
          <w:p w14:paraId="5B68D7A8">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8700" w:type="dxa"/>
            <w:vAlign w:val="center"/>
          </w:tcPr>
          <w:p w14:paraId="0FAF0FCC">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投标人自2022年1月1日至投标截止时间内，承担过的单项合同总金额在1亿元及以上的市政道路（新建或改建或扩建）监理项目业绩的得5分，满分5分。</w:t>
            </w:r>
            <w:r>
              <w:rPr>
                <w:rFonts w:hint="eastAsia" w:ascii="宋体" w:hAnsi="宋体" w:eastAsia="宋体" w:cs="宋体"/>
                <w:b/>
                <w:bCs/>
                <w:color w:val="auto"/>
                <w:sz w:val="21"/>
                <w:szCs w:val="21"/>
                <w:highlight w:val="none"/>
                <w:lang w:val="en-US" w:eastAsia="zh-CN"/>
              </w:rPr>
              <w:t>（注：公路工程及房建配套的道路工程业绩不予认可）</w:t>
            </w:r>
          </w:p>
          <w:p w14:paraId="4F4AB33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金额均</w:t>
            </w:r>
            <w:r>
              <w:rPr>
                <w:rFonts w:hint="eastAsia" w:ascii="宋体" w:hAnsi="宋体" w:eastAsia="宋体" w:cs="宋体"/>
                <w:color w:val="auto"/>
                <w:sz w:val="21"/>
                <w:szCs w:val="21"/>
                <w:highlight w:val="none"/>
              </w:rPr>
              <w:t>以合同内容为准；</w:t>
            </w:r>
          </w:p>
          <w:p w14:paraId="0DF4481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业绩有效时间以竣工验收报告或竣工验收证书或竣工验收证明书中的竣工验收通过日期为准。</w:t>
            </w:r>
          </w:p>
          <w:p w14:paraId="7FFDBA8C">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投标文件中须同时提供下列材料原件扫描件：①中标通知书（须加盖招投标管理部门印章或公共资源交易中心见证章，无盖章的须提供公共资源交易平台官网发布的中标公示网页截图及网址链接）；②合同；③竣工验收报告或竣工验收证书或竣工验收证明书</w:t>
            </w:r>
            <w:r>
              <w:rPr>
                <w:rFonts w:hint="eastAsia" w:ascii="宋体" w:hAnsi="宋体" w:eastAsia="宋体" w:cs="宋体"/>
                <w:b/>
                <w:bCs/>
                <w:color w:val="auto"/>
                <w:sz w:val="21"/>
                <w:szCs w:val="21"/>
                <w:highlight w:val="none"/>
                <w:lang w:val="en-US" w:eastAsia="zh-CN"/>
              </w:rPr>
              <w:t>(竣工验收材料上须有建设单位、设计单位、监理单位、施工单位四方签字盖章、竣工验收通过日期明确，否则不予认可)</w:t>
            </w:r>
            <w:r>
              <w:rPr>
                <w:rFonts w:hint="eastAsia" w:ascii="宋体" w:hAnsi="宋体" w:eastAsia="宋体" w:cs="宋体"/>
                <w:b/>
                <w:bCs/>
                <w:color w:val="auto"/>
                <w:sz w:val="21"/>
                <w:szCs w:val="21"/>
                <w:highlight w:val="none"/>
              </w:rPr>
              <w:t>；④该业绩在全国建筑市场监管公共服务平台或全国公共资源交易平台（包括各省市平台，如全国公共资源交易平台 （安徽省 滁州市）可查）截图及网址。上述材料缺一不可，如上述材料不能够充分有效证明该工程业绩的规模、工程类型等内容，则另须提供建设单位出具的加盖建设单位公章的证明材料。】</w:t>
            </w:r>
          </w:p>
        </w:tc>
      </w:tr>
      <w:tr w14:paraId="487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42FA78EB">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项目负责人业绩（5分）</w:t>
            </w:r>
          </w:p>
        </w:tc>
        <w:tc>
          <w:tcPr>
            <w:tcW w:w="8700" w:type="dxa"/>
            <w:vAlign w:val="center"/>
          </w:tcPr>
          <w:p w14:paraId="563FBB65">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投标人拟派项目负责人自2022年1月1日至投标截止时间内，承担过的单项合同总金额在1亿元及以上的市政道路（新建或改建或扩建）监理项目业绩的得5分，满分5分。</w:t>
            </w:r>
            <w:r>
              <w:rPr>
                <w:rFonts w:hint="eastAsia" w:ascii="宋体" w:hAnsi="宋体" w:eastAsia="宋体" w:cs="宋体"/>
                <w:b/>
                <w:bCs/>
                <w:color w:val="auto"/>
                <w:sz w:val="21"/>
                <w:szCs w:val="21"/>
                <w:highlight w:val="none"/>
                <w:lang w:val="en-US" w:eastAsia="zh-CN"/>
              </w:rPr>
              <w:t>（注：公路工程及房建配套的道路工程业绩不予认可）</w:t>
            </w:r>
          </w:p>
          <w:p w14:paraId="36FED84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金额均</w:t>
            </w:r>
            <w:r>
              <w:rPr>
                <w:rFonts w:hint="eastAsia" w:ascii="宋体" w:hAnsi="宋体" w:eastAsia="宋体" w:cs="宋体"/>
                <w:color w:val="auto"/>
                <w:sz w:val="21"/>
                <w:szCs w:val="21"/>
                <w:highlight w:val="none"/>
              </w:rPr>
              <w:t>以合同内容为准；</w:t>
            </w:r>
          </w:p>
          <w:p w14:paraId="51C6AC8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业绩有效时间以竣工验收报告或竣工验收证书或竣工验收证明书中的竣工验收通过日期为准。</w:t>
            </w:r>
          </w:p>
          <w:p w14:paraId="34A39631">
            <w:pPr>
              <w:pStyle w:val="45"/>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3.项目负责人发生变更的，该业绩属于变更后的项目负责人。同时须提供经建设行政主管部门备案的项目负责人变更证明材料扫描件。</w:t>
            </w:r>
          </w:p>
          <w:p w14:paraId="6F59112C">
            <w:pPr>
              <w:pStyle w:val="45"/>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4.项目负责人必须是以项目负责人（总监理工程师）身份参与的业绩，以其他管理人员身份参与的无效。</w:t>
            </w:r>
          </w:p>
          <w:p w14:paraId="10381BD1">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须同时提供下列材料原件扫描件：①中标通知书（须加盖招投标管理部门印章或公共资源交易中心见证章，无盖章的须提供公共资源交易平台官网发布的中标公示网页截图及网址链接）；②合同；③竣工验收报告或竣工验收证书或竣工验收证明书</w:t>
            </w:r>
            <w:r>
              <w:rPr>
                <w:rFonts w:hint="eastAsia" w:ascii="宋体" w:hAnsi="宋体" w:eastAsia="宋体" w:cs="宋体"/>
                <w:b/>
                <w:bCs/>
                <w:color w:val="auto"/>
                <w:sz w:val="21"/>
                <w:szCs w:val="21"/>
                <w:highlight w:val="none"/>
                <w:lang w:val="en-US" w:eastAsia="zh-CN"/>
              </w:rPr>
              <w:t>(竣工验收材料上须有建设单位、设计单位、监理单位、施工单位四方签字盖章、竣工验收通过日期明确，否则不予认可)</w:t>
            </w:r>
            <w:r>
              <w:rPr>
                <w:rFonts w:hint="eastAsia" w:ascii="宋体" w:hAnsi="宋体" w:eastAsia="宋体" w:cs="宋体"/>
                <w:b/>
                <w:bCs/>
                <w:color w:val="auto"/>
                <w:sz w:val="21"/>
                <w:szCs w:val="21"/>
                <w:highlight w:val="none"/>
              </w:rPr>
              <w:t>；④该业绩在全国建筑市场监管公共服务平台或全国公共资源交易平台（包括各省市平台，如全国公共资源交易平台 （安徽省 滁州市）可查）截图及网址。上述材料缺一不可，如上述材料不能够充分有效证明该工程业绩的规模、工程类型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项目负责人姓名</w:t>
            </w:r>
            <w:r>
              <w:rPr>
                <w:rFonts w:hint="eastAsia" w:ascii="宋体" w:hAnsi="宋体" w:eastAsia="宋体" w:cs="宋体"/>
                <w:b/>
                <w:bCs/>
                <w:color w:val="auto"/>
                <w:sz w:val="21"/>
                <w:szCs w:val="21"/>
                <w:highlight w:val="none"/>
              </w:rPr>
              <w:t>等内容，则另须提供建设单位出具的加盖建设单位公章的证明材料。】</w:t>
            </w:r>
          </w:p>
        </w:tc>
      </w:tr>
      <w:tr w14:paraId="673A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75D344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监理机构人员实力（</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p>
        </w:tc>
        <w:tc>
          <w:tcPr>
            <w:tcW w:w="8700" w:type="dxa"/>
            <w:vAlign w:val="center"/>
          </w:tcPr>
          <w:p w14:paraId="3B30F3B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拟派的本项目监理机构人员中的专业监理工程师满足下列条件的予以得分：</w:t>
            </w:r>
          </w:p>
          <w:p w14:paraId="3C0FFCE1">
            <w:pPr>
              <w:keepNext w:val="0"/>
              <w:keepLines w:val="0"/>
              <w:pageBreakBefore w:val="0"/>
              <w:widowControl w:val="0"/>
              <w:numPr>
                <w:ilvl w:val="0"/>
                <w:numId w:val="0"/>
              </w:numPr>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具有二级（或）以上注册造价工程师证书或国家级注册监理工程师证书的得1分/个，本项满分2分。</w:t>
            </w:r>
          </w:p>
          <w:p w14:paraId="15CBC14A">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2.专业监理工程师中，具有工程类高级职称证书的得1分/个，本项满分3分。</w:t>
            </w:r>
          </w:p>
          <w:p w14:paraId="250E58A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具有注册安全工程师证书的得1分，本项满分1分。</w:t>
            </w:r>
          </w:p>
          <w:p w14:paraId="112C269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【须同时提供下列材料扫描件：①人员对应证书；②投标单位为上述加分人员缴纳的投标前近三个月连续的养老保险证明（养老保险证明材料具体要求同项目负责人）。】</w:t>
            </w:r>
          </w:p>
          <w:p w14:paraId="296DDBB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注：监理机构人员实力评分过程中一人多证或一证多人不重复计分。</w:t>
            </w:r>
          </w:p>
        </w:tc>
      </w:tr>
      <w:tr w14:paraId="5679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0" w:type="dxa"/>
            <w:gridSpan w:val="2"/>
            <w:vAlign w:val="center"/>
          </w:tcPr>
          <w:p w14:paraId="2364AD1D">
            <w:pPr>
              <w:pStyle w:val="45"/>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注：1.企业业绩与项目负责人业绩不重复计分。</w:t>
            </w:r>
          </w:p>
          <w:p w14:paraId="2FCF9D23">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投标时只须提供2个评审业绩，若投标人提供业绩奖项个数超过2个评审业绩，则按照排列顺序从首个业绩开始评审至对应数量，超出部分业绩不进行评审。对应数量（2个）业绩不符合招标文件要求，不得分的，不再补充评审超出部分业绩和奖项。如：提供2个业绩即得满分的，按照投标文件排序评审第一业绩和第一项业绩，其余超出部分不再评审。</w:t>
            </w:r>
          </w:p>
        </w:tc>
      </w:tr>
    </w:tbl>
    <w:p w14:paraId="3734D0F3">
      <w:pPr>
        <w:spacing w:beforeLines="80" w:afterLines="80" w:line="440" w:lineRule="exact"/>
        <w:jc w:val="center"/>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）商务标评审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24"/>
        <w:gridCol w:w="1245"/>
        <w:gridCol w:w="2371"/>
        <w:gridCol w:w="4755"/>
      </w:tblGrid>
      <w:tr w14:paraId="5D4A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40" w:type="dxa"/>
            <w:gridSpan w:val="3"/>
            <w:vAlign w:val="center"/>
          </w:tcPr>
          <w:p w14:paraId="3E5F92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371" w:type="dxa"/>
            <w:vAlign w:val="center"/>
          </w:tcPr>
          <w:p w14:paraId="298EEB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755" w:type="dxa"/>
            <w:vAlign w:val="center"/>
          </w:tcPr>
          <w:p w14:paraId="62973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6D0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1" w:type="dxa"/>
            <w:vMerge w:val="restart"/>
            <w:vAlign w:val="center"/>
          </w:tcPr>
          <w:p w14:paraId="5262C3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069" w:type="dxa"/>
            <w:gridSpan w:val="2"/>
            <w:vMerge w:val="restart"/>
            <w:vAlign w:val="center"/>
          </w:tcPr>
          <w:p w14:paraId="32AFE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371" w:type="dxa"/>
            <w:vAlign w:val="center"/>
          </w:tcPr>
          <w:p w14:paraId="11770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4755" w:type="dxa"/>
          </w:tcPr>
          <w:p w14:paraId="4B1B3F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有投标人及其法定代表人签章</w:t>
            </w:r>
          </w:p>
        </w:tc>
      </w:tr>
      <w:tr w14:paraId="128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1" w:type="dxa"/>
            <w:vMerge w:val="continue"/>
          </w:tcPr>
          <w:p w14:paraId="571595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1BCF53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22D672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755" w:type="dxa"/>
          </w:tcPr>
          <w:p w14:paraId="4F3E07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符合第五章“投标文件格式”的要求</w:t>
            </w:r>
          </w:p>
        </w:tc>
      </w:tr>
      <w:tr w14:paraId="6E4A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1" w:type="dxa"/>
            <w:vMerge w:val="continue"/>
          </w:tcPr>
          <w:p w14:paraId="3C4DD7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751438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5412BE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755" w:type="dxa"/>
          </w:tcPr>
          <w:p w14:paraId="7650AB3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w:t>
            </w:r>
          </w:p>
        </w:tc>
      </w:tr>
      <w:tr w14:paraId="7DDB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1" w:type="dxa"/>
            <w:vMerge w:val="restart"/>
            <w:vAlign w:val="center"/>
          </w:tcPr>
          <w:p w14:paraId="125918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069" w:type="dxa"/>
            <w:gridSpan w:val="2"/>
            <w:vMerge w:val="restart"/>
            <w:vAlign w:val="center"/>
          </w:tcPr>
          <w:p w14:paraId="63F773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14:paraId="6C1CEE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tc>
        <w:tc>
          <w:tcPr>
            <w:tcW w:w="2371" w:type="dxa"/>
            <w:vAlign w:val="center"/>
          </w:tcPr>
          <w:p w14:paraId="22A6D8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4755" w:type="dxa"/>
            <w:vAlign w:val="center"/>
          </w:tcPr>
          <w:p w14:paraId="500E71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0604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1" w:type="dxa"/>
            <w:vMerge w:val="continue"/>
          </w:tcPr>
          <w:p w14:paraId="04C71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3715C0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799C9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755" w:type="dxa"/>
            <w:vAlign w:val="center"/>
          </w:tcPr>
          <w:p w14:paraId="2646D8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3B81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1" w:type="dxa"/>
            <w:vMerge w:val="continue"/>
          </w:tcPr>
          <w:p w14:paraId="368B67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1995F3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12266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4755" w:type="dxa"/>
            <w:vAlign w:val="center"/>
          </w:tcPr>
          <w:p w14:paraId="241071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24B2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1" w:type="dxa"/>
            <w:vMerge w:val="continue"/>
          </w:tcPr>
          <w:p w14:paraId="2CD06E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2BDC5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5D1D5F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4755" w:type="dxa"/>
            <w:vAlign w:val="center"/>
          </w:tcPr>
          <w:p w14:paraId="23B5FD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2471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1" w:type="dxa"/>
            <w:vMerge w:val="continue"/>
          </w:tcPr>
          <w:p w14:paraId="6F2901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4B540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208DF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投标报价（费率）</w:t>
            </w:r>
          </w:p>
        </w:tc>
        <w:tc>
          <w:tcPr>
            <w:tcW w:w="4755" w:type="dxa"/>
            <w:vAlign w:val="center"/>
          </w:tcPr>
          <w:p w14:paraId="4DC1A5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不高于最高投标限价（费率）</w:t>
            </w:r>
          </w:p>
        </w:tc>
      </w:tr>
      <w:tr w14:paraId="1817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95" w:type="dxa"/>
            <w:gridSpan w:val="2"/>
            <w:vAlign w:val="center"/>
          </w:tcPr>
          <w:p w14:paraId="1AB1029B">
            <w:pPr>
              <w:keepNext w:val="0"/>
              <w:keepLines w:val="0"/>
              <w:pageBreakBefore w:val="0"/>
              <w:widowControl w:val="0"/>
              <w:kinsoku/>
              <w:wordWrap/>
              <w:overflowPunct/>
              <w:topLinePunct w:val="0"/>
              <w:autoSpaceDE/>
              <w:autoSpaceDN/>
              <w:bidi w:val="0"/>
              <w:adjustRightInd/>
              <w:snapToGrid/>
              <w:spacing w:line="500" w:lineRule="exact"/>
              <w:ind w:right="252" w:rightChars="12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p>
          <w:p w14:paraId="46C0B012">
            <w:pPr>
              <w:keepNext w:val="0"/>
              <w:keepLines w:val="0"/>
              <w:pageBreakBefore w:val="0"/>
              <w:widowControl w:val="0"/>
              <w:kinsoku/>
              <w:wordWrap/>
              <w:overflowPunct/>
              <w:topLinePunct w:val="0"/>
              <w:autoSpaceDE/>
              <w:autoSpaceDN/>
              <w:bidi w:val="0"/>
              <w:adjustRightInd/>
              <w:snapToGrid/>
              <w:spacing w:line="500" w:lineRule="exact"/>
              <w:ind w:right="252" w:rightChars="12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tc>
        <w:tc>
          <w:tcPr>
            <w:tcW w:w="8371" w:type="dxa"/>
            <w:gridSpan w:val="3"/>
            <w:vAlign w:val="center"/>
          </w:tcPr>
          <w:p w14:paraId="28D3053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1投标单位所报费率不得高于招标人发布的最高限价（费率），否则按无效标处理。</w:t>
            </w:r>
          </w:p>
          <w:p w14:paraId="4B9B56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评标基准价（费率）计算方法：以</w:t>
            </w:r>
            <w:r>
              <w:rPr>
                <w:rFonts w:hint="eastAsia" w:ascii="宋体" w:hAnsi="宋体" w:eastAsia="宋体" w:cs="宋体"/>
                <w:color w:val="auto"/>
                <w:sz w:val="21"/>
                <w:szCs w:val="21"/>
                <w:highlight w:val="none"/>
                <w:lang w:val="en-US" w:eastAsia="zh-CN"/>
              </w:rPr>
              <w:t>入围</w:t>
            </w:r>
            <w:r>
              <w:rPr>
                <w:rFonts w:hint="eastAsia" w:ascii="宋体" w:hAnsi="宋体" w:eastAsia="宋体" w:cs="宋体"/>
                <w:color w:val="auto"/>
                <w:sz w:val="21"/>
                <w:szCs w:val="21"/>
                <w:highlight w:val="none"/>
              </w:rPr>
              <w:t>投标人的投标报价算术平均值为 A，最高投标限价为B，则: 评标基准价（费率）=A×Q1+B×Q2，Q2=1-Q1，Q1的取值范围为10%，15%，20%；Q1值现场随机抽取确定。投标报价（费率）等于评标基准价（费率）的得满分；偏离评标基准价（费率）的相应扣减得分。</w:t>
            </w:r>
          </w:p>
          <w:p w14:paraId="79F2331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投标报价评分标准：投标报价等于评标基准价的得满分；偏离评标基准价的，投标报价每高于评标基准价1%扣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分，每低于评标基准价1%扣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分，偏离不足1%的，用插入法计算。（</w:t>
            </w:r>
            <w:r>
              <w:rPr>
                <w:rFonts w:hint="eastAsia" w:ascii="宋体" w:hAnsi="宋体" w:eastAsia="宋体" w:cs="宋体"/>
                <w:color w:val="auto"/>
                <w:sz w:val="21"/>
                <w:szCs w:val="21"/>
                <w:highlight w:val="none"/>
                <w:lang w:val="en-US" w:eastAsia="zh-CN"/>
              </w:rPr>
              <w:t>算术平均值、评标基准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百分比及得分均</w:t>
            </w:r>
            <w:r>
              <w:rPr>
                <w:rFonts w:hint="eastAsia" w:ascii="宋体" w:hAnsi="宋体" w:eastAsia="宋体" w:cs="宋体"/>
                <w:color w:val="auto"/>
                <w:sz w:val="21"/>
                <w:szCs w:val="21"/>
                <w:highlight w:val="none"/>
              </w:rPr>
              <w:t xml:space="preserve">保留两位小数） </w:t>
            </w:r>
          </w:p>
          <w:p w14:paraId="4ACA2B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示例：评标基准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为 0.65%，投标人甲的报价为 0.70%、投标人乙的报价为 0.62%， 计</w:t>
            </w:r>
          </w:p>
          <w:p w14:paraId="1ED13E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算各投标人得分如下：</w:t>
            </w:r>
          </w:p>
          <w:p w14:paraId="7C4DAFB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计算投标人甲投标报价与评标基准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的百分比为：【（0.70%-0.65%）÷0.65%】 =7.69%，</w:t>
            </w:r>
          </w:p>
          <w:p w14:paraId="6CACF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其得分=满分-7.69*1；</w:t>
            </w:r>
          </w:p>
          <w:p w14:paraId="2D9AD5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计算投标人乙投标报价与评标基准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的百分比为：【（0.62%-0.65%）÷0.65%】=-4.62%，</w:t>
            </w:r>
          </w:p>
          <w:p w14:paraId="048E97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其得分=满分-4.62*0.5。</w:t>
            </w:r>
          </w:p>
        </w:tc>
      </w:tr>
    </w:tbl>
    <w:p w14:paraId="4EAD29BF">
      <w:pPr>
        <w:pStyle w:val="4"/>
        <w:spacing w:beforeLines="50" w:afterLines="50"/>
        <w:ind w:firstLine="422" w:firstLineChars="200"/>
        <w:rPr>
          <w:rFonts w:ascii="宋体" w:hAnsi="宋体" w:eastAsia="宋体" w:cs="宋体"/>
          <w:color w:val="auto"/>
          <w:highlight w:val="none"/>
        </w:rPr>
      </w:pPr>
      <w:bookmarkStart w:id="674" w:name="_Toc152042366"/>
      <w:bookmarkStart w:id="675" w:name="_Toc179632607"/>
      <w:bookmarkStart w:id="676" w:name="_Toc144974556"/>
      <w:bookmarkStart w:id="677" w:name="_Toc35425113"/>
      <w:bookmarkStart w:id="678" w:name="_Toc246996232"/>
      <w:bookmarkStart w:id="679" w:name="_Toc324404872"/>
      <w:bookmarkStart w:id="680" w:name="_Toc247085747"/>
      <w:bookmarkStart w:id="681" w:name="_Toc506107324"/>
      <w:bookmarkStart w:id="682" w:name="_Toc246996975"/>
      <w:bookmarkStart w:id="683" w:name="_Toc6491"/>
      <w:bookmarkStart w:id="684" w:name="_Toc152045589"/>
      <w:bookmarkStart w:id="685" w:name="_Toc35424947"/>
      <w:bookmarkStart w:id="686" w:name="_Toc15058913"/>
      <w:r>
        <w:rPr>
          <w:rFonts w:ascii="宋体" w:hAnsi="宋体" w:eastAsia="宋体" w:cs="宋体"/>
          <w:color w:val="auto"/>
          <w:highlight w:val="none"/>
        </w:rPr>
        <w:t xml:space="preserve">1. </w:t>
      </w:r>
      <w:r>
        <w:rPr>
          <w:rFonts w:hint="eastAsia" w:ascii="宋体" w:hAnsi="宋体" w:eastAsia="宋体" w:cs="宋体"/>
          <w:color w:val="auto"/>
          <w:highlight w:val="none"/>
        </w:rPr>
        <w:t>评标方法</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0B03E0A0">
      <w:pPr>
        <w:keepNext w:val="0"/>
        <w:keepLines w:val="0"/>
        <w:pageBreakBefore w:val="0"/>
        <w:widowControl w:val="0"/>
        <w:kinsoku/>
        <w:wordWrap/>
        <w:overflowPunct/>
        <w:topLinePunct w:val="0"/>
        <w:autoSpaceDE/>
        <w:autoSpaceDN/>
        <w:bidi w:val="0"/>
        <w:adjustRightInd/>
        <w:snapToGrid w:val="0"/>
        <w:spacing w:line="500" w:lineRule="exact"/>
        <w:ind w:right="252" w:rightChars="120" w:firstLine="420" w:firstLineChars="200"/>
        <w:jc w:val="left"/>
        <w:textAlignment w:val="auto"/>
        <w:rPr>
          <w:rFonts w:ascii="宋体" w:cs="宋体"/>
          <w:color w:val="auto"/>
          <w:szCs w:val="21"/>
          <w:highlight w:val="none"/>
        </w:rPr>
      </w:pPr>
      <w:bookmarkStart w:id="687" w:name="_Toc324404873"/>
      <w:bookmarkStart w:id="688" w:name="_Toc296602478"/>
      <w:bookmarkStart w:id="689" w:name="_Toc179632608"/>
      <w:bookmarkStart w:id="690" w:name="_Toc246996233"/>
      <w:bookmarkStart w:id="691" w:name="_Toc144974557"/>
      <w:bookmarkStart w:id="692" w:name="_Toc152045590"/>
      <w:bookmarkStart w:id="693" w:name="_Toc246996976"/>
      <w:bookmarkStart w:id="694" w:name="_Toc247085748"/>
      <w:bookmarkStart w:id="695" w:name="_Toc152042367"/>
      <w:r>
        <w:rPr>
          <w:rFonts w:hint="eastAsia" w:ascii="宋体" w:hAnsi="宋体" w:cs="宋体"/>
          <w:color w:val="auto"/>
          <w:szCs w:val="21"/>
          <w:highlight w:val="none"/>
        </w:rPr>
        <w:t>本次评标采用综合评</w:t>
      </w:r>
      <w:r>
        <w:rPr>
          <w:rFonts w:hint="eastAsia" w:ascii="宋体" w:hAnsi="宋体" w:cs="宋体"/>
          <w:color w:val="auto"/>
          <w:szCs w:val="21"/>
          <w:highlight w:val="none"/>
          <w:lang w:val="en-US" w:eastAsia="zh-CN"/>
        </w:rPr>
        <w:t>估</w:t>
      </w:r>
      <w:r>
        <w:rPr>
          <w:rFonts w:hint="eastAsia" w:ascii="宋体" w:hAnsi="宋体" w:cs="宋体"/>
          <w:color w:val="auto"/>
          <w:szCs w:val="21"/>
          <w:highlight w:val="none"/>
        </w:rPr>
        <w:t>法。评标委员会对满足招标文件实质性要求的投标文件，按照本章规定的评分标准进行打分，并按总得分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项目负责人答辩得分、资信分及商务得分之和）</w:t>
      </w:r>
      <w:r>
        <w:rPr>
          <w:rFonts w:hint="eastAsia" w:ascii="宋体" w:hAnsi="宋体" w:cs="宋体"/>
          <w:color w:val="auto"/>
          <w:szCs w:val="21"/>
          <w:highlight w:val="none"/>
        </w:rPr>
        <w:t>由高到低顺序推荐中标候选人应当不超过</w:t>
      </w:r>
      <w:r>
        <w:rPr>
          <w:rFonts w:ascii="宋体" w:hAnsi="宋体" w:cs="宋体"/>
          <w:color w:val="auto"/>
          <w:szCs w:val="21"/>
          <w:highlight w:val="none"/>
        </w:rPr>
        <w:t>3</w:t>
      </w:r>
      <w:r>
        <w:rPr>
          <w:rFonts w:hint="eastAsia" w:ascii="宋体" w:hAnsi="宋体" w:cs="宋体"/>
          <w:color w:val="auto"/>
          <w:szCs w:val="21"/>
          <w:highlight w:val="none"/>
        </w:rPr>
        <w:t>名，并标明排序（本项目推荐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名中标候选人），但投标报价低于其成本的除外。总评分相等时，以投标报价低的优先；若投标报价也相等，由招标人或评标委员会主任委员抽签确定。</w:t>
      </w:r>
      <w:r>
        <w:rPr>
          <w:rFonts w:ascii="宋体" w:hAnsi="宋体" w:cs="宋体"/>
          <w:color w:val="auto"/>
          <w:szCs w:val="21"/>
          <w:highlight w:val="none"/>
        </w:rPr>
        <w:t xml:space="preserve"> </w:t>
      </w:r>
    </w:p>
    <w:p w14:paraId="46A938AD">
      <w:pPr>
        <w:keepNext w:val="0"/>
        <w:keepLines w:val="0"/>
        <w:pageBreakBefore w:val="0"/>
        <w:widowControl w:val="0"/>
        <w:kinsoku/>
        <w:wordWrap/>
        <w:overflowPunct/>
        <w:topLinePunct w:val="0"/>
        <w:autoSpaceDE/>
        <w:autoSpaceDN/>
        <w:bidi w:val="0"/>
        <w:adjustRightInd/>
        <w:snapToGrid w:val="0"/>
        <w:spacing w:line="500" w:lineRule="exact"/>
        <w:ind w:right="252" w:rightChars="120" w:firstLine="420" w:firstLineChars="200"/>
        <w:jc w:val="left"/>
        <w:textAlignment w:val="auto"/>
        <w:rPr>
          <w:rFonts w:hint="eastAsia" w:ascii="宋体" w:hAnsi="宋体" w:cs="宋体"/>
          <w:color w:val="auto"/>
          <w:szCs w:val="21"/>
          <w:highlight w:val="none"/>
        </w:rPr>
      </w:pPr>
      <w:bookmarkStart w:id="696" w:name="_Toc35425114"/>
      <w:bookmarkStart w:id="697" w:name="_Toc15058914"/>
      <w:bookmarkStart w:id="698" w:name="_Toc506107325"/>
      <w:bookmarkStart w:id="699" w:name="_Toc11945"/>
      <w:bookmarkStart w:id="700" w:name="_Toc35424948"/>
      <w:r>
        <w:rPr>
          <w:rFonts w:hint="eastAsia" w:ascii="宋体" w:hAnsi="宋体" w:cs="宋体"/>
          <w:color w:val="auto"/>
          <w:szCs w:val="21"/>
          <w:highlight w:val="none"/>
        </w:rPr>
        <w:t>在专家评审结束后，根据评标委员会评审初步结论，由项目单位（代理机构）对预中标候选人、法定代表人及其项目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是否存在</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0B5E0C41">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评标委员会的职责</w:t>
      </w:r>
      <w:bookmarkEnd w:id="687"/>
      <w:bookmarkEnd w:id="696"/>
      <w:bookmarkEnd w:id="697"/>
      <w:bookmarkEnd w:id="698"/>
      <w:bookmarkEnd w:id="699"/>
      <w:bookmarkEnd w:id="700"/>
    </w:p>
    <w:p w14:paraId="79E14F50">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7417635">
      <w:pPr>
        <w:pStyle w:val="4"/>
        <w:pageBreakBefore w:val="0"/>
        <w:widowControl w:val="0"/>
        <w:kinsoku/>
        <w:wordWrap/>
        <w:overflowPunct/>
        <w:topLinePunct w:val="0"/>
        <w:autoSpaceDE/>
        <w:autoSpaceDN/>
        <w:bidi w:val="0"/>
        <w:adjustRightInd/>
        <w:snapToGrid/>
        <w:spacing w:line="500" w:lineRule="exact"/>
        <w:ind w:firstLine="420" w:firstLineChars="200"/>
        <w:textAlignment w:val="auto"/>
        <w:rPr>
          <w:rFonts w:eastAsia="宋体"/>
          <w:color w:val="auto"/>
          <w:highlight w:val="none"/>
        </w:rPr>
      </w:pPr>
      <w:r>
        <w:rPr>
          <w:rFonts w:hint="eastAsia" w:ascii="宋体" w:hAnsi="宋体" w:eastAsia="宋体" w:cs="宋体"/>
          <w:b w:val="0"/>
          <w:bCs w:val="0"/>
          <w:color w:val="auto"/>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p>
    <w:p w14:paraId="43269D38">
      <w:pPr>
        <w:pStyle w:val="4"/>
        <w:spacing w:beforeLines="50" w:afterLines="50"/>
        <w:ind w:firstLine="422" w:firstLineChars="200"/>
        <w:rPr>
          <w:rFonts w:ascii="宋体" w:hAnsi="宋体" w:eastAsia="宋体" w:cs="宋体"/>
          <w:color w:val="auto"/>
          <w:highlight w:val="none"/>
        </w:rPr>
      </w:pPr>
      <w:bookmarkStart w:id="701" w:name="_Toc15058915"/>
      <w:bookmarkStart w:id="702" w:name="_Toc324404874"/>
      <w:bookmarkStart w:id="703" w:name="_Toc17377"/>
      <w:bookmarkStart w:id="704" w:name="_Toc35424949"/>
      <w:bookmarkStart w:id="705" w:name="_Toc506107326"/>
      <w:bookmarkStart w:id="706" w:name="_Toc35425115"/>
      <w:r>
        <w:rPr>
          <w:rFonts w:ascii="宋体" w:hAnsi="宋体" w:eastAsia="宋体" w:cs="宋体"/>
          <w:color w:val="auto"/>
          <w:highlight w:val="none"/>
        </w:rPr>
        <w:t>3.</w:t>
      </w:r>
      <w:r>
        <w:rPr>
          <w:rFonts w:hint="eastAsia" w:ascii="宋体" w:hAnsi="宋体" w:eastAsia="宋体" w:cs="宋体"/>
          <w:color w:val="auto"/>
          <w:highlight w:val="none"/>
        </w:rPr>
        <w:t>评标程序</w:t>
      </w:r>
      <w:bookmarkEnd w:id="701"/>
      <w:bookmarkEnd w:id="702"/>
      <w:bookmarkEnd w:id="703"/>
      <w:bookmarkEnd w:id="704"/>
      <w:bookmarkEnd w:id="705"/>
      <w:bookmarkEnd w:id="706"/>
    </w:p>
    <w:p w14:paraId="1C06263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评标先做准备工作，先进行资信评审，再进行商务标评审。</w:t>
      </w:r>
    </w:p>
    <w:p w14:paraId="3B1E3787">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07" w:name="_Toc27389"/>
      <w:bookmarkStart w:id="708" w:name="_Toc15058916"/>
      <w:bookmarkStart w:id="709" w:name="_Toc35425116"/>
      <w:bookmarkStart w:id="710" w:name="_Toc35424950"/>
      <w:r>
        <w:rPr>
          <w:rFonts w:ascii="宋体" w:hAnsi="宋体" w:eastAsia="宋体" w:cs="宋体"/>
          <w:color w:val="auto"/>
          <w:highlight w:val="none"/>
        </w:rPr>
        <w:t>3.1</w:t>
      </w:r>
      <w:r>
        <w:rPr>
          <w:rFonts w:hint="eastAsia" w:ascii="宋体" w:hAnsi="宋体" w:eastAsia="宋体" w:cs="宋体"/>
          <w:color w:val="auto"/>
          <w:highlight w:val="none"/>
        </w:rPr>
        <w:t>评标准备工作</w:t>
      </w:r>
      <w:bookmarkEnd w:id="707"/>
      <w:bookmarkEnd w:id="708"/>
      <w:bookmarkEnd w:id="709"/>
      <w:bookmarkEnd w:id="710"/>
    </w:p>
    <w:p w14:paraId="6F394E7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评标委员会熟悉评标工作情况：</w:t>
      </w:r>
    </w:p>
    <w:p w14:paraId="448BD58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）阅读由招标人或者其委托的工程代理机构编制的招标项目情况材料。</w:t>
      </w:r>
    </w:p>
    <w:p w14:paraId="44AE7E0F">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）阅读、研究招标文件和相关评标资料，获取评标所需要的重要信息和数据，至少应了解和熟悉以下内容：招标项目的范围和性质，招标文件规定的主要技术要求、标准和商务条款。</w:t>
      </w:r>
    </w:p>
    <w:p w14:paraId="5FE1F570">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）熟悉招标文件规定的评标标准和评标方法及在评标过程中需要考虑的相关因素。</w:t>
      </w:r>
    </w:p>
    <w:p w14:paraId="4CE65FD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）核对评标工作用表。</w:t>
      </w:r>
    </w:p>
    <w:p w14:paraId="40FD288C">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11" w:name="_Toc11990"/>
      <w:bookmarkStart w:id="712" w:name="_Toc35425118"/>
      <w:bookmarkStart w:id="713" w:name="_Toc17468"/>
      <w:bookmarkStart w:id="714" w:name="_Toc15058918"/>
      <w:bookmarkStart w:id="715" w:name="_Toc35424952"/>
      <w:bookmarkStart w:id="716" w:name="_Toc15058919"/>
      <w:bookmarkStart w:id="717" w:name="_Toc12200"/>
      <w:bookmarkStart w:id="718" w:name="_Toc35425120"/>
      <w:bookmarkStart w:id="719" w:name="_Toc35424954"/>
      <w:bookmarkStart w:id="720" w:name="_Toc506107327"/>
      <w:bookmarkStart w:id="721" w:name="_Toc324404875"/>
      <w:r>
        <w:rPr>
          <w:rFonts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商务标评审</w:t>
      </w:r>
      <w:bookmarkEnd w:id="711"/>
      <w:bookmarkEnd w:id="712"/>
      <w:bookmarkEnd w:id="713"/>
      <w:bookmarkEnd w:id="714"/>
      <w:bookmarkEnd w:id="715"/>
    </w:p>
    <w:p w14:paraId="7BE5DEA7">
      <w:pPr>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详见商务标评审表。</w:t>
      </w:r>
    </w:p>
    <w:p w14:paraId="24B4FA4F">
      <w:pPr>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cs="宋体"/>
          <w:color w:val="auto"/>
          <w:szCs w:val="21"/>
          <w:highlight w:val="none"/>
        </w:rPr>
      </w:pPr>
      <w:bookmarkStart w:id="722" w:name="_Toc18087"/>
      <w:bookmarkStart w:id="723" w:name="_Toc35425119"/>
      <w:bookmarkStart w:id="724" w:name="_Toc26895"/>
      <w:bookmarkStart w:id="725" w:name="_Toc35424953"/>
      <w:r>
        <w:rPr>
          <w:rStyle w:val="66"/>
          <w:rFonts w:ascii="宋体" w:hAnsi="宋体" w:eastAsia="宋体" w:cs="宋体"/>
          <w:bCs/>
          <w:color w:val="auto"/>
          <w:sz w:val="21"/>
          <w:szCs w:val="32"/>
          <w:highlight w:val="none"/>
        </w:rPr>
        <w:t>3.</w:t>
      </w:r>
      <w:r>
        <w:rPr>
          <w:rStyle w:val="66"/>
          <w:rFonts w:hint="eastAsia" w:ascii="宋体" w:hAnsi="宋体" w:cs="宋体"/>
          <w:bCs/>
          <w:color w:val="auto"/>
          <w:sz w:val="21"/>
          <w:szCs w:val="32"/>
          <w:highlight w:val="none"/>
          <w:lang w:val="en-US"/>
        </w:rPr>
        <w:t>3</w:t>
      </w:r>
      <w:r>
        <w:rPr>
          <w:rStyle w:val="66"/>
          <w:rFonts w:hint="eastAsia" w:ascii="宋体" w:hAnsi="宋体" w:eastAsia="宋体" w:cs="宋体"/>
          <w:bCs/>
          <w:color w:val="auto"/>
          <w:sz w:val="21"/>
          <w:szCs w:val="32"/>
          <w:highlight w:val="none"/>
        </w:rPr>
        <w:t>推荐中标候选人</w:t>
      </w:r>
      <w:bookmarkEnd w:id="722"/>
      <w:bookmarkEnd w:id="723"/>
      <w:bookmarkEnd w:id="724"/>
      <w:bookmarkEnd w:id="725"/>
      <w:r>
        <w:rPr>
          <w:rFonts w:hint="eastAsia" w:ascii="宋体" w:hAnsi="宋体" w:cs="宋体"/>
          <w:b/>
          <w:bCs/>
          <w:color w:val="auto"/>
          <w:highlight w:val="none"/>
        </w:rPr>
        <w:t>：</w:t>
      </w:r>
      <w:r>
        <w:rPr>
          <w:rFonts w:hint="eastAsia" w:ascii="宋体" w:hAnsi="宋体" w:cs="宋体"/>
          <w:color w:val="auto"/>
          <w:highlight w:val="none"/>
        </w:rPr>
        <w:t>资信评审、商务标评审后，推荐</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ascii="宋体" w:hAnsi="宋体" w:cs="宋体"/>
          <w:color w:val="auto"/>
          <w:highlight w:val="none"/>
          <w:u w:val="single"/>
        </w:rPr>
        <w:t xml:space="preserve"> </w:t>
      </w:r>
      <w:r>
        <w:rPr>
          <w:rFonts w:hint="eastAsia" w:ascii="宋体" w:hAnsi="宋体" w:cs="宋体"/>
          <w:color w:val="auto"/>
          <w:highlight w:val="none"/>
        </w:rPr>
        <w:t>名中标候选人，并标明排序。</w:t>
      </w:r>
    </w:p>
    <w:p w14:paraId="71452922">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评审内容</w:t>
      </w:r>
      <w:bookmarkEnd w:id="716"/>
      <w:bookmarkEnd w:id="717"/>
      <w:bookmarkEnd w:id="718"/>
      <w:bookmarkEnd w:id="719"/>
      <w:bookmarkEnd w:id="720"/>
      <w:bookmarkEnd w:id="721"/>
    </w:p>
    <w:p w14:paraId="023DD812">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26" w:name="_Toc35424956"/>
      <w:bookmarkStart w:id="727" w:name="_Toc35425122"/>
      <w:bookmarkStart w:id="728" w:name="_Toc3531"/>
      <w:bookmarkStart w:id="729" w:name="_Toc15058921"/>
      <w:bookmarkStart w:id="730" w:name="_Toc324404876"/>
      <w:r>
        <w:rPr>
          <w:rFonts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bookmarkEnd w:id="726"/>
      <w:bookmarkEnd w:id="727"/>
      <w:bookmarkEnd w:id="728"/>
      <w:bookmarkEnd w:id="729"/>
    </w:p>
    <w:p w14:paraId="3B7B0A4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只有通过</w:t>
      </w:r>
      <w:r>
        <w:rPr>
          <w:rFonts w:hint="eastAsia" w:ascii="宋体" w:hAnsi="宋体" w:cs="宋体"/>
          <w:color w:val="auto"/>
          <w:highlight w:val="none"/>
          <w:lang w:val="en-US" w:eastAsia="zh-CN"/>
        </w:rPr>
        <w:t>资信</w:t>
      </w:r>
      <w:r>
        <w:rPr>
          <w:rFonts w:hint="eastAsia" w:ascii="宋体" w:hAnsi="宋体" w:cs="宋体"/>
          <w:color w:val="auto"/>
          <w:highlight w:val="none"/>
        </w:rPr>
        <w:t>标评审的投标才能够进入本阶段评审。</w:t>
      </w:r>
    </w:p>
    <w:p w14:paraId="2E31800A">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.1</w:t>
      </w:r>
      <w:r>
        <w:rPr>
          <w:rFonts w:hint="eastAsia" w:ascii="宋体" w:hAnsi="宋体" w:cs="宋体"/>
          <w:color w:val="auto"/>
          <w:highlight w:val="none"/>
        </w:rPr>
        <w:t>形式性评审标准：见商务标评审表。</w:t>
      </w:r>
    </w:p>
    <w:p w14:paraId="5DD5388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.2</w:t>
      </w:r>
      <w:r>
        <w:rPr>
          <w:rFonts w:hint="eastAsia" w:ascii="宋体" w:hAnsi="宋体" w:cs="宋体"/>
          <w:color w:val="auto"/>
          <w:highlight w:val="none"/>
        </w:rPr>
        <w:t>响应性评审标准：见商务标评审表。</w:t>
      </w:r>
    </w:p>
    <w:p w14:paraId="1F36AEF6">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5F8387FF">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.3</w:t>
      </w:r>
      <w:r>
        <w:rPr>
          <w:rFonts w:hint="eastAsia" w:ascii="宋体" w:hAnsi="宋体" w:cs="宋体"/>
          <w:color w:val="auto"/>
          <w:highlight w:val="none"/>
        </w:rPr>
        <w:t>投标报价评审</w:t>
      </w:r>
    </w:p>
    <w:p w14:paraId="45EE69B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0BE93C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.4</w:t>
      </w:r>
      <w:r>
        <w:rPr>
          <w:rFonts w:hint="eastAsia" w:ascii="宋体" w:hAnsi="宋体" w:cs="宋体"/>
          <w:color w:val="auto"/>
          <w:highlight w:val="none"/>
        </w:rPr>
        <w:t>评标委员会审查投标文件，投标报价有错误的，评标委员会按以下原则对投标报价进行修正。</w:t>
      </w:r>
    </w:p>
    <w:p w14:paraId="174C200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）投标文件中的大写金额与小写金额不一致的，以大写金额为准。</w:t>
      </w:r>
    </w:p>
    <w:p w14:paraId="430901E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）总价金额与依据单价计算出的结果不一致的，以单价金额为准修正总价，但单价金额小数点有明显错误的除外。</w:t>
      </w:r>
    </w:p>
    <w:p w14:paraId="5837585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2F4A6462">
      <w:pPr>
        <w:pStyle w:val="4"/>
        <w:spacing w:beforeLines="50" w:afterLines="50"/>
        <w:ind w:firstLine="422" w:firstLineChars="200"/>
        <w:rPr>
          <w:rFonts w:ascii="宋体" w:hAnsi="宋体" w:eastAsia="宋体" w:cs="宋体"/>
          <w:color w:val="auto"/>
          <w:highlight w:val="none"/>
        </w:rPr>
      </w:pPr>
      <w:bookmarkStart w:id="731" w:name="_Toc506107328"/>
      <w:bookmarkStart w:id="732" w:name="_Toc15058922"/>
      <w:bookmarkStart w:id="733" w:name="_Toc35425123"/>
      <w:bookmarkStart w:id="734" w:name="_Toc13125"/>
      <w:bookmarkStart w:id="735" w:name="_Toc35424957"/>
      <w:r>
        <w:rPr>
          <w:rFonts w:ascii="宋体" w:hAnsi="宋体" w:eastAsia="宋体" w:cs="宋体"/>
          <w:color w:val="auto"/>
          <w:highlight w:val="none"/>
        </w:rPr>
        <w:t>5.</w:t>
      </w:r>
      <w:r>
        <w:rPr>
          <w:rFonts w:hint="eastAsia" w:ascii="宋体" w:hAnsi="宋体" w:eastAsia="宋体" w:cs="宋体"/>
          <w:color w:val="auto"/>
          <w:highlight w:val="none"/>
        </w:rPr>
        <w:t>无效投标条款</w:t>
      </w:r>
      <w:bookmarkEnd w:id="730"/>
      <w:bookmarkEnd w:id="731"/>
      <w:bookmarkEnd w:id="732"/>
      <w:bookmarkEnd w:id="733"/>
      <w:bookmarkEnd w:id="734"/>
      <w:bookmarkEnd w:id="735"/>
    </w:p>
    <w:p w14:paraId="3F6776D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投标人存在下列情形的的招标人将拒收投标文件：</w:t>
      </w:r>
    </w:p>
    <w:p w14:paraId="1CAE435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）未在投标截止时间前通过网上招标投标系统递交有效电子投标文件的，开标系统不予接收，投标将被拒绝。</w:t>
      </w:r>
    </w:p>
    <w:p w14:paraId="218130A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代理公司原因或网上平台发生故障，导致无法按时完成投标文件解密的，经代理公司申请后可延迟解密时间】。</w:t>
      </w:r>
    </w:p>
    <w:p w14:paraId="2128C38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投标人有下列情形的，经评审后其投标作无效投标处理无效投标：</w:t>
      </w:r>
    </w:p>
    <w:p w14:paraId="117324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商标评审</w:t>
      </w:r>
    </w:p>
    <w:p w14:paraId="7EB521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评标委员会依据《商务标评审表》进行形式性评审和响应性评审。有一项不符合评审标准的，做无效投标处理；</w:t>
      </w:r>
    </w:p>
    <w:p w14:paraId="0FEC70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5506093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4EC8F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）按第三章《评标方法》</w:t>
      </w:r>
      <w:r>
        <w:rPr>
          <w:rFonts w:ascii="宋体" w:hAnsi="宋体" w:cs="宋体"/>
          <w:color w:val="auto"/>
          <w:szCs w:val="21"/>
          <w:highlight w:val="none"/>
        </w:rPr>
        <w:t>4.2.4</w:t>
      </w:r>
      <w:r>
        <w:rPr>
          <w:rFonts w:hint="eastAsia" w:ascii="宋体" w:hAnsi="宋体" w:cs="宋体"/>
          <w:color w:val="auto"/>
          <w:szCs w:val="21"/>
          <w:highlight w:val="none"/>
        </w:rPr>
        <w:t>条款修正错误的原则及方法调整或修正投标文件的投标报价，调整或修正的价格经投标人书面确认后具有约束力。投标人不接修正价格的，其投标将被拒绝。</w:t>
      </w:r>
    </w:p>
    <w:p w14:paraId="56769D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章“投标人须知”第</w:t>
      </w:r>
      <w:r>
        <w:rPr>
          <w:rFonts w:ascii="宋体" w:hAnsi="宋体" w:cs="宋体"/>
          <w:color w:val="auto"/>
          <w:szCs w:val="21"/>
          <w:highlight w:val="none"/>
        </w:rPr>
        <w:t>1.4.2,1.4.3</w:t>
      </w:r>
      <w:r>
        <w:rPr>
          <w:rFonts w:hint="eastAsia" w:ascii="宋体" w:hAnsi="宋体" w:cs="宋体"/>
          <w:color w:val="auto"/>
          <w:szCs w:val="21"/>
          <w:highlight w:val="none"/>
        </w:rPr>
        <w:t>条规定的任何一种情形的。</w:t>
      </w:r>
    </w:p>
    <w:p w14:paraId="105E3F6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）投标人有串通投标、弄虚作假、行贿等违法行为。</w:t>
      </w:r>
    </w:p>
    <w:p w14:paraId="4CEC348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）投标文件没有对招标文件的实质性要求和条件作出响应。</w:t>
      </w:r>
    </w:p>
    <w:p w14:paraId="6B7C65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eastAsia="宋体" w:cs="宋体"/>
          <w:color w:val="auto"/>
          <w:szCs w:val="21"/>
          <w:highlight w:val="none"/>
        </w:rPr>
        <w:t>未按规定的格式填写导致实质性内容不全以及实质上不响应，或者关键字迹模糊、无法辨认；经公共资源交易监督部门核准的。</w:t>
      </w:r>
    </w:p>
    <w:p w14:paraId="5DB6FD7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）同一投标人提交两个以上不同的投标文件或者投标报价，但招标文件规定提交备选投标的除外。</w:t>
      </w:r>
    </w:p>
    <w:p w14:paraId="15FD20A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）投标文件中存在招标人不能接受的其他实质性条件。</w:t>
      </w:r>
    </w:p>
    <w:p w14:paraId="4407D26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）投标文件中填报的拟任项目负责人与资格审查通过的项目负责人前后不一致的。</w:t>
      </w:r>
    </w:p>
    <w:p w14:paraId="606D40C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10FE875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bookmarkStart w:id="736" w:name="_Toc15058923"/>
      <w:bookmarkStart w:id="737" w:name="_Toc506107329"/>
      <w:bookmarkStart w:id="738" w:name="_Toc324404877"/>
      <w:bookmarkStart w:id="739" w:name="_Toc35425124"/>
      <w:bookmarkStart w:id="740" w:name="_Toc35424958"/>
      <w:bookmarkStart w:id="741" w:name="_Toc27846"/>
      <w:r>
        <w:rPr>
          <w:rFonts w:hint="eastAsia" w:ascii="宋体" w:hAnsi="宋体" w:cs="宋体"/>
          <w:color w:val="auto"/>
          <w:szCs w:val="21"/>
          <w:highlight w:val="none"/>
        </w:rPr>
        <w:t>（11）投标人投标MAC地址一致。</w:t>
      </w:r>
    </w:p>
    <w:p w14:paraId="604EFEA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（12）投标人申请开具电子保函MAC地址一致。</w:t>
      </w:r>
    </w:p>
    <w:p w14:paraId="1011E7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（13）投标人单方面出现其他投标人材料。</w:t>
      </w:r>
    </w:p>
    <w:p w14:paraId="11708C1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（14）评标时查询投标文件制作机器码、文件创建标识码及造价软件加密锁号。若存在投标文件制作机器码或创建标识码或造价软件加密锁号信息与其他投标人雷同的，投标无效。</w:t>
      </w:r>
    </w:p>
    <w:p w14:paraId="63A6F8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bCs/>
          <w:color w:val="auto"/>
          <w:sz w:val="21"/>
          <w:szCs w:val="21"/>
          <w:highlight w:val="none"/>
          <w:shd w:val="clear" w:color="auto" w:fill="FFFFFF"/>
        </w:rPr>
        <w:t>投标人联系人或联系电话</w:t>
      </w:r>
      <w:r>
        <w:rPr>
          <w:rFonts w:hint="eastAsia"/>
          <w:bCs/>
          <w:color w:val="auto"/>
          <w:sz w:val="21"/>
          <w:szCs w:val="21"/>
          <w:highlight w:val="none"/>
          <w:shd w:val="clear" w:color="auto" w:fill="FFFFFF"/>
          <w:lang w:val="en-US" w:eastAsia="zh-CN"/>
        </w:rPr>
        <w:t>相同的</w:t>
      </w:r>
      <w:r>
        <w:rPr>
          <w:rFonts w:hint="eastAsia"/>
          <w:bCs/>
          <w:color w:val="auto"/>
          <w:sz w:val="21"/>
          <w:szCs w:val="21"/>
          <w:highlight w:val="none"/>
          <w:shd w:val="clear" w:color="auto" w:fill="FFFFFF"/>
          <w:lang w:eastAsia="zh-CN"/>
        </w:rPr>
        <w:t>。</w:t>
      </w:r>
    </w:p>
    <w:p w14:paraId="3A4AC0C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）法律、法规规定的其他情形。</w:t>
      </w:r>
    </w:p>
    <w:p w14:paraId="5ED18EEA">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投标文件的澄清和补正</w:t>
      </w:r>
      <w:bookmarkEnd w:id="736"/>
      <w:bookmarkEnd w:id="737"/>
      <w:bookmarkEnd w:id="738"/>
      <w:bookmarkEnd w:id="739"/>
      <w:bookmarkEnd w:id="740"/>
      <w:bookmarkEnd w:id="741"/>
    </w:p>
    <w:p w14:paraId="1DE72A9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357C3C1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0942CB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评标委员会对投标人提交的澄清、说明和补正有疑问的，可以要求投标人进一步澄清、说明或补正、直至满足评标委员会的要求。</w:t>
      </w:r>
    </w:p>
    <w:p w14:paraId="48651F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4CDECA3A">
      <w:pPr>
        <w:pStyle w:val="4"/>
        <w:spacing w:beforeLines="50" w:afterLines="50"/>
        <w:ind w:firstLine="422" w:firstLineChars="200"/>
        <w:rPr>
          <w:rFonts w:ascii="宋体" w:hAnsi="宋体" w:eastAsia="宋体" w:cs="宋体"/>
          <w:color w:val="auto"/>
          <w:highlight w:val="none"/>
        </w:rPr>
      </w:pPr>
      <w:bookmarkStart w:id="742" w:name="_Toc35425125"/>
      <w:bookmarkStart w:id="743" w:name="_Toc324404878"/>
      <w:bookmarkStart w:id="744" w:name="_Toc15058924"/>
      <w:bookmarkStart w:id="745" w:name="_Toc35424959"/>
      <w:bookmarkStart w:id="746" w:name="_Toc13990"/>
      <w:bookmarkStart w:id="747" w:name="_Toc506107330"/>
      <w:r>
        <w:rPr>
          <w:rFonts w:ascii="宋体" w:hAnsi="宋体" w:eastAsia="宋体" w:cs="宋体"/>
          <w:color w:val="auto"/>
          <w:highlight w:val="none"/>
        </w:rPr>
        <w:t>7.</w:t>
      </w:r>
      <w:r>
        <w:rPr>
          <w:rFonts w:hint="eastAsia" w:ascii="宋体" w:hAnsi="宋体" w:eastAsia="宋体" w:cs="宋体"/>
          <w:color w:val="auto"/>
          <w:highlight w:val="none"/>
        </w:rPr>
        <w:t>评分标准</w:t>
      </w:r>
      <w:bookmarkEnd w:id="742"/>
      <w:bookmarkEnd w:id="743"/>
      <w:bookmarkEnd w:id="744"/>
      <w:bookmarkEnd w:id="745"/>
      <w:bookmarkEnd w:id="746"/>
      <w:bookmarkEnd w:id="747"/>
    </w:p>
    <w:p w14:paraId="76F3AB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color w:val="auto"/>
          <w:szCs w:val="21"/>
          <w:highlight w:val="none"/>
        </w:rPr>
      </w:pPr>
      <w:bookmarkStart w:id="748" w:name="_Toc324404879"/>
      <w:bookmarkStart w:id="749" w:name="_Toc35424960"/>
      <w:bookmarkStart w:id="750" w:name="_Toc506107331"/>
      <w:bookmarkStart w:id="751" w:name="_Toc22863"/>
      <w:bookmarkStart w:id="752" w:name="_Toc35425126"/>
      <w:bookmarkStart w:id="753" w:name="_Toc15058925"/>
      <w:r>
        <w:rPr>
          <w:rFonts w:hint="eastAsia" w:ascii="宋体" w:hAnsi="宋体" w:cs="宋体"/>
          <w:color w:val="auto"/>
          <w:szCs w:val="21"/>
          <w:highlight w:val="none"/>
        </w:rPr>
        <w:t>评分标准：见评</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表。</w:t>
      </w:r>
    </w:p>
    <w:p w14:paraId="1B32134A">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评审结果</w:t>
      </w:r>
      <w:bookmarkEnd w:id="748"/>
      <w:bookmarkEnd w:id="749"/>
      <w:bookmarkEnd w:id="750"/>
      <w:bookmarkEnd w:id="751"/>
      <w:bookmarkEnd w:id="752"/>
      <w:bookmarkEnd w:id="753"/>
    </w:p>
    <w:p w14:paraId="6BC220B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8.1</w:t>
      </w:r>
      <w:r>
        <w:rPr>
          <w:rFonts w:hint="eastAsia" w:ascii="宋体" w:hAnsi="宋体" w:cs="宋体"/>
          <w:color w:val="auto"/>
          <w:szCs w:val="21"/>
          <w:highlight w:val="none"/>
        </w:rPr>
        <w:t>除投标人须知前附表授权直接确定中标人外，评标委员会按照总得分由高到低顺序推荐中标候选人。</w:t>
      </w:r>
    </w:p>
    <w:p w14:paraId="52A9238C">
      <w:pPr>
        <w:keepNext w:val="0"/>
        <w:keepLines w:val="0"/>
        <w:pageBreakBefore w:val="0"/>
        <w:widowControl w:val="0"/>
        <w:kinsoku/>
        <w:wordWrap/>
        <w:overflowPunct/>
        <w:topLinePunct w:val="0"/>
        <w:autoSpaceDE/>
        <w:autoSpaceDN/>
        <w:bidi w:val="0"/>
        <w:adjustRightInd/>
        <w:snapToGrid/>
        <w:spacing w:line="500" w:lineRule="exact"/>
        <w:ind w:right="-168" w:rightChars="-80" w:firstLine="420" w:firstLineChars="200"/>
        <w:jc w:val="left"/>
        <w:textAlignment w:val="auto"/>
        <w:rPr>
          <w:rFonts w:ascii="宋体" w:cs="宋体"/>
          <w:color w:val="auto"/>
          <w:szCs w:val="21"/>
          <w:highlight w:val="none"/>
        </w:rPr>
      </w:pPr>
      <w:r>
        <w:rPr>
          <w:rFonts w:ascii="宋体" w:hAnsi="宋体" w:cs="宋体"/>
          <w:color w:val="auto"/>
          <w:szCs w:val="21"/>
          <w:highlight w:val="none"/>
        </w:rPr>
        <w:t>8.2</w:t>
      </w:r>
      <w:r>
        <w:rPr>
          <w:rFonts w:hint="eastAsia" w:ascii="宋体" w:hAnsi="宋体" w:cs="宋体"/>
          <w:color w:val="auto"/>
          <w:szCs w:val="21"/>
          <w:highlight w:val="none"/>
        </w:rPr>
        <w:t>评标委员会完成评标后，应当向招标人提交书面评标报告。评标报告应当如实记载以下内容：</w:t>
      </w:r>
    </w:p>
    <w:p w14:paraId="5CBCE41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）基本情况和数据表。</w:t>
      </w:r>
    </w:p>
    <w:p w14:paraId="76D74D3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）评标委员会成员名单。</w:t>
      </w:r>
    </w:p>
    <w:p w14:paraId="5FCFF88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）开标记录。</w:t>
      </w:r>
    </w:p>
    <w:p w14:paraId="35D294B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）符合要求的投标人一览表。</w:t>
      </w:r>
    </w:p>
    <w:p w14:paraId="41001FE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）废标情况说明。</w:t>
      </w:r>
    </w:p>
    <w:p w14:paraId="064CEC3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）评标标准、评标方法或者评标因素。</w:t>
      </w:r>
    </w:p>
    <w:p w14:paraId="7FD9F9C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）经评审的价格一览表。</w:t>
      </w:r>
    </w:p>
    <w:p w14:paraId="56BAC4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）经评审的投标人排序。</w:t>
      </w:r>
    </w:p>
    <w:p w14:paraId="5E2177D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）推荐的中标候选人名单与签订合同前要处理的事宜。</w:t>
      </w:r>
    </w:p>
    <w:p w14:paraId="0A08DF4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）澄清、说明、补正事项纪要。</w:t>
      </w:r>
    </w:p>
    <w:p w14:paraId="2E055FD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8.3</w:t>
      </w:r>
      <w:r>
        <w:rPr>
          <w:rFonts w:hint="eastAsia" w:ascii="宋体" w:hAnsi="宋体" w:cs="宋体"/>
          <w:color w:val="auto"/>
          <w:szCs w:val="21"/>
          <w:highlight w:val="none"/>
        </w:rPr>
        <w:t>评标委员会推荐的中标候选人应当限定在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名。</w:t>
      </w:r>
    </w:p>
    <w:p w14:paraId="38AC53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8.4</w:t>
      </w:r>
      <w:r>
        <w:rPr>
          <w:rFonts w:hint="eastAsia" w:ascii="宋体" w:hAnsi="宋体" w:cs="宋体"/>
          <w:color w:val="auto"/>
          <w:szCs w:val="21"/>
          <w:highlight w:val="none"/>
        </w:rPr>
        <w:t>招标人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中标候选人</w:t>
      </w:r>
      <w:r>
        <w:rPr>
          <w:rFonts w:hint="eastAsia" w:ascii="宋体" w:hAnsi="宋体" w:cs="宋体"/>
          <w:color w:val="auto"/>
          <w:szCs w:val="21"/>
          <w:highlight w:val="none"/>
          <w:lang w:val="en-US" w:eastAsia="zh-CN"/>
        </w:rPr>
        <w:t>为中标人</w:t>
      </w:r>
      <w:r>
        <w:rPr>
          <w:rFonts w:hint="eastAsia" w:ascii="宋体" w:hAnsi="宋体" w:cs="宋体"/>
          <w:color w:val="auto"/>
          <w:szCs w:val="21"/>
          <w:highlight w:val="none"/>
        </w:rPr>
        <w:t>，以此类推，也可以依法重新组织招标。</w:t>
      </w:r>
    </w:p>
    <w:p w14:paraId="320C808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4342FEE0">
      <w:pPr>
        <w:pStyle w:val="4"/>
        <w:spacing w:beforeLines="50" w:afterLines="50"/>
        <w:ind w:firstLine="422" w:firstLineChars="200"/>
        <w:rPr>
          <w:rFonts w:ascii="宋体" w:hAnsi="宋体" w:eastAsia="宋体" w:cs="宋体"/>
          <w:color w:val="auto"/>
          <w:highlight w:val="none"/>
        </w:rPr>
      </w:pPr>
      <w:bookmarkStart w:id="754" w:name="_Toc15058926"/>
      <w:bookmarkStart w:id="755" w:name="_Toc35424961"/>
      <w:bookmarkStart w:id="756" w:name="_Toc506107332"/>
      <w:bookmarkStart w:id="757" w:name="_Toc324404880"/>
      <w:bookmarkStart w:id="758" w:name="_Toc1576"/>
      <w:bookmarkStart w:id="759" w:name="_Toc35425127"/>
      <w:r>
        <w:rPr>
          <w:rFonts w:ascii="宋体" w:hAnsi="宋体" w:eastAsia="宋体" w:cs="宋体"/>
          <w:color w:val="auto"/>
          <w:highlight w:val="none"/>
        </w:rPr>
        <w:t>9.</w:t>
      </w:r>
      <w:r>
        <w:rPr>
          <w:rFonts w:hint="eastAsia" w:ascii="宋体" w:hAnsi="宋体" w:eastAsia="宋体" w:cs="宋体"/>
          <w:color w:val="auto"/>
          <w:highlight w:val="none"/>
        </w:rPr>
        <w:t>其他</w:t>
      </w:r>
      <w:bookmarkEnd w:id="754"/>
      <w:bookmarkEnd w:id="755"/>
      <w:bookmarkEnd w:id="756"/>
      <w:bookmarkEnd w:id="757"/>
      <w:bookmarkEnd w:id="758"/>
      <w:bookmarkEnd w:id="759"/>
    </w:p>
    <w:p w14:paraId="0CC65B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688"/>
      <w:bookmarkEnd w:id="689"/>
      <w:bookmarkEnd w:id="690"/>
      <w:bookmarkEnd w:id="691"/>
      <w:bookmarkEnd w:id="692"/>
      <w:bookmarkEnd w:id="693"/>
      <w:bookmarkEnd w:id="694"/>
      <w:bookmarkEnd w:id="695"/>
      <w:bookmarkStart w:id="760" w:name="_Toc15058927"/>
      <w:bookmarkStart w:id="761" w:name="_Toc35425128"/>
      <w:bookmarkStart w:id="762" w:name="_Toc506107333"/>
      <w:bookmarkStart w:id="763" w:name="_Toc35424962"/>
      <w:bookmarkStart w:id="764" w:name="_Toc152045767"/>
      <w:bookmarkStart w:id="765" w:name="_Toc152042546"/>
      <w:bookmarkStart w:id="766" w:name="_Toc144974826"/>
      <w:bookmarkStart w:id="767" w:name="_Toc179632785"/>
    </w:p>
    <w:p w14:paraId="5AE6C31C">
      <w:pPr>
        <w:pStyle w:val="3"/>
        <w:rPr>
          <w:color w:val="auto"/>
          <w:highlight w:val="none"/>
        </w:rPr>
      </w:pPr>
      <w:r>
        <w:rPr>
          <w:color w:val="auto"/>
          <w:highlight w:val="none"/>
        </w:rPr>
        <w:br w:type="page"/>
      </w:r>
      <w:bookmarkStart w:id="768" w:name="_Toc16404"/>
      <w:r>
        <w:rPr>
          <w:rFonts w:hint="eastAsia" w:ascii="Arial" w:hAnsi="Arial"/>
          <w:color w:val="auto"/>
          <w:kern w:val="0"/>
          <w:sz w:val="32"/>
          <w:szCs w:val="32"/>
          <w:highlight w:val="none"/>
        </w:rPr>
        <w:t>第四章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合同条款及格式</w:t>
      </w:r>
      <w:bookmarkEnd w:id="760"/>
      <w:bookmarkEnd w:id="761"/>
      <w:bookmarkEnd w:id="762"/>
      <w:bookmarkEnd w:id="763"/>
      <w:bookmarkEnd w:id="768"/>
    </w:p>
    <w:bookmarkEnd w:id="764"/>
    <w:bookmarkEnd w:id="765"/>
    <w:bookmarkEnd w:id="766"/>
    <w:bookmarkEnd w:id="767"/>
    <w:p w14:paraId="642BA80F">
      <w:pPr>
        <w:spacing w:line="360" w:lineRule="auto"/>
        <w:jc w:val="center"/>
        <w:rPr>
          <w:rFonts w:hint="eastAsia" w:ascii="仿宋_GB2312" w:eastAsia="仿宋_GB2312"/>
          <w:b/>
          <w:color w:val="auto"/>
          <w:sz w:val="28"/>
          <w:szCs w:val="28"/>
          <w:highlight w:val="none"/>
        </w:rPr>
      </w:pPr>
    </w:p>
    <w:p w14:paraId="0C7CD66F">
      <w:pPr>
        <w:spacing w:line="360" w:lineRule="auto"/>
        <w:jc w:val="center"/>
        <w:rPr>
          <w:rFonts w:hint="eastAsia" w:ascii="仿宋_GB2312" w:eastAsia="仿宋_GB2312"/>
          <w:b/>
          <w:color w:val="auto"/>
          <w:sz w:val="28"/>
          <w:szCs w:val="28"/>
          <w:highlight w:val="none"/>
        </w:rPr>
      </w:pPr>
    </w:p>
    <w:p w14:paraId="75E26878">
      <w:pPr>
        <w:spacing w:line="360" w:lineRule="auto"/>
        <w:jc w:val="center"/>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（ＧＦ－</w:t>
      </w:r>
      <w:r>
        <w:rPr>
          <w:rFonts w:ascii="仿宋_GB2312" w:eastAsia="仿宋_GB2312"/>
          <w:b/>
          <w:color w:val="auto"/>
          <w:sz w:val="28"/>
          <w:szCs w:val="28"/>
          <w:highlight w:val="none"/>
        </w:rPr>
        <w:t>2012</w:t>
      </w:r>
      <w:r>
        <w:rPr>
          <w:rFonts w:hint="eastAsia" w:ascii="仿宋_GB2312" w:eastAsia="仿宋_GB2312"/>
          <w:b/>
          <w:color w:val="auto"/>
          <w:sz w:val="28"/>
          <w:szCs w:val="28"/>
          <w:highlight w:val="none"/>
        </w:rPr>
        <w:t>－</w:t>
      </w:r>
      <w:r>
        <w:rPr>
          <w:rFonts w:ascii="仿宋_GB2312" w:eastAsia="仿宋_GB2312"/>
          <w:b/>
          <w:color w:val="auto"/>
          <w:sz w:val="28"/>
          <w:szCs w:val="28"/>
          <w:highlight w:val="none"/>
        </w:rPr>
        <w:t>0202</w:t>
      </w:r>
      <w:r>
        <w:rPr>
          <w:rFonts w:hint="eastAsia" w:ascii="仿宋_GB2312" w:eastAsia="仿宋_GB2312"/>
          <w:b/>
          <w:color w:val="auto"/>
          <w:sz w:val="28"/>
          <w:szCs w:val="28"/>
          <w:highlight w:val="none"/>
        </w:rPr>
        <w:t>）</w:t>
      </w:r>
    </w:p>
    <w:p w14:paraId="36CBD3F6">
      <w:pPr>
        <w:spacing w:line="360" w:lineRule="auto"/>
        <w:jc w:val="center"/>
        <w:rPr>
          <w:rFonts w:ascii="仿宋_GB2312" w:hAnsi="宋体" w:eastAsia="仿宋_GB2312"/>
          <w:b/>
          <w:bCs/>
          <w:color w:val="auto"/>
          <w:sz w:val="28"/>
          <w:szCs w:val="28"/>
          <w:highlight w:val="none"/>
        </w:rPr>
      </w:pPr>
    </w:p>
    <w:p w14:paraId="5D0691A2">
      <w:pPr>
        <w:spacing w:line="360" w:lineRule="auto"/>
        <w:jc w:val="center"/>
        <w:rPr>
          <w:rFonts w:ascii="华文中宋" w:hAnsi="华文中宋" w:eastAsia="华文中宋"/>
          <w:b/>
          <w:bCs/>
          <w:color w:val="auto"/>
          <w:sz w:val="28"/>
          <w:szCs w:val="28"/>
          <w:highlight w:val="none"/>
        </w:rPr>
      </w:pPr>
    </w:p>
    <w:p w14:paraId="05208BE5">
      <w:pPr>
        <w:spacing w:line="360" w:lineRule="auto"/>
        <w:jc w:val="center"/>
        <w:rPr>
          <w:rFonts w:ascii="华文中宋" w:hAnsi="华文中宋" w:eastAsia="华文中宋"/>
          <w:b/>
          <w:bCs/>
          <w:color w:val="auto"/>
          <w:sz w:val="28"/>
          <w:szCs w:val="28"/>
          <w:highlight w:val="none"/>
        </w:rPr>
      </w:pPr>
    </w:p>
    <w:p w14:paraId="7A16BA2B">
      <w:pPr>
        <w:spacing w:line="360" w:lineRule="auto"/>
        <w:jc w:val="center"/>
        <w:rPr>
          <w:rFonts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rPr>
        <w:t>建设工程监理合同</w:t>
      </w:r>
    </w:p>
    <w:p w14:paraId="218A2611">
      <w:pPr>
        <w:spacing w:line="360" w:lineRule="auto"/>
        <w:jc w:val="center"/>
        <w:rPr>
          <w:rFonts w:ascii="华文仿宋" w:hAnsi="华文仿宋" w:eastAsia="华文仿宋" w:cs="华文仿宋"/>
          <w:b/>
          <w:bCs/>
          <w:color w:val="auto"/>
          <w:sz w:val="56"/>
          <w:szCs w:val="56"/>
          <w:highlight w:val="none"/>
        </w:rPr>
      </w:pPr>
      <w:r>
        <w:rPr>
          <w:rFonts w:hint="eastAsia" w:ascii="华文仿宋" w:hAnsi="华文仿宋" w:eastAsia="华文仿宋" w:cs="华文仿宋"/>
          <w:b/>
          <w:bCs/>
          <w:color w:val="auto"/>
          <w:sz w:val="56"/>
          <w:szCs w:val="56"/>
          <w:highlight w:val="none"/>
        </w:rPr>
        <w:t>（示范文本）</w:t>
      </w:r>
    </w:p>
    <w:p w14:paraId="6A2E0E16">
      <w:pPr>
        <w:spacing w:line="360" w:lineRule="auto"/>
        <w:rPr>
          <w:rFonts w:ascii="仿宋_GB2312" w:hAnsi="宋体" w:eastAsia="仿宋_GB2312"/>
          <w:b/>
          <w:bCs/>
          <w:color w:val="auto"/>
          <w:sz w:val="28"/>
          <w:szCs w:val="28"/>
          <w:highlight w:val="none"/>
        </w:rPr>
      </w:pPr>
    </w:p>
    <w:p w14:paraId="18B87364">
      <w:pPr>
        <w:spacing w:line="360" w:lineRule="auto"/>
        <w:jc w:val="center"/>
        <w:rPr>
          <w:rFonts w:ascii="仿宋_GB2312" w:hAnsi="宋体" w:eastAsia="仿宋_GB2312"/>
          <w:b/>
          <w:bCs/>
          <w:color w:val="auto"/>
          <w:sz w:val="28"/>
          <w:szCs w:val="28"/>
          <w:highlight w:val="none"/>
        </w:rPr>
      </w:pPr>
    </w:p>
    <w:p w14:paraId="4456B433">
      <w:pPr>
        <w:pStyle w:val="45"/>
        <w:ind w:left="31680" w:firstLine="31680"/>
        <w:rPr>
          <w:rFonts w:ascii="仿宋_GB2312" w:hAnsi="宋体" w:eastAsia="仿宋_GB2312"/>
          <w:b/>
          <w:bCs/>
          <w:color w:val="auto"/>
          <w:sz w:val="28"/>
          <w:szCs w:val="28"/>
          <w:highlight w:val="none"/>
        </w:rPr>
      </w:pPr>
    </w:p>
    <w:p w14:paraId="6CE894E0">
      <w:pPr>
        <w:rPr>
          <w:rFonts w:ascii="仿宋_GB2312" w:hAnsi="宋体" w:eastAsia="仿宋_GB2312"/>
          <w:b/>
          <w:bCs/>
          <w:color w:val="auto"/>
          <w:sz w:val="28"/>
          <w:szCs w:val="28"/>
          <w:highlight w:val="none"/>
        </w:rPr>
      </w:pPr>
    </w:p>
    <w:p w14:paraId="612D7E44">
      <w:pPr>
        <w:pStyle w:val="45"/>
        <w:ind w:left="31680" w:firstLine="31680"/>
        <w:rPr>
          <w:rFonts w:ascii="仿宋_GB2312" w:hAnsi="宋体" w:eastAsia="仿宋_GB2312"/>
          <w:b/>
          <w:bCs/>
          <w:color w:val="auto"/>
          <w:sz w:val="28"/>
          <w:szCs w:val="28"/>
          <w:highlight w:val="none"/>
        </w:rPr>
      </w:pPr>
    </w:p>
    <w:p w14:paraId="2F773092">
      <w:pPr>
        <w:spacing w:line="360" w:lineRule="auto"/>
        <w:rPr>
          <w:rFonts w:ascii="仿宋_GB2312" w:hAnsi="宋体" w:eastAsia="仿宋_GB2312"/>
          <w:b/>
          <w:bCs/>
          <w:color w:val="auto"/>
          <w:sz w:val="28"/>
          <w:szCs w:val="28"/>
          <w:highlight w:val="none"/>
        </w:rPr>
      </w:pPr>
    </w:p>
    <w:p w14:paraId="262D8162">
      <w:pPr>
        <w:pStyle w:val="45"/>
        <w:rPr>
          <w:color w:val="auto"/>
          <w:highlight w:val="none"/>
        </w:rPr>
      </w:pPr>
    </w:p>
    <w:p w14:paraId="0A520846">
      <w:pPr>
        <w:spacing w:line="360" w:lineRule="auto"/>
        <w:jc w:val="center"/>
        <w:rPr>
          <w:rFonts w:ascii="仿宋_GB2312" w:hAnsi="宋体" w:eastAsia="仿宋_GB2312"/>
          <w:b/>
          <w:bCs/>
          <w:color w:val="auto"/>
          <w:sz w:val="28"/>
          <w:szCs w:val="28"/>
          <w:highlight w:val="none"/>
        </w:rPr>
      </w:pPr>
    </w:p>
    <w:p w14:paraId="3C9FDAA1">
      <w:pPr>
        <w:spacing w:line="360" w:lineRule="auto"/>
        <w:jc w:val="center"/>
        <w:rPr>
          <w:rFonts w:ascii="华文中宋" w:hAnsi="华文中宋" w:eastAsia="华文中宋"/>
          <w:b/>
          <w:color w:val="auto"/>
          <w:sz w:val="28"/>
          <w:szCs w:val="28"/>
          <w:highlight w:val="none"/>
        </w:rPr>
      </w:pPr>
      <w:r>
        <w:rPr>
          <w:rFonts w:ascii="仿宋_GB2312" w:hAnsi="宋体" w:eastAsia="仿宋_GB2312"/>
          <w:b/>
          <w:bCs/>
          <w:color w:val="auto"/>
          <w:sz w:val="28"/>
          <w:szCs w:val="28"/>
          <w:highlight w:val="none"/>
        </w:rPr>
        <w:t xml:space="preserve">  </w:t>
      </w:r>
      <w:r>
        <w:rPr>
          <w:rFonts w:hint="eastAsia" w:ascii="华文中宋" w:hAnsi="华文中宋" w:eastAsia="华文中宋"/>
          <w:b/>
          <w:bCs/>
          <w:color w:val="auto"/>
          <w:sz w:val="28"/>
          <w:szCs w:val="28"/>
          <w:highlight w:val="none"/>
        </w:rPr>
        <w:t>住房和城乡建设部</w:t>
      </w:r>
    </w:p>
    <w:p w14:paraId="194A09D7">
      <w:pPr>
        <w:spacing w:line="360" w:lineRule="auto"/>
        <w:jc w:val="center"/>
        <w:rPr>
          <w:rFonts w:ascii="华文中宋" w:hAnsi="华文中宋" w:eastAsia="华文中宋"/>
          <w:b/>
          <w:color w:val="auto"/>
          <w:sz w:val="28"/>
          <w:szCs w:val="28"/>
          <w:highlight w:val="none"/>
        </w:rPr>
      </w:pPr>
      <w:r>
        <w:rPr>
          <w:rFonts w:ascii="华文中宋" w:hAnsi="华文中宋" w:eastAsia="华文中宋"/>
          <w:b/>
          <w:color w:val="auto"/>
          <w:sz w:val="28"/>
          <w:szCs w:val="28"/>
          <w:highlight w:val="none"/>
        </w:rPr>
        <w:t xml:space="preserve">                                      </w:t>
      </w:r>
      <w:r>
        <w:rPr>
          <w:rFonts w:hint="eastAsia" w:ascii="华文中宋" w:hAnsi="华文中宋" w:eastAsia="华文中宋"/>
          <w:b/>
          <w:color w:val="auto"/>
          <w:sz w:val="28"/>
          <w:szCs w:val="28"/>
          <w:highlight w:val="none"/>
        </w:rPr>
        <w:t>制定</w:t>
      </w:r>
    </w:p>
    <w:p w14:paraId="55AFBD54">
      <w:pPr>
        <w:spacing w:line="360" w:lineRule="auto"/>
        <w:jc w:val="center"/>
        <w:rPr>
          <w:rFonts w:ascii="华文中宋" w:hAnsi="华文中宋" w:eastAsia="华文中宋"/>
          <w:b/>
          <w:color w:val="auto"/>
          <w:sz w:val="28"/>
          <w:szCs w:val="28"/>
          <w:highlight w:val="none"/>
        </w:rPr>
      </w:pPr>
      <w:r>
        <w:rPr>
          <w:rFonts w:ascii="华文中宋" w:hAnsi="华文中宋" w:eastAsia="华文中宋"/>
          <w:b/>
          <w:bCs/>
          <w:color w:val="auto"/>
          <w:sz w:val="28"/>
          <w:szCs w:val="28"/>
          <w:highlight w:val="none"/>
        </w:rPr>
        <w:t xml:space="preserve">   </w:t>
      </w:r>
      <w:r>
        <w:rPr>
          <w:rFonts w:hint="eastAsia" w:ascii="华文中宋" w:hAnsi="华文中宋" w:eastAsia="华文中宋"/>
          <w:b/>
          <w:bCs/>
          <w:color w:val="auto"/>
          <w:sz w:val="28"/>
          <w:szCs w:val="28"/>
          <w:highlight w:val="none"/>
        </w:rPr>
        <w:t>国家工商行政管理总局</w:t>
      </w:r>
    </w:p>
    <w:p w14:paraId="255916FD">
      <w:pPr>
        <w:spacing w:line="520" w:lineRule="exact"/>
        <w:jc w:val="center"/>
        <w:rPr>
          <w:rFonts w:ascii="宋体"/>
          <w:b/>
          <w:bCs/>
          <w:color w:val="auto"/>
          <w:sz w:val="28"/>
          <w:szCs w:val="28"/>
          <w:highlight w:val="none"/>
        </w:rPr>
      </w:pPr>
    </w:p>
    <w:p w14:paraId="5E9092CE">
      <w:pPr>
        <w:pStyle w:val="45"/>
        <w:ind w:left="31680" w:firstLine="31680"/>
        <w:rPr>
          <w:color w:val="auto"/>
          <w:highlight w:val="none"/>
        </w:rPr>
      </w:pPr>
    </w:p>
    <w:p w14:paraId="65FC6890">
      <w:pPr>
        <w:tabs>
          <w:tab w:val="left" w:pos="3120"/>
        </w:tabs>
        <w:spacing w:beforeLines="50" w:afterLines="50" w:line="440" w:lineRule="exact"/>
        <w:jc w:val="center"/>
        <w:rPr>
          <w:rFonts w:ascii="仿宋_GB2312" w:hAnsi="宋体" w:eastAsia="仿宋_GB2312"/>
          <w:b/>
          <w:color w:val="auto"/>
          <w:sz w:val="13"/>
          <w:szCs w:val="13"/>
          <w:highlight w:val="none"/>
        </w:rPr>
      </w:pPr>
      <w:r>
        <w:rPr>
          <w:rFonts w:hint="eastAsia" w:ascii="宋体" w:hAnsi="宋体" w:cs="宋体"/>
          <w:b/>
          <w:bCs/>
          <w:color w:val="auto"/>
          <w:sz w:val="28"/>
          <w:szCs w:val="28"/>
          <w:highlight w:val="none"/>
        </w:rPr>
        <w:t>第一部分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协议书</w:t>
      </w:r>
    </w:p>
    <w:p w14:paraId="6998C28C">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b/>
          <w:color w:val="auto"/>
          <w:szCs w:val="21"/>
          <w:highlight w:val="none"/>
          <w:lang w:val="en-US" w:eastAsia="zh-CN"/>
        </w:rPr>
      </w:pPr>
      <w:r>
        <w:rPr>
          <w:rFonts w:hint="eastAsia" w:ascii="宋体" w:hAnsi="宋体" w:cs="宋体"/>
          <w:b/>
          <w:color w:val="auto"/>
          <w:szCs w:val="21"/>
          <w:highlight w:val="none"/>
        </w:rPr>
        <w:t>委托人（全称）：</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p>
    <w:p w14:paraId="63C7F7C6">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color w:val="auto"/>
          <w:szCs w:val="21"/>
          <w:highlight w:val="none"/>
          <w:lang w:val="en-US" w:eastAsia="zh-CN"/>
        </w:rPr>
      </w:pPr>
      <w:r>
        <w:rPr>
          <w:rFonts w:hint="eastAsia" w:ascii="宋体" w:hAnsi="宋体" w:cs="宋体"/>
          <w:b/>
          <w:color w:val="auto"/>
          <w:szCs w:val="21"/>
          <w:highlight w:val="none"/>
        </w:rPr>
        <w:t>监理人（全称）：</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318091F6">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》、《中华人民共和国建筑法》及其他有关法律、法规，遵循平等、自愿、公平和诚信的原则，双方就下述工程委托监理与相关服务事项协商一致，订立本合同。</w:t>
      </w:r>
    </w:p>
    <w:p w14:paraId="4E14FC0F">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一、工程概况</w:t>
      </w:r>
    </w:p>
    <w:p w14:paraId="1C61914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AC9768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工程地点：</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D1B0F69">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工程规模：</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7FEA05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工程</w:t>
      </w:r>
      <w:r>
        <w:rPr>
          <w:rFonts w:hint="eastAsia" w:ascii="宋体" w:hAnsi="宋体" w:cs="宋体"/>
          <w:color w:val="auto"/>
          <w:kern w:val="0"/>
          <w:szCs w:val="21"/>
          <w:highlight w:val="none"/>
        </w:rPr>
        <w:t>概算投资额或建筑安装工程费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AD54650">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二、词语限定</w:t>
      </w:r>
    </w:p>
    <w:p w14:paraId="1BD904F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14:paraId="72D2D203">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三、组成本合同的文件</w:t>
      </w:r>
    </w:p>
    <w:p w14:paraId="6BAAB7F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协议书；</w:t>
      </w:r>
    </w:p>
    <w:p w14:paraId="09D20DC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中标通知书（适用于招标工程）或委托书（适用于非招标工程）；</w:t>
      </w:r>
    </w:p>
    <w:p w14:paraId="663257D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投标文件（适用于招标工程）或监理与相关服务建议书（适用于非招标工程）；</w:t>
      </w:r>
    </w:p>
    <w:p w14:paraId="0973CFE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专用条件；</w:t>
      </w:r>
    </w:p>
    <w:p w14:paraId="762E092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通用条件；</w:t>
      </w:r>
    </w:p>
    <w:p w14:paraId="4188C4A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附录，即：</w:t>
      </w:r>
    </w:p>
    <w:p w14:paraId="7DD7A40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A  </w:t>
      </w:r>
      <w:r>
        <w:rPr>
          <w:rFonts w:hint="eastAsia" w:ascii="宋体" w:hAnsi="宋体" w:cs="宋体"/>
          <w:color w:val="auto"/>
          <w:szCs w:val="21"/>
          <w:highlight w:val="none"/>
        </w:rPr>
        <w:t>相关服务的范围和内容</w:t>
      </w:r>
    </w:p>
    <w:p w14:paraId="0C3904E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B  </w:t>
      </w:r>
      <w:r>
        <w:rPr>
          <w:rFonts w:hint="eastAsia" w:ascii="宋体" w:hAnsi="宋体" w:cs="宋体"/>
          <w:color w:val="auto"/>
          <w:szCs w:val="21"/>
          <w:highlight w:val="none"/>
        </w:rPr>
        <w:t>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14:paraId="7219341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14:paraId="6C247ED2">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四、总监理工程师</w:t>
      </w:r>
    </w:p>
    <w:p w14:paraId="4FE676AD">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总监理工程师姓名：</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，身份证号码：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，注册号：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78CB525">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五、签约酬金</w:t>
      </w:r>
    </w:p>
    <w:p w14:paraId="71F1FB07">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ascii="宋体" w:cs="宋体"/>
          <w:color w:val="auto"/>
          <w:szCs w:val="21"/>
          <w:highlight w:val="none"/>
        </w:rPr>
      </w:pPr>
      <w:r>
        <w:rPr>
          <w:rFonts w:hint="eastAsia" w:ascii="宋体" w:hAnsi="宋体" w:cs="宋体"/>
          <w:b/>
          <w:bCs/>
          <w:color w:val="auto"/>
          <w:szCs w:val="21"/>
          <w:highlight w:val="none"/>
        </w:rPr>
        <w:t>签约酬金（大写）：</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ascii="宋体" w:cs="宋体"/>
          <w:b/>
          <w:bCs/>
          <w:color w:val="auto"/>
          <w:szCs w:val="21"/>
          <w:highlight w:val="non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。监理费率为</w:t>
      </w:r>
      <w:r>
        <w:rPr>
          <w:rFonts w:ascii="宋体" w:hAnsi="宋体" w:cs="宋体"/>
          <w:b/>
          <w:bCs/>
          <w:color w:val="auto"/>
          <w:szCs w:val="21"/>
          <w:highlight w:val="none"/>
          <w:u w:val="single"/>
        </w:rPr>
        <w:t xml:space="preserve">    </w:t>
      </w:r>
      <w:r>
        <w:rPr>
          <w:rFonts w:ascii="宋体" w:hAnsi="宋体" w:cs="宋体"/>
          <w:b/>
          <w:bCs/>
          <w:color w:val="auto"/>
          <w:szCs w:val="21"/>
          <w:highlight w:val="none"/>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本项目监理费用最终支付以工程结算总造价为计费基数，监理费用=工程结算总造价*中标费率。</w:t>
      </w:r>
      <w:r>
        <w:rPr>
          <w:rFonts w:hint="eastAsia" w:ascii="宋体" w:hAnsi="宋体" w:cs="宋体"/>
          <w:b/>
          <w:bCs/>
          <w:color w:val="auto"/>
          <w:szCs w:val="21"/>
          <w:highlight w:val="none"/>
        </w:rPr>
        <w:t>中标后中标费率不予调整。无论任何原因导致的工期延长，委托人均不再增加监理费用。</w:t>
      </w:r>
      <w:r>
        <w:rPr>
          <w:rFonts w:hint="eastAsia" w:ascii="宋体" w:hAnsi="宋体" w:cs="宋体"/>
          <w:b/>
          <w:color w:val="auto"/>
          <w:szCs w:val="21"/>
          <w:highlight w:val="none"/>
        </w:rPr>
        <w:t>注：</w:t>
      </w:r>
      <w:r>
        <w:rPr>
          <w:rFonts w:hint="eastAsia" w:ascii="宋体" w:hAnsi="宋体" w:cs="宋体"/>
          <w:b/>
          <w:bCs/>
          <w:color w:val="auto"/>
          <w:szCs w:val="21"/>
          <w:highlight w:val="none"/>
        </w:rPr>
        <w:t>初期暂以工程施工中标价为计费基数计算监理费，最终支付以工程结算总造价为计费基数计算监理费。</w:t>
      </w:r>
    </w:p>
    <w:p w14:paraId="552678D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包括：</w:t>
      </w:r>
    </w:p>
    <w:p w14:paraId="18828BA4">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监理酬金：</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C7FAE0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6354A69">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其中：</w:t>
      </w:r>
    </w:p>
    <w:p w14:paraId="42AECE3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B60892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151A10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8B433A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6A99CA">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六、期限</w:t>
      </w:r>
    </w:p>
    <w:p w14:paraId="60392FE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1. </w:t>
      </w:r>
      <w:r>
        <w:rPr>
          <w:rFonts w:hint="eastAsia" w:ascii="宋体" w:hAnsi="宋体" w:cs="宋体"/>
          <w:color w:val="auto"/>
          <w:szCs w:val="21"/>
          <w:highlight w:val="none"/>
        </w:rPr>
        <w:t>监理期限：自本合同签订之日起至本项目竣工结算及保修阶段（缺陷责任期）期满止。</w:t>
      </w:r>
    </w:p>
    <w:p w14:paraId="674A007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 </w:t>
      </w:r>
      <w:r>
        <w:rPr>
          <w:rFonts w:hint="eastAsia" w:ascii="宋体" w:hAnsi="宋体" w:cs="宋体"/>
          <w:color w:val="auto"/>
          <w:szCs w:val="21"/>
          <w:highlight w:val="none"/>
        </w:rPr>
        <w:t>相关服务期限：</w:t>
      </w:r>
    </w:p>
    <w:p w14:paraId="19C35430">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26758B6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6C88C83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1E24340B">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7982DDA2">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七、双方承诺</w:t>
      </w:r>
    </w:p>
    <w:p w14:paraId="78D23612">
      <w:pPr>
        <w:pStyle w:val="22"/>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监理人向委托人承诺，按照本合同约定提供监理与相关服务。</w:t>
      </w:r>
    </w:p>
    <w:p w14:paraId="7AA9A9AC">
      <w:pPr>
        <w:pStyle w:val="22"/>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委托人向监理人承诺，按照本合同约定派遣相应的人员，提供房屋、资料、设备，并按本合同约定支付酬金。</w:t>
      </w:r>
    </w:p>
    <w:p w14:paraId="31F45A78">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八、合同订立</w:t>
      </w:r>
    </w:p>
    <w:p w14:paraId="087A014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订立时间：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435BD30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订立地点：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9E7FDB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本合同一式</w:t>
      </w:r>
      <w:r>
        <w:rPr>
          <w:rFonts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份，具有同等法律效力，双方各执</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p w14:paraId="473F2E45">
      <w:pPr>
        <w:adjustRightInd w:val="0"/>
        <w:snapToGrid w:val="0"/>
        <w:spacing w:line="440" w:lineRule="exact"/>
        <w:ind w:firstLine="420" w:firstLineChars="200"/>
        <w:jc w:val="left"/>
        <w:rPr>
          <w:rFonts w:ascii="宋体" w:cs="宋体"/>
          <w:color w:val="auto"/>
          <w:szCs w:val="21"/>
          <w:highlight w:val="none"/>
        </w:rPr>
      </w:pPr>
    </w:p>
    <w:p w14:paraId="0D0D9AD8">
      <w:pPr>
        <w:adjustRightInd w:val="0"/>
        <w:snapToGrid w:val="0"/>
        <w:spacing w:line="440" w:lineRule="exact"/>
        <w:ind w:firstLine="420" w:firstLineChars="200"/>
        <w:jc w:val="left"/>
        <w:rPr>
          <w:rFonts w:ascii="宋体" w:cs="宋体"/>
          <w:color w:val="auto"/>
          <w:szCs w:val="21"/>
          <w:highlight w:val="none"/>
        </w:rPr>
      </w:pPr>
    </w:p>
    <w:p w14:paraId="2A0D0C88">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监理人：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14:paraId="541B7F5C">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549C16A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p>
    <w:p w14:paraId="3BDF2B2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法定代表人或其授权</w:t>
      </w:r>
      <w:r>
        <w:rPr>
          <w:rFonts w:ascii="宋体" w:hAnsi="宋体" w:cs="宋体"/>
          <w:color w:val="auto"/>
          <w:szCs w:val="21"/>
          <w:highlight w:val="none"/>
        </w:rPr>
        <w:t xml:space="preserve">                             </w:t>
      </w:r>
      <w:r>
        <w:rPr>
          <w:rFonts w:hint="eastAsia" w:ascii="宋体" w:hAnsi="宋体" w:cs="宋体"/>
          <w:color w:val="auto"/>
          <w:szCs w:val="21"/>
          <w:highlight w:val="none"/>
        </w:rPr>
        <w:t>法定代表人或其授权</w:t>
      </w:r>
    </w:p>
    <w:p w14:paraId="3918B10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p>
    <w:p w14:paraId="77FAF04E">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p>
    <w:p w14:paraId="1B1ECAF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p>
    <w:p w14:paraId="5B2A5B8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p>
    <w:p w14:paraId="471B97E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33A1DBF3">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p>
    <w:p w14:paraId="1FE6CC2C">
      <w:pPr>
        <w:tabs>
          <w:tab w:val="left" w:pos="3120"/>
        </w:tabs>
        <w:spacing w:beforeLines="50" w:afterLines="50" w:line="440" w:lineRule="exact"/>
        <w:jc w:val="center"/>
        <w:rPr>
          <w:rFonts w:hint="eastAsia" w:ascii="宋体" w:hAnsi="宋体" w:cs="宋体"/>
          <w:b/>
          <w:bCs/>
          <w:color w:val="auto"/>
          <w:sz w:val="28"/>
          <w:szCs w:val="28"/>
          <w:highlight w:val="none"/>
        </w:rPr>
      </w:pPr>
    </w:p>
    <w:p w14:paraId="0A747D5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BD9E6F6">
      <w:pPr>
        <w:tabs>
          <w:tab w:val="left" w:pos="3120"/>
        </w:tabs>
        <w:spacing w:beforeLines="50" w:afterLines="50" w:line="440" w:lineRule="exact"/>
        <w:jc w:val="center"/>
        <w:rPr>
          <w:rFonts w:ascii="宋体" w:cs="宋体"/>
          <w:b/>
          <w:color w:val="auto"/>
          <w:szCs w:val="21"/>
          <w:highlight w:val="none"/>
        </w:rPr>
      </w:pPr>
      <w:r>
        <w:rPr>
          <w:rFonts w:hint="eastAsia" w:ascii="宋体" w:hAnsi="宋体" w:cs="宋体"/>
          <w:b/>
          <w:bCs/>
          <w:color w:val="auto"/>
          <w:sz w:val="28"/>
          <w:szCs w:val="28"/>
          <w:highlight w:val="none"/>
        </w:rPr>
        <w:t>第二部分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通用条件</w:t>
      </w:r>
    </w:p>
    <w:p w14:paraId="0F0EB607">
      <w:pPr>
        <w:spacing w:line="440" w:lineRule="exact"/>
        <w:ind w:firstLine="562" w:firstLineChars="200"/>
        <w:jc w:val="center"/>
        <w:rPr>
          <w:rFonts w:ascii="宋体" w:cs="宋体"/>
          <w:b/>
          <w:color w:val="auto"/>
          <w:sz w:val="28"/>
          <w:highlight w:val="none"/>
        </w:rPr>
      </w:pPr>
      <w:r>
        <w:rPr>
          <w:rFonts w:hint="eastAsia" w:ascii="宋体" w:hAnsi="宋体" w:cs="宋体"/>
          <w:b/>
          <w:color w:val="auto"/>
          <w:sz w:val="28"/>
          <w:highlight w:val="none"/>
        </w:rPr>
        <w:t>见建设工程委托监理合同（ＧＦ－</w:t>
      </w:r>
      <w:r>
        <w:rPr>
          <w:rFonts w:ascii="宋体" w:hAnsi="宋体" w:cs="宋体"/>
          <w:b/>
          <w:color w:val="auto"/>
          <w:sz w:val="28"/>
          <w:highlight w:val="none"/>
        </w:rPr>
        <w:t>2012</w:t>
      </w:r>
      <w:r>
        <w:rPr>
          <w:rFonts w:hint="eastAsia" w:ascii="宋体" w:hAnsi="宋体" w:cs="宋体"/>
          <w:b/>
          <w:color w:val="auto"/>
          <w:sz w:val="28"/>
          <w:highlight w:val="none"/>
        </w:rPr>
        <w:t>－</w:t>
      </w:r>
      <w:r>
        <w:rPr>
          <w:rFonts w:ascii="宋体" w:hAnsi="宋体" w:cs="宋体"/>
          <w:b/>
          <w:color w:val="auto"/>
          <w:sz w:val="28"/>
          <w:highlight w:val="none"/>
        </w:rPr>
        <w:t>0202</w:t>
      </w:r>
      <w:r>
        <w:rPr>
          <w:rFonts w:hint="eastAsia" w:ascii="宋体" w:hAnsi="宋体" w:cs="宋体"/>
          <w:b/>
          <w:color w:val="auto"/>
          <w:sz w:val="28"/>
          <w:highlight w:val="none"/>
        </w:rPr>
        <w:t>示范文本）</w:t>
      </w:r>
    </w:p>
    <w:p w14:paraId="74C29BD4">
      <w:pPr>
        <w:tabs>
          <w:tab w:val="left" w:pos="3120"/>
        </w:tabs>
        <w:spacing w:beforeLines="50" w:afterLines="50" w:line="44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第三部分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专用条件</w:t>
      </w:r>
    </w:p>
    <w:p w14:paraId="0FE432C2">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1. </w:t>
      </w:r>
      <w:r>
        <w:rPr>
          <w:rFonts w:hint="eastAsia" w:ascii="宋体" w:hAnsi="宋体" w:cs="宋体"/>
          <w:b/>
          <w:color w:val="auto"/>
          <w:szCs w:val="21"/>
          <w:highlight w:val="none"/>
        </w:rPr>
        <w:t>定义与解释</w:t>
      </w:r>
    </w:p>
    <w:p w14:paraId="4C4F96D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解释</w:t>
      </w:r>
    </w:p>
    <w:p w14:paraId="5D32BBC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本合同文件除使用中文外，还可用</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698887E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约定本合同文件的解释顺序为：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执行通用条件</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3AAD7C8">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2. </w:t>
      </w:r>
      <w:r>
        <w:rPr>
          <w:rFonts w:hint="eastAsia" w:ascii="宋体" w:hAnsi="宋体" w:cs="宋体"/>
          <w:b/>
          <w:color w:val="auto"/>
          <w:szCs w:val="21"/>
          <w:highlight w:val="none"/>
        </w:rPr>
        <w:t>监理人义务</w:t>
      </w:r>
    </w:p>
    <w:p w14:paraId="1A6DAC7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w:t>
      </w:r>
      <w:r>
        <w:rPr>
          <w:rFonts w:hint="eastAsia" w:ascii="宋体" w:hAnsi="宋体" w:cs="宋体"/>
          <w:bCs/>
          <w:color w:val="auto"/>
          <w:szCs w:val="21"/>
          <w:highlight w:val="none"/>
        </w:rPr>
        <w:t>内容</w:t>
      </w:r>
    </w:p>
    <w:p w14:paraId="774EEA85">
      <w:pPr>
        <w:adjustRightInd w:val="0"/>
        <w:snapToGrid w:val="0"/>
        <w:spacing w:line="440" w:lineRule="exact"/>
        <w:ind w:firstLine="420" w:firstLineChars="200"/>
        <w:jc w:val="left"/>
        <w:rPr>
          <w:rFonts w:hint="eastAsia" w:ascii="宋体" w:hAnsi="宋体" w:eastAsia="宋体" w:cs="宋体"/>
          <w:color w:val="auto"/>
          <w:sz w:val="21"/>
          <w:szCs w:val="21"/>
          <w:highlight w:val="none"/>
          <w:u w:val="single"/>
          <w:lang w:val="en-US" w:eastAsia="zh-CN"/>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监理范围包括：</w:t>
      </w:r>
      <w:r>
        <w:rPr>
          <w:rFonts w:hint="eastAsia" w:ascii="宋体" w:hAnsi="宋体" w:eastAsia="宋体" w:cs="宋体"/>
          <w:color w:val="auto"/>
          <w:sz w:val="21"/>
          <w:szCs w:val="21"/>
          <w:highlight w:val="none"/>
          <w:u w:val="single"/>
          <w:lang w:val="en-US" w:eastAsia="zh-CN"/>
        </w:rPr>
        <w:t>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p>
    <w:p w14:paraId="161FAA48">
      <w:pPr>
        <w:pStyle w:val="16"/>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监理工作内容还包括：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）收到工程设计文件后编制监理规划，并在第一次工地会议</w:t>
      </w:r>
      <w:r>
        <w:rPr>
          <w:rFonts w:ascii="宋体" w:hAnsi="宋体" w:cs="宋体"/>
          <w:color w:val="auto"/>
          <w:szCs w:val="21"/>
          <w:highlight w:val="none"/>
          <w:u w:val="single"/>
        </w:rPr>
        <w:t>7</w:t>
      </w:r>
      <w:r>
        <w:rPr>
          <w:rFonts w:hint="eastAsia" w:ascii="宋体" w:hAnsi="宋体" w:cs="宋体"/>
          <w:color w:val="auto"/>
          <w:szCs w:val="21"/>
          <w:highlight w:val="none"/>
          <w:u w:val="single"/>
        </w:rPr>
        <w:t>天前报委托人。根据有关规定和监理工作需要，编制监理实施细则；（</w:t>
      </w:r>
      <w:r>
        <w:rPr>
          <w:rFonts w:ascii="宋体" w:hAnsi="宋体" w:cs="宋体"/>
          <w:color w:val="auto"/>
          <w:szCs w:val="21"/>
          <w:highlight w:val="none"/>
          <w:u w:val="single"/>
        </w:rPr>
        <w:t>2</w:t>
      </w:r>
      <w:r>
        <w:rPr>
          <w:rFonts w:hint="eastAsia" w:ascii="宋体" w:hAnsi="宋体" w:cs="宋体"/>
          <w:color w:val="auto"/>
          <w:szCs w:val="21"/>
          <w:highlight w:val="none"/>
          <w:u w:val="single"/>
        </w:rPr>
        <w:t>）熟悉工程设计文件，并参加由委托人主持的图纸会审和设计交底会议；（</w:t>
      </w:r>
      <w:r>
        <w:rPr>
          <w:rFonts w:ascii="宋体" w:hAnsi="宋体" w:cs="宋体"/>
          <w:color w:val="auto"/>
          <w:szCs w:val="21"/>
          <w:highlight w:val="none"/>
          <w:u w:val="single"/>
        </w:rPr>
        <w:t>3</w:t>
      </w:r>
      <w:r>
        <w:rPr>
          <w:rFonts w:hint="eastAsia" w:ascii="宋体" w:hAnsi="宋体" w:cs="宋体"/>
          <w:color w:val="auto"/>
          <w:szCs w:val="21"/>
          <w:highlight w:val="none"/>
          <w:u w:val="single"/>
        </w:rPr>
        <w:t>）参加由委托人主持的第一次工地会议；主持监理例会并根据工程需要主持或参加专题会议；（</w:t>
      </w:r>
      <w:r>
        <w:rPr>
          <w:rFonts w:ascii="宋体" w:hAnsi="宋体" w:cs="宋体"/>
          <w:color w:val="auto"/>
          <w:szCs w:val="21"/>
          <w:highlight w:val="none"/>
          <w:u w:val="single"/>
        </w:rPr>
        <w:t>4</w:t>
      </w:r>
      <w:r>
        <w:rPr>
          <w:rFonts w:hint="eastAsia" w:ascii="宋体" w:hAnsi="宋体" w:cs="宋体"/>
          <w:color w:val="auto"/>
          <w:szCs w:val="21"/>
          <w:highlight w:val="none"/>
          <w:u w:val="single"/>
        </w:rPr>
        <w:t>）审查施工承包人提交的施工组织设计，重点审查其中的质量安全技术措施、专项施工方案与工程建设强制性标准的符合性；（</w:t>
      </w:r>
      <w:r>
        <w:rPr>
          <w:rFonts w:ascii="宋体" w:hAnsi="宋体" w:cs="宋体"/>
          <w:color w:val="auto"/>
          <w:szCs w:val="21"/>
          <w:highlight w:val="none"/>
          <w:u w:val="single"/>
        </w:rPr>
        <w:t>5</w:t>
      </w:r>
      <w:r>
        <w:rPr>
          <w:rFonts w:hint="eastAsia" w:ascii="宋体" w:hAnsi="宋体" w:cs="宋体"/>
          <w:color w:val="auto"/>
          <w:szCs w:val="21"/>
          <w:highlight w:val="none"/>
          <w:u w:val="single"/>
        </w:rPr>
        <w:t>）检查施工承包人工程质量、安全生产管理制度及组织机构和人员资格；</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6</w:t>
      </w:r>
      <w:r>
        <w:rPr>
          <w:rFonts w:hint="eastAsia" w:ascii="宋体" w:hAnsi="宋体" w:cs="宋体"/>
          <w:color w:val="auto"/>
          <w:szCs w:val="21"/>
          <w:highlight w:val="none"/>
          <w:u w:val="single"/>
        </w:rPr>
        <w:t>）检查施工承包人专职安全生产管理人员的配备情况；（</w:t>
      </w:r>
      <w:r>
        <w:rPr>
          <w:rFonts w:ascii="宋体" w:hAnsi="宋体" w:cs="宋体"/>
          <w:color w:val="auto"/>
          <w:szCs w:val="21"/>
          <w:highlight w:val="none"/>
          <w:u w:val="single"/>
        </w:rPr>
        <w:t>7</w:t>
      </w:r>
      <w:r>
        <w:rPr>
          <w:rFonts w:hint="eastAsia" w:ascii="宋体" w:hAnsi="宋体" w:cs="宋体"/>
          <w:color w:val="auto"/>
          <w:szCs w:val="21"/>
          <w:highlight w:val="none"/>
          <w:u w:val="single"/>
        </w:rPr>
        <w:t>）审查施工承包人提交的施工进度计划，核查承包人对施工进度计划的调整；（</w:t>
      </w:r>
      <w:r>
        <w:rPr>
          <w:rFonts w:ascii="宋体" w:hAnsi="宋体" w:cs="宋体"/>
          <w:color w:val="auto"/>
          <w:szCs w:val="21"/>
          <w:highlight w:val="none"/>
          <w:u w:val="single"/>
        </w:rPr>
        <w:t>9</w:t>
      </w:r>
      <w:r>
        <w:rPr>
          <w:rFonts w:hint="eastAsia" w:ascii="宋体" w:hAnsi="宋体" w:cs="宋体"/>
          <w:color w:val="auto"/>
          <w:szCs w:val="21"/>
          <w:highlight w:val="none"/>
          <w:u w:val="single"/>
        </w:rPr>
        <w:t>）审核施工分包人资质条件；（</w:t>
      </w:r>
      <w:r>
        <w:rPr>
          <w:rFonts w:ascii="宋体" w:hAnsi="宋体" w:cs="宋体"/>
          <w:color w:val="auto"/>
          <w:szCs w:val="21"/>
          <w:highlight w:val="none"/>
          <w:u w:val="single"/>
        </w:rPr>
        <w:t>10</w:t>
      </w:r>
      <w:r>
        <w:rPr>
          <w:rFonts w:hint="eastAsia" w:ascii="宋体" w:hAnsi="宋体" w:cs="宋体"/>
          <w:color w:val="auto"/>
          <w:szCs w:val="21"/>
          <w:highlight w:val="none"/>
          <w:u w:val="single"/>
        </w:rPr>
        <w:t>）查验施工承包人的施工测量放线成果；（</w:t>
      </w:r>
      <w:r>
        <w:rPr>
          <w:rFonts w:ascii="宋体" w:hAnsi="宋体" w:cs="宋体"/>
          <w:color w:val="auto"/>
          <w:szCs w:val="21"/>
          <w:highlight w:val="none"/>
          <w:u w:val="single"/>
        </w:rPr>
        <w:t>11</w:t>
      </w:r>
      <w:r>
        <w:rPr>
          <w:rFonts w:hint="eastAsia" w:ascii="宋体" w:hAnsi="宋体" w:cs="宋体"/>
          <w:color w:val="auto"/>
          <w:szCs w:val="21"/>
          <w:highlight w:val="none"/>
          <w:u w:val="single"/>
        </w:rPr>
        <w:t>）审查工程开工条件，对条件具备的签发开工令；（</w:t>
      </w:r>
      <w:r>
        <w:rPr>
          <w:rFonts w:ascii="宋体" w:hAnsi="宋体" w:cs="宋体"/>
          <w:color w:val="auto"/>
          <w:szCs w:val="21"/>
          <w:highlight w:val="none"/>
          <w:u w:val="single"/>
        </w:rPr>
        <w:t>12</w:t>
      </w:r>
      <w:r>
        <w:rPr>
          <w:rFonts w:hint="eastAsia" w:ascii="宋体" w:hAnsi="宋体" w:cs="宋体"/>
          <w:color w:val="auto"/>
          <w:szCs w:val="21"/>
          <w:highlight w:val="none"/>
          <w:u w:val="single"/>
        </w:rPr>
        <w:t>）审查施工承包人报送的工程材料、构配件、设备质量证明文件的有效性和符合性，并按规定对用于工程的材料采取平行检验或见证取样方式进行抽检；（</w:t>
      </w:r>
      <w:r>
        <w:rPr>
          <w:rFonts w:ascii="宋体" w:hAnsi="宋体" w:cs="宋体"/>
          <w:color w:val="auto"/>
          <w:szCs w:val="21"/>
          <w:highlight w:val="none"/>
          <w:u w:val="single"/>
        </w:rPr>
        <w:t>13</w:t>
      </w:r>
      <w:r>
        <w:rPr>
          <w:rFonts w:hint="eastAsia" w:ascii="宋体" w:hAnsi="宋体" w:cs="宋体"/>
          <w:color w:val="auto"/>
          <w:szCs w:val="21"/>
          <w:highlight w:val="none"/>
          <w:u w:val="single"/>
        </w:rPr>
        <w:t>）审核施工承包人提交的工程款支付申请，签发或出具工程款支付证书，并报委托人审核、批准；（</w:t>
      </w:r>
      <w:r>
        <w:rPr>
          <w:rFonts w:ascii="宋体" w:hAnsi="宋体" w:cs="宋体"/>
          <w:color w:val="auto"/>
          <w:szCs w:val="21"/>
          <w:highlight w:val="none"/>
          <w:u w:val="single"/>
        </w:rPr>
        <w:t>14</w:t>
      </w:r>
      <w:r>
        <w:rPr>
          <w:rFonts w:hint="eastAsia" w:ascii="宋体" w:hAnsi="宋体" w:cs="宋体"/>
          <w:color w:val="auto"/>
          <w:szCs w:val="21"/>
          <w:highlight w:val="none"/>
          <w:u w:val="single"/>
        </w:rPr>
        <w:t>）在巡视、旁站和检验过程中，发现工程质量、施工安全存在事故隐患的，要求施工承包人整改并报委托人；（</w:t>
      </w:r>
      <w:r>
        <w:rPr>
          <w:rFonts w:ascii="宋体" w:hAnsi="宋体" w:cs="宋体"/>
          <w:color w:val="auto"/>
          <w:szCs w:val="21"/>
          <w:highlight w:val="none"/>
          <w:u w:val="single"/>
        </w:rPr>
        <w:t>15</w:t>
      </w:r>
      <w:r>
        <w:rPr>
          <w:rFonts w:hint="eastAsia" w:ascii="宋体" w:hAnsi="宋体" w:cs="宋体"/>
          <w:color w:val="auto"/>
          <w:szCs w:val="21"/>
          <w:highlight w:val="none"/>
          <w:u w:val="single"/>
        </w:rPr>
        <w:t>）经委托人同意，签发工程暂停令和复工令；（</w:t>
      </w:r>
      <w:r>
        <w:rPr>
          <w:rFonts w:ascii="宋体" w:hAnsi="宋体" w:cs="宋体"/>
          <w:color w:val="auto"/>
          <w:szCs w:val="21"/>
          <w:highlight w:val="none"/>
          <w:u w:val="single"/>
        </w:rPr>
        <w:t>16</w:t>
      </w:r>
      <w:r>
        <w:rPr>
          <w:rFonts w:hint="eastAsia" w:ascii="宋体" w:hAnsi="宋体" w:cs="宋体"/>
          <w:color w:val="auto"/>
          <w:szCs w:val="21"/>
          <w:highlight w:val="none"/>
          <w:u w:val="single"/>
        </w:rPr>
        <w:t>）审查施工承包人提交的采用新材料、新工艺、新技术、新设备的论证材料及相关验收标准；（</w:t>
      </w:r>
      <w:r>
        <w:rPr>
          <w:rFonts w:ascii="宋体" w:hAnsi="宋体" w:cs="宋体"/>
          <w:color w:val="auto"/>
          <w:szCs w:val="21"/>
          <w:highlight w:val="none"/>
          <w:u w:val="single"/>
        </w:rPr>
        <w:t>17</w:t>
      </w:r>
      <w:r>
        <w:rPr>
          <w:rFonts w:hint="eastAsia" w:ascii="宋体" w:hAnsi="宋体" w:cs="宋体"/>
          <w:color w:val="auto"/>
          <w:szCs w:val="21"/>
          <w:highlight w:val="none"/>
          <w:u w:val="single"/>
        </w:rPr>
        <w:t>）验收隐蔽工程、分部分项工程；（</w:t>
      </w:r>
      <w:r>
        <w:rPr>
          <w:rFonts w:ascii="宋体" w:hAnsi="宋体" w:cs="宋体"/>
          <w:color w:val="auto"/>
          <w:szCs w:val="21"/>
          <w:highlight w:val="none"/>
          <w:u w:val="single"/>
        </w:rPr>
        <w:t>18</w:t>
      </w:r>
      <w:r>
        <w:rPr>
          <w:rFonts w:hint="eastAsia" w:ascii="宋体" w:hAnsi="宋体" w:cs="宋体"/>
          <w:color w:val="auto"/>
          <w:szCs w:val="21"/>
          <w:highlight w:val="none"/>
          <w:u w:val="single"/>
        </w:rPr>
        <w:t>）审查施工承包人提交的工程变更申请，协调处理施工进度调整、费用索赔、合同争议等事项；（</w:t>
      </w:r>
      <w:r>
        <w:rPr>
          <w:rFonts w:ascii="宋体" w:hAnsi="宋体" w:cs="宋体"/>
          <w:color w:val="auto"/>
          <w:szCs w:val="21"/>
          <w:highlight w:val="none"/>
          <w:u w:val="single"/>
        </w:rPr>
        <w:t>19</w:t>
      </w:r>
      <w:r>
        <w:rPr>
          <w:rFonts w:hint="eastAsia" w:ascii="宋体" w:hAnsi="宋体" w:cs="宋体"/>
          <w:color w:val="auto"/>
          <w:szCs w:val="21"/>
          <w:highlight w:val="none"/>
          <w:u w:val="single"/>
        </w:rPr>
        <w:t>）审查施工承包人提交的竣工验收申请，编写工程质量评估报告；（</w:t>
      </w:r>
      <w:r>
        <w:rPr>
          <w:rFonts w:ascii="宋体" w:hAnsi="宋体" w:cs="宋体"/>
          <w:color w:val="auto"/>
          <w:szCs w:val="21"/>
          <w:highlight w:val="none"/>
          <w:u w:val="single"/>
        </w:rPr>
        <w:t>20</w:t>
      </w:r>
      <w:r>
        <w:rPr>
          <w:rFonts w:hint="eastAsia" w:ascii="宋体" w:hAnsi="宋体" w:cs="宋体"/>
          <w:color w:val="auto"/>
          <w:szCs w:val="21"/>
          <w:highlight w:val="none"/>
          <w:u w:val="single"/>
        </w:rPr>
        <w:t>）参加工程竣工验收，签署竣工验收意见；（</w:t>
      </w:r>
      <w:r>
        <w:rPr>
          <w:rFonts w:ascii="宋体" w:hAnsi="宋体" w:cs="宋体"/>
          <w:color w:val="auto"/>
          <w:szCs w:val="21"/>
          <w:highlight w:val="none"/>
          <w:u w:val="single"/>
        </w:rPr>
        <w:t>21</w:t>
      </w:r>
      <w:r>
        <w:rPr>
          <w:rFonts w:hint="eastAsia" w:ascii="宋体" w:hAnsi="宋体" w:cs="宋体"/>
          <w:color w:val="auto"/>
          <w:szCs w:val="21"/>
          <w:highlight w:val="none"/>
          <w:u w:val="single"/>
        </w:rPr>
        <w:t>）审查施工承包人提交的竣工结算申请并报委托人；（</w:t>
      </w:r>
      <w:r>
        <w:rPr>
          <w:rFonts w:ascii="宋体" w:hAnsi="宋体" w:cs="宋体"/>
          <w:color w:val="auto"/>
          <w:szCs w:val="21"/>
          <w:highlight w:val="none"/>
          <w:u w:val="single"/>
        </w:rPr>
        <w:t>22</w:t>
      </w:r>
      <w:r>
        <w:rPr>
          <w:rFonts w:hint="eastAsia" w:ascii="宋体" w:hAnsi="宋体" w:cs="宋体"/>
          <w:color w:val="auto"/>
          <w:szCs w:val="21"/>
          <w:highlight w:val="none"/>
          <w:u w:val="single"/>
        </w:rPr>
        <w:t>）编制、整理工程监理归档文件并报委托人。</w:t>
      </w:r>
    </w:p>
    <w:p w14:paraId="23B71B0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监理与相关服务依据</w:t>
      </w:r>
    </w:p>
    <w:p w14:paraId="3055585F">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）适用的法律、行政法规及部门规章；（</w:t>
      </w:r>
      <w:r>
        <w:rPr>
          <w:rFonts w:ascii="宋体" w:hAnsi="宋体" w:cs="宋体"/>
          <w:color w:val="auto"/>
          <w:szCs w:val="21"/>
          <w:highlight w:val="none"/>
          <w:u w:val="single"/>
        </w:rPr>
        <w:t>2</w:t>
      </w:r>
      <w:r>
        <w:rPr>
          <w:rFonts w:hint="eastAsia" w:ascii="宋体" w:hAnsi="宋体" w:cs="宋体"/>
          <w:color w:val="auto"/>
          <w:szCs w:val="21"/>
          <w:highlight w:val="none"/>
          <w:u w:val="single"/>
        </w:rPr>
        <w:t>）与工程有关的标准；（</w:t>
      </w:r>
      <w:r>
        <w:rPr>
          <w:rFonts w:ascii="宋体" w:hAnsi="宋体" w:cs="宋体"/>
          <w:color w:val="auto"/>
          <w:szCs w:val="21"/>
          <w:highlight w:val="none"/>
          <w:u w:val="single"/>
        </w:rPr>
        <w:t>3</w:t>
      </w:r>
      <w:r>
        <w:rPr>
          <w:rFonts w:hint="eastAsia" w:ascii="宋体" w:hAnsi="宋体" w:cs="宋体"/>
          <w:color w:val="auto"/>
          <w:szCs w:val="21"/>
          <w:highlight w:val="none"/>
          <w:u w:val="single"/>
        </w:rPr>
        <w:t>）工程设计及有关文件；（</w:t>
      </w:r>
      <w:r>
        <w:rPr>
          <w:rFonts w:ascii="宋体" w:hAnsi="宋体" w:cs="宋体"/>
          <w:color w:val="auto"/>
          <w:szCs w:val="21"/>
          <w:highlight w:val="none"/>
          <w:u w:val="single"/>
        </w:rPr>
        <w:t>4</w:t>
      </w:r>
      <w:r>
        <w:rPr>
          <w:rFonts w:hint="eastAsia" w:ascii="宋体" w:hAnsi="宋体" w:cs="宋体"/>
          <w:color w:val="auto"/>
          <w:szCs w:val="21"/>
          <w:highlight w:val="none"/>
          <w:u w:val="single"/>
        </w:rPr>
        <w:t>）本合同及委托人与第三方签订的与实施工程有关的其他合同。</w:t>
      </w:r>
    </w:p>
    <w:p w14:paraId="23307AFF">
      <w:pPr>
        <w:adjustRightInd w:val="0"/>
        <w:snapToGrid w:val="0"/>
        <w:spacing w:line="440" w:lineRule="exact"/>
        <w:ind w:firstLine="420" w:firstLineChars="200"/>
        <w:jc w:val="left"/>
        <w:rPr>
          <w:rFonts w:ascii="宋体" w:cs="宋体"/>
          <w:dstrike/>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24855B4">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项目监理机构和人员</w:t>
      </w:r>
    </w:p>
    <w:p w14:paraId="205228E5">
      <w:pPr>
        <w:adjustRightInd w:val="0"/>
        <w:snapToGrid w:val="0"/>
        <w:spacing w:line="440" w:lineRule="exact"/>
        <w:ind w:firstLine="420" w:firstLineChars="200"/>
        <w:jc w:val="left"/>
        <w:rPr>
          <w:rFonts w:ascii="宋体" w:cs="宋体"/>
          <w:color w:val="auto"/>
          <w:szCs w:val="21"/>
          <w:highlight w:val="none"/>
          <w:u w:val="singl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hint="eastAsia" w:ascii="宋体" w:hAnsi="宋体" w:cs="宋体"/>
          <w:color w:val="auto"/>
          <w:kern w:val="0"/>
          <w:szCs w:val="21"/>
          <w:highlight w:val="none"/>
          <w:u w:val="single"/>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w:t>
      </w:r>
      <w:r>
        <w:rPr>
          <w:rFonts w:hint="eastAsia" w:ascii="宋体" w:hAnsi="宋体" w:cs="宋体"/>
          <w:b w:val="0"/>
          <w:bCs w:val="0"/>
          <w:color w:val="auto"/>
          <w:kern w:val="0"/>
          <w:szCs w:val="21"/>
          <w:highlight w:val="none"/>
          <w:u w:val="single"/>
        </w:rPr>
        <w:t>出国、辞职等原因提出变更的，除需提供相关证明外，须缴纳</w:t>
      </w:r>
      <w:r>
        <w:rPr>
          <w:rFonts w:hint="eastAsia" w:ascii="宋体" w:hAnsi="宋体" w:cs="宋体"/>
          <w:b w:val="0"/>
          <w:bCs w:val="0"/>
          <w:color w:val="auto"/>
          <w:kern w:val="0"/>
          <w:szCs w:val="21"/>
          <w:highlight w:val="none"/>
          <w:u w:val="single"/>
          <w:lang w:val="en-US" w:eastAsia="zh-CN"/>
        </w:rPr>
        <w:t>10</w:t>
      </w:r>
      <w:r>
        <w:rPr>
          <w:rFonts w:hint="eastAsia" w:ascii="宋体" w:hAnsi="宋体" w:cs="宋体"/>
          <w:b w:val="0"/>
          <w:bCs w:val="0"/>
          <w:color w:val="auto"/>
          <w:kern w:val="0"/>
          <w:szCs w:val="21"/>
          <w:highlight w:val="none"/>
          <w:u w:val="single"/>
        </w:rPr>
        <w:t>万元违约金，否则不得变更。变更后的项目负责人必须符合本项目招标文件和投标承诺配备的同等条件人员，并按照滁州市有关规定履行变更审批程序。（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kern w:val="0"/>
          <w:szCs w:val="21"/>
          <w:highlight w:val="none"/>
          <w:u w:val="single"/>
          <w:lang w:val="en-US" w:eastAsia="zh-CN"/>
        </w:rPr>
        <w:t>专业监理工程师（含总监理工程师代表）</w:t>
      </w:r>
      <w:r>
        <w:rPr>
          <w:rFonts w:hint="eastAsia" w:ascii="宋体" w:hAnsi="宋体" w:cs="宋体"/>
          <w:b w:val="0"/>
          <w:bCs w:val="0"/>
          <w:color w:val="auto"/>
          <w:kern w:val="0"/>
          <w:szCs w:val="21"/>
          <w:highlight w:val="none"/>
          <w:u w:val="single"/>
        </w:rPr>
        <w:t>须缴纳</w:t>
      </w:r>
      <w:r>
        <w:rPr>
          <w:rFonts w:hint="eastAsia" w:ascii="宋体" w:hAnsi="宋体" w:cs="宋体"/>
          <w:b w:val="0"/>
          <w:bCs w:val="0"/>
          <w:color w:val="auto"/>
          <w:kern w:val="0"/>
          <w:szCs w:val="21"/>
          <w:highlight w:val="none"/>
          <w:u w:val="single"/>
          <w:lang w:val="en-US" w:eastAsia="zh-CN"/>
        </w:rPr>
        <w:t>5</w:t>
      </w:r>
      <w:r>
        <w:rPr>
          <w:rFonts w:hint="eastAsia" w:ascii="宋体" w:hAnsi="宋体" w:cs="宋体"/>
          <w:b w:val="0"/>
          <w:bCs w:val="0"/>
          <w:color w:val="auto"/>
          <w:kern w:val="0"/>
          <w:szCs w:val="21"/>
          <w:highlight w:val="none"/>
          <w:u w:val="single"/>
        </w:rPr>
        <w:t>万元违约金</w:t>
      </w:r>
      <w:r>
        <w:rPr>
          <w:rFonts w:hint="eastAsia" w:ascii="宋体" w:hAnsi="宋体" w:cs="宋体"/>
          <w:b w:val="0"/>
          <w:bCs w:val="0"/>
          <w:color w:val="auto"/>
          <w:kern w:val="0"/>
          <w:szCs w:val="21"/>
          <w:highlight w:val="none"/>
          <w:u w:val="single"/>
          <w:lang w:eastAsia="zh-CN"/>
        </w:rPr>
        <w:t>，</w:t>
      </w:r>
      <w:r>
        <w:rPr>
          <w:rFonts w:hint="eastAsia" w:ascii="宋体" w:hAnsi="宋体" w:cs="宋体"/>
          <w:b w:val="0"/>
          <w:bCs w:val="0"/>
          <w:color w:val="auto"/>
          <w:kern w:val="0"/>
          <w:szCs w:val="21"/>
          <w:highlight w:val="none"/>
          <w:u w:val="single"/>
          <w:lang w:val="en-US" w:eastAsia="zh-CN"/>
        </w:rPr>
        <w:t>监理员（含见证员）须缴纳2万元违约金</w:t>
      </w:r>
      <w:r>
        <w:rPr>
          <w:rFonts w:hint="eastAsia" w:ascii="宋体" w:hAnsi="宋体" w:cs="宋体"/>
          <w:b w:val="0"/>
          <w:bCs w:val="0"/>
          <w:color w:val="auto"/>
          <w:kern w:val="0"/>
          <w:szCs w:val="21"/>
          <w:highlight w:val="none"/>
          <w:u w:val="single"/>
        </w:rPr>
        <w:t>，否</w:t>
      </w:r>
      <w:r>
        <w:rPr>
          <w:rFonts w:hint="eastAsia" w:ascii="宋体" w:hAnsi="宋体" w:cs="宋体"/>
          <w:color w:val="auto"/>
          <w:kern w:val="0"/>
          <w:szCs w:val="21"/>
          <w:highlight w:val="none"/>
          <w:u w:val="single"/>
        </w:rPr>
        <w:t>则不得变更。变更后的监理部等关键岗位人员必须符合本项目招标文件和投标承诺配备的同等条件人员。</w:t>
      </w:r>
    </w:p>
    <w:p w14:paraId="02AC5078">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2.4 </w:t>
      </w:r>
      <w:r>
        <w:rPr>
          <w:rFonts w:hint="eastAsia" w:ascii="宋体" w:hAnsi="宋体" w:cs="宋体"/>
          <w:color w:val="auto"/>
          <w:kern w:val="0"/>
          <w:szCs w:val="21"/>
          <w:highlight w:val="none"/>
        </w:rPr>
        <w:t>履行职责</w:t>
      </w:r>
    </w:p>
    <w:p w14:paraId="520D0DBC">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2.4.3 </w:t>
      </w:r>
      <w:r>
        <w:rPr>
          <w:rFonts w:hint="eastAsia" w:ascii="宋体" w:hAnsi="宋体" w:cs="宋体"/>
          <w:color w:val="auto"/>
          <w:szCs w:val="21"/>
          <w:highlight w:val="none"/>
        </w:rPr>
        <w:t>对监理人的授权范围：</w:t>
      </w:r>
      <w:r>
        <w:rPr>
          <w:rFonts w:hint="eastAsia" w:ascii="宋体" w:hAnsi="宋体" w:cs="宋体"/>
          <w:color w:val="auto"/>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0953E32">
      <w:pPr>
        <w:pStyle w:val="22"/>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在涉及工程延期或金额变更</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监理人</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需请示</w:t>
      </w:r>
      <w:r>
        <w:rPr>
          <w:rFonts w:hint="eastAsia" w:ascii="宋体" w:hAnsi="宋体" w:cs="宋体"/>
          <w:color w:val="auto"/>
          <w:szCs w:val="21"/>
          <w:highlight w:val="none"/>
          <w:lang w:val="en-US" w:eastAsia="zh-CN"/>
        </w:rPr>
        <w:t>建设单位，金批准后</w:t>
      </w:r>
      <w:r>
        <w:rPr>
          <w:rFonts w:hint="eastAsia" w:ascii="宋体" w:hAnsi="宋体" w:cs="宋体"/>
          <w:color w:val="auto"/>
          <w:szCs w:val="21"/>
          <w:highlight w:val="none"/>
        </w:rPr>
        <w:t>可向承包人发布变更通知。</w:t>
      </w:r>
    </w:p>
    <w:p w14:paraId="61606A9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监理人有权要求承包人调换其人员</w:t>
      </w:r>
      <w:r>
        <w:rPr>
          <w:rFonts w:hint="eastAsia" w:ascii="宋体" w:hAnsi="宋体" w:cs="宋体"/>
          <w:color w:val="auto"/>
          <w:szCs w:val="21"/>
          <w:highlight w:val="none"/>
        </w:rPr>
        <w:t>的限制条件：</w:t>
      </w:r>
      <w:r>
        <w:rPr>
          <w:rFonts w:hint="eastAsia" w:ascii="宋体" w:hAnsi="宋体" w:cs="宋体"/>
          <w:color w:val="auto"/>
          <w:szCs w:val="21"/>
          <w:highlight w:val="none"/>
          <w:u w:val="single"/>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szCs w:val="21"/>
          <w:highlight w:val="none"/>
          <w:u w:val="single"/>
        </w:rPr>
        <w:t>须缴纳</w:t>
      </w:r>
      <w:r>
        <w:rPr>
          <w:rFonts w:hint="eastAsia" w:ascii="宋体" w:hAnsi="宋体" w:cs="宋体"/>
          <w:b w:val="0"/>
          <w:bCs w:val="0"/>
          <w:color w:val="auto"/>
          <w:szCs w:val="21"/>
          <w:highlight w:val="none"/>
          <w:u w:val="single"/>
          <w:lang w:val="en-US" w:eastAsia="zh-CN"/>
        </w:rPr>
        <w:t>10</w:t>
      </w:r>
      <w:r>
        <w:rPr>
          <w:rFonts w:hint="eastAsia" w:ascii="宋体" w:hAnsi="宋体" w:cs="宋体"/>
          <w:b w:val="0"/>
          <w:bCs w:val="0"/>
          <w:color w:val="auto"/>
          <w:szCs w:val="21"/>
          <w:highlight w:val="none"/>
          <w:u w:val="single"/>
        </w:rPr>
        <w:t>万元违约金，</w:t>
      </w:r>
      <w:r>
        <w:rPr>
          <w:rFonts w:hint="eastAsia" w:ascii="宋体" w:hAnsi="宋体" w:cs="宋体"/>
          <w:color w:val="auto"/>
          <w:szCs w:val="21"/>
          <w:highlight w:val="none"/>
          <w:u w:val="single"/>
        </w:rPr>
        <w:t>否则不得变更。变更后的项目负责人必须符合本项目招标文件和投标承诺配备的同等条件人员，并按照滁州市有关规定履行变更审批程序。（2）</w:t>
      </w:r>
      <w:r>
        <w:rPr>
          <w:rFonts w:hint="eastAsia" w:ascii="宋体" w:hAnsi="宋体" w:cs="宋体"/>
          <w:color w:val="auto"/>
          <w:kern w:val="0"/>
          <w:szCs w:val="21"/>
          <w:highlight w:val="none"/>
          <w:u w:val="single"/>
        </w:rPr>
        <w:t>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kern w:val="0"/>
          <w:szCs w:val="21"/>
          <w:highlight w:val="none"/>
          <w:u w:val="single"/>
          <w:lang w:val="en-US" w:eastAsia="zh-CN"/>
        </w:rPr>
        <w:t>专业监理工程师（含总监理工程师代表）</w:t>
      </w:r>
      <w:r>
        <w:rPr>
          <w:rFonts w:hint="eastAsia" w:ascii="宋体" w:hAnsi="宋体" w:cs="宋体"/>
          <w:b w:val="0"/>
          <w:bCs w:val="0"/>
          <w:color w:val="auto"/>
          <w:kern w:val="0"/>
          <w:szCs w:val="21"/>
          <w:highlight w:val="none"/>
          <w:u w:val="single"/>
        </w:rPr>
        <w:t>须缴纳</w:t>
      </w:r>
      <w:r>
        <w:rPr>
          <w:rFonts w:hint="eastAsia" w:ascii="宋体" w:hAnsi="宋体" w:cs="宋体"/>
          <w:b w:val="0"/>
          <w:bCs w:val="0"/>
          <w:color w:val="auto"/>
          <w:kern w:val="0"/>
          <w:szCs w:val="21"/>
          <w:highlight w:val="none"/>
          <w:u w:val="single"/>
          <w:lang w:val="en-US" w:eastAsia="zh-CN"/>
        </w:rPr>
        <w:t>5</w:t>
      </w:r>
      <w:r>
        <w:rPr>
          <w:rFonts w:hint="eastAsia" w:ascii="宋体" w:hAnsi="宋体" w:cs="宋体"/>
          <w:b w:val="0"/>
          <w:bCs w:val="0"/>
          <w:color w:val="auto"/>
          <w:kern w:val="0"/>
          <w:szCs w:val="21"/>
          <w:highlight w:val="none"/>
          <w:u w:val="single"/>
        </w:rPr>
        <w:t>万元违约金</w:t>
      </w:r>
      <w:r>
        <w:rPr>
          <w:rFonts w:hint="eastAsia" w:ascii="宋体" w:hAnsi="宋体" w:cs="宋体"/>
          <w:b w:val="0"/>
          <w:bCs w:val="0"/>
          <w:color w:val="auto"/>
          <w:kern w:val="0"/>
          <w:szCs w:val="21"/>
          <w:highlight w:val="none"/>
          <w:u w:val="single"/>
          <w:lang w:eastAsia="zh-CN"/>
        </w:rPr>
        <w:t>，</w:t>
      </w:r>
      <w:r>
        <w:rPr>
          <w:rFonts w:hint="eastAsia" w:ascii="宋体" w:hAnsi="宋体" w:cs="宋体"/>
          <w:b w:val="0"/>
          <w:bCs w:val="0"/>
          <w:color w:val="auto"/>
          <w:kern w:val="0"/>
          <w:szCs w:val="21"/>
          <w:highlight w:val="none"/>
          <w:u w:val="single"/>
          <w:lang w:val="en-US" w:eastAsia="zh-CN"/>
        </w:rPr>
        <w:t>监理员（含见证员）须缴纳2万元违约金</w:t>
      </w:r>
      <w:r>
        <w:rPr>
          <w:rFonts w:hint="eastAsia" w:ascii="宋体" w:hAnsi="宋体" w:cs="宋体"/>
          <w:b w:val="0"/>
          <w:bCs w:val="0"/>
          <w:color w:val="auto"/>
          <w:kern w:val="0"/>
          <w:szCs w:val="21"/>
          <w:highlight w:val="none"/>
          <w:u w:val="single"/>
        </w:rPr>
        <w:t>，</w:t>
      </w:r>
      <w:r>
        <w:rPr>
          <w:rFonts w:hint="eastAsia" w:ascii="宋体" w:hAnsi="宋体" w:cs="宋体"/>
          <w:color w:val="auto"/>
          <w:kern w:val="0"/>
          <w:szCs w:val="21"/>
          <w:highlight w:val="none"/>
          <w:u w:val="single"/>
        </w:rPr>
        <w:t>否则不得变更。变更后的监理部等关键岗位人员必须符合本项目招标文件和投标承诺配备的同等条件人员。</w:t>
      </w:r>
      <w:r>
        <w:rPr>
          <w:rFonts w:ascii="宋体" w:hAnsi="宋体" w:cs="宋体"/>
          <w:color w:val="auto"/>
          <w:szCs w:val="21"/>
          <w:highlight w:val="none"/>
          <w:u w:val="single"/>
        </w:rPr>
        <w:t xml:space="preserve"> </w:t>
      </w:r>
    </w:p>
    <w:p w14:paraId="713EE06E">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2.5 </w:t>
      </w:r>
      <w:r>
        <w:rPr>
          <w:rFonts w:hint="eastAsia" w:ascii="宋体" w:hAnsi="宋体" w:cs="宋体"/>
          <w:color w:val="auto"/>
          <w:szCs w:val="21"/>
          <w:highlight w:val="none"/>
        </w:rPr>
        <w:t>提交</w:t>
      </w:r>
      <w:r>
        <w:rPr>
          <w:rFonts w:hint="eastAsia" w:ascii="宋体" w:hAnsi="宋体" w:cs="宋体"/>
          <w:color w:val="auto"/>
          <w:kern w:val="0"/>
          <w:szCs w:val="21"/>
          <w:highlight w:val="none"/>
        </w:rPr>
        <w:t>报告</w:t>
      </w:r>
    </w:p>
    <w:p w14:paraId="51ACBD7C">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监理人应提交报告的种类</w:t>
      </w:r>
      <w:r>
        <w:rPr>
          <w:rFonts w:ascii="宋体" w:hAnsi="宋体" w:cs="宋体"/>
          <w:color w:val="auto"/>
          <w:szCs w:val="21"/>
          <w:highlight w:val="none"/>
        </w:rPr>
        <w:t>(</w:t>
      </w:r>
      <w:r>
        <w:rPr>
          <w:rFonts w:hint="eastAsia" w:ascii="宋体" w:hAnsi="宋体" w:cs="宋体"/>
          <w:color w:val="auto"/>
          <w:kern w:val="0"/>
          <w:szCs w:val="21"/>
          <w:highlight w:val="none"/>
        </w:rPr>
        <w:t>包括监理规划、监理月报及约定的专项报告</w:t>
      </w:r>
      <w:r>
        <w:rPr>
          <w:rFonts w:ascii="宋体" w:hAnsi="宋体" w:cs="宋体"/>
          <w:color w:val="auto"/>
          <w:kern w:val="0"/>
          <w:szCs w:val="21"/>
          <w:highlight w:val="none"/>
        </w:rPr>
        <w:t>)</w:t>
      </w:r>
      <w:r>
        <w:rPr>
          <w:rFonts w:hint="eastAsia" w:ascii="宋体" w:hAnsi="宋体" w:cs="宋体"/>
          <w:color w:val="auto"/>
          <w:szCs w:val="21"/>
          <w:highlight w:val="none"/>
        </w:rPr>
        <w:t>、时间和份数</w:t>
      </w:r>
      <w:r>
        <w:rPr>
          <w:rFonts w:hint="eastAsia" w:ascii="宋体" w:hAnsi="宋体" w:cs="宋体"/>
          <w:color w:val="auto"/>
          <w:kern w:val="0"/>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满足建设单位需求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301F8BE2">
      <w:pPr>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 2.7 </w:t>
      </w:r>
      <w:r>
        <w:rPr>
          <w:rFonts w:hint="eastAsia" w:ascii="宋体" w:hAnsi="宋体" w:cs="宋体"/>
          <w:color w:val="auto"/>
          <w:kern w:val="0"/>
          <w:szCs w:val="21"/>
          <w:highlight w:val="none"/>
        </w:rPr>
        <w:t>使用委托人的财产</w:t>
      </w:r>
    </w:p>
    <w:p w14:paraId="7504C9F8">
      <w:pPr>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委托人的财产</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94CCAF">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监理人应在本合同终止后</w:t>
      </w:r>
      <w:r>
        <w:rPr>
          <w:rFonts w:ascii="宋体" w:hAnsi="宋体" w:cs="宋体"/>
          <w:color w:val="auto"/>
          <w:szCs w:val="21"/>
          <w:highlight w:val="none"/>
          <w:u w:val="single"/>
        </w:rPr>
        <w:t xml:space="preserve">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满足建设单位需求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35295BBA">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14:paraId="3FBCD2AF">
      <w:pPr>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14:paraId="61B956A4">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8C220D2">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14:paraId="6E88E64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天内，对监理人书面提交并要求做出决定的事宜给予书面答复。</w:t>
      </w:r>
    </w:p>
    <w:p w14:paraId="69CE85D6">
      <w:pPr>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14:paraId="482309DA">
      <w:pPr>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1F20EB01">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color w:val="auto"/>
          <w:kern w:val="0"/>
          <w:szCs w:val="21"/>
          <w:highlight w:val="none"/>
        </w:rPr>
        <w:t>监理人赔偿金额按下列方法确定：</w:t>
      </w:r>
    </w:p>
    <w:p w14:paraId="592EEC59">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14:paraId="3D948C9D">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14:paraId="6C7831F7">
      <w:pPr>
        <w:spacing w:line="440" w:lineRule="exact"/>
        <w:ind w:firstLine="420" w:firstLineChars="200"/>
        <w:jc w:val="left"/>
        <w:rPr>
          <w:rFonts w:ascii="宋体" w:cs="宋体"/>
          <w:color w:val="auto"/>
          <w:kern w:val="0"/>
          <w:szCs w:val="21"/>
          <w:highlight w:val="none"/>
          <w:u w:val="singl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无</w:t>
      </w:r>
      <w:r>
        <w:rPr>
          <w:rFonts w:ascii="宋体" w:hAnsi="宋体" w:cs="宋体"/>
          <w:color w:val="auto"/>
          <w:kern w:val="0"/>
          <w:szCs w:val="21"/>
          <w:highlight w:val="none"/>
          <w:u w:val="single"/>
        </w:rPr>
        <w:t xml:space="preserve">    </w:t>
      </w:r>
    </w:p>
    <w:p w14:paraId="3E0A82E9">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14:paraId="117A6214">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cs="宋体"/>
          <w:b/>
          <w:bCs/>
          <w:color w:val="auto"/>
          <w:szCs w:val="21"/>
          <w:highlight w:val="none"/>
          <w:lang w:eastAsia="zh-CN"/>
        </w:rPr>
      </w:pPr>
      <w:r>
        <w:rPr>
          <w:rFonts w:ascii="宋体" w:hAnsi="宋体" w:cs="宋体"/>
          <w:color w:val="auto"/>
          <w:szCs w:val="21"/>
          <w:highlight w:val="none"/>
        </w:rPr>
        <w:t xml:space="preserve">5.1 </w:t>
      </w:r>
      <w:r>
        <w:rPr>
          <w:rFonts w:hint="eastAsia" w:ascii="宋体" w:hAnsi="宋体" w:cs="宋体"/>
          <w:bCs/>
          <w:color w:val="auto"/>
          <w:szCs w:val="21"/>
          <w:highlight w:val="none"/>
        </w:rPr>
        <w:t>支付货币（</w:t>
      </w:r>
      <w:r>
        <w:rPr>
          <w:rFonts w:hint="eastAsia" w:ascii="宋体" w:hAnsi="宋体" w:cs="宋体"/>
          <w:color w:val="auto"/>
          <w:szCs w:val="21"/>
          <w:highlight w:val="none"/>
        </w:rPr>
        <w:t>币种为人民币</w:t>
      </w:r>
      <w:r>
        <w:rPr>
          <w:rFonts w:hint="eastAsia" w:ascii="宋体" w:hAnsi="宋体" w:cs="宋体"/>
          <w:bCs/>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签约酬金（大写）：</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ascii="宋体" w:cs="宋体"/>
          <w:b/>
          <w:bCs/>
          <w:color w:val="auto"/>
          <w:szCs w:val="21"/>
          <w:highlight w:val="non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lang w:eastAsia="zh-CN"/>
        </w:rPr>
        <w:t>）</w:t>
      </w:r>
    </w:p>
    <w:p w14:paraId="70F722CA">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cs="宋体"/>
          <w:b/>
          <w:bCs/>
          <w:color w:val="auto"/>
          <w:szCs w:val="21"/>
          <w:highlight w:val="none"/>
        </w:rPr>
      </w:pPr>
      <w:r>
        <w:rPr>
          <w:rFonts w:hint="eastAsia" w:ascii="宋体" w:hAnsi="宋体" w:eastAsia="宋体" w:cs="宋体"/>
          <w:color w:val="auto"/>
          <w:sz w:val="21"/>
          <w:szCs w:val="21"/>
          <w:highlight w:val="none"/>
          <w:lang w:val="en-US" w:eastAsia="zh-CN"/>
        </w:rPr>
        <w:t>监理费率：</w:t>
      </w:r>
      <w:r>
        <w:rPr>
          <w:rFonts w:hint="eastAsia" w:ascii="宋体" w:hAnsi="宋体" w:cs="宋体"/>
          <w:b/>
          <w:bCs/>
          <w:color w:val="auto"/>
          <w:szCs w:val="21"/>
          <w:highlight w:val="none"/>
        </w:rPr>
        <w:t>监理费率为</w:t>
      </w:r>
      <w:r>
        <w:rPr>
          <w:rFonts w:ascii="宋体" w:hAnsi="宋体" w:cs="宋体"/>
          <w:b/>
          <w:bCs/>
          <w:color w:val="auto"/>
          <w:szCs w:val="21"/>
          <w:highlight w:val="none"/>
          <w:u w:val="single"/>
        </w:rPr>
        <w:t xml:space="preserve">    </w:t>
      </w:r>
      <w:r>
        <w:rPr>
          <w:rFonts w:ascii="宋体" w:hAnsi="宋体" w:cs="宋体"/>
          <w:b/>
          <w:bCs/>
          <w:color w:val="auto"/>
          <w:szCs w:val="21"/>
          <w:highlight w:val="none"/>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本项目监理费用最终支付以工程结算总造价为计费基数，监理费用=工程结算总造价*中标费率。</w:t>
      </w:r>
      <w:r>
        <w:rPr>
          <w:rFonts w:hint="eastAsia" w:ascii="宋体" w:hAnsi="宋体" w:cs="宋体"/>
          <w:b/>
          <w:bCs/>
          <w:color w:val="auto"/>
          <w:szCs w:val="21"/>
          <w:highlight w:val="none"/>
        </w:rPr>
        <w:t>中标后中标费率不予调整。无论任何原因导致的工期延长，委托人均不再增加监理费用。</w:t>
      </w:r>
      <w:r>
        <w:rPr>
          <w:rFonts w:hint="eastAsia" w:ascii="宋体" w:hAnsi="宋体" w:cs="宋体"/>
          <w:b/>
          <w:color w:val="auto"/>
          <w:szCs w:val="21"/>
          <w:highlight w:val="none"/>
        </w:rPr>
        <w:t>注：</w:t>
      </w:r>
      <w:r>
        <w:rPr>
          <w:rFonts w:hint="eastAsia" w:ascii="宋体" w:hAnsi="宋体" w:cs="宋体"/>
          <w:b/>
          <w:bCs/>
          <w:color w:val="auto"/>
          <w:szCs w:val="21"/>
          <w:highlight w:val="none"/>
        </w:rPr>
        <w:t>初期暂以工程施工中标价为计费基数计算监理费，最终支付以工程结算总造价为计费基数计算监理费。</w:t>
      </w:r>
    </w:p>
    <w:p w14:paraId="3FBF4B3B">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5.2 </w:t>
      </w:r>
      <w:r>
        <w:rPr>
          <w:rFonts w:hint="eastAsia" w:ascii="宋体" w:hAnsi="宋体" w:cs="宋体"/>
          <w:color w:val="auto"/>
          <w:kern w:val="0"/>
          <w:szCs w:val="21"/>
          <w:highlight w:val="none"/>
        </w:rPr>
        <w:t>支付酬金</w:t>
      </w:r>
    </w:p>
    <w:p w14:paraId="7672550E">
      <w:pPr>
        <w:keepNext w:val="0"/>
        <w:keepLines w:val="0"/>
        <w:pageBreakBefore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5.2.1根据施工请款资料</w:t>
      </w:r>
      <w:r>
        <w:rPr>
          <w:rFonts w:hint="eastAsia" w:ascii="宋体" w:hAnsi="宋体" w:eastAsia="宋体" w:cs="宋体"/>
          <w:b/>
          <w:color w:val="auto"/>
          <w:szCs w:val="21"/>
          <w:highlight w:val="none"/>
          <w:lang w:val="en-US" w:eastAsia="zh-CN"/>
        </w:rPr>
        <w:t>，每月按照</w:t>
      </w:r>
      <w:r>
        <w:rPr>
          <w:rFonts w:hint="eastAsia" w:ascii="宋体" w:hAnsi="宋体" w:cs="宋体"/>
          <w:b/>
          <w:color w:val="auto"/>
          <w:szCs w:val="21"/>
          <w:highlight w:val="none"/>
          <w:lang w:val="en-US" w:eastAsia="zh-CN"/>
        </w:rPr>
        <w:t>已完成合格工程量的60%支付监理费</w:t>
      </w:r>
      <w:r>
        <w:rPr>
          <w:rFonts w:hint="eastAsia" w:ascii="宋体" w:hAnsi="宋体" w:eastAsia="宋体" w:cs="宋体"/>
          <w:b/>
          <w:color w:val="auto"/>
          <w:szCs w:val="21"/>
          <w:highlight w:val="none"/>
          <w:lang w:val="en-US" w:eastAsia="zh-CN"/>
        </w:rPr>
        <w:t>；竣工验收合格后付至监理范围内全部工程量的80%监理费；资料归</w:t>
      </w:r>
      <w:r>
        <w:rPr>
          <w:rFonts w:hint="eastAsia" w:ascii="宋体" w:hAnsi="宋体" w:cs="宋体"/>
          <w:b/>
          <w:color w:val="auto"/>
          <w:szCs w:val="21"/>
          <w:highlight w:val="none"/>
          <w:lang w:val="en-US" w:eastAsia="zh-CN"/>
        </w:rPr>
        <w:t>档及审计复核后付至结算总价的98%监理费，余款待工程缺陷责任期（缺陷责任期两年，从竣工验收合格之日起计算）满后一次性付清。监理单位必须按时按规定提供发票。</w:t>
      </w:r>
    </w:p>
    <w:p w14:paraId="5D14AF4D">
      <w:pPr>
        <w:snapToGrid w:val="0"/>
        <w:spacing w:line="440" w:lineRule="exact"/>
        <w:ind w:firstLine="422" w:firstLineChars="200"/>
        <w:jc w:val="left"/>
        <w:rPr>
          <w:rFonts w:ascii="宋体" w:cs="宋体"/>
          <w:b/>
          <w:bCs/>
          <w:color w:val="auto"/>
          <w:szCs w:val="21"/>
          <w:highlight w:val="none"/>
        </w:rPr>
      </w:pPr>
      <w:r>
        <w:rPr>
          <w:rFonts w:ascii="宋体" w:hAnsi="宋体" w:cs="宋体"/>
          <w:b/>
          <w:bCs w:val="0"/>
          <w:color w:val="auto"/>
          <w:szCs w:val="21"/>
          <w:highlight w:val="none"/>
        </w:rPr>
        <w:t xml:space="preserve">6. </w:t>
      </w:r>
      <w:r>
        <w:rPr>
          <w:rFonts w:hint="eastAsia" w:ascii="宋体" w:hAnsi="宋体" w:cs="宋体"/>
          <w:b/>
          <w:bCs w:val="0"/>
          <w:color w:val="auto"/>
          <w:szCs w:val="21"/>
          <w:highlight w:val="none"/>
        </w:rPr>
        <w:t>合</w:t>
      </w:r>
      <w:r>
        <w:rPr>
          <w:rFonts w:hint="eastAsia" w:ascii="宋体" w:hAnsi="宋体" w:cs="宋体"/>
          <w:b/>
          <w:bCs/>
          <w:color w:val="auto"/>
          <w:szCs w:val="21"/>
          <w:highlight w:val="none"/>
        </w:rPr>
        <w:t>同生效、变更、暂停、解除与终止</w:t>
      </w:r>
    </w:p>
    <w:p w14:paraId="0F2D9C0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14:paraId="6471A25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委托人和监理人的法定代表人或其授权代理人在协议书上签字并盖单位章后本合同生效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F7DB39A">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14:paraId="6CFB44DB">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6.2.2 </w:t>
      </w:r>
      <w:r>
        <w:rPr>
          <w:rFonts w:hint="eastAsia" w:ascii="宋体" w:hAnsi="宋体" w:cs="宋体"/>
          <w:color w:val="auto"/>
          <w:szCs w:val="21"/>
          <w:highlight w:val="none"/>
        </w:rPr>
        <w:t>除不可抗力外，</w:t>
      </w:r>
      <w:r>
        <w:rPr>
          <w:rFonts w:ascii="宋体" w:hAnsi="宋体" w:cs="宋体"/>
          <w:color w:val="auto"/>
          <w:szCs w:val="21"/>
          <w:highlight w:val="none"/>
        </w:rPr>
        <w:t xml:space="preserve"> </w:t>
      </w:r>
      <w:r>
        <w:rPr>
          <w:rFonts w:hint="eastAsia" w:ascii="宋体" w:hAnsi="宋体" w:cs="宋体"/>
          <w:color w:val="auto"/>
          <w:szCs w:val="21"/>
          <w:highlight w:val="none"/>
        </w:rPr>
        <w:t>因非监理人原因导致本合同期限延长时，附加工作酬金按下列方法确定：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6BF542C4">
      <w:pPr>
        <w:snapToGrid w:val="0"/>
        <w:spacing w:line="440" w:lineRule="exact"/>
        <w:ind w:firstLine="420" w:firstLineChars="200"/>
        <w:rPr>
          <w:rFonts w:ascii="宋体" w:cs="宋体"/>
          <w:color w:val="auto"/>
          <w:szCs w:val="21"/>
          <w:highlight w:val="none"/>
          <w:u w:val="single"/>
        </w:rPr>
      </w:pPr>
      <w:r>
        <w:rPr>
          <w:rFonts w:ascii="宋体" w:hAnsi="宋体" w:cs="宋体"/>
          <w:color w:val="auto"/>
          <w:szCs w:val="21"/>
          <w:highlight w:val="none"/>
        </w:rPr>
        <w:t>6.2.3</w:t>
      </w:r>
      <w:r>
        <w:rPr>
          <w:rFonts w:hint="eastAsia" w:ascii="宋体" w:hAnsi="宋体" w:cs="宋体"/>
          <w:color w:val="auto"/>
          <w:szCs w:val="21"/>
          <w:highlight w:val="none"/>
        </w:rPr>
        <w:t>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p>
    <w:p w14:paraId="3FC59CB7">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6.2.5 </w:t>
      </w:r>
      <w:r>
        <w:rPr>
          <w:rFonts w:hint="eastAsia" w:ascii="宋体" w:hAnsi="宋体" w:cs="宋体"/>
          <w:color w:val="auto"/>
          <w:szCs w:val="21"/>
          <w:highlight w:val="none"/>
        </w:rPr>
        <w:t>正常工作酬金增加额按下列方法确定：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1E8660B">
      <w:pPr>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因工程规模、监理范围的变化导致监理人的正常工作量减少时，按减少工作量的比例从协议书约定的正常工作酬金中扣减相同比例的酬金。</w:t>
      </w:r>
    </w:p>
    <w:p w14:paraId="5FD6C491">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14:paraId="6BB4FEAB">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14:paraId="472D6B56">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14:paraId="7BA9AC33">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14:paraId="20A3A608">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28F4B63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滁州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14:paraId="1218415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项目所在地人民法院</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提起诉讼。</w:t>
      </w:r>
    </w:p>
    <w:p w14:paraId="3599EAAA">
      <w:pPr>
        <w:adjustRightInd w:val="0"/>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14:paraId="10CF8D91">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14:paraId="4B449937">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14:paraId="79BFEC49">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8.3 </w:t>
      </w:r>
      <w:r>
        <w:rPr>
          <w:rFonts w:hint="eastAsia" w:ascii="宋体" w:hAnsi="宋体" w:cs="宋体"/>
          <w:bCs/>
          <w:color w:val="auto"/>
          <w:szCs w:val="21"/>
          <w:highlight w:val="none"/>
        </w:rPr>
        <w:t>咨询费用</w:t>
      </w:r>
    </w:p>
    <w:p w14:paraId="2B16FBD6">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14:paraId="31212105">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14:paraId="6A3D7867">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14:paraId="5A79905B">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14:paraId="5AE2E9C2">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14:paraId="10BC619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8.5 </w:t>
      </w:r>
      <w:r>
        <w:rPr>
          <w:rFonts w:hint="eastAsia" w:ascii="宋体" w:hAnsi="宋体" w:cs="宋体"/>
          <w:color w:val="auto"/>
          <w:szCs w:val="21"/>
          <w:highlight w:val="none"/>
        </w:rPr>
        <w:t>保密</w:t>
      </w:r>
    </w:p>
    <w:p w14:paraId="72A6932B">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0CE0456C">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72D9541B">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第三方申明的保密事项和期限：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11D21C41">
      <w:pPr>
        <w:snapToGrid w:val="0"/>
        <w:spacing w:line="440" w:lineRule="exact"/>
        <w:ind w:firstLine="420" w:firstLineChars="200"/>
        <w:jc w:val="left"/>
        <w:rPr>
          <w:rFonts w:ascii="宋体" w:cs="宋体"/>
          <w:bCs/>
          <w:color w:val="auto"/>
          <w:szCs w:val="21"/>
          <w:highlight w:val="none"/>
        </w:rPr>
      </w:pPr>
      <w:r>
        <w:rPr>
          <w:rFonts w:ascii="宋体" w:hAnsi="宋体" w:cs="宋体"/>
          <w:color w:val="auto"/>
          <w:szCs w:val="21"/>
          <w:highlight w:val="none"/>
        </w:rPr>
        <w:t>8.6</w:t>
      </w:r>
      <w:r>
        <w:rPr>
          <w:rFonts w:hint="eastAsia" w:ascii="宋体" w:hAnsi="宋体" w:cs="宋体"/>
          <w:bCs/>
          <w:color w:val="auto"/>
          <w:szCs w:val="21"/>
          <w:highlight w:val="none"/>
        </w:rPr>
        <w:t>著作权</w:t>
      </w:r>
    </w:p>
    <w:p w14:paraId="69998AF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监理人在本合同履行期间及本合同终止后两年内出版涉及本工程的有关监理与相关服务的资料的限制条件：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72579DFC">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8E70A19">
      <w:pPr>
        <w:shd w:val="clear" w:color="auto" w:fill="auto"/>
        <w:spacing w:line="34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补充条款</w:t>
      </w:r>
    </w:p>
    <w:p w14:paraId="433E79CC">
      <w:pPr>
        <w:pStyle w:val="94"/>
        <w:keepNext w:val="0"/>
        <w:keepLines w:val="0"/>
        <w:pageBreakBefore w:val="0"/>
        <w:widowControl/>
        <w:shd w:val="clear" w:color="auto" w:fill="auto"/>
        <w:kinsoku/>
        <w:wordWrap/>
        <w:overflowPunct/>
        <w:topLinePunct w:val="0"/>
        <w:autoSpaceDE/>
        <w:autoSpaceDN/>
        <w:bidi w:val="0"/>
        <w:snapToGrid/>
        <w:spacing w:before="0" w:after="0" w:line="440" w:lineRule="exact"/>
        <w:ind w:left="0" w:right="0"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 xml:space="preserve">总监理工程师: </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0D666E56">
      <w:pPr>
        <w:pStyle w:val="94"/>
        <w:keepNext w:val="0"/>
        <w:keepLines w:val="0"/>
        <w:pageBreakBefore w:val="0"/>
        <w:widowControl/>
        <w:shd w:val="clear" w:color="auto" w:fill="auto"/>
        <w:kinsoku/>
        <w:wordWrap/>
        <w:overflowPunct/>
        <w:topLinePunct w:val="0"/>
        <w:autoSpaceDE/>
        <w:autoSpaceDN/>
        <w:bidi w:val="0"/>
        <w:snapToGrid/>
        <w:spacing w:before="0" w:after="0" w:line="440" w:lineRule="exact"/>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总监理工程师情况一览表</w:t>
      </w:r>
    </w:p>
    <w:tbl>
      <w:tblPr>
        <w:tblStyle w:val="4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66"/>
        <w:gridCol w:w="788"/>
        <w:gridCol w:w="1395"/>
        <w:gridCol w:w="1540"/>
        <w:gridCol w:w="1985"/>
        <w:gridCol w:w="1640"/>
      </w:tblGrid>
      <w:tr w14:paraId="34C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1366" w:type="dxa"/>
            <w:noWrap w:val="0"/>
            <w:vAlign w:val="center"/>
          </w:tcPr>
          <w:p w14:paraId="624CE259">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  名</w:t>
            </w:r>
          </w:p>
        </w:tc>
        <w:tc>
          <w:tcPr>
            <w:tcW w:w="1166" w:type="dxa"/>
            <w:noWrap w:val="0"/>
            <w:vAlign w:val="center"/>
          </w:tcPr>
          <w:p w14:paraId="6CBD7F9D">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788" w:type="dxa"/>
            <w:noWrap w:val="0"/>
            <w:vAlign w:val="center"/>
          </w:tcPr>
          <w:p w14:paraId="60256C04">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1395" w:type="dxa"/>
            <w:noWrap w:val="0"/>
            <w:vAlign w:val="center"/>
          </w:tcPr>
          <w:p w14:paraId="53DD989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w:t>
            </w:r>
          </w:p>
        </w:tc>
        <w:tc>
          <w:tcPr>
            <w:tcW w:w="1540" w:type="dxa"/>
            <w:noWrap w:val="0"/>
            <w:vAlign w:val="center"/>
          </w:tcPr>
          <w:p w14:paraId="5B051B3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拟任职务</w:t>
            </w:r>
          </w:p>
        </w:tc>
        <w:tc>
          <w:tcPr>
            <w:tcW w:w="1985" w:type="dxa"/>
            <w:noWrap w:val="0"/>
            <w:vAlign w:val="center"/>
          </w:tcPr>
          <w:p w14:paraId="1AC5E6B1">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持证名称</w:t>
            </w:r>
          </w:p>
        </w:tc>
        <w:tc>
          <w:tcPr>
            <w:tcW w:w="1640" w:type="dxa"/>
            <w:noWrap w:val="0"/>
            <w:vAlign w:val="center"/>
          </w:tcPr>
          <w:p w14:paraId="2A43C386">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持证证号</w:t>
            </w:r>
          </w:p>
        </w:tc>
      </w:tr>
      <w:tr w14:paraId="573A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19B4AE76">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166" w:type="dxa"/>
            <w:noWrap w:val="0"/>
            <w:vAlign w:val="center"/>
          </w:tcPr>
          <w:p w14:paraId="5AA46308">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788" w:type="dxa"/>
            <w:noWrap w:val="0"/>
            <w:vAlign w:val="center"/>
          </w:tcPr>
          <w:p w14:paraId="7520800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395" w:type="dxa"/>
            <w:noWrap w:val="0"/>
            <w:vAlign w:val="center"/>
          </w:tcPr>
          <w:p w14:paraId="47A46DC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540" w:type="dxa"/>
            <w:noWrap w:val="0"/>
            <w:vAlign w:val="center"/>
          </w:tcPr>
          <w:p w14:paraId="60910BEC">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985" w:type="dxa"/>
            <w:noWrap w:val="0"/>
            <w:vAlign w:val="center"/>
          </w:tcPr>
          <w:p w14:paraId="2BBC9BF4">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640" w:type="dxa"/>
            <w:noWrap w:val="0"/>
            <w:vAlign w:val="center"/>
          </w:tcPr>
          <w:p w14:paraId="3C10AA71">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r>
    </w:tbl>
    <w:p w14:paraId="04BEF1E8">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1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3.标后约谈：</w:t>
      </w:r>
      <w:r>
        <w:rPr>
          <w:rFonts w:hint="eastAsia" w:ascii="宋体" w:hAnsi="宋体" w:eastAsia="宋体" w:cs="宋体"/>
          <w:color w:val="auto"/>
          <w:kern w:val="2"/>
          <w:sz w:val="21"/>
          <w:szCs w:val="21"/>
          <w:highlight w:val="none"/>
          <w:lang w:val="en-US" w:eastAsia="zh-CN" w:bidi="ar-SA"/>
        </w:rPr>
        <w:t>项目公示期满，下发中标通知书前，中标单位必须按照招标单位的规定参加项目实施前约谈，中标单位的法人代表或负责人（公司副总以上）和项目负责人必须参加约谈会议。</w:t>
      </w:r>
    </w:p>
    <w:p w14:paraId="415A028C">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1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中标单位的法人代表参加约谈的，参与会议时须提供有效身份证明和职务任命文件；中标单位的负责人（公司副总以上）参加约谈的，参与会议时须提供授权委托书、有效身份证明和职务任命文件，以及社保部门出具的本单位为其缴纳的养老保险证明（证明文件两个月内有效）。</w:t>
      </w:r>
    </w:p>
    <w:p w14:paraId="7A20B52C">
      <w:pPr>
        <w:keepNext w:val="0"/>
        <w:keepLines w:val="0"/>
        <w:pageBreakBefore w:val="0"/>
        <w:numPr>
          <w:ilvl w:val="0"/>
          <w:numId w:val="0"/>
        </w:numPr>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履约保证金缴纳：</w:t>
      </w: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12C88122">
      <w:pPr>
        <w:keepNext w:val="0"/>
        <w:keepLines w:val="0"/>
        <w:pageBreakBefore w:val="0"/>
        <w:numPr>
          <w:ilvl w:val="0"/>
          <w:numId w:val="0"/>
        </w:numPr>
        <w:shd w:val="clear" w:color="auto" w:fill="auto"/>
        <w:kinsoku/>
        <w:wordWrap/>
        <w:overflowPunct/>
        <w:topLinePunct w:val="0"/>
        <w:autoSpaceDE/>
        <w:autoSpaceDN/>
        <w:bidi w:val="0"/>
        <w:snapToGrid/>
        <w:spacing w:line="440" w:lineRule="exact"/>
        <w:ind w:firstLine="422" w:firstLineChars="200"/>
        <w:jc w:val="left"/>
        <w:textAlignment w:val="auto"/>
        <w:rPr>
          <w:rFonts w:hint="eastAsia"/>
          <w:color w:val="auto"/>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合同签订：</w:t>
      </w: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7EC2696B">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前期手续办理：</w:t>
      </w:r>
      <w:r>
        <w:rPr>
          <w:rFonts w:hint="eastAsia" w:ascii="宋体" w:hAnsi="宋体" w:eastAsia="宋体" w:cs="宋体"/>
          <w:color w:val="auto"/>
          <w:sz w:val="21"/>
          <w:szCs w:val="21"/>
          <w:highlight w:val="none"/>
        </w:rPr>
        <w:t>合同签订后30日内配合发包人完成质量、安全报监和施工许可证办理，否则，每延期一天处罚承包人5000元/天的违约金（因发包人原因除外）。</w:t>
      </w:r>
    </w:p>
    <w:p w14:paraId="348139EF">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val="en-US" w:eastAsia="zh-CN"/>
        </w:rPr>
        <w:t>.监理人员费用考核</w:t>
      </w:r>
      <w:r>
        <w:rPr>
          <w:rFonts w:hint="eastAsia" w:ascii="宋体" w:hAnsi="宋体" w:eastAsia="宋体" w:cs="宋体"/>
          <w:b/>
          <w:bCs/>
          <w:color w:val="auto"/>
          <w:sz w:val="21"/>
          <w:szCs w:val="21"/>
          <w:highlight w:val="none"/>
        </w:rPr>
        <w:t>：中标监理费总价结合投标人员到位数量来结算。即：投标总价/服务期（月）/监理架构总人数=每个人员每月应得的费用，经现场考勤，少投入1人扣除1人应得费用（以委托人签字认可的考勤表为准）。中标后，如实际到岗人数不满足要求的，将按上述标准从监理费用中予以扣除。（各专业监理可结合项目的实施阶段经委托人签字认可后分期到岗）</w:t>
      </w:r>
    </w:p>
    <w:p w14:paraId="3421EC9E">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监理考核考勤：</w:t>
      </w:r>
    </w:p>
    <w:p w14:paraId="36F5143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人员考核：工程开工进场后，监理单位必须按招标文件要求和投标承诺配备项目总监、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以监理单位任命文为准。未经发包人同意，不得更换上述人员。发包人将组织对上述人员进行业务能力考核，对未按投标文件配备或经考核不合格要求更换人员的，（从第一次监理例会进行计算时间）监理单位累计7日内必须整改调整到位。否则，对于总监，按照</w:t>
      </w:r>
      <w:r>
        <w:rPr>
          <w:rFonts w:hint="eastAsia" w:ascii="宋体" w:hAnsi="宋体" w:eastAsia="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专业监理工程师、监理员按</w:t>
      </w:r>
      <w:r>
        <w:rPr>
          <w:rFonts w:hint="eastAsia" w:ascii="宋体" w:hAnsi="宋体" w:eastAsia="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天的违约金进行处罚。累计28日内未整改调整到位的，发包人有权终止合同，并提请相关行政主管部门对企业和人员进行“黑名单”处罚。</w:t>
      </w:r>
    </w:p>
    <w:p w14:paraId="344DF8A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在第一次监理例会，监理单位针对投标承诺配备项目总监，监理单位为本项目配备的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6BA2C1C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rPr>
        <w:t>在图纸交底会议，监理单位针对投标承诺配备项目总监，监理单位为本项目配备的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38B07B1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人员考勤：①监理部所有管理人员上下班实行人脸识别电子考勤，人脸识别电子考勤系统设备必须与招标人现行使用的监管平台无缝对接。②监管平台设备及人脸识别电子考勤系统设备，监理人可以租赁或购买，但租赁或购买费用由监理人在投标报价时自行考虑，含在投标报价中，招标人将不再支付任何费用。③监管平台考勤范围为本项目监理部和项目部所有管理人员，监管平台信息及数据录入（包括质量、进度、安全、施工许可办理等）均由监理单位负责。</w:t>
      </w:r>
    </w:p>
    <w:p w14:paraId="5C75CF5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根据施工实际需要安排，按照经批准的人员进场计划进行考勤。总监每月在岗时间不得少于22天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专业监理工程师、监理员每月在岗时间不得少于25天。未按规定在岗履责的，对总监处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2000元/人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天的违约金，对专业监理工程师、监理员处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1000元/人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天的违约金。监理部人员离岗必须向发包人代表履行请假手续，若被相关部门日常检查和随机抽查中发现不在岗的，又未履行请假手续的，处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5000元/人/次的违约金。</w:t>
      </w:r>
    </w:p>
    <w:p w14:paraId="62894343">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日常履责管理</w:t>
      </w:r>
    </w:p>
    <w:p w14:paraId="6A9BCE0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9.1工作纪律</w:t>
      </w:r>
    </w:p>
    <w:p w14:paraId="3C1E5D2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工程项目开工后，应按时向建设单位提供监理规划、监理细则，总监应常驻工程现场，根据施工内容可按投标承诺安排人员进退场，进退场人员报项目组备案纳入考勤。工作期间上下班应与施工单位同步，不得无故离岗、迟到、早退、酗酒，检查中如有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，工作期间酗酒的予以清退。</w:t>
      </w:r>
    </w:p>
    <w:p w14:paraId="178DFA0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9.1.2应认真审核施工图，在施工图纸交底、会审时，提出图纸中各专业存在的错、漏、碰、缺等，并提出优化意见，及时协调图纸变更手续，不及时办理</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DE6BF6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9.1.3现场配备必要的检测设备和仪器，按职责做好见证取样、抽检工作；无设备和仪器处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，未做好见证取样或抽检</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77FDCFF">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9.1.4审查第三方检测方案并负责第三方检测过程中的协调和报告运用，不审查或协调不力的</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0C62D21">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9.1.5定期召开监理例会，认真书写监理例会纪要并于监理例会后的24小时内下发例会纪要，不及时传发以上资料的处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监理日志填写内容齐全、真实、清晰、可追溯；监理月报应包括监理管理执行情况说明，质量、进度、安全控制情况评析等内容详实。每月3日前报上月监理月报至建设单位项目组审阅，日志、月报内容不详实或超期</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A2BDB1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9.1.6应公正开展监理工作，不得故意刁难施工单位，现场验收不得拖延，工程资料应及时签认，一经发现违反规定，处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37456C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9.1.7不得向施工单位推销材料、介绍队伍、索取钱物、报销费用，不得接受施工单位、供货商的吃请或接受回扣，一经发现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3000元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，并记入“黑名单”。</w:t>
      </w:r>
    </w:p>
    <w:p w14:paraId="4801A99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9.1.8监理人员在服务期内如果有重大失职，造成经济损失的监理公司应予以赔偿损失。不准泄露与工程有关的技术和机密，对建设单位造成损失的按照合同有关规定执行，并记入黑名单。</w:t>
      </w:r>
    </w:p>
    <w:p w14:paraId="516387A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9.2质量控制</w:t>
      </w:r>
    </w:p>
    <w:p w14:paraId="4F64462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9.2.1审核各专业施工方案，使之符合规范及标准强制性条文的规定，并监督施工单位按批准的方案施工，发现问题应及时解决。发现审核后的施工方案有严重审查错误而不及时处理的，处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A81266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30%的</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rPr>
        <w:t>，并记入“黑名单”。</w:t>
      </w:r>
    </w:p>
    <w:p w14:paraId="7672C2E8">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9.2.3材料进场验收手续齐全，质量证明资料与实物核验符合设计及规范要求。由于发现不及时或发现未经批准的材料使用，监理不采取措施制止的，处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F3577F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9.2.4对现场存在的质量问题、安全隐患应及时发现并及时发出整改通知单。施工中存在质量问题，能够及时发现并进行处理的，及时安排处理并复查，质量问题不得隐瞒并私自处理；否则发现处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。经验收合格的工程，应不得再有质量问题。</w:t>
      </w:r>
    </w:p>
    <w:p w14:paraId="18DBA9D6">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9.2.5监理单位对各种质量检验报告单、中间交工证书符合要求的及时签认；对施工单位的报验的关键部位或工序要及时进行验收，凡未履行签字验收程序就进行下道施工的发现处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023AD7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9.2.6各级巡查检查中对现场管理混乱、观感质量差的处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；检查中发现未按图纸及《规范》施工，监理理应发现而未发现，视为监理失误，处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1000--10000元/次</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违约金；上述行为虽被监理人员发现但未采取有效措施，听之任之的，处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2000--20000元</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违约金。情节严重的记入“黑名单”。</w:t>
      </w:r>
    </w:p>
    <w:p w14:paraId="721C81E1">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9.2.7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637241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9.3进度、投资控制</w:t>
      </w:r>
    </w:p>
    <w:p w14:paraId="7FF933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9.3.1监理单位须配合施工进度,根据总进度计划,要求施工单位提出各分部、分项工程的季度、月度的具体计划安排,组织各专业监理工程师审查其可行性并提出意见，如不审查处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85E803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9.3.2为了配合施工单位按计划完成施工任务，在施工过程中，监理人员应加强过程检查，对违反施工规范、与图纸不符、有严重错误的问题敢于指出并要求整改，必要时签发监理通知，以减少工序验收时返工。</w:t>
      </w:r>
    </w:p>
    <w:p w14:paraId="1DE22B6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9.3.3监理工程师审核施工方提交的已完成工程量月报,对设计变更及工地洽商等造成的工程量增减变化情况进行审查,不符合质量要求不予签认，对进度滞后提出原因分析并督促采取补救措施，及时汇报业主方。</w:t>
      </w:r>
    </w:p>
    <w:p w14:paraId="5A1F425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实行业主、监理、跟审和施工单位四方共同计量方式，严格控制工程量清单数量，做到及时、准确、不漏计、不重计。为保证请款资料的完整性、准确性，采取进度款支付联合会审逐级签认，若监理单位出现漏签、错签、代签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599A64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9.4安全文明生产、扬尘控制</w:t>
      </w:r>
    </w:p>
    <w:p w14:paraId="17D956C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9.4.1监理部应定期组织现场安全文明生产检查，对检查发现的问题应及时督促施工单位整改，并将整改结果上报建设单位。</w:t>
      </w:r>
    </w:p>
    <w:p w14:paraId="7A9294C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9.4.2督促施工单位严格执行大气污染防治措施，做好台账，若出现防治措施不到位，被巡查、检查发现的，按相关大气污染防治规定处罚。</w:t>
      </w:r>
    </w:p>
    <w:p w14:paraId="1B6B9F2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9.4.3做好日常安全监护及督促，对发现下述情况，监理单位不按照要求提出整改听之任之的，对监理单位处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1000元/项</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D1E7BE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（1）工程标牌未设置，或设置位置不醒目，破损未及时修复的。</w:t>
      </w:r>
    </w:p>
    <w:p w14:paraId="742FD9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或不完善，未对施工作业人员进行安全生产教育或分部分项工程未进行安全技术交底，施工单位特种作业人员未持证上岗。施工设备、机械未进行检查验收及相关材料存档的，作业人员未正确穿戴和使用劳动保护用品的。</w:t>
      </w:r>
    </w:p>
    <w:p w14:paraId="0C0483B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6B1CD52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0E8319C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046C493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423921A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（7）施工现场成品、半成品及原材料未按规定堆放的。</w:t>
      </w:r>
    </w:p>
    <w:p w14:paraId="60297F4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15C0BFB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084C4F1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（10）在充分分析现场安全环境后按照要求签署工作许可证，同时监督现场安全防范措施是否按照方案以及工作许可证要求执行</w:t>
      </w:r>
    </w:p>
    <w:p w14:paraId="47FE89A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（11）未制止冒险作业、违章指挥和违章作业行为，对于危及人员生命的重大隐患，未要求立即停止施工进行整改的。</w:t>
      </w:r>
    </w:p>
    <w:p w14:paraId="4B91AA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（12）严格执行奖罚制度，加强动态安全管理，对施工现场重大危险源（包括但不限于动火作业、高空作业、吊装作业、开挖作业、密闭空间、脚手架作业）的施工要全过程监督检查，预防事故的发生。</w:t>
      </w:r>
    </w:p>
    <w:p w14:paraId="78BFD60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9.5监理合同补充条款</w:t>
      </w:r>
    </w:p>
    <w:p w14:paraId="21D9D46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9.5.1单位工程质量未达到施工合同约定质量标准，每出现一项扣减监理费用人民币10000元，依次类推。</w:t>
      </w:r>
    </w:p>
    <w:p w14:paraId="56E901A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9.5.2因监理服务不及时造成工期延误每天扣减监理费用人民币500元。</w:t>
      </w:r>
    </w:p>
    <w:p w14:paraId="32F419C4">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9.5.3因监理责任造成的工程质量返工，对监理单位</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返工损失总额的10%</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066F94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9.5.4如监理人员与施工单位串通弄虚作假，降低工程质量，将不合格材料按照合格签字的，给委托人造成损失。视其情节轻重，扣减监理费用10000元—30000元，并追究经济法律责任。</w:t>
      </w:r>
    </w:p>
    <w:p w14:paraId="423385C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9.5.5若是监理人员与施工单位串通弄虚作假，签发不实的经济和工期签证，给委托人造成损失。视其情节轻重，扣减监理费用10000元—20000元，并追究经济法律责任。</w:t>
      </w:r>
    </w:p>
    <w:p w14:paraId="2D996B3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9.6其他</w:t>
      </w:r>
    </w:p>
    <w:p w14:paraId="398EB5E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项目组、业主代表将严格按此要求进行检查，并对监理单位进行考核。所有处罚均函告监理公司。</w:t>
      </w:r>
    </w:p>
    <w:p w14:paraId="2C904B06">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滁州市建设领域农民工工资管理</w:t>
      </w:r>
    </w:p>
    <w:p w14:paraId="0BDAFC5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执行《关于进一步完善工程建设领域农民工工资保证金和农民工工资（劳务费）专户管理制度的实施意见》滁人社发【2019】21号：</w:t>
      </w:r>
    </w:p>
    <w:p w14:paraId="478842E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10.1在建筑市政、铁路、电力、通信、交通、水利等工程建设领域全面实施工资保证金和设立工资专户制度，并实现所有在建工程项目全覆盖。</w:t>
      </w:r>
    </w:p>
    <w:p w14:paraId="43217DA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10.2市人力资源和社会保障部门主管本市行政区域内工资保证金缴纳和工资专户管理工作。市交通、水利、重点工程建设管理等职能部门按照各自职能配合做好工作保证金和工资专户监管工作。</w:t>
      </w:r>
    </w:p>
    <w:p w14:paraId="2373800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10.3工作保证金和工资专户按照工程项目所在地实行属地化管理，由工程建设项目的施工总承包企业（包括直接承包建设单位发包工程的专业承包企业）缴存和开设。</w:t>
      </w:r>
    </w:p>
    <w:p w14:paraId="7CE8244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10.4工资保证金按工程建设项目合同造价的2%缴存。施工企业未提供劳务保障监察机构出具的缴存工资保证金和开设工资专户证明的，建设单位不予施工企业签订工程承包合同。</w:t>
      </w:r>
    </w:p>
    <w:p w14:paraId="4E95424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10.5在同一市级行政区域内，可根据行业特点和企业信用状况等适当调整工资保证金缴存比例。</w:t>
      </w:r>
    </w:p>
    <w:p w14:paraId="3E4A761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对一年内发生拖欠农民工工资行为的，新开工项目工资保证金应按工程项目合同造价的3%缴存。对因欠薪被纳入黑名单的，应按工程项目合同造价的4%缴存，缴存金额不受缴存金额上限限制。</w:t>
      </w:r>
    </w:p>
    <w:p w14:paraId="76E57F8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缴存企业可以以银行保函方式缴存工资保证金、银行保函的种类应当是见索即付的独立保函，由施工企业向工程项目所在地的国有商业银行申请开立，受益人为工程所在地的人力资源和社会保障部门。银行保函有效期由开立申请人、受益人与银行三方根据合同约定的竣工验收期限合理确定。如银行保函到期时给出尚未竣工验收，或存在农民工工资尚未结清的，开立申请人应与银行协商续开保函；无法续开的，应按规定缴存工资保证金。需动用工资保证金垫付被拖欠工资时，出具保函的银行原则上应在3个工作日内垫付，紧急特殊情况应当尽快办理垫付手续。符合退还工资保证金条件时，开立申请人应将银行保函退回开立银行予以注销。</w:t>
      </w:r>
    </w:p>
    <w:p w14:paraId="3640FFF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10.7行业主管部门要加强对建设资金监管，同时要对建设单位工程支付和使用情况进行监督。</w:t>
      </w:r>
    </w:p>
    <w:p w14:paraId="144CAF0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10.7.1交通、水利、电力、铁路、通信等工程项目在拨付工程款时，应将工程进度款的15%直接汇入施工企业开设的工资专户，专项用于支付农民工工资。</w:t>
      </w:r>
    </w:p>
    <w:p w14:paraId="16123A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10.7.2道路桥梁等市政工程项目在拨付工程进度款时，应将工程进度款的15%直接汇入施工企业开设的工资专户，专项用于支付农民工工资。</w:t>
      </w:r>
    </w:p>
    <w:p w14:paraId="2E88E38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10.7.3园林景观（含道路绿化）工程项目在拨付工程款时，应将工程进度款的20%直接汇入施工企业开设的工资专户，用于支付农民工工资。</w:t>
      </w:r>
    </w:p>
    <w:p w14:paraId="12AD5FD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10.7.4道路、电梯、强弱电、暖通、智能化等设备采购及安装项目在拨付工程款时，应将工程进度款的5%直接汇入工资专户，用于支付农民工工资。</w:t>
      </w:r>
    </w:p>
    <w:p w14:paraId="582894D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人力资源和社会保障部门要督促施工企业按规定及时足额缴存工资保证金和开设工资专户。交通、水利等行业主管部门及重点工程建设管理部门应向人力资源和社会保障部门按月通报新建工程项目信息，督促缴存施工企业按规定缴存工资保证金和开设工资专户，未缴存工资保证金或是未开设工资专户的施工企业一律不予开工建设，确保应缴尽缴。</w:t>
      </w:r>
    </w:p>
    <w:p w14:paraId="3BF161B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工程项目完工并经验收后，未发现拖欠工资行为的，经缴存施工企业申请并公示，人力资源和社会保障部门自公示期满之日起5个工作日内，作出同意缴存施工企业将工资保证金本息一并转入该缴存企业其他同名银行结算账户的决定。</w:t>
      </w:r>
    </w:p>
    <w:p w14:paraId="53E2515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工资保证金由缴存企业存入工资保证金账户，工资专户由施工企业在工程所在地工资保证金专户银行开设，实行专户管理。人力资源和社会保障部门要建立工资保证金和工资专户管理台账，严格规范财务、审计制度，加强账户监管，确保专款专用，防止挪作他用。对擅自减免、超限额收缴、违规挪用、无故拖延返还工资保证金的，要严肃追究责任，依法依规对有关责任人员实行问责。</w:t>
      </w:r>
    </w:p>
    <w:p w14:paraId="7FF8B46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10.11未尽事宜，按《滁州市建设领域农民工工资管理暂行办法》（滁人社发〔2018〕215号）执行。</w:t>
      </w:r>
    </w:p>
    <w:p w14:paraId="6D7FF5F9">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禁止条款：</w:t>
      </w:r>
      <w:r>
        <w:rPr>
          <w:rFonts w:hint="eastAsia" w:ascii="宋体" w:hAnsi="宋体" w:eastAsia="宋体" w:cs="宋体"/>
          <w:color w:val="auto"/>
          <w:sz w:val="21"/>
          <w:szCs w:val="21"/>
          <w:highlight w:val="none"/>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p w14:paraId="443C28DA">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农民工工资支付</w:t>
      </w:r>
    </w:p>
    <w:p w14:paraId="3ED396A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承包人应严格遵守《政府投资工程农民工工资信访管理办法（试行）》的相关规定。</w:t>
      </w:r>
    </w:p>
    <w:p w14:paraId="0E9BF7B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凡到滁州经开区上访，滞留时间半个工作日（不足半个工作日以半个工作日计算），工程款支付比例在30%-40%（含）的，按每人每半个工作日200元的标准给予处罚，每增加工程款支付比例10%，每人每半个工作日处罚标准增加100元，依此类推。</w:t>
      </w:r>
    </w:p>
    <w:p w14:paraId="1E8FDF2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val="zh-CN" w:eastAsia="zh-CN"/>
        </w:rPr>
        <w:t>凡赴市政府或市根治办上访</w:t>
      </w:r>
      <w:r>
        <w:rPr>
          <w:rFonts w:hint="eastAsia" w:ascii="宋体" w:hAnsi="宋体" w:eastAsia="宋体" w:cs="宋体"/>
          <w:color w:val="auto"/>
          <w:sz w:val="21"/>
          <w:szCs w:val="21"/>
          <w:highlight w:val="none"/>
        </w:rPr>
        <w:t>，滞留时间半个工作日（不足半个工作日以半个工作日计算），工程款支付比例在30%-40%（含）的，按每人每半个工作日400元的标准给予处罚，每增加工程款支付比例10%，每人每半个工作日处罚标准增加200元，依此类推。</w:t>
      </w:r>
    </w:p>
    <w:p w14:paraId="0160D39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凡赴省政府上访，滞留时间半个工作日（不足半个工作日以半个工作日计算），工程款支付比例在30%-40%（含）的，按每人每半个工作日600元的标准给予处罚，每增加工程款支付比例10%，每人每半个工作日处罚标准增加300元，依此类推。</w:t>
      </w:r>
    </w:p>
    <w:p w14:paraId="1AAA3466">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特别说明</w:t>
      </w:r>
    </w:p>
    <w:p w14:paraId="4FEC2E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本项目实施范围内工程量无论增减，中标人必须无条件执行，否则视为违约，招标人视情节轻重给予处罚。</w:t>
      </w:r>
    </w:p>
    <w:p w14:paraId="65C9EB47">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工地围挡公益广告设置基本要求</w:t>
      </w:r>
    </w:p>
    <w:p w14:paraId="3A7683E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16.1内容：根据工地围挡实际长度合理安排公益广告内容，并严格按照以下类型依次排序，12幅以内的，按如下前后顺序选用；超过12幅的，则按照以下顺序重复安排，但内容重复，画面不得重复。</w:t>
      </w:r>
    </w:p>
    <w:p w14:paraId="7B2C9A6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先后顺序：1、社会主义核心价值观12个主题词；2、滁州市民公约；3、滁州文明16条；4、中宣部、中央文明办发布的“图说我们的价值观”；5、“讲文明树新风”；6、 关爱未成年人；7、志愿服务；8、道德模范；9、法治精神；10、关爱未成年人（画面不可与6相同）；11、环境保护；12、身边好人。     </w:t>
      </w:r>
    </w:p>
    <w:p w14:paraId="1C822988">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上述公益广告通稿可在中国文明网“图说我们的价值观”围挡类图库中下载,为保证图片分辨率，需打包下载；滁州市自创公益广告由市创建办提供，联系人：侯明明，电话：18900507793。</w:t>
      </w:r>
    </w:p>
    <w:p w14:paraId="4D1F2C5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16.2占比：1、公益广告展示面积要占工地围挡面积≧50%；2、关爱未成年人的公益广告必须≧20%；3、我市自创公益广告必须≧30%。</w:t>
      </w:r>
    </w:p>
    <w:p w14:paraId="0010D133">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16.3间距：公益广告不要连续设置，也不要满铺，公益广告之间以及上下采取适当距离的间隔留白，留白距离大小综合工地围挡实际总长度统筹考虑。</w:t>
      </w:r>
    </w:p>
    <w:p w14:paraId="447BFDB7">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滁州市建设工程及储备用地围挡整治提升方案</w:t>
      </w:r>
    </w:p>
    <w:p w14:paraId="729107A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执行《关于印发《滁州市建设工程及储备用地围挡整治提升方案》的通知》（滁创建指办【2018】19号文）</w:t>
      </w:r>
    </w:p>
    <w:p w14:paraId="7B77C4F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17.1建设工程（储备用地）必须设置高度不得低于2.5米的封闭围挡，围档材质可选用砌体、钢结构或彩钢夹芯板等，不得使用彩钢板，围挡设置标准可参照施工围挡标准图集中的内容执行。</w:t>
      </w:r>
    </w:p>
    <w:p w14:paraId="393C1C54">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在建工地封闭围挡刊载以公益广告比例不低于围挡墙体面积的50%，公益广告与商业广告需穿插展示，每3块商业广告中至少有1块公益广告，并保持常态，积极营造“创建无处不在、文明无时不有”,全民共同参与的良好氛围。</w:t>
      </w:r>
    </w:p>
    <w:p w14:paraId="4BACAA3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围挡装饰画面或广告画面与墙体的连接应确保连接可靠，牢固安全，连接构件不得裸露；制作精良，张贴应平整、整洁，不留缝隙，不出现褶皱；根据周围环境可选择性设置灯光、喷淋、垂直绿化等,临近商业中心区、居住区等人口密集区宜设置围挡喷淋系统。</w:t>
      </w:r>
    </w:p>
    <w:p w14:paraId="0C1EE6B1">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文明施工要求</w:t>
      </w:r>
    </w:p>
    <w:p w14:paraId="05E8FDA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18.1公共环境</w:t>
      </w:r>
    </w:p>
    <w:p w14:paraId="400EE94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建筑工地采用砌体、钢结构或彩钢夹芯板等，不得使用彩钢板封闭管理，高度不低于2.5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23CDFC8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18.1.2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1590ABB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18.2公益宣传</w:t>
      </w:r>
    </w:p>
    <w:p w14:paraId="68B9DD6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36F0135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18.2.2公益广告展示面积占围挡总面积的比例不少于50%，且公益广告要与商业广告穿插展示（每3块广告中必须要有1块公益广告），且单面围挡墙体均能看到公益宣传。步行30米，达到50%面积比例。</w:t>
      </w:r>
    </w:p>
    <w:p w14:paraId="1F8CEFE2">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重要要求</w:t>
      </w:r>
    </w:p>
    <w:p w14:paraId="0179B981">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19.1有下列情况之一的，招标人有权终止合同：</w:t>
      </w:r>
    </w:p>
    <w:p w14:paraId="79F7F0B1">
      <w:pPr>
        <w:keepNext w:val="0"/>
        <w:keepLines w:val="0"/>
        <w:pageBreakBefore w:val="0"/>
        <w:widowControl/>
        <w:shd w:val="clear" w:color="auto" w:fill="auto"/>
        <w:tabs>
          <w:tab w:val="left" w:pos="0"/>
        </w:tabs>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19.1.1在第一次监理例会，监理单位针对投标承诺配备项目总监和以监理单位任命文为准的专业监理工程师、监理员等监理部关键岗位人员必须全部到场参加；</w:t>
      </w:r>
    </w:p>
    <w:p w14:paraId="737E5FF9">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19.1.2在图纸交底会议，监理单位针对投标承诺配备项目总监和以监理单位任命文为准的专业监理工程师、监理员等监理部关键岗位人员必须全部到场参加；</w:t>
      </w:r>
    </w:p>
    <w:p w14:paraId="782DA6B2">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19.1.3发包人组织对总监进行业务能力考核，经考核不合格要求更换人员，且更换人员考核依然不合格的；</w:t>
      </w:r>
    </w:p>
    <w:p w14:paraId="4EF009AE">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19.1.4各专业监理可结合项目的实施阶段经委托人签字认可后分期到岗，若实际到岗人数不满足招标文件要求的。</w:t>
      </w:r>
    </w:p>
    <w:p w14:paraId="6FB8C588">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监管平台</w:t>
      </w:r>
    </w:p>
    <w:p w14:paraId="6527003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20.1监理单位须在监管平台录入以下（但不限于）内容：</w:t>
      </w:r>
    </w:p>
    <w:p w14:paraId="5428E97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20.1.1在进度管理中，每周实际完成工作量、投入人员及机械使用情况；</w:t>
      </w:r>
    </w:p>
    <w:p w14:paraId="0418375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20.1.2在安全管理中，现场存在的安全隐患等问题；</w:t>
      </w:r>
    </w:p>
    <w:p w14:paraId="6A660F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20.1.3在质量控制要点中的关键工序、验收资料及检测资料及存在的质量问题；</w:t>
      </w:r>
    </w:p>
    <w:p w14:paraId="1805F36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20.1.4监理日志；</w:t>
      </w:r>
    </w:p>
    <w:p w14:paraId="026CC0E0">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20.1.5创城、创卫管理内容。</w:t>
      </w:r>
    </w:p>
    <w:p w14:paraId="525954EC">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人员变更</w:t>
      </w:r>
    </w:p>
    <w:p w14:paraId="08946AF9">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10万元违约金，否则不得变更。变更后的项目负责人必须符合本项目招标文件和投标承诺配备的同等条件人员，并按照滁州市有关规定履行变更审批程序。</w:t>
      </w:r>
    </w:p>
    <w:p w14:paraId="0CD21EBC">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eastAsia="宋体" w:cs="宋体"/>
          <w:color w:val="auto"/>
          <w:sz w:val="21"/>
          <w:szCs w:val="21"/>
          <w:highlight w:val="none"/>
          <w:lang w:val="en-US" w:eastAsia="zh-CN"/>
        </w:rPr>
        <w:t>专业监理工程师（含</w:t>
      </w:r>
      <w:r>
        <w:rPr>
          <w:rFonts w:hint="eastAsia"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须缴纳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监理员（含见证员）须缴纳2万元违约金</w:t>
      </w:r>
      <w:r>
        <w:rPr>
          <w:rFonts w:hint="eastAsia" w:ascii="宋体" w:hAnsi="宋体" w:eastAsia="宋体" w:cs="宋体"/>
          <w:color w:val="auto"/>
          <w:sz w:val="21"/>
          <w:szCs w:val="21"/>
          <w:highlight w:val="none"/>
        </w:rPr>
        <w:t xml:space="preserve">，否则不得变更。变更后的监理部等关键岗位人员必须符合本项目招标文件和投标承诺配备的同等条件人员 </w:t>
      </w:r>
    </w:p>
    <w:p w14:paraId="1DF33F0E">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其他规定</w:t>
      </w:r>
    </w:p>
    <w:p w14:paraId="3FC6378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22.1相关工程管理文件作为招标文件附件。</w:t>
      </w:r>
    </w:p>
    <w:p w14:paraId="7512E3AA">
      <w:pPr>
        <w:keepNext w:val="0"/>
        <w:keepLines w:val="0"/>
        <w:pageBreakBefore w:val="0"/>
        <w:shd w:val="clear" w:color="auto" w:fill="auto"/>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22.2履约保证金退还：</w:t>
      </w:r>
      <w:r>
        <w:rPr>
          <w:rFonts w:hint="eastAsia" w:ascii="宋体" w:hAnsi="宋体" w:cs="宋体"/>
          <w:color w:val="auto"/>
          <w:sz w:val="21"/>
          <w:szCs w:val="21"/>
          <w:highlight w:val="none"/>
          <w:lang w:val="en-US" w:eastAsia="zh-CN"/>
        </w:rPr>
        <w:t>竣工验收合格后30日内一次性退还</w:t>
      </w:r>
      <w:r>
        <w:rPr>
          <w:rFonts w:hint="eastAsia" w:ascii="宋体" w:hAnsi="宋体" w:eastAsia="宋体" w:cs="宋体"/>
          <w:color w:val="auto"/>
          <w:sz w:val="21"/>
          <w:szCs w:val="21"/>
          <w:highlight w:val="none"/>
        </w:rPr>
        <w:t>。</w:t>
      </w:r>
    </w:p>
    <w:p w14:paraId="23E58E32">
      <w:pPr>
        <w:keepNext w:val="0"/>
        <w:keepLines w:val="0"/>
        <w:pageBreakBefore w:val="0"/>
        <w:shd w:val="clear" w:color="auto" w:fill="auto"/>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22.3本条款中所有处罚方式皆以现金方式交纳至</w:t>
      </w:r>
      <w:r>
        <w:rPr>
          <w:rFonts w:hint="eastAsia" w:ascii="宋体" w:hAnsi="宋体" w:eastAsia="宋体" w:cs="宋体"/>
          <w:color w:val="auto"/>
          <w:sz w:val="21"/>
          <w:szCs w:val="21"/>
          <w:highlight w:val="none"/>
          <w:lang w:eastAsia="zh-CN"/>
        </w:rPr>
        <w:t>滁州华城建设开发有限公司</w:t>
      </w:r>
      <w:r>
        <w:rPr>
          <w:rFonts w:hint="eastAsia" w:ascii="宋体" w:hAnsi="宋体" w:eastAsia="宋体" w:cs="宋体"/>
          <w:color w:val="auto"/>
          <w:sz w:val="21"/>
          <w:szCs w:val="21"/>
          <w:highlight w:val="none"/>
        </w:rPr>
        <w:t>财务，对于拒不交纳罚款的监理人予以不支付工程进度款等相关手续。</w:t>
      </w:r>
    </w:p>
    <w:p w14:paraId="1F434CFF">
      <w:pPr>
        <w:shd w:val="clear" w:color="auto" w:fill="auto"/>
        <w:adjustRightInd w:val="0"/>
        <w:snapToGrid w:val="0"/>
        <w:spacing w:before="156" w:beforeLines="50" w:after="156" w:afterLines="50" w:line="440" w:lineRule="exact"/>
        <w:rPr>
          <w:rFonts w:hint="eastAsia" w:ascii="宋体" w:hAnsi="宋体" w:cs="宋体"/>
          <w:b/>
          <w:bCs/>
          <w:color w:val="auto"/>
          <w:szCs w:val="21"/>
          <w:highlight w:val="none"/>
        </w:rPr>
      </w:pPr>
    </w:p>
    <w:p w14:paraId="78816A01">
      <w:pPr>
        <w:pStyle w:val="45"/>
        <w:rPr>
          <w:rFonts w:hint="eastAsia" w:ascii="宋体" w:hAnsi="宋体" w:cs="宋体"/>
          <w:b/>
          <w:bCs/>
          <w:color w:val="auto"/>
          <w:szCs w:val="21"/>
          <w:highlight w:val="none"/>
        </w:rPr>
      </w:pPr>
    </w:p>
    <w:p w14:paraId="151CA43B">
      <w:pPr>
        <w:rPr>
          <w:rFonts w:hint="eastAsia" w:ascii="宋体" w:hAnsi="宋体" w:cs="宋体"/>
          <w:b/>
          <w:bCs/>
          <w:color w:val="auto"/>
          <w:szCs w:val="21"/>
          <w:highlight w:val="none"/>
        </w:rPr>
      </w:pPr>
    </w:p>
    <w:p w14:paraId="1319239A">
      <w:pPr>
        <w:rPr>
          <w:rFonts w:hint="eastAsia" w:ascii="宋体" w:hAnsi="宋体" w:cs="宋体"/>
          <w:b/>
          <w:bCs/>
          <w:color w:val="auto"/>
          <w:szCs w:val="21"/>
          <w:highlight w:val="none"/>
        </w:rPr>
      </w:pPr>
    </w:p>
    <w:p w14:paraId="51479028">
      <w:pPr>
        <w:rPr>
          <w:rFonts w:hint="eastAsia" w:ascii="宋体" w:hAnsi="宋体" w:cs="宋体"/>
          <w:b/>
          <w:bCs/>
          <w:color w:val="auto"/>
          <w:szCs w:val="21"/>
          <w:highlight w:val="none"/>
        </w:rPr>
      </w:pPr>
      <w:r>
        <w:rPr>
          <w:rFonts w:hint="eastAsia" w:ascii="宋体" w:hAnsi="宋体" w:cs="宋体"/>
          <w:b/>
          <w:bCs/>
          <w:color w:val="auto"/>
          <w:szCs w:val="21"/>
          <w:highlight w:val="none"/>
        </w:rPr>
        <w:t>附录A  相关服务的范围和内容</w:t>
      </w:r>
    </w:p>
    <w:p w14:paraId="658F3B68">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A-1 勘察阶段：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997ED4">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A-2 设计阶段：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2873D8">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A-3 保修阶段：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FE7AEB">
      <w:pPr>
        <w:shd w:val="clear" w:color="auto" w:fill="auto"/>
        <w:snapToGrid w:val="0"/>
        <w:spacing w:before="156" w:beforeLines="50" w:after="156" w:afterLines="50" w:line="440" w:lineRule="exact"/>
        <w:ind w:firstLine="420" w:firstLineChars="200"/>
        <w:rPr>
          <w:rFonts w:hint="eastAsia"/>
          <w:color w:val="auto"/>
          <w:highlight w:val="none"/>
        </w:rPr>
      </w:pPr>
      <w:r>
        <w:rPr>
          <w:rFonts w:hint="eastAsia" w:ascii="宋体" w:hAnsi="宋体" w:cs="宋体"/>
          <w:color w:val="auto"/>
          <w:kern w:val="0"/>
          <w:szCs w:val="21"/>
          <w:highlight w:val="none"/>
        </w:rPr>
        <w:t xml:space="preserve">A-4 </w:t>
      </w:r>
      <w:r>
        <w:rPr>
          <w:rFonts w:hint="eastAsia" w:ascii="宋体" w:hAnsi="宋体" w:cs="宋体"/>
          <w:color w:val="auto"/>
          <w:szCs w:val="21"/>
          <w:highlight w:val="none"/>
        </w:rPr>
        <w:t>其他（专业技术咨询、外部协调工作等）：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7E1E81">
      <w:pPr>
        <w:rPr>
          <w:color w:val="auto"/>
          <w:highlight w:val="none"/>
        </w:rPr>
      </w:pPr>
    </w:p>
    <w:p w14:paraId="4468FD49">
      <w:pPr>
        <w:pStyle w:val="45"/>
        <w:ind w:firstLine="560"/>
        <w:rPr>
          <w:color w:val="auto"/>
          <w:highlight w:val="none"/>
        </w:rPr>
      </w:pPr>
    </w:p>
    <w:p w14:paraId="49E10094">
      <w:pPr>
        <w:rPr>
          <w:color w:val="auto"/>
          <w:highlight w:val="none"/>
        </w:rPr>
      </w:pPr>
    </w:p>
    <w:p w14:paraId="1D10E9A8">
      <w:pPr>
        <w:pStyle w:val="45"/>
        <w:rPr>
          <w:color w:val="auto"/>
          <w:highlight w:val="none"/>
        </w:rPr>
      </w:pPr>
    </w:p>
    <w:p w14:paraId="16B13079">
      <w:pPr>
        <w:rPr>
          <w:color w:val="auto"/>
          <w:highlight w:val="none"/>
        </w:rPr>
      </w:pPr>
    </w:p>
    <w:p w14:paraId="7EECF0BC">
      <w:pPr>
        <w:pStyle w:val="45"/>
        <w:ind w:left="0" w:leftChars="0" w:firstLine="0" w:firstLineChars="0"/>
        <w:rPr>
          <w:color w:val="auto"/>
          <w:highlight w:val="none"/>
        </w:rPr>
      </w:pPr>
    </w:p>
    <w:p w14:paraId="13AE9815">
      <w:pPr>
        <w:rPr>
          <w:color w:val="auto"/>
          <w:highlight w:val="none"/>
        </w:rPr>
      </w:pPr>
    </w:p>
    <w:p w14:paraId="1493FBD3">
      <w:pPr>
        <w:pStyle w:val="45"/>
        <w:rPr>
          <w:color w:val="auto"/>
          <w:highlight w:val="none"/>
        </w:rPr>
      </w:pPr>
    </w:p>
    <w:p w14:paraId="6A841D39">
      <w:pPr>
        <w:keepNext w:val="0"/>
        <w:keepLines w:val="0"/>
        <w:pageBreakBefore/>
        <w:widowControl w:val="0"/>
        <w:kinsoku/>
        <w:wordWrap/>
        <w:overflowPunct/>
        <w:topLinePunct w:val="0"/>
        <w:autoSpaceDE/>
        <w:autoSpaceDN/>
        <w:bidi w:val="0"/>
        <w:adjustRightInd/>
        <w:snapToGrid/>
        <w:spacing w:line="600" w:lineRule="exact"/>
        <w:textAlignment w:val="auto"/>
        <w:rPr>
          <w:rFonts w:hint="eastAsia" w:ascii="黑体" w:eastAsia="黑体" w:cs="宋体"/>
          <w:b/>
          <w:bCs/>
          <w:color w:val="auto"/>
          <w:sz w:val="28"/>
          <w:szCs w:val="28"/>
          <w:highlight w:val="none"/>
        </w:rPr>
      </w:pPr>
      <w:r>
        <w:rPr>
          <w:rFonts w:hint="eastAsia" w:ascii="黑体" w:eastAsia="黑体" w:cs="宋体"/>
          <w:b/>
          <w:bCs/>
          <w:color w:val="auto"/>
          <w:sz w:val="28"/>
          <w:szCs w:val="28"/>
          <w:highlight w:val="none"/>
        </w:rPr>
        <w:t xml:space="preserve">附件：      </w:t>
      </w:r>
    </w:p>
    <w:p w14:paraId="08EC9258">
      <w:pPr>
        <w:rPr>
          <w:rFonts w:hint="eastAsia" w:ascii="黑体" w:eastAsia="黑体" w:cs="宋体"/>
          <w:b/>
          <w:bCs/>
          <w:color w:val="auto"/>
          <w:sz w:val="28"/>
          <w:szCs w:val="28"/>
          <w:highlight w:val="none"/>
        </w:rPr>
      </w:pPr>
    </w:p>
    <w:p w14:paraId="255FA52B">
      <w:pPr>
        <w:rPr>
          <w:rFonts w:hint="eastAsia" w:ascii="黑体" w:eastAsia="黑体" w:cs="宋体"/>
          <w:b/>
          <w:bCs/>
          <w:color w:val="auto"/>
          <w:sz w:val="28"/>
          <w:szCs w:val="28"/>
          <w:highlight w:val="none"/>
        </w:rPr>
      </w:pPr>
    </w:p>
    <w:p w14:paraId="1B73BCBB">
      <w:pPr>
        <w:rPr>
          <w:rFonts w:hint="eastAsia" w:ascii="黑体" w:eastAsia="黑体" w:cs="宋体"/>
          <w:b/>
          <w:bCs/>
          <w:color w:val="auto"/>
          <w:sz w:val="28"/>
          <w:szCs w:val="28"/>
          <w:highlight w:val="none"/>
        </w:rPr>
      </w:pPr>
    </w:p>
    <w:p w14:paraId="6E04F45B">
      <w:pPr>
        <w:rPr>
          <w:rFonts w:hint="eastAsia" w:ascii="黑体" w:eastAsia="黑体" w:cs="宋体"/>
          <w:b/>
          <w:bCs/>
          <w:color w:val="auto"/>
          <w:sz w:val="28"/>
          <w:szCs w:val="28"/>
          <w:highlight w:val="none"/>
        </w:rPr>
      </w:pPr>
    </w:p>
    <w:p w14:paraId="63ACF9A9">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r>
        <w:rPr>
          <w:rFonts w:hint="eastAsia" w:ascii="黑体" w:eastAsia="黑体"/>
          <w:b/>
          <w:color w:val="auto"/>
          <w:sz w:val="32"/>
          <w:szCs w:val="32"/>
          <w:highlight w:val="none"/>
        </w:rPr>
        <w:t xml:space="preserve">   </w:t>
      </w:r>
      <w:r>
        <w:rPr>
          <w:rFonts w:hint="eastAsia" w:ascii="仿宋" w:hAnsi="仿宋" w:eastAsia="仿宋" w:cs="宋体"/>
          <w:b w:val="0"/>
          <w:bCs/>
          <w:color w:val="auto"/>
          <w:kern w:val="0"/>
          <w:sz w:val="32"/>
          <w:szCs w:val="32"/>
          <w:highlight w:val="none"/>
        </w:rPr>
        <w:t>滁开管发〔202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w:t>
      </w:r>
      <w:r>
        <w:rPr>
          <w:rFonts w:hint="eastAsia" w:ascii="仿宋" w:hAnsi="仿宋" w:eastAsia="仿宋" w:cs="宋体"/>
          <w:b w:val="0"/>
          <w:bCs/>
          <w:color w:val="auto"/>
          <w:kern w:val="0"/>
          <w:sz w:val="32"/>
          <w:szCs w:val="32"/>
          <w:highlight w:val="none"/>
          <w:lang w:val="en-US" w:eastAsia="zh-CN"/>
        </w:rPr>
        <w:t>47</w:t>
      </w:r>
      <w:r>
        <w:rPr>
          <w:rFonts w:hint="eastAsia" w:ascii="仿宋" w:hAnsi="仿宋" w:eastAsia="仿宋" w:cs="宋体"/>
          <w:b w:val="0"/>
          <w:bCs/>
          <w:color w:val="auto"/>
          <w:kern w:val="0"/>
          <w:sz w:val="32"/>
          <w:szCs w:val="32"/>
          <w:highlight w:val="none"/>
        </w:rPr>
        <w:t>号</w:t>
      </w:r>
    </w:p>
    <w:p w14:paraId="64FA714C">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p>
    <w:p w14:paraId="4C8590A9">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关于印发滁州经开区政府投资建设项目</w:t>
      </w:r>
    </w:p>
    <w:p w14:paraId="2EB71C03">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工程变更管理暂行办法的通知</w:t>
      </w:r>
    </w:p>
    <w:p w14:paraId="4A6B2A31">
      <w:pPr>
        <w:spacing w:line="600" w:lineRule="exact"/>
        <w:rPr>
          <w:rFonts w:ascii="宋体"/>
          <w:b/>
          <w:color w:val="auto"/>
          <w:sz w:val="44"/>
          <w:szCs w:val="44"/>
          <w:highlight w:val="none"/>
        </w:rPr>
      </w:pPr>
    </w:p>
    <w:p w14:paraId="6FB77A01">
      <w:pPr>
        <w:spacing w:line="600" w:lineRule="exact"/>
        <w:rPr>
          <w:rFonts w:ascii="宋体"/>
          <w:b/>
          <w:color w:val="auto"/>
          <w:sz w:val="44"/>
          <w:szCs w:val="44"/>
          <w:highlight w:val="none"/>
        </w:rPr>
      </w:pPr>
    </w:p>
    <w:p w14:paraId="652F4C62">
      <w:pPr>
        <w:keepNext w:val="0"/>
        <w:keepLines w:val="0"/>
        <w:pageBreakBefore w:val="0"/>
        <w:widowControl/>
        <w:kinsoku/>
        <w:wordWrap/>
        <w:overflowPunct/>
        <w:topLinePunct w:val="0"/>
        <w:autoSpaceDE/>
        <w:autoSpaceDN/>
        <w:bidi w:val="0"/>
        <w:adjustRightInd/>
        <w:spacing w:line="540" w:lineRule="exact"/>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各办、局、办事处，各直属单位：</w:t>
      </w:r>
    </w:p>
    <w:p w14:paraId="7DF159FA">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现将《滁州经开区政府投资建设项目工程变更管理暂行办法》印发给你们，请遵照执行。</w:t>
      </w:r>
    </w:p>
    <w:p w14:paraId="04787E21">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633B4546">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47946D1D">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2E366D65">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073D26C2">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滁州经济技术开发区管委会   </w:t>
      </w:r>
    </w:p>
    <w:p w14:paraId="7C1BEB50">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               </w:t>
      </w:r>
      <w:r>
        <w:rPr>
          <w:rFonts w:hint="eastAsia" w:ascii="仿宋" w:hAnsi="仿宋" w:eastAsia="仿宋" w:cs="宋体"/>
          <w:b w:val="0"/>
          <w:bCs/>
          <w:color w:val="auto"/>
          <w:kern w:val="0"/>
          <w:sz w:val="32"/>
          <w:szCs w:val="32"/>
          <w:highlight w:val="none"/>
          <w:lang w:val="en-US" w:eastAsia="zh-CN"/>
        </w:rPr>
        <w:t xml:space="preserve">                 </w:t>
      </w:r>
      <w:r>
        <w:rPr>
          <w:rFonts w:hint="eastAsia" w:ascii="仿宋" w:hAnsi="仿宋" w:eastAsia="仿宋" w:cs="宋体"/>
          <w:b w:val="0"/>
          <w:bCs/>
          <w:color w:val="auto"/>
          <w:kern w:val="0"/>
          <w:sz w:val="32"/>
          <w:szCs w:val="32"/>
          <w:highlight w:val="none"/>
        </w:rPr>
        <w:t>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年</w:t>
      </w:r>
      <w:r>
        <w:rPr>
          <w:rFonts w:hint="eastAsia" w:ascii="仿宋" w:hAnsi="仿宋" w:eastAsia="仿宋" w:cs="宋体"/>
          <w:b w:val="0"/>
          <w:bCs/>
          <w:color w:val="auto"/>
          <w:kern w:val="0"/>
          <w:sz w:val="32"/>
          <w:szCs w:val="32"/>
          <w:highlight w:val="none"/>
          <w:lang w:val="en-US" w:eastAsia="zh-CN"/>
        </w:rPr>
        <w:t>5</w:t>
      </w:r>
      <w:r>
        <w:rPr>
          <w:rFonts w:hint="eastAsia" w:ascii="仿宋" w:hAnsi="仿宋" w:eastAsia="仿宋" w:cs="宋体"/>
          <w:b w:val="0"/>
          <w:bCs/>
          <w:color w:val="auto"/>
          <w:kern w:val="0"/>
          <w:sz w:val="32"/>
          <w:szCs w:val="32"/>
          <w:highlight w:val="none"/>
        </w:rPr>
        <w:t>月</w:t>
      </w:r>
      <w:r>
        <w:rPr>
          <w:rFonts w:hint="eastAsia" w:ascii="仿宋" w:hAnsi="仿宋" w:eastAsia="仿宋" w:cs="宋体"/>
          <w:b w:val="0"/>
          <w:bCs/>
          <w:color w:val="auto"/>
          <w:kern w:val="0"/>
          <w:sz w:val="32"/>
          <w:szCs w:val="32"/>
          <w:highlight w:val="none"/>
          <w:lang w:val="en-US" w:eastAsia="zh-CN"/>
        </w:rPr>
        <w:t>21</w:t>
      </w:r>
      <w:r>
        <w:rPr>
          <w:rFonts w:hint="eastAsia" w:ascii="仿宋" w:hAnsi="仿宋" w:eastAsia="仿宋" w:cs="宋体"/>
          <w:b w:val="0"/>
          <w:bCs/>
          <w:color w:val="auto"/>
          <w:kern w:val="0"/>
          <w:sz w:val="32"/>
          <w:szCs w:val="32"/>
          <w:highlight w:val="none"/>
        </w:rPr>
        <w:t xml:space="preserve">日   </w:t>
      </w:r>
    </w:p>
    <w:p w14:paraId="4C32521E">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2590A2E6">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05689D77">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7F52E6FD">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3D2DF0FD">
      <w:pPr>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宋体" w:eastAsia="仿宋_GB2312"/>
          <w:color w:val="auto"/>
          <w:highlight w:val="none"/>
        </w:rPr>
      </w:pPr>
    </w:p>
    <w:p w14:paraId="1E79DD27">
      <w:pPr>
        <w:keepNext w:val="0"/>
        <w:keepLines w:val="0"/>
        <w:pageBreakBefore w:val="0"/>
        <w:kinsoku/>
        <w:wordWrap/>
        <w:overflowPunct/>
        <w:topLinePunct w:val="0"/>
        <w:autoSpaceDE/>
        <w:autoSpaceDN/>
        <w:bidi w:val="0"/>
        <w:adjustRightInd/>
        <w:spacing w:line="540" w:lineRule="exact"/>
        <w:jc w:val="center"/>
        <w:textAlignment w:val="auto"/>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滁州经开区政府投资建设项目工程变更</w:t>
      </w:r>
    </w:p>
    <w:p w14:paraId="1C663C62">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b/>
          <w:color w:val="auto"/>
          <w:kern w:val="0"/>
          <w:sz w:val="32"/>
          <w:szCs w:val="32"/>
          <w:highlight w:val="none"/>
        </w:rPr>
      </w:pPr>
      <w:r>
        <w:rPr>
          <w:rFonts w:hint="eastAsia" w:ascii="华文中宋" w:hAnsi="华文中宋" w:eastAsia="华文中宋"/>
          <w:b/>
          <w:color w:val="auto"/>
          <w:sz w:val="44"/>
          <w:szCs w:val="44"/>
          <w:highlight w:val="none"/>
        </w:rPr>
        <w:t>管理暂行办法</w:t>
      </w:r>
    </w:p>
    <w:p w14:paraId="199C3272">
      <w:pPr>
        <w:keepNext w:val="0"/>
        <w:keepLines w:val="0"/>
        <w:pageBreakBefore w:val="0"/>
        <w:widowControl/>
        <w:numPr>
          <w:ilvl w:val="0"/>
          <w:numId w:val="0"/>
        </w:numPr>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Cs/>
          <w:color w:val="auto"/>
          <w:kern w:val="0"/>
          <w:sz w:val="32"/>
          <w:szCs w:val="32"/>
          <w:highlight w:val="none"/>
          <w:lang w:eastAsia="zh-CN"/>
        </w:rPr>
        <w:t>第一章</w:t>
      </w:r>
      <w:r>
        <w:rPr>
          <w:rFonts w:hint="eastAsia" w:ascii="黑体" w:hAnsi="黑体" w:eastAsia="黑体" w:cs="黑体"/>
          <w:bCs/>
          <w:color w:val="auto"/>
          <w:kern w:val="0"/>
          <w:sz w:val="32"/>
          <w:szCs w:val="32"/>
          <w:highlight w:val="none"/>
        </w:rPr>
        <w:t xml:space="preserve"> 总则</w:t>
      </w:r>
    </w:p>
    <w:p w14:paraId="72771283">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cs="宋体"/>
          <w:b w:val="0"/>
          <w:bCs/>
          <w:color w:val="auto"/>
          <w:kern w:val="0"/>
          <w:sz w:val="32"/>
          <w:szCs w:val="32"/>
          <w:highlight w:val="none"/>
        </w:rPr>
      </w:pPr>
      <w:r>
        <w:rPr>
          <w:rFonts w:hint="eastAsia" w:ascii="仿宋" w:hAnsi="仿宋" w:eastAsia="仿宋"/>
          <w:b w:val="0"/>
          <w:bCs/>
          <w:color w:val="auto"/>
          <w:sz w:val="32"/>
          <w:szCs w:val="32"/>
          <w:highlight w:val="none"/>
        </w:rPr>
        <w:t>第一条</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rPr>
        <w:t xml:space="preserve"> </w:t>
      </w:r>
      <w:r>
        <w:rPr>
          <w:rFonts w:hint="eastAsia" w:ascii="仿宋" w:hAnsi="仿宋" w:eastAsia="仿宋" w:cs="宋体"/>
          <w:b w:val="0"/>
          <w:bCs/>
          <w:color w:val="auto"/>
          <w:kern w:val="0"/>
          <w:sz w:val="32"/>
          <w:szCs w:val="32"/>
          <w:highlight w:val="none"/>
        </w:rPr>
        <w:t>为加强滁州经开区政府投资项目工程变更管理，根据《滁州市政府投资项目管理暂行办法》《滁州市市级投资建设项目工程变更管理规定（试行）》</w:t>
      </w:r>
      <w:r>
        <w:rPr>
          <w:rFonts w:hint="eastAsia" w:ascii="仿宋" w:hAnsi="仿宋" w:eastAsia="仿宋" w:cs="宋体"/>
          <w:b w:val="0"/>
          <w:bCs/>
          <w:color w:val="auto"/>
          <w:kern w:val="0"/>
          <w:sz w:val="32"/>
          <w:szCs w:val="32"/>
          <w:highlight w:val="none"/>
          <w:lang w:eastAsia="zh-CN"/>
        </w:rPr>
        <w:t>、</w:t>
      </w:r>
      <w:r>
        <w:rPr>
          <w:rFonts w:hint="eastAsia" w:ascii="仿宋" w:hAnsi="仿宋" w:eastAsia="仿宋" w:cs="宋体"/>
          <w:b w:val="0"/>
          <w:bCs/>
          <w:color w:val="auto"/>
          <w:kern w:val="0"/>
          <w:sz w:val="32"/>
          <w:szCs w:val="32"/>
          <w:highlight w:val="none"/>
        </w:rPr>
        <w:t>《滁州市人民政府关于加强国有资金投资建筑工程项目监管的实施意见》，结合经开区实际，特制</w:t>
      </w:r>
      <w:r>
        <w:rPr>
          <w:rFonts w:hint="eastAsia" w:ascii="仿宋" w:hAnsi="仿宋" w:eastAsia="仿宋" w:cs="宋体"/>
          <w:b w:val="0"/>
          <w:bCs/>
          <w:color w:val="auto"/>
          <w:kern w:val="0"/>
          <w:sz w:val="32"/>
          <w:szCs w:val="32"/>
          <w:highlight w:val="none"/>
          <w:lang w:eastAsia="zh-CN"/>
        </w:rPr>
        <w:t>定</w:t>
      </w:r>
      <w:r>
        <w:rPr>
          <w:rFonts w:hint="eastAsia" w:ascii="仿宋" w:hAnsi="仿宋" w:eastAsia="仿宋" w:cs="宋体"/>
          <w:b w:val="0"/>
          <w:bCs/>
          <w:color w:val="auto"/>
          <w:kern w:val="0"/>
          <w:sz w:val="32"/>
          <w:szCs w:val="32"/>
          <w:highlight w:val="none"/>
        </w:rPr>
        <w:t xml:space="preserve">本办法。     </w:t>
      </w:r>
    </w:p>
    <w:p w14:paraId="0D0F6C4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 xml:space="preserve">第二条 </w:t>
      </w:r>
      <w:r>
        <w:rPr>
          <w:rFonts w:hint="eastAsia" w:ascii="仿宋" w:hAnsi="仿宋" w:eastAsia="仿宋" w:cs="宋体"/>
          <w:b w:val="0"/>
          <w:bCs/>
          <w:color w:val="auto"/>
          <w:kern w:val="0"/>
          <w:sz w:val="32"/>
          <w:szCs w:val="32"/>
          <w:highlight w:val="none"/>
        </w:rPr>
        <w:t xml:space="preserve"> 本办法所称政府投资项目是指使用滁州经开区财政性资金、各投融资平台资金的建设项目</w:t>
      </w:r>
      <w:r>
        <w:rPr>
          <w:rFonts w:hint="eastAsia" w:ascii="仿宋" w:hAnsi="仿宋" w:eastAsia="仿宋"/>
          <w:b w:val="0"/>
          <w:bCs/>
          <w:color w:val="auto"/>
          <w:sz w:val="32"/>
          <w:szCs w:val="32"/>
          <w:highlight w:val="none"/>
        </w:rPr>
        <w:t>。</w:t>
      </w:r>
    </w:p>
    <w:p w14:paraId="724D8E0A">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b w:val="0"/>
          <w:bCs/>
          <w:color w:val="auto"/>
          <w:sz w:val="32"/>
          <w:szCs w:val="32"/>
          <w:highlight w:val="none"/>
        </w:rPr>
        <w:t>第三条  政府投资项目</w:t>
      </w:r>
      <w:r>
        <w:rPr>
          <w:rFonts w:hint="eastAsia" w:ascii="仿宋" w:hAnsi="仿宋" w:eastAsia="仿宋" w:cs="宋体"/>
          <w:b w:val="0"/>
          <w:bCs/>
          <w:color w:val="auto"/>
          <w:kern w:val="0"/>
          <w:sz w:val="32"/>
          <w:szCs w:val="32"/>
          <w:highlight w:val="none"/>
        </w:rPr>
        <w:t>工程变更，是指项目自施工招标结束之日起至通过竣工验收、正式交付使用之日止，</w:t>
      </w:r>
      <w:r>
        <w:rPr>
          <w:rFonts w:hint="eastAsia" w:ascii="仿宋" w:hAnsi="仿宋" w:eastAsia="仿宋" w:cs="仿宋"/>
          <w:b w:val="0"/>
          <w:bCs/>
          <w:color w:val="auto"/>
          <w:sz w:val="32"/>
          <w:szCs w:val="32"/>
          <w:highlight w:val="none"/>
        </w:rPr>
        <w:t>对已批准的初步设计文件、技术设计文件或施工图设计文件在实施阶段所发生的工程规模、技术标准、工作内容、结构型式等进行的调整和修改。</w:t>
      </w:r>
    </w:p>
    <w:p w14:paraId="49C8F95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四</w:t>
      </w:r>
      <w:r>
        <w:rPr>
          <w:rFonts w:hint="eastAsia" w:ascii="仿宋" w:hAnsi="仿宋" w:eastAsia="仿宋" w:cs="仿宋"/>
          <w:b w:val="0"/>
          <w:bCs/>
          <w:color w:val="auto"/>
          <w:sz w:val="32"/>
          <w:szCs w:val="32"/>
          <w:highlight w:val="none"/>
        </w:rPr>
        <w:t>条  有下列情形之一的，可以提出变更申请：</w:t>
      </w:r>
    </w:p>
    <w:p w14:paraId="53FA483F">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（一）设计文件中漏项缺项、错误或其他原因导致的设计不准确。</w:t>
      </w:r>
    </w:p>
    <w:p w14:paraId="0638B38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（二）勘测成果与自然条件（含地质、水文、地形等）不符。</w:t>
      </w:r>
    </w:p>
    <w:p w14:paraId="4CB870F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（三）有利于确保工程施工安全和环境保护、节省占地和避免水土流失，改善施工条件的设计调整或修改。</w:t>
      </w:r>
    </w:p>
    <w:p w14:paraId="03ECBC9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（四）为推广应用先进实用技术，更好地保证工程质量安全。</w:t>
      </w:r>
    </w:p>
    <w:p w14:paraId="7153F2D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（五）涉及农田、水利、工矿、城镇规划、征收、景区开发、生态建设以及文物、环境保护等工作，需要对原设计进行修改和完善的。</w:t>
      </w:r>
    </w:p>
    <w:p w14:paraId="06A8450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（六）因国家法律、法规和各类技术标准、规范修改，需要对原项目建设内容、建设规模、建设标准等进行调整的。</w:t>
      </w:r>
    </w:p>
    <w:p w14:paraId="751465C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（七）因不可抗力原因，须对项目建设规模、建设标准和施工进度进行调整的。</w:t>
      </w:r>
    </w:p>
    <w:p w14:paraId="098D368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（八）因工程施工过程中存在重大安全隐患或可能发生重大安全事故，需进行紧急抢险救灾而采取的工程措施的。</w:t>
      </w:r>
    </w:p>
    <w:p w14:paraId="0636DB5A">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其他需要工程变更申请的情形。</w:t>
      </w:r>
    </w:p>
    <w:p w14:paraId="7093BEA1">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 xml:space="preserve">条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经开区政府投资建设项目应当</w:t>
      </w:r>
      <w:r>
        <w:rPr>
          <w:rFonts w:hint="eastAsia" w:ascii="仿宋" w:hAnsi="仿宋" w:eastAsia="仿宋" w:cs="黑体"/>
          <w:b w:val="0"/>
          <w:bCs/>
          <w:color w:val="auto"/>
          <w:kern w:val="0"/>
          <w:sz w:val="32"/>
          <w:szCs w:val="32"/>
          <w:highlight w:val="none"/>
        </w:rPr>
        <w:t>遵循先批准、后变更，先设计、后施工的原则。</w:t>
      </w:r>
      <w:r>
        <w:rPr>
          <w:rFonts w:ascii="仿宋" w:hAnsi="仿宋" w:eastAsia="仿宋"/>
          <w:b w:val="0"/>
          <w:bCs/>
          <w:color w:val="auto"/>
          <w:sz w:val="32"/>
          <w:szCs w:val="32"/>
          <w:highlight w:val="none"/>
        </w:rPr>
        <w:t xml:space="preserve">对未经审批和设计擅自变更并施工的，不予纳入竣工结算。 </w:t>
      </w:r>
    </w:p>
    <w:p w14:paraId="76C48DC3">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第二章  工程变更管理</w:t>
      </w:r>
    </w:p>
    <w:p w14:paraId="57DE42B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六</w:t>
      </w:r>
      <w:r>
        <w:rPr>
          <w:rFonts w:hint="eastAsia" w:ascii="仿宋" w:hAnsi="仿宋" w:eastAsia="仿宋"/>
          <w:b w:val="0"/>
          <w:bCs/>
          <w:color w:val="auto"/>
          <w:sz w:val="32"/>
          <w:szCs w:val="32"/>
          <w:highlight w:val="none"/>
        </w:rPr>
        <w:t xml:space="preserve">条 </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经开区成立</w:t>
      </w:r>
      <w:r>
        <w:rPr>
          <w:rFonts w:ascii="仿宋" w:hAnsi="仿宋" w:eastAsia="仿宋"/>
          <w:b w:val="0"/>
          <w:bCs/>
          <w:color w:val="auto"/>
          <w:sz w:val="32"/>
          <w:szCs w:val="32"/>
          <w:highlight w:val="none"/>
        </w:rPr>
        <w:t>政府投资项目工程变更管理领导小组</w:t>
      </w:r>
      <w:r>
        <w:rPr>
          <w:rFonts w:hint="eastAsia" w:ascii="仿宋" w:hAnsi="仿宋" w:eastAsia="仿宋"/>
          <w:b w:val="0"/>
          <w:bCs/>
          <w:color w:val="auto"/>
          <w:sz w:val="32"/>
          <w:szCs w:val="32"/>
          <w:highlight w:val="none"/>
        </w:rPr>
        <w:t>（以下简称领导小组），负责建设项目的工程变更审批管理。</w:t>
      </w:r>
      <w:r>
        <w:rPr>
          <w:rFonts w:hint="eastAsia" w:ascii="仿宋" w:hAnsi="仿宋" w:eastAsia="仿宋"/>
          <w:b w:val="0"/>
          <w:bCs/>
          <w:color w:val="auto"/>
          <w:sz w:val="32"/>
          <w:szCs w:val="32"/>
          <w:highlight w:val="none"/>
          <w:lang w:eastAsia="zh-CN"/>
        </w:rPr>
        <w:t>领导小组</w:t>
      </w:r>
      <w:r>
        <w:rPr>
          <w:rFonts w:hint="eastAsia" w:ascii="仿宋" w:hAnsi="仿宋" w:eastAsia="仿宋"/>
          <w:b w:val="0"/>
          <w:bCs/>
          <w:color w:val="auto"/>
          <w:sz w:val="32"/>
          <w:szCs w:val="32"/>
          <w:highlight w:val="none"/>
        </w:rPr>
        <w:t>由管委会分管建设副主任任组长，</w:t>
      </w:r>
      <w:r>
        <w:rPr>
          <w:rFonts w:hint="eastAsia" w:ascii="仿宋" w:hAnsi="仿宋" w:eastAsia="仿宋"/>
          <w:b w:val="0"/>
          <w:bCs/>
          <w:color w:val="auto"/>
          <w:sz w:val="32"/>
          <w:szCs w:val="32"/>
          <w:highlight w:val="none"/>
          <w:lang w:val="en-US" w:eastAsia="zh-CN"/>
        </w:rPr>
        <w:t>经济运行局、</w:t>
      </w:r>
      <w:r>
        <w:rPr>
          <w:rFonts w:hint="eastAsia" w:ascii="仿宋" w:hAnsi="仿宋" w:eastAsia="仿宋"/>
          <w:b w:val="0"/>
          <w:bCs/>
          <w:color w:val="auto"/>
          <w:sz w:val="32"/>
          <w:szCs w:val="32"/>
          <w:highlight w:val="none"/>
        </w:rPr>
        <w:t>财政局、</w:t>
      </w:r>
      <w:r>
        <w:rPr>
          <w:rFonts w:hint="eastAsia" w:ascii="仿宋" w:hAnsi="仿宋" w:eastAsia="仿宋"/>
          <w:b w:val="0"/>
          <w:bCs/>
          <w:color w:val="auto"/>
          <w:sz w:val="32"/>
          <w:szCs w:val="32"/>
          <w:highlight w:val="none"/>
          <w:lang w:val="en-US" w:eastAsia="zh-CN"/>
        </w:rPr>
        <w:t>规划国土局、</w:t>
      </w:r>
      <w:r>
        <w:rPr>
          <w:rFonts w:hint="eastAsia" w:ascii="仿宋" w:hAnsi="仿宋" w:eastAsia="仿宋"/>
          <w:b w:val="0"/>
          <w:bCs/>
          <w:color w:val="auto"/>
          <w:sz w:val="32"/>
          <w:szCs w:val="32"/>
          <w:highlight w:val="none"/>
        </w:rPr>
        <w:t>建设局</w:t>
      </w:r>
      <w:r>
        <w:rPr>
          <w:rFonts w:hint="eastAsia" w:ascii="仿宋" w:hAnsi="仿宋" w:eastAsia="仿宋"/>
          <w:b w:val="0"/>
          <w:bCs/>
          <w:color w:val="auto"/>
          <w:sz w:val="32"/>
          <w:szCs w:val="32"/>
          <w:highlight w:val="none"/>
          <w:lang w:val="en-US" w:eastAsia="zh-CN"/>
        </w:rPr>
        <w:t>、同创公司</w:t>
      </w:r>
      <w:r>
        <w:rPr>
          <w:rFonts w:hint="eastAsia" w:ascii="仿宋" w:hAnsi="仿宋" w:eastAsia="仿宋"/>
          <w:b w:val="0"/>
          <w:bCs/>
          <w:color w:val="auto"/>
          <w:sz w:val="32"/>
          <w:szCs w:val="32"/>
          <w:highlight w:val="none"/>
        </w:rPr>
        <w:t>等为</w:t>
      </w:r>
      <w:r>
        <w:rPr>
          <w:rFonts w:hint="eastAsia" w:ascii="仿宋" w:hAnsi="仿宋" w:eastAsia="仿宋"/>
          <w:b w:val="0"/>
          <w:bCs/>
          <w:color w:val="auto"/>
          <w:sz w:val="32"/>
          <w:szCs w:val="32"/>
          <w:highlight w:val="none"/>
          <w:lang w:val="en-US" w:eastAsia="zh-CN"/>
        </w:rPr>
        <w:t>成员单位</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纪检监察工委负责监督。</w:t>
      </w:r>
      <w:r>
        <w:rPr>
          <w:rFonts w:hint="eastAsia" w:ascii="仿宋" w:hAnsi="仿宋" w:eastAsia="仿宋"/>
          <w:b w:val="0"/>
          <w:bCs/>
          <w:color w:val="auto"/>
          <w:sz w:val="32"/>
          <w:szCs w:val="32"/>
          <w:highlight w:val="none"/>
        </w:rPr>
        <w:t>领导小组下设办公室，办公室设在建设局，办公室主任由建设局局长担任。</w:t>
      </w:r>
    </w:p>
    <w:p w14:paraId="4EEC0EE1">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color w:val="auto"/>
          <w:sz w:val="32"/>
          <w:szCs w:val="32"/>
          <w:highlight w:val="none"/>
        </w:rPr>
      </w:pPr>
      <w:r>
        <w:rPr>
          <w:rFonts w:hint="eastAsia" w:ascii="黑体" w:hAnsi="黑体" w:eastAsia="黑体"/>
          <w:b w:val="0"/>
          <w:bCs/>
          <w:color w:val="auto"/>
          <w:sz w:val="32"/>
          <w:szCs w:val="32"/>
          <w:highlight w:val="none"/>
        </w:rPr>
        <w:t>第三章  工程变更申请及审批流程</w:t>
      </w:r>
    </w:p>
    <w:p w14:paraId="3CB94A01">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七</w:t>
      </w:r>
      <w:r>
        <w:rPr>
          <w:rFonts w:hint="eastAsia" w:ascii="仿宋" w:hAnsi="仿宋" w:eastAsia="仿宋" w:cs="仿宋"/>
          <w:b w:val="0"/>
          <w:bCs/>
          <w:color w:val="auto"/>
          <w:sz w:val="32"/>
          <w:szCs w:val="32"/>
          <w:highlight w:val="none"/>
        </w:rPr>
        <w:t>条</w:t>
      </w:r>
      <w:r>
        <w:rPr>
          <w:rFonts w:hint="eastAsia" w:ascii="仿宋" w:hAnsi="仿宋" w:eastAsia="仿宋"/>
          <w:b w:val="0"/>
          <w:bCs/>
          <w:color w:val="auto"/>
          <w:sz w:val="32"/>
          <w:szCs w:val="32"/>
          <w:highlight w:val="none"/>
        </w:rPr>
        <w:t xml:space="preserve">  工程勘察、设计、施工及监理单位均可向建设单位提出工程变更申请。</w:t>
      </w:r>
      <w:r>
        <w:rPr>
          <w:rFonts w:hint="eastAsia" w:ascii="仿宋" w:hAnsi="仿宋" w:eastAsia="仿宋"/>
          <w:b w:val="0"/>
          <w:bCs/>
          <w:color w:val="auto"/>
          <w:sz w:val="32"/>
          <w:szCs w:val="32"/>
          <w:highlight w:val="none"/>
          <w:lang w:val="en-US" w:eastAsia="zh-CN"/>
        </w:rPr>
        <w:t>对于</w:t>
      </w:r>
      <w:r>
        <w:rPr>
          <w:rFonts w:hint="eastAsia" w:ascii="仿宋" w:hAnsi="仿宋" w:eastAsia="仿宋"/>
          <w:b w:val="0"/>
          <w:bCs/>
          <w:color w:val="auto"/>
          <w:sz w:val="32"/>
          <w:szCs w:val="32"/>
          <w:highlight w:val="none"/>
        </w:rPr>
        <w:t>提出合理化</w:t>
      </w:r>
      <w:r>
        <w:rPr>
          <w:rFonts w:hint="eastAsia" w:ascii="仿宋" w:hAnsi="仿宋" w:eastAsia="仿宋"/>
          <w:b w:val="0"/>
          <w:bCs/>
          <w:color w:val="auto"/>
          <w:sz w:val="32"/>
          <w:szCs w:val="32"/>
          <w:highlight w:val="none"/>
          <w:lang w:val="en-US" w:eastAsia="zh-CN"/>
        </w:rPr>
        <w:t>工程</w:t>
      </w:r>
      <w:r>
        <w:rPr>
          <w:rFonts w:hint="eastAsia" w:ascii="仿宋" w:hAnsi="仿宋" w:eastAsia="仿宋"/>
          <w:b w:val="0"/>
          <w:bCs/>
          <w:color w:val="auto"/>
          <w:sz w:val="32"/>
          <w:szCs w:val="32"/>
          <w:highlight w:val="none"/>
        </w:rPr>
        <w:t>变更，经审核并被采纳并节省造价的，按照节省金额5%予以奖励。</w:t>
      </w:r>
    </w:p>
    <w:p w14:paraId="757D76E7">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w:t>
      </w:r>
      <w:r>
        <w:rPr>
          <w:rFonts w:hint="eastAsia" w:ascii="仿宋" w:hAnsi="仿宋" w:eastAsia="仿宋"/>
          <w:b w:val="0"/>
          <w:bCs/>
          <w:color w:val="auto"/>
          <w:sz w:val="32"/>
          <w:szCs w:val="32"/>
          <w:highlight w:val="none"/>
          <w:lang w:val="en-US" w:eastAsia="zh-CN"/>
        </w:rPr>
        <w:t xml:space="preserve">  </w:t>
      </w:r>
      <w:r>
        <w:rPr>
          <w:rFonts w:hint="eastAsia" w:ascii="仿宋" w:hAnsi="仿宋" w:eastAsia="仿宋" w:cs="仿宋_GB2312"/>
          <w:b w:val="0"/>
          <w:bCs/>
          <w:color w:val="auto"/>
          <w:kern w:val="0"/>
          <w:sz w:val="32"/>
          <w:szCs w:val="32"/>
          <w:highlight w:val="none"/>
        </w:rPr>
        <w:t>建设单位</w:t>
      </w:r>
      <w:r>
        <w:rPr>
          <w:rFonts w:hint="eastAsia" w:ascii="仿宋" w:hAnsi="仿宋" w:eastAsia="仿宋"/>
          <w:b w:val="0"/>
          <w:bCs/>
          <w:color w:val="auto"/>
          <w:sz w:val="32"/>
          <w:szCs w:val="32"/>
          <w:highlight w:val="none"/>
        </w:rPr>
        <w:t>组织施工单位、监理单位、设计单位、审计单位等主体建设单位召开工程变更审查会议，对工程变更的科学性、必要性和经济性等进行审查，确定变更方案及金额</w:t>
      </w:r>
      <w:r>
        <w:rPr>
          <w:rFonts w:hint="eastAsia" w:ascii="仿宋" w:hAnsi="仿宋" w:eastAsia="仿宋"/>
          <w:b w:val="0"/>
          <w:bCs/>
          <w:color w:val="auto"/>
          <w:sz w:val="32"/>
          <w:szCs w:val="32"/>
          <w:highlight w:val="none"/>
          <w:lang w:eastAsia="zh-CN"/>
        </w:rPr>
        <w:t>。</w:t>
      </w:r>
      <w:r>
        <w:rPr>
          <w:rFonts w:hint="eastAsia" w:ascii="仿宋" w:hAnsi="仿宋" w:eastAsia="仿宋" w:cs="仿宋"/>
          <w:b w:val="0"/>
          <w:bCs/>
          <w:color w:val="auto"/>
          <w:sz w:val="32"/>
          <w:szCs w:val="32"/>
          <w:highlight w:val="none"/>
        </w:rPr>
        <w:t>工程变更应提供情况说明、变更原因和责任分析等必要材料。</w:t>
      </w:r>
    </w:p>
    <w:p w14:paraId="5301EB2F">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工程变更审批根据按照以下流程办理，其中：</w:t>
      </w:r>
    </w:p>
    <w:p w14:paraId="6A6B1BB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（一）</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10万元以下变更，由项目</w:t>
      </w:r>
      <w:r>
        <w:rPr>
          <w:rFonts w:hint="eastAsia" w:ascii="仿宋" w:hAnsi="仿宋" w:eastAsia="仿宋"/>
          <w:b w:val="0"/>
          <w:bCs/>
          <w:color w:val="auto"/>
          <w:sz w:val="32"/>
          <w:szCs w:val="32"/>
          <w:highlight w:val="none"/>
          <w:lang w:eastAsia="zh-CN"/>
        </w:rPr>
        <w:t>建设单位研究审批</w:t>
      </w:r>
      <w:r>
        <w:rPr>
          <w:rFonts w:hint="eastAsia" w:ascii="仿宋" w:hAnsi="仿宋" w:eastAsia="仿宋"/>
          <w:b w:val="0"/>
          <w:bCs/>
          <w:color w:val="auto"/>
          <w:sz w:val="32"/>
          <w:szCs w:val="32"/>
          <w:highlight w:val="none"/>
        </w:rPr>
        <w:t>。</w:t>
      </w:r>
    </w:p>
    <w:p w14:paraId="4A3C73E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（二）</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w:t>
      </w:r>
      <w:r>
        <w:rPr>
          <w:rFonts w:hint="eastAsia" w:ascii="仿宋" w:hAnsi="仿宋" w:eastAsia="仿宋"/>
          <w:b w:val="0"/>
          <w:bCs/>
          <w:color w:val="auto"/>
          <w:sz w:val="32"/>
          <w:szCs w:val="32"/>
          <w:highlight w:val="none"/>
          <w:lang w:eastAsia="zh-CN"/>
        </w:rPr>
        <w:t>万元</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30</w:t>
      </w:r>
      <w:r>
        <w:rPr>
          <w:rFonts w:hint="eastAsia" w:ascii="仿宋" w:hAnsi="仿宋" w:eastAsia="仿宋"/>
          <w:b w:val="0"/>
          <w:bCs/>
          <w:color w:val="auto"/>
          <w:sz w:val="32"/>
          <w:szCs w:val="32"/>
          <w:highlight w:val="none"/>
        </w:rPr>
        <w:t>万元之间变更，由变更领导小组办公室审批。</w:t>
      </w:r>
    </w:p>
    <w:p w14:paraId="10579DF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（三）</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3</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，报变更领导小组</w:t>
      </w:r>
      <w:r>
        <w:rPr>
          <w:rFonts w:hint="eastAsia" w:ascii="仿宋" w:hAnsi="仿宋" w:eastAsia="仿宋"/>
          <w:b w:val="0"/>
          <w:bCs/>
          <w:color w:val="auto"/>
          <w:sz w:val="32"/>
          <w:szCs w:val="32"/>
          <w:highlight w:val="none"/>
          <w:lang w:eastAsia="zh-CN"/>
        </w:rPr>
        <w:t>组长</w:t>
      </w:r>
      <w:r>
        <w:rPr>
          <w:rFonts w:hint="eastAsia" w:ascii="仿宋" w:hAnsi="仿宋" w:eastAsia="仿宋"/>
          <w:b w:val="0"/>
          <w:bCs/>
          <w:color w:val="auto"/>
          <w:sz w:val="32"/>
          <w:szCs w:val="32"/>
          <w:highlight w:val="none"/>
        </w:rPr>
        <w:t>审批。</w:t>
      </w:r>
    </w:p>
    <w:p w14:paraId="71EEB861">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四</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，并提请召开领导小组会议</w:t>
      </w:r>
      <w:r>
        <w:rPr>
          <w:rFonts w:hint="eastAsia" w:ascii="仿宋" w:hAnsi="仿宋" w:eastAsia="仿宋" w:cs="仿宋_GB2312"/>
          <w:b w:val="0"/>
          <w:bCs/>
          <w:color w:val="auto"/>
          <w:kern w:val="0"/>
          <w:sz w:val="32"/>
          <w:szCs w:val="32"/>
          <w:highlight w:val="none"/>
        </w:rPr>
        <w:t>研究</w:t>
      </w:r>
      <w:r>
        <w:rPr>
          <w:rFonts w:hint="eastAsia" w:ascii="仿宋" w:hAnsi="仿宋" w:eastAsia="仿宋"/>
          <w:b w:val="0"/>
          <w:bCs/>
          <w:color w:val="auto"/>
          <w:sz w:val="32"/>
          <w:szCs w:val="32"/>
          <w:highlight w:val="none"/>
        </w:rPr>
        <w:t>。</w:t>
      </w:r>
    </w:p>
    <w:p w14:paraId="028DADC0">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万元以上的变更</w:t>
      </w:r>
      <w:r>
        <w:rPr>
          <w:rFonts w:hint="eastAsia" w:ascii="仿宋" w:hAnsi="仿宋" w:eastAsia="仿宋"/>
          <w:b w:val="0"/>
          <w:bCs/>
          <w:color w:val="auto"/>
          <w:sz w:val="32"/>
          <w:szCs w:val="32"/>
          <w:highlight w:val="none"/>
          <w:lang w:eastAsia="zh-CN"/>
        </w:rPr>
        <w:t>，由</w:t>
      </w:r>
      <w:r>
        <w:rPr>
          <w:rFonts w:hint="eastAsia" w:ascii="仿宋" w:hAnsi="仿宋" w:eastAsia="仿宋"/>
          <w:b w:val="0"/>
          <w:bCs/>
          <w:color w:val="auto"/>
          <w:sz w:val="32"/>
          <w:szCs w:val="32"/>
          <w:highlight w:val="none"/>
        </w:rPr>
        <w:t>领导小组会议研究通过后</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报请主任办公会议</w:t>
      </w:r>
      <w:r>
        <w:rPr>
          <w:rFonts w:hint="eastAsia" w:ascii="仿宋" w:hAnsi="仿宋" w:eastAsia="仿宋"/>
          <w:b w:val="0"/>
          <w:bCs/>
          <w:color w:val="auto"/>
          <w:sz w:val="32"/>
          <w:szCs w:val="32"/>
          <w:highlight w:val="none"/>
          <w:lang w:val="en-US" w:eastAsia="zh-CN"/>
        </w:rPr>
        <w:t>批准</w:t>
      </w:r>
      <w:r>
        <w:rPr>
          <w:rFonts w:hint="eastAsia" w:ascii="仿宋" w:hAnsi="仿宋" w:eastAsia="仿宋"/>
          <w:b w:val="0"/>
          <w:bCs/>
          <w:color w:val="auto"/>
          <w:sz w:val="32"/>
          <w:szCs w:val="32"/>
          <w:highlight w:val="none"/>
        </w:rPr>
        <w:t>。</w:t>
      </w:r>
    </w:p>
    <w:p w14:paraId="15F7A2D3">
      <w:pPr>
        <w:keepNext w:val="0"/>
        <w:keepLines w:val="0"/>
        <w:pageBreakBefore w:val="0"/>
        <w:widowControl/>
        <w:kinsoku/>
        <w:wordWrap/>
        <w:overflowPunct/>
        <w:topLinePunct w:val="0"/>
        <w:autoSpaceDE/>
        <w:autoSpaceDN/>
        <w:bidi w:val="0"/>
        <w:adjustRightInd/>
        <w:spacing w:line="540" w:lineRule="exact"/>
        <w:jc w:val="center"/>
        <w:textAlignment w:val="auto"/>
        <w:rPr>
          <w:rFonts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第四章　工程变更实施</w:t>
      </w:r>
    </w:p>
    <w:p w14:paraId="74F925E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第十条  工程变更后，由项目建设单位组织实施。因抢险救灾</w:t>
      </w:r>
      <w:r>
        <w:rPr>
          <w:rFonts w:hint="eastAsia" w:ascii="仿宋" w:hAnsi="仿宋" w:eastAsia="仿宋"/>
          <w:b w:val="0"/>
          <w:bCs/>
          <w:color w:val="auto"/>
          <w:sz w:val="32"/>
          <w:szCs w:val="32"/>
          <w:highlight w:val="none"/>
          <w:lang w:eastAsia="zh-CN"/>
        </w:rPr>
        <w:t>、环保等</w:t>
      </w:r>
      <w:r>
        <w:rPr>
          <w:rFonts w:hint="eastAsia" w:ascii="仿宋" w:hAnsi="仿宋" w:eastAsia="仿宋"/>
          <w:b w:val="0"/>
          <w:bCs/>
          <w:color w:val="auto"/>
          <w:sz w:val="32"/>
          <w:szCs w:val="32"/>
          <w:highlight w:val="none"/>
        </w:rPr>
        <w:t>紧急采取工程措施的，可先行组织实施，同步办理变更相关手续后，报领导小组会议研定。</w:t>
      </w:r>
    </w:p>
    <w:p w14:paraId="5198023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条  工程变更需要补充勘察设计监理等服务的，一般由原服务单位承担。原服务单位不具备资质，或符合《必须招标的工程项目规定》情形的，项目建设单位应当通过招标方式选择勘察设计监理单位。</w:t>
      </w:r>
    </w:p>
    <w:p w14:paraId="3AB14CA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二</w:t>
      </w:r>
      <w:r>
        <w:rPr>
          <w:rFonts w:hint="eastAsia" w:ascii="仿宋" w:hAnsi="仿宋" w:eastAsia="仿宋"/>
          <w:b w:val="0"/>
          <w:bCs/>
          <w:color w:val="auto"/>
          <w:sz w:val="32"/>
          <w:szCs w:val="32"/>
          <w:highlight w:val="none"/>
        </w:rPr>
        <w:t>条  工程变更内容一般由原施工单位实施。原施工单位不具备实施变更工程资质，或符合《必须招标的工程项目规定》情形的，项目建设单位应当通过招标方式选择施工单位，但相关法律法规规定可以不进行招标的除外。</w:t>
      </w:r>
    </w:p>
    <w:p w14:paraId="1291D25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三</w:t>
      </w:r>
      <w:r>
        <w:rPr>
          <w:rFonts w:hint="eastAsia" w:ascii="仿宋" w:hAnsi="仿宋" w:eastAsia="仿宋"/>
          <w:b w:val="0"/>
          <w:bCs/>
          <w:color w:val="auto"/>
          <w:sz w:val="32"/>
          <w:szCs w:val="32"/>
          <w:highlight w:val="none"/>
        </w:rPr>
        <w:t>条  因征收等原因导致项目部分工程无法实施而需进行甩项处理的，报</w:t>
      </w:r>
      <w:r>
        <w:rPr>
          <w:rFonts w:hint="eastAsia" w:ascii="仿宋" w:hAnsi="仿宋" w:eastAsia="仿宋"/>
          <w:b w:val="0"/>
          <w:bCs/>
          <w:color w:val="auto"/>
          <w:sz w:val="32"/>
          <w:szCs w:val="32"/>
          <w:highlight w:val="none"/>
          <w:lang w:eastAsia="zh-CN"/>
        </w:rPr>
        <w:t>管委会</w:t>
      </w:r>
      <w:r>
        <w:rPr>
          <w:rFonts w:hint="eastAsia" w:ascii="仿宋" w:hAnsi="仿宋" w:eastAsia="仿宋"/>
          <w:b w:val="0"/>
          <w:bCs/>
          <w:color w:val="auto"/>
          <w:sz w:val="32"/>
          <w:szCs w:val="32"/>
          <w:highlight w:val="none"/>
        </w:rPr>
        <w:t>同意后做甩项处理。</w:t>
      </w:r>
    </w:p>
    <w:p w14:paraId="448410B6">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eastAsia="仿宋"/>
          <w:b w:val="0"/>
          <w:bCs/>
          <w:color w:val="auto"/>
          <w:sz w:val="32"/>
          <w:szCs w:val="32"/>
          <w:highlight w:val="none"/>
        </w:rPr>
      </w:pPr>
      <w:r>
        <w:rPr>
          <w:rFonts w:hint="eastAsia" w:ascii="仿宋" w:hAnsi="仿宋" w:eastAsia="仿宋" w:cs="仿宋_GB2312"/>
          <w:b w:val="0"/>
          <w:bCs/>
          <w:color w:val="auto"/>
          <w:kern w:val="0"/>
          <w:sz w:val="32"/>
          <w:szCs w:val="32"/>
          <w:highlight w:val="none"/>
        </w:rPr>
        <w:t>第</w:t>
      </w:r>
      <w:r>
        <w:rPr>
          <w:rFonts w:hint="eastAsia" w:ascii="仿宋" w:hAnsi="仿宋" w:eastAsia="仿宋" w:cs="仿宋_GB2312"/>
          <w:b w:val="0"/>
          <w:bCs/>
          <w:color w:val="auto"/>
          <w:kern w:val="0"/>
          <w:sz w:val="32"/>
          <w:szCs w:val="32"/>
          <w:highlight w:val="none"/>
          <w:lang w:val="en-US" w:eastAsia="zh-CN"/>
        </w:rPr>
        <w:t>十</w:t>
      </w:r>
      <w:r>
        <w:rPr>
          <w:rFonts w:hint="eastAsia" w:ascii="仿宋" w:hAnsi="仿宋" w:eastAsia="仿宋"/>
          <w:b w:val="0"/>
          <w:bCs/>
          <w:color w:val="auto"/>
          <w:sz w:val="32"/>
          <w:szCs w:val="32"/>
          <w:highlight w:val="none"/>
          <w:lang w:eastAsia="zh-CN"/>
        </w:rPr>
        <w:t>四</w:t>
      </w:r>
      <w:r>
        <w:rPr>
          <w:rFonts w:hint="eastAsia" w:ascii="仿宋" w:hAnsi="仿宋" w:eastAsia="仿宋" w:cs="仿宋_GB2312"/>
          <w:b w:val="0"/>
          <w:bCs/>
          <w:color w:val="auto"/>
          <w:kern w:val="0"/>
          <w:sz w:val="32"/>
          <w:szCs w:val="32"/>
          <w:highlight w:val="none"/>
        </w:rPr>
        <w:t>条  工程变更涉及重大方案变化及概算调整的，项目建设单位依据相关项目投资管理办法办理。</w:t>
      </w:r>
    </w:p>
    <w:p w14:paraId="248C81A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lang w:val="en-US" w:eastAsia="zh-CN"/>
        </w:rPr>
      </w:pPr>
      <w:r>
        <w:rPr>
          <w:rFonts w:hint="eastAsia" w:ascii="仿宋" w:hAnsi="仿宋" w:eastAsia="仿宋" w:cs="仿宋_GB2312"/>
          <w:b w:val="0"/>
          <w:bCs/>
          <w:color w:val="auto"/>
          <w:kern w:val="0"/>
          <w:sz w:val="32"/>
          <w:szCs w:val="32"/>
          <w:highlight w:val="none"/>
        </w:rPr>
        <w:t>第十</w:t>
      </w:r>
      <w:r>
        <w:rPr>
          <w:rFonts w:hint="eastAsia" w:ascii="仿宋" w:hAnsi="仿宋" w:eastAsia="仿宋"/>
          <w:b w:val="0"/>
          <w:bCs/>
          <w:color w:val="auto"/>
          <w:sz w:val="32"/>
          <w:szCs w:val="32"/>
          <w:highlight w:val="none"/>
          <w:lang w:eastAsia="zh-CN"/>
        </w:rPr>
        <w:t>五</w:t>
      </w:r>
      <w:r>
        <w:rPr>
          <w:rFonts w:hint="eastAsia" w:ascii="仿宋" w:hAnsi="仿宋" w:eastAsia="仿宋" w:cs="仿宋_GB2312"/>
          <w:b w:val="0"/>
          <w:bCs/>
          <w:color w:val="auto"/>
          <w:kern w:val="0"/>
          <w:sz w:val="32"/>
          <w:szCs w:val="32"/>
          <w:highlight w:val="none"/>
        </w:rPr>
        <w:t>条  未经审查或未按规定程序进行变更的项目一律不予认可，严禁将变更内容进行拆分申报。</w:t>
      </w:r>
    </w:p>
    <w:p w14:paraId="0D1AE630">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p>
    <w:p w14:paraId="67767A99">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第五章　</w:t>
      </w:r>
      <w:r>
        <w:rPr>
          <w:rFonts w:hint="eastAsia" w:ascii="黑体" w:hAnsi="黑体" w:eastAsia="黑体" w:cs="黑体"/>
          <w:b w:val="0"/>
          <w:bCs/>
          <w:color w:val="auto"/>
          <w:kern w:val="0"/>
          <w:sz w:val="32"/>
          <w:szCs w:val="32"/>
          <w:highlight w:val="none"/>
          <w:lang w:eastAsia="zh-CN"/>
        </w:rPr>
        <w:t>法律</w:t>
      </w:r>
      <w:r>
        <w:rPr>
          <w:rFonts w:hint="eastAsia" w:ascii="黑体" w:hAnsi="黑体" w:eastAsia="黑体" w:cs="黑体"/>
          <w:b w:val="0"/>
          <w:bCs/>
          <w:color w:val="auto"/>
          <w:kern w:val="0"/>
          <w:sz w:val="32"/>
          <w:szCs w:val="32"/>
          <w:highlight w:val="none"/>
        </w:rPr>
        <w:t>责任追究</w:t>
      </w:r>
    </w:p>
    <w:p w14:paraId="3F6913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cs="仿宋_GB2312"/>
          <w:b w:val="0"/>
          <w:bCs/>
          <w:color w:val="auto"/>
          <w:kern w:val="0"/>
          <w:sz w:val="32"/>
          <w:szCs w:val="32"/>
          <w:highlight w:val="none"/>
          <w:lang w:eastAsia="zh-CN"/>
        </w:rPr>
        <w:t>六</w:t>
      </w:r>
      <w:r>
        <w:rPr>
          <w:rFonts w:hint="eastAsia" w:ascii="仿宋" w:hAnsi="仿宋" w:eastAsia="仿宋"/>
          <w:b w:val="0"/>
          <w:bCs/>
          <w:color w:val="auto"/>
          <w:sz w:val="32"/>
          <w:szCs w:val="32"/>
          <w:highlight w:val="none"/>
        </w:rPr>
        <w:t>条　项目建设单位违反本规定擅自进行变更并组织实施的，相关部门责令其限期整改。未按要求整改的，视情节轻重给予处分，同时，资金管理部门暂停项目资金拨付。</w:t>
      </w:r>
    </w:p>
    <w:p w14:paraId="4548966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七</w:t>
      </w:r>
      <w:r>
        <w:rPr>
          <w:rFonts w:hint="eastAsia" w:ascii="仿宋" w:hAnsi="仿宋" w:eastAsia="仿宋"/>
          <w:b w:val="0"/>
          <w:bCs/>
          <w:color w:val="auto"/>
          <w:sz w:val="32"/>
          <w:szCs w:val="32"/>
          <w:highlight w:val="none"/>
        </w:rPr>
        <w:t>条  项目建设单位应在勘察、设计、清单编制、施工、跟踪审计、监理等合同中约定工作责任，做到变更必追责，追责必处罚。</w:t>
      </w:r>
    </w:p>
    <w:p w14:paraId="246126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  项目建设单位、设计单位、施工单位、监理单位、跟审单位相互串通，采取弄虚作假等手段谋取非法利益的，依法追究相关责任；构成犯罪的，依法追究刑事责任。</w:t>
      </w:r>
    </w:p>
    <w:p w14:paraId="082078A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val="0"/>
          <w:color w:val="auto"/>
          <w:kern w:val="0"/>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w:t>
      </w:r>
      <w:r>
        <w:rPr>
          <w:rFonts w:hint="eastAsia" w:ascii="仿宋" w:hAnsi="仿宋" w:eastAsia="仿宋"/>
          <w:b w:val="0"/>
          <w:bCs/>
          <w:color w:val="auto"/>
          <w:sz w:val="32"/>
          <w:szCs w:val="32"/>
          <w:highlight w:val="none"/>
          <w:lang w:eastAsia="zh-CN"/>
        </w:rPr>
        <w:t>领导小组成员单位及项目建设单位工作人员</w:t>
      </w:r>
      <w:r>
        <w:rPr>
          <w:rFonts w:hint="eastAsia" w:ascii="仿宋" w:hAnsi="仿宋" w:eastAsia="仿宋"/>
          <w:b w:val="0"/>
          <w:bCs/>
          <w:color w:val="auto"/>
          <w:sz w:val="32"/>
          <w:szCs w:val="32"/>
          <w:highlight w:val="none"/>
        </w:rPr>
        <w:t>在工程变更审查过程中存在滥用职权、玩忽职守以及谋取不正当利益等行为的，由有关机关对负有责任的主管人员和其他直接责任人员，依法给予处分；构成犯罪的，依法追究刑事责任。</w:t>
      </w:r>
    </w:p>
    <w:p w14:paraId="63851642">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val="0"/>
          <w:color w:val="auto"/>
          <w:sz w:val="32"/>
          <w:szCs w:val="32"/>
          <w:highlight w:val="none"/>
        </w:rPr>
      </w:pPr>
      <w:r>
        <w:rPr>
          <w:rFonts w:hint="eastAsia" w:ascii="黑体" w:hAnsi="黑体" w:eastAsia="黑体" w:cs="黑体"/>
          <w:b w:val="0"/>
          <w:bCs w:val="0"/>
          <w:color w:val="auto"/>
          <w:kern w:val="0"/>
          <w:sz w:val="32"/>
          <w:szCs w:val="32"/>
          <w:highlight w:val="none"/>
        </w:rPr>
        <w:t>第六章  附则</w:t>
      </w:r>
    </w:p>
    <w:p w14:paraId="7090C7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cs="Times New Roman"/>
          <w:b w:val="0"/>
          <w:bCs w:val="0"/>
          <w:color w:val="auto"/>
          <w:kern w:val="2"/>
          <w:sz w:val="32"/>
          <w:szCs w:val="32"/>
          <w:highlight w:val="none"/>
          <w:lang w:val="en-US" w:eastAsia="zh-CN" w:bidi="ar-SA"/>
        </w:rPr>
        <w:t xml:space="preserve">第二十条  </w:t>
      </w:r>
      <w:r>
        <w:rPr>
          <w:rFonts w:hint="eastAsia" w:ascii="仿宋" w:hAnsi="仿宋" w:eastAsia="仿宋"/>
          <w:b w:val="0"/>
          <w:bCs w:val="0"/>
          <w:color w:val="auto"/>
          <w:sz w:val="32"/>
          <w:szCs w:val="32"/>
          <w:highlight w:val="none"/>
        </w:rPr>
        <w:t>国家、省行业主管部门有相关规定的，按其规定执行。</w:t>
      </w:r>
    </w:p>
    <w:p w14:paraId="55B71AB9">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cs="Times New Roman"/>
          <w:b w:val="0"/>
          <w:bCs w:val="0"/>
          <w:color w:val="auto"/>
          <w:kern w:val="2"/>
          <w:sz w:val="32"/>
          <w:szCs w:val="32"/>
          <w:highlight w:val="none"/>
          <w:lang w:val="en-US" w:eastAsia="zh-CN" w:bidi="ar-SA"/>
        </w:rPr>
        <w:t>一</w:t>
      </w:r>
      <w:r>
        <w:rPr>
          <w:rFonts w:hint="eastAsia" w:ascii="仿宋" w:hAnsi="仿宋" w:eastAsia="仿宋"/>
          <w:b w:val="0"/>
          <w:bCs w:val="0"/>
          <w:color w:val="auto"/>
          <w:sz w:val="32"/>
          <w:szCs w:val="32"/>
          <w:highlight w:val="none"/>
        </w:rPr>
        <w:t xml:space="preserve">条  </w:t>
      </w:r>
      <w:r>
        <w:rPr>
          <w:rFonts w:hint="eastAsia" w:ascii="仿宋" w:hAnsi="仿宋" w:eastAsia="仿宋"/>
          <w:b w:val="0"/>
          <w:bCs w:val="0"/>
          <w:color w:val="auto"/>
          <w:sz w:val="32"/>
          <w:szCs w:val="32"/>
          <w:highlight w:val="none"/>
          <w:lang w:eastAsia="zh-CN"/>
        </w:rPr>
        <w:t>经开区</w:t>
      </w:r>
      <w:r>
        <w:rPr>
          <w:rFonts w:hint="eastAsia" w:ascii="仿宋" w:hAnsi="仿宋" w:eastAsia="仿宋" w:cs="Times New Roman"/>
          <w:b w:val="0"/>
          <w:bCs w:val="0"/>
          <w:color w:val="auto"/>
          <w:kern w:val="2"/>
          <w:sz w:val="32"/>
          <w:szCs w:val="32"/>
          <w:highlight w:val="none"/>
          <w:lang w:val="en-US" w:eastAsia="zh-CN" w:bidi="ar-SA"/>
        </w:rPr>
        <w:t>辖区办事处及派驻机构建设</w:t>
      </w:r>
      <w:r>
        <w:rPr>
          <w:rFonts w:hint="eastAsia" w:ascii="仿宋" w:hAnsi="仿宋" w:eastAsia="仿宋"/>
          <w:b w:val="0"/>
          <w:bCs w:val="0"/>
          <w:color w:val="auto"/>
          <w:sz w:val="32"/>
          <w:szCs w:val="32"/>
          <w:highlight w:val="none"/>
        </w:rPr>
        <w:t>项目</w:t>
      </w:r>
      <w:r>
        <w:rPr>
          <w:rFonts w:hint="eastAsia" w:ascii="仿宋" w:hAnsi="仿宋" w:eastAsia="仿宋"/>
          <w:b w:val="0"/>
          <w:bCs w:val="0"/>
          <w:color w:val="auto"/>
          <w:sz w:val="32"/>
          <w:szCs w:val="32"/>
          <w:highlight w:val="none"/>
          <w:lang w:eastAsia="zh-CN"/>
        </w:rPr>
        <w:t>工程</w:t>
      </w:r>
      <w:r>
        <w:rPr>
          <w:rFonts w:hint="eastAsia" w:ascii="仿宋" w:hAnsi="仿宋" w:eastAsia="仿宋"/>
          <w:b w:val="0"/>
          <w:bCs w:val="0"/>
          <w:color w:val="auto"/>
          <w:sz w:val="32"/>
          <w:szCs w:val="32"/>
          <w:highlight w:val="none"/>
        </w:rPr>
        <w:t>变更管理参照执行。</w:t>
      </w:r>
    </w:p>
    <w:p w14:paraId="72C557A9">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b w:val="0"/>
          <w:bCs w:val="0"/>
          <w:color w:val="auto"/>
          <w:sz w:val="32"/>
          <w:szCs w:val="32"/>
          <w:highlight w:val="none"/>
          <w:lang w:eastAsia="zh-CN"/>
        </w:rPr>
        <w:t>二</w:t>
      </w:r>
      <w:r>
        <w:rPr>
          <w:rFonts w:hint="eastAsia" w:ascii="仿宋" w:hAnsi="仿宋" w:eastAsia="仿宋"/>
          <w:b w:val="0"/>
          <w:bCs w:val="0"/>
          <w:color w:val="auto"/>
          <w:sz w:val="32"/>
          <w:szCs w:val="32"/>
          <w:highlight w:val="none"/>
        </w:rPr>
        <w:t>条  本规定自公布之日起施行。</w:t>
      </w:r>
    </w:p>
    <w:p w14:paraId="500B19D2">
      <w:pPr>
        <w:rPr>
          <w:color w:val="auto"/>
          <w:highlight w:val="none"/>
        </w:rPr>
      </w:pPr>
      <w:r>
        <w:rPr>
          <w:color w:val="auto"/>
          <w:highlight w:val="none"/>
        </w:rPr>
        <w:br w:type="page"/>
      </w:r>
    </w:p>
    <w:p w14:paraId="587CCE34">
      <w:pPr>
        <w:keepNext w:val="0"/>
        <w:keepLines w:val="0"/>
        <w:pageBreakBefore/>
        <w:widowControl w:val="0"/>
        <w:shd w:val="clear" w:color="auto" w:fill="auto"/>
        <w:kinsoku/>
        <w:wordWrap/>
        <w:overflowPunct/>
        <w:topLinePunct w:val="0"/>
        <w:autoSpaceDE/>
        <w:autoSpaceDN/>
        <w:bidi w:val="0"/>
        <w:adjustRightInd/>
        <w:snapToGrid/>
        <w:spacing w:before="156" w:beforeLines="50" w:after="156" w:afterLines="50" w:line="312" w:lineRule="auto"/>
        <w:textAlignment w:val="auto"/>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附件二    建设工程完工履约保证保险保单保函/凭证</w:t>
      </w:r>
    </w:p>
    <w:p w14:paraId="72184D29">
      <w:pPr>
        <w:widowControl/>
        <w:shd w:val="clear" w:color="auto" w:fill="auto"/>
        <w:spacing w:line="312" w:lineRule="auto"/>
        <w:jc w:val="left"/>
        <w:rPr>
          <w:rFonts w:hint="eastAsia" w:ascii="宋体" w:hAnsi="宋体" w:cs="宋体"/>
          <w:color w:val="auto"/>
          <w:kern w:val="0"/>
          <w:szCs w:val="21"/>
          <w:highlight w:val="none"/>
          <w:lang w:bidi="ar"/>
        </w:rPr>
      </w:pPr>
    </w:p>
    <w:p w14:paraId="796080DE">
      <w:pPr>
        <w:widowControl/>
        <w:shd w:val="clear" w:color="auto" w:fill="auto"/>
        <w:spacing w:line="312"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（发包人名称）：</w:t>
      </w:r>
    </w:p>
    <w:p w14:paraId="0AFAA8D4">
      <w:pPr>
        <w:shd w:val="clear" w:color="auto" w:fill="auto"/>
        <w:spacing w:after="120" w:line="312" w:lineRule="auto"/>
        <w:ind w:left="420" w:leftChars="200"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p>
    <w:p w14:paraId="59E4EEAA">
      <w:pPr>
        <w:widowControl/>
        <w:shd w:val="clear" w:color="auto" w:fill="auto"/>
        <w:spacing w:line="312" w:lineRule="auto"/>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鉴于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（发包人名称，以下简称“发包人”）与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（承包人名称，以下简称“承包人”）于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年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日就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（项目名称）及有关事项协商一致共同签订监理合同。我方愿意不可撤销地就承包人履行与你方签订的合同，向你方提供履约保证保险。</w:t>
      </w:r>
    </w:p>
    <w:p w14:paraId="0CAEB7FD">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一、本保单保函项下我公司承担的保险责任最高限额为（下称“保险金额”）人民 币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万元整（小写： ￥元）。 </w:t>
      </w:r>
    </w:p>
    <w:p w14:paraId="061D473C">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二、本保函的有效期自</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月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日。 </w:t>
      </w:r>
    </w:p>
    <w:p w14:paraId="333A22E4">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三、在保险有效期内，因承包人违反合同约定的义务给你方造成直接经济损失时，我方在收到你方以书面形式提出的在履约保证保险金额内的赔偿要求后，在 10 个工作日内支付赔款。</w:t>
      </w:r>
    </w:p>
    <w:p w14:paraId="139D6E63">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四、发包人和承包人按合同约定变更合同时，我方承担保险合同约定的义务不变。 </w:t>
      </w:r>
    </w:p>
    <w:p w14:paraId="6A9BC5BD">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五、因本保函发生的纠纷，可由双方协商解决，协商不成的，任何一方均可提请 </w:t>
      </w:r>
    </w:p>
    <w:p w14:paraId="5EF5B6AF">
      <w:pPr>
        <w:widowControl/>
        <w:shd w:val="clear" w:color="auto" w:fill="auto"/>
        <w:spacing w:line="312"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仲裁委员会仲裁或者向法院提起诉讼。 </w:t>
      </w:r>
    </w:p>
    <w:p w14:paraId="20D0229E">
      <w:pPr>
        <w:widowControl/>
        <w:numPr>
          <w:ilvl w:val="0"/>
          <w:numId w:val="2"/>
        </w:numPr>
        <w:shd w:val="clear" w:color="auto" w:fill="auto"/>
        <w:spacing w:line="312"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本保函自我方签章之日起生效。</w:t>
      </w:r>
    </w:p>
    <w:p w14:paraId="089D7BF2">
      <w:pPr>
        <w:shd w:val="clear" w:color="auto" w:fill="auto"/>
        <w:tabs>
          <w:tab w:val="left" w:pos="0"/>
        </w:tabs>
        <w:spacing w:after="120" w:line="312" w:lineRule="auto"/>
        <w:rPr>
          <w:rFonts w:hint="eastAsia" w:ascii="宋体" w:hAnsi="宋体" w:cs="宋体"/>
          <w:color w:val="auto"/>
          <w:highlight w:val="none"/>
        </w:rPr>
      </w:pPr>
    </w:p>
    <w:p w14:paraId="54213B1C">
      <w:pPr>
        <w:shd w:val="clear" w:color="auto" w:fill="auto"/>
        <w:tabs>
          <w:tab w:val="left" w:pos="0"/>
        </w:tabs>
        <w:spacing w:after="120" w:line="312" w:lineRule="auto"/>
        <w:rPr>
          <w:rFonts w:hint="eastAsia" w:ascii="宋体" w:hAnsi="宋体" w:cs="宋体"/>
          <w:color w:val="auto"/>
          <w:highlight w:val="none"/>
        </w:rPr>
      </w:pPr>
    </w:p>
    <w:p w14:paraId="1FA168AC">
      <w:pPr>
        <w:widowControl/>
        <w:shd w:val="clear" w:color="auto" w:fill="auto"/>
        <w:spacing w:line="312"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保险人：(盖章)                         公司地址： </w:t>
      </w:r>
    </w:p>
    <w:p w14:paraId="30AEFA67">
      <w:pPr>
        <w:shd w:val="clear" w:color="auto" w:fill="auto"/>
        <w:spacing w:after="120" w:line="312" w:lineRule="auto"/>
        <w:ind w:left="420" w:leftChars="200" w:firstLine="420" w:firstLineChars="200"/>
        <w:rPr>
          <w:rFonts w:hint="eastAsia" w:ascii="宋体" w:hAnsi="宋体" w:cs="宋体"/>
          <w:color w:val="auto"/>
          <w:highlight w:val="none"/>
        </w:rPr>
      </w:pPr>
    </w:p>
    <w:p w14:paraId="1E393B6A">
      <w:pPr>
        <w:widowControl/>
        <w:shd w:val="clear" w:color="auto" w:fill="auto"/>
        <w:spacing w:line="312"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签单日期：</w:t>
      </w:r>
    </w:p>
    <w:p w14:paraId="1A9CF21D">
      <w:pPr>
        <w:pageBreakBefore/>
        <w:shd w:val="clear" w:color="auto" w:fill="auto"/>
        <w:spacing w:line="312" w:lineRule="auto"/>
        <w:outlineLvl w:val="1"/>
        <w:rPr>
          <w:rFonts w:hint="eastAsia" w:ascii="黑体" w:eastAsia="黑体" w:cs="宋体"/>
          <w:b/>
          <w:bCs/>
          <w:color w:val="auto"/>
          <w:sz w:val="28"/>
          <w:szCs w:val="28"/>
          <w:highlight w:val="none"/>
        </w:rPr>
      </w:pPr>
      <w:bookmarkStart w:id="769" w:name="_Toc21880"/>
      <w:bookmarkStart w:id="770" w:name="_Toc3489"/>
      <w:r>
        <w:rPr>
          <w:rFonts w:hint="eastAsia" w:ascii="黑体" w:eastAsia="黑体" w:cs="宋体"/>
          <w:b/>
          <w:bCs/>
          <w:color w:val="auto"/>
          <w:sz w:val="28"/>
          <w:szCs w:val="28"/>
          <w:highlight w:val="none"/>
        </w:rPr>
        <w:t>附件三</w:t>
      </w:r>
      <w:bookmarkEnd w:id="769"/>
      <w:bookmarkEnd w:id="770"/>
    </w:p>
    <w:p w14:paraId="7919AD8F">
      <w:pPr>
        <w:shd w:val="clear" w:color="auto" w:fill="auto"/>
        <w:spacing w:before="156" w:beforeLines="50" w:after="156" w:afterLines="50" w:line="312" w:lineRule="auto"/>
        <w:jc w:val="center"/>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履约担保</w:t>
      </w:r>
    </w:p>
    <w:p w14:paraId="220A6BBB">
      <w:pPr>
        <w:shd w:val="clear" w:color="auto" w:fill="auto"/>
        <w:spacing w:line="312"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B1CF129">
      <w:pPr>
        <w:shd w:val="clear" w:color="auto" w:fill="auto"/>
        <w:spacing w:line="312"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bidi="ar"/>
        </w:rPr>
        <w:t>（项目名称）</w:t>
      </w:r>
      <w:r>
        <w:rPr>
          <w:rFonts w:hint="eastAsia" w:ascii="宋体" w:hAnsi="宋体" w:cs="宋体"/>
          <w:color w:val="auto"/>
          <w:szCs w:val="21"/>
          <w:highlight w:val="none"/>
        </w:rPr>
        <w:t xml:space="preserve">有关事项协商一致共同签订监理合同。我方愿意无条件地、不可撤销地就承包人履行与你方签订的合同，向你方提供连带责任担保。 </w:t>
      </w:r>
    </w:p>
    <w:p w14:paraId="7FE5C87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3851CCC">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担保有效期自你方与承包人签订的合同生效之日起至工程竣工验收合格之日止。最迟不得超过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9E1B331">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在本担保有效期内，因承包人违反合同约定的义务给你方造成经济损失时，我方在收到你方以书面形式提出的在担保金额内的赔偿要求后，在10个工作日内无条件支付。</w:t>
      </w:r>
    </w:p>
    <w:p w14:paraId="1B914E2D">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524DD43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滁州  </w:t>
      </w:r>
      <w:r>
        <w:rPr>
          <w:rFonts w:hint="eastAsia" w:ascii="宋体" w:hAnsi="宋体" w:cs="宋体"/>
          <w:color w:val="auto"/>
          <w:szCs w:val="21"/>
          <w:highlight w:val="none"/>
        </w:rPr>
        <w:t>仲裁委员会仲裁或者向法院提起诉讼。</w:t>
      </w:r>
    </w:p>
    <w:p w14:paraId="7337FFF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717FE3EA">
      <w:pPr>
        <w:shd w:val="clear" w:color="auto" w:fill="auto"/>
        <w:spacing w:line="312" w:lineRule="auto"/>
        <w:ind w:firstLine="420" w:firstLineChars="200"/>
        <w:rPr>
          <w:rFonts w:hint="eastAsia" w:ascii="宋体" w:hAnsi="宋体" w:cs="宋体"/>
          <w:color w:val="auto"/>
          <w:szCs w:val="21"/>
          <w:highlight w:val="none"/>
        </w:rPr>
      </w:pPr>
    </w:p>
    <w:p w14:paraId="6A861E4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C565DAD">
      <w:pPr>
        <w:shd w:val="clear" w:color="auto" w:fill="auto"/>
        <w:spacing w:line="312" w:lineRule="auto"/>
        <w:ind w:firstLine="420" w:firstLineChars="200"/>
        <w:rPr>
          <w:rFonts w:hint="eastAsia" w:ascii="宋体" w:hAnsi="宋体" w:cs="宋体"/>
          <w:color w:val="auto"/>
          <w:szCs w:val="21"/>
          <w:highlight w:val="none"/>
        </w:rPr>
      </w:pPr>
    </w:p>
    <w:p w14:paraId="0DACDF2B">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3BD76DD">
      <w:pPr>
        <w:shd w:val="clear" w:color="auto" w:fill="auto"/>
        <w:spacing w:line="312" w:lineRule="auto"/>
        <w:ind w:firstLine="420" w:firstLineChars="200"/>
        <w:rPr>
          <w:rFonts w:hint="eastAsia" w:ascii="宋体" w:hAnsi="宋体" w:cs="宋体"/>
          <w:color w:val="auto"/>
          <w:szCs w:val="21"/>
          <w:highlight w:val="none"/>
        </w:rPr>
      </w:pPr>
    </w:p>
    <w:p w14:paraId="77C07397">
      <w:pPr>
        <w:shd w:val="clear" w:color="auto" w:fill="auto"/>
        <w:spacing w:line="312" w:lineRule="auto"/>
        <w:ind w:firstLine="420" w:firstLineChars="200"/>
        <w:rPr>
          <w:rFonts w:hint="eastAsia" w:ascii="宋体" w:hAnsi="宋体" w:cs="宋体"/>
          <w:color w:val="auto"/>
          <w:szCs w:val="21"/>
          <w:highlight w:val="none"/>
        </w:rPr>
      </w:pPr>
    </w:p>
    <w:p w14:paraId="194B3A06">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38D9363">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3464507F">
      <w:pPr>
        <w:shd w:val="clear" w:color="auto" w:fill="auto"/>
        <w:spacing w:line="312"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F8FEE27">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4531E91">
      <w:pPr>
        <w:shd w:val="clear" w:color="auto" w:fill="auto"/>
        <w:spacing w:line="312" w:lineRule="auto"/>
        <w:ind w:firstLine="420" w:firstLineChars="200"/>
        <w:rPr>
          <w:rFonts w:hint="eastAsia" w:ascii="宋体" w:hAnsi="宋体" w:cs="宋体"/>
          <w:color w:val="auto"/>
          <w:szCs w:val="21"/>
          <w:highlight w:val="none"/>
          <w:u w:val="single"/>
        </w:rPr>
      </w:pPr>
    </w:p>
    <w:p w14:paraId="61ADACD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BFB0C7">
      <w:pPr>
        <w:shd w:val="clear" w:color="auto" w:fill="auto"/>
        <w:spacing w:line="312" w:lineRule="auto"/>
        <w:jc w:val="center"/>
        <w:rPr>
          <w:rFonts w:hint="eastAsia" w:ascii="宋体" w:hAnsi="宋体" w:cs="宋体"/>
          <w:b/>
          <w:color w:val="auto"/>
          <w:sz w:val="36"/>
          <w:szCs w:val="36"/>
          <w:highlight w:val="none"/>
        </w:rPr>
      </w:pPr>
    </w:p>
    <w:p w14:paraId="23A082D1">
      <w:pPr>
        <w:pageBreakBefore/>
        <w:shd w:val="clear" w:color="auto" w:fill="auto"/>
        <w:spacing w:before="156" w:beforeLines="50" w:after="156" w:afterLines="50" w:line="312" w:lineRule="auto"/>
        <w:jc w:val="center"/>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履约保证金承诺书</w:t>
      </w:r>
    </w:p>
    <w:p w14:paraId="5B46DEEA">
      <w:pPr>
        <w:shd w:val="clear" w:color="auto" w:fill="auto"/>
        <w:spacing w:line="312" w:lineRule="auto"/>
        <w:rPr>
          <w:rFonts w:hint="eastAsia" w:ascii="宋体" w:cs="宋体"/>
          <w:color w:val="auto"/>
          <w:sz w:val="24"/>
          <w:highlight w:val="none"/>
        </w:rPr>
      </w:pPr>
    </w:p>
    <w:p w14:paraId="3C0B5408">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安徽同康实业发展有限公司</w:t>
      </w:r>
      <w:r>
        <w:rPr>
          <w:rFonts w:hint="eastAsia" w:ascii="宋体" w:hAnsi="宋体" w:cs="宋体"/>
          <w:color w:val="auto"/>
          <w:szCs w:val="21"/>
          <w:highlight w:val="none"/>
        </w:rPr>
        <w:t>：</w:t>
      </w:r>
    </w:p>
    <w:p w14:paraId="30DF4351">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日中标的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项目，本项目由银行出具的履约保函担保金额为人民币（大写）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我公司特向贵司作出以下承诺：贵司向本项目履约保函担保银行提出书面违约索赔要求后10个工作日内，如担保银行没有兑付违约金，贵司可从我公司承建的本项目及其它项目中直接扣减相应工程款，作为本项目违约金。</w:t>
      </w:r>
    </w:p>
    <w:p w14:paraId="2142377A">
      <w:pPr>
        <w:shd w:val="clear" w:color="auto" w:fill="auto"/>
        <w:spacing w:line="312" w:lineRule="auto"/>
        <w:ind w:firstLine="480"/>
        <w:rPr>
          <w:rFonts w:hint="eastAsia" w:ascii="宋体" w:hAnsi="宋体" w:cs="宋体"/>
          <w:color w:val="auto"/>
          <w:szCs w:val="21"/>
          <w:highlight w:val="none"/>
        </w:rPr>
      </w:pPr>
      <w:r>
        <w:rPr>
          <w:rFonts w:hint="eastAsia" w:ascii="宋体" w:hAnsi="宋体" w:cs="宋体"/>
          <w:color w:val="auto"/>
          <w:szCs w:val="21"/>
          <w:highlight w:val="none"/>
        </w:rPr>
        <w:t>特此承诺。</w:t>
      </w:r>
    </w:p>
    <w:p w14:paraId="3F1E6435">
      <w:pPr>
        <w:shd w:val="clear" w:color="auto" w:fill="auto"/>
        <w:spacing w:line="312" w:lineRule="auto"/>
        <w:ind w:right="1120" w:firstLine="1890" w:firstLineChars="900"/>
        <w:rPr>
          <w:rFonts w:hint="eastAsia" w:ascii="宋体" w:hAnsi="宋体" w:cs="宋体"/>
          <w:color w:val="auto"/>
          <w:szCs w:val="21"/>
          <w:highlight w:val="none"/>
        </w:rPr>
      </w:pPr>
    </w:p>
    <w:p w14:paraId="3B5F6517">
      <w:pPr>
        <w:shd w:val="clear" w:color="auto" w:fill="auto"/>
        <w:spacing w:line="312" w:lineRule="auto"/>
        <w:ind w:right="1120" w:firstLine="1890" w:firstLineChars="900"/>
        <w:rPr>
          <w:rFonts w:hint="eastAsia" w:ascii="宋体" w:hAnsi="宋体" w:cs="宋体"/>
          <w:color w:val="auto"/>
          <w:szCs w:val="21"/>
          <w:highlight w:val="none"/>
        </w:rPr>
      </w:pPr>
    </w:p>
    <w:p w14:paraId="24309CE3">
      <w:pPr>
        <w:shd w:val="clear" w:color="auto" w:fill="auto"/>
        <w:spacing w:line="312" w:lineRule="auto"/>
        <w:ind w:right="70"/>
        <w:jc w:val="right"/>
        <w:rPr>
          <w:rFonts w:hint="eastAsia" w:ascii="宋体" w:hAnsi="宋体" w:cs="宋体"/>
          <w:color w:val="auto"/>
          <w:szCs w:val="21"/>
          <w:highlight w:val="none"/>
          <w:u w:val="single"/>
        </w:rPr>
      </w:pPr>
      <w:r>
        <w:rPr>
          <w:rFonts w:hint="eastAsia" w:ascii="宋体" w:hAnsi="宋体" w:cs="宋体"/>
          <w:color w:val="auto"/>
          <w:szCs w:val="21"/>
          <w:highlight w:val="none"/>
        </w:rPr>
        <w:t xml:space="preserve"> 中标单位名称：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（盖单位章） </w:t>
      </w:r>
    </w:p>
    <w:p w14:paraId="0B23CF56">
      <w:pPr>
        <w:shd w:val="clear" w:color="auto" w:fill="auto"/>
        <w:wordWrap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247ECEE">
      <w:pPr>
        <w:shd w:val="clear" w:color="auto" w:fill="auto"/>
        <w:spacing w:line="312" w:lineRule="auto"/>
        <w:ind w:right="560" w:firstLine="5250" w:firstLineChars="25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6EADCC">
      <w:pPr>
        <w:shd w:val="clear" w:color="auto" w:fill="auto"/>
        <w:spacing w:line="312" w:lineRule="auto"/>
        <w:jc w:val="center"/>
        <w:rPr>
          <w:rFonts w:hint="eastAsia" w:ascii="黑体" w:eastAsia="黑体"/>
          <w:b/>
          <w:color w:val="auto"/>
          <w:sz w:val="36"/>
          <w:szCs w:val="36"/>
          <w:highlight w:val="none"/>
        </w:rPr>
      </w:pPr>
    </w:p>
    <w:p w14:paraId="6AAB1E11">
      <w:pPr>
        <w:shd w:val="clear" w:color="auto" w:fill="auto"/>
        <w:spacing w:line="312" w:lineRule="auto"/>
        <w:jc w:val="center"/>
        <w:rPr>
          <w:rFonts w:hint="eastAsia" w:ascii="黑体" w:eastAsia="黑体"/>
          <w:b/>
          <w:color w:val="auto"/>
          <w:sz w:val="36"/>
          <w:szCs w:val="36"/>
          <w:highlight w:val="none"/>
        </w:rPr>
      </w:pPr>
    </w:p>
    <w:p w14:paraId="40EB6DBD">
      <w:pPr>
        <w:shd w:val="clear" w:color="auto" w:fill="auto"/>
        <w:spacing w:line="312" w:lineRule="auto"/>
        <w:jc w:val="center"/>
        <w:rPr>
          <w:rFonts w:hint="eastAsia" w:ascii="黑体" w:eastAsia="黑体"/>
          <w:b/>
          <w:color w:val="auto"/>
          <w:sz w:val="36"/>
          <w:szCs w:val="36"/>
          <w:highlight w:val="none"/>
        </w:rPr>
      </w:pPr>
    </w:p>
    <w:p w14:paraId="637E5391">
      <w:pPr>
        <w:shd w:val="clear" w:color="auto" w:fill="auto"/>
        <w:spacing w:line="312" w:lineRule="auto"/>
        <w:jc w:val="center"/>
        <w:rPr>
          <w:rFonts w:hint="eastAsia" w:ascii="黑体" w:eastAsia="黑体"/>
          <w:b/>
          <w:color w:val="auto"/>
          <w:sz w:val="36"/>
          <w:szCs w:val="36"/>
          <w:highlight w:val="none"/>
        </w:rPr>
      </w:pPr>
    </w:p>
    <w:p w14:paraId="47964D9B">
      <w:pPr>
        <w:shd w:val="clear" w:color="auto" w:fill="auto"/>
        <w:spacing w:line="312" w:lineRule="auto"/>
        <w:jc w:val="center"/>
        <w:rPr>
          <w:rFonts w:hint="eastAsia" w:ascii="黑体" w:eastAsia="黑体"/>
          <w:b/>
          <w:color w:val="auto"/>
          <w:sz w:val="36"/>
          <w:szCs w:val="36"/>
          <w:highlight w:val="none"/>
        </w:rPr>
      </w:pPr>
    </w:p>
    <w:p w14:paraId="679CAEF4">
      <w:pPr>
        <w:shd w:val="clear" w:color="auto" w:fill="auto"/>
        <w:spacing w:line="312" w:lineRule="auto"/>
        <w:jc w:val="center"/>
        <w:rPr>
          <w:rFonts w:hint="eastAsia" w:ascii="黑体" w:eastAsia="黑体"/>
          <w:b/>
          <w:color w:val="auto"/>
          <w:sz w:val="36"/>
          <w:szCs w:val="36"/>
          <w:highlight w:val="none"/>
        </w:rPr>
      </w:pPr>
    </w:p>
    <w:p w14:paraId="628DDBDC">
      <w:pPr>
        <w:shd w:val="clear" w:color="auto" w:fill="auto"/>
        <w:spacing w:line="312" w:lineRule="auto"/>
        <w:jc w:val="center"/>
        <w:rPr>
          <w:rFonts w:hint="eastAsia" w:ascii="黑体" w:eastAsia="黑体"/>
          <w:b/>
          <w:color w:val="auto"/>
          <w:sz w:val="36"/>
          <w:szCs w:val="36"/>
          <w:highlight w:val="none"/>
        </w:rPr>
      </w:pPr>
    </w:p>
    <w:p w14:paraId="7564914E">
      <w:pPr>
        <w:shd w:val="clear" w:color="auto" w:fill="auto"/>
        <w:spacing w:line="312" w:lineRule="auto"/>
        <w:jc w:val="center"/>
        <w:rPr>
          <w:rFonts w:hint="eastAsia" w:ascii="黑体" w:eastAsia="黑体"/>
          <w:b/>
          <w:color w:val="auto"/>
          <w:sz w:val="36"/>
          <w:szCs w:val="36"/>
          <w:highlight w:val="none"/>
        </w:rPr>
      </w:pPr>
    </w:p>
    <w:p w14:paraId="23E6EB64">
      <w:pPr>
        <w:pageBreakBefore/>
        <w:shd w:val="clear" w:color="auto" w:fill="auto"/>
        <w:spacing w:line="312" w:lineRule="auto"/>
        <w:jc w:val="center"/>
        <w:rPr>
          <w:rFonts w:hint="eastAsia" w:ascii="黑体" w:eastAsia="黑体"/>
          <w:b/>
          <w:color w:val="auto"/>
          <w:sz w:val="32"/>
          <w:szCs w:val="32"/>
          <w:highlight w:val="none"/>
        </w:rPr>
      </w:pPr>
      <w:r>
        <w:rPr>
          <w:rFonts w:hint="eastAsia" w:ascii="黑体" w:eastAsia="黑体"/>
          <w:b/>
          <w:color w:val="auto"/>
          <w:sz w:val="32"/>
          <w:szCs w:val="32"/>
          <w:highlight w:val="none"/>
        </w:rPr>
        <w:t>履约承诺</w:t>
      </w:r>
    </w:p>
    <w:p w14:paraId="3FA0E04B">
      <w:pPr>
        <w:shd w:val="clear" w:color="auto" w:fill="auto"/>
        <w:spacing w:line="312" w:lineRule="auto"/>
        <w:rPr>
          <w:rFonts w:hint="eastAsia"/>
          <w:color w:val="auto"/>
          <w:highlight w:val="none"/>
        </w:rPr>
      </w:pPr>
    </w:p>
    <w:p w14:paraId="6D83BEC2">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安徽同康实业发展有限公司</w:t>
      </w:r>
      <w:r>
        <w:rPr>
          <w:rFonts w:hint="eastAsia" w:ascii="宋体" w:hAnsi="宋体" w:cs="宋体"/>
          <w:color w:val="auto"/>
          <w:szCs w:val="21"/>
          <w:highlight w:val="none"/>
        </w:rPr>
        <w:t>：</w:t>
      </w:r>
    </w:p>
    <w:p w14:paraId="20E2D1CD">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日中标的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项目，我单位特向贵司作出以下承诺：</w:t>
      </w:r>
    </w:p>
    <w:p w14:paraId="3316EDD7">
      <w:pPr>
        <w:shd w:val="clear" w:color="auto" w:fill="auto"/>
        <w:spacing w:line="312" w:lineRule="auto"/>
        <w:ind w:left="447" w:leftChars="213" w:firstLine="105" w:firstLineChars="50"/>
        <w:rPr>
          <w:rFonts w:hint="eastAsia" w:ascii="宋体" w:hAnsi="宋体" w:cs="宋体"/>
          <w:color w:val="auto"/>
          <w:szCs w:val="21"/>
          <w:highlight w:val="none"/>
        </w:rPr>
      </w:pPr>
      <w:r>
        <w:rPr>
          <w:rFonts w:hint="eastAsia" w:ascii="宋体" w:hAnsi="宋体" w:cs="宋体"/>
          <w:color w:val="auto"/>
          <w:szCs w:val="21"/>
          <w:highlight w:val="none"/>
        </w:rPr>
        <w:t>1.履约保证金金额：人民币（大写）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8FA11C6">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2.履约有效期自你处与我单位签订的合同生效之日起至工程竣工验收合格之日止。最迟不得超过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847E9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3.在履约有效期内，因我单位违反合同约定给贵司造成经济损失时，我单位在收到贵司以书面形式提出的违约金赔偿要求后10个工作日内无条件支付。</w:t>
      </w:r>
    </w:p>
    <w:p w14:paraId="3EE5FFD8">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4.贵司向本项目提出书面违约索赔要求后10个工作日内，如未支付违约金，可从我单位承建的本项目及其它项目中直接双倍扣减相应工程款，作为本项目违约金。</w:t>
      </w:r>
    </w:p>
    <w:p w14:paraId="61312D2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5.如违反以上条款将纳入信用记录，今后中标项目不再接受履约承诺。</w:t>
      </w:r>
    </w:p>
    <w:p w14:paraId="131E7043">
      <w:pPr>
        <w:shd w:val="clear" w:color="auto" w:fill="auto"/>
        <w:spacing w:line="312" w:lineRule="auto"/>
        <w:ind w:firstLine="480"/>
        <w:rPr>
          <w:rFonts w:hint="eastAsia" w:ascii="宋体" w:hAnsi="宋体" w:cs="宋体"/>
          <w:color w:val="auto"/>
          <w:szCs w:val="21"/>
          <w:highlight w:val="none"/>
        </w:rPr>
      </w:pPr>
    </w:p>
    <w:p w14:paraId="125DFD5D">
      <w:pPr>
        <w:shd w:val="clear" w:color="auto" w:fill="auto"/>
        <w:spacing w:line="312" w:lineRule="auto"/>
        <w:ind w:firstLine="480"/>
        <w:rPr>
          <w:rFonts w:hint="eastAsia" w:ascii="宋体" w:hAnsi="宋体" w:cs="宋体"/>
          <w:color w:val="auto"/>
          <w:szCs w:val="21"/>
          <w:highlight w:val="none"/>
        </w:rPr>
      </w:pPr>
    </w:p>
    <w:p w14:paraId="1191AA34">
      <w:pPr>
        <w:shd w:val="clear" w:color="auto" w:fill="auto"/>
        <w:spacing w:line="312" w:lineRule="auto"/>
        <w:ind w:firstLine="480"/>
        <w:rPr>
          <w:rFonts w:hint="eastAsia" w:ascii="宋体" w:hAnsi="宋体" w:cs="宋体"/>
          <w:color w:val="auto"/>
          <w:szCs w:val="21"/>
          <w:highlight w:val="none"/>
        </w:rPr>
      </w:pPr>
      <w:r>
        <w:rPr>
          <w:rFonts w:hint="eastAsia" w:ascii="宋体" w:hAnsi="宋体" w:cs="宋体"/>
          <w:color w:val="auto"/>
          <w:szCs w:val="21"/>
          <w:highlight w:val="none"/>
        </w:rPr>
        <w:t>特此承诺。</w:t>
      </w:r>
    </w:p>
    <w:p w14:paraId="7AD95D4A">
      <w:pPr>
        <w:pStyle w:val="45"/>
        <w:shd w:val="clear" w:color="auto" w:fill="auto"/>
        <w:spacing w:line="312" w:lineRule="auto"/>
        <w:ind w:firstLine="420"/>
        <w:rPr>
          <w:rFonts w:hint="eastAsia" w:hAnsi="宋体" w:cs="宋体"/>
          <w:color w:val="auto"/>
          <w:szCs w:val="21"/>
          <w:highlight w:val="none"/>
        </w:rPr>
      </w:pPr>
    </w:p>
    <w:p w14:paraId="6079CA6F">
      <w:pPr>
        <w:shd w:val="clear" w:color="auto" w:fill="auto"/>
        <w:spacing w:line="312" w:lineRule="auto"/>
        <w:rPr>
          <w:rFonts w:hint="eastAsia" w:ascii="宋体" w:hAnsi="宋体" w:cs="宋体"/>
          <w:color w:val="auto"/>
          <w:szCs w:val="21"/>
          <w:highlight w:val="none"/>
        </w:rPr>
      </w:pPr>
    </w:p>
    <w:p w14:paraId="3D59A29E">
      <w:pPr>
        <w:pStyle w:val="45"/>
        <w:shd w:val="clear" w:color="auto" w:fill="auto"/>
        <w:spacing w:line="312" w:lineRule="auto"/>
        <w:ind w:firstLine="420"/>
        <w:rPr>
          <w:rFonts w:hint="eastAsia"/>
          <w:color w:val="auto"/>
          <w:highlight w:val="none"/>
        </w:rPr>
      </w:pPr>
    </w:p>
    <w:p w14:paraId="699C8B6B">
      <w:pPr>
        <w:shd w:val="clear" w:color="auto" w:fill="auto"/>
        <w:spacing w:line="312" w:lineRule="auto"/>
        <w:ind w:right="7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B6D18B4">
      <w:pPr>
        <w:shd w:val="clear" w:color="auto" w:fill="auto"/>
        <w:spacing w:line="312" w:lineRule="auto"/>
        <w:ind w:right="70"/>
        <w:jc w:val="right"/>
        <w:rPr>
          <w:rFonts w:hint="eastAsia" w:ascii="宋体" w:hAnsi="宋体" w:cs="宋体"/>
          <w:color w:val="auto"/>
          <w:szCs w:val="21"/>
          <w:highlight w:val="none"/>
          <w:u w:val="single"/>
        </w:rPr>
      </w:pPr>
      <w:r>
        <w:rPr>
          <w:rFonts w:hint="eastAsia" w:ascii="宋体" w:hAnsi="宋体" w:cs="宋体"/>
          <w:color w:val="auto"/>
          <w:szCs w:val="21"/>
          <w:highlight w:val="none"/>
        </w:rPr>
        <w:t>中标单位名称：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（盖单位章） </w:t>
      </w:r>
    </w:p>
    <w:p w14:paraId="4634908C">
      <w:pPr>
        <w:shd w:val="clear" w:color="auto" w:fill="auto"/>
        <w:wordWrap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4E6CC83">
      <w:pPr>
        <w:shd w:val="clear" w:color="auto" w:fill="auto"/>
        <w:spacing w:line="312" w:lineRule="auto"/>
        <w:ind w:firstLine="5250" w:firstLineChars="25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DE9CC7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eastAsia="宋体"/>
          <w:color w:val="auto"/>
          <w:highlight w:val="none"/>
          <w:lang w:val="en-US" w:eastAsia="zh-CN"/>
        </w:rPr>
      </w:pPr>
      <w:r>
        <w:rPr>
          <w:color w:val="auto"/>
          <w:highlight w:val="none"/>
        </w:rPr>
        <w:br w:type="page"/>
      </w:r>
      <w:bookmarkStart w:id="771" w:name="_Toc4268"/>
      <w:r>
        <w:rPr>
          <w:rFonts w:hint="eastAsia" w:ascii="Arial" w:hAnsi="Arial" w:eastAsia="宋体" w:cs="Times New Roman"/>
          <w:b/>
          <w:bCs/>
          <w:color w:val="auto"/>
          <w:kern w:val="0"/>
          <w:sz w:val="32"/>
          <w:szCs w:val="32"/>
          <w:highlight w:val="none"/>
          <w:lang w:val="en-US" w:eastAsia="zh-CN" w:bidi="ar-SA"/>
        </w:rPr>
        <w:t>第五章  监理内容和要求</w:t>
      </w:r>
      <w:bookmarkEnd w:id="771"/>
    </w:p>
    <w:p w14:paraId="71306B04">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eastAsia="zh-CN"/>
        </w:rPr>
        <w:t>一、项目名称</w:t>
      </w:r>
    </w:p>
    <w:p w14:paraId="45D8C8B9">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滁州经开区市政道路排水管网更新改造项目监理</w:t>
      </w:r>
    </w:p>
    <w:p w14:paraId="4D935D9B">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val="zh-CN"/>
        </w:rPr>
        <w:t>项目概况</w:t>
      </w:r>
    </w:p>
    <w:p w14:paraId="786F7A56">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项目范围为经开区范围内市政道路雨污水管网更新改造，涉及排水管网里程约700公里，包括：管网清淤疏通，排水泵站，病害情况复核，新建及修复管网，混接改造，配套检查井、雨水篦等。</w:t>
      </w:r>
    </w:p>
    <w:p w14:paraId="1F7EB906">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三、招标内容</w:t>
      </w:r>
      <w:bookmarkStart w:id="772" w:name="_bookmark16"/>
      <w:bookmarkEnd w:id="772"/>
    </w:p>
    <w:p w14:paraId="00EFE03A">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 xml:space="preserve">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 </w:t>
      </w:r>
    </w:p>
    <w:p w14:paraId="00D3214E">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宋体" w:hAnsi="宋体" w:cs="宋体"/>
          <w:b/>
          <w:bCs/>
          <w:color w:val="auto"/>
          <w:highlight w:val="none"/>
          <w:lang w:val="zh-CN"/>
        </w:rPr>
      </w:pPr>
      <w:r>
        <w:rPr>
          <w:rFonts w:hint="eastAsia" w:ascii="宋体" w:hAnsi="宋体" w:cs="宋体"/>
          <w:b/>
          <w:bCs/>
          <w:color w:val="auto"/>
          <w:highlight w:val="none"/>
          <w:lang w:val="zh-CN"/>
        </w:rPr>
        <w:t>四、人员配备</w:t>
      </w:r>
    </w:p>
    <w:tbl>
      <w:tblPr>
        <w:tblStyle w:val="46"/>
        <w:tblW w:w="101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3"/>
        <w:gridCol w:w="1063"/>
        <w:gridCol w:w="2869"/>
        <w:gridCol w:w="971"/>
        <w:gridCol w:w="4028"/>
      </w:tblGrid>
      <w:tr w14:paraId="42F7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73" w:type="dxa"/>
            <w:noWrap w:val="0"/>
            <w:vAlign w:val="center"/>
          </w:tcPr>
          <w:p w14:paraId="1DCC905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项目组成员</w:t>
            </w:r>
          </w:p>
        </w:tc>
        <w:tc>
          <w:tcPr>
            <w:tcW w:w="1063" w:type="dxa"/>
            <w:tcBorders>
              <w:right w:val="single" w:color="000000" w:sz="8" w:space="0"/>
            </w:tcBorders>
            <w:noWrap w:val="0"/>
            <w:vAlign w:val="center"/>
          </w:tcPr>
          <w:p w14:paraId="20A93BD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2869" w:type="dxa"/>
            <w:tcBorders>
              <w:left w:val="single" w:color="000000" w:sz="8" w:space="0"/>
            </w:tcBorders>
            <w:noWrap w:val="0"/>
            <w:vAlign w:val="center"/>
          </w:tcPr>
          <w:p w14:paraId="51D546AB">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证书要求</w:t>
            </w:r>
          </w:p>
        </w:tc>
        <w:tc>
          <w:tcPr>
            <w:tcW w:w="971" w:type="dxa"/>
            <w:noWrap w:val="0"/>
            <w:vAlign w:val="center"/>
          </w:tcPr>
          <w:p w14:paraId="26509BD9">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p w14:paraId="42AFBE4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w:t>
            </w:r>
          </w:p>
        </w:tc>
        <w:tc>
          <w:tcPr>
            <w:tcW w:w="4028" w:type="dxa"/>
            <w:noWrap w:val="0"/>
            <w:vAlign w:val="center"/>
          </w:tcPr>
          <w:p w14:paraId="316470F3">
            <w:pPr>
              <w:pStyle w:val="119"/>
              <w:keepNext w:val="0"/>
              <w:keepLines w:val="0"/>
              <w:pageBreakBefore w:val="0"/>
              <w:widowControl w:val="0"/>
              <w:shd w:val="clear" w:color="auto" w:fill="auto"/>
              <w:kinsoku/>
              <w:wordWrap/>
              <w:overflowPunct/>
              <w:topLinePunct w:val="0"/>
              <w:bidi w:val="0"/>
              <w:adjustRightInd/>
              <w:snapToGrid/>
              <w:spacing w:line="50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876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1" w:hRule="atLeast"/>
          <w:jc w:val="center"/>
        </w:trPr>
        <w:tc>
          <w:tcPr>
            <w:tcW w:w="1173" w:type="dxa"/>
            <w:noWrap w:val="0"/>
            <w:vAlign w:val="center"/>
          </w:tcPr>
          <w:p w14:paraId="3885BC6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项目负责人（总监理工程师）</w:t>
            </w:r>
          </w:p>
        </w:tc>
        <w:tc>
          <w:tcPr>
            <w:tcW w:w="1063" w:type="dxa"/>
            <w:tcBorders>
              <w:right w:val="single" w:color="000000" w:sz="8" w:space="0"/>
            </w:tcBorders>
            <w:noWrap w:val="0"/>
            <w:vAlign w:val="center"/>
          </w:tcPr>
          <w:p w14:paraId="33F790E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市政公用工程</w:t>
            </w:r>
          </w:p>
        </w:tc>
        <w:tc>
          <w:tcPr>
            <w:tcW w:w="2869" w:type="dxa"/>
            <w:tcBorders>
              <w:left w:val="single" w:color="000000" w:sz="8" w:space="0"/>
            </w:tcBorders>
            <w:noWrap w:val="0"/>
            <w:vAlign w:val="center"/>
          </w:tcPr>
          <w:p w14:paraId="2C3A0D9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p>
        </w:tc>
        <w:tc>
          <w:tcPr>
            <w:tcW w:w="971" w:type="dxa"/>
            <w:noWrap w:val="0"/>
            <w:vAlign w:val="center"/>
          </w:tcPr>
          <w:p w14:paraId="738377E6">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028" w:type="dxa"/>
            <w:noWrap w:val="0"/>
            <w:vAlign w:val="center"/>
          </w:tcPr>
          <w:p w14:paraId="75342DDB">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总监理工程师</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hAnsi="宋体" w:eastAsia="宋体" w:cs="宋体"/>
                <w:color w:val="auto"/>
                <w:sz w:val="21"/>
                <w:szCs w:val="21"/>
                <w:highlight w:val="none"/>
                <w:lang w:val="en-US" w:eastAsia="zh-CN"/>
              </w:rPr>
              <w:t>（在建项目是指以项目负责人（总监理工程师）的身份承担其他尚未完工（以竣工或交工或完工验收报告等手续为准）的项目或已中标的项目（以发放中标通知书为准），否则取消</w:t>
            </w:r>
            <w:r>
              <w:rPr>
                <w:rFonts w:hint="eastAsia" w:ascii="宋体" w:hAnsi="宋体" w:eastAsia="宋体" w:cs="宋体"/>
                <w:color w:val="auto"/>
                <w:sz w:val="21"/>
                <w:szCs w:val="21"/>
                <w:highlight w:val="none"/>
              </w:rPr>
              <w:t>中标资格。</w:t>
            </w:r>
          </w:p>
          <w:p w14:paraId="1D7CF61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②拟派的总监理工程师在合同工期内每月在岗时间不得少于22天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，每天在岗时间不得少于8小时。</w:t>
            </w:r>
          </w:p>
        </w:tc>
      </w:tr>
      <w:tr w14:paraId="1927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1173" w:type="dxa"/>
            <w:noWrap w:val="0"/>
            <w:vAlign w:val="center"/>
          </w:tcPr>
          <w:p w14:paraId="20B7DBE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总监理工程师代表</w:t>
            </w:r>
          </w:p>
        </w:tc>
        <w:tc>
          <w:tcPr>
            <w:tcW w:w="1063" w:type="dxa"/>
            <w:tcBorders>
              <w:right w:val="single" w:color="000000" w:sz="8" w:space="0"/>
            </w:tcBorders>
            <w:shd w:val="clear" w:color="auto" w:fill="auto"/>
            <w:noWrap w:val="0"/>
            <w:vAlign w:val="center"/>
          </w:tcPr>
          <w:p w14:paraId="0AD22317">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lang w:val="en-US" w:eastAsia="zh-CN"/>
              </w:rPr>
              <w:t>市政公用工程</w:t>
            </w:r>
          </w:p>
        </w:tc>
        <w:tc>
          <w:tcPr>
            <w:tcW w:w="2869" w:type="dxa"/>
            <w:tcBorders>
              <w:left w:val="single" w:color="000000" w:sz="8" w:space="0"/>
            </w:tcBorders>
            <w:shd w:val="clear" w:color="auto" w:fill="auto"/>
            <w:noWrap w:val="0"/>
            <w:vAlign w:val="center"/>
          </w:tcPr>
          <w:p w14:paraId="09945E01">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p>
        </w:tc>
        <w:tc>
          <w:tcPr>
            <w:tcW w:w="971" w:type="dxa"/>
            <w:noWrap w:val="0"/>
            <w:vAlign w:val="center"/>
          </w:tcPr>
          <w:p w14:paraId="2176AE6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028" w:type="dxa"/>
            <w:noWrap w:val="0"/>
            <w:vAlign w:val="center"/>
          </w:tcPr>
          <w:p w14:paraId="593521F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拟派的总监理工程师</w:t>
            </w:r>
            <w:r>
              <w:rPr>
                <w:rFonts w:hint="eastAsia" w:ascii="宋体" w:hAnsi="宋体" w:cs="宋体"/>
                <w:color w:val="auto"/>
                <w:sz w:val="21"/>
                <w:szCs w:val="21"/>
                <w:highlight w:val="none"/>
                <w:lang w:val="en-US" w:eastAsia="zh-CN"/>
              </w:rPr>
              <w:t>代表</w:t>
            </w:r>
            <w:r>
              <w:rPr>
                <w:rFonts w:hint="eastAsia" w:ascii="宋体" w:hAnsi="宋体" w:eastAsia="宋体" w:cs="宋体"/>
                <w:color w:val="auto"/>
                <w:sz w:val="21"/>
                <w:szCs w:val="21"/>
                <w:highlight w:val="none"/>
              </w:rPr>
              <w:t>在每月在岗时间不得少于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天，每天在岗时间不得少于8小时。</w:t>
            </w:r>
          </w:p>
          <w:p w14:paraId="00232E62">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color w:val="auto"/>
                <w:highlight w:val="none"/>
              </w:rPr>
            </w:pPr>
            <w:r>
              <w:rPr>
                <w:rFonts w:hint="eastAsia" w:hAnsi="宋体" w:cs="宋体"/>
                <w:b/>
                <w:bCs/>
                <w:color w:val="auto"/>
                <w:sz w:val="21"/>
                <w:szCs w:val="21"/>
                <w:highlight w:val="none"/>
                <w:lang w:val="en-US" w:eastAsia="zh-CN"/>
              </w:rPr>
              <w:t>（注：总监工程师代表可以由符合要求的专业监理工程师兼任。）</w:t>
            </w:r>
          </w:p>
        </w:tc>
      </w:tr>
      <w:tr w14:paraId="6294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1173" w:type="dxa"/>
            <w:noWrap w:val="0"/>
            <w:vAlign w:val="center"/>
          </w:tcPr>
          <w:p w14:paraId="4166A51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1063" w:type="dxa"/>
            <w:tcBorders>
              <w:right w:val="single" w:color="000000" w:sz="8" w:space="0"/>
            </w:tcBorders>
            <w:noWrap w:val="0"/>
            <w:vAlign w:val="center"/>
          </w:tcPr>
          <w:p w14:paraId="09CBEED3">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市政公用工程类专业</w:t>
            </w:r>
          </w:p>
        </w:tc>
        <w:tc>
          <w:tcPr>
            <w:tcW w:w="2869" w:type="dxa"/>
            <w:tcBorders>
              <w:left w:val="single" w:color="000000" w:sz="8" w:space="0"/>
            </w:tcBorders>
            <w:noWrap w:val="0"/>
            <w:vAlign w:val="center"/>
          </w:tcPr>
          <w:p w14:paraId="0407B364">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省级监理工程师及以上（或具有对应资质机构颁发的专业监理工程师证书）</w:t>
            </w:r>
          </w:p>
        </w:tc>
        <w:tc>
          <w:tcPr>
            <w:tcW w:w="971" w:type="dxa"/>
            <w:noWrap w:val="0"/>
            <w:vAlign w:val="center"/>
          </w:tcPr>
          <w:p w14:paraId="655B141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028" w:type="dxa"/>
            <w:vMerge w:val="restart"/>
            <w:noWrap w:val="0"/>
            <w:vAlign w:val="center"/>
          </w:tcPr>
          <w:p w14:paraId="47101ACC">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专业监理工程师、监理员每月在岗时间不得少于25天</w:t>
            </w:r>
            <w:r>
              <w:rPr>
                <w:rFonts w:hint="eastAsia" w:ascii="宋体" w:hAnsi="宋体" w:eastAsia="宋体" w:cs="宋体"/>
                <w:color w:val="auto"/>
                <w:sz w:val="21"/>
                <w:szCs w:val="21"/>
                <w:highlight w:val="none"/>
              </w:rPr>
              <w:t>，每天在岗时间不得少于8小时。</w:t>
            </w:r>
          </w:p>
        </w:tc>
      </w:tr>
      <w:tr w14:paraId="1500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73" w:type="dxa"/>
            <w:noWrap w:val="0"/>
            <w:vAlign w:val="center"/>
          </w:tcPr>
          <w:p w14:paraId="62734E6A">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1063" w:type="dxa"/>
            <w:tcBorders>
              <w:right w:val="single" w:color="000000" w:sz="8" w:space="0"/>
            </w:tcBorders>
            <w:noWrap w:val="0"/>
            <w:vAlign w:val="center"/>
          </w:tcPr>
          <w:p w14:paraId="0ED50D2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869" w:type="dxa"/>
            <w:tcBorders>
              <w:left w:val="single" w:color="000000" w:sz="8" w:space="0"/>
            </w:tcBorders>
            <w:noWrap w:val="0"/>
            <w:vAlign w:val="center"/>
          </w:tcPr>
          <w:p w14:paraId="5846E539">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本单位注册的省建设厅（或市建设主管部门）或省监理协会（或市监理协会）颁发的上岗证书</w:t>
            </w:r>
          </w:p>
        </w:tc>
        <w:tc>
          <w:tcPr>
            <w:tcW w:w="971" w:type="dxa"/>
            <w:noWrap w:val="0"/>
            <w:vAlign w:val="center"/>
          </w:tcPr>
          <w:p w14:paraId="4F49C0FC">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028" w:type="dxa"/>
            <w:vMerge w:val="continue"/>
            <w:noWrap w:val="0"/>
            <w:vAlign w:val="center"/>
          </w:tcPr>
          <w:p w14:paraId="14D9EA81">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rPr>
            </w:pPr>
          </w:p>
        </w:tc>
      </w:tr>
      <w:tr w14:paraId="7677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73" w:type="dxa"/>
            <w:noWrap w:val="0"/>
            <w:vAlign w:val="center"/>
          </w:tcPr>
          <w:p w14:paraId="03076E9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见证员</w:t>
            </w:r>
          </w:p>
        </w:tc>
        <w:tc>
          <w:tcPr>
            <w:tcW w:w="1063" w:type="dxa"/>
            <w:tcBorders>
              <w:right w:val="single" w:color="000000" w:sz="8" w:space="0"/>
            </w:tcBorders>
            <w:noWrap w:val="0"/>
            <w:vAlign w:val="center"/>
          </w:tcPr>
          <w:p w14:paraId="52435882">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c>
          <w:tcPr>
            <w:tcW w:w="2869" w:type="dxa"/>
            <w:tcBorders>
              <w:left w:val="single" w:color="000000" w:sz="8" w:space="0"/>
            </w:tcBorders>
            <w:noWrap w:val="0"/>
            <w:vAlign w:val="center"/>
          </w:tcPr>
          <w:p w14:paraId="2735D07F">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不少于1人，可兼任</w:t>
            </w:r>
          </w:p>
        </w:tc>
        <w:tc>
          <w:tcPr>
            <w:tcW w:w="971" w:type="dxa"/>
            <w:noWrap w:val="0"/>
            <w:vAlign w:val="center"/>
          </w:tcPr>
          <w:p w14:paraId="26DFBF32">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028" w:type="dxa"/>
            <w:noWrap w:val="0"/>
            <w:vAlign w:val="center"/>
          </w:tcPr>
          <w:p w14:paraId="13A84463">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rPr>
            </w:pPr>
          </w:p>
        </w:tc>
      </w:tr>
      <w:tr w14:paraId="6C11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10104" w:type="dxa"/>
            <w:gridSpan w:val="5"/>
            <w:noWrap w:val="0"/>
            <w:vAlign w:val="top"/>
          </w:tcPr>
          <w:p w14:paraId="53FBFF25">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以上所有人员一律不允许外聘，总监理工程师、</w:t>
            </w:r>
            <w:r>
              <w:rPr>
                <w:rFonts w:hint="eastAsia" w:hAnsi="宋体" w:cs="宋体"/>
                <w:color w:val="auto"/>
                <w:kern w:val="0"/>
                <w:szCs w:val="21"/>
                <w:highlight w:val="none"/>
                <w:lang w:val="en-US" w:eastAsia="zh-CN"/>
              </w:rPr>
              <w:t>总监理工程师代表、</w:t>
            </w:r>
            <w:r>
              <w:rPr>
                <w:rFonts w:hint="eastAsia" w:ascii="宋体" w:hAnsi="宋体" w:eastAsia="宋体" w:cs="宋体"/>
                <w:color w:val="auto"/>
                <w:kern w:val="0"/>
                <w:szCs w:val="21"/>
                <w:highlight w:val="none"/>
              </w:rPr>
              <w:t>专业监理工程师注册单位名称必须与投标单位名称一致。</w:t>
            </w:r>
          </w:p>
          <w:p w14:paraId="07904981">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中标后人员配备</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满足上述文件要求，</w:t>
            </w:r>
            <w:r>
              <w:rPr>
                <w:rFonts w:hint="eastAsia" w:hAnsi="宋体" w:cs="宋体"/>
                <w:color w:val="auto"/>
                <w:kern w:val="0"/>
                <w:szCs w:val="21"/>
                <w:highlight w:val="none"/>
                <w:lang w:eastAsia="zh-CN"/>
              </w:rPr>
              <w:t>否则提请建设行政主管部门和招投标监督管理部门进行处罚</w:t>
            </w:r>
            <w:r>
              <w:rPr>
                <w:rFonts w:hint="eastAsia" w:ascii="宋体" w:hAnsi="宋体" w:eastAsia="宋体" w:cs="宋体"/>
                <w:color w:val="auto"/>
                <w:kern w:val="0"/>
                <w:szCs w:val="21"/>
                <w:highlight w:val="none"/>
              </w:rPr>
              <w:t>。</w:t>
            </w:r>
          </w:p>
          <w:p w14:paraId="28C167ED">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3</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招标阶段除</w:t>
            </w:r>
            <w:r>
              <w:rPr>
                <w:rFonts w:hint="eastAsia" w:ascii="宋体" w:hAnsi="宋体" w:eastAsia="宋体" w:cs="宋体"/>
                <w:color w:val="auto"/>
                <w:kern w:val="0"/>
                <w:szCs w:val="21"/>
                <w:highlight w:val="none"/>
                <w:lang w:val="en-US" w:eastAsia="zh-CN"/>
              </w:rPr>
              <w:t>项目负责人（总监理工程师）</w:t>
            </w:r>
            <w:r>
              <w:rPr>
                <w:rFonts w:hint="eastAsia" w:hAnsi="宋体" w:cs="宋体"/>
                <w:color w:val="auto"/>
                <w:kern w:val="0"/>
                <w:szCs w:val="21"/>
                <w:highlight w:val="none"/>
                <w:lang w:val="en-US" w:eastAsia="zh-CN"/>
              </w:rPr>
              <w:t>、总监理工程师代表及</w:t>
            </w:r>
            <w:r>
              <w:rPr>
                <w:rFonts w:hint="eastAsia" w:ascii="宋体" w:hAnsi="宋体" w:eastAsia="宋体" w:cs="宋体"/>
                <w:color w:val="auto"/>
                <w:kern w:val="0"/>
                <w:szCs w:val="21"/>
                <w:highlight w:val="none"/>
                <w:lang w:val="en-US" w:eastAsia="zh-CN"/>
              </w:rPr>
              <w:t>专业监理工程师外，其余人员无需提供相关证书。</w:t>
            </w:r>
          </w:p>
        </w:tc>
      </w:tr>
      <w:tr w14:paraId="13D0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104" w:type="dxa"/>
            <w:gridSpan w:val="5"/>
            <w:noWrap w:val="0"/>
            <w:vAlign w:val="top"/>
          </w:tcPr>
          <w:p w14:paraId="709523CE">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color w:val="auto"/>
                <w:highlight w:val="none"/>
              </w:rPr>
            </w:pPr>
            <w:r>
              <w:rPr>
                <w:rFonts w:hint="eastAsia"/>
                <w:color w:val="auto"/>
                <w:highlight w:val="none"/>
              </w:rPr>
              <w:t>备注：</w:t>
            </w:r>
          </w:p>
          <w:p w14:paraId="5A9A196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拟组建的监理部人员年龄均不得超过60 周岁，其中项目负责人（总监理工程师）的国家注册监理工程师证书在投标单位注册且在有效期内的可延至65周岁。监理部人员中须配备见证员1人（可兼任），具有上岗证书即可。监理部人员中</w:t>
            </w:r>
            <w:r>
              <w:rPr>
                <w:rFonts w:hint="eastAsia"/>
                <w:color w:val="auto"/>
                <w:highlight w:val="none"/>
                <w:lang w:val="en-US" w:eastAsia="zh-CN"/>
              </w:rPr>
              <w:t>须</w:t>
            </w:r>
            <w:r>
              <w:rPr>
                <w:rFonts w:hint="eastAsia"/>
                <w:color w:val="auto"/>
                <w:highlight w:val="none"/>
              </w:rPr>
              <w:t>配备相关专职协调监理人员配合业主代表开展约定要求的基建手续等工作，可由专业工程师兼职。</w:t>
            </w:r>
          </w:p>
          <w:p w14:paraId="611CAF9A">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lang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专业监理工程师的专业以注册专业（或学历专业或职称专业）为准，以学历专业（或职称专业）证明其专业的，除</w:t>
            </w:r>
            <w:r>
              <w:rPr>
                <w:rFonts w:hint="eastAsia"/>
                <w:color w:val="auto"/>
                <w:highlight w:val="none"/>
                <w:lang w:val="en-US" w:eastAsia="zh-CN"/>
              </w:rPr>
              <w:t>须</w:t>
            </w:r>
            <w:r>
              <w:rPr>
                <w:rFonts w:hint="eastAsia"/>
                <w:color w:val="auto"/>
                <w:highlight w:val="none"/>
              </w:rPr>
              <w:t>提供专业监理工程师证书外，还</w:t>
            </w:r>
            <w:r>
              <w:rPr>
                <w:rFonts w:hint="eastAsia"/>
                <w:color w:val="auto"/>
                <w:highlight w:val="none"/>
                <w:lang w:val="en-US" w:eastAsia="zh-CN"/>
              </w:rPr>
              <w:t>须</w:t>
            </w:r>
            <w:r>
              <w:rPr>
                <w:rFonts w:hint="eastAsia"/>
                <w:color w:val="auto"/>
                <w:highlight w:val="none"/>
              </w:rPr>
              <w:t>提供学历证书（或职称证书）。专业监理工程师可以采用国家级注册</w:t>
            </w:r>
            <w:r>
              <w:rPr>
                <w:rFonts w:hint="eastAsia" w:ascii="Times New Roman" w:hAnsi="Times New Roman" w:eastAsia="宋体" w:cs="Times New Roman"/>
                <w:color w:val="auto"/>
                <w:highlight w:val="none"/>
              </w:rPr>
              <w:t>监理工程师代替，但其专业应满足上述要求</w:t>
            </w:r>
            <w:r>
              <w:rPr>
                <w:rFonts w:hint="eastAsia" w:ascii="Times New Roman" w:hAnsi="Times New Roman" w:eastAsia="宋体" w:cs="Times New Roman"/>
                <w:color w:val="auto"/>
                <w:highlight w:val="none"/>
                <w:lang w:eastAsia="zh-CN"/>
              </w:rPr>
              <w:t>。</w:t>
            </w:r>
          </w:p>
          <w:p w14:paraId="3D900339">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cs="Times New Roman"/>
                <w:color w:val="auto"/>
                <w:highlight w:val="none"/>
                <w:lang w:val="en-US" w:eastAsia="zh-CN"/>
              </w:rPr>
              <w:t>.</w:t>
            </w:r>
            <w:r>
              <w:rPr>
                <w:rFonts w:hint="eastAsia" w:ascii="Times New Roman" w:hAnsi="Times New Roman" w:eastAsia="宋体" w:cs="Times New Roman"/>
                <w:color w:val="auto"/>
                <w:highlight w:val="none"/>
              </w:rPr>
              <w:t xml:space="preserve">项目监理部其他人员由监理单位根据工作需要，自行考虑安排。中标单位进驻现场后，业主可根据施工现场情况增加或调整人员数量和相关专业，现场监理人员不得随意更换或减少。 </w:t>
            </w:r>
          </w:p>
          <w:p w14:paraId="6D532C09">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cs="Times New Roman"/>
                <w:color w:val="auto"/>
                <w:highlight w:val="none"/>
                <w:lang w:val="en-US" w:eastAsia="zh-CN"/>
              </w:rPr>
              <w:t>.</w:t>
            </w:r>
            <w:r>
              <w:rPr>
                <w:rFonts w:hint="eastAsia" w:ascii="Times New Roman" w:hAnsi="Times New Roman" w:eastAsia="宋体" w:cs="Times New Roman"/>
                <w:color w:val="auto"/>
                <w:highlight w:val="none"/>
              </w:rPr>
              <w:t>现场监理人员的在建项目数量除须满足招标文件规定外，还须满足国家、安徽省、滁州市的相关规定和要求。</w:t>
            </w:r>
          </w:p>
          <w:p w14:paraId="475C55BB">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color w:val="auto"/>
                <w:highlight w:val="none"/>
              </w:rPr>
            </w:pPr>
            <w:r>
              <w:rPr>
                <w:rFonts w:hint="eastAsia" w:ascii="Times New Roman" w:hAnsi="Times New Roman" w:eastAsia="宋体" w:cs="Times New Roman"/>
                <w:color w:val="auto"/>
                <w:highlight w:val="none"/>
                <w:shd w:val="clear" w:color="auto" w:fill="auto"/>
              </w:rPr>
              <w:t>5</w:t>
            </w:r>
            <w:r>
              <w:rPr>
                <w:rFonts w:hint="eastAsia" w:cs="Times New Roman"/>
                <w:color w:val="auto"/>
                <w:highlight w:val="none"/>
                <w:shd w:val="clear" w:color="auto" w:fill="auto"/>
                <w:lang w:val="en-US" w:eastAsia="zh-CN"/>
              </w:rPr>
              <w:t>.</w:t>
            </w:r>
            <w:r>
              <w:rPr>
                <w:rFonts w:hint="eastAsia" w:ascii="Times New Roman" w:hAnsi="Times New Roman" w:eastAsia="宋体" w:cs="Times New Roman"/>
                <w:color w:val="auto"/>
                <w:highlight w:val="none"/>
                <w:shd w:val="clear" w:color="auto" w:fill="auto"/>
              </w:rPr>
              <w:t>本项目要求监理公司需对施工行为进行100%的7*24小时安全旁站监管，因此，监理公司应在严格遵守劳动法的基础上对安全团队人力资源进行合理地调配。安全监理人员必须专职并常驻现场，在本合同约定监理服务期间，不得兼任其他项目监理机构及其他公司项目监理机构的任何职务。</w:t>
            </w:r>
          </w:p>
        </w:tc>
      </w:tr>
    </w:tbl>
    <w:p w14:paraId="135B8B8B">
      <w:pPr>
        <w:rPr>
          <w:color w:val="auto"/>
          <w:highlight w:val="none"/>
        </w:rPr>
      </w:pPr>
      <w:r>
        <w:rPr>
          <w:color w:val="auto"/>
          <w:highlight w:val="none"/>
        </w:rPr>
        <w:br w:type="page"/>
      </w:r>
    </w:p>
    <w:p w14:paraId="76C3DFE2">
      <w:pPr>
        <w:rPr>
          <w:color w:val="auto"/>
          <w:highlight w:val="none"/>
        </w:rPr>
      </w:pPr>
    </w:p>
    <w:p w14:paraId="170A427C">
      <w:pPr>
        <w:pStyle w:val="43"/>
        <w:spacing w:beforeLines="50" w:afterLines="50" w:line="440" w:lineRule="exact"/>
        <w:rPr>
          <w:bCs/>
          <w:color w:val="auto"/>
          <w:szCs w:val="32"/>
          <w:highlight w:val="none"/>
        </w:rPr>
      </w:pPr>
      <w:bookmarkStart w:id="773" w:name="_Toc152045786"/>
      <w:bookmarkStart w:id="774" w:name="_Toc247085872"/>
      <w:bookmarkStart w:id="775" w:name="_Toc246997097"/>
      <w:bookmarkStart w:id="776" w:name="_Toc15058934"/>
      <w:bookmarkStart w:id="777" w:name="_Toc506107340"/>
      <w:bookmarkStart w:id="778" w:name="_Toc35425136"/>
      <w:bookmarkStart w:id="779" w:name="_Toc152042575"/>
      <w:bookmarkStart w:id="780" w:name="_Toc35424970"/>
      <w:bookmarkStart w:id="781" w:name="_Toc144974855"/>
      <w:bookmarkStart w:id="782" w:name="_Toc324404888"/>
      <w:bookmarkStart w:id="783" w:name="_Toc246996354"/>
      <w:bookmarkStart w:id="784" w:name="_Toc179632806"/>
      <w:bookmarkStart w:id="785" w:name="_Toc16786"/>
      <w:r>
        <w:rPr>
          <w:rFonts w:hint="eastAsia"/>
          <w:bCs/>
          <w:color w:val="auto"/>
          <w:szCs w:val="32"/>
          <w:highlight w:val="none"/>
        </w:rPr>
        <w:t>第</w:t>
      </w:r>
      <w:r>
        <w:rPr>
          <w:rFonts w:hint="eastAsia"/>
          <w:bCs/>
          <w:color w:val="auto"/>
          <w:szCs w:val="32"/>
          <w:highlight w:val="none"/>
          <w:lang w:val="en-US" w:eastAsia="zh-CN"/>
        </w:rPr>
        <w:t>六</w:t>
      </w:r>
      <w:r>
        <w:rPr>
          <w:rFonts w:hint="eastAsia"/>
          <w:bCs/>
          <w:color w:val="auto"/>
          <w:szCs w:val="32"/>
          <w:highlight w:val="none"/>
        </w:rPr>
        <w:t>章</w:t>
      </w:r>
      <w:r>
        <w:rPr>
          <w:bCs/>
          <w:color w:val="auto"/>
          <w:szCs w:val="32"/>
          <w:highlight w:val="none"/>
        </w:rPr>
        <w:t xml:space="preserve">   </w:t>
      </w:r>
      <w:r>
        <w:rPr>
          <w:rFonts w:hint="eastAsia"/>
          <w:bCs/>
          <w:color w:val="auto"/>
          <w:szCs w:val="32"/>
          <w:highlight w:val="none"/>
        </w:rPr>
        <w:t>投标文件格式</w:t>
      </w:r>
      <w:bookmarkEnd w:id="773"/>
      <w:bookmarkEnd w:id="774"/>
      <w:bookmarkEnd w:id="775"/>
      <w:bookmarkEnd w:id="776"/>
      <w:bookmarkEnd w:id="777"/>
      <w:bookmarkEnd w:id="778"/>
      <w:bookmarkEnd w:id="779"/>
      <w:bookmarkEnd w:id="780"/>
      <w:bookmarkEnd w:id="781"/>
      <w:bookmarkEnd w:id="782"/>
      <w:bookmarkEnd w:id="783"/>
      <w:bookmarkEnd w:id="784"/>
      <w:bookmarkEnd w:id="785"/>
    </w:p>
    <w:p w14:paraId="3B995F9E">
      <w:pPr>
        <w:rPr>
          <w:color w:val="auto"/>
          <w:highlight w:val="none"/>
        </w:rPr>
      </w:pPr>
    </w:p>
    <w:p w14:paraId="2C32805E">
      <w:pPr>
        <w:rPr>
          <w:color w:val="auto"/>
          <w:highlight w:val="none"/>
        </w:rPr>
      </w:pPr>
    </w:p>
    <w:p w14:paraId="30C3D827">
      <w:pPr>
        <w:rPr>
          <w:color w:val="auto"/>
          <w:highlight w:val="none"/>
        </w:rPr>
      </w:pPr>
    </w:p>
    <w:p w14:paraId="277DE7FF">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19E74ED6">
      <w:pPr>
        <w:jc w:val="center"/>
        <w:rPr>
          <w:rFonts w:eastAsia="黑体"/>
          <w:color w:val="auto"/>
          <w:sz w:val="20"/>
          <w:szCs w:val="20"/>
          <w:highlight w:val="none"/>
        </w:rPr>
      </w:pPr>
    </w:p>
    <w:p w14:paraId="5CD5A9BE">
      <w:pPr>
        <w:jc w:val="center"/>
        <w:rPr>
          <w:rFonts w:eastAsia="黑体"/>
          <w:color w:val="auto"/>
          <w:sz w:val="20"/>
          <w:szCs w:val="20"/>
          <w:highlight w:val="none"/>
        </w:rPr>
      </w:pPr>
    </w:p>
    <w:p w14:paraId="5F6D5DEA">
      <w:pPr>
        <w:jc w:val="center"/>
        <w:rPr>
          <w:rFonts w:eastAsia="黑体"/>
          <w:color w:val="auto"/>
          <w:sz w:val="20"/>
          <w:szCs w:val="20"/>
          <w:highlight w:val="none"/>
        </w:rPr>
      </w:pPr>
    </w:p>
    <w:p w14:paraId="43C2DDAE">
      <w:pPr>
        <w:rPr>
          <w:rFonts w:eastAsia="黑体"/>
          <w:color w:val="auto"/>
          <w:sz w:val="20"/>
          <w:szCs w:val="20"/>
          <w:highlight w:val="none"/>
        </w:rPr>
      </w:pPr>
    </w:p>
    <w:p w14:paraId="3F974AD3">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一</w:t>
      </w:r>
    </w:p>
    <w:p w14:paraId="72F03B19">
      <w:pPr>
        <w:jc w:val="center"/>
        <w:rPr>
          <w:rFonts w:eastAsia="黑体"/>
          <w:color w:val="auto"/>
          <w:sz w:val="44"/>
          <w:szCs w:val="44"/>
          <w:highlight w:val="none"/>
        </w:rPr>
      </w:pPr>
      <w:r>
        <w:rPr>
          <w:rFonts w:hint="eastAsia" w:eastAsia="黑体"/>
          <w:color w:val="auto"/>
          <w:sz w:val="44"/>
          <w:szCs w:val="44"/>
          <w:highlight w:val="none"/>
        </w:rPr>
        <w:t>（资信证明文件）</w:t>
      </w:r>
    </w:p>
    <w:p w14:paraId="788CD3D9">
      <w:pPr>
        <w:rPr>
          <w:rFonts w:eastAsia="黑体"/>
          <w:color w:val="auto"/>
          <w:sz w:val="28"/>
          <w:szCs w:val="28"/>
          <w:highlight w:val="none"/>
        </w:rPr>
      </w:pPr>
    </w:p>
    <w:p w14:paraId="4AE0AAD5">
      <w:pPr>
        <w:rPr>
          <w:rFonts w:eastAsia="黑体"/>
          <w:color w:val="auto"/>
          <w:sz w:val="28"/>
          <w:szCs w:val="28"/>
          <w:highlight w:val="none"/>
        </w:rPr>
      </w:pPr>
    </w:p>
    <w:p w14:paraId="2413A63E">
      <w:pPr>
        <w:rPr>
          <w:rFonts w:eastAsia="黑体"/>
          <w:color w:val="auto"/>
          <w:sz w:val="28"/>
          <w:szCs w:val="28"/>
          <w:highlight w:val="none"/>
        </w:rPr>
      </w:pPr>
    </w:p>
    <w:p w14:paraId="310E60FC">
      <w:pPr>
        <w:rPr>
          <w:rFonts w:eastAsia="黑体"/>
          <w:color w:val="auto"/>
          <w:sz w:val="28"/>
          <w:szCs w:val="28"/>
          <w:highlight w:val="none"/>
        </w:rPr>
      </w:pPr>
    </w:p>
    <w:p w14:paraId="657F689E">
      <w:pPr>
        <w:pStyle w:val="45"/>
        <w:ind w:left="31680" w:firstLine="31680"/>
        <w:rPr>
          <w:rFonts w:ascii="Times New Roman"/>
          <w:color w:val="auto"/>
          <w:szCs w:val="24"/>
          <w:highlight w:val="none"/>
        </w:rPr>
      </w:pPr>
    </w:p>
    <w:p w14:paraId="6BF19A08">
      <w:pPr>
        <w:rPr>
          <w:color w:val="auto"/>
          <w:highlight w:val="none"/>
        </w:rPr>
      </w:pPr>
    </w:p>
    <w:p w14:paraId="59621814">
      <w:pPr>
        <w:pStyle w:val="45"/>
        <w:ind w:left="31680" w:firstLine="31680"/>
        <w:rPr>
          <w:color w:val="auto"/>
          <w:highlight w:val="none"/>
        </w:rPr>
      </w:pPr>
    </w:p>
    <w:p w14:paraId="6EF7C883">
      <w:pPr>
        <w:rPr>
          <w:color w:val="auto"/>
          <w:highlight w:val="none"/>
        </w:rPr>
      </w:pPr>
    </w:p>
    <w:p w14:paraId="0703949E">
      <w:pPr>
        <w:pStyle w:val="45"/>
        <w:rPr>
          <w:color w:val="auto"/>
          <w:highlight w:val="none"/>
        </w:rPr>
      </w:pPr>
    </w:p>
    <w:p w14:paraId="131B72E5">
      <w:pPr>
        <w:rPr>
          <w:rFonts w:eastAsia="黑体"/>
          <w:color w:val="auto"/>
          <w:sz w:val="28"/>
          <w:szCs w:val="28"/>
          <w:highlight w:val="none"/>
        </w:rPr>
      </w:pPr>
    </w:p>
    <w:p w14:paraId="2DDCAC00">
      <w:pPr>
        <w:pStyle w:val="45"/>
        <w:ind w:left="31680" w:firstLine="31680"/>
        <w:rPr>
          <w:color w:val="auto"/>
          <w:highlight w:val="none"/>
        </w:rPr>
      </w:pPr>
    </w:p>
    <w:p w14:paraId="0C9E1161">
      <w:pPr>
        <w:rPr>
          <w:rFonts w:eastAsia="黑体"/>
          <w:color w:val="auto"/>
          <w:sz w:val="28"/>
          <w:szCs w:val="28"/>
          <w:highlight w:val="none"/>
        </w:rPr>
      </w:pPr>
    </w:p>
    <w:p w14:paraId="78B9EB67">
      <w:pPr>
        <w:rPr>
          <w:rFonts w:eastAsia="黑体"/>
          <w:color w:val="auto"/>
          <w:sz w:val="28"/>
          <w:szCs w:val="28"/>
          <w:highlight w:val="none"/>
        </w:rPr>
      </w:pPr>
    </w:p>
    <w:p w14:paraId="03B7708C">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8556507">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3E5CDAFA">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3F7A7804">
      <w:pPr>
        <w:rPr>
          <w:color w:val="auto"/>
          <w:highlight w:val="none"/>
        </w:rPr>
      </w:pPr>
      <w:bookmarkStart w:id="786" w:name="_Toc35424971"/>
      <w:bookmarkStart w:id="787" w:name="_Toc12683"/>
      <w:bookmarkStart w:id="788" w:name="_Toc35425137"/>
    </w:p>
    <w:p w14:paraId="4F938CB8">
      <w:pPr>
        <w:pStyle w:val="45"/>
        <w:ind w:left="0" w:leftChars="0" w:firstLine="0" w:firstLineChars="0"/>
        <w:rPr>
          <w:color w:val="auto"/>
          <w:highlight w:val="none"/>
        </w:rPr>
      </w:pPr>
    </w:p>
    <w:p w14:paraId="0222B418">
      <w:pPr>
        <w:spacing w:beforeLines="50" w:afterLines="50" w:line="440" w:lineRule="exact"/>
        <w:ind w:firstLine="643" w:firstLineChars="200"/>
        <w:jc w:val="left"/>
        <w:rPr>
          <w:rFonts w:ascii="宋体" w:cs="宋体"/>
          <w:b/>
          <w:color w:val="auto"/>
          <w:sz w:val="28"/>
          <w:szCs w:val="28"/>
          <w:highlight w:val="none"/>
        </w:rPr>
      </w:pPr>
      <w:r>
        <w:rPr>
          <w:rStyle w:val="65"/>
          <w:rFonts w:hint="eastAsia" w:ascii="宋体" w:hAnsi="宋体" w:cs="宋体"/>
          <w:bCs/>
          <w:color w:val="auto"/>
          <w:sz w:val="32"/>
          <w:szCs w:val="44"/>
          <w:highlight w:val="none"/>
        </w:rPr>
        <w:t>投标文件一</w:t>
      </w:r>
      <w:bookmarkEnd w:id="786"/>
      <w:bookmarkEnd w:id="787"/>
      <w:bookmarkEnd w:id="788"/>
      <w:r>
        <w:rPr>
          <w:rFonts w:hint="eastAsia" w:ascii="宋体" w:hAnsi="宋体" w:cs="宋体"/>
          <w:b/>
          <w:color w:val="auto"/>
          <w:sz w:val="28"/>
          <w:szCs w:val="28"/>
          <w:highlight w:val="none"/>
        </w:rPr>
        <w:t>：资信证明文件目录</w:t>
      </w:r>
    </w:p>
    <w:p w14:paraId="69F88C6C">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1AFEBC5E">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7B723439">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00CA187E">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1C28CEFB">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4A3A381F">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color w:val="auto"/>
          <w:szCs w:val="21"/>
          <w:highlight w:val="none"/>
          <w:lang w:val="en-US" w:eastAsia="zh-CN"/>
        </w:rPr>
        <w:t>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119526C2">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133FCC38">
      <w:pPr>
        <w:spacing w:line="44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（8）拟派总监情况一览表（格式见附件）；</w:t>
      </w:r>
    </w:p>
    <w:p w14:paraId="66BC3353">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szCs w:val="21"/>
          <w:highlight w:val="none"/>
          <w:lang w:val="en-US" w:eastAsia="zh-CN"/>
        </w:rPr>
        <w:t>监理机构人员名单（格式自拟）；</w:t>
      </w:r>
    </w:p>
    <w:p w14:paraId="79CA97CF">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10）总监理工程师代表及专业监理工程师证书。</w:t>
      </w:r>
    </w:p>
    <w:p w14:paraId="17D63B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）评分细则中需要提供的所有证明材料；</w:t>
      </w:r>
    </w:p>
    <w:p w14:paraId="6751A0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）投标人认为需要的其它证明材料。</w:t>
      </w:r>
    </w:p>
    <w:p w14:paraId="167B1711">
      <w:pPr>
        <w:spacing w:line="440" w:lineRule="exact"/>
        <w:ind w:firstLine="420" w:firstLineChars="200"/>
        <w:jc w:val="left"/>
        <w:rPr>
          <w:rFonts w:ascii="宋体" w:cs="宋体"/>
          <w:color w:val="auto"/>
          <w:highlight w:val="none"/>
        </w:rPr>
      </w:pPr>
    </w:p>
    <w:p w14:paraId="156C978A">
      <w:pPr>
        <w:spacing w:line="440" w:lineRule="exact"/>
        <w:ind w:left="420" w:leftChars="200" w:firstLine="0" w:firstLineChars="0"/>
        <w:jc w:val="left"/>
        <w:rPr>
          <w:rFonts w:hint="default" w:ascii="宋体" w:eastAsia="宋体" w:cs="宋体"/>
          <w:color w:val="auto"/>
          <w:highlight w:val="none"/>
          <w:lang w:val="en-US" w:eastAsia="zh-CN"/>
        </w:rPr>
      </w:pPr>
      <w:r>
        <w:rPr>
          <w:rFonts w:hint="eastAsia" w:ascii="宋体" w:hAnsi="宋体" w:cs="宋体"/>
          <w:color w:val="auto"/>
          <w:highlight w:val="none"/>
        </w:rPr>
        <w:br w:type="textWrapping"/>
      </w:r>
    </w:p>
    <w:p w14:paraId="0B744776">
      <w:pPr>
        <w:rPr>
          <w:b/>
          <w:color w:val="auto"/>
          <w:sz w:val="28"/>
          <w:szCs w:val="28"/>
          <w:highlight w:val="none"/>
        </w:rPr>
      </w:pPr>
    </w:p>
    <w:p w14:paraId="279C7F2C">
      <w:pPr>
        <w:pStyle w:val="45"/>
        <w:ind w:left="31680" w:firstLine="31680"/>
        <w:rPr>
          <w:b/>
          <w:color w:val="auto"/>
          <w:sz w:val="28"/>
          <w:szCs w:val="28"/>
          <w:highlight w:val="none"/>
        </w:rPr>
      </w:pPr>
    </w:p>
    <w:p w14:paraId="3AB55A4C">
      <w:pPr>
        <w:pStyle w:val="31"/>
        <w:rPr>
          <w:b/>
          <w:color w:val="auto"/>
          <w:sz w:val="28"/>
          <w:szCs w:val="28"/>
          <w:highlight w:val="none"/>
        </w:rPr>
      </w:pPr>
    </w:p>
    <w:p w14:paraId="448E3E2B">
      <w:pPr>
        <w:rPr>
          <w:rFonts w:hint="eastAsia"/>
          <w:color w:val="auto"/>
          <w:highlight w:val="none"/>
        </w:rPr>
      </w:pPr>
      <w:r>
        <w:rPr>
          <w:rFonts w:hint="eastAsia"/>
          <w:b/>
          <w:color w:val="auto"/>
          <w:sz w:val="28"/>
          <w:szCs w:val="28"/>
          <w:highlight w:val="none"/>
        </w:rPr>
        <w:br w:type="page"/>
      </w:r>
    </w:p>
    <w:p w14:paraId="2C482BB4">
      <w:pPr>
        <w:spacing w:line="360" w:lineRule="auto"/>
        <w:jc w:val="center"/>
        <w:rPr>
          <w:rFonts w:ascii="宋体"/>
          <w:b/>
          <w:color w:val="auto"/>
          <w:sz w:val="28"/>
          <w:szCs w:val="28"/>
          <w:highlight w:val="none"/>
        </w:rPr>
      </w:pPr>
      <w:r>
        <w:rPr>
          <w:rFonts w:hint="eastAsia"/>
          <w:b/>
          <w:color w:val="auto"/>
          <w:sz w:val="28"/>
          <w:szCs w:val="28"/>
          <w:highlight w:val="none"/>
        </w:rPr>
        <w:t>（</w:t>
      </w:r>
      <w:r>
        <w:rPr>
          <w:b/>
          <w:color w:val="auto"/>
          <w:sz w:val="28"/>
          <w:szCs w:val="28"/>
          <w:highlight w:val="none"/>
        </w:rPr>
        <w:t>1</w:t>
      </w:r>
      <w:r>
        <w:rPr>
          <w:rFonts w:hint="eastAsia"/>
          <w:b/>
          <w:color w:val="auto"/>
          <w:sz w:val="28"/>
          <w:szCs w:val="28"/>
          <w:highlight w:val="none"/>
        </w:rPr>
        <w:t>）法定代表人身份证明或授权委托书</w:t>
      </w:r>
    </w:p>
    <w:p w14:paraId="3931E556">
      <w:pPr>
        <w:pStyle w:val="101"/>
        <w:spacing w:beforeLines="100" w:afterLines="100" w:line="360" w:lineRule="auto"/>
        <w:rPr>
          <w:rFonts w:ascii="宋体"/>
          <w:b/>
          <w:color w:val="auto"/>
          <w:sz w:val="24"/>
          <w:szCs w:val="24"/>
          <w:highlight w:val="none"/>
        </w:rPr>
      </w:pPr>
      <w:bookmarkStart w:id="789" w:name="_Toc506107356"/>
      <w:bookmarkStart w:id="790" w:name="_Toc503196197"/>
      <w:bookmarkStart w:id="791" w:name="_Toc26598"/>
      <w:r>
        <w:rPr>
          <w:rFonts w:ascii="宋体"/>
          <w:color w:val="auto"/>
          <w:sz w:val="24"/>
          <w:szCs w:val="24"/>
          <w:highlight w:val="none"/>
        </w:rPr>
        <w:t>1</w:t>
      </w:r>
      <w:r>
        <w:rPr>
          <w:rFonts w:hint="eastAsia" w:ascii="宋体"/>
          <w:color w:val="auto"/>
          <w:sz w:val="24"/>
          <w:szCs w:val="24"/>
          <w:highlight w:val="none"/>
        </w:rPr>
        <w:t>、法定代表人身份证明</w:t>
      </w:r>
    </w:p>
    <w:p w14:paraId="4D23DA99">
      <w:pPr>
        <w:spacing w:line="360" w:lineRule="auto"/>
        <w:rPr>
          <w:rFonts w:ascii="宋体"/>
          <w:color w:val="auto"/>
          <w:sz w:val="24"/>
          <w:highlight w:val="none"/>
        </w:rPr>
      </w:pPr>
      <w:r>
        <w:rPr>
          <w:rFonts w:hint="eastAsia" w:ascii="宋体"/>
          <w:color w:val="auto"/>
          <w:sz w:val="24"/>
          <w:highlight w:val="none"/>
        </w:rPr>
        <w:t>投标人名称：</w:t>
      </w:r>
      <w:r>
        <w:rPr>
          <w:rFonts w:ascii="宋体"/>
          <w:color w:val="auto"/>
          <w:sz w:val="24"/>
          <w:highlight w:val="none"/>
          <w:u w:val="single"/>
        </w:rPr>
        <w:t xml:space="preserve">                                </w:t>
      </w:r>
      <w:r>
        <w:rPr>
          <w:rFonts w:ascii="宋体"/>
          <w:color w:val="auto"/>
          <w:sz w:val="24"/>
          <w:highlight w:val="none"/>
        </w:rPr>
        <w:t xml:space="preserve"> </w:t>
      </w:r>
    </w:p>
    <w:p w14:paraId="751A11CB">
      <w:pPr>
        <w:spacing w:line="360" w:lineRule="auto"/>
        <w:rPr>
          <w:rFonts w:ascii="宋体"/>
          <w:color w:val="auto"/>
          <w:sz w:val="24"/>
          <w:highlight w:val="none"/>
        </w:rPr>
      </w:pPr>
      <w:r>
        <w:rPr>
          <w:rFonts w:hint="eastAsia" w:ascii="宋体"/>
          <w:color w:val="auto"/>
          <w:sz w:val="24"/>
          <w:highlight w:val="none"/>
        </w:rPr>
        <w:t>单位性质：</w:t>
      </w:r>
      <w:r>
        <w:rPr>
          <w:rFonts w:ascii="宋体"/>
          <w:color w:val="auto"/>
          <w:sz w:val="24"/>
          <w:highlight w:val="none"/>
        </w:rPr>
        <w:t xml:space="preserve"> </w:t>
      </w:r>
      <w:r>
        <w:rPr>
          <w:rFonts w:ascii="宋体"/>
          <w:color w:val="auto"/>
          <w:sz w:val="24"/>
          <w:highlight w:val="none"/>
          <w:u w:val="single"/>
        </w:rPr>
        <w:t xml:space="preserve">                                  </w:t>
      </w:r>
      <w:r>
        <w:rPr>
          <w:rFonts w:ascii="宋体"/>
          <w:color w:val="auto"/>
          <w:sz w:val="24"/>
          <w:highlight w:val="none"/>
        </w:rPr>
        <w:t xml:space="preserve"> </w:t>
      </w:r>
    </w:p>
    <w:p w14:paraId="2BC65ACE">
      <w:pPr>
        <w:spacing w:line="360" w:lineRule="auto"/>
        <w:rPr>
          <w:rFonts w:ascii="宋体"/>
          <w:color w:val="auto"/>
          <w:sz w:val="24"/>
          <w:highlight w:val="none"/>
        </w:rPr>
      </w:pPr>
      <w:r>
        <w:rPr>
          <w:rFonts w:hint="eastAsia" w:ascii="宋体"/>
          <w:color w:val="auto"/>
          <w:sz w:val="24"/>
          <w:highlight w:val="none"/>
        </w:rPr>
        <w:t>地</w:t>
      </w:r>
      <w:r>
        <w:rPr>
          <w:rFonts w:ascii="宋体"/>
          <w:color w:val="auto"/>
          <w:sz w:val="24"/>
          <w:highlight w:val="none"/>
        </w:rPr>
        <w:t xml:space="preserve">    </w:t>
      </w:r>
      <w:r>
        <w:rPr>
          <w:rFonts w:hint="eastAsia" w:ascii="宋体"/>
          <w:color w:val="auto"/>
          <w:sz w:val="24"/>
          <w:highlight w:val="none"/>
        </w:rPr>
        <w:t>址：</w:t>
      </w:r>
      <w:r>
        <w:rPr>
          <w:rFonts w:ascii="宋体"/>
          <w:color w:val="auto"/>
          <w:sz w:val="24"/>
          <w:highlight w:val="none"/>
          <w:u w:val="single"/>
        </w:rPr>
        <w:t xml:space="preserve">                                   </w:t>
      </w:r>
      <w:r>
        <w:rPr>
          <w:rFonts w:ascii="宋体"/>
          <w:color w:val="auto"/>
          <w:sz w:val="24"/>
          <w:highlight w:val="none"/>
        </w:rPr>
        <w:t xml:space="preserve"> </w:t>
      </w:r>
    </w:p>
    <w:p w14:paraId="0E037344">
      <w:pPr>
        <w:spacing w:line="360" w:lineRule="auto"/>
        <w:rPr>
          <w:rFonts w:ascii="宋体"/>
          <w:color w:val="auto"/>
          <w:sz w:val="24"/>
          <w:highlight w:val="none"/>
        </w:rPr>
      </w:pPr>
      <w:r>
        <w:rPr>
          <w:rFonts w:hint="eastAsia" w:ascii="宋体"/>
          <w:color w:val="auto"/>
          <w:sz w:val="24"/>
          <w:highlight w:val="none"/>
        </w:rPr>
        <w:t>成立时间：</w:t>
      </w:r>
      <w:r>
        <w:rPr>
          <w:rFonts w:ascii="宋体"/>
          <w:color w:val="auto"/>
          <w:sz w:val="24"/>
          <w:highlight w:val="none"/>
          <w:u w:val="single"/>
        </w:rPr>
        <w:t xml:space="preserve">        </w:t>
      </w:r>
      <w:r>
        <w:rPr>
          <w:rFonts w:hint="eastAsia" w:ascii="宋体"/>
          <w:color w:val="auto"/>
          <w:sz w:val="24"/>
          <w:highlight w:val="none"/>
        </w:rPr>
        <w:t>年</w:t>
      </w:r>
      <w:r>
        <w:rPr>
          <w:rFonts w:ascii="宋体"/>
          <w:color w:val="auto"/>
          <w:sz w:val="24"/>
          <w:highlight w:val="none"/>
          <w:u w:val="single"/>
        </w:rPr>
        <w:t xml:space="preserve">    </w:t>
      </w:r>
      <w:r>
        <w:rPr>
          <w:rFonts w:hint="eastAsia" w:ascii="宋体"/>
          <w:color w:val="auto"/>
          <w:sz w:val="24"/>
          <w:highlight w:val="none"/>
        </w:rPr>
        <w:t>月</w:t>
      </w:r>
      <w:r>
        <w:rPr>
          <w:rFonts w:ascii="宋体"/>
          <w:color w:val="auto"/>
          <w:sz w:val="24"/>
          <w:highlight w:val="none"/>
          <w:u w:val="single"/>
        </w:rPr>
        <w:t xml:space="preserve">  </w:t>
      </w:r>
      <w:r>
        <w:rPr>
          <w:rFonts w:hint="eastAsia" w:ascii="宋体"/>
          <w:color w:val="auto"/>
          <w:sz w:val="24"/>
          <w:highlight w:val="none"/>
        </w:rPr>
        <w:t>＿日</w:t>
      </w:r>
    </w:p>
    <w:p w14:paraId="0447A71A">
      <w:pPr>
        <w:spacing w:line="360" w:lineRule="auto"/>
        <w:rPr>
          <w:rFonts w:ascii="宋体"/>
          <w:color w:val="auto"/>
          <w:sz w:val="24"/>
          <w:highlight w:val="none"/>
        </w:rPr>
      </w:pPr>
      <w:r>
        <w:rPr>
          <w:rFonts w:hint="eastAsia" w:ascii="宋体"/>
          <w:color w:val="auto"/>
          <w:sz w:val="24"/>
          <w:highlight w:val="none"/>
        </w:rPr>
        <w:t>经营期限：</w:t>
      </w:r>
      <w:r>
        <w:rPr>
          <w:rFonts w:ascii="宋体"/>
          <w:color w:val="auto"/>
          <w:sz w:val="24"/>
          <w:highlight w:val="none"/>
          <w:u w:val="single"/>
        </w:rPr>
        <w:t xml:space="preserve">                                </w:t>
      </w:r>
      <w:r>
        <w:rPr>
          <w:rFonts w:ascii="宋体"/>
          <w:color w:val="auto"/>
          <w:sz w:val="24"/>
          <w:highlight w:val="none"/>
        </w:rPr>
        <w:t xml:space="preserve"> </w:t>
      </w:r>
    </w:p>
    <w:p w14:paraId="7DECB728">
      <w:pPr>
        <w:spacing w:line="360" w:lineRule="auto"/>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ascii="宋体"/>
          <w:color w:val="auto"/>
          <w:sz w:val="24"/>
          <w:highlight w:val="none"/>
          <w:u w:val="single"/>
        </w:rPr>
        <w:t xml:space="preserve">           </w:t>
      </w:r>
      <w:r>
        <w:rPr>
          <w:rFonts w:hint="eastAsia" w:ascii="宋体"/>
          <w:color w:val="auto"/>
          <w:sz w:val="24"/>
          <w:highlight w:val="none"/>
        </w:rPr>
        <w:t>身份证号码：</w:t>
      </w:r>
      <w:r>
        <w:rPr>
          <w:rFonts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职务：</w:t>
      </w:r>
      <w:r>
        <w:rPr>
          <w:rFonts w:ascii="宋体"/>
          <w:color w:val="auto"/>
          <w:sz w:val="24"/>
          <w:highlight w:val="none"/>
          <w:u w:val="single"/>
        </w:rPr>
        <w:t xml:space="preserve">       </w:t>
      </w:r>
      <w:r>
        <w:rPr>
          <w:rFonts w:ascii="宋体"/>
          <w:color w:val="auto"/>
          <w:sz w:val="24"/>
          <w:highlight w:val="none"/>
        </w:rPr>
        <w:t>_</w:t>
      </w:r>
      <w:r>
        <w:rPr>
          <w:rFonts w:hint="eastAsia" w:ascii="宋体"/>
          <w:color w:val="auto"/>
          <w:sz w:val="24"/>
          <w:highlight w:val="none"/>
        </w:rPr>
        <w:t>，系</w:t>
      </w:r>
      <w:r>
        <w:rPr>
          <w:rFonts w:ascii="宋体"/>
          <w:color w:val="auto"/>
          <w:sz w:val="24"/>
          <w:highlight w:val="none"/>
          <w:u w:val="single"/>
        </w:rPr>
        <w:t xml:space="preserve">                                </w:t>
      </w:r>
      <w:r>
        <w:rPr>
          <w:rFonts w:hint="eastAsia" w:ascii="宋体"/>
          <w:color w:val="auto"/>
          <w:sz w:val="24"/>
          <w:highlight w:val="none"/>
        </w:rPr>
        <w:t>（投标人名称）的法定代表人。</w:t>
      </w:r>
    </w:p>
    <w:p w14:paraId="06081DD3">
      <w:pPr>
        <w:spacing w:line="360" w:lineRule="auto"/>
        <w:rPr>
          <w:color w:val="auto"/>
          <w:highlight w:val="none"/>
        </w:rPr>
      </w:pPr>
      <w:r>
        <w:rPr>
          <w:rFonts w:hint="eastAsia" w:ascii="宋体"/>
          <w:color w:val="auto"/>
          <w:sz w:val="24"/>
          <w:highlight w:val="none"/>
        </w:rPr>
        <w:t>特此证明。</w:t>
      </w:r>
    </w:p>
    <w:p w14:paraId="40420E0C">
      <w:pPr>
        <w:spacing w:line="360" w:lineRule="auto"/>
        <w:ind w:firstLine="3720" w:firstLineChars="1550"/>
        <w:rPr>
          <w:rFonts w:ascii="宋体"/>
          <w:color w:val="auto"/>
          <w:sz w:val="24"/>
          <w:highlight w:val="none"/>
        </w:rPr>
      </w:pPr>
      <w:r>
        <w:rPr>
          <w:rFonts w:hint="eastAsia" w:ascii="宋体"/>
          <w:color w:val="auto"/>
          <w:sz w:val="24"/>
          <w:highlight w:val="none"/>
        </w:rPr>
        <w:t>投标人：</w:t>
      </w:r>
      <w:r>
        <w:rPr>
          <w:rFonts w:ascii="宋体"/>
          <w:color w:val="auto"/>
          <w:sz w:val="24"/>
          <w:highlight w:val="none"/>
          <w:u w:val="single"/>
        </w:rPr>
        <w:t xml:space="preserve">                 </w:t>
      </w:r>
      <w:r>
        <w:rPr>
          <w:rFonts w:hint="eastAsia" w:ascii="宋体"/>
          <w:color w:val="auto"/>
          <w:sz w:val="24"/>
          <w:highlight w:val="none"/>
        </w:rPr>
        <w:t>（签章）</w:t>
      </w:r>
    </w:p>
    <w:p w14:paraId="54E0D087">
      <w:pPr>
        <w:spacing w:line="360" w:lineRule="auto"/>
        <w:rPr>
          <w:rFonts w:ascii="宋体"/>
          <w:color w:val="auto"/>
          <w:sz w:val="30"/>
          <w:szCs w:val="30"/>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611248A3">
      <w:pPr>
        <w:pStyle w:val="101"/>
        <w:spacing w:beforeLines="100" w:afterLines="100" w:line="360" w:lineRule="auto"/>
        <w:rPr>
          <w:rFonts w:ascii="宋体"/>
          <w:color w:val="auto"/>
          <w:sz w:val="24"/>
          <w:szCs w:val="24"/>
          <w:highlight w:val="none"/>
        </w:rPr>
      </w:pPr>
      <w:r>
        <w:rPr>
          <w:rFonts w:hint="eastAsia" w:ascii="宋体"/>
          <w:color w:val="auto"/>
          <w:sz w:val="24"/>
          <w:szCs w:val="24"/>
          <w:highlight w:val="none"/>
        </w:rPr>
        <w:t>或</w:t>
      </w:r>
      <w:r>
        <w:rPr>
          <w:rFonts w:ascii="宋体"/>
          <w:color w:val="auto"/>
          <w:sz w:val="24"/>
          <w:szCs w:val="24"/>
          <w:highlight w:val="none"/>
        </w:rPr>
        <w:t>1</w:t>
      </w:r>
      <w:r>
        <w:rPr>
          <w:rFonts w:hint="eastAsia" w:ascii="宋体"/>
          <w:color w:val="auto"/>
          <w:sz w:val="24"/>
          <w:szCs w:val="24"/>
          <w:highlight w:val="none"/>
        </w:rPr>
        <w:t>、授权委托书</w:t>
      </w:r>
    </w:p>
    <w:p w14:paraId="2794D697">
      <w:pPr>
        <w:spacing w:line="500" w:lineRule="exact"/>
        <w:ind w:firstLine="480" w:firstLineChars="200"/>
        <w:jc w:val="left"/>
        <w:rPr>
          <w:rFonts w:ascii="宋体"/>
          <w:color w:val="auto"/>
          <w:sz w:val="24"/>
          <w:highlight w:val="none"/>
        </w:rPr>
      </w:pPr>
      <w:r>
        <w:rPr>
          <w:rFonts w:hint="eastAsia" w:ascii="宋体"/>
          <w:color w:val="auto"/>
          <w:sz w:val="24"/>
          <w:highlight w:val="none"/>
        </w:rPr>
        <w:t>本人</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（姓名）系</w:t>
      </w:r>
      <w:r>
        <w:rPr>
          <w:rFonts w:ascii="宋体"/>
          <w:color w:val="auto"/>
          <w:sz w:val="24"/>
          <w:highlight w:val="none"/>
          <w:u w:val="single"/>
        </w:rPr>
        <w:t xml:space="preserve">       </w:t>
      </w:r>
      <w:r>
        <w:rPr>
          <w:rFonts w:hint="eastAsia" w:ascii="宋体"/>
          <w:color w:val="auto"/>
          <w:sz w:val="24"/>
          <w:highlight w:val="none"/>
        </w:rPr>
        <w:t>（投标人）的法定代表人，现委托</w:t>
      </w:r>
      <w:r>
        <w:rPr>
          <w:rFonts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rPr>
        <w:t>(</w:t>
      </w:r>
      <w:r>
        <w:rPr>
          <w:rFonts w:hint="eastAsia" w:ascii="宋体"/>
          <w:color w:val="auto"/>
          <w:sz w:val="24"/>
          <w:highlight w:val="none"/>
        </w:rPr>
        <w:t>项目名称、编号）投标文件，全权处理与该项目投标、评审答疑、签订合同以及与合同执行有关的一切事务，其法律后果由我方承担。</w:t>
      </w:r>
    </w:p>
    <w:p w14:paraId="3A3C8506">
      <w:pPr>
        <w:spacing w:line="500" w:lineRule="exact"/>
        <w:ind w:firstLine="480" w:firstLineChars="200"/>
        <w:rPr>
          <w:rFonts w:ascii="宋体"/>
          <w:color w:val="auto"/>
          <w:sz w:val="24"/>
          <w:highlight w:val="none"/>
        </w:rPr>
      </w:pPr>
      <w:r>
        <w:rPr>
          <w:rFonts w:hint="eastAsia" w:ascii="宋体"/>
          <w:color w:val="auto"/>
          <w:sz w:val="24"/>
          <w:highlight w:val="none"/>
        </w:rPr>
        <w:t>委托期限：</w:t>
      </w:r>
      <w:r>
        <w:rPr>
          <w:rFonts w:ascii="宋体"/>
          <w:color w:val="auto"/>
          <w:sz w:val="24"/>
          <w:highlight w:val="none"/>
        </w:rPr>
        <w:t xml:space="preserve"> </w:t>
      </w:r>
      <w:r>
        <w:rPr>
          <w:rFonts w:ascii="宋体" w:cs="宋体"/>
          <w:color w:val="auto"/>
          <w:sz w:val="24"/>
          <w:highlight w:val="none"/>
          <w:u w:val="single"/>
        </w:rPr>
        <w:t xml:space="preserve">          </w:t>
      </w:r>
      <w:r>
        <w:rPr>
          <w:rFonts w:hint="eastAsia" w:ascii="宋体" w:cs="宋体"/>
          <w:color w:val="auto"/>
          <w:sz w:val="24"/>
          <w:highlight w:val="none"/>
        </w:rPr>
        <w:t>。</w:t>
      </w:r>
      <w:r>
        <w:rPr>
          <w:rFonts w:ascii="宋体"/>
          <w:color w:val="auto"/>
          <w:sz w:val="24"/>
          <w:highlight w:val="none"/>
        </w:rPr>
        <w:t xml:space="preserve">                     </w:t>
      </w:r>
    </w:p>
    <w:p w14:paraId="4C93D404">
      <w:pPr>
        <w:spacing w:line="50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27FC09CF">
      <w:pPr>
        <w:spacing w:line="50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w:t>
      </w:r>
    </w:p>
    <w:p w14:paraId="22D91246">
      <w:pPr>
        <w:spacing w:line="500" w:lineRule="exact"/>
        <w:ind w:firstLine="957" w:firstLineChars="397"/>
        <w:rPr>
          <w:color w:val="auto"/>
          <w:highlight w:val="none"/>
        </w:rPr>
      </w:pPr>
      <w:r>
        <w:rPr>
          <w:rFonts w:hint="eastAsia" w:ascii="宋体"/>
          <w:b/>
          <w:color w:val="auto"/>
          <w:sz w:val="24"/>
          <w:highlight w:val="none"/>
        </w:rPr>
        <w:t>法定代表人有效身份证</w:t>
      </w:r>
    </w:p>
    <w:p w14:paraId="2C75C2EA">
      <w:pPr>
        <w:spacing w:line="500" w:lineRule="exact"/>
        <w:ind w:firstLine="200"/>
        <w:rPr>
          <w:rFonts w:ascii="宋体"/>
          <w:color w:val="auto"/>
          <w:sz w:val="24"/>
          <w:highlight w:val="none"/>
        </w:rPr>
      </w:pPr>
      <w:r>
        <w:rPr>
          <w:rFonts w:ascii="宋体"/>
          <w:color w:val="auto"/>
          <w:sz w:val="24"/>
          <w:highlight w:val="none"/>
        </w:rPr>
        <w:t xml:space="preserve">                                        </w:t>
      </w:r>
      <w:r>
        <w:rPr>
          <w:rFonts w:hint="eastAsia" w:ascii="宋体"/>
          <w:color w:val="auto"/>
          <w:sz w:val="24"/>
          <w:highlight w:val="none"/>
        </w:rPr>
        <w:t>投标人（签章）：</w:t>
      </w:r>
    </w:p>
    <w:p w14:paraId="6FC3DE10">
      <w:pPr>
        <w:spacing w:line="500" w:lineRule="exact"/>
        <w:ind w:firstLine="5040" w:firstLineChars="2100"/>
        <w:rPr>
          <w:rFonts w:ascii="宋体"/>
          <w:color w:val="auto"/>
          <w:sz w:val="24"/>
          <w:highlight w:val="none"/>
        </w:rPr>
      </w:pPr>
      <w:r>
        <w:rPr>
          <w:rFonts w:hint="eastAsia" w:ascii="宋体"/>
          <w:color w:val="auto"/>
          <w:sz w:val="24"/>
          <w:highlight w:val="none"/>
        </w:rPr>
        <w:t>法定代表人（身份证号码）：</w:t>
      </w:r>
      <w:r>
        <w:rPr>
          <w:rFonts w:ascii="宋体"/>
          <w:color w:val="auto"/>
          <w:sz w:val="24"/>
          <w:highlight w:val="none"/>
        </w:rPr>
        <w:t xml:space="preserve"> </w:t>
      </w:r>
      <w:r>
        <w:rPr>
          <w:rFonts w:hint="eastAsia" w:ascii="宋体"/>
          <w:color w:val="auto"/>
          <w:sz w:val="24"/>
          <w:highlight w:val="none"/>
        </w:rPr>
        <w:t>（签章）</w:t>
      </w:r>
    </w:p>
    <w:p w14:paraId="4F89F16E">
      <w:pPr>
        <w:spacing w:line="500" w:lineRule="exact"/>
        <w:ind w:firstLine="5040" w:firstLineChars="2100"/>
        <w:rPr>
          <w:rFonts w:ascii="宋体"/>
          <w:color w:val="auto"/>
          <w:sz w:val="24"/>
          <w:highlight w:val="none"/>
        </w:rPr>
      </w:pPr>
      <w:r>
        <w:rPr>
          <w:rFonts w:hint="eastAsia" w:ascii="宋体"/>
          <w:color w:val="auto"/>
          <w:sz w:val="24"/>
          <w:highlight w:val="none"/>
        </w:rPr>
        <w:t>委托代理人（身份证号码）：</w:t>
      </w:r>
      <w:r>
        <w:rPr>
          <w:rFonts w:ascii="宋体"/>
          <w:color w:val="auto"/>
          <w:sz w:val="24"/>
          <w:highlight w:val="none"/>
        </w:rPr>
        <w:t xml:space="preserve">      </w:t>
      </w:r>
    </w:p>
    <w:p w14:paraId="46B120E2">
      <w:pPr>
        <w:spacing w:line="500" w:lineRule="exact"/>
        <w:ind w:firstLine="2820" w:firstLineChars="1175"/>
        <w:rPr>
          <w:color w:val="auto"/>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4FE0E10D">
      <w:pPr>
        <w:spacing w:line="36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w:t>
      </w:r>
      <w:r>
        <w:rPr>
          <w:b/>
          <w:color w:val="auto"/>
          <w:sz w:val="28"/>
          <w:szCs w:val="28"/>
          <w:highlight w:val="none"/>
        </w:rPr>
        <w:t>2</w:t>
      </w:r>
      <w:r>
        <w:rPr>
          <w:rFonts w:hint="eastAsia"/>
          <w:b/>
          <w:color w:val="auto"/>
          <w:sz w:val="28"/>
          <w:szCs w:val="28"/>
          <w:highlight w:val="none"/>
        </w:rPr>
        <w:t>）诚信投标承诺书</w:t>
      </w:r>
      <w:bookmarkEnd w:id="789"/>
      <w:bookmarkEnd w:id="790"/>
      <w:r>
        <w:rPr>
          <w:b/>
          <w:color w:val="auto"/>
          <w:sz w:val="28"/>
          <w:szCs w:val="28"/>
          <w:highlight w:val="none"/>
        </w:rPr>
        <w:t> </w:t>
      </w:r>
      <w:bookmarkEnd w:id="791"/>
    </w:p>
    <w:p w14:paraId="72CF3D4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3BE06F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0AFCB8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4BFA3FA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D1892C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2A336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C53C6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 xml:space="preserve">或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和项目负责人        </w:t>
      </w:r>
      <w:r>
        <w:rPr>
          <w:rFonts w:hint="eastAsia" w:ascii="宋体" w:hAnsi="宋体"/>
          <w:color w:val="auto"/>
          <w:szCs w:val="21"/>
          <w:highlight w:val="none"/>
        </w:rPr>
        <w:t>没有下列情形：</w:t>
      </w:r>
      <w:bookmarkStart w:id="792" w:name="OLE_LINK133"/>
      <w:bookmarkStart w:id="793" w:name="OLE_LINK134"/>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792"/>
      <w:bookmarkEnd w:id="793"/>
      <w:r>
        <w:rPr>
          <w:rFonts w:hint="eastAsia"/>
          <w:color w:val="auto"/>
          <w:szCs w:val="21"/>
          <w:highlight w:val="none"/>
        </w:rPr>
        <w:t>若招标文件对投标人所属分公司、办事处等分支机构有上述</w:t>
      </w:r>
      <w:r>
        <w:rPr>
          <w:color w:val="auto"/>
          <w:szCs w:val="21"/>
          <w:highlight w:val="none"/>
        </w:rPr>
        <w:t>1-10</w:t>
      </w:r>
      <w:r>
        <w:rPr>
          <w:rFonts w:hint="eastAsia"/>
          <w:color w:val="auto"/>
          <w:szCs w:val="21"/>
          <w:highlight w:val="none"/>
        </w:rPr>
        <w:t>项信誉要求，在此一并承诺我公司所属分公司、办事处等分支机构没有上述</w:t>
      </w:r>
      <w:r>
        <w:rPr>
          <w:color w:val="auto"/>
          <w:szCs w:val="21"/>
          <w:highlight w:val="none"/>
        </w:rPr>
        <w:t>1-10</w:t>
      </w:r>
      <w:r>
        <w:rPr>
          <w:rFonts w:hint="eastAsia"/>
          <w:color w:val="auto"/>
          <w:szCs w:val="21"/>
          <w:highlight w:val="none"/>
        </w:rPr>
        <w:t>项情形）</w:t>
      </w:r>
    </w:p>
    <w:p w14:paraId="6F9827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2C12962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25E867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7495D8B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4DFF9A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十一、如我公司中标，保证中标的项目经理无其他尚未完工（以竣工、交工、完工验收报告等手续为准）项目或在已中标项目（以发放中标通知书为准）中担任项目经理情形。如有，项目在滁州市区域内的，接受取消中标资格、记入不良行为记录等处理；项目在滁州市区域外的，保证在中标候选人公示期第一日起开始计算7日内，提供经行政主管部门备案的变更证明材料，否则接受取消中标资格、记入不良行为记录等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617DB7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32EBCE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0ED881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十四、我公司拟任项目经理不是投标截止时间前六个月内在滁州市区域内办理过项目经理变更备案手续的原项目经理。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7643BF0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48CEFD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563A4EF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                             </w:t>
      </w:r>
    </w:p>
    <w:p w14:paraId="58D2A1C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4B1A0B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4EF770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1D0458FC">
      <w:pPr>
        <w:pStyle w:val="45"/>
        <w:keepNext w:val="0"/>
        <w:keepLines w:val="0"/>
        <w:pageBreakBefore w:val="0"/>
        <w:widowControl w:val="0"/>
        <w:kinsoku/>
        <w:wordWrap/>
        <w:overflowPunct/>
        <w:topLinePunct w:val="0"/>
        <w:autoSpaceDE/>
        <w:autoSpaceDN/>
        <w:bidi w:val="0"/>
        <w:spacing w:line="400" w:lineRule="exact"/>
        <w:textAlignment w:val="auto"/>
        <w:rPr>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32B7BB0B">
      <w:pPr>
        <w:pStyle w:val="45"/>
        <w:ind w:left="0" w:leftChars="0" w:firstLine="0" w:firstLineChars="0"/>
        <w:rPr>
          <w:color w:val="auto"/>
          <w:highlight w:val="none"/>
        </w:rPr>
      </w:pPr>
    </w:p>
    <w:p w14:paraId="6549C0DA">
      <w:pPr>
        <w:rPr>
          <w:color w:val="auto"/>
          <w:highlight w:val="none"/>
        </w:rPr>
      </w:pPr>
    </w:p>
    <w:p w14:paraId="4DE9BCD8">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lang w:val="en-US" w:eastAsia="zh-CN"/>
        </w:rPr>
        <w:t>或</w:t>
      </w:r>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5A4016E2">
      <w:pPr>
        <w:pStyle w:val="45"/>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57"/>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5300FEE7">
      <w:pPr>
        <w:rPr>
          <w:rFonts w:hint="eastAsia"/>
          <w:b/>
          <w:color w:val="auto"/>
          <w:sz w:val="28"/>
          <w:szCs w:val="28"/>
          <w:highlight w:val="none"/>
        </w:rPr>
      </w:pPr>
      <w:r>
        <w:rPr>
          <w:rFonts w:hint="eastAsia"/>
          <w:b/>
          <w:color w:val="auto"/>
          <w:sz w:val="28"/>
          <w:szCs w:val="28"/>
          <w:highlight w:val="none"/>
        </w:rPr>
        <w:br w:type="page"/>
      </w:r>
    </w:p>
    <w:p w14:paraId="2A891DB3">
      <w:pPr>
        <w:pStyle w:val="45"/>
        <w:rPr>
          <w:rFonts w:hint="eastAsia"/>
          <w:color w:val="auto"/>
          <w:highlight w:val="none"/>
        </w:rPr>
      </w:pPr>
    </w:p>
    <w:p w14:paraId="41915AFC">
      <w:pPr>
        <w:spacing w:line="360" w:lineRule="auto"/>
        <w:jc w:val="center"/>
        <w:rPr>
          <w:rFonts w:ascii="宋体"/>
          <w:b/>
          <w:color w:val="auto"/>
          <w:sz w:val="24"/>
          <w:highlight w:val="none"/>
        </w:rPr>
      </w:pPr>
      <w:r>
        <w:rPr>
          <w:rFonts w:hint="eastAsia"/>
          <w:b/>
          <w:color w:val="auto"/>
          <w:sz w:val="28"/>
          <w:szCs w:val="28"/>
          <w:highlight w:val="none"/>
        </w:rPr>
        <w:t>（</w:t>
      </w:r>
      <w:r>
        <w:rPr>
          <w:b/>
          <w:color w:val="auto"/>
          <w:sz w:val="28"/>
          <w:szCs w:val="28"/>
          <w:highlight w:val="none"/>
        </w:rPr>
        <w:t>3</w:t>
      </w:r>
      <w:r>
        <w:rPr>
          <w:rFonts w:hint="eastAsia"/>
          <w:b/>
          <w:color w:val="auto"/>
          <w:sz w:val="28"/>
          <w:szCs w:val="28"/>
          <w:highlight w:val="none"/>
        </w:rPr>
        <w:t>）承诺函</w:t>
      </w:r>
    </w:p>
    <w:p w14:paraId="5186C27D">
      <w:pPr>
        <w:spacing w:beforeLines="50" w:afterLines="50" w:line="700" w:lineRule="exact"/>
        <w:rPr>
          <w:rFonts w:ascii="宋体"/>
          <w:b/>
          <w:color w:val="auto"/>
          <w:sz w:val="24"/>
          <w:highlight w:val="none"/>
        </w:rPr>
      </w:pPr>
      <w:r>
        <w:rPr>
          <w:rFonts w:ascii="宋体"/>
          <w:color w:val="auto"/>
          <w:sz w:val="24"/>
          <w:highlight w:val="none"/>
          <w:u w:val="single"/>
        </w:rPr>
        <w:t xml:space="preserve">                      </w:t>
      </w:r>
      <w:r>
        <w:rPr>
          <w:rFonts w:hint="eastAsia" w:ascii="宋体"/>
          <w:color w:val="auto"/>
          <w:sz w:val="24"/>
          <w:highlight w:val="none"/>
        </w:rPr>
        <w:t>（项目单位）：</w:t>
      </w:r>
    </w:p>
    <w:p w14:paraId="413AEE30">
      <w:pPr>
        <w:widowControl/>
        <w:spacing w:line="480" w:lineRule="auto"/>
        <w:ind w:firstLine="480" w:firstLineChars="200"/>
        <w:jc w:val="left"/>
        <w:rPr>
          <w:rFonts w:ascii="宋体" w:cs="宋体"/>
          <w:b/>
          <w:color w:val="auto"/>
          <w:sz w:val="24"/>
          <w:highlight w:val="none"/>
        </w:rPr>
      </w:pPr>
      <w:r>
        <w:rPr>
          <w:rFonts w:hint="eastAsia" w:ascii="宋体"/>
          <w:color w:val="auto"/>
          <w:sz w:val="24"/>
          <w:highlight w:val="none"/>
        </w:rPr>
        <w:t>我公司现承诺在</w:t>
      </w:r>
      <w:r>
        <w:rPr>
          <w:rFonts w:ascii="宋体"/>
          <w:color w:val="auto"/>
          <w:sz w:val="24"/>
          <w:highlight w:val="none"/>
          <w:u w:val="single"/>
        </w:rPr>
        <w:t xml:space="preserve">                               </w:t>
      </w:r>
      <w:r>
        <w:rPr>
          <w:rFonts w:hint="eastAsia" w:ascii="宋体"/>
          <w:color w:val="auto"/>
          <w:sz w:val="24"/>
          <w:highlight w:val="none"/>
          <w:u w:val="single"/>
        </w:rPr>
        <w:t>（项目名称）</w:t>
      </w:r>
      <w:r>
        <w:rPr>
          <w:rFonts w:hint="eastAsia" w:ascii="宋体"/>
          <w:color w:val="auto"/>
          <w:sz w:val="24"/>
          <w:highlight w:val="none"/>
        </w:rPr>
        <w:t>中拟派的总监理工程师</w:t>
      </w:r>
      <w:r>
        <w:rPr>
          <w:rFonts w:ascii="宋体"/>
          <w:color w:val="auto"/>
          <w:sz w:val="24"/>
          <w:highlight w:val="none"/>
          <w:u w:val="single"/>
        </w:rPr>
        <w:t xml:space="preserve">       </w:t>
      </w:r>
      <w:r>
        <w:rPr>
          <w:rFonts w:hint="eastAsia" w:ascii="宋体"/>
          <w:color w:val="auto"/>
          <w:sz w:val="24"/>
          <w:highlight w:val="none"/>
          <w:u w:val="single"/>
        </w:rPr>
        <w:t>（姓名）</w:t>
      </w:r>
      <w:r>
        <w:rPr>
          <w:rFonts w:ascii="宋体"/>
          <w:color w:val="auto"/>
          <w:sz w:val="24"/>
          <w:highlight w:val="none"/>
          <w:u w:val="single"/>
        </w:rPr>
        <w:t xml:space="preserve"> </w:t>
      </w:r>
      <w:r>
        <w:rPr>
          <w:rFonts w:hint="eastAsia" w:ascii="宋体" w:hAnsi="宋体" w:cs="宋体-18030"/>
          <w:b/>
          <w:color w:val="auto"/>
          <w:sz w:val="24"/>
          <w:highlight w:val="none"/>
          <w:lang w:val="en-US" w:eastAsia="zh-CN"/>
        </w:rPr>
        <w:t>无在建</w:t>
      </w:r>
      <w:r>
        <w:rPr>
          <w:rFonts w:hint="eastAsia" w:ascii="宋体" w:hAnsi="宋体" w:cs="宋体-18030"/>
          <w:b/>
          <w:color w:val="auto"/>
          <w:sz w:val="24"/>
          <w:highlight w:val="none"/>
        </w:rPr>
        <w:t>项目。</w:t>
      </w:r>
      <w:r>
        <w:rPr>
          <w:rFonts w:hint="eastAsia" w:ascii="宋体" w:hAnsi="宋体" w:cs="宋体-18030"/>
          <w:bCs/>
          <w:color w:val="auto"/>
          <w:sz w:val="24"/>
          <w:highlight w:val="none"/>
        </w:rPr>
        <w:t>若有虚假</w:t>
      </w:r>
      <w:r>
        <w:rPr>
          <w:rFonts w:hint="eastAsia"/>
          <w:color w:val="auto"/>
          <w:sz w:val="24"/>
          <w:highlight w:val="none"/>
        </w:rPr>
        <w:t>则取消我公司</w:t>
      </w:r>
      <w:r>
        <w:rPr>
          <w:rFonts w:hint="eastAsia"/>
          <w:color w:val="auto"/>
          <w:sz w:val="24"/>
          <w:highlight w:val="none"/>
          <w:lang w:val="en-US" w:eastAsia="zh-CN"/>
        </w:rPr>
        <w:t>中标</w:t>
      </w:r>
      <w:r>
        <w:rPr>
          <w:rFonts w:hint="eastAsia"/>
          <w:color w:val="auto"/>
          <w:sz w:val="24"/>
          <w:highlight w:val="none"/>
        </w:rPr>
        <w:t>资格，情节严重的，提请相关行政执法部门和招投标监督管理部门对我公司进行处罚。</w:t>
      </w:r>
    </w:p>
    <w:p w14:paraId="4936A994">
      <w:pPr>
        <w:spacing w:line="640" w:lineRule="exact"/>
        <w:ind w:firstLine="3120" w:firstLineChars="1300"/>
        <w:jc w:val="left"/>
        <w:rPr>
          <w:rFonts w:ascii="宋体" w:cs="宋体"/>
          <w:color w:val="auto"/>
          <w:sz w:val="28"/>
          <w:szCs w:val="28"/>
          <w:highlight w:val="none"/>
        </w:rPr>
      </w:pPr>
      <w:r>
        <w:rPr>
          <w:rFonts w:hint="eastAsia"/>
          <w:b w:val="0"/>
          <w:bCs/>
          <w:color w:val="auto"/>
          <w:sz w:val="24"/>
          <w:highlight w:val="none"/>
        </w:rPr>
        <w:t>特此承诺。</w:t>
      </w:r>
    </w:p>
    <w:p w14:paraId="1E84AFB4">
      <w:pPr>
        <w:spacing w:line="640" w:lineRule="exact"/>
        <w:ind w:firstLine="5880" w:firstLineChars="2100"/>
        <w:jc w:val="left"/>
        <w:rPr>
          <w:rFonts w:ascii="宋体" w:cs="宋体"/>
          <w:color w:val="auto"/>
          <w:sz w:val="28"/>
          <w:szCs w:val="28"/>
          <w:highlight w:val="none"/>
        </w:rPr>
      </w:pPr>
      <w:r>
        <w:rPr>
          <w:rFonts w:hint="eastAsia" w:ascii="宋体" w:hAnsi="宋体" w:cs="宋体"/>
          <w:color w:val="auto"/>
          <w:sz w:val="28"/>
          <w:szCs w:val="28"/>
          <w:highlight w:val="none"/>
        </w:rPr>
        <w:t>投标人（签章）：</w:t>
      </w:r>
    </w:p>
    <w:p w14:paraId="5D735958">
      <w:pPr>
        <w:spacing w:line="640" w:lineRule="exact"/>
        <w:ind w:firstLine="5880" w:firstLineChars="2100"/>
        <w:jc w:val="left"/>
        <w:rPr>
          <w:rFonts w:ascii="宋体" w:cs="宋体"/>
          <w:color w:val="auto"/>
          <w:sz w:val="28"/>
          <w:szCs w:val="28"/>
          <w:highlight w:val="none"/>
        </w:rPr>
      </w:pPr>
      <w:r>
        <w:rPr>
          <w:rFonts w:hint="eastAsia" w:ascii="宋体" w:hAnsi="宋体" w:cs="宋体"/>
          <w:color w:val="auto"/>
          <w:sz w:val="28"/>
          <w:szCs w:val="28"/>
          <w:highlight w:val="none"/>
        </w:rPr>
        <w:t>法定代表人（签章）：</w:t>
      </w:r>
    </w:p>
    <w:p w14:paraId="3FB9F1B9">
      <w:pPr>
        <w:spacing w:line="640" w:lineRule="exact"/>
        <w:ind w:left="279" w:leftChars="133" w:firstLine="5600" w:firstLineChars="2000"/>
        <w:jc w:val="left"/>
        <w:rPr>
          <w:rFonts w:asci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14:paraId="4E7674A8">
      <w:pPr>
        <w:rPr>
          <w:color w:val="auto"/>
          <w:highlight w:val="none"/>
        </w:rPr>
      </w:pPr>
    </w:p>
    <w:p w14:paraId="3C75AA2A">
      <w:pPr>
        <w:pStyle w:val="45"/>
        <w:ind w:left="31680" w:firstLine="2108" w:firstLineChars="700"/>
        <w:rPr>
          <w:rFonts w:hint="eastAsia" w:hAnsi="宋体"/>
          <w:b/>
          <w:color w:val="auto"/>
          <w:sz w:val="30"/>
          <w:szCs w:val="30"/>
          <w:highlight w:val="none"/>
        </w:rPr>
      </w:pPr>
    </w:p>
    <w:p w14:paraId="0BCF9A35">
      <w:pPr>
        <w:pStyle w:val="45"/>
        <w:ind w:left="31680" w:firstLine="2108" w:firstLineChars="700"/>
        <w:rPr>
          <w:color w:val="auto"/>
          <w:highlight w:val="none"/>
        </w:rPr>
      </w:pPr>
      <w:r>
        <w:rPr>
          <w:rFonts w:hint="eastAsia" w:hAnsi="宋体"/>
          <w:b/>
          <w:color w:val="auto"/>
          <w:sz w:val="30"/>
          <w:szCs w:val="30"/>
          <w:highlight w:val="none"/>
        </w:rPr>
        <w:t>（</w:t>
      </w:r>
      <w:r>
        <w:rPr>
          <w:rFonts w:hint="eastAsia" w:hAnsi="宋体"/>
          <w:b/>
          <w:color w:val="auto"/>
          <w:sz w:val="30"/>
          <w:szCs w:val="30"/>
          <w:highlight w:val="none"/>
          <w:lang w:val="en-US" w:eastAsia="zh-CN"/>
        </w:rPr>
        <w:t>4</w:t>
      </w:r>
      <w:r>
        <w:rPr>
          <w:rFonts w:hint="eastAsia" w:hAnsi="宋体"/>
          <w:b/>
          <w:color w:val="auto"/>
          <w:sz w:val="30"/>
          <w:szCs w:val="30"/>
          <w:highlight w:val="none"/>
        </w:rPr>
        <w:t>）</w:t>
      </w:r>
      <w:r>
        <w:rPr>
          <w:rFonts w:hint="eastAsia"/>
          <w:b/>
          <w:bCs/>
          <w:color w:val="auto"/>
          <w:sz w:val="30"/>
          <w:szCs w:val="30"/>
          <w:highlight w:val="none"/>
        </w:rPr>
        <w:t>拟派总监情况一览表</w:t>
      </w:r>
    </w:p>
    <w:tbl>
      <w:tblPr>
        <w:tblStyle w:val="4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46"/>
        <w:gridCol w:w="947"/>
        <w:gridCol w:w="1388"/>
        <w:gridCol w:w="1549"/>
        <w:gridCol w:w="1588"/>
        <w:gridCol w:w="1562"/>
      </w:tblGrid>
      <w:tr w14:paraId="71F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6FAB3A76">
            <w:pPr>
              <w:jc w:val="center"/>
              <w:rPr>
                <w:rFonts w:ascii="宋体" w:cs="宋体"/>
                <w:color w:val="auto"/>
                <w:sz w:val="24"/>
                <w:highlight w:val="none"/>
              </w:rPr>
            </w:pPr>
            <w:r>
              <w:rPr>
                <w:rFonts w:hint="eastAsia" w:ascii="宋体" w:cs="宋体"/>
                <w:color w:val="auto"/>
                <w:sz w:val="24"/>
                <w:highlight w:val="none"/>
              </w:rPr>
              <w:t>姓</w:t>
            </w:r>
            <w:r>
              <w:rPr>
                <w:rFonts w:ascii="宋体" w:cs="宋体"/>
                <w:color w:val="auto"/>
                <w:sz w:val="24"/>
                <w:highlight w:val="none"/>
              </w:rPr>
              <w:t xml:space="preserve">  </w:t>
            </w:r>
            <w:r>
              <w:rPr>
                <w:rFonts w:hint="eastAsia" w:ascii="宋体" w:cs="宋体"/>
                <w:color w:val="auto"/>
                <w:sz w:val="24"/>
                <w:highlight w:val="none"/>
              </w:rPr>
              <w:t>名</w:t>
            </w:r>
          </w:p>
        </w:tc>
        <w:tc>
          <w:tcPr>
            <w:tcW w:w="946" w:type="dxa"/>
            <w:vAlign w:val="center"/>
          </w:tcPr>
          <w:p w14:paraId="5223FDDA">
            <w:pPr>
              <w:jc w:val="center"/>
              <w:rPr>
                <w:rFonts w:ascii="宋体" w:cs="宋体"/>
                <w:color w:val="auto"/>
                <w:sz w:val="24"/>
                <w:highlight w:val="none"/>
              </w:rPr>
            </w:pPr>
            <w:r>
              <w:rPr>
                <w:rFonts w:hint="eastAsia" w:ascii="宋体" w:cs="宋体"/>
                <w:color w:val="auto"/>
                <w:sz w:val="24"/>
                <w:highlight w:val="none"/>
              </w:rPr>
              <w:t>年龄</w:t>
            </w:r>
          </w:p>
        </w:tc>
        <w:tc>
          <w:tcPr>
            <w:tcW w:w="947" w:type="dxa"/>
            <w:vAlign w:val="center"/>
          </w:tcPr>
          <w:p w14:paraId="4E8486C5">
            <w:pPr>
              <w:jc w:val="center"/>
              <w:rPr>
                <w:rFonts w:ascii="宋体" w:cs="宋体"/>
                <w:color w:val="auto"/>
                <w:sz w:val="24"/>
                <w:highlight w:val="none"/>
              </w:rPr>
            </w:pPr>
            <w:r>
              <w:rPr>
                <w:rFonts w:hint="eastAsia" w:ascii="宋体" w:cs="宋体"/>
                <w:color w:val="auto"/>
                <w:sz w:val="24"/>
                <w:highlight w:val="none"/>
              </w:rPr>
              <w:t>性别</w:t>
            </w:r>
          </w:p>
        </w:tc>
        <w:tc>
          <w:tcPr>
            <w:tcW w:w="1388" w:type="dxa"/>
            <w:vAlign w:val="center"/>
          </w:tcPr>
          <w:p w14:paraId="5E65B22E">
            <w:pPr>
              <w:jc w:val="center"/>
              <w:rPr>
                <w:rFonts w:ascii="宋体" w:cs="宋体"/>
                <w:color w:val="auto"/>
                <w:sz w:val="24"/>
                <w:highlight w:val="none"/>
              </w:rPr>
            </w:pPr>
            <w:r>
              <w:rPr>
                <w:rFonts w:hint="eastAsia" w:ascii="宋体" w:cs="宋体"/>
                <w:color w:val="auto"/>
                <w:sz w:val="24"/>
                <w:highlight w:val="none"/>
              </w:rPr>
              <w:t>职称</w:t>
            </w:r>
          </w:p>
        </w:tc>
        <w:tc>
          <w:tcPr>
            <w:tcW w:w="1549" w:type="dxa"/>
            <w:vAlign w:val="center"/>
          </w:tcPr>
          <w:p w14:paraId="3D4CB64E">
            <w:pPr>
              <w:jc w:val="center"/>
              <w:rPr>
                <w:rFonts w:ascii="宋体" w:cs="宋体"/>
                <w:color w:val="auto"/>
                <w:sz w:val="24"/>
                <w:highlight w:val="none"/>
              </w:rPr>
            </w:pPr>
            <w:r>
              <w:rPr>
                <w:rFonts w:hint="eastAsia" w:ascii="宋体" w:cs="宋体"/>
                <w:color w:val="auto"/>
                <w:sz w:val="24"/>
                <w:highlight w:val="none"/>
              </w:rPr>
              <w:t>拟任职务</w:t>
            </w:r>
          </w:p>
        </w:tc>
        <w:tc>
          <w:tcPr>
            <w:tcW w:w="1588" w:type="dxa"/>
            <w:vAlign w:val="center"/>
          </w:tcPr>
          <w:p w14:paraId="0C0D0C46">
            <w:pPr>
              <w:jc w:val="center"/>
              <w:rPr>
                <w:rFonts w:ascii="宋体" w:cs="宋体"/>
                <w:color w:val="auto"/>
                <w:sz w:val="24"/>
                <w:highlight w:val="none"/>
              </w:rPr>
            </w:pPr>
            <w:r>
              <w:rPr>
                <w:rFonts w:hint="eastAsia" w:ascii="宋体" w:cs="宋体"/>
                <w:color w:val="auto"/>
                <w:sz w:val="24"/>
                <w:highlight w:val="none"/>
              </w:rPr>
              <w:t>持证名称</w:t>
            </w:r>
          </w:p>
        </w:tc>
        <w:tc>
          <w:tcPr>
            <w:tcW w:w="1562" w:type="dxa"/>
            <w:vAlign w:val="center"/>
          </w:tcPr>
          <w:p w14:paraId="2ABCC453">
            <w:pPr>
              <w:jc w:val="center"/>
              <w:rPr>
                <w:rFonts w:ascii="宋体" w:cs="宋体"/>
                <w:color w:val="auto"/>
                <w:sz w:val="24"/>
                <w:highlight w:val="none"/>
              </w:rPr>
            </w:pPr>
            <w:r>
              <w:rPr>
                <w:rFonts w:hint="eastAsia" w:ascii="宋体" w:cs="宋体"/>
                <w:color w:val="auto"/>
                <w:sz w:val="24"/>
                <w:highlight w:val="none"/>
              </w:rPr>
              <w:t>持证证号</w:t>
            </w:r>
          </w:p>
        </w:tc>
      </w:tr>
      <w:tr w14:paraId="2AA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212CC515">
            <w:pPr>
              <w:jc w:val="center"/>
              <w:rPr>
                <w:rFonts w:ascii="宋体" w:cs="宋体"/>
                <w:color w:val="auto"/>
                <w:sz w:val="24"/>
                <w:highlight w:val="none"/>
              </w:rPr>
            </w:pPr>
          </w:p>
        </w:tc>
        <w:tc>
          <w:tcPr>
            <w:tcW w:w="946" w:type="dxa"/>
            <w:vAlign w:val="center"/>
          </w:tcPr>
          <w:p w14:paraId="2BBAF88D">
            <w:pPr>
              <w:jc w:val="center"/>
              <w:rPr>
                <w:rFonts w:ascii="宋体" w:cs="宋体"/>
                <w:color w:val="auto"/>
                <w:sz w:val="24"/>
                <w:highlight w:val="none"/>
              </w:rPr>
            </w:pPr>
          </w:p>
        </w:tc>
        <w:tc>
          <w:tcPr>
            <w:tcW w:w="947" w:type="dxa"/>
            <w:vAlign w:val="center"/>
          </w:tcPr>
          <w:p w14:paraId="536D384E">
            <w:pPr>
              <w:jc w:val="center"/>
              <w:rPr>
                <w:rFonts w:ascii="宋体" w:cs="宋体"/>
                <w:color w:val="auto"/>
                <w:sz w:val="24"/>
                <w:highlight w:val="none"/>
              </w:rPr>
            </w:pPr>
          </w:p>
        </w:tc>
        <w:tc>
          <w:tcPr>
            <w:tcW w:w="1388" w:type="dxa"/>
            <w:vAlign w:val="center"/>
          </w:tcPr>
          <w:p w14:paraId="02F16CB8">
            <w:pPr>
              <w:jc w:val="center"/>
              <w:rPr>
                <w:rFonts w:ascii="宋体" w:cs="宋体"/>
                <w:color w:val="auto"/>
                <w:sz w:val="24"/>
                <w:highlight w:val="none"/>
              </w:rPr>
            </w:pPr>
          </w:p>
        </w:tc>
        <w:tc>
          <w:tcPr>
            <w:tcW w:w="1549" w:type="dxa"/>
            <w:vAlign w:val="center"/>
          </w:tcPr>
          <w:p w14:paraId="35254CD3">
            <w:pPr>
              <w:jc w:val="center"/>
              <w:rPr>
                <w:rFonts w:ascii="宋体" w:cs="宋体"/>
                <w:color w:val="auto"/>
                <w:sz w:val="24"/>
                <w:highlight w:val="none"/>
              </w:rPr>
            </w:pPr>
          </w:p>
        </w:tc>
        <w:tc>
          <w:tcPr>
            <w:tcW w:w="1588" w:type="dxa"/>
            <w:vAlign w:val="center"/>
          </w:tcPr>
          <w:p w14:paraId="4E27981F">
            <w:pPr>
              <w:jc w:val="center"/>
              <w:rPr>
                <w:rFonts w:ascii="宋体" w:cs="宋体"/>
                <w:color w:val="auto"/>
                <w:sz w:val="24"/>
                <w:highlight w:val="none"/>
              </w:rPr>
            </w:pPr>
          </w:p>
        </w:tc>
        <w:tc>
          <w:tcPr>
            <w:tcW w:w="1562" w:type="dxa"/>
            <w:vAlign w:val="center"/>
          </w:tcPr>
          <w:p w14:paraId="6F30B928">
            <w:pPr>
              <w:jc w:val="center"/>
              <w:rPr>
                <w:rFonts w:ascii="宋体" w:cs="宋体"/>
                <w:color w:val="auto"/>
                <w:sz w:val="24"/>
                <w:highlight w:val="none"/>
              </w:rPr>
            </w:pPr>
          </w:p>
        </w:tc>
      </w:tr>
    </w:tbl>
    <w:p w14:paraId="479495CB">
      <w:pPr>
        <w:spacing w:line="360" w:lineRule="auto"/>
        <w:ind w:firstLine="3480" w:firstLineChars="1450"/>
        <w:rPr>
          <w:rFonts w:ascii="宋体" w:cs="宋体"/>
          <w:color w:val="auto"/>
          <w:sz w:val="24"/>
          <w:highlight w:val="none"/>
        </w:rPr>
      </w:pPr>
    </w:p>
    <w:p w14:paraId="136383A6">
      <w:pPr>
        <w:spacing w:line="360" w:lineRule="auto"/>
        <w:rPr>
          <w:rFonts w:ascii="宋体" w:cs="宋体"/>
          <w:color w:val="auto"/>
          <w:sz w:val="24"/>
          <w:highlight w:val="none"/>
        </w:rPr>
      </w:pPr>
    </w:p>
    <w:p w14:paraId="790FF990">
      <w:pPr>
        <w:spacing w:line="360" w:lineRule="auto"/>
        <w:ind w:firstLine="4900" w:firstLineChars="1750"/>
        <w:rPr>
          <w:rFonts w:ascii="宋体" w:cs="宋体"/>
          <w:color w:val="auto"/>
          <w:sz w:val="24"/>
          <w:highlight w:val="none"/>
        </w:rPr>
      </w:pPr>
      <w:r>
        <w:rPr>
          <w:rFonts w:hint="eastAsia" w:ascii="宋体" w:hAnsi="宋体" w:cs="宋体"/>
          <w:color w:val="auto"/>
          <w:sz w:val="28"/>
          <w:szCs w:val="28"/>
          <w:highlight w:val="none"/>
        </w:rPr>
        <w:t>投标人：</w:t>
      </w:r>
      <w:r>
        <w:rPr>
          <w:rFonts w:ascii="宋体" w:cs="宋体"/>
          <w:color w:val="auto"/>
          <w:sz w:val="24"/>
          <w:highlight w:val="none"/>
          <w:u w:val="single"/>
        </w:rPr>
        <w:t xml:space="preserve">                  </w:t>
      </w:r>
      <w:r>
        <w:rPr>
          <w:rFonts w:hint="eastAsia" w:ascii="宋体" w:cs="宋体"/>
          <w:color w:val="auto"/>
          <w:sz w:val="24"/>
          <w:highlight w:val="none"/>
        </w:rPr>
        <w:t>（签章）</w:t>
      </w:r>
    </w:p>
    <w:p w14:paraId="72789D3D">
      <w:pPr>
        <w:spacing w:line="360" w:lineRule="auto"/>
        <w:rPr>
          <w:rFonts w:ascii="宋体" w:cs="宋体"/>
          <w:color w:val="auto"/>
          <w:sz w:val="28"/>
          <w:szCs w:val="28"/>
          <w:highlight w:val="none"/>
        </w:rPr>
      </w:pPr>
      <w:r>
        <w:rPr>
          <w:rFonts w:ascii="宋体" w:cs="宋体"/>
          <w:color w:val="auto"/>
          <w:sz w:val="24"/>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14:paraId="23DB5D7E">
      <w:pPr>
        <w:rPr>
          <w:color w:val="auto"/>
          <w:highlight w:val="none"/>
        </w:rPr>
      </w:pPr>
    </w:p>
    <w:p w14:paraId="0D39018B">
      <w:pPr>
        <w:rPr>
          <w:color w:val="auto"/>
          <w:highlight w:val="none"/>
        </w:rPr>
      </w:pPr>
    </w:p>
    <w:p w14:paraId="2193FC06">
      <w:pPr>
        <w:rPr>
          <w:rFonts w:eastAsia="黑体"/>
          <w:color w:val="auto"/>
          <w:sz w:val="28"/>
          <w:szCs w:val="28"/>
          <w:highlight w:val="none"/>
          <w:u w:val="single"/>
        </w:rPr>
      </w:pPr>
      <w:r>
        <w:rPr>
          <w:rFonts w:eastAsia="黑体"/>
          <w:color w:val="auto"/>
          <w:sz w:val="28"/>
          <w:szCs w:val="28"/>
          <w:highlight w:val="none"/>
          <w:u w:val="single"/>
        </w:rPr>
        <w:br w:type="page"/>
      </w:r>
    </w:p>
    <w:p w14:paraId="321FBCE8">
      <w:pPr>
        <w:jc w:val="center"/>
        <w:rPr>
          <w:rFonts w:eastAsia="黑体"/>
          <w:color w:val="auto"/>
          <w:sz w:val="28"/>
          <w:szCs w:val="28"/>
          <w:highlight w:val="none"/>
          <w:u w:val="single"/>
        </w:rPr>
      </w:pPr>
    </w:p>
    <w:p w14:paraId="61CD44C7">
      <w:pPr>
        <w:jc w:val="center"/>
        <w:rPr>
          <w:rFonts w:eastAsia="黑体"/>
          <w:color w:val="auto"/>
          <w:sz w:val="28"/>
          <w:szCs w:val="28"/>
          <w:highlight w:val="none"/>
          <w:u w:val="single"/>
        </w:rPr>
      </w:pPr>
    </w:p>
    <w:p w14:paraId="0F41CFCE">
      <w:pPr>
        <w:jc w:val="center"/>
        <w:rPr>
          <w:rFonts w:eastAsia="黑体"/>
          <w:color w:val="auto"/>
          <w:sz w:val="28"/>
          <w:szCs w:val="28"/>
          <w:highlight w:val="none"/>
          <w:u w:val="single"/>
        </w:rPr>
      </w:pPr>
    </w:p>
    <w:p w14:paraId="4A4ED809">
      <w:pPr>
        <w:jc w:val="center"/>
        <w:rPr>
          <w:rFonts w:eastAsia="黑体"/>
          <w:color w:val="auto"/>
          <w:sz w:val="28"/>
          <w:szCs w:val="28"/>
          <w:highlight w:val="none"/>
          <w:u w:val="single"/>
        </w:rPr>
      </w:pPr>
    </w:p>
    <w:p w14:paraId="150AD696">
      <w:pPr>
        <w:jc w:val="center"/>
        <w:rPr>
          <w:rFonts w:eastAsia="黑体"/>
          <w:color w:val="auto"/>
          <w:sz w:val="28"/>
          <w:szCs w:val="28"/>
          <w:highlight w:val="none"/>
          <w:u w:val="single"/>
        </w:rPr>
      </w:pPr>
    </w:p>
    <w:p w14:paraId="68BC59BB">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190CD685">
      <w:pPr>
        <w:jc w:val="center"/>
        <w:rPr>
          <w:rFonts w:eastAsia="黑体"/>
          <w:color w:val="auto"/>
          <w:sz w:val="20"/>
          <w:szCs w:val="20"/>
          <w:highlight w:val="none"/>
        </w:rPr>
      </w:pPr>
    </w:p>
    <w:p w14:paraId="2864F6F4">
      <w:pPr>
        <w:rPr>
          <w:rFonts w:eastAsia="黑体"/>
          <w:color w:val="auto"/>
          <w:sz w:val="20"/>
          <w:szCs w:val="20"/>
          <w:highlight w:val="none"/>
        </w:rPr>
      </w:pPr>
    </w:p>
    <w:p w14:paraId="654A09AA">
      <w:pPr>
        <w:jc w:val="center"/>
        <w:rPr>
          <w:rFonts w:hint="eastAsia" w:eastAsia="黑体"/>
          <w:color w:val="auto"/>
          <w:sz w:val="44"/>
          <w:szCs w:val="44"/>
          <w:highlight w:val="none"/>
          <w:lang w:eastAsia="zh-CN"/>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lang w:val="en-US" w:eastAsia="zh-CN"/>
        </w:rPr>
        <w:t>二</w:t>
      </w:r>
    </w:p>
    <w:p w14:paraId="0FA14563">
      <w:pPr>
        <w:jc w:val="center"/>
        <w:rPr>
          <w:rFonts w:eastAsia="黑体"/>
          <w:color w:val="auto"/>
          <w:sz w:val="44"/>
          <w:szCs w:val="44"/>
          <w:highlight w:val="none"/>
        </w:rPr>
      </w:pPr>
      <w:r>
        <w:rPr>
          <w:rFonts w:hint="eastAsia" w:eastAsia="黑体"/>
          <w:color w:val="auto"/>
          <w:sz w:val="44"/>
          <w:szCs w:val="44"/>
          <w:highlight w:val="none"/>
        </w:rPr>
        <w:t>（商务标文件）</w:t>
      </w:r>
    </w:p>
    <w:p w14:paraId="23BA47CD">
      <w:pPr>
        <w:rPr>
          <w:rFonts w:eastAsia="黑体"/>
          <w:color w:val="auto"/>
          <w:sz w:val="28"/>
          <w:szCs w:val="28"/>
          <w:highlight w:val="none"/>
        </w:rPr>
      </w:pPr>
    </w:p>
    <w:p w14:paraId="38F875CB">
      <w:pPr>
        <w:rPr>
          <w:rFonts w:eastAsia="黑体"/>
          <w:color w:val="auto"/>
          <w:sz w:val="28"/>
          <w:szCs w:val="28"/>
          <w:highlight w:val="none"/>
        </w:rPr>
      </w:pPr>
    </w:p>
    <w:p w14:paraId="0F122B42">
      <w:pPr>
        <w:rPr>
          <w:rFonts w:eastAsia="黑体"/>
          <w:color w:val="auto"/>
          <w:sz w:val="28"/>
          <w:szCs w:val="28"/>
          <w:highlight w:val="none"/>
        </w:rPr>
      </w:pPr>
    </w:p>
    <w:p w14:paraId="44FF0333">
      <w:pPr>
        <w:rPr>
          <w:rFonts w:eastAsia="黑体"/>
          <w:color w:val="auto"/>
          <w:sz w:val="28"/>
          <w:szCs w:val="28"/>
          <w:highlight w:val="none"/>
        </w:rPr>
      </w:pPr>
    </w:p>
    <w:p w14:paraId="1C5E8090">
      <w:pPr>
        <w:rPr>
          <w:rFonts w:eastAsia="黑体"/>
          <w:color w:val="auto"/>
          <w:sz w:val="28"/>
          <w:szCs w:val="28"/>
          <w:highlight w:val="none"/>
        </w:rPr>
      </w:pPr>
    </w:p>
    <w:p w14:paraId="4DC84F5A">
      <w:pPr>
        <w:rPr>
          <w:rFonts w:eastAsia="黑体"/>
          <w:color w:val="auto"/>
          <w:sz w:val="28"/>
          <w:szCs w:val="28"/>
          <w:highlight w:val="none"/>
        </w:rPr>
      </w:pPr>
    </w:p>
    <w:p w14:paraId="2F4C51F6">
      <w:pPr>
        <w:pStyle w:val="45"/>
        <w:rPr>
          <w:color w:val="auto"/>
          <w:highlight w:val="none"/>
        </w:rPr>
      </w:pPr>
    </w:p>
    <w:p w14:paraId="6715C9E0">
      <w:pPr>
        <w:rPr>
          <w:rFonts w:eastAsia="黑体"/>
          <w:color w:val="auto"/>
          <w:sz w:val="28"/>
          <w:szCs w:val="28"/>
          <w:highlight w:val="none"/>
        </w:rPr>
      </w:pPr>
    </w:p>
    <w:p w14:paraId="1672F89E">
      <w:pPr>
        <w:rPr>
          <w:rFonts w:eastAsia="黑体"/>
          <w:color w:val="auto"/>
          <w:sz w:val="28"/>
          <w:szCs w:val="28"/>
          <w:highlight w:val="none"/>
        </w:rPr>
      </w:pPr>
    </w:p>
    <w:p w14:paraId="1FD5D1F2">
      <w:pPr>
        <w:rPr>
          <w:rFonts w:eastAsia="黑体"/>
          <w:color w:val="auto"/>
          <w:sz w:val="28"/>
          <w:szCs w:val="28"/>
          <w:highlight w:val="none"/>
        </w:rPr>
      </w:pPr>
    </w:p>
    <w:p w14:paraId="2A40463B">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7E3EBD2">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7A8DAD09">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3D585ADB">
      <w:pPr>
        <w:pStyle w:val="45"/>
        <w:ind w:left="0" w:leftChars="0" w:firstLine="0" w:firstLineChars="0"/>
        <w:rPr>
          <w:color w:val="auto"/>
          <w:highlight w:val="none"/>
        </w:rPr>
      </w:pPr>
    </w:p>
    <w:p w14:paraId="1279CEDC">
      <w:pPr>
        <w:rPr>
          <w:color w:val="auto"/>
          <w:highlight w:val="none"/>
        </w:rPr>
      </w:pPr>
    </w:p>
    <w:p w14:paraId="1563B017">
      <w:pPr>
        <w:rPr>
          <w:rStyle w:val="65"/>
          <w:rFonts w:hint="eastAsia" w:ascii="宋体" w:hAnsi="宋体" w:cs="宋体"/>
          <w:bCs/>
          <w:color w:val="auto"/>
          <w:sz w:val="32"/>
          <w:szCs w:val="44"/>
          <w:highlight w:val="none"/>
        </w:rPr>
      </w:pPr>
      <w:bookmarkStart w:id="794" w:name="_Toc35425139"/>
      <w:bookmarkStart w:id="795" w:name="_Toc19174"/>
      <w:bookmarkStart w:id="796" w:name="_Toc35424973"/>
    </w:p>
    <w:p w14:paraId="30F6B4E3">
      <w:pPr>
        <w:spacing w:beforeLines="50" w:afterLines="50" w:line="440" w:lineRule="exact"/>
        <w:ind w:firstLine="643" w:firstLineChars="200"/>
        <w:jc w:val="left"/>
        <w:rPr>
          <w:rStyle w:val="65"/>
          <w:rFonts w:ascii="宋体" w:cs="宋体"/>
          <w:bCs/>
          <w:color w:val="auto"/>
          <w:sz w:val="32"/>
          <w:szCs w:val="44"/>
          <w:highlight w:val="none"/>
        </w:rPr>
      </w:pPr>
      <w:r>
        <w:rPr>
          <w:rStyle w:val="65"/>
          <w:rFonts w:hint="eastAsia" w:ascii="宋体" w:hAnsi="宋体" w:cs="宋体"/>
          <w:bCs/>
          <w:color w:val="auto"/>
          <w:sz w:val="32"/>
          <w:szCs w:val="44"/>
          <w:highlight w:val="none"/>
        </w:rPr>
        <w:t>投标文件</w:t>
      </w:r>
      <w:bookmarkEnd w:id="794"/>
      <w:bookmarkEnd w:id="795"/>
      <w:bookmarkEnd w:id="796"/>
      <w:r>
        <w:rPr>
          <w:rStyle w:val="65"/>
          <w:rFonts w:hint="eastAsia" w:ascii="宋体" w:hAnsi="宋体" w:cs="宋体"/>
          <w:bCs/>
          <w:color w:val="auto"/>
          <w:sz w:val="32"/>
          <w:szCs w:val="44"/>
          <w:highlight w:val="none"/>
          <w:lang w:val="en-US"/>
        </w:rPr>
        <w:t>二</w:t>
      </w:r>
      <w:r>
        <w:rPr>
          <w:rStyle w:val="65"/>
          <w:rFonts w:hint="eastAsia" w:ascii="宋体" w:hAnsi="宋体" w:cs="宋体"/>
          <w:bCs/>
          <w:color w:val="auto"/>
          <w:sz w:val="32"/>
          <w:szCs w:val="44"/>
          <w:highlight w:val="none"/>
        </w:rPr>
        <w:t>：商务标目录</w:t>
      </w:r>
    </w:p>
    <w:p w14:paraId="26F03C20">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）投标函（格式见附件）；</w:t>
      </w:r>
      <w:r>
        <w:rPr>
          <w:rFonts w:ascii="宋体" w:hAnsi="宋体" w:cs="宋体"/>
          <w:color w:val="auto"/>
          <w:highlight w:val="none"/>
        </w:rPr>
        <w:t xml:space="preserve">    </w:t>
      </w:r>
    </w:p>
    <w:p w14:paraId="0C277686">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）详细评审所需其他材料。</w:t>
      </w:r>
    </w:p>
    <w:p w14:paraId="47E7D525">
      <w:pPr>
        <w:spacing w:line="540" w:lineRule="exact"/>
        <w:rPr>
          <w:color w:val="auto"/>
          <w:highlight w:val="none"/>
        </w:rPr>
      </w:pPr>
    </w:p>
    <w:p w14:paraId="6E1B8C45">
      <w:pPr>
        <w:spacing w:line="540" w:lineRule="exact"/>
        <w:rPr>
          <w:rFonts w:eastAsia="黑体"/>
          <w:color w:val="auto"/>
          <w:sz w:val="20"/>
          <w:szCs w:val="20"/>
          <w:highlight w:val="none"/>
        </w:rPr>
      </w:pPr>
    </w:p>
    <w:p w14:paraId="79E3E9AC">
      <w:pPr>
        <w:spacing w:line="540" w:lineRule="exact"/>
        <w:rPr>
          <w:rFonts w:eastAsia="黑体"/>
          <w:color w:val="auto"/>
          <w:sz w:val="20"/>
          <w:szCs w:val="20"/>
          <w:highlight w:val="none"/>
        </w:rPr>
      </w:pPr>
    </w:p>
    <w:p w14:paraId="30ECA6DC">
      <w:pPr>
        <w:spacing w:line="540" w:lineRule="exact"/>
        <w:rPr>
          <w:rFonts w:eastAsia="黑体"/>
          <w:color w:val="auto"/>
          <w:sz w:val="20"/>
          <w:szCs w:val="20"/>
          <w:highlight w:val="none"/>
        </w:rPr>
      </w:pPr>
    </w:p>
    <w:p w14:paraId="51D21B31">
      <w:pPr>
        <w:spacing w:line="360" w:lineRule="auto"/>
        <w:ind w:firstLine="420" w:firstLineChars="200"/>
        <w:jc w:val="right"/>
        <w:rPr>
          <w:color w:val="auto"/>
          <w:szCs w:val="21"/>
          <w:highlight w:val="none"/>
          <w:u w:val="single"/>
        </w:rPr>
      </w:pPr>
    </w:p>
    <w:p w14:paraId="6AD0355C">
      <w:pPr>
        <w:spacing w:line="360" w:lineRule="auto"/>
        <w:ind w:firstLine="420" w:firstLineChars="200"/>
        <w:jc w:val="right"/>
        <w:rPr>
          <w:color w:val="auto"/>
          <w:szCs w:val="21"/>
          <w:highlight w:val="none"/>
          <w:u w:val="single"/>
        </w:rPr>
      </w:pPr>
    </w:p>
    <w:p w14:paraId="4AC9F828">
      <w:pPr>
        <w:spacing w:line="360" w:lineRule="auto"/>
        <w:ind w:firstLine="420" w:firstLineChars="200"/>
        <w:jc w:val="right"/>
        <w:rPr>
          <w:color w:val="auto"/>
          <w:szCs w:val="21"/>
          <w:highlight w:val="none"/>
          <w:u w:val="single"/>
        </w:rPr>
      </w:pPr>
    </w:p>
    <w:p w14:paraId="6A52ED9B">
      <w:pPr>
        <w:spacing w:line="360" w:lineRule="auto"/>
        <w:ind w:firstLine="420" w:firstLineChars="200"/>
        <w:jc w:val="right"/>
        <w:rPr>
          <w:color w:val="auto"/>
          <w:szCs w:val="21"/>
          <w:highlight w:val="none"/>
          <w:u w:val="single"/>
        </w:rPr>
      </w:pPr>
    </w:p>
    <w:p w14:paraId="036ECB99">
      <w:pPr>
        <w:spacing w:line="360" w:lineRule="auto"/>
        <w:ind w:firstLine="420" w:firstLineChars="200"/>
        <w:jc w:val="right"/>
        <w:rPr>
          <w:color w:val="auto"/>
          <w:szCs w:val="21"/>
          <w:highlight w:val="none"/>
          <w:u w:val="single"/>
        </w:rPr>
      </w:pPr>
    </w:p>
    <w:p w14:paraId="235DDF34">
      <w:pPr>
        <w:spacing w:line="360" w:lineRule="auto"/>
        <w:ind w:firstLine="420" w:firstLineChars="200"/>
        <w:jc w:val="right"/>
        <w:rPr>
          <w:color w:val="auto"/>
          <w:szCs w:val="21"/>
          <w:highlight w:val="none"/>
          <w:u w:val="single"/>
        </w:rPr>
      </w:pPr>
    </w:p>
    <w:p w14:paraId="47734639">
      <w:pPr>
        <w:spacing w:line="360" w:lineRule="auto"/>
        <w:ind w:firstLine="420" w:firstLineChars="200"/>
        <w:jc w:val="right"/>
        <w:rPr>
          <w:color w:val="auto"/>
          <w:szCs w:val="21"/>
          <w:highlight w:val="none"/>
          <w:u w:val="single"/>
        </w:rPr>
      </w:pPr>
    </w:p>
    <w:p w14:paraId="06351AD2">
      <w:pPr>
        <w:spacing w:line="360" w:lineRule="auto"/>
        <w:ind w:firstLine="420" w:firstLineChars="200"/>
        <w:jc w:val="right"/>
        <w:rPr>
          <w:color w:val="auto"/>
          <w:szCs w:val="21"/>
          <w:highlight w:val="none"/>
          <w:u w:val="single"/>
        </w:rPr>
      </w:pPr>
    </w:p>
    <w:p w14:paraId="43E66C91">
      <w:pPr>
        <w:jc w:val="center"/>
        <w:rPr>
          <w:b/>
          <w:color w:val="auto"/>
          <w:sz w:val="32"/>
          <w:szCs w:val="32"/>
          <w:highlight w:val="none"/>
        </w:rPr>
      </w:pPr>
    </w:p>
    <w:p w14:paraId="76001FA3">
      <w:pPr>
        <w:jc w:val="center"/>
        <w:rPr>
          <w:b/>
          <w:color w:val="auto"/>
          <w:sz w:val="32"/>
          <w:szCs w:val="32"/>
          <w:highlight w:val="none"/>
        </w:rPr>
      </w:pPr>
    </w:p>
    <w:p w14:paraId="125181C4">
      <w:pPr>
        <w:jc w:val="center"/>
        <w:rPr>
          <w:b/>
          <w:color w:val="auto"/>
          <w:sz w:val="32"/>
          <w:szCs w:val="32"/>
          <w:highlight w:val="none"/>
        </w:rPr>
      </w:pPr>
    </w:p>
    <w:p w14:paraId="3F985EC4">
      <w:pPr>
        <w:jc w:val="center"/>
        <w:rPr>
          <w:b/>
          <w:color w:val="auto"/>
          <w:sz w:val="32"/>
          <w:szCs w:val="32"/>
          <w:highlight w:val="none"/>
        </w:rPr>
      </w:pPr>
    </w:p>
    <w:p w14:paraId="265FC7BB">
      <w:pPr>
        <w:jc w:val="center"/>
        <w:rPr>
          <w:b/>
          <w:color w:val="auto"/>
          <w:sz w:val="32"/>
          <w:szCs w:val="32"/>
          <w:highlight w:val="none"/>
        </w:rPr>
      </w:pPr>
    </w:p>
    <w:p w14:paraId="704F56EF">
      <w:pPr>
        <w:spacing w:line="360" w:lineRule="auto"/>
        <w:rPr>
          <w:b/>
          <w:bCs/>
          <w:color w:val="auto"/>
          <w:sz w:val="32"/>
          <w:szCs w:val="32"/>
          <w:highlight w:val="none"/>
        </w:rPr>
      </w:pPr>
    </w:p>
    <w:p w14:paraId="22906F7D">
      <w:pPr>
        <w:pStyle w:val="45"/>
        <w:ind w:left="31680" w:firstLine="31680"/>
        <w:rPr>
          <w:color w:val="auto"/>
          <w:highlight w:val="none"/>
        </w:rPr>
      </w:pPr>
    </w:p>
    <w:p w14:paraId="6A82FD0A">
      <w:pPr>
        <w:rPr>
          <w:color w:val="auto"/>
          <w:highlight w:val="none"/>
        </w:rPr>
      </w:pPr>
      <w:r>
        <w:rPr>
          <w:rFonts w:ascii="宋体"/>
          <w:b/>
          <w:color w:val="auto"/>
          <w:sz w:val="32"/>
          <w:szCs w:val="32"/>
          <w:highlight w:val="none"/>
        </w:rPr>
        <w:br w:type="page"/>
      </w:r>
    </w:p>
    <w:p w14:paraId="7EF8D95A">
      <w:pPr>
        <w:jc w:val="center"/>
        <w:rPr>
          <w:rFonts w:ascii="宋体"/>
          <w:b/>
          <w:color w:val="auto"/>
          <w:sz w:val="32"/>
          <w:szCs w:val="32"/>
          <w:highlight w:val="none"/>
        </w:rPr>
      </w:pPr>
      <w:r>
        <w:rPr>
          <w:rFonts w:hint="eastAsia" w:ascii="宋体" w:hAnsi="宋体"/>
          <w:b/>
          <w:color w:val="auto"/>
          <w:sz w:val="32"/>
          <w:szCs w:val="32"/>
          <w:highlight w:val="none"/>
        </w:rPr>
        <w:t>（</w:t>
      </w:r>
      <w:r>
        <w:rPr>
          <w:rFonts w:ascii="宋体" w:hAnsi="宋体"/>
          <w:b/>
          <w:color w:val="auto"/>
          <w:sz w:val="32"/>
          <w:szCs w:val="32"/>
          <w:highlight w:val="none"/>
        </w:rPr>
        <w:t>1</w:t>
      </w:r>
      <w:r>
        <w:rPr>
          <w:rFonts w:hint="eastAsia" w:ascii="宋体" w:hAnsi="宋体"/>
          <w:b/>
          <w:color w:val="auto"/>
          <w:sz w:val="32"/>
          <w:szCs w:val="32"/>
          <w:highlight w:val="none"/>
        </w:rPr>
        <w:t>）投标函</w:t>
      </w:r>
    </w:p>
    <w:p w14:paraId="2025B7EC">
      <w:pPr>
        <w:spacing w:line="500" w:lineRule="exact"/>
        <w:ind w:firstLine="422" w:firstLineChars="200"/>
        <w:jc w:val="left"/>
        <w:rPr>
          <w:rFonts w:ascii="宋体" w:cs="宋体"/>
          <w:color w:val="auto"/>
          <w:highlight w:val="none"/>
        </w:rPr>
      </w:pPr>
      <w:r>
        <w:rPr>
          <w:rFonts w:hint="eastAsia" w:ascii="宋体" w:hAnsi="宋体" w:cs="宋体"/>
          <w:b/>
          <w:bCs/>
          <w:color w:val="auto"/>
          <w:highlight w:val="none"/>
        </w:rPr>
        <w:t>致</w:t>
      </w:r>
      <w:r>
        <w:rPr>
          <w:rFonts w:ascii="宋体" w:hAnsi="宋体" w:cs="宋体"/>
          <w:b/>
          <w:bCs/>
          <w:color w:val="auto"/>
          <w:highlight w:val="none"/>
        </w:rPr>
        <w:t xml:space="preserve"> </w:t>
      </w:r>
      <w:r>
        <w:rPr>
          <w:rFonts w:hint="eastAsia" w:ascii="宋体" w:hAnsi="宋体" w:cs="宋体"/>
          <w:b/>
          <w:bCs/>
          <w:color w:val="auto"/>
          <w:highlight w:val="none"/>
        </w:rPr>
        <w:t>：</w:t>
      </w:r>
      <w:r>
        <w:rPr>
          <w:rFonts w:ascii="宋体" w:hAnsi="宋体" w:cs="宋体"/>
          <w:b/>
          <w:bCs/>
          <w:color w:val="auto"/>
          <w:highlight w:val="none"/>
          <w:u w:val="single"/>
        </w:rPr>
        <w:t xml:space="preserve">       </w:t>
      </w:r>
      <w:r>
        <w:rPr>
          <w:rFonts w:hint="eastAsia" w:ascii="宋体" w:hAnsi="宋体" w:cs="宋体"/>
          <w:b/>
          <w:bCs/>
          <w:color w:val="auto"/>
          <w:highlight w:val="none"/>
          <w:u w:val="single"/>
        </w:rPr>
        <w:t>（招标人）</w:t>
      </w:r>
      <w:r>
        <w:rPr>
          <w:rFonts w:ascii="宋体" w:hAnsi="宋体" w:cs="宋体"/>
          <w:b/>
          <w:bCs/>
          <w:color w:val="auto"/>
          <w:highlight w:val="none"/>
          <w:u w:val="single"/>
        </w:rPr>
        <w:t xml:space="preserve"> </w:t>
      </w:r>
      <w:r>
        <w:rPr>
          <w:rFonts w:ascii="宋体" w:hAnsi="宋体" w:cs="宋体"/>
          <w:color w:val="auto"/>
          <w:highlight w:val="none"/>
        </w:rPr>
        <w:t xml:space="preserve">  </w:t>
      </w:r>
    </w:p>
    <w:p w14:paraId="5FACC815">
      <w:pPr>
        <w:spacing w:line="500" w:lineRule="exact"/>
        <w:ind w:firstLine="525" w:firstLineChars="250"/>
        <w:jc w:val="left"/>
        <w:rPr>
          <w:rFonts w:ascii="宋体" w:cs="宋体"/>
          <w:color w:val="auto"/>
          <w:highlight w:val="none"/>
        </w:rPr>
      </w:pPr>
      <w:r>
        <w:rPr>
          <w:rFonts w:hint="eastAsia" w:ascii="宋体" w:hAnsi="宋体" w:cs="宋体"/>
          <w:color w:val="auto"/>
          <w:highlight w:val="none"/>
        </w:rPr>
        <w:t>我们决定参加贵单位组织的“</w:t>
      </w:r>
      <w:r>
        <w:rPr>
          <w:rFonts w:ascii="宋体" w:hAnsi="宋体" w:cs="宋体"/>
          <w:color w:val="auto"/>
          <w:highlight w:val="none"/>
          <w:u w:val="single"/>
        </w:rPr>
        <w:t xml:space="preserve">         </w:t>
      </w:r>
      <w:r>
        <w:rPr>
          <w:rFonts w:hint="eastAsia" w:ascii="宋体" w:hAnsi="宋体" w:cs="宋体"/>
          <w:color w:val="auto"/>
          <w:highlight w:val="none"/>
          <w:u w:val="single"/>
        </w:rPr>
        <w:t>（项目名称、项目编号）</w:t>
      </w:r>
      <w:r>
        <w:rPr>
          <w:rFonts w:hint="eastAsia" w:ascii="宋体" w:hAnsi="宋体" w:cs="宋体"/>
          <w:color w:val="auto"/>
          <w:highlight w:val="none"/>
        </w:rPr>
        <w:t>”的项目。我方授权</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u w:val="single"/>
        </w:rPr>
        <w:t>姓名和职务</w:t>
      </w:r>
      <w:r>
        <w:rPr>
          <w:rFonts w:ascii="宋体" w:hAnsi="宋体" w:cs="宋体"/>
          <w:color w:val="auto"/>
          <w:highlight w:val="none"/>
        </w:rPr>
        <w:t>)</w:t>
      </w:r>
      <w:r>
        <w:rPr>
          <w:rFonts w:hint="eastAsia" w:ascii="宋体" w:hAnsi="宋体" w:cs="宋体"/>
          <w:color w:val="auto"/>
          <w:highlight w:val="none"/>
        </w:rPr>
        <w:t>代表我方</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（投标单位的名称）全权处理本项目投标的有关事宜</w:t>
      </w:r>
      <w:r>
        <w:rPr>
          <w:rFonts w:ascii="宋体" w:hAnsi="宋体" w:cs="宋体"/>
          <w:color w:val="auto"/>
          <w:highlight w:val="none"/>
        </w:rPr>
        <w:t xml:space="preserve"> </w:t>
      </w:r>
    </w:p>
    <w:p w14:paraId="6969E752">
      <w:pPr>
        <w:spacing w:line="500" w:lineRule="exact"/>
        <w:ind w:firstLine="420" w:firstLineChars="200"/>
        <w:jc w:val="left"/>
        <w:rPr>
          <w:rFonts w:asci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我们已仔细地研究了</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cs="宋体"/>
          <w:color w:val="auto"/>
          <w:spacing w:val="-1"/>
          <w:highlight w:val="none"/>
        </w:rPr>
        <w:t>规定的合同范围，工作要求，并考虑到了潜在所有风险。据此我方愿以监理费费率：</w:t>
      </w:r>
      <w:r>
        <w:rPr>
          <w:rFonts w:hint="eastAsia" w:ascii="宋体" w:hAnsi="宋体" w:cs="宋体"/>
          <w:color w:val="auto"/>
          <w:spacing w:val="-1"/>
          <w:highlight w:val="none"/>
          <w:u w:val="single"/>
        </w:rPr>
        <w:t>大写百分之</w:t>
      </w:r>
      <w:r>
        <w:rPr>
          <w:rFonts w:ascii="宋体" w:hAnsi="宋体" w:cs="宋体"/>
          <w:color w:val="auto"/>
          <w:spacing w:val="56"/>
          <w:highlight w:val="none"/>
          <w:u w:val="single"/>
        </w:rPr>
        <w:t xml:space="preserve">   </w:t>
      </w:r>
      <w:r>
        <w:rPr>
          <w:rFonts w:hint="eastAsia" w:ascii="宋体" w:hAnsi="宋体" w:cs="宋体"/>
          <w:color w:val="auto"/>
          <w:spacing w:val="56"/>
          <w:highlight w:val="none"/>
          <w:u w:val="single"/>
        </w:rPr>
        <w:t>小写</w:t>
      </w:r>
      <w:r>
        <w:rPr>
          <w:rFonts w:ascii="宋体" w:hAnsi="宋体" w:cs="宋体"/>
          <w:color w:val="auto"/>
          <w:spacing w:val="56"/>
          <w:highlight w:val="none"/>
          <w:u w:val="single"/>
        </w:rPr>
        <w:t xml:space="preserve">  </w:t>
      </w:r>
      <w:r>
        <w:rPr>
          <w:rFonts w:ascii="宋体" w:hAnsi="宋体" w:cs="宋体"/>
          <w:color w:val="auto"/>
          <w:highlight w:val="none"/>
        </w:rPr>
        <w:t>%</w:t>
      </w:r>
      <w:r>
        <w:rPr>
          <w:rFonts w:hint="eastAsia" w:ascii="宋体" w:hAnsi="宋体" w:cs="宋体"/>
          <w:color w:val="auto"/>
          <w:highlight w:val="none"/>
        </w:rPr>
        <w:t>（小数点后保留</w:t>
      </w:r>
      <w:r>
        <w:rPr>
          <w:rFonts w:ascii="宋体" w:hAnsi="宋体" w:cs="宋体"/>
          <w:color w:val="auto"/>
          <w:highlight w:val="none"/>
        </w:rPr>
        <w:t xml:space="preserve"> 2 </w:t>
      </w:r>
      <w:r>
        <w:rPr>
          <w:rFonts w:hint="eastAsia" w:ascii="宋体" w:hAnsi="宋体" w:cs="宋体"/>
          <w:color w:val="auto"/>
          <w:highlight w:val="none"/>
        </w:rPr>
        <w:t>位）为报价费率，作为本工程项目监理工作所需的全部费用。</w:t>
      </w:r>
    </w:p>
    <w:p w14:paraId="215CD1C1">
      <w:pPr>
        <w:spacing w:line="500" w:lineRule="exact"/>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一旦我方中标，我方将派出</w:t>
      </w:r>
      <w:r>
        <w:rPr>
          <w:rFonts w:ascii="宋体" w:hAnsi="宋体" w:cs="宋体"/>
          <w:color w:val="auto"/>
          <w:highlight w:val="none"/>
          <w:u w:val="single"/>
        </w:rPr>
        <w:t xml:space="preserve">        </w:t>
      </w:r>
      <w:r>
        <w:rPr>
          <w:rFonts w:hint="eastAsia" w:ascii="宋体" w:hAnsi="宋体" w:cs="宋体"/>
          <w:color w:val="auto"/>
          <w:highlight w:val="none"/>
        </w:rPr>
        <w:t>为本</w:t>
      </w:r>
      <w:r>
        <w:rPr>
          <w:rFonts w:hint="eastAsia" w:ascii="宋体" w:hAnsi="宋体" w:cs="宋体"/>
          <w:color w:val="auto"/>
          <w:highlight w:val="none"/>
          <w:lang w:val="en-US" w:eastAsia="zh-CN"/>
        </w:rPr>
        <w:t>项目项目负责人</w:t>
      </w:r>
      <w:r>
        <w:rPr>
          <w:rFonts w:hint="eastAsia" w:ascii="宋体" w:hAnsi="宋体" w:cs="宋体"/>
          <w:color w:val="auto"/>
          <w:highlight w:val="none"/>
        </w:rPr>
        <w:t>。</w:t>
      </w:r>
    </w:p>
    <w:p w14:paraId="20F03D18">
      <w:pPr>
        <w:spacing w:line="500" w:lineRule="exact"/>
        <w:ind w:firstLine="420" w:firstLineChars="200"/>
        <w:jc w:val="left"/>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7E87338F">
      <w:pPr>
        <w:spacing w:line="50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我们声明，本投标文件的全部内容我公司已了解和熟悉，并承诺中标后严格按此投标文件执行。</w:t>
      </w:r>
    </w:p>
    <w:p w14:paraId="6298816D">
      <w:pPr>
        <w:spacing w:line="5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日历天（从投标截止之日算起）。</w:t>
      </w:r>
    </w:p>
    <w:p w14:paraId="0AD24E0E">
      <w:pPr>
        <w:spacing w:line="500" w:lineRule="exact"/>
        <w:ind w:firstLine="420" w:firstLineChars="200"/>
        <w:jc w:val="left"/>
        <w:rPr>
          <w:rFonts w:asci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单位提供如下通讯地址：</w:t>
      </w:r>
      <w:r>
        <w:rPr>
          <w:rFonts w:ascii="宋体" w:hAnsi="宋体" w:cs="宋体"/>
          <w:color w:val="auto"/>
          <w:highlight w:val="none"/>
          <w:u w:val="single"/>
        </w:rPr>
        <w:t xml:space="preserve">           </w:t>
      </w:r>
      <w:r>
        <w:rPr>
          <w:rFonts w:hint="eastAsia" w:ascii="宋体" w:hAnsi="宋体" w:cs="宋体"/>
          <w:color w:val="auto"/>
          <w:highlight w:val="none"/>
        </w:rPr>
        <w:t>电子邮箱（地址），确认本项目相关法律文书均通过提供的以上地址送达，相关文书只要发送至以上电子邮箱（地址）即视为送达，投标人愿意承担一切法律后果。</w:t>
      </w:r>
    </w:p>
    <w:p w14:paraId="049B96D9">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对本招标文件的所有条款进行承诺。</w:t>
      </w:r>
    </w:p>
    <w:p w14:paraId="519F0DAC">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r>
        <w:rPr>
          <w:rFonts w:ascii="宋体" w:hAnsi="宋体" w:cs="宋体"/>
          <w:color w:val="auto"/>
          <w:szCs w:val="21"/>
          <w:highlight w:val="none"/>
          <w:u w:val="single"/>
        </w:rPr>
        <w:t xml:space="preserve">   </w:t>
      </w:r>
    </w:p>
    <w:p w14:paraId="1EB545DB">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p>
    <w:p w14:paraId="16863A4F">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u w:val="single"/>
        </w:rPr>
        <w:t xml:space="preserve">                                       </w:t>
      </w:r>
    </w:p>
    <w:p w14:paraId="03F2B368">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5147B7A5">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6E5D453B">
      <w:pPr>
        <w:jc w:val="center"/>
        <w:rPr>
          <w:rFonts w:ascii="宋体"/>
          <w:b/>
          <w:color w:val="auto"/>
          <w:sz w:val="32"/>
          <w:szCs w:val="32"/>
          <w:highlight w:val="none"/>
        </w:rPr>
      </w:pPr>
    </w:p>
    <w:p w14:paraId="1AE9112D">
      <w:pPr>
        <w:outlineLvl w:val="0"/>
        <w:rPr>
          <w:rFonts w:hint="eastAsia" w:ascii="宋体" w:hAnsi="宋体" w:eastAsia="宋体" w:cs="宋体"/>
          <w:color w:val="auto"/>
          <w:sz w:val="28"/>
          <w:szCs w:val="28"/>
          <w:highlight w:val="none"/>
        </w:rPr>
      </w:pPr>
      <w:r>
        <w:rPr>
          <w:rFonts w:hint="eastAsia" w:ascii="宋体" w:hAnsi="宋体"/>
          <w:b/>
          <w:color w:val="auto"/>
          <w:sz w:val="32"/>
          <w:szCs w:val="32"/>
          <w:highlight w:val="none"/>
        </w:rPr>
        <w:t>（</w:t>
      </w:r>
      <w:r>
        <w:rPr>
          <w:rFonts w:ascii="宋体" w:hAnsi="宋体"/>
          <w:b/>
          <w:color w:val="auto"/>
          <w:sz w:val="32"/>
          <w:szCs w:val="32"/>
          <w:highlight w:val="none"/>
        </w:rPr>
        <w:t>2</w:t>
      </w:r>
      <w:r>
        <w:rPr>
          <w:rFonts w:hint="eastAsia" w:ascii="宋体" w:hAnsi="宋体"/>
          <w:b/>
          <w:color w:val="auto"/>
          <w:sz w:val="32"/>
          <w:szCs w:val="32"/>
          <w:highlight w:val="none"/>
        </w:rPr>
        <w:t>）详细评审所需其他材料（如有）</w:t>
      </w:r>
      <w:bookmarkEnd w:id="7"/>
      <w:bookmarkEnd w:id="8"/>
      <w:bookmarkEnd w:id="9"/>
      <w:bookmarkEnd w:id="10"/>
      <w:bookmarkEnd w:id="11"/>
      <w:r>
        <w:rPr>
          <w:b/>
          <w:color w:val="auto"/>
          <w:sz w:val="32"/>
          <w:szCs w:val="32"/>
          <w:highlight w:val="none"/>
        </w:rPr>
        <w:br w:type="page"/>
      </w:r>
      <w:bookmarkStart w:id="797" w:name="_Toc11016"/>
      <w:r>
        <w:rPr>
          <w:rFonts w:hint="eastAsia" w:ascii="宋体" w:hAnsi="宋体" w:eastAsia="宋体" w:cs="宋体"/>
          <w:b/>
          <w:color w:val="auto"/>
          <w:sz w:val="28"/>
          <w:szCs w:val="28"/>
          <w:highlight w:val="none"/>
          <w:lang w:bidi="ar"/>
        </w:rPr>
        <w:t>附件1</w:t>
      </w:r>
      <w:bookmarkEnd w:id="797"/>
    </w:p>
    <w:p w14:paraId="345A132E">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42EC8B4">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2BCA651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318F697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0CDC33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EDB8E6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3F54BB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276D5D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2F07D63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5B0B720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6063E8A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588478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5B7A912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5DEF32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553039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43FF0D3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5AF9FD8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7B35FB1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D45BC99">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515B0F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2BCB7F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3451B7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0E5F6E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096089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31FF39C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114C9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798" w:name="OLE_LINK102"/>
      <w:bookmarkStart w:id="799" w:name="OLE_LINK101"/>
      <w:bookmarkStart w:id="800" w:name="OLE_LINK100"/>
      <w:r>
        <w:rPr>
          <w:rFonts w:hint="eastAsia" w:ascii="宋体" w:hAnsi="宋体" w:eastAsia="宋体" w:cs="宋体"/>
          <w:bCs/>
          <w:color w:val="auto"/>
          <w:kern w:val="0"/>
          <w:sz w:val="24"/>
          <w:szCs w:val="24"/>
          <w:highlight w:val="none"/>
          <w:lang w:bidi="ar"/>
        </w:rPr>
        <w:t>被列入“经营异常名录”或者“严重违法失信名单”的</w:t>
      </w:r>
      <w:bookmarkEnd w:id="798"/>
      <w:bookmarkEnd w:id="799"/>
      <w:bookmarkEnd w:id="800"/>
      <w:r>
        <w:rPr>
          <w:rFonts w:hint="eastAsia" w:ascii="宋体" w:hAnsi="宋体" w:eastAsia="宋体" w:cs="宋体"/>
          <w:bCs/>
          <w:color w:val="auto"/>
          <w:kern w:val="0"/>
          <w:sz w:val="24"/>
          <w:szCs w:val="24"/>
          <w:highlight w:val="none"/>
          <w:lang w:bidi="ar"/>
        </w:rPr>
        <w:t>。</w:t>
      </w:r>
    </w:p>
    <w:p w14:paraId="2E2BAF7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801" w:name="OLE_LINK96"/>
      <w:bookmarkStart w:id="802"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801"/>
      <w:bookmarkEnd w:id="802"/>
      <w:r>
        <w:rPr>
          <w:rFonts w:hint="eastAsia" w:ascii="宋体" w:hAnsi="宋体" w:eastAsia="宋体" w:cs="宋体"/>
          <w:bCs/>
          <w:color w:val="auto"/>
          <w:kern w:val="0"/>
          <w:sz w:val="24"/>
          <w:szCs w:val="24"/>
          <w:highlight w:val="none"/>
          <w:lang w:bidi="ar"/>
        </w:rPr>
        <w:t>）查询以下失信行为：</w:t>
      </w:r>
    </w:p>
    <w:p w14:paraId="209E016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803" w:name="OLE_LINK106"/>
      <w:bookmarkStart w:id="804" w:name="OLE_LINK105"/>
      <w:bookmarkStart w:id="805" w:name="OLE_LINK104"/>
      <w:r>
        <w:rPr>
          <w:rFonts w:hint="eastAsia" w:ascii="宋体" w:hAnsi="宋体" w:eastAsia="宋体" w:cs="宋体"/>
          <w:bCs/>
          <w:color w:val="auto"/>
          <w:kern w:val="0"/>
          <w:sz w:val="24"/>
          <w:szCs w:val="24"/>
          <w:highlight w:val="none"/>
          <w:lang w:bidi="ar"/>
        </w:rPr>
        <w:t>被列入“政府采购严重违法失信行为信息记录”的</w:t>
      </w:r>
      <w:bookmarkEnd w:id="803"/>
      <w:bookmarkEnd w:id="804"/>
      <w:bookmarkEnd w:id="805"/>
      <w:r>
        <w:rPr>
          <w:rFonts w:hint="eastAsia" w:ascii="宋体" w:hAnsi="宋体" w:eastAsia="宋体" w:cs="宋体"/>
          <w:bCs/>
          <w:color w:val="auto"/>
          <w:kern w:val="0"/>
          <w:sz w:val="24"/>
          <w:szCs w:val="24"/>
          <w:highlight w:val="none"/>
          <w:lang w:bidi="ar"/>
        </w:rPr>
        <w:t>。</w:t>
      </w:r>
    </w:p>
    <w:p w14:paraId="1374F6B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7BB9686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1271C198">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388EF5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B1C83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AB6D9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79DA55F5">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EA2536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4888A2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AD477D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848562A">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737FBA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3C2F5AB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9E94319">
      <w:pPr>
        <w:pStyle w:val="40"/>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93B0BB6">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B788CCF">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0191341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0F54D6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31F6AA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0FD7D4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2B336C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716100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762529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5901A2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16A4AE1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43E0340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537C7D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3469C4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244BBD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3B4608F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5D3E98E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4D8509E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EB3165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6A06B9E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614D82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26552A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5B6008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2B204C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5B64F1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490C152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B07ADA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265916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0CDDB42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1E2A00D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49029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0B5994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BF1561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AA47A7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5AC92F4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684F4E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D8D6C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70349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574A4E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45038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7E63C87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71E7CB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5B8C70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BDFBB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A74FDC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5A6AD5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3A49A2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B5AC9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5D0584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F8AAD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08E7DD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2702AD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0315D9D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A497AD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8F0907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3D2BBFE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3A55B4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1DB365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6DBCA2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74CF57F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7C8F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0696E4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6127E4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8C91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6D8D9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3B2BA0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35952B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43EF3C2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0D0F2DF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01E9DF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E084B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66B5E7A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14551E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EC07F2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5DC2B90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1852787B">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4E26726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CA9F33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6DE81EB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5842604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351B1F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0D32AC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20D4024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07E0941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23CAD87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051A2B2">
      <w:pPr>
        <w:widowControl/>
        <w:autoSpaceDE w:val="0"/>
        <w:spacing w:line="480" w:lineRule="exact"/>
        <w:ind w:firstLine="482" w:firstLineChars="200"/>
        <w:jc w:val="left"/>
        <w:textAlignment w:val="baseline"/>
        <w:rPr>
          <w:rFonts w:hint="eastAsia" w:ascii="仿宋_GB2312" w:eastAsia="仿宋_GB2312"/>
          <w:b/>
          <w:color w:val="auto"/>
          <w:sz w:val="32"/>
          <w:szCs w:val="32"/>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74865D54">
      <w:pPr>
        <w:adjustRightInd w:val="0"/>
        <w:snapToGrid w:val="0"/>
        <w:spacing w:line="500" w:lineRule="exact"/>
        <w:ind w:firstLine="615"/>
        <w:jc w:val="left"/>
        <w:rPr>
          <w:rFonts w:ascii="宋体" w:hAnsi="宋体" w:cs="宋体"/>
          <w:b/>
          <w:color w:val="auto"/>
          <w:szCs w:val="21"/>
          <w:highlight w:val="none"/>
        </w:rPr>
      </w:pPr>
    </w:p>
    <w:p w14:paraId="749E695A">
      <w:pPr>
        <w:adjustRightInd w:val="0"/>
        <w:snapToGrid w:val="0"/>
        <w:spacing w:line="500" w:lineRule="exact"/>
        <w:ind w:firstLine="615"/>
        <w:jc w:val="left"/>
        <w:rPr>
          <w:rFonts w:ascii="宋体" w:hAnsi="宋体" w:cs="宋体"/>
          <w:b/>
          <w:color w:val="auto"/>
          <w:szCs w:val="21"/>
          <w:highlight w:val="none"/>
        </w:rPr>
      </w:pPr>
    </w:p>
    <w:p w14:paraId="0007A92A">
      <w:pPr>
        <w:rPr>
          <w:rFonts w:hint="eastAsia"/>
          <w:bCs/>
          <w:color w:val="auto"/>
          <w:szCs w:val="32"/>
          <w:highlight w:val="none"/>
        </w:rPr>
      </w:pPr>
      <w:r>
        <w:rPr>
          <w:b/>
          <w:color w:val="auto"/>
          <w:sz w:val="32"/>
          <w:szCs w:val="32"/>
          <w:highlight w:val="none"/>
        </w:rPr>
        <w:br w:type="page"/>
      </w:r>
      <w:bookmarkStart w:id="806" w:name="_Toc25735"/>
    </w:p>
    <w:p w14:paraId="25CE3C29">
      <w:pPr>
        <w:pStyle w:val="43"/>
        <w:spacing w:beforeLines="50" w:afterLines="50" w:line="440" w:lineRule="exact"/>
        <w:rPr>
          <w:bCs/>
          <w:color w:val="auto"/>
          <w:szCs w:val="32"/>
          <w:highlight w:val="none"/>
        </w:rPr>
      </w:pPr>
      <w:r>
        <w:rPr>
          <w:rFonts w:hint="eastAsia"/>
          <w:bCs/>
          <w:color w:val="auto"/>
          <w:szCs w:val="32"/>
          <w:highlight w:val="none"/>
        </w:rPr>
        <w:t>第六章</w:t>
      </w:r>
      <w:r>
        <w:rPr>
          <w:bCs/>
          <w:color w:val="auto"/>
          <w:szCs w:val="32"/>
          <w:highlight w:val="none"/>
        </w:rPr>
        <w:t xml:space="preserve">  </w:t>
      </w:r>
      <w:r>
        <w:rPr>
          <w:rFonts w:hint="eastAsia"/>
          <w:bCs/>
          <w:color w:val="auto"/>
          <w:szCs w:val="32"/>
          <w:highlight w:val="none"/>
        </w:rPr>
        <w:t>招标单位、招标代理机构对本招标文件的确认</w:t>
      </w:r>
      <w:bookmarkEnd w:id="806"/>
    </w:p>
    <w:p w14:paraId="5F91923B">
      <w:pPr>
        <w:pStyle w:val="16"/>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10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jc w:val="center"/>
        </w:trPr>
        <w:tc>
          <w:tcPr>
            <w:tcW w:w="9580" w:type="dxa"/>
          </w:tcPr>
          <w:p w14:paraId="082372F4">
            <w:pPr>
              <w:wordWrap w:val="0"/>
              <w:adjustRightInd w:val="0"/>
              <w:snapToGrid w:val="0"/>
              <w:spacing w:line="560" w:lineRule="exact"/>
              <w:rPr>
                <w:color w:val="auto"/>
                <w:sz w:val="30"/>
                <w:highlight w:val="none"/>
              </w:rPr>
            </w:pPr>
          </w:p>
          <w:p w14:paraId="41721FB9">
            <w:pPr>
              <w:wordWrap w:val="0"/>
              <w:ind w:left="-358" w:leftChars="-171" w:hanging="1"/>
              <w:rPr>
                <w:color w:val="auto"/>
                <w:sz w:val="28"/>
                <w:szCs w:val="28"/>
                <w:highlight w:val="none"/>
              </w:rPr>
            </w:pPr>
            <w:r>
              <w:rPr>
                <w:rFonts w:hint="eastAsia"/>
                <w:color w:val="auto"/>
                <w:sz w:val="24"/>
                <w:highlight w:val="none"/>
              </w:rPr>
              <w:t>我</w:t>
            </w:r>
            <w:r>
              <w:rPr>
                <w:color w:val="auto"/>
                <w:sz w:val="24"/>
                <w:highlight w:val="none"/>
              </w:rPr>
              <w:t xml:space="preserve">      </w:t>
            </w:r>
            <w:r>
              <w:rPr>
                <w:rFonts w:hint="eastAsia"/>
                <w:color w:val="auto"/>
                <w:sz w:val="28"/>
                <w:szCs w:val="28"/>
                <w:highlight w:val="none"/>
              </w:rPr>
              <w:t>我单位对</w:t>
            </w:r>
            <w:r>
              <w:rPr>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滁州经开区市政道路排水管网更新改造项目监理</w:t>
            </w:r>
            <w:r>
              <w:rPr>
                <w:color w:val="auto"/>
                <w:sz w:val="28"/>
                <w:szCs w:val="28"/>
                <w:highlight w:val="none"/>
                <w:u w:val="single"/>
              </w:rPr>
              <w:t xml:space="preserve"> </w:t>
            </w:r>
            <w:r>
              <w:rPr>
                <w:rFonts w:hint="eastAsia"/>
                <w:color w:val="auto"/>
                <w:sz w:val="28"/>
                <w:szCs w:val="28"/>
                <w:highlight w:val="none"/>
              </w:rPr>
              <w:t>的招标文件进行确认。</w:t>
            </w:r>
          </w:p>
          <w:p w14:paraId="34285FB0">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招 标 人：</w:t>
            </w:r>
            <w:r>
              <w:rPr>
                <w:rFonts w:hint="eastAsia" w:ascii="宋体" w:hAnsi="宋体"/>
                <w:color w:val="auto"/>
                <w:sz w:val="28"/>
                <w:szCs w:val="28"/>
                <w:highlight w:val="none"/>
                <w:lang w:eastAsia="zh-CN"/>
              </w:rPr>
              <w:t>滁州华城建设开发有限公司</w:t>
            </w:r>
            <w:r>
              <w:rPr>
                <w:rFonts w:hint="eastAsia" w:ascii="宋体" w:hAnsi="宋体"/>
                <w:color w:val="auto"/>
                <w:sz w:val="28"/>
                <w:szCs w:val="28"/>
                <w:highlight w:val="none"/>
              </w:rPr>
              <w:t xml:space="preserve">       </w:t>
            </w:r>
          </w:p>
          <w:p w14:paraId="6D283997">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 系 人：</w:t>
            </w:r>
            <w:r>
              <w:rPr>
                <w:rFonts w:hint="eastAsia" w:ascii="宋体" w:hAnsi="宋体"/>
                <w:color w:val="auto"/>
                <w:sz w:val="28"/>
                <w:szCs w:val="28"/>
                <w:highlight w:val="none"/>
                <w:lang w:val="en-US" w:eastAsia="zh-CN"/>
              </w:rPr>
              <w:t>李工</w:t>
            </w:r>
          </w:p>
          <w:p w14:paraId="55D92B4B">
            <w:pPr>
              <w:wordWrap w:val="0"/>
              <w:spacing w:line="560" w:lineRule="exact"/>
              <w:ind w:firstLine="560" w:firstLineChars="200"/>
              <w:rPr>
                <w:rFonts w:asci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lang w:val="en-US" w:eastAsia="zh-CN"/>
              </w:rPr>
              <w:t>0550-321938</w:t>
            </w:r>
            <w:r>
              <w:rPr>
                <w:rFonts w:ascii="宋体" w:hAnsi="宋体"/>
                <w:color w:val="auto"/>
                <w:sz w:val="28"/>
                <w:szCs w:val="28"/>
                <w:highlight w:val="none"/>
              </w:rPr>
              <w:t xml:space="preserve">                   </w:t>
            </w:r>
          </w:p>
          <w:p w14:paraId="1A0ECF36">
            <w:pPr>
              <w:wordWrap w:val="0"/>
              <w:spacing w:line="560" w:lineRule="exact"/>
              <w:ind w:firstLine="560" w:firstLineChars="200"/>
              <w:rPr>
                <w:rFonts w:ascii="宋体"/>
                <w:color w:val="auto"/>
                <w:sz w:val="28"/>
                <w:szCs w:val="28"/>
                <w:highlight w:val="none"/>
              </w:rPr>
            </w:pPr>
          </w:p>
          <w:p w14:paraId="599DB388">
            <w:pPr>
              <w:wordWrap w:val="0"/>
              <w:spacing w:line="560" w:lineRule="exact"/>
              <w:ind w:firstLine="560" w:firstLineChars="200"/>
              <w:rPr>
                <w:rFonts w:ascii="宋体" w:hAnsi="宋体"/>
                <w:color w:val="auto"/>
                <w:sz w:val="28"/>
                <w:szCs w:val="28"/>
                <w:highlight w:val="none"/>
              </w:rPr>
            </w:pPr>
          </w:p>
          <w:p w14:paraId="2A6AFF16">
            <w:pPr>
              <w:wordWrap w:val="0"/>
              <w:spacing w:line="560" w:lineRule="exact"/>
              <w:ind w:firstLine="560" w:firstLineChars="200"/>
              <w:rPr>
                <w:rFonts w:ascii="宋体"/>
                <w:color w:val="auto"/>
                <w:sz w:val="28"/>
                <w:szCs w:val="28"/>
                <w:highlight w:val="none"/>
              </w:rPr>
            </w:pPr>
            <w:r>
              <w:rPr>
                <w:rFonts w:ascii="宋体" w:hAnsi="宋体"/>
                <w:color w:val="auto"/>
                <w:sz w:val="28"/>
                <w:szCs w:val="28"/>
                <w:highlight w:val="none"/>
              </w:rPr>
              <w:t xml:space="preserve">             </w:t>
            </w:r>
          </w:p>
          <w:p w14:paraId="5BC409F9">
            <w:pPr>
              <w:wordWrap w:val="0"/>
              <w:spacing w:line="560" w:lineRule="exact"/>
              <w:ind w:firstLine="6020" w:firstLineChars="2150"/>
              <w:rPr>
                <w:rFonts w:ascii="宋体"/>
                <w:color w:val="auto"/>
                <w:sz w:val="28"/>
                <w:szCs w:val="28"/>
                <w:highlight w:val="none"/>
              </w:rPr>
            </w:pPr>
            <w:r>
              <w:rPr>
                <w:rFonts w:hint="eastAsia" w:ascii="宋体" w:hAnsi="宋体"/>
                <w:color w:val="auto"/>
                <w:sz w:val="28"/>
                <w:szCs w:val="28"/>
                <w:highlight w:val="none"/>
              </w:rPr>
              <w:t>（单位盖章）</w:t>
            </w:r>
          </w:p>
          <w:p w14:paraId="78A5688D">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r w14:paraId="626C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9580" w:type="dxa"/>
          </w:tcPr>
          <w:p w14:paraId="1CA709FF">
            <w:pPr>
              <w:spacing w:line="560" w:lineRule="exact"/>
              <w:ind w:firstLine="560" w:firstLineChars="200"/>
              <w:rPr>
                <w:rFonts w:ascii="宋体" w:cs="宋体"/>
                <w:color w:val="auto"/>
                <w:sz w:val="28"/>
                <w:szCs w:val="28"/>
                <w:highlight w:val="none"/>
              </w:rPr>
            </w:pPr>
          </w:p>
          <w:p w14:paraId="307C99D8">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103E5D7D">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联</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人：杨韦</w:t>
            </w:r>
          </w:p>
          <w:p w14:paraId="3E35EB17">
            <w:pPr>
              <w:spacing w:line="560"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联系电话：</w:t>
            </w:r>
            <w:r>
              <w:rPr>
                <w:rFonts w:ascii="宋体" w:hAnsi="宋体" w:cs="宋体"/>
                <w:color w:val="auto"/>
                <w:sz w:val="28"/>
                <w:szCs w:val="28"/>
                <w:highlight w:val="none"/>
              </w:rPr>
              <w:t>0550-</w:t>
            </w:r>
            <w:r>
              <w:rPr>
                <w:rFonts w:hint="eastAsia" w:ascii="宋体" w:hAnsi="宋体" w:cs="宋体"/>
                <w:color w:val="auto"/>
                <w:sz w:val="28"/>
                <w:szCs w:val="28"/>
                <w:highlight w:val="none"/>
                <w:lang w:eastAsia="zh-CN"/>
              </w:rPr>
              <w:t>3519590</w:t>
            </w:r>
            <w:r>
              <w:rPr>
                <w:rFonts w:hint="eastAsia" w:ascii="宋体" w:hAnsi="宋体" w:cs="宋体"/>
                <w:color w:val="auto"/>
                <w:sz w:val="28"/>
                <w:szCs w:val="28"/>
                <w:highlight w:val="none"/>
              </w:rPr>
              <w:t>、</w:t>
            </w:r>
            <w:r>
              <w:rPr>
                <w:rFonts w:ascii="宋体" w:hAnsi="宋体" w:cs="宋体"/>
                <w:color w:val="auto"/>
                <w:sz w:val="28"/>
                <w:szCs w:val="28"/>
                <w:highlight w:val="none"/>
              </w:rPr>
              <w:t>18005501210</w:t>
            </w:r>
          </w:p>
          <w:p w14:paraId="75ED8EC9">
            <w:pPr>
              <w:spacing w:line="560" w:lineRule="exact"/>
              <w:ind w:firstLine="5040" w:firstLineChars="1800"/>
              <w:rPr>
                <w:rFonts w:ascii="宋体" w:cs="宋体"/>
                <w:color w:val="auto"/>
                <w:sz w:val="28"/>
                <w:szCs w:val="28"/>
                <w:highlight w:val="none"/>
              </w:rPr>
            </w:pPr>
          </w:p>
          <w:p w14:paraId="107D0493">
            <w:pPr>
              <w:spacing w:line="560" w:lineRule="exact"/>
              <w:ind w:firstLine="5460" w:firstLineChars="1950"/>
              <w:rPr>
                <w:rFonts w:ascii="宋体" w:cs="宋体"/>
                <w:color w:val="auto"/>
                <w:sz w:val="28"/>
                <w:szCs w:val="28"/>
                <w:highlight w:val="none"/>
              </w:rPr>
            </w:pPr>
          </w:p>
          <w:p w14:paraId="67D0A79E">
            <w:pPr>
              <w:spacing w:line="560" w:lineRule="exact"/>
              <w:ind w:firstLine="5460" w:firstLineChars="1950"/>
              <w:rPr>
                <w:rFonts w:ascii="宋体" w:cs="宋体"/>
                <w:color w:val="auto"/>
                <w:sz w:val="28"/>
                <w:szCs w:val="28"/>
                <w:highlight w:val="none"/>
              </w:rPr>
            </w:pPr>
          </w:p>
          <w:p w14:paraId="144479D9">
            <w:pPr>
              <w:spacing w:line="560" w:lineRule="exact"/>
              <w:ind w:firstLine="5880" w:firstLineChars="2100"/>
              <w:rPr>
                <w:rFonts w:ascii="宋体" w:cs="宋体"/>
                <w:color w:val="auto"/>
                <w:sz w:val="28"/>
                <w:szCs w:val="28"/>
                <w:highlight w:val="none"/>
              </w:rPr>
            </w:pPr>
            <w:r>
              <w:rPr>
                <w:rFonts w:hint="eastAsia" w:ascii="宋体" w:hAnsi="宋体" w:cs="宋体"/>
                <w:color w:val="auto"/>
                <w:sz w:val="28"/>
                <w:szCs w:val="28"/>
                <w:highlight w:val="none"/>
              </w:rPr>
              <w:t>（单位盖章）</w:t>
            </w:r>
          </w:p>
          <w:p w14:paraId="0D0EF102">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bl>
    <w:p w14:paraId="6F90BBDF">
      <w:pPr>
        <w:pStyle w:val="45"/>
        <w:ind w:left="0" w:leftChars="0" w:firstLine="0" w:firstLineChars="0"/>
        <w:rPr>
          <w:color w:val="auto"/>
          <w:highlight w:val="none"/>
        </w:rPr>
      </w:pPr>
    </w:p>
    <w:sectPr>
      <w:footerReference r:id="rId6" w:type="default"/>
      <w:pgSz w:w="11906" w:h="16838"/>
      <w:pgMar w:top="1134" w:right="1417" w:bottom="113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77F9">
    <w:pPr>
      <w:pStyle w:val="27"/>
      <w:framePr w:wrap="around" w:vAnchor="text" w:hAnchor="margin" w:xAlign="center" w:y="1"/>
      <w:rPr>
        <w:rStyle w:val="50"/>
      </w:rPr>
    </w:pPr>
  </w:p>
  <w:p w14:paraId="07F8DFB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5471">
    <w:pPr>
      <w:pStyle w:val="27"/>
      <w:framePr w:wrap="around" w:vAnchor="text" w:hAnchor="margin" w:xAlign="center" w:y="1"/>
      <w:rPr>
        <w:rStyle w:val="50"/>
      </w:rPr>
    </w:pPr>
  </w:p>
  <w:p w14:paraId="141AC01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8076">
    <w:pPr>
      <w:pStyle w:val="27"/>
      <w:rPr>
        <w:rStyle w:val="50"/>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DE163">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045DE163">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7998B62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0A6">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7D07"/>
    <w:multiLevelType w:val="singleLevel"/>
    <w:tmpl w:val="8EC07D07"/>
    <w:lvl w:ilvl="0" w:tentative="0">
      <w:start w:val="9"/>
      <w:numFmt w:val="chineseCounting"/>
      <w:suff w:val="nothing"/>
      <w:lvlText w:val="（%1）"/>
      <w:lvlJc w:val="left"/>
      <w:rPr>
        <w:rFonts w:hint="eastAsia"/>
      </w:rPr>
    </w:lvl>
  </w:abstractNum>
  <w:abstractNum w:abstractNumId="1">
    <w:nsid w:val="8F1A08B1"/>
    <w:multiLevelType w:val="singleLevel"/>
    <w:tmpl w:val="8F1A08B1"/>
    <w:lvl w:ilvl="0" w:tentative="0">
      <w:start w:val="4"/>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 w:name="KSO_WPS_MARK_KEY" w:val="500f34a0-6bbe-4f54-87cc-4bc5d3d21986"/>
  </w:docVars>
  <w:rsids>
    <w:rsidRoot w:val="00172A27"/>
    <w:rsid w:val="0000197A"/>
    <w:rsid w:val="00002E1B"/>
    <w:rsid w:val="000046EA"/>
    <w:rsid w:val="00004E34"/>
    <w:rsid w:val="00005CD8"/>
    <w:rsid w:val="00006123"/>
    <w:rsid w:val="000070B7"/>
    <w:rsid w:val="0000758B"/>
    <w:rsid w:val="00010F4B"/>
    <w:rsid w:val="0001111D"/>
    <w:rsid w:val="00012D1D"/>
    <w:rsid w:val="00017114"/>
    <w:rsid w:val="00017EFA"/>
    <w:rsid w:val="00020FE0"/>
    <w:rsid w:val="00021BDB"/>
    <w:rsid w:val="000225E0"/>
    <w:rsid w:val="00022A89"/>
    <w:rsid w:val="000330C1"/>
    <w:rsid w:val="000335C0"/>
    <w:rsid w:val="00034C73"/>
    <w:rsid w:val="00037B93"/>
    <w:rsid w:val="00040224"/>
    <w:rsid w:val="0004332D"/>
    <w:rsid w:val="00046C34"/>
    <w:rsid w:val="0005256E"/>
    <w:rsid w:val="00057DBF"/>
    <w:rsid w:val="0006411D"/>
    <w:rsid w:val="000642AF"/>
    <w:rsid w:val="00066792"/>
    <w:rsid w:val="00076F1D"/>
    <w:rsid w:val="00077234"/>
    <w:rsid w:val="00086C18"/>
    <w:rsid w:val="00090A07"/>
    <w:rsid w:val="00090F90"/>
    <w:rsid w:val="00093100"/>
    <w:rsid w:val="000939B1"/>
    <w:rsid w:val="00094E9D"/>
    <w:rsid w:val="000A078C"/>
    <w:rsid w:val="000A11AD"/>
    <w:rsid w:val="000A5881"/>
    <w:rsid w:val="000A65EE"/>
    <w:rsid w:val="000B3A75"/>
    <w:rsid w:val="000B4B76"/>
    <w:rsid w:val="000B7A7E"/>
    <w:rsid w:val="000C26FD"/>
    <w:rsid w:val="000D203E"/>
    <w:rsid w:val="000D2C3D"/>
    <w:rsid w:val="000D2ECE"/>
    <w:rsid w:val="000E0020"/>
    <w:rsid w:val="000E1F7F"/>
    <w:rsid w:val="000E3D3D"/>
    <w:rsid w:val="000F740E"/>
    <w:rsid w:val="00104E44"/>
    <w:rsid w:val="001063CB"/>
    <w:rsid w:val="0011140E"/>
    <w:rsid w:val="00115943"/>
    <w:rsid w:val="00116988"/>
    <w:rsid w:val="00125553"/>
    <w:rsid w:val="00131494"/>
    <w:rsid w:val="00132E3D"/>
    <w:rsid w:val="00146B5E"/>
    <w:rsid w:val="0015292B"/>
    <w:rsid w:val="0015363F"/>
    <w:rsid w:val="00154C59"/>
    <w:rsid w:val="00155F6F"/>
    <w:rsid w:val="001564C3"/>
    <w:rsid w:val="001620D9"/>
    <w:rsid w:val="00165414"/>
    <w:rsid w:val="00165F97"/>
    <w:rsid w:val="00167090"/>
    <w:rsid w:val="00172A27"/>
    <w:rsid w:val="00173D37"/>
    <w:rsid w:val="00182D4C"/>
    <w:rsid w:val="001834BA"/>
    <w:rsid w:val="001843D3"/>
    <w:rsid w:val="00184866"/>
    <w:rsid w:val="00185DBC"/>
    <w:rsid w:val="00191DD8"/>
    <w:rsid w:val="001963BD"/>
    <w:rsid w:val="001A120B"/>
    <w:rsid w:val="001A184C"/>
    <w:rsid w:val="001A37E0"/>
    <w:rsid w:val="001A3EC9"/>
    <w:rsid w:val="001A6EF7"/>
    <w:rsid w:val="001B1DF0"/>
    <w:rsid w:val="001B21A5"/>
    <w:rsid w:val="001B45D5"/>
    <w:rsid w:val="001B4675"/>
    <w:rsid w:val="001B4BDE"/>
    <w:rsid w:val="001B59E9"/>
    <w:rsid w:val="001B62B0"/>
    <w:rsid w:val="001B6A78"/>
    <w:rsid w:val="001C4E01"/>
    <w:rsid w:val="001D0C94"/>
    <w:rsid w:val="001E6D31"/>
    <w:rsid w:val="001F23AB"/>
    <w:rsid w:val="001F32ED"/>
    <w:rsid w:val="001F7E70"/>
    <w:rsid w:val="00200459"/>
    <w:rsid w:val="00202DB7"/>
    <w:rsid w:val="00207065"/>
    <w:rsid w:val="00207999"/>
    <w:rsid w:val="00213FCA"/>
    <w:rsid w:val="00214988"/>
    <w:rsid w:val="00214F76"/>
    <w:rsid w:val="002202CE"/>
    <w:rsid w:val="0022219A"/>
    <w:rsid w:val="00222521"/>
    <w:rsid w:val="00230A2B"/>
    <w:rsid w:val="00231547"/>
    <w:rsid w:val="002334EC"/>
    <w:rsid w:val="00235B32"/>
    <w:rsid w:val="00236AD7"/>
    <w:rsid w:val="00240423"/>
    <w:rsid w:val="00243B18"/>
    <w:rsid w:val="00246B91"/>
    <w:rsid w:val="00247A64"/>
    <w:rsid w:val="00250BCF"/>
    <w:rsid w:val="00253591"/>
    <w:rsid w:val="00255670"/>
    <w:rsid w:val="00262ABE"/>
    <w:rsid w:val="00276F57"/>
    <w:rsid w:val="00277D06"/>
    <w:rsid w:val="002816D4"/>
    <w:rsid w:val="00286980"/>
    <w:rsid w:val="0029757E"/>
    <w:rsid w:val="002A1A66"/>
    <w:rsid w:val="002A599F"/>
    <w:rsid w:val="002B30AF"/>
    <w:rsid w:val="002B4BA8"/>
    <w:rsid w:val="002B6923"/>
    <w:rsid w:val="002B7117"/>
    <w:rsid w:val="002B714A"/>
    <w:rsid w:val="002B7621"/>
    <w:rsid w:val="002C2E22"/>
    <w:rsid w:val="002C341B"/>
    <w:rsid w:val="002C3BAD"/>
    <w:rsid w:val="002C4A57"/>
    <w:rsid w:val="002C5643"/>
    <w:rsid w:val="002E13EC"/>
    <w:rsid w:val="002F2C99"/>
    <w:rsid w:val="002F794D"/>
    <w:rsid w:val="003029B3"/>
    <w:rsid w:val="00303019"/>
    <w:rsid w:val="00306787"/>
    <w:rsid w:val="0031113D"/>
    <w:rsid w:val="00313CA4"/>
    <w:rsid w:val="003150CE"/>
    <w:rsid w:val="00316270"/>
    <w:rsid w:val="00321598"/>
    <w:rsid w:val="00321FDB"/>
    <w:rsid w:val="00323870"/>
    <w:rsid w:val="00324847"/>
    <w:rsid w:val="00324A5E"/>
    <w:rsid w:val="00325624"/>
    <w:rsid w:val="00332891"/>
    <w:rsid w:val="00333810"/>
    <w:rsid w:val="00342D97"/>
    <w:rsid w:val="00343375"/>
    <w:rsid w:val="003448C2"/>
    <w:rsid w:val="00344CD6"/>
    <w:rsid w:val="0034662F"/>
    <w:rsid w:val="003510D2"/>
    <w:rsid w:val="00351A8E"/>
    <w:rsid w:val="0035447B"/>
    <w:rsid w:val="00356B27"/>
    <w:rsid w:val="00356B90"/>
    <w:rsid w:val="00357C8A"/>
    <w:rsid w:val="00360C29"/>
    <w:rsid w:val="00361CBA"/>
    <w:rsid w:val="0036593D"/>
    <w:rsid w:val="00366951"/>
    <w:rsid w:val="00376808"/>
    <w:rsid w:val="003817E6"/>
    <w:rsid w:val="00381B3A"/>
    <w:rsid w:val="00381E22"/>
    <w:rsid w:val="0038244A"/>
    <w:rsid w:val="00382545"/>
    <w:rsid w:val="00383221"/>
    <w:rsid w:val="00386132"/>
    <w:rsid w:val="003871B4"/>
    <w:rsid w:val="00393016"/>
    <w:rsid w:val="00393669"/>
    <w:rsid w:val="00394BA5"/>
    <w:rsid w:val="003A70F7"/>
    <w:rsid w:val="003B39C6"/>
    <w:rsid w:val="003B4CDE"/>
    <w:rsid w:val="003B5919"/>
    <w:rsid w:val="003B7075"/>
    <w:rsid w:val="003B7983"/>
    <w:rsid w:val="003C24F4"/>
    <w:rsid w:val="003C3C64"/>
    <w:rsid w:val="003C4452"/>
    <w:rsid w:val="003C7646"/>
    <w:rsid w:val="003D0BFC"/>
    <w:rsid w:val="003D34ED"/>
    <w:rsid w:val="003D60ED"/>
    <w:rsid w:val="003D7852"/>
    <w:rsid w:val="003E15AB"/>
    <w:rsid w:val="003E3274"/>
    <w:rsid w:val="003E441B"/>
    <w:rsid w:val="003E528B"/>
    <w:rsid w:val="003E62C9"/>
    <w:rsid w:val="003E64A4"/>
    <w:rsid w:val="003F1184"/>
    <w:rsid w:val="003F19CD"/>
    <w:rsid w:val="003F56BE"/>
    <w:rsid w:val="003F72A7"/>
    <w:rsid w:val="00403578"/>
    <w:rsid w:val="00404AFD"/>
    <w:rsid w:val="00411B9C"/>
    <w:rsid w:val="004139CC"/>
    <w:rsid w:val="004179E4"/>
    <w:rsid w:val="00422908"/>
    <w:rsid w:val="00423DA3"/>
    <w:rsid w:val="0042416B"/>
    <w:rsid w:val="004249BA"/>
    <w:rsid w:val="0042531B"/>
    <w:rsid w:val="004306D8"/>
    <w:rsid w:val="00430F18"/>
    <w:rsid w:val="00432BC1"/>
    <w:rsid w:val="00434AAC"/>
    <w:rsid w:val="0043512B"/>
    <w:rsid w:val="00435537"/>
    <w:rsid w:val="004355FE"/>
    <w:rsid w:val="00441E58"/>
    <w:rsid w:val="00445715"/>
    <w:rsid w:val="00445E0F"/>
    <w:rsid w:val="00446179"/>
    <w:rsid w:val="00446284"/>
    <w:rsid w:val="004506F7"/>
    <w:rsid w:val="00451F70"/>
    <w:rsid w:val="00454C0F"/>
    <w:rsid w:val="00454F95"/>
    <w:rsid w:val="00456DC1"/>
    <w:rsid w:val="00462043"/>
    <w:rsid w:val="0046380E"/>
    <w:rsid w:val="004712B0"/>
    <w:rsid w:val="00471B5C"/>
    <w:rsid w:val="00473006"/>
    <w:rsid w:val="00473BA0"/>
    <w:rsid w:val="00474B17"/>
    <w:rsid w:val="00477FF4"/>
    <w:rsid w:val="00494CD7"/>
    <w:rsid w:val="004A394F"/>
    <w:rsid w:val="004A7299"/>
    <w:rsid w:val="004C2BF2"/>
    <w:rsid w:val="004C4C36"/>
    <w:rsid w:val="004D0871"/>
    <w:rsid w:val="004D31D7"/>
    <w:rsid w:val="004D6B92"/>
    <w:rsid w:val="004E085C"/>
    <w:rsid w:val="004E0F8D"/>
    <w:rsid w:val="004F1D3D"/>
    <w:rsid w:val="004F3C9D"/>
    <w:rsid w:val="004F77A5"/>
    <w:rsid w:val="00504F99"/>
    <w:rsid w:val="00505F69"/>
    <w:rsid w:val="005078D7"/>
    <w:rsid w:val="00510F89"/>
    <w:rsid w:val="00512B81"/>
    <w:rsid w:val="00513D1E"/>
    <w:rsid w:val="00525D5C"/>
    <w:rsid w:val="00526B90"/>
    <w:rsid w:val="00527D18"/>
    <w:rsid w:val="005324F1"/>
    <w:rsid w:val="00534798"/>
    <w:rsid w:val="005362C3"/>
    <w:rsid w:val="00536BAD"/>
    <w:rsid w:val="00537141"/>
    <w:rsid w:val="005408F8"/>
    <w:rsid w:val="00543A1A"/>
    <w:rsid w:val="00543D1A"/>
    <w:rsid w:val="00545A63"/>
    <w:rsid w:val="00551ABE"/>
    <w:rsid w:val="00553C28"/>
    <w:rsid w:val="005575EF"/>
    <w:rsid w:val="00557CAA"/>
    <w:rsid w:val="005610A7"/>
    <w:rsid w:val="00562097"/>
    <w:rsid w:val="00563B31"/>
    <w:rsid w:val="00565E25"/>
    <w:rsid w:val="00566512"/>
    <w:rsid w:val="005677A2"/>
    <w:rsid w:val="00571668"/>
    <w:rsid w:val="005736B2"/>
    <w:rsid w:val="00580342"/>
    <w:rsid w:val="00582213"/>
    <w:rsid w:val="005901E1"/>
    <w:rsid w:val="005915F5"/>
    <w:rsid w:val="00591F58"/>
    <w:rsid w:val="00592834"/>
    <w:rsid w:val="00594FBF"/>
    <w:rsid w:val="00597823"/>
    <w:rsid w:val="005A5E6E"/>
    <w:rsid w:val="005A71BD"/>
    <w:rsid w:val="005A7C75"/>
    <w:rsid w:val="005B4AA4"/>
    <w:rsid w:val="005B5C42"/>
    <w:rsid w:val="005C0C25"/>
    <w:rsid w:val="005D1E1A"/>
    <w:rsid w:val="005D2808"/>
    <w:rsid w:val="005D6EDB"/>
    <w:rsid w:val="005E6D8D"/>
    <w:rsid w:val="005F2C58"/>
    <w:rsid w:val="005F4B20"/>
    <w:rsid w:val="005F548E"/>
    <w:rsid w:val="00601231"/>
    <w:rsid w:val="006015AA"/>
    <w:rsid w:val="006053A4"/>
    <w:rsid w:val="0061143B"/>
    <w:rsid w:val="00617B19"/>
    <w:rsid w:val="00620E0C"/>
    <w:rsid w:val="00626412"/>
    <w:rsid w:val="00627F07"/>
    <w:rsid w:val="00630A52"/>
    <w:rsid w:val="006314EC"/>
    <w:rsid w:val="006319A4"/>
    <w:rsid w:val="006320EC"/>
    <w:rsid w:val="00632505"/>
    <w:rsid w:val="0063261C"/>
    <w:rsid w:val="00634E49"/>
    <w:rsid w:val="00636DE4"/>
    <w:rsid w:val="006404B8"/>
    <w:rsid w:val="00640732"/>
    <w:rsid w:val="006411FA"/>
    <w:rsid w:val="006468C4"/>
    <w:rsid w:val="00646B1D"/>
    <w:rsid w:val="0065656C"/>
    <w:rsid w:val="00662C9C"/>
    <w:rsid w:val="00664CCB"/>
    <w:rsid w:val="0066501C"/>
    <w:rsid w:val="00672253"/>
    <w:rsid w:val="00680EED"/>
    <w:rsid w:val="00683A32"/>
    <w:rsid w:val="0069751D"/>
    <w:rsid w:val="00697E3A"/>
    <w:rsid w:val="006A2E04"/>
    <w:rsid w:val="006A5A61"/>
    <w:rsid w:val="006B06AF"/>
    <w:rsid w:val="006B110E"/>
    <w:rsid w:val="006B3913"/>
    <w:rsid w:val="006B5F0A"/>
    <w:rsid w:val="006C004B"/>
    <w:rsid w:val="006C09E3"/>
    <w:rsid w:val="006C12A2"/>
    <w:rsid w:val="006C3056"/>
    <w:rsid w:val="006C3E9D"/>
    <w:rsid w:val="006E29E7"/>
    <w:rsid w:val="006E4C81"/>
    <w:rsid w:val="006F3D17"/>
    <w:rsid w:val="006F75A9"/>
    <w:rsid w:val="007010A6"/>
    <w:rsid w:val="007010E6"/>
    <w:rsid w:val="00703797"/>
    <w:rsid w:val="00704877"/>
    <w:rsid w:val="007056DC"/>
    <w:rsid w:val="00707F33"/>
    <w:rsid w:val="00707FB8"/>
    <w:rsid w:val="00712094"/>
    <w:rsid w:val="00712899"/>
    <w:rsid w:val="007142EF"/>
    <w:rsid w:val="007167E3"/>
    <w:rsid w:val="00721DFF"/>
    <w:rsid w:val="007220FC"/>
    <w:rsid w:val="007224C8"/>
    <w:rsid w:val="00734057"/>
    <w:rsid w:val="00740EA7"/>
    <w:rsid w:val="00743322"/>
    <w:rsid w:val="00743A79"/>
    <w:rsid w:val="0074552F"/>
    <w:rsid w:val="00750DC6"/>
    <w:rsid w:val="00750EE0"/>
    <w:rsid w:val="00755F4B"/>
    <w:rsid w:val="00764F21"/>
    <w:rsid w:val="00771225"/>
    <w:rsid w:val="007735D0"/>
    <w:rsid w:val="0077709D"/>
    <w:rsid w:val="0077725B"/>
    <w:rsid w:val="0078232E"/>
    <w:rsid w:val="0078387C"/>
    <w:rsid w:val="007846BD"/>
    <w:rsid w:val="00785C7C"/>
    <w:rsid w:val="00791620"/>
    <w:rsid w:val="00797F29"/>
    <w:rsid w:val="00797F99"/>
    <w:rsid w:val="007A5486"/>
    <w:rsid w:val="007A59DE"/>
    <w:rsid w:val="007B10BC"/>
    <w:rsid w:val="007B6549"/>
    <w:rsid w:val="007B6736"/>
    <w:rsid w:val="007B7D18"/>
    <w:rsid w:val="007C5C10"/>
    <w:rsid w:val="007C5C4D"/>
    <w:rsid w:val="007D3552"/>
    <w:rsid w:val="007D7027"/>
    <w:rsid w:val="007E42D5"/>
    <w:rsid w:val="007E60BB"/>
    <w:rsid w:val="007E66F0"/>
    <w:rsid w:val="007E6E71"/>
    <w:rsid w:val="007F0879"/>
    <w:rsid w:val="007F7CC1"/>
    <w:rsid w:val="00802D13"/>
    <w:rsid w:val="00803277"/>
    <w:rsid w:val="00803BC6"/>
    <w:rsid w:val="008044D7"/>
    <w:rsid w:val="008056D1"/>
    <w:rsid w:val="00811BC8"/>
    <w:rsid w:val="0081385B"/>
    <w:rsid w:val="008146CD"/>
    <w:rsid w:val="00822D2E"/>
    <w:rsid w:val="00833488"/>
    <w:rsid w:val="00833A36"/>
    <w:rsid w:val="0084190B"/>
    <w:rsid w:val="0084411B"/>
    <w:rsid w:val="00844D6E"/>
    <w:rsid w:val="008462FB"/>
    <w:rsid w:val="008465CD"/>
    <w:rsid w:val="0084663D"/>
    <w:rsid w:val="00854873"/>
    <w:rsid w:val="00856515"/>
    <w:rsid w:val="00857737"/>
    <w:rsid w:val="00864FC6"/>
    <w:rsid w:val="00872E7D"/>
    <w:rsid w:val="0087424F"/>
    <w:rsid w:val="00874549"/>
    <w:rsid w:val="008756B7"/>
    <w:rsid w:val="00880472"/>
    <w:rsid w:val="008813F9"/>
    <w:rsid w:val="00881587"/>
    <w:rsid w:val="00884060"/>
    <w:rsid w:val="00890796"/>
    <w:rsid w:val="0089321E"/>
    <w:rsid w:val="008933DF"/>
    <w:rsid w:val="00894C08"/>
    <w:rsid w:val="00895001"/>
    <w:rsid w:val="008A0D2A"/>
    <w:rsid w:val="008A1DEE"/>
    <w:rsid w:val="008B3DFF"/>
    <w:rsid w:val="008C49D3"/>
    <w:rsid w:val="008C642B"/>
    <w:rsid w:val="008C6DA1"/>
    <w:rsid w:val="008C72A6"/>
    <w:rsid w:val="008D138C"/>
    <w:rsid w:val="008D3D94"/>
    <w:rsid w:val="008D3E37"/>
    <w:rsid w:val="008E30BF"/>
    <w:rsid w:val="008E35A0"/>
    <w:rsid w:val="008E5038"/>
    <w:rsid w:val="008F031C"/>
    <w:rsid w:val="008F1463"/>
    <w:rsid w:val="008F1F11"/>
    <w:rsid w:val="008F31C7"/>
    <w:rsid w:val="008F4575"/>
    <w:rsid w:val="008F7394"/>
    <w:rsid w:val="008F79D7"/>
    <w:rsid w:val="009006DF"/>
    <w:rsid w:val="00903CF0"/>
    <w:rsid w:val="00910153"/>
    <w:rsid w:val="00910A19"/>
    <w:rsid w:val="00910F4E"/>
    <w:rsid w:val="00911695"/>
    <w:rsid w:val="00911E55"/>
    <w:rsid w:val="00913F05"/>
    <w:rsid w:val="0091562C"/>
    <w:rsid w:val="009177B6"/>
    <w:rsid w:val="00924202"/>
    <w:rsid w:val="00924E50"/>
    <w:rsid w:val="00926ABF"/>
    <w:rsid w:val="00927A26"/>
    <w:rsid w:val="00927D00"/>
    <w:rsid w:val="0093269F"/>
    <w:rsid w:val="009412CD"/>
    <w:rsid w:val="0095349A"/>
    <w:rsid w:val="00960CAB"/>
    <w:rsid w:val="00961359"/>
    <w:rsid w:val="00962A0B"/>
    <w:rsid w:val="00962C4D"/>
    <w:rsid w:val="0096757C"/>
    <w:rsid w:val="00967A23"/>
    <w:rsid w:val="00972946"/>
    <w:rsid w:val="00974691"/>
    <w:rsid w:val="00976022"/>
    <w:rsid w:val="00976169"/>
    <w:rsid w:val="00976580"/>
    <w:rsid w:val="00977C3F"/>
    <w:rsid w:val="00980102"/>
    <w:rsid w:val="0098316D"/>
    <w:rsid w:val="00986D16"/>
    <w:rsid w:val="009910B5"/>
    <w:rsid w:val="009920AD"/>
    <w:rsid w:val="0099244A"/>
    <w:rsid w:val="009938B8"/>
    <w:rsid w:val="009A0735"/>
    <w:rsid w:val="009A25E2"/>
    <w:rsid w:val="009A2875"/>
    <w:rsid w:val="009A4C36"/>
    <w:rsid w:val="009B1FF8"/>
    <w:rsid w:val="009B42EF"/>
    <w:rsid w:val="009B4E7E"/>
    <w:rsid w:val="009B5EED"/>
    <w:rsid w:val="009C37BF"/>
    <w:rsid w:val="009C6EE6"/>
    <w:rsid w:val="009C7333"/>
    <w:rsid w:val="009C7979"/>
    <w:rsid w:val="009D0966"/>
    <w:rsid w:val="009D22E5"/>
    <w:rsid w:val="009D4B7E"/>
    <w:rsid w:val="009D71F1"/>
    <w:rsid w:val="009E015C"/>
    <w:rsid w:val="009E0909"/>
    <w:rsid w:val="009E37B1"/>
    <w:rsid w:val="009E3E05"/>
    <w:rsid w:val="009E5780"/>
    <w:rsid w:val="009E5D72"/>
    <w:rsid w:val="009F01E1"/>
    <w:rsid w:val="009F2F5E"/>
    <w:rsid w:val="009F3B2F"/>
    <w:rsid w:val="009F51BD"/>
    <w:rsid w:val="009F60D9"/>
    <w:rsid w:val="00A01456"/>
    <w:rsid w:val="00A01B5E"/>
    <w:rsid w:val="00A02A20"/>
    <w:rsid w:val="00A03301"/>
    <w:rsid w:val="00A0769D"/>
    <w:rsid w:val="00A101E8"/>
    <w:rsid w:val="00A1132C"/>
    <w:rsid w:val="00A1168E"/>
    <w:rsid w:val="00A11EE6"/>
    <w:rsid w:val="00A14C01"/>
    <w:rsid w:val="00A1556E"/>
    <w:rsid w:val="00A169DC"/>
    <w:rsid w:val="00A20C10"/>
    <w:rsid w:val="00A22EC9"/>
    <w:rsid w:val="00A25ED3"/>
    <w:rsid w:val="00A264B5"/>
    <w:rsid w:val="00A26E1A"/>
    <w:rsid w:val="00A27D67"/>
    <w:rsid w:val="00A37208"/>
    <w:rsid w:val="00A373FE"/>
    <w:rsid w:val="00A37744"/>
    <w:rsid w:val="00A431C8"/>
    <w:rsid w:val="00A47E8E"/>
    <w:rsid w:val="00A50183"/>
    <w:rsid w:val="00A508F5"/>
    <w:rsid w:val="00A52488"/>
    <w:rsid w:val="00A52EF8"/>
    <w:rsid w:val="00A55871"/>
    <w:rsid w:val="00A55F4D"/>
    <w:rsid w:val="00A60E15"/>
    <w:rsid w:val="00A65ACF"/>
    <w:rsid w:val="00A71725"/>
    <w:rsid w:val="00A730D4"/>
    <w:rsid w:val="00A75160"/>
    <w:rsid w:val="00A80107"/>
    <w:rsid w:val="00A82C07"/>
    <w:rsid w:val="00A8654F"/>
    <w:rsid w:val="00A87252"/>
    <w:rsid w:val="00A921C2"/>
    <w:rsid w:val="00A93040"/>
    <w:rsid w:val="00A9331E"/>
    <w:rsid w:val="00AA672A"/>
    <w:rsid w:val="00AA7717"/>
    <w:rsid w:val="00AA7A7D"/>
    <w:rsid w:val="00AB24DF"/>
    <w:rsid w:val="00AB2639"/>
    <w:rsid w:val="00AB41F5"/>
    <w:rsid w:val="00AB534D"/>
    <w:rsid w:val="00AB6C48"/>
    <w:rsid w:val="00AB7F2E"/>
    <w:rsid w:val="00AC26EA"/>
    <w:rsid w:val="00AC2702"/>
    <w:rsid w:val="00AC5E52"/>
    <w:rsid w:val="00AC75F2"/>
    <w:rsid w:val="00AD0D0C"/>
    <w:rsid w:val="00AD28A1"/>
    <w:rsid w:val="00AF04EA"/>
    <w:rsid w:val="00B01E1E"/>
    <w:rsid w:val="00B04E52"/>
    <w:rsid w:val="00B064E0"/>
    <w:rsid w:val="00B06DF0"/>
    <w:rsid w:val="00B125E7"/>
    <w:rsid w:val="00B17733"/>
    <w:rsid w:val="00B17A2D"/>
    <w:rsid w:val="00B238A2"/>
    <w:rsid w:val="00B2684F"/>
    <w:rsid w:val="00B30708"/>
    <w:rsid w:val="00B40A36"/>
    <w:rsid w:val="00B421B9"/>
    <w:rsid w:val="00B46946"/>
    <w:rsid w:val="00B52319"/>
    <w:rsid w:val="00B5524B"/>
    <w:rsid w:val="00B60374"/>
    <w:rsid w:val="00B624DE"/>
    <w:rsid w:val="00B669BA"/>
    <w:rsid w:val="00B67E11"/>
    <w:rsid w:val="00B81D39"/>
    <w:rsid w:val="00B87A14"/>
    <w:rsid w:val="00B87A48"/>
    <w:rsid w:val="00B91A45"/>
    <w:rsid w:val="00BA58F0"/>
    <w:rsid w:val="00BA6D3B"/>
    <w:rsid w:val="00BA7453"/>
    <w:rsid w:val="00BB0336"/>
    <w:rsid w:val="00BB2223"/>
    <w:rsid w:val="00BB2B7B"/>
    <w:rsid w:val="00BC0C20"/>
    <w:rsid w:val="00BC508C"/>
    <w:rsid w:val="00BC79D7"/>
    <w:rsid w:val="00BD41E9"/>
    <w:rsid w:val="00BE1A5C"/>
    <w:rsid w:val="00BE2D96"/>
    <w:rsid w:val="00BE520A"/>
    <w:rsid w:val="00BE5A23"/>
    <w:rsid w:val="00BE6705"/>
    <w:rsid w:val="00BE7FAD"/>
    <w:rsid w:val="00BF0DAF"/>
    <w:rsid w:val="00BF0E76"/>
    <w:rsid w:val="00BF1E08"/>
    <w:rsid w:val="00BF2EB6"/>
    <w:rsid w:val="00C063C0"/>
    <w:rsid w:val="00C06DB4"/>
    <w:rsid w:val="00C0756A"/>
    <w:rsid w:val="00C12A63"/>
    <w:rsid w:val="00C12BE9"/>
    <w:rsid w:val="00C13786"/>
    <w:rsid w:val="00C14FCB"/>
    <w:rsid w:val="00C15A0C"/>
    <w:rsid w:val="00C15FE3"/>
    <w:rsid w:val="00C2443D"/>
    <w:rsid w:val="00C2616B"/>
    <w:rsid w:val="00C318C2"/>
    <w:rsid w:val="00C35769"/>
    <w:rsid w:val="00C40FE1"/>
    <w:rsid w:val="00C434BA"/>
    <w:rsid w:val="00C44BCE"/>
    <w:rsid w:val="00C46EAD"/>
    <w:rsid w:val="00C51140"/>
    <w:rsid w:val="00C521B2"/>
    <w:rsid w:val="00C536A9"/>
    <w:rsid w:val="00C56A2B"/>
    <w:rsid w:val="00C57DD2"/>
    <w:rsid w:val="00C6039F"/>
    <w:rsid w:val="00C61FE7"/>
    <w:rsid w:val="00C64B7C"/>
    <w:rsid w:val="00C66520"/>
    <w:rsid w:val="00C673DF"/>
    <w:rsid w:val="00C75A94"/>
    <w:rsid w:val="00C77AA8"/>
    <w:rsid w:val="00C804FA"/>
    <w:rsid w:val="00C82E68"/>
    <w:rsid w:val="00C862B3"/>
    <w:rsid w:val="00C87B3D"/>
    <w:rsid w:val="00C90C62"/>
    <w:rsid w:val="00C92F00"/>
    <w:rsid w:val="00C93DA5"/>
    <w:rsid w:val="00C94F29"/>
    <w:rsid w:val="00CA00CA"/>
    <w:rsid w:val="00CA2884"/>
    <w:rsid w:val="00CB3280"/>
    <w:rsid w:val="00CB3F09"/>
    <w:rsid w:val="00CB57BD"/>
    <w:rsid w:val="00CC1A9F"/>
    <w:rsid w:val="00CC252A"/>
    <w:rsid w:val="00CC2938"/>
    <w:rsid w:val="00CC4493"/>
    <w:rsid w:val="00CC47DB"/>
    <w:rsid w:val="00CC5D81"/>
    <w:rsid w:val="00CD275C"/>
    <w:rsid w:val="00CD4231"/>
    <w:rsid w:val="00CD7B4A"/>
    <w:rsid w:val="00CE4F1D"/>
    <w:rsid w:val="00CF745F"/>
    <w:rsid w:val="00D0047C"/>
    <w:rsid w:val="00D03403"/>
    <w:rsid w:val="00D037D8"/>
    <w:rsid w:val="00D11406"/>
    <w:rsid w:val="00D1359A"/>
    <w:rsid w:val="00D22FAB"/>
    <w:rsid w:val="00D26687"/>
    <w:rsid w:val="00D2689C"/>
    <w:rsid w:val="00D26B80"/>
    <w:rsid w:val="00D329C5"/>
    <w:rsid w:val="00D35580"/>
    <w:rsid w:val="00D356EA"/>
    <w:rsid w:val="00D401A6"/>
    <w:rsid w:val="00D409EF"/>
    <w:rsid w:val="00D40B26"/>
    <w:rsid w:val="00D5328E"/>
    <w:rsid w:val="00D54F1A"/>
    <w:rsid w:val="00D567DA"/>
    <w:rsid w:val="00D608B9"/>
    <w:rsid w:val="00D61861"/>
    <w:rsid w:val="00D62567"/>
    <w:rsid w:val="00D66575"/>
    <w:rsid w:val="00D93C90"/>
    <w:rsid w:val="00DA0B4C"/>
    <w:rsid w:val="00DA5168"/>
    <w:rsid w:val="00DA56E9"/>
    <w:rsid w:val="00DB727B"/>
    <w:rsid w:val="00DC26C6"/>
    <w:rsid w:val="00DC277E"/>
    <w:rsid w:val="00DC2A3E"/>
    <w:rsid w:val="00DC3D1F"/>
    <w:rsid w:val="00DD13E3"/>
    <w:rsid w:val="00DD33A6"/>
    <w:rsid w:val="00DD4A45"/>
    <w:rsid w:val="00DE0362"/>
    <w:rsid w:val="00DE5E9E"/>
    <w:rsid w:val="00DF1196"/>
    <w:rsid w:val="00DF73D5"/>
    <w:rsid w:val="00E006A4"/>
    <w:rsid w:val="00E01733"/>
    <w:rsid w:val="00E12C8B"/>
    <w:rsid w:val="00E13696"/>
    <w:rsid w:val="00E15607"/>
    <w:rsid w:val="00E15BD9"/>
    <w:rsid w:val="00E20153"/>
    <w:rsid w:val="00E24AF7"/>
    <w:rsid w:val="00E2637A"/>
    <w:rsid w:val="00E31555"/>
    <w:rsid w:val="00E31DCB"/>
    <w:rsid w:val="00E3267B"/>
    <w:rsid w:val="00E36B63"/>
    <w:rsid w:val="00E420DA"/>
    <w:rsid w:val="00E432BC"/>
    <w:rsid w:val="00E46A23"/>
    <w:rsid w:val="00E471B1"/>
    <w:rsid w:val="00E52FB0"/>
    <w:rsid w:val="00E5543F"/>
    <w:rsid w:val="00E61800"/>
    <w:rsid w:val="00E658A8"/>
    <w:rsid w:val="00E676D9"/>
    <w:rsid w:val="00E71800"/>
    <w:rsid w:val="00E73BE6"/>
    <w:rsid w:val="00E73BEC"/>
    <w:rsid w:val="00E73D9E"/>
    <w:rsid w:val="00E73E25"/>
    <w:rsid w:val="00E74949"/>
    <w:rsid w:val="00E74A8E"/>
    <w:rsid w:val="00E82224"/>
    <w:rsid w:val="00EA3E32"/>
    <w:rsid w:val="00EA6D61"/>
    <w:rsid w:val="00EA704E"/>
    <w:rsid w:val="00EA7F7C"/>
    <w:rsid w:val="00EB2913"/>
    <w:rsid w:val="00EB42BD"/>
    <w:rsid w:val="00EB642C"/>
    <w:rsid w:val="00EC2475"/>
    <w:rsid w:val="00EC4E86"/>
    <w:rsid w:val="00EC5566"/>
    <w:rsid w:val="00EC69E9"/>
    <w:rsid w:val="00ED12A0"/>
    <w:rsid w:val="00ED1F99"/>
    <w:rsid w:val="00ED2D4B"/>
    <w:rsid w:val="00ED4F9C"/>
    <w:rsid w:val="00ED5689"/>
    <w:rsid w:val="00ED697B"/>
    <w:rsid w:val="00ED70F4"/>
    <w:rsid w:val="00EE0F9A"/>
    <w:rsid w:val="00EE1A69"/>
    <w:rsid w:val="00EE7CE2"/>
    <w:rsid w:val="00EF6EF4"/>
    <w:rsid w:val="00F00091"/>
    <w:rsid w:val="00F005E7"/>
    <w:rsid w:val="00F01476"/>
    <w:rsid w:val="00F0190B"/>
    <w:rsid w:val="00F0202B"/>
    <w:rsid w:val="00F0494D"/>
    <w:rsid w:val="00F04A09"/>
    <w:rsid w:val="00F05D9E"/>
    <w:rsid w:val="00F10121"/>
    <w:rsid w:val="00F12882"/>
    <w:rsid w:val="00F12BFE"/>
    <w:rsid w:val="00F1424F"/>
    <w:rsid w:val="00F1577A"/>
    <w:rsid w:val="00F21581"/>
    <w:rsid w:val="00F21AA8"/>
    <w:rsid w:val="00F22362"/>
    <w:rsid w:val="00F24087"/>
    <w:rsid w:val="00F26850"/>
    <w:rsid w:val="00F308B0"/>
    <w:rsid w:val="00F3163A"/>
    <w:rsid w:val="00F3402B"/>
    <w:rsid w:val="00F365E1"/>
    <w:rsid w:val="00F400D9"/>
    <w:rsid w:val="00F40471"/>
    <w:rsid w:val="00F429F9"/>
    <w:rsid w:val="00F43778"/>
    <w:rsid w:val="00F43A25"/>
    <w:rsid w:val="00F44932"/>
    <w:rsid w:val="00F509D2"/>
    <w:rsid w:val="00F53E92"/>
    <w:rsid w:val="00F579EE"/>
    <w:rsid w:val="00F57BC9"/>
    <w:rsid w:val="00F60225"/>
    <w:rsid w:val="00F61A0A"/>
    <w:rsid w:val="00F641D8"/>
    <w:rsid w:val="00F711EC"/>
    <w:rsid w:val="00F75713"/>
    <w:rsid w:val="00F75AB0"/>
    <w:rsid w:val="00F75C73"/>
    <w:rsid w:val="00F81536"/>
    <w:rsid w:val="00F85169"/>
    <w:rsid w:val="00F85239"/>
    <w:rsid w:val="00F8527D"/>
    <w:rsid w:val="00F8540D"/>
    <w:rsid w:val="00F90548"/>
    <w:rsid w:val="00F922EF"/>
    <w:rsid w:val="00F937BD"/>
    <w:rsid w:val="00FA4ABC"/>
    <w:rsid w:val="00FA51C6"/>
    <w:rsid w:val="00FA5D2F"/>
    <w:rsid w:val="00FB7C96"/>
    <w:rsid w:val="00FC460B"/>
    <w:rsid w:val="00FC56B8"/>
    <w:rsid w:val="00FC5F20"/>
    <w:rsid w:val="00FC7B5E"/>
    <w:rsid w:val="00FD079E"/>
    <w:rsid w:val="00FD20A0"/>
    <w:rsid w:val="00FD4991"/>
    <w:rsid w:val="00FE0113"/>
    <w:rsid w:val="00FE0A00"/>
    <w:rsid w:val="00FE7A2E"/>
    <w:rsid w:val="00FE7B94"/>
    <w:rsid w:val="00FF1392"/>
    <w:rsid w:val="00FF2D63"/>
    <w:rsid w:val="00FF403E"/>
    <w:rsid w:val="00FF6ACF"/>
    <w:rsid w:val="00FF7157"/>
    <w:rsid w:val="01042CD0"/>
    <w:rsid w:val="01086012"/>
    <w:rsid w:val="012F23D2"/>
    <w:rsid w:val="01353E46"/>
    <w:rsid w:val="013D20EF"/>
    <w:rsid w:val="013D4C8F"/>
    <w:rsid w:val="0141555F"/>
    <w:rsid w:val="014557C2"/>
    <w:rsid w:val="01542AFA"/>
    <w:rsid w:val="015B3476"/>
    <w:rsid w:val="015E6630"/>
    <w:rsid w:val="0169035C"/>
    <w:rsid w:val="016C75C7"/>
    <w:rsid w:val="016E2F6B"/>
    <w:rsid w:val="017B2F92"/>
    <w:rsid w:val="018D524F"/>
    <w:rsid w:val="019036D8"/>
    <w:rsid w:val="01A01767"/>
    <w:rsid w:val="01AC75F0"/>
    <w:rsid w:val="01BD4FDC"/>
    <w:rsid w:val="01C012ED"/>
    <w:rsid w:val="01E941AE"/>
    <w:rsid w:val="01F82835"/>
    <w:rsid w:val="02092C94"/>
    <w:rsid w:val="02100727"/>
    <w:rsid w:val="0221105C"/>
    <w:rsid w:val="02240E71"/>
    <w:rsid w:val="022D59F0"/>
    <w:rsid w:val="022F6268"/>
    <w:rsid w:val="0230144B"/>
    <w:rsid w:val="0236312F"/>
    <w:rsid w:val="023E2A8F"/>
    <w:rsid w:val="02406FC5"/>
    <w:rsid w:val="02497F02"/>
    <w:rsid w:val="025D37A6"/>
    <w:rsid w:val="02630A21"/>
    <w:rsid w:val="02816CCE"/>
    <w:rsid w:val="029027EC"/>
    <w:rsid w:val="02906F11"/>
    <w:rsid w:val="02910656"/>
    <w:rsid w:val="029452C8"/>
    <w:rsid w:val="0295277A"/>
    <w:rsid w:val="02957A39"/>
    <w:rsid w:val="0299330C"/>
    <w:rsid w:val="029A7D90"/>
    <w:rsid w:val="02A678F6"/>
    <w:rsid w:val="02AE2F1E"/>
    <w:rsid w:val="02B07476"/>
    <w:rsid w:val="02B34262"/>
    <w:rsid w:val="02C16D56"/>
    <w:rsid w:val="02C30781"/>
    <w:rsid w:val="02C32A89"/>
    <w:rsid w:val="02CD3CC1"/>
    <w:rsid w:val="02EB23C8"/>
    <w:rsid w:val="02ED4254"/>
    <w:rsid w:val="02F54A67"/>
    <w:rsid w:val="02F8721F"/>
    <w:rsid w:val="02FB57A8"/>
    <w:rsid w:val="02FB586B"/>
    <w:rsid w:val="032764F6"/>
    <w:rsid w:val="033364ED"/>
    <w:rsid w:val="03343D40"/>
    <w:rsid w:val="03355FAD"/>
    <w:rsid w:val="03357A15"/>
    <w:rsid w:val="03384690"/>
    <w:rsid w:val="033F6615"/>
    <w:rsid w:val="03404493"/>
    <w:rsid w:val="034A4B76"/>
    <w:rsid w:val="035461E6"/>
    <w:rsid w:val="03646BB0"/>
    <w:rsid w:val="036839EA"/>
    <w:rsid w:val="036A455B"/>
    <w:rsid w:val="03700AD7"/>
    <w:rsid w:val="037979A5"/>
    <w:rsid w:val="03881BEB"/>
    <w:rsid w:val="0397763C"/>
    <w:rsid w:val="03B07722"/>
    <w:rsid w:val="03B7151D"/>
    <w:rsid w:val="03CD0376"/>
    <w:rsid w:val="03D417D5"/>
    <w:rsid w:val="03D50A2B"/>
    <w:rsid w:val="03E5503B"/>
    <w:rsid w:val="03E73921"/>
    <w:rsid w:val="03E868D9"/>
    <w:rsid w:val="03EB0F95"/>
    <w:rsid w:val="03F1290E"/>
    <w:rsid w:val="04002E0B"/>
    <w:rsid w:val="040F03FA"/>
    <w:rsid w:val="0412438A"/>
    <w:rsid w:val="04136717"/>
    <w:rsid w:val="04207E21"/>
    <w:rsid w:val="04212517"/>
    <w:rsid w:val="0427254C"/>
    <w:rsid w:val="042C3BF9"/>
    <w:rsid w:val="04332546"/>
    <w:rsid w:val="04351837"/>
    <w:rsid w:val="04533461"/>
    <w:rsid w:val="047D5AEA"/>
    <w:rsid w:val="048D54DF"/>
    <w:rsid w:val="0490144A"/>
    <w:rsid w:val="04983E5B"/>
    <w:rsid w:val="049C1B9D"/>
    <w:rsid w:val="049F3BB9"/>
    <w:rsid w:val="04B51F1A"/>
    <w:rsid w:val="04BB2CD9"/>
    <w:rsid w:val="04BD0338"/>
    <w:rsid w:val="04C56D31"/>
    <w:rsid w:val="04CF0F22"/>
    <w:rsid w:val="04D1080D"/>
    <w:rsid w:val="04D64D93"/>
    <w:rsid w:val="04D7542D"/>
    <w:rsid w:val="04E452F2"/>
    <w:rsid w:val="04E82F5F"/>
    <w:rsid w:val="04F4647E"/>
    <w:rsid w:val="04F75026"/>
    <w:rsid w:val="05084E1A"/>
    <w:rsid w:val="051C683A"/>
    <w:rsid w:val="0536624A"/>
    <w:rsid w:val="054B1B48"/>
    <w:rsid w:val="05507187"/>
    <w:rsid w:val="05526700"/>
    <w:rsid w:val="05547F50"/>
    <w:rsid w:val="05586D81"/>
    <w:rsid w:val="056775E0"/>
    <w:rsid w:val="057523EE"/>
    <w:rsid w:val="0580326D"/>
    <w:rsid w:val="05812096"/>
    <w:rsid w:val="058E4D4F"/>
    <w:rsid w:val="059F100D"/>
    <w:rsid w:val="05A31C11"/>
    <w:rsid w:val="05A754E1"/>
    <w:rsid w:val="05B22616"/>
    <w:rsid w:val="05B6570E"/>
    <w:rsid w:val="05BA3D63"/>
    <w:rsid w:val="05BE0D9E"/>
    <w:rsid w:val="05C72C4A"/>
    <w:rsid w:val="05DC03BC"/>
    <w:rsid w:val="05E03755"/>
    <w:rsid w:val="05E05D39"/>
    <w:rsid w:val="05EB1690"/>
    <w:rsid w:val="05EE025B"/>
    <w:rsid w:val="05FB2E46"/>
    <w:rsid w:val="06222576"/>
    <w:rsid w:val="062F259D"/>
    <w:rsid w:val="063B53E6"/>
    <w:rsid w:val="0643158D"/>
    <w:rsid w:val="06632C8A"/>
    <w:rsid w:val="066A11FF"/>
    <w:rsid w:val="066A1827"/>
    <w:rsid w:val="066A268B"/>
    <w:rsid w:val="066C44D0"/>
    <w:rsid w:val="066E73CC"/>
    <w:rsid w:val="06780BE4"/>
    <w:rsid w:val="0688298E"/>
    <w:rsid w:val="069F4F41"/>
    <w:rsid w:val="06A978A6"/>
    <w:rsid w:val="06AC0092"/>
    <w:rsid w:val="06AE3E0A"/>
    <w:rsid w:val="06B036DE"/>
    <w:rsid w:val="06C158EB"/>
    <w:rsid w:val="06C373A0"/>
    <w:rsid w:val="06CA61EA"/>
    <w:rsid w:val="06D3256B"/>
    <w:rsid w:val="06EB1467"/>
    <w:rsid w:val="070659F4"/>
    <w:rsid w:val="0716354A"/>
    <w:rsid w:val="071A5532"/>
    <w:rsid w:val="072158D6"/>
    <w:rsid w:val="073F7F68"/>
    <w:rsid w:val="074327A4"/>
    <w:rsid w:val="07433326"/>
    <w:rsid w:val="074D1200"/>
    <w:rsid w:val="074D53D1"/>
    <w:rsid w:val="07514F82"/>
    <w:rsid w:val="076A70D6"/>
    <w:rsid w:val="07701435"/>
    <w:rsid w:val="0791006E"/>
    <w:rsid w:val="07A93817"/>
    <w:rsid w:val="07AA51F7"/>
    <w:rsid w:val="07B2792A"/>
    <w:rsid w:val="07B90CB8"/>
    <w:rsid w:val="07BC2556"/>
    <w:rsid w:val="07C16E32"/>
    <w:rsid w:val="07C956F1"/>
    <w:rsid w:val="07E51AAD"/>
    <w:rsid w:val="07E724F1"/>
    <w:rsid w:val="07EA0E72"/>
    <w:rsid w:val="07F54B10"/>
    <w:rsid w:val="07FB4267"/>
    <w:rsid w:val="080F029B"/>
    <w:rsid w:val="083932FD"/>
    <w:rsid w:val="083C1D74"/>
    <w:rsid w:val="083D3697"/>
    <w:rsid w:val="08460FF0"/>
    <w:rsid w:val="084C03B9"/>
    <w:rsid w:val="084D3D35"/>
    <w:rsid w:val="08664D5B"/>
    <w:rsid w:val="087B41C0"/>
    <w:rsid w:val="087E552F"/>
    <w:rsid w:val="08850B9A"/>
    <w:rsid w:val="08874912"/>
    <w:rsid w:val="08966904"/>
    <w:rsid w:val="08986B20"/>
    <w:rsid w:val="08994E2C"/>
    <w:rsid w:val="089E0248"/>
    <w:rsid w:val="08AA7F40"/>
    <w:rsid w:val="08AC09F8"/>
    <w:rsid w:val="08AF1C74"/>
    <w:rsid w:val="08B76FB8"/>
    <w:rsid w:val="08CC67C9"/>
    <w:rsid w:val="08D12032"/>
    <w:rsid w:val="08D13DBB"/>
    <w:rsid w:val="08D65AD3"/>
    <w:rsid w:val="08EF4818"/>
    <w:rsid w:val="08F17FDE"/>
    <w:rsid w:val="08F57B11"/>
    <w:rsid w:val="08F617F2"/>
    <w:rsid w:val="08F64252"/>
    <w:rsid w:val="08F94C8C"/>
    <w:rsid w:val="08FD0C7A"/>
    <w:rsid w:val="09024000"/>
    <w:rsid w:val="09027DBF"/>
    <w:rsid w:val="090F109A"/>
    <w:rsid w:val="09151314"/>
    <w:rsid w:val="091D60AE"/>
    <w:rsid w:val="091E5277"/>
    <w:rsid w:val="09263609"/>
    <w:rsid w:val="093E5BC8"/>
    <w:rsid w:val="0953633D"/>
    <w:rsid w:val="09594501"/>
    <w:rsid w:val="09633DCF"/>
    <w:rsid w:val="09697733"/>
    <w:rsid w:val="096B5FE2"/>
    <w:rsid w:val="097201A0"/>
    <w:rsid w:val="09953804"/>
    <w:rsid w:val="099C034D"/>
    <w:rsid w:val="09A71810"/>
    <w:rsid w:val="09AD03A9"/>
    <w:rsid w:val="09AF52BC"/>
    <w:rsid w:val="09B47989"/>
    <w:rsid w:val="09C9680A"/>
    <w:rsid w:val="09E87B7C"/>
    <w:rsid w:val="09EA6668"/>
    <w:rsid w:val="09FF3E49"/>
    <w:rsid w:val="0A03621B"/>
    <w:rsid w:val="0A1949CE"/>
    <w:rsid w:val="0A1F6D28"/>
    <w:rsid w:val="0A3E3D26"/>
    <w:rsid w:val="0A426D43"/>
    <w:rsid w:val="0A4834F8"/>
    <w:rsid w:val="0A5D3B7D"/>
    <w:rsid w:val="0A6173D2"/>
    <w:rsid w:val="0A682231"/>
    <w:rsid w:val="0A6825A9"/>
    <w:rsid w:val="0A7333A0"/>
    <w:rsid w:val="0A854E82"/>
    <w:rsid w:val="0A92134D"/>
    <w:rsid w:val="0A9A25AD"/>
    <w:rsid w:val="0A9F4649"/>
    <w:rsid w:val="0AAC10E4"/>
    <w:rsid w:val="0AB07E4A"/>
    <w:rsid w:val="0AB80DB3"/>
    <w:rsid w:val="0AC8530A"/>
    <w:rsid w:val="0AC93B72"/>
    <w:rsid w:val="0AD53C26"/>
    <w:rsid w:val="0AD876A7"/>
    <w:rsid w:val="0ADD3B4A"/>
    <w:rsid w:val="0AEB7B61"/>
    <w:rsid w:val="0AEE775A"/>
    <w:rsid w:val="0AF76584"/>
    <w:rsid w:val="0AFF5154"/>
    <w:rsid w:val="0B0260FA"/>
    <w:rsid w:val="0B127FA5"/>
    <w:rsid w:val="0B1E7B7D"/>
    <w:rsid w:val="0B4458B7"/>
    <w:rsid w:val="0B4A5F99"/>
    <w:rsid w:val="0B4B3360"/>
    <w:rsid w:val="0B521171"/>
    <w:rsid w:val="0B5C62CC"/>
    <w:rsid w:val="0B6153F6"/>
    <w:rsid w:val="0B664CB3"/>
    <w:rsid w:val="0B6C4BE2"/>
    <w:rsid w:val="0B6F08EA"/>
    <w:rsid w:val="0B895D1E"/>
    <w:rsid w:val="0B903157"/>
    <w:rsid w:val="0BA31A63"/>
    <w:rsid w:val="0BA653BF"/>
    <w:rsid w:val="0BAC6F99"/>
    <w:rsid w:val="0BCD1EAC"/>
    <w:rsid w:val="0BCF142C"/>
    <w:rsid w:val="0BDC319A"/>
    <w:rsid w:val="0BFA364D"/>
    <w:rsid w:val="0BFB783E"/>
    <w:rsid w:val="0BFC776A"/>
    <w:rsid w:val="0BFD5373"/>
    <w:rsid w:val="0BFD6481"/>
    <w:rsid w:val="0C0F0CD9"/>
    <w:rsid w:val="0C182F96"/>
    <w:rsid w:val="0C1A00CA"/>
    <w:rsid w:val="0C264442"/>
    <w:rsid w:val="0C320371"/>
    <w:rsid w:val="0C364685"/>
    <w:rsid w:val="0C631998"/>
    <w:rsid w:val="0C6821F6"/>
    <w:rsid w:val="0C6C441B"/>
    <w:rsid w:val="0C8C24F7"/>
    <w:rsid w:val="0C8F023A"/>
    <w:rsid w:val="0C990787"/>
    <w:rsid w:val="0C992D4F"/>
    <w:rsid w:val="0CAE3A50"/>
    <w:rsid w:val="0CBF15FF"/>
    <w:rsid w:val="0CCC6D98"/>
    <w:rsid w:val="0CD40A52"/>
    <w:rsid w:val="0CD91857"/>
    <w:rsid w:val="0CDA2573"/>
    <w:rsid w:val="0CDA4E4E"/>
    <w:rsid w:val="0CE65CCB"/>
    <w:rsid w:val="0CEF0CD8"/>
    <w:rsid w:val="0CF258A4"/>
    <w:rsid w:val="0D212A41"/>
    <w:rsid w:val="0D215F2C"/>
    <w:rsid w:val="0D314FE6"/>
    <w:rsid w:val="0D336C1D"/>
    <w:rsid w:val="0D532244"/>
    <w:rsid w:val="0D540C02"/>
    <w:rsid w:val="0D571C0F"/>
    <w:rsid w:val="0D637F0E"/>
    <w:rsid w:val="0D6A5410"/>
    <w:rsid w:val="0D7336B7"/>
    <w:rsid w:val="0D794CB6"/>
    <w:rsid w:val="0D8324ED"/>
    <w:rsid w:val="0D8F059D"/>
    <w:rsid w:val="0D8F5855"/>
    <w:rsid w:val="0D9773A6"/>
    <w:rsid w:val="0D9827E5"/>
    <w:rsid w:val="0DBF24D9"/>
    <w:rsid w:val="0DC466B9"/>
    <w:rsid w:val="0DC54945"/>
    <w:rsid w:val="0DE90D05"/>
    <w:rsid w:val="0DF25BA4"/>
    <w:rsid w:val="0DF540CC"/>
    <w:rsid w:val="0DFD573A"/>
    <w:rsid w:val="0DFE1012"/>
    <w:rsid w:val="0E0B029F"/>
    <w:rsid w:val="0E0F33E0"/>
    <w:rsid w:val="0E1F4751"/>
    <w:rsid w:val="0E230373"/>
    <w:rsid w:val="0E2A41ED"/>
    <w:rsid w:val="0E397874"/>
    <w:rsid w:val="0E461B92"/>
    <w:rsid w:val="0E4F1A2E"/>
    <w:rsid w:val="0E5F7224"/>
    <w:rsid w:val="0E5F7846"/>
    <w:rsid w:val="0E632208"/>
    <w:rsid w:val="0E844468"/>
    <w:rsid w:val="0E8E3DA3"/>
    <w:rsid w:val="0E8F6937"/>
    <w:rsid w:val="0E9E135B"/>
    <w:rsid w:val="0EA44F43"/>
    <w:rsid w:val="0EC2669E"/>
    <w:rsid w:val="0ECB5472"/>
    <w:rsid w:val="0ECF2DBC"/>
    <w:rsid w:val="0ED756CF"/>
    <w:rsid w:val="0EE34A0A"/>
    <w:rsid w:val="0EEF23A4"/>
    <w:rsid w:val="0F18029E"/>
    <w:rsid w:val="0F1B6D6A"/>
    <w:rsid w:val="0F1C1FA2"/>
    <w:rsid w:val="0F2500FF"/>
    <w:rsid w:val="0F2904D1"/>
    <w:rsid w:val="0F2A7DB7"/>
    <w:rsid w:val="0F2D61D9"/>
    <w:rsid w:val="0F397164"/>
    <w:rsid w:val="0F43254D"/>
    <w:rsid w:val="0F45451E"/>
    <w:rsid w:val="0F4B7D11"/>
    <w:rsid w:val="0F543C48"/>
    <w:rsid w:val="0F54568B"/>
    <w:rsid w:val="0F6801CF"/>
    <w:rsid w:val="0F7F71A8"/>
    <w:rsid w:val="0F9B0554"/>
    <w:rsid w:val="0FAF5422"/>
    <w:rsid w:val="0FAF5990"/>
    <w:rsid w:val="0FB271E8"/>
    <w:rsid w:val="0FBF1392"/>
    <w:rsid w:val="0FC621C4"/>
    <w:rsid w:val="0FD84D52"/>
    <w:rsid w:val="0FD93801"/>
    <w:rsid w:val="0FDC41E3"/>
    <w:rsid w:val="0FE35744"/>
    <w:rsid w:val="0FEF3CEB"/>
    <w:rsid w:val="0FF322CD"/>
    <w:rsid w:val="100128A9"/>
    <w:rsid w:val="1005689B"/>
    <w:rsid w:val="10131FB5"/>
    <w:rsid w:val="1031732E"/>
    <w:rsid w:val="10327E3A"/>
    <w:rsid w:val="1034712E"/>
    <w:rsid w:val="10374301"/>
    <w:rsid w:val="10394E9C"/>
    <w:rsid w:val="103A764D"/>
    <w:rsid w:val="103B410E"/>
    <w:rsid w:val="103B6EC4"/>
    <w:rsid w:val="10457DEF"/>
    <w:rsid w:val="105628E7"/>
    <w:rsid w:val="106519DD"/>
    <w:rsid w:val="10697D4D"/>
    <w:rsid w:val="107C2883"/>
    <w:rsid w:val="108120DC"/>
    <w:rsid w:val="108950E7"/>
    <w:rsid w:val="109135C4"/>
    <w:rsid w:val="10A4426E"/>
    <w:rsid w:val="10B656D8"/>
    <w:rsid w:val="10C37A22"/>
    <w:rsid w:val="10DF1FB9"/>
    <w:rsid w:val="10F36FE9"/>
    <w:rsid w:val="10F772EF"/>
    <w:rsid w:val="11017A58"/>
    <w:rsid w:val="11023D17"/>
    <w:rsid w:val="110F34C8"/>
    <w:rsid w:val="11292A0B"/>
    <w:rsid w:val="11390774"/>
    <w:rsid w:val="11491151"/>
    <w:rsid w:val="116021A5"/>
    <w:rsid w:val="116230D1"/>
    <w:rsid w:val="116A7E05"/>
    <w:rsid w:val="11722460"/>
    <w:rsid w:val="117A4F14"/>
    <w:rsid w:val="11870CA4"/>
    <w:rsid w:val="1191177D"/>
    <w:rsid w:val="119C48B2"/>
    <w:rsid w:val="11A300F7"/>
    <w:rsid w:val="11A4344C"/>
    <w:rsid w:val="11BD13A5"/>
    <w:rsid w:val="11D529F0"/>
    <w:rsid w:val="11F50B3F"/>
    <w:rsid w:val="11F528ED"/>
    <w:rsid w:val="11F55D84"/>
    <w:rsid w:val="11F95233"/>
    <w:rsid w:val="11FD6A95"/>
    <w:rsid w:val="11FE73E1"/>
    <w:rsid w:val="1206271C"/>
    <w:rsid w:val="12114BE2"/>
    <w:rsid w:val="1217448F"/>
    <w:rsid w:val="1224135E"/>
    <w:rsid w:val="12261816"/>
    <w:rsid w:val="122816CA"/>
    <w:rsid w:val="1231523F"/>
    <w:rsid w:val="123478B9"/>
    <w:rsid w:val="12392AE3"/>
    <w:rsid w:val="12421044"/>
    <w:rsid w:val="12492C39"/>
    <w:rsid w:val="12511775"/>
    <w:rsid w:val="127A5380"/>
    <w:rsid w:val="128A74D9"/>
    <w:rsid w:val="1298079E"/>
    <w:rsid w:val="12AB744F"/>
    <w:rsid w:val="12B10442"/>
    <w:rsid w:val="12B2310A"/>
    <w:rsid w:val="12B44556"/>
    <w:rsid w:val="12CB7F7B"/>
    <w:rsid w:val="12D57B5A"/>
    <w:rsid w:val="12DA74FD"/>
    <w:rsid w:val="12FC5EFD"/>
    <w:rsid w:val="13111E52"/>
    <w:rsid w:val="13160E95"/>
    <w:rsid w:val="131D4A08"/>
    <w:rsid w:val="132B4874"/>
    <w:rsid w:val="13365D96"/>
    <w:rsid w:val="13401CF4"/>
    <w:rsid w:val="13573133"/>
    <w:rsid w:val="13597FDE"/>
    <w:rsid w:val="13610A7C"/>
    <w:rsid w:val="1370511E"/>
    <w:rsid w:val="137F720A"/>
    <w:rsid w:val="138E2FF9"/>
    <w:rsid w:val="139600FA"/>
    <w:rsid w:val="13985C26"/>
    <w:rsid w:val="139B1B3C"/>
    <w:rsid w:val="13AE5449"/>
    <w:rsid w:val="13BC5DB8"/>
    <w:rsid w:val="13C163E4"/>
    <w:rsid w:val="13CF69C3"/>
    <w:rsid w:val="13D03611"/>
    <w:rsid w:val="13D327E3"/>
    <w:rsid w:val="13D824C6"/>
    <w:rsid w:val="13E63AA6"/>
    <w:rsid w:val="13F32811"/>
    <w:rsid w:val="13F85DC5"/>
    <w:rsid w:val="13F866C4"/>
    <w:rsid w:val="13FC3073"/>
    <w:rsid w:val="14002DA6"/>
    <w:rsid w:val="140A2B4A"/>
    <w:rsid w:val="141601C0"/>
    <w:rsid w:val="14183270"/>
    <w:rsid w:val="141D447E"/>
    <w:rsid w:val="141D6B0B"/>
    <w:rsid w:val="142D6F89"/>
    <w:rsid w:val="143376FC"/>
    <w:rsid w:val="143C3BFB"/>
    <w:rsid w:val="14447112"/>
    <w:rsid w:val="144554E0"/>
    <w:rsid w:val="144C2ACB"/>
    <w:rsid w:val="145908CD"/>
    <w:rsid w:val="146D3562"/>
    <w:rsid w:val="148617D9"/>
    <w:rsid w:val="149258A7"/>
    <w:rsid w:val="149321EC"/>
    <w:rsid w:val="14A405FA"/>
    <w:rsid w:val="14AA6C47"/>
    <w:rsid w:val="14B04223"/>
    <w:rsid w:val="14B81325"/>
    <w:rsid w:val="14BB5770"/>
    <w:rsid w:val="14CA4494"/>
    <w:rsid w:val="14DF1102"/>
    <w:rsid w:val="14E06953"/>
    <w:rsid w:val="14E37374"/>
    <w:rsid w:val="14E74E80"/>
    <w:rsid w:val="14EF1875"/>
    <w:rsid w:val="14EF4395"/>
    <w:rsid w:val="14FB05D3"/>
    <w:rsid w:val="14FB1DB1"/>
    <w:rsid w:val="14FC230F"/>
    <w:rsid w:val="150115A9"/>
    <w:rsid w:val="15027594"/>
    <w:rsid w:val="150317C5"/>
    <w:rsid w:val="1507775C"/>
    <w:rsid w:val="150A3567"/>
    <w:rsid w:val="151407D5"/>
    <w:rsid w:val="15214D63"/>
    <w:rsid w:val="152F4368"/>
    <w:rsid w:val="153E6FE7"/>
    <w:rsid w:val="15535F3F"/>
    <w:rsid w:val="15697093"/>
    <w:rsid w:val="15760076"/>
    <w:rsid w:val="15977CDB"/>
    <w:rsid w:val="159F6FD6"/>
    <w:rsid w:val="15B01BBF"/>
    <w:rsid w:val="15B8435D"/>
    <w:rsid w:val="15CF16A7"/>
    <w:rsid w:val="15D171CD"/>
    <w:rsid w:val="15D26086"/>
    <w:rsid w:val="15D31197"/>
    <w:rsid w:val="15DC73CD"/>
    <w:rsid w:val="15DD2016"/>
    <w:rsid w:val="15EC3B3E"/>
    <w:rsid w:val="15F46C2A"/>
    <w:rsid w:val="15F630D7"/>
    <w:rsid w:val="15F80BFE"/>
    <w:rsid w:val="15FF786C"/>
    <w:rsid w:val="16121567"/>
    <w:rsid w:val="16343F81"/>
    <w:rsid w:val="163948ED"/>
    <w:rsid w:val="16413A85"/>
    <w:rsid w:val="164275F4"/>
    <w:rsid w:val="16495BAE"/>
    <w:rsid w:val="1654148B"/>
    <w:rsid w:val="165B71D5"/>
    <w:rsid w:val="166E2C6E"/>
    <w:rsid w:val="16700A7A"/>
    <w:rsid w:val="1683572D"/>
    <w:rsid w:val="168801D3"/>
    <w:rsid w:val="169E0BEA"/>
    <w:rsid w:val="16A86180"/>
    <w:rsid w:val="16AE3275"/>
    <w:rsid w:val="16AF7EFC"/>
    <w:rsid w:val="16C47F8D"/>
    <w:rsid w:val="16DD2BAC"/>
    <w:rsid w:val="16F21AF1"/>
    <w:rsid w:val="170A3B27"/>
    <w:rsid w:val="170D2487"/>
    <w:rsid w:val="17113A34"/>
    <w:rsid w:val="171738A2"/>
    <w:rsid w:val="17197085"/>
    <w:rsid w:val="17224ED3"/>
    <w:rsid w:val="172460AC"/>
    <w:rsid w:val="172872C1"/>
    <w:rsid w:val="173054B2"/>
    <w:rsid w:val="17424EAD"/>
    <w:rsid w:val="174C1699"/>
    <w:rsid w:val="1778392A"/>
    <w:rsid w:val="1779647F"/>
    <w:rsid w:val="1789141B"/>
    <w:rsid w:val="17987255"/>
    <w:rsid w:val="17A23389"/>
    <w:rsid w:val="17A739C7"/>
    <w:rsid w:val="17CB7450"/>
    <w:rsid w:val="17D15BAA"/>
    <w:rsid w:val="17D64F6F"/>
    <w:rsid w:val="17FB6C91"/>
    <w:rsid w:val="18053F1E"/>
    <w:rsid w:val="18085749"/>
    <w:rsid w:val="180B6D06"/>
    <w:rsid w:val="181C3FF8"/>
    <w:rsid w:val="18277578"/>
    <w:rsid w:val="18365A0D"/>
    <w:rsid w:val="184114A1"/>
    <w:rsid w:val="18425C49"/>
    <w:rsid w:val="184A3267"/>
    <w:rsid w:val="185540E5"/>
    <w:rsid w:val="185B7DE0"/>
    <w:rsid w:val="186969E3"/>
    <w:rsid w:val="186C74AD"/>
    <w:rsid w:val="186C7D12"/>
    <w:rsid w:val="186D2443"/>
    <w:rsid w:val="187059AE"/>
    <w:rsid w:val="187A61C8"/>
    <w:rsid w:val="18876269"/>
    <w:rsid w:val="188B2A6D"/>
    <w:rsid w:val="188C7694"/>
    <w:rsid w:val="18C510FD"/>
    <w:rsid w:val="18DA283C"/>
    <w:rsid w:val="18DC03A2"/>
    <w:rsid w:val="18DC65B5"/>
    <w:rsid w:val="18E11EA5"/>
    <w:rsid w:val="18E6534A"/>
    <w:rsid w:val="18EE62E8"/>
    <w:rsid w:val="19083037"/>
    <w:rsid w:val="192D5416"/>
    <w:rsid w:val="19390D64"/>
    <w:rsid w:val="193E7FD9"/>
    <w:rsid w:val="194F68C1"/>
    <w:rsid w:val="195019B0"/>
    <w:rsid w:val="1954439D"/>
    <w:rsid w:val="19554C37"/>
    <w:rsid w:val="19566DB3"/>
    <w:rsid w:val="19595DF7"/>
    <w:rsid w:val="19597C05"/>
    <w:rsid w:val="196279A1"/>
    <w:rsid w:val="198627AB"/>
    <w:rsid w:val="198B4F14"/>
    <w:rsid w:val="199724DC"/>
    <w:rsid w:val="19A941C1"/>
    <w:rsid w:val="19AA220F"/>
    <w:rsid w:val="19AE5ACF"/>
    <w:rsid w:val="19B675DA"/>
    <w:rsid w:val="19BB7B07"/>
    <w:rsid w:val="19BE1D86"/>
    <w:rsid w:val="19C637E5"/>
    <w:rsid w:val="19C721FB"/>
    <w:rsid w:val="19CE5CD8"/>
    <w:rsid w:val="19DB686C"/>
    <w:rsid w:val="19F53DD2"/>
    <w:rsid w:val="1A052165"/>
    <w:rsid w:val="1A063EF5"/>
    <w:rsid w:val="1A0F3AD5"/>
    <w:rsid w:val="1A0F7374"/>
    <w:rsid w:val="1A142D27"/>
    <w:rsid w:val="1A143D9C"/>
    <w:rsid w:val="1A202D51"/>
    <w:rsid w:val="1A2A3350"/>
    <w:rsid w:val="1A584361"/>
    <w:rsid w:val="1A60672B"/>
    <w:rsid w:val="1A626F8D"/>
    <w:rsid w:val="1A630F50"/>
    <w:rsid w:val="1A6732FB"/>
    <w:rsid w:val="1A7929A3"/>
    <w:rsid w:val="1A7B4669"/>
    <w:rsid w:val="1A870B38"/>
    <w:rsid w:val="1A8B2040"/>
    <w:rsid w:val="1A8C6CF6"/>
    <w:rsid w:val="1A8E1520"/>
    <w:rsid w:val="1A9417D9"/>
    <w:rsid w:val="1AA41354"/>
    <w:rsid w:val="1AA572B8"/>
    <w:rsid w:val="1AB31D2F"/>
    <w:rsid w:val="1ABA2925"/>
    <w:rsid w:val="1AC00AAF"/>
    <w:rsid w:val="1ACE55DA"/>
    <w:rsid w:val="1ACE6054"/>
    <w:rsid w:val="1ACE6D27"/>
    <w:rsid w:val="1AE0038B"/>
    <w:rsid w:val="1AF7358C"/>
    <w:rsid w:val="1AFA0F74"/>
    <w:rsid w:val="1B0E67CD"/>
    <w:rsid w:val="1B403FA5"/>
    <w:rsid w:val="1B46240B"/>
    <w:rsid w:val="1B524326"/>
    <w:rsid w:val="1B55168B"/>
    <w:rsid w:val="1B593EEC"/>
    <w:rsid w:val="1B645069"/>
    <w:rsid w:val="1B7D1BE7"/>
    <w:rsid w:val="1B8637EA"/>
    <w:rsid w:val="1BDD1B28"/>
    <w:rsid w:val="1BE57F51"/>
    <w:rsid w:val="1BEE3F6E"/>
    <w:rsid w:val="1BF21B5D"/>
    <w:rsid w:val="1C037CCC"/>
    <w:rsid w:val="1C0A168B"/>
    <w:rsid w:val="1C18016F"/>
    <w:rsid w:val="1C2F4A48"/>
    <w:rsid w:val="1C314E69"/>
    <w:rsid w:val="1C400DCC"/>
    <w:rsid w:val="1C5B2E1D"/>
    <w:rsid w:val="1C6062B5"/>
    <w:rsid w:val="1C656B00"/>
    <w:rsid w:val="1C6D522B"/>
    <w:rsid w:val="1C762201"/>
    <w:rsid w:val="1C87757C"/>
    <w:rsid w:val="1C8B6454"/>
    <w:rsid w:val="1C911F05"/>
    <w:rsid w:val="1C9232F2"/>
    <w:rsid w:val="1C993860"/>
    <w:rsid w:val="1CB33AD0"/>
    <w:rsid w:val="1CC07FCD"/>
    <w:rsid w:val="1CC5593D"/>
    <w:rsid w:val="1CCD060E"/>
    <w:rsid w:val="1CCF67BC"/>
    <w:rsid w:val="1CD03B67"/>
    <w:rsid w:val="1CD13F56"/>
    <w:rsid w:val="1CD4109A"/>
    <w:rsid w:val="1CD55E24"/>
    <w:rsid w:val="1CDE3631"/>
    <w:rsid w:val="1CE04199"/>
    <w:rsid w:val="1CE814D1"/>
    <w:rsid w:val="1CF454CE"/>
    <w:rsid w:val="1CFE11B3"/>
    <w:rsid w:val="1CFFE3B0"/>
    <w:rsid w:val="1D022EEB"/>
    <w:rsid w:val="1D0B7468"/>
    <w:rsid w:val="1D1E53EE"/>
    <w:rsid w:val="1D3249F5"/>
    <w:rsid w:val="1D3444B7"/>
    <w:rsid w:val="1D3F2887"/>
    <w:rsid w:val="1D413DD6"/>
    <w:rsid w:val="1D442082"/>
    <w:rsid w:val="1D494085"/>
    <w:rsid w:val="1D4D7A81"/>
    <w:rsid w:val="1D5F77B4"/>
    <w:rsid w:val="1D6104E9"/>
    <w:rsid w:val="1D6D5E73"/>
    <w:rsid w:val="1D6E2EA0"/>
    <w:rsid w:val="1D90430C"/>
    <w:rsid w:val="1D927B8A"/>
    <w:rsid w:val="1DA228F6"/>
    <w:rsid w:val="1DA26C67"/>
    <w:rsid w:val="1DB33A3A"/>
    <w:rsid w:val="1DB571C9"/>
    <w:rsid w:val="1DB96EC4"/>
    <w:rsid w:val="1DBF6F58"/>
    <w:rsid w:val="1DC976B3"/>
    <w:rsid w:val="1DEF28E6"/>
    <w:rsid w:val="1DF12B02"/>
    <w:rsid w:val="1E1639CF"/>
    <w:rsid w:val="1E2C3B3A"/>
    <w:rsid w:val="1E3649B9"/>
    <w:rsid w:val="1E592CD8"/>
    <w:rsid w:val="1E5C7473"/>
    <w:rsid w:val="1E65546D"/>
    <w:rsid w:val="1E673D11"/>
    <w:rsid w:val="1E912BAE"/>
    <w:rsid w:val="1E933E22"/>
    <w:rsid w:val="1EA638ED"/>
    <w:rsid w:val="1EB60A31"/>
    <w:rsid w:val="1EBB0A1A"/>
    <w:rsid w:val="1EC6457D"/>
    <w:rsid w:val="1EC7170B"/>
    <w:rsid w:val="1EC7534C"/>
    <w:rsid w:val="1EC80007"/>
    <w:rsid w:val="1ECB16DA"/>
    <w:rsid w:val="1ECD7160"/>
    <w:rsid w:val="1ED641E3"/>
    <w:rsid w:val="1EE47F71"/>
    <w:rsid w:val="1EED4935"/>
    <w:rsid w:val="1EEE324E"/>
    <w:rsid w:val="1EEE7042"/>
    <w:rsid w:val="1EF15FC6"/>
    <w:rsid w:val="1EFA4AC9"/>
    <w:rsid w:val="1EFD1033"/>
    <w:rsid w:val="1EFF2FFD"/>
    <w:rsid w:val="1F0028D1"/>
    <w:rsid w:val="1F165A0D"/>
    <w:rsid w:val="1F294330"/>
    <w:rsid w:val="1F5164BE"/>
    <w:rsid w:val="1F550636"/>
    <w:rsid w:val="1F59508D"/>
    <w:rsid w:val="1F6115C2"/>
    <w:rsid w:val="1F655484"/>
    <w:rsid w:val="1F6725BD"/>
    <w:rsid w:val="1F7A16FF"/>
    <w:rsid w:val="1F841E94"/>
    <w:rsid w:val="1F845C8A"/>
    <w:rsid w:val="1F86410F"/>
    <w:rsid w:val="1F902D30"/>
    <w:rsid w:val="1F987D78"/>
    <w:rsid w:val="1FA3CCE9"/>
    <w:rsid w:val="1FAD0B55"/>
    <w:rsid w:val="1FBA786C"/>
    <w:rsid w:val="1FBC2C9C"/>
    <w:rsid w:val="1FE07DD2"/>
    <w:rsid w:val="1FE65F6B"/>
    <w:rsid w:val="1FF72B1D"/>
    <w:rsid w:val="20012DA5"/>
    <w:rsid w:val="201952D2"/>
    <w:rsid w:val="2020109E"/>
    <w:rsid w:val="20220096"/>
    <w:rsid w:val="202816B6"/>
    <w:rsid w:val="202B1BD0"/>
    <w:rsid w:val="2031368A"/>
    <w:rsid w:val="20352DB6"/>
    <w:rsid w:val="203647FC"/>
    <w:rsid w:val="20383747"/>
    <w:rsid w:val="20482782"/>
    <w:rsid w:val="204B45FF"/>
    <w:rsid w:val="204E725A"/>
    <w:rsid w:val="205050F3"/>
    <w:rsid w:val="205B0707"/>
    <w:rsid w:val="205F090F"/>
    <w:rsid w:val="20665891"/>
    <w:rsid w:val="207575AA"/>
    <w:rsid w:val="208241B4"/>
    <w:rsid w:val="20855784"/>
    <w:rsid w:val="208F5999"/>
    <w:rsid w:val="209314D4"/>
    <w:rsid w:val="20B05494"/>
    <w:rsid w:val="20B87907"/>
    <w:rsid w:val="20EE5770"/>
    <w:rsid w:val="21147FEE"/>
    <w:rsid w:val="2116462E"/>
    <w:rsid w:val="213571AA"/>
    <w:rsid w:val="213B5936"/>
    <w:rsid w:val="213F7E47"/>
    <w:rsid w:val="21416183"/>
    <w:rsid w:val="214171F2"/>
    <w:rsid w:val="21592FEC"/>
    <w:rsid w:val="215B2DFE"/>
    <w:rsid w:val="215C5CD9"/>
    <w:rsid w:val="215F2E6D"/>
    <w:rsid w:val="21611D4D"/>
    <w:rsid w:val="21617F9F"/>
    <w:rsid w:val="218617B3"/>
    <w:rsid w:val="218B2E3C"/>
    <w:rsid w:val="218C26F6"/>
    <w:rsid w:val="21B53E47"/>
    <w:rsid w:val="21B5456C"/>
    <w:rsid w:val="21C0289A"/>
    <w:rsid w:val="21C07E10"/>
    <w:rsid w:val="21C314C7"/>
    <w:rsid w:val="21DE514B"/>
    <w:rsid w:val="21E53DD4"/>
    <w:rsid w:val="21E80F98"/>
    <w:rsid w:val="21ED35E0"/>
    <w:rsid w:val="21F229A5"/>
    <w:rsid w:val="21FA7AAB"/>
    <w:rsid w:val="21FE67C3"/>
    <w:rsid w:val="21FF567A"/>
    <w:rsid w:val="220019CB"/>
    <w:rsid w:val="22080E1D"/>
    <w:rsid w:val="220F79FB"/>
    <w:rsid w:val="222E4A4B"/>
    <w:rsid w:val="224564ED"/>
    <w:rsid w:val="227A5579"/>
    <w:rsid w:val="227B3EC3"/>
    <w:rsid w:val="22853819"/>
    <w:rsid w:val="22883309"/>
    <w:rsid w:val="229A7BF5"/>
    <w:rsid w:val="22AC6E9D"/>
    <w:rsid w:val="22AF6B28"/>
    <w:rsid w:val="22BF1959"/>
    <w:rsid w:val="22D16A5E"/>
    <w:rsid w:val="2309444A"/>
    <w:rsid w:val="230A1D1E"/>
    <w:rsid w:val="230F3D0A"/>
    <w:rsid w:val="231051B6"/>
    <w:rsid w:val="232A616E"/>
    <w:rsid w:val="233E3D53"/>
    <w:rsid w:val="235356C5"/>
    <w:rsid w:val="235E44A5"/>
    <w:rsid w:val="2371477C"/>
    <w:rsid w:val="23757D31"/>
    <w:rsid w:val="237F04EF"/>
    <w:rsid w:val="23841437"/>
    <w:rsid w:val="238A3CA3"/>
    <w:rsid w:val="238E17FC"/>
    <w:rsid w:val="23A61C99"/>
    <w:rsid w:val="23AF4708"/>
    <w:rsid w:val="23B32608"/>
    <w:rsid w:val="23BC3EE5"/>
    <w:rsid w:val="23C16A9A"/>
    <w:rsid w:val="23E12CD1"/>
    <w:rsid w:val="23E66003"/>
    <w:rsid w:val="23F80076"/>
    <w:rsid w:val="23FE2FB7"/>
    <w:rsid w:val="23FE3883"/>
    <w:rsid w:val="23FE3AF7"/>
    <w:rsid w:val="23FF75FB"/>
    <w:rsid w:val="240350E9"/>
    <w:rsid w:val="240D3AC6"/>
    <w:rsid w:val="241B7142"/>
    <w:rsid w:val="242B3FAA"/>
    <w:rsid w:val="24452007"/>
    <w:rsid w:val="244802C7"/>
    <w:rsid w:val="244C0B39"/>
    <w:rsid w:val="245A32E7"/>
    <w:rsid w:val="24635935"/>
    <w:rsid w:val="24660E6A"/>
    <w:rsid w:val="24665559"/>
    <w:rsid w:val="24681644"/>
    <w:rsid w:val="24691825"/>
    <w:rsid w:val="24697C70"/>
    <w:rsid w:val="246C0B8A"/>
    <w:rsid w:val="246C2EE2"/>
    <w:rsid w:val="246D6C5B"/>
    <w:rsid w:val="24741D97"/>
    <w:rsid w:val="248E0BEE"/>
    <w:rsid w:val="249222CA"/>
    <w:rsid w:val="24CF65FC"/>
    <w:rsid w:val="24D171E9"/>
    <w:rsid w:val="24DA6A74"/>
    <w:rsid w:val="24DB4BCD"/>
    <w:rsid w:val="24DD3866"/>
    <w:rsid w:val="24E32A79"/>
    <w:rsid w:val="24F1163A"/>
    <w:rsid w:val="24F602A0"/>
    <w:rsid w:val="24F829C8"/>
    <w:rsid w:val="250025A0"/>
    <w:rsid w:val="25145328"/>
    <w:rsid w:val="25296C9F"/>
    <w:rsid w:val="25310FEF"/>
    <w:rsid w:val="253808F1"/>
    <w:rsid w:val="25401D76"/>
    <w:rsid w:val="2544236B"/>
    <w:rsid w:val="2547125A"/>
    <w:rsid w:val="256C3562"/>
    <w:rsid w:val="258D2CD8"/>
    <w:rsid w:val="25977271"/>
    <w:rsid w:val="259B2D68"/>
    <w:rsid w:val="259E7D45"/>
    <w:rsid w:val="25A55F80"/>
    <w:rsid w:val="25A6077B"/>
    <w:rsid w:val="25A941CC"/>
    <w:rsid w:val="25A97E1E"/>
    <w:rsid w:val="25AB4606"/>
    <w:rsid w:val="25BF4424"/>
    <w:rsid w:val="25C17AFA"/>
    <w:rsid w:val="25C251DB"/>
    <w:rsid w:val="25C669F1"/>
    <w:rsid w:val="25E00E0C"/>
    <w:rsid w:val="25EF379B"/>
    <w:rsid w:val="25F6BDD3"/>
    <w:rsid w:val="260C11C1"/>
    <w:rsid w:val="261049C1"/>
    <w:rsid w:val="261A696E"/>
    <w:rsid w:val="26286784"/>
    <w:rsid w:val="26383109"/>
    <w:rsid w:val="263A491A"/>
    <w:rsid w:val="263C68E5"/>
    <w:rsid w:val="263E49AF"/>
    <w:rsid w:val="263F1C4A"/>
    <w:rsid w:val="26597FFC"/>
    <w:rsid w:val="265B2F41"/>
    <w:rsid w:val="26673E0F"/>
    <w:rsid w:val="26681488"/>
    <w:rsid w:val="26697AAB"/>
    <w:rsid w:val="266E20F9"/>
    <w:rsid w:val="2673065B"/>
    <w:rsid w:val="26746071"/>
    <w:rsid w:val="2674607E"/>
    <w:rsid w:val="267839D3"/>
    <w:rsid w:val="268423E1"/>
    <w:rsid w:val="26887AA5"/>
    <w:rsid w:val="26890627"/>
    <w:rsid w:val="26902F8F"/>
    <w:rsid w:val="26937CAB"/>
    <w:rsid w:val="26A43060"/>
    <w:rsid w:val="26BB2001"/>
    <w:rsid w:val="26C16DEA"/>
    <w:rsid w:val="26CE0ACF"/>
    <w:rsid w:val="26E35358"/>
    <w:rsid w:val="270C6A50"/>
    <w:rsid w:val="270D0281"/>
    <w:rsid w:val="270E298C"/>
    <w:rsid w:val="270E29F5"/>
    <w:rsid w:val="271512D2"/>
    <w:rsid w:val="272A2D2F"/>
    <w:rsid w:val="272F1FA5"/>
    <w:rsid w:val="27446B6F"/>
    <w:rsid w:val="274A5031"/>
    <w:rsid w:val="274F752C"/>
    <w:rsid w:val="27520933"/>
    <w:rsid w:val="27595274"/>
    <w:rsid w:val="275A34C6"/>
    <w:rsid w:val="275E5A93"/>
    <w:rsid w:val="27736226"/>
    <w:rsid w:val="27755DA7"/>
    <w:rsid w:val="277C7F9A"/>
    <w:rsid w:val="278D7C08"/>
    <w:rsid w:val="279D2924"/>
    <w:rsid w:val="27A52E1A"/>
    <w:rsid w:val="27B85511"/>
    <w:rsid w:val="27C53958"/>
    <w:rsid w:val="27DA4B73"/>
    <w:rsid w:val="27DF39CB"/>
    <w:rsid w:val="27E61F25"/>
    <w:rsid w:val="27EC31BB"/>
    <w:rsid w:val="27ED2CBD"/>
    <w:rsid w:val="27EE2A31"/>
    <w:rsid w:val="27F61799"/>
    <w:rsid w:val="27F63DA6"/>
    <w:rsid w:val="27F8683B"/>
    <w:rsid w:val="27FA5CB6"/>
    <w:rsid w:val="28066A1F"/>
    <w:rsid w:val="28074CD0"/>
    <w:rsid w:val="280B656E"/>
    <w:rsid w:val="280D34EA"/>
    <w:rsid w:val="281466B1"/>
    <w:rsid w:val="28153891"/>
    <w:rsid w:val="281824A7"/>
    <w:rsid w:val="282D0BDB"/>
    <w:rsid w:val="28312BBF"/>
    <w:rsid w:val="28321D4D"/>
    <w:rsid w:val="283A2862"/>
    <w:rsid w:val="28441A80"/>
    <w:rsid w:val="28467386"/>
    <w:rsid w:val="285F673E"/>
    <w:rsid w:val="28644CCA"/>
    <w:rsid w:val="287370B9"/>
    <w:rsid w:val="288F6949"/>
    <w:rsid w:val="28911AF2"/>
    <w:rsid w:val="289151CA"/>
    <w:rsid w:val="28A2680F"/>
    <w:rsid w:val="28B9246E"/>
    <w:rsid w:val="28D21782"/>
    <w:rsid w:val="28EB583C"/>
    <w:rsid w:val="28F402DA"/>
    <w:rsid w:val="28F72F97"/>
    <w:rsid w:val="28FC78BE"/>
    <w:rsid w:val="29000A40"/>
    <w:rsid w:val="290F29AF"/>
    <w:rsid w:val="291E67A9"/>
    <w:rsid w:val="292611B7"/>
    <w:rsid w:val="293634F4"/>
    <w:rsid w:val="29503CAA"/>
    <w:rsid w:val="29533730"/>
    <w:rsid w:val="29770361"/>
    <w:rsid w:val="297840D8"/>
    <w:rsid w:val="2985201E"/>
    <w:rsid w:val="29892059"/>
    <w:rsid w:val="29894105"/>
    <w:rsid w:val="29A34FDC"/>
    <w:rsid w:val="29AF4FD3"/>
    <w:rsid w:val="29B35110"/>
    <w:rsid w:val="29B812E2"/>
    <w:rsid w:val="29BF3AB4"/>
    <w:rsid w:val="29C55899"/>
    <w:rsid w:val="29C865D6"/>
    <w:rsid w:val="29E71C49"/>
    <w:rsid w:val="29E76B67"/>
    <w:rsid w:val="29F2147C"/>
    <w:rsid w:val="29FA1911"/>
    <w:rsid w:val="2A0608C1"/>
    <w:rsid w:val="2A0C4A40"/>
    <w:rsid w:val="2A134AF4"/>
    <w:rsid w:val="2A1536D4"/>
    <w:rsid w:val="2A255C2B"/>
    <w:rsid w:val="2A2B7BC9"/>
    <w:rsid w:val="2A391AB9"/>
    <w:rsid w:val="2A3A5DF9"/>
    <w:rsid w:val="2A4926C2"/>
    <w:rsid w:val="2A495A74"/>
    <w:rsid w:val="2A4D2BFD"/>
    <w:rsid w:val="2A530EDF"/>
    <w:rsid w:val="2A5F6992"/>
    <w:rsid w:val="2A6F16F3"/>
    <w:rsid w:val="2A7949E3"/>
    <w:rsid w:val="2A7FEBAB"/>
    <w:rsid w:val="2A80647C"/>
    <w:rsid w:val="2A8E62B6"/>
    <w:rsid w:val="2A9572CC"/>
    <w:rsid w:val="2AA36F32"/>
    <w:rsid w:val="2ABD4C84"/>
    <w:rsid w:val="2ACB5D43"/>
    <w:rsid w:val="2AD81233"/>
    <w:rsid w:val="2ADC178F"/>
    <w:rsid w:val="2AE63EFE"/>
    <w:rsid w:val="2AED78BA"/>
    <w:rsid w:val="2AF05EF0"/>
    <w:rsid w:val="2B1725AC"/>
    <w:rsid w:val="2B2E227F"/>
    <w:rsid w:val="2B3404E2"/>
    <w:rsid w:val="2B363CF4"/>
    <w:rsid w:val="2B3A7305"/>
    <w:rsid w:val="2B425FD0"/>
    <w:rsid w:val="2B4268A6"/>
    <w:rsid w:val="2B724B56"/>
    <w:rsid w:val="2B8F5708"/>
    <w:rsid w:val="2B9B4F58"/>
    <w:rsid w:val="2B9D1BD3"/>
    <w:rsid w:val="2BA3696C"/>
    <w:rsid w:val="2BB65EBB"/>
    <w:rsid w:val="2BB67A51"/>
    <w:rsid w:val="2BB769EE"/>
    <w:rsid w:val="2BB8130D"/>
    <w:rsid w:val="2BC1223D"/>
    <w:rsid w:val="2BC40014"/>
    <w:rsid w:val="2BC51B34"/>
    <w:rsid w:val="2BCA04EF"/>
    <w:rsid w:val="2BF95140"/>
    <w:rsid w:val="2C0B194E"/>
    <w:rsid w:val="2C1A4F62"/>
    <w:rsid w:val="2C227130"/>
    <w:rsid w:val="2C3447BE"/>
    <w:rsid w:val="2C3D3C75"/>
    <w:rsid w:val="2C4B420E"/>
    <w:rsid w:val="2C660165"/>
    <w:rsid w:val="2C6619D7"/>
    <w:rsid w:val="2C6A0BA3"/>
    <w:rsid w:val="2C8903AA"/>
    <w:rsid w:val="2C8A76F4"/>
    <w:rsid w:val="2C931BC6"/>
    <w:rsid w:val="2C947F22"/>
    <w:rsid w:val="2CA45E14"/>
    <w:rsid w:val="2CB62CA6"/>
    <w:rsid w:val="2CBA67B5"/>
    <w:rsid w:val="2CD77367"/>
    <w:rsid w:val="2CDB673A"/>
    <w:rsid w:val="2CDE24A4"/>
    <w:rsid w:val="2CEA709A"/>
    <w:rsid w:val="2CEE34EF"/>
    <w:rsid w:val="2CEF46B1"/>
    <w:rsid w:val="2CF605F7"/>
    <w:rsid w:val="2CF9108B"/>
    <w:rsid w:val="2D016FE9"/>
    <w:rsid w:val="2D0A367D"/>
    <w:rsid w:val="2D0A4F80"/>
    <w:rsid w:val="2D12214D"/>
    <w:rsid w:val="2D14362B"/>
    <w:rsid w:val="2D2E304F"/>
    <w:rsid w:val="2D3C07FE"/>
    <w:rsid w:val="2D3E414F"/>
    <w:rsid w:val="2D5756FC"/>
    <w:rsid w:val="2D5D5591"/>
    <w:rsid w:val="2D74743A"/>
    <w:rsid w:val="2D7B7CF2"/>
    <w:rsid w:val="2D7C11D4"/>
    <w:rsid w:val="2D7F4766"/>
    <w:rsid w:val="2D960FD0"/>
    <w:rsid w:val="2D99286E"/>
    <w:rsid w:val="2DBE7F60"/>
    <w:rsid w:val="2DF6788C"/>
    <w:rsid w:val="2E043938"/>
    <w:rsid w:val="2E0D1588"/>
    <w:rsid w:val="2E1F0FC6"/>
    <w:rsid w:val="2E2A042C"/>
    <w:rsid w:val="2E3944B7"/>
    <w:rsid w:val="2E3B1633"/>
    <w:rsid w:val="2E497DF1"/>
    <w:rsid w:val="2E4C1B78"/>
    <w:rsid w:val="2E5F13C2"/>
    <w:rsid w:val="2E61338C"/>
    <w:rsid w:val="2E7035CF"/>
    <w:rsid w:val="2E70537D"/>
    <w:rsid w:val="2E73313B"/>
    <w:rsid w:val="2E866E5E"/>
    <w:rsid w:val="2E8B06D6"/>
    <w:rsid w:val="2E9B6172"/>
    <w:rsid w:val="2E9C43C4"/>
    <w:rsid w:val="2EA63495"/>
    <w:rsid w:val="2EA916B2"/>
    <w:rsid w:val="2EB7703D"/>
    <w:rsid w:val="2EBA0CEE"/>
    <w:rsid w:val="2EC62DA5"/>
    <w:rsid w:val="2EEA1606"/>
    <w:rsid w:val="2EED318E"/>
    <w:rsid w:val="2F0401BB"/>
    <w:rsid w:val="2F0F1794"/>
    <w:rsid w:val="2F1A0856"/>
    <w:rsid w:val="2F2B5B05"/>
    <w:rsid w:val="2F3A3BDD"/>
    <w:rsid w:val="2F475C7E"/>
    <w:rsid w:val="2F4800A8"/>
    <w:rsid w:val="2F486024"/>
    <w:rsid w:val="2F4A2072"/>
    <w:rsid w:val="2F4B6223"/>
    <w:rsid w:val="2F523B34"/>
    <w:rsid w:val="2F681310"/>
    <w:rsid w:val="2F743B89"/>
    <w:rsid w:val="2F7B2B74"/>
    <w:rsid w:val="2F7E2877"/>
    <w:rsid w:val="2F8567D8"/>
    <w:rsid w:val="2F8B5040"/>
    <w:rsid w:val="2FC45593"/>
    <w:rsid w:val="2FC61E6F"/>
    <w:rsid w:val="2FE65B09"/>
    <w:rsid w:val="2FFA3A98"/>
    <w:rsid w:val="30115CE5"/>
    <w:rsid w:val="30135C1F"/>
    <w:rsid w:val="30136908"/>
    <w:rsid w:val="30191760"/>
    <w:rsid w:val="3025663B"/>
    <w:rsid w:val="3028092A"/>
    <w:rsid w:val="30297EDA"/>
    <w:rsid w:val="302F54E7"/>
    <w:rsid w:val="304B42F4"/>
    <w:rsid w:val="3062251C"/>
    <w:rsid w:val="306453B6"/>
    <w:rsid w:val="30726790"/>
    <w:rsid w:val="30731155"/>
    <w:rsid w:val="30831C53"/>
    <w:rsid w:val="3095556F"/>
    <w:rsid w:val="30A92DC8"/>
    <w:rsid w:val="30B034AD"/>
    <w:rsid w:val="30B31983"/>
    <w:rsid w:val="30C87FB8"/>
    <w:rsid w:val="30C9484E"/>
    <w:rsid w:val="30CF2960"/>
    <w:rsid w:val="30DC319E"/>
    <w:rsid w:val="30E107B4"/>
    <w:rsid w:val="30E90E2B"/>
    <w:rsid w:val="310406DA"/>
    <w:rsid w:val="31085D41"/>
    <w:rsid w:val="310A2A14"/>
    <w:rsid w:val="310F59F0"/>
    <w:rsid w:val="311C17EC"/>
    <w:rsid w:val="31395BA8"/>
    <w:rsid w:val="3141666D"/>
    <w:rsid w:val="314B14BF"/>
    <w:rsid w:val="31547B90"/>
    <w:rsid w:val="3158219E"/>
    <w:rsid w:val="315D7742"/>
    <w:rsid w:val="315F05BE"/>
    <w:rsid w:val="316D537E"/>
    <w:rsid w:val="31716348"/>
    <w:rsid w:val="317355F2"/>
    <w:rsid w:val="317E68B2"/>
    <w:rsid w:val="3185517F"/>
    <w:rsid w:val="3185793C"/>
    <w:rsid w:val="319770C5"/>
    <w:rsid w:val="31A57A34"/>
    <w:rsid w:val="31B06C89"/>
    <w:rsid w:val="31B55C07"/>
    <w:rsid w:val="31C21E67"/>
    <w:rsid w:val="31C2569E"/>
    <w:rsid w:val="31C96BD0"/>
    <w:rsid w:val="31CA2ACD"/>
    <w:rsid w:val="31E15891"/>
    <w:rsid w:val="31F043F4"/>
    <w:rsid w:val="31F43D52"/>
    <w:rsid w:val="32335040"/>
    <w:rsid w:val="32342B66"/>
    <w:rsid w:val="325066A8"/>
    <w:rsid w:val="32563FE3"/>
    <w:rsid w:val="32574CBD"/>
    <w:rsid w:val="325D3410"/>
    <w:rsid w:val="3260226B"/>
    <w:rsid w:val="327A5FF1"/>
    <w:rsid w:val="327B2543"/>
    <w:rsid w:val="32981E44"/>
    <w:rsid w:val="32A55CC0"/>
    <w:rsid w:val="32A937D2"/>
    <w:rsid w:val="32C4213C"/>
    <w:rsid w:val="32C95971"/>
    <w:rsid w:val="32E41009"/>
    <w:rsid w:val="32E9078F"/>
    <w:rsid w:val="32ED34FF"/>
    <w:rsid w:val="3304078A"/>
    <w:rsid w:val="330856D0"/>
    <w:rsid w:val="33244988"/>
    <w:rsid w:val="33316646"/>
    <w:rsid w:val="33462B8C"/>
    <w:rsid w:val="33491C13"/>
    <w:rsid w:val="33550FE6"/>
    <w:rsid w:val="335E45B2"/>
    <w:rsid w:val="33691E57"/>
    <w:rsid w:val="33735D99"/>
    <w:rsid w:val="33736E76"/>
    <w:rsid w:val="337570A4"/>
    <w:rsid w:val="337A6C9E"/>
    <w:rsid w:val="338D69D1"/>
    <w:rsid w:val="33925D96"/>
    <w:rsid w:val="339C6C14"/>
    <w:rsid w:val="33A269EC"/>
    <w:rsid w:val="33A856B1"/>
    <w:rsid w:val="33AB2922"/>
    <w:rsid w:val="33C50B9E"/>
    <w:rsid w:val="33D301D3"/>
    <w:rsid w:val="33D976B3"/>
    <w:rsid w:val="33DB2EFB"/>
    <w:rsid w:val="33DB773D"/>
    <w:rsid w:val="33DC6CF8"/>
    <w:rsid w:val="33F54490"/>
    <w:rsid w:val="33F85833"/>
    <w:rsid w:val="33F94458"/>
    <w:rsid w:val="340B78F6"/>
    <w:rsid w:val="341266A4"/>
    <w:rsid w:val="3429350C"/>
    <w:rsid w:val="3431735D"/>
    <w:rsid w:val="3434509F"/>
    <w:rsid w:val="343C76C2"/>
    <w:rsid w:val="343D6C24"/>
    <w:rsid w:val="345873A9"/>
    <w:rsid w:val="34692A1E"/>
    <w:rsid w:val="346C4A6E"/>
    <w:rsid w:val="34703C63"/>
    <w:rsid w:val="347831DE"/>
    <w:rsid w:val="347C5D20"/>
    <w:rsid w:val="34847DD4"/>
    <w:rsid w:val="348C6C89"/>
    <w:rsid w:val="34997F68"/>
    <w:rsid w:val="34A2025B"/>
    <w:rsid w:val="34AF7CC9"/>
    <w:rsid w:val="34B41D3C"/>
    <w:rsid w:val="34B956D8"/>
    <w:rsid w:val="34C24459"/>
    <w:rsid w:val="34CE1050"/>
    <w:rsid w:val="34E017A7"/>
    <w:rsid w:val="34E526B4"/>
    <w:rsid w:val="34EC3BCC"/>
    <w:rsid w:val="34ED4FC5"/>
    <w:rsid w:val="34FE7262"/>
    <w:rsid w:val="35101668"/>
    <w:rsid w:val="352407FC"/>
    <w:rsid w:val="352612DF"/>
    <w:rsid w:val="35322B1F"/>
    <w:rsid w:val="353358B6"/>
    <w:rsid w:val="3535498A"/>
    <w:rsid w:val="35373099"/>
    <w:rsid w:val="35471E10"/>
    <w:rsid w:val="355004C3"/>
    <w:rsid w:val="355157DD"/>
    <w:rsid w:val="3556146D"/>
    <w:rsid w:val="355724F0"/>
    <w:rsid w:val="35810326"/>
    <w:rsid w:val="35867B7C"/>
    <w:rsid w:val="358C5E8C"/>
    <w:rsid w:val="358D7C9B"/>
    <w:rsid w:val="358E2186"/>
    <w:rsid w:val="35A26038"/>
    <w:rsid w:val="35AC737E"/>
    <w:rsid w:val="35AE5305"/>
    <w:rsid w:val="35B90B5D"/>
    <w:rsid w:val="35BD10B7"/>
    <w:rsid w:val="35DE239E"/>
    <w:rsid w:val="35E06512"/>
    <w:rsid w:val="35E33F92"/>
    <w:rsid w:val="360212D1"/>
    <w:rsid w:val="36030D37"/>
    <w:rsid w:val="360E2480"/>
    <w:rsid w:val="361327DB"/>
    <w:rsid w:val="363720E3"/>
    <w:rsid w:val="3639711B"/>
    <w:rsid w:val="363B3C2E"/>
    <w:rsid w:val="363E765D"/>
    <w:rsid w:val="36421CF5"/>
    <w:rsid w:val="365869BA"/>
    <w:rsid w:val="36592830"/>
    <w:rsid w:val="36697A8D"/>
    <w:rsid w:val="367409D2"/>
    <w:rsid w:val="36773881"/>
    <w:rsid w:val="367B56C5"/>
    <w:rsid w:val="367C5173"/>
    <w:rsid w:val="36915D46"/>
    <w:rsid w:val="369B31B3"/>
    <w:rsid w:val="36BA6657"/>
    <w:rsid w:val="36C73FA8"/>
    <w:rsid w:val="36CA31B0"/>
    <w:rsid w:val="36D20797"/>
    <w:rsid w:val="36E16F8C"/>
    <w:rsid w:val="36E65B3A"/>
    <w:rsid w:val="370346A6"/>
    <w:rsid w:val="37186F74"/>
    <w:rsid w:val="371F5B92"/>
    <w:rsid w:val="37296474"/>
    <w:rsid w:val="37405833"/>
    <w:rsid w:val="37594F8B"/>
    <w:rsid w:val="37666B6B"/>
    <w:rsid w:val="37675674"/>
    <w:rsid w:val="376B1978"/>
    <w:rsid w:val="3771007D"/>
    <w:rsid w:val="37734130"/>
    <w:rsid w:val="37940CA8"/>
    <w:rsid w:val="37A34A15"/>
    <w:rsid w:val="37A92337"/>
    <w:rsid w:val="37B90CC1"/>
    <w:rsid w:val="37C404E8"/>
    <w:rsid w:val="37CB1876"/>
    <w:rsid w:val="37D848CF"/>
    <w:rsid w:val="37DB157C"/>
    <w:rsid w:val="37DB3C7D"/>
    <w:rsid w:val="37EE7D30"/>
    <w:rsid w:val="37F62976"/>
    <w:rsid w:val="37F77F19"/>
    <w:rsid w:val="381B0A50"/>
    <w:rsid w:val="381D34F9"/>
    <w:rsid w:val="382056E0"/>
    <w:rsid w:val="3822692C"/>
    <w:rsid w:val="382947EF"/>
    <w:rsid w:val="38343F2A"/>
    <w:rsid w:val="38490F9C"/>
    <w:rsid w:val="384C1631"/>
    <w:rsid w:val="38542754"/>
    <w:rsid w:val="386C03A0"/>
    <w:rsid w:val="388372DB"/>
    <w:rsid w:val="38850AD8"/>
    <w:rsid w:val="38A5656B"/>
    <w:rsid w:val="38B10FD7"/>
    <w:rsid w:val="38B2326B"/>
    <w:rsid w:val="38BD498D"/>
    <w:rsid w:val="38D04F33"/>
    <w:rsid w:val="38D155B2"/>
    <w:rsid w:val="38D26C34"/>
    <w:rsid w:val="38D81B11"/>
    <w:rsid w:val="38F61303"/>
    <w:rsid w:val="38FC42B5"/>
    <w:rsid w:val="38FC71A8"/>
    <w:rsid w:val="39020983"/>
    <w:rsid w:val="39037F6C"/>
    <w:rsid w:val="390C2146"/>
    <w:rsid w:val="39161217"/>
    <w:rsid w:val="39214610"/>
    <w:rsid w:val="39276898"/>
    <w:rsid w:val="39464964"/>
    <w:rsid w:val="395224D9"/>
    <w:rsid w:val="395601FC"/>
    <w:rsid w:val="395A7356"/>
    <w:rsid w:val="39647471"/>
    <w:rsid w:val="397B4E62"/>
    <w:rsid w:val="39845848"/>
    <w:rsid w:val="39972B1A"/>
    <w:rsid w:val="399A1410"/>
    <w:rsid w:val="39A17675"/>
    <w:rsid w:val="39A6259B"/>
    <w:rsid w:val="39C8231B"/>
    <w:rsid w:val="39CD1539"/>
    <w:rsid w:val="39CD5D32"/>
    <w:rsid w:val="39DA1DFA"/>
    <w:rsid w:val="39DC71EB"/>
    <w:rsid w:val="39DD5D2E"/>
    <w:rsid w:val="3A045F91"/>
    <w:rsid w:val="3A0A0953"/>
    <w:rsid w:val="3A184B1B"/>
    <w:rsid w:val="3A187F8C"/>
    <w:rsid w:val="3A1E4582"/>
    <w:rsid w:val="3A2C4127"/>
    <w:rsid w:val="3A3B0B46"/>
    <w:rsid w:val="3A451DB4"/>
    <w:rsid w:val="3A4F678F"/>
    <w:rsid w:val="3A5576B6"/>
    <w:rsid w:val="3A682780"/>
    <w:rsid w:val="3A697EB7"/>
    <w:rsid w:val="3A7A136F"/>
    <w:rsid w:val="3A7F0311"/>
    <w:rsid w:val="3A8A3C6B"/>
    <w:rsid w:val="3A8C5141"/>
    <w:rsid w:val="3A8D5509"/>
    <w:rsid w:val="3A9C0D92"/>
    <w:rsid w:val="3A9F25C8"/>
    <w:rsid w:val="3AA648FE"/>
    <w:rsid w:val="3AAA7D3D"/>
    <w:rsid w:val="3AD117FB"/>
    <w:rsid w:val="3AD64FB0"/>
    <w:rsid w:val="3AD72904"/>
    <w:rsid w:val="3AD75A09"/>
    <w:rsid w:val="3ADC5AFD"/>
    <w:rsid w:val="3AE17BBC"/>
    <w:rsid w:val="3B007A89"/>
    <w:rsid w:val="3B0F5ABD"/>
    <w:rsid w:val="3B1A123D"/>
    <w:rsid w:val="3B213730"/>
    <w:rsid w:val="3B2D7A40"/>
    <w:rsid w:val="3B2F4F75"/>
    <w:rsid w:val="3B315914"/>
    <w:rsid w:val="3B5008D7"/>
    <w:rsid w:val="3B7355AE"/>
    <w:rsid w:val="3B793C0F"/>
    <w:rsid w:val="3B7F15E2"/>
    <w:rsid w:val="3B7F6F5D"/>
    <w:rsid w:val="3B8536A6"/>
    <w:rsid w:val="3B871F58"/>
    <w:rsid w:val="3B8763FC"/>
    <w:rsid w:val="3B8A37F6"/>
    <w:rsid w:val="3B8B2713"/>
    <w:rsid w:val="3B906DF8"/>
    <w:rsid w:val="3B9F0C51"/>
    <w:rsid w:val="3BA00572"/>
    <w:rsid w:val="3BA00966"/>
    <w:rsid w:val="3BB1021B"/>
    <w:rsid w:val="3BC53ABB"/>
    <w:rsid w:val="3BCC1F2A"/>
    <w:rsid w:val="3BCD6D6D"/>
    <w:rsid w:val="3BD57167"/>
    <w:rsid w:val="3BF72A83"/>
    <w:rsid w:val="3C130A1F"/>
    <w:rsid w:val="3C135790"/>
    <w:rsid w:val="3C1752F7"/>
    <w:rsid w:val="3C193171"/>
    <w:rsid w:val="3C1E3214"/>
    <w:rsid w:val="3C2528C6"/>
    <w:rsid w:val="3C2679C3"/>
    <w:rsid w:val="3C333E8E"/>
    <w:rsid w:val="3C4321AB"/>
    <w:rsid w:val="3C4F0720"/>
    <w:rsid w:val="3C4F1FEA"/>
    <w:rsid w:val="3C616C4D"/>
    <w:rsid w:val="3C686571"/>
    <w:rsid w:val="3C83525B"/>
    <w:rsid w:val="3C87375A"/>
    <w:rsid w:val="3C8E189D"/>
    <w:rsid w:val="3CA22EFE"/>
    <w:rsid w:val="3CB8043D"/>
    <w:rsid w:val="3CB94BCA"/>
    <w:rsid w:val="3CC25705"/>
    <w:rsid w:val="3CC50225"/>
    <w:rsid w:val="3CC92CB9"/>
    <w:rsid w:val="3CCF3965"/>
    <w:rsid w:val="3CDD64CF"/>
    <w:rsid w:val="3CDE231E"/>
    <w:rsid w:val="3CEB5790"/>
    <w:rsid w:val="3CFE1B47"/>
    <w:rsid w:val="3D015D3A"/>
    <w:rsid w:val="3D1C767A"/>
    <w:rsid w:val="3D1E1219"/>
    <w:rsid w:val="3D36346C"/>
    <w:rsid w:val="3D421FBB"/>
    <w:rsid w:val="3D47560D"/>
    <w:rsid w:val="3D4956FE"/>
    <w:rsid w:val="3D523BCD"/>
    <w:rsid w:val="3D565740"/>
    <w:rsid w:val="3D645169"/>
    <w:rsid w:val="3D6C3AFB"/>
    <w:rsid w:val="3D842BF3"/>
    <w:rsid w:val="3D8F2120"/>
    <w:rsid w:val="3D8F30A0"/>
    <w:rsid w:val="3D990E61"/>
    <w:rsid w:val="3D9D1F07"/>
    <w:rsid w:val="3DA327E5"/>
    <w:rsid w:val="3DAB4624"/>
    <w:rsid w:val="3DB01C7C"/>
    <w:rsid w:val="3DBA1ADA"/>
    <w:rsid w:val="3DBA6615"/>
    <w:rsid w:val="3DC355A6"/>
    <w:rsid w:val="3DC42D6E"/>
    <w:rsid w:val="3DD009EA"/>
    <w:rsid w:val="3DD64752"/>
    <w:rsid w:val="3DD650E4"/>
    <w:rsid w:val="3DD80DF7"/>
    <w:rsid w:val="3DE26317"/>
    <w:rsid w:val="3E10092B"/>
    <w:rsid w:val="3E175815"/>
    <w:rsid w:val="3E251E4B"/>
    <w:rsid w:val="3E2D1C0D"/>
    <w:rsid w:val="3E352B5B"/>
    <w:rsid w:val="3E3A2755"/>
    <w:rsid w:val="3E463101"/>
    <w:rsid w:val="3E46434D"/>
    <w:rsid w:val="3E467EA9"/>
    <w:rsid w:val="3E52684D"/>
    <w:rsid w:val="3E5717D0"/>
    <w:rsid w:val="3E725142"/>
    <w:rsid w:val="3E734A16"/>
    <w:rsid w:val="3E7A5DA4"/>
    <w:rsid w:val="3E8B1D5F"/>
    <w:rsid w:val="3E950E30"/>
    <w:rsid w:val="3E953235"/>
    <w:rsid w:val="3EA03A5D"/>
    <w:rsid w:val="3EAA3B18"/>
    <w:rsid w:val="3EB72B54"/>
    <w:rsid w:val="3EBD0BAE"/>
    <w:rsid w:val="3EC80A37"/>
    <w:rsid w:val="3ECD2095"/>
    <w:rsid w:val="3EED47C8"/>
    <w:rsid w:val="3EF02AD3"/>
    <w:rsid w:val="3EF43DA9"/>
    <w:rsid w:val="3F024C1A"/>
    <w:rsid w:val="3F204B9E"/>
    <w:rsid w:val="3F21052E"/>
    <w:rsid w:val="3F330C34"/>
    <w:rsid w:val="3F3917F4"/>
    <w:rsid w:val="3F4A7E6C"/>
    <w:rsid w:val="3F625E8E"/>
    <w:rsid w:val="3F6A673B"/>
    <w:rsid w:val="3F84512C"/>
    <w:rsid w:val="3F8C2A74"/>
    <w:rsid w:val="3F917849"/>
    <w:rsid w:val="3F924981"/>
    <w:rsid w:val="3FA70307"/>
    <w:rsid w:val="3FA7458E"/>
    <w:rsid w:val="3FB22390"/>
    <w:rsid w:val="3FBA6F1C"/>
    <w:rsid w:val="3FCF1529"/>
    <w:rsid w:val="3FD0248A"/>
    <w:rsid w:val="3FDE7FB9"/>
    <w:rsid w:val="3FE37E33"/>
    <w:rsid w:val="3FE813F4"/>
    <w:rsid w:val="3FF55C7D"/>
    <w:rsid w:val="40095632"/>
    <w:rsid w:val="400E03CE"/>
    <w:rsid w:val="400E0E9A"/>
    <w:rsid w:val="401144E6"/>
    <w:rsid w:val="401171AD"/>
    <w:rsid w:val="40225AF1"/>
    <w:rsid w:val="403D5148"/>
    <w:rsid w:val="403F2E01"/>
    <w:rsid w:val="40445977"/>
    <w:rsid w:val="40507C98"/>
    <w:rsid w:val="40583EC3"/>
    <w:rsid w:val="4061657E"/>
    <w:rsid w:val="40625FCD"/>
    <w:rsid w:val="40672358"/>
    <w:rsid w:val="40675CAC"/>
    <w:rsid w:val="407E7DCE"/>
    <w:rsid w:val="40892318"/>
    <w:rsid w:val="408E0789"/>
    <w:rsid w:val="4090365D"/>
    <w:rsid w:val="40A42109"/>
    <w:rsid w:val="40A610D2"/>
    <w:rsid w:val="40A76FA9"/>
    <w:rsid w:val="40AC084A"/>
    <w:rsid w:val="40D05FDB"/>
    <w:rsid w:val="40DB515E"/>
    <w:rsid w:val="40E30197"/>
    <w:rsid w:val="40EA1367"/>
    <w:rsid w:val="40EB151F"/>
    <w:rsid w:val="40F25A91"/>
    <w:rsid w:val="41110C42"/>
    <w:rsid w:val="411249BA"/>
    <w:rsid w:val="411C387B"/>
    <w:rsid w:val="411C6FE5"/>
    <w:rsid w:val="41292B74"/>
    <w:rsid w:val="413D1A37"/>
    <w:rsid w:val="414C7ECC"/>
    <w:rsid w:val="414E3836"/>
    <w:rsid w:val="41592854"/>
    <w:rsid w:val="41647934"/>
    <w:rsid w:val="41676AB4"/>
    <w:rsid w:val="416E516B"/>
    <w:rsid w:val="418812BB"/>
    <w:rsid w:val="418F1604"/>
    <w:rsid w:val="419F3079"/>
    <w:rsid w:val="41AE3A67"/>
    <w:rsid w:val="41EA02ED"/>
    <w:rsid w:val="420E5181"/>
    <w:rsid w:val="421409A0"/>
    <w:rsid w:val="4215282E"/>
    <w:rsid w:val="4216544A"/>
    <w:rsid w:val="42225E0B"/>
    <w:rsid w:val="424F30C2"/>
    <w:rsid w:val="426254CD"/>
    <w:rsid w:val="426C30A0"/>
    <w:rsid w:val="42701998"/>
    <w:rsid w:val="427358D4"/>
    <w:rsid w:val="42736D87"/>
    <w:rsid w:val="427E086F"/>
    <w:rsid w:val="42826F4F"/>
    <w:rsid w:val="42931FC8"/>
    <w:rsid w:val="429D286D"/>
    <w:rsid w:val="429E14C4"/>
    <w:rsid w:val="42A26186"/>
    <w:rsid w:val="42BF022A"/>
    <w:rsid w:val="42C13D5C"/>
    <w:rsid w:val="42C66BA7"/>
    <w:rsid w:val="42C817D4"/>
    <w:rsid w:val="42D53EF1"/>
    <w:rsid w:val="42DF3579"/>
    <w:rsid w:val="42E264C2"/>
    <w:rsid w:val="42E85CD3"/>
    <w:rsid w:val="42E87780"/>
    <w:rsid w:val="42ED7D18"/>
    <w:rsid w:val="42F07DBB"/>
    <w:rsid w:val="42F54D63"/>
    <w:rsid w:val="42F73E67"/>
    <w:rsid w:val="42F779C3"/>
    <w:rsid w:val="42F87E06"/>
    <w:rsid w:val="42FC7969"/>
    <w:rsid w:val="43011E27"/>
    <w:rsid w:val="430A124F"/>
    <w:rsid w:val="430B3A05"/>
    <w:rsid w:val="430F20A0"/>
    <w:rsid w:val="43135F0F"/>
    <w:rsid w:val="431762B8"/>
    <w:rsid w:val="431A7B56"/>
    <w:rsid w:val="431B6CC7"/>
    <w:rsid w:val="43244531"/>
    <w:rsid w:val="432634B4"/>
    <w:rsid w:val="43364990"/>
    <w:rsid w:val="43566DE0"/>
    <w:rsid w:val="43650DD1"/>
    <w:rsid w:val="43724BD3"/>
    <w:rsid w:val="43732880"/>
    <w:rsid w:val="43865952"/>
    <w:rsid w:val="438F0BB0"/>
    <w:rsid w:val="439E0787"/>
    <w:rsid w:val="43A86F10"/>
    <w:rsid w:val="43BF04EA"/>
    <w:rsid w:val="43C05A1E"/>
    <w:rsid w:val="43D22CDA"/>
    <w:rsid w:val="43D354DC"/>
    <w:rsid w:val="43D441A9"/>
    <w:rsid w:val="43E91A02"/>
    <w:rsid w:val="43F32881"/>
    <w:rsid w:val="4405353A"/>
    <w:rsid w:val="44063CF3"/>
    <w:rsid w:val="44072973"/>
    <w:rsid w:val="440C3135"/>
    <w:rsid w:val="44112D07"/>
    <w:rsid w:val="44117E2D"/>
    <w:rsid w:val="441D5B50"/>
    <w:rsid w:val="441E6386"/>
    <w:rsid w:val="44426345"/>
    <w:rsid w:val="444B2816"/>
    <w:rsid w:val="445279AA"/>
    <w:rsid w:val="445F3A86"/>
    <w:rsid w:val="446472DA"/>
    <w:rsid w:val="44735770"/>
    <w:rsid w:val="4478636B"/>
    <w:rsid w:val="447A0DB3"/>
    <w:rsid w:val="4481712B"/>
    <w:rsid w:val="4488746D"/>
    <w:rsid w:val="448B4867"/>
    <w:rsid w:val="448E6105"/>
    <w:rsid w:val="449D459A"/>
    <w:rsid w:val="44AD1736"/>
    <w:rsid w:val="44C93406"/>
    <w:rsid w:val="44CE0BF8"/>
    <w:rsid w:val="44D02BC2"/>
    <w:rsid w:val="44D74994"/>
    <w:rsid w:val="44DC3315"/>
    <w:rsid w:val="44F62875"/>
    <w:rsid w:val="451730A2"/>
    <w:rsid w:val="451955A3"/>
    <w:rsid w:val="45205199"/>
    <w:rsid w:val="45260B70"/>
    <w:rsid w:val="453303B6"/>
    <w:rsid w:val="45350C77"/>
    <w:rsid w:val="45357C2D"/>
    <w:rsid w:val="453E7B2C"/>
    <w:rsid w:val="4541322C"/>
    <w:rsid w:val="45467C1A"/>
    <w:rsid w:val="454946CF"/>
    <w:rsid w:val="45523E0A"/>
    <w:rsid w:val="455E3D2A"/>
    <w:rsid w:val="45617CBE"/>
    <w:rsid w:val="456D0411"/>
    <w:rsid w:val="45703A5D"/>
    <w:rsid w:val="457479F1"/>
    <w:rsid w:val="45784EE5"/>
    <w:rsid w:val="457C33A8"/>
    <w:rsid w:val="457F7404"/>
    <w:rsid w:val="458361FD"/>
    <w:rsid w:val="4595726A"/>
    <w:rsid w:val="45AD0E39"/>
    <w:rsid w:val="45B66B2F"/>
    <w:rsid w:val="45C610DE"/>
    <w:rsid w:val="45C67177"/>
    <w:rsid w:val="45CA7D82"/>
    <w:rsid w:val="45D048BE"/>
    <w:rsid w:val="45D93CF8"/>
    <w:rsid w:val="45DE626C"/>
    <w:rsid w:val="45F13477"/>
    <w:rsid w:val="45F64EBA"/>
    <w:rsid w:val="45FD7B3D"/>
    <w:rsid w:val="46015FB3"/>
    <w:rsid w:val="460348D1"/>
    <w:rsid w:val="460A10C2"/>
    <w:rsid w:val="460F78BE"/>
    <w:rsid w:val="461551BA"/>
    <w:rsid w:val="46230254"/>
    <w:rsid w:val="46250CEB"/>
    <w:rsid w:val="462C207A"/>
    <w:rsid w:val="462D24EF"/>
    <w:rsid w:val="4642364B"/>
    <w:rsid w:val="464E1FF0"/>
    <w:rsid w:val="466F9291"/>
    <w:rsid w:val="46733805"/>
    <w:rsid w:val="46753897"/>
    <w:rsid w:val="46761190"/>
    <w:rsid w:val="46843C64"/>
    <w:rsid w:val="46845A12"/>
    <w:rsid w:val="46867477"/>
    <w:rsid w:val="468A02AD"/>
    <w:rsid w:val="468B3DD1"/>
    <w:rsid w:val="469D4D26"/>
    <w:rsid w:val="46A33D32"/>
    <w:rsid w:val="46B906B9"/>
    <w:rsid w:val="46C96F1B"/>
    <w:rsid w:val="46D61F38"/>
    <w:rsid w:val="46D87DE5"/>
    <w:rsid w:val="46E556A4"/>
    <w:rsid w:val="46EA25E1"/>
    <w:rsid w:val="46EB1077"/>
    <w:rsid w:val="46FE250C"/>
    <w:rsid w:val="470C2558"/>
    <w:rsid w:val="472165B7"/>
    <w:rsid w:val="4723347D"/>
    <w:rsid w:val="47277064"/>
    <w:rsid w:val="472B40E0"/>
    <w:rsid w:val="473161FA"/>
    <w:rsid w:val="47323C17"/>
    <w:rsid w:val="473E02B7"/>
    <w:rsid w:val="474E1009"/>
    <w:rsid w:val="474E29C1"/>
    <w:rsid w:val="475569C5"/>
    <w:rsid w:val="47590A49"/>
    <w:rsid w:val="476A063C"/>
    <w:rsid w:val="47941208"/>
    <w:rsid w:val="479954ED"/>
    <w:rsid w:val="47A101B2"/>
    <w:rsid w:val="47BC11DC"/>
    <w:rsid w:val="47BF2852"/>
    <w:rsid w:val="47BF386C"/>
    <w:rsid w:val="47C95C6C"/>
    <w:rsid w:val="47D172DF"/>
    <w:rsid w:val="47EC7022"/>
    <w:rsid w:val="47EC7D13"/>
    <w:rsid w:val="47FC7940"/>
    <w:rsid w:val="48030B33"/>
    <w:rsid w:val="48046015"/>
    <w:rsid w:val="48102D4F"/>
    <w:rsid w:val="4819316F"/>
    <w:rsid w:val="48401E0D"/>
    <w:rsid w:val="48480CC1"/>
    <w:rsid w:val="48580B32"/>
    <w:rsid w:val="485B43A9"/>
    <w:rsid w:val="485D63AE"/>
    <w:rsid w:val="48635024"/>
    <w:rsid w:val="48693111"/>
    <w:rsid w:val="487B675C"/>
    <w:rsid w:val="48847172"/>
    <w:rsid w:val="489A4FDC"/>
    <w:rsid w:val="48A572ED"/>
    <w:rsid w:val="48B22238"/>
    <w:rsid w:val="48B33076"/>
    <w:rsid w:val="48BF71D5"/>
    <w:rsid w:val="48C4330A"/>
    <w:rsid w:val="48C56B4C"/>
    <w:rsid w:val="48D55EB3"/>
    <w:rsid w:val="48DA0701"/>
    <w:rsid w:val="48DC7D87"/>
    <w:rsid w:val="48DF324A"/>
    <w:rsid w:val="48E052EC"/>
    <w:rsid w:val="48E22EC4"/>
    <w:rsid w:val="48E65AEE"/>
    <w:rsid w:val="49096FCD"/>
    <w:rsid w:val="491B7C2C"/>
    <w:rsid w:val="491F7C74"/>
    <w:rsid w:val="493F20C4"/>
    <w:rsid w:val="494625B6"/>
    <w:rsid w:val="49512BB1"/>
    <w:rsid w:val="495C2CEC"/>
    <w:rsid w:val="496215BF"/>
    <w:rsid w:val="49641F5D"/>
    <w:rsid w:val="49666B6B"/>
    <w:rsid w:val="496F2CCC"/>
    <w:rsid w:val="498126DD"/>
    <w:rsid w:val="499A379E"/>
    <w:rsid w:val="49A8530E"/>
    <w:rsid w:val="49BB2C74"/>
    <w:rsid w:val="49C40005"/>
    <w:rsid w:val="49CF3448"/>
    <w:rsid w:val="49D04BAB"/>
    <w:rsid w:val="49D942C7"/>
    <w:rsid w:val="49DC3A88"/>
    <w:rsid w:val="49EA17C4"/>
    <w:rsid w:val="49EC3FFA"/>
    <w:rsid w:val="49F0129D"/>
    <w:rsid w:val="49FB248F"/>
    <w:rsid w:val="4A00613B"/>
    <w:rsid w:val="4A062BE2"/>
    <w:rsid w:val="4A0B1FA6"/>
    <w:rsid w:val="4A1A2F12"/>
    <w:rsid w:val="4A280A90"/>
    <w:rsid w:val="4A2C7C77"/>
    <w:rsid w:val="4A321C6F"/>
    <w:rsid w:val="4A34008C"/>
    <w:rsid w:val="4A366D8C"/>
    <w:rsid w:val="4A375709"/>
    <w:rsid w:val="4A475BFC"/>
    <w:rsid w:val="4A4E1094"/>
    <w:rsid w:val="4A521850"/>
    <w:rsid w:val="4A561717"/>
    <w:rsid w:val="4A595408"/>
    <w:rsid w:val="4A615C7A"/>
    <w:rsid w:val="4A717D8F"/>
    <w:rsid w:val="4A744BC4"/>
    <w:rsid w:val="4A77763C"/>
    <w:rsid w:val="4A7D0F83"/>
    <w:rsid w:val="4A834A22"/>
    <w:rsid w:val="4A8815D3"/>
    <w:rsid w:val="4A8A55C1"/>
    <w:rsid w:val="4A9454F9"/>
    <w:rsid w:val="4A972DF7"/>
    <w:rsid w:val="4A985F30"/>
    <w:rsid w:val="4A992274"/>
    <w:rsid w:val="4AAA2276"/>
    <w:rsid w:val="4AAD1B66"/>
    <w:rsid w:val="4AB64534"/>
    <w:rsid w:val="4AB731AE"/>
    <w:rsid w:val="4AB80380"/>
    <w:rsid w:val="4AC0752C"/>
    <w:rsid w:val="4AC66642"/>
    <w:rsid w:val="4AC7411F"/>
    <w:rsid w:val="4AD37353"/>
    <w:rsid w:val="4ADA20A4"/>
    <w:rsid w:val="4ADC6651"/>
    <w:rsid w:val="4AE2340C"/>
    <w:rsid w:val="4AFF6999"/>
    <w:rsid w:val="4B005883"/>
    <w:rsid w:val="4B1720E1"/>
    <w:rsid w:val="4B21257E"/>
    <w:rsid w:val="4B290FE3"/>
    <w:rsid w:val="4B2F18A2"/>
    <w:rsid w:val="4B322207"/>
    <w:rsid w:val="4B3B5793"/>
    <w:rsid w:val="4B58050B"/>
    <w:rsid w:val="4B5A25F7"/>
    <w:rsid w:val="4B6A0768"/>
    <w:rsid w:val="4B6B0CBD"/>
    <w:rsid w:val="4B705719"/>
    <w:rsid w:val="4B7B47F9"/>
    <w:rsid w:val="4B9A5CD8"/>
    <w:rsid w:val="4BA563FE"/>
    <w:rsid w:val="4BB77663"/>
    <w:rsid w:val="4BBE2F70"/>
    <w:rsid w:val="4BC2626F"/>
    <w:rsid w:val="4BC4783E"/>
    <w:rsid w:val="4BC54DE5"/>
    <w:rsid w:val="4BD52968"/>
    <w:rsid w:val="4BD623FF"/>
    <w:rsid w:val="4BD91D02"/>
    <w:rsid w:val="4BE2600E"/>
    <w:rsid w:val="4BE57820"/>
    <w:rsid w:val="4BFB7B74"/>
    <w:rsid w:val="4C036F90"/>
    <w:rsid w:val="4C0457A1"/>
    <w:rsid w:val="4C115F9A"/>
    <w:rsid w:val="4C361B10"/>
    <w:rsid w:val="4C3F2C78"/>
    <w:rsid w:val="4C42244E"/>
    <w:rsid w:val="4C437DCE"/>
    <w:rsid w:val="4C4C0A3B"/>
    <w:rsid w:val="4C65577D"/>
    <w:rsid w:val="4C6A3121"/>
    <w:rsid w:val="4C6F4A6E"/>
    <w:rsid w:val="4C727CFA"/>
    <w:rsid w:val="4C88081B"/>
    <w:rsid w:val="4C8872A2"/>
    <w:rsid w:val="4C9C19F3"/>
    <w:rsid w:val="4C9F7C88"/>
    <w:rsid w:val="4CA22E8C"/>
    <w:rsid w:val="4CA3418B"/>
    <w:rsid w:val="4CA47183"/>
    <w:rsid w:val="4CA97C29"/>
    <w:rsid w:val="4CB7606E"/>
    <w:rsid w:val="4CC254E6"/>
    <w:rsid w:val="4CE94821"/>
    <w:rsid w:val="4CEF795D"/>
    <w:rsid w:val="4CF745DE"/>
    <w:rsid w:val="4CFB4554"/>
    <w:rsid w:val="4CFC57E0"/>
    <w:rsid w:val="4D087B01"/>
    <w:rsid w:val="4D0B58BC"/>
    <w:rsid w:val="4D0C2AD5"/>
    <w:rsid w:val="4D0F1DAD"/>
    <w:rsid w:val="4D135D42"/>
    <w:rsid w:val="4D1A1F72"/>
    <w:rsid w:val="4D2059FA"/>
    <w:rsid w:val="4D2D2A74"/>
    <w:rsid w:val="4D2E29D3"/>
    <w:rsid w:val="4D2E3574"/>
    <w:rsid w:val="4D4001B9"/>
    <w:rsid w:val="4D451B18"/>
    <w:rsid w:val="4D5679DC"/>
    <w:rsid w:val="4D755736"/>
    <w:rsid w:val="4D8E14B9"/>
    <w:rsid w:val="4DB92102"/>
    <w:rsid w:val="4DBA3E20"/>
    <w:rsid w:val="4DBC5B64"/>
    <w:rsid w:val="4DC679DB"/>
    <w:rsid w:val="4DE61D12"/>
    <w:rsid w:val="4DF1146E"/>
    <w:rsid w:val="4DF82017"/>
    <w:rsid w:val="4E0E661C"/>
    <w:rsid w:val="4E4C57ED"/>
    <w:rsid w:val="4E5505A6"/>
    <w:rsid w:val="4E6B41DE"/>
    <w:rsid w:val="4E810A89"/>
    <w:rsid w:val="4E820BD8"/>
    <w:rsid w:val="4E820C19"/>
    <w:rsid w:val="4E8D729C"/>
    <w:rsid w:val="4E8E1C0C"/>
    <w:rsid w:val="4E9E6D93"/>
    <w:rsid w:val="4EA5208F"/>
    <w:rsid w:val="4EAE617F"/>
    <w:rsid w:val="4EBD702F"/>
    <w:rsid w:val="4EC818B0"/>
    <w:rsid w:val="4ECB59F9"/>
    <w:rsid w:val="4ECE1CAC"/>
    <w:rsid w:val="4ED35788"/>
    <w:rsid w:val="4ED4505D"/>
    <w:rsid w:val="4ED65662"/>
    <w:rsid w:val="4EE414BB"/>
    <w:rsid w:val="4EFF65C5"/>
    <w:rsid w:val="4F012E1B"/>
    <w:rsid w:val="4F014784"/>
    <w:rsid w:val="4F0431E6"/>
    <w:rsid w:val="4F1D6A04"/>
    <w:rsid w:val="4F254824"/>
    <w:rsid w:val="4F2658BE"/>
    <w:rsid w:val="4F4736A7"/>
    <w:rsid w:val="4F4D1A93"/>
    <w:rsid w:val="4F626B0C"/>
    <w:rsid w:val="4F6463E1"/>
    <w:rsid w:val="4F774C49"/>
    <w:rsid w:val="4F7914EF"/>
    <w:rsid w:val="4F7B372A"/>
    <w:rsid w:val="4F7F76BE"/>
    <w:rsid w:val="4F84596C"/>
    <w:rsid w:val="4F9174FD"/>
    <w:rsid w:val="4FAD5FDA"/>
    <w:rsid w:val="4FB10142"/>
    <w:rsid w:val="4FC643B6"/>
    <w:rsid w:val="4FCC21D8"/>
    <w:rsid w:val="4FD1578E"/>
    <w:rsid w:val="4FD5476C"/>
    <w:rsid w:val="4FD74E04"/>
    <w:rsid w:val="4FE10E76"/>
    <w:rsid w:val="4FEE2189"/>
    <w:rsid w:val="4FF534DD"/>
    <w:rsid w:val="4FF82FCD"/>
    <w:rsid w:val="500029A1"/>
    <w:rsid w:val="50016856"/>
    <w:rsid w:val="5008518B"/>
    <w:rsid w:val="501A73E7"/>
    <w:rsid w:val="501C7A49"/>
    <w:rsid w:val="502B6EFE"/>
    <w:rsid w:val="502D788B"/>
    <w:rsid w:val="50324E90"/>
    <w:rsid w:val="503D27C7"/>
    <w:rsid w:val="50447FC0"/>
    <w:rsid w:val="504C1B11"/>
    <w:rsid w:val="504F0E3F"/>
    <w:rsid w:val="50593A6B"/>
    <w:rsid w:val="505A5A36"/>
    <w:rsid w:val="505F48A5"/>
    <w:rsid w:val="506472D4"/>
    <w:rsid w:val="50744D49"/>
    <w:rsid w:val="507460A4"/>
    <w:rsid w:val="50924AE3"/>
    <w:rsid w:val="5094445D"/>
    <w:rsid w:val="509838F7"/>
    <w:rsid w:val="50985DED"/>
    <w:rsid w:val="509F2F94"/>
    <w:rsid w:val="50A23A1E"/>
    <w:rsid w:val="50B52C6C"/>
    <w:rsid w:val="50B57EA9"/>
    <w:rsid w:val="50B6453F"/>
    <w:rsid w:val="50BC2B26"/>
    <w:rsid w:val="50BD049E"/>
    <w:rsid w:val="50BD2B55"/>
    <w:rsid w:val="50BE1984"/>
    <w:rsid w:val="50C74763"/>
    <w:rsid w:val="50D141C6"/>
    <w:rsid w:val="50D94FDD"/>
    <w:rsid w:val="50E0336A"/>
    <w:rsid w:val="50E84DEF"/>
    <w:rsid w:val="50F004EF"/>
    <w:rsid w:val="50F115EA"/>
    <w:rsid w:val="50F72C9C"/>
    <w:rsid w:val="50FC0DB6"/>
    <w:rsid w:val="510944D7"/>
    <w:rsid w:val="510C4F82"/>
    <w:rsid w:val="511F2007"/>
    <w:rsid w:val="51271E2F"/>
    <w:rsid w:val="51342CAA"/>
    <w:rsid w:val="51346287"/>
    <w:rsid w:val="51406A38"/>
    <w:rsid w:val="514829E3"/>
    <w:rsid w:val="514B4E4E"/>
    <w:rsid w:val="514C4574"/>
    <w:rsid w:val="516578E1"/>
    <w:rsid w:val="51A27E07"/>
    <w:rsid w:val="51A74130"/>
    <w:rsid w:val="51B475E9"/>
    <w:rsid w:val="51BD44CE"/>
    <w:rsid w:val="51CC64BF"/>
    <w:rsid w:val="51D11D27"/>
    <w:rsid w:val="51D135DE"/>
    <w:rsid w:val="51D35A9F"/>
    <w:rsid w:val="51DF2696"/>
    <w:rsid w:val="51F65295"/>
    <w:rsid w:val="51FA4898"/>
    <w:rsid w:val="51FD3DB6"/>
    <w:rsid w:val="520C3BB6"/>
    <w:rsid w:val="52100AA2"/>
    <w:rsid w:val="521A58B8"/>
    <w:rsid w:val="52252174"/>
    <w:rsid w:val="52295AE6"/>
    <w:rsid w:val="522D0E7F"/>
    <w:rsid w:val="523440C6"/>
    <w:rsid w:val="52376072"/>
    <w:rsid w:val="523E4D62"/>
    <w:rsid w:val="525402A0"/>
    <w:rsid w:val="52614E59"/>
    <w:rsid w:val="526A01B2"/>
    <w:rsid w:val="526D006E"/>
    <w:rsid w:val="52856670"/>
    <w:rsid w:val="52BF5C92"/>
    <w:rsid w:val="52C2167A"/>
    <w:rsid w:val="52C33D66"/>
    <w:rsid w:val="52C7794C"/>
    <w:rsid w:val="52D279CD"/>
    <w:rsid w:val="52D32ADF"/>
    <w:rsid w:val="52E45ACB"/>
    <w:rsid w:val="52F47AFB"/>
    <w:rsid w:val="53071B37"/>
    <w:rsid w:val="530A5973"/>
    <w:rsid w:val="53122BC2"/>
    <w:rsid w:val="531348FB"/>
    <w:rsid w:val="531A77B9"/>
    <w:rsid w:val="5325232B"/>
    <w:rsid w:val="53275D3D"/>
    <w:rsid w:val="53285977"/>
    <w:rsid w:val="532E7431"/>
    <w:rsid w:val="533354CF"/>
    <w:rsid w:val="53346B96"/>
    <w:rsid w:val="535D5DC8"/>
    <w:rsid w:val="537A5743"/>
    <w:rsid w:val="537D2360"/>
    <w:rsid w:val="53811E50"/>
    <w:rsid w:val="53980367"/>
    <w:rsid w:val="53B22465"/>
    <w:rsid w:val="53B72F65"/>
    <w:rsid w:val="53BE3989"/>
    <w:rsid w:val="53C02C55"/>
    <w:rsid w:val="53D77AC9"/>
    <w:rsid w:val="53D83751"/>
    <w:rsid w:val="53DE702C"/>
    <w:rsid w:val="53E2021C"/>
    <w:rsid w:val="53FD2AC2"/>
    <w:rsid w:val="5409404E"/>
    <w:rsid w:val="540E6984"/>
    <w:rsid w:val="54134B75"/>
    <w:rsid w:val="54161C73"/>
    <w:rsid w:val="54164746"/>
    <w:rsid w:val="541A1764"/>
    <w:rsid w:val="54224729"/>
    <w:rsid w:val="542E2ADC"/>
    <w:rsid w:val="543341B9"/>
    <w:rsid w:val="543D7AC6"/>
    <w:rsid w:val="544B7F7E"/>
    <w:rsid w:val="54501D22"/>
    <w:rsid w:val="546146EB"/>
    <w:rsid w:val="54680D66"/>
    <w:rsid w:val="54685AA1"/>
    <w:rsid w:val="546B156E"/>
    <w:rsid w:val="54730639"/>
    <w:rsid w:val="547D06FB"/>
    <w:rsid w:val="547D14B1"/>
    <w:rsid w:val="54857DDB"/>
    <w:rsid w:val="548C678B"/>
    <w:rsid w:val="54905199"/>
    <w:rsid w:val="54914216"/>
    <w:rsid w:val="549273A9"/>
    <w:rsid w:val="549405C7"/>
    <w:rsid w:val="549D6C55"/>
    <w:rsid w:val="54A379AB"/>
    <w:rsid w:val="54A520AB"/>
    <w:rsid w:val="54A83213"/>
    <w:rsid w:val="54B17DA0"/>
    <w:rsid w:val="54B24092"/>
    <w:rsid w:val="54BC6B8C"/>
    <w:rsid w:val="54DC4C6B"/>
    <w:rsid w:val="54E35FFA"/>
    <w:rsid w:val="54EF7DF9"/>
    <w:rsid w:val="54F2448F"/>
    <w:rsid w:val="550B2DC8"/>
    <w:rsid w:val="551D51E7"/>
    <w:rsid w:val="551D59AF"/>
    <w:rsid w:val="55322ADD"/>
    <w:rsid w:val="55344AA7"/>
    <w:rsid w:val="554C32B2"/>
    <w:rsid w:val="55501E76"/>
    <w:rsid w:val="55731E3E"/>
    <w:rsid w:val="557E29D7"/>
    <w:rsid w:val="558C5AE7"/>
    <w:rsid w:val="558F2195"/>
    <w:rsid w:val="55900035"/>
    <w:rsid w:val="55AF2380"/>
    <w:rsid w:val="55AF798B"/>
    <w:rsid w:val="55E31D34"/>
    <w:rsid w:val="55ED4967"/>
    <w:rsid w:val="55F350C4"/>
    <w:rsid w:val="55FD1727"/>
    <w:rsid w:val="55FF6E63"/>
    <w:rsid w:val="55FF8670"/>
    <w:rsid w:val="561405B9"/>
    <w:rsid w:val="56247722"/>
    <w:rsid w:val="56292132"/>
    <w:rsid w:val="562B64B3"/>
    <w:rsid w:val="56342FDD"/>
    <w:rsid w:val="56467B64"/>
    <w:rsid w:val="565626F9"/>
    <w:rsid w:val="565671A2"/>
    <w:rsid w:val="56685CA8"/>
    <w:rsid w:val="566D0271"/>
    <w:rsid w:val="56725887"/>
    <w:rsid w:val="567315FF"/>
    <w:rsid w:val="56740DC7"/>
    <w:rsid w:val="5677558B"/>
    <w:rsid w:val="567C6706"/>
    <w:rsid w:val="56A17F1A"/>
    <w:rsid w:val="56AA3219"/>
    <w:rsid w:val="56B55774"/>
    <w:rsid w:val="56BF4844"/>
    <w:rsid w:val="56CA038E"/>
    <w:rsid w:val="56DE4C00"/>
    <w:rsid w:val="56DF6221"/>
    <w:rsid w:val="56FB3ACE"/>
    <w:rsid w:val="570847EE"/>
    <w:rsid w:val="573270B5"/>
    <w:rsid w:val="57331689"/>
    <w:rsid w:val="57340D8E"/>
    <w:rsid w:val="573B211D"/>
    <w:rsid w:val="574014E1"/>
    <w:rsid w:val="57443B56"/>
    <w:rsid w:val="575F1390"/>
    <w:rsid w:val="57614844"/>
    <w:rsid w:val="576A00D2"/>
    <w:rsid w:val="576A530D"/>
    <w:rsid w:val="577A000D"/>
    <w:rsid w:val="578429F3"/>
    <w:rsid w:val="57923D07"/>
    <w:rsid w:val="57971A40"/>
    <w:rsid w:val="579E4D2D"/>
    <w:rsid w:val="57A24175"/>
    <w:rsid w:val="57B75717"/>
    <w:rsid w:val="57C245EC"/>
    <w:rsid w:val="57C470D2"/>
    <w:rsid w:val="57C540DC"/>
    <w:rsid w:val="57C77E19"/>
    <w:rsid w:val="57C87729"/>
    <w:rsid w:val="57CA488B"/>
    <w:rsid w:val="57CE5051"/>
    <w:rsid w:val="57DB47FB"/>
    <w:rsid w:val="57E9181D"/>
    <w:rsid w:val="58003366"/>
    <w:rsid w:val="580846BB"/>
    <w:rsid w:val="5816050F"/>
    <w:rsid w:val="58201313"/>
    <w:rsid w:val="58205F1A"/>
    <w:rsid w:val="5823086F"/>
    <w:rsid w:val="582468CD"/>
    <w:rsid w:val="583074F9"/>
    <w:rsid w:val="583628E4"/>
    <w:rsid w:val="58382B00"/>
    <w:rsid w:val="584C2587"/>
    <w:rsid w:val="585127AA"/>
    <w:rsid w:val="58515970"/>
    <w:rsid w:val="5855720E"/>
    <w:rsid w:val="58603D47"/>
    <w:rsid w:val="586438F5"/>
    <w:rsid w:val="586666B0"/>
    <w:rsid w:val="58951D01"/>
    <w:rsid w:val="589917F1"/>
    <w:rsid w:val="58A61818"/>
    <w:rsid w:val="58BB3CCE"/>
    <w:rsid w:val="58C6010C"/>
    <w:rsid w:val="58C63C68"/>
    <w:rsid w:val="58F261D0"/>
    <w:rsid w:val="590C6A66"/>
    <w:rsid w:val="59125866"/>
    <w:rsid w:val="5915352F"/>
    <w:rsid w:val="59304651"/>
    <w:rsid w:val="593C3382"/>
    <w:rsid w:val="594352B9"/>
    <w:rsid w:val="59466D98"/>
    <w:rsid w:val="594856C1"/>
    <w:rsid w:val="59486EBB"/>
    <w:rsid w:val="59493AFE"/>
    <w:rsid w:val="594C38F9"/>
    <w:rsid w:val="594C4A1E"/>
    <w:rsid w:val="59567838"/>
    <w:rsid w:val="595A7F21"/>
    <w:rsid w:val="595B6AA6"/>
    <w:rsid w:val="59700D18"/>
    <w:rsid w:val="5970491E"/>
    <w:rsid w:val="597304CA"/>
    <w:rsid w:val="59770819"/>
    <w:rsid w:val="597A0373"/>
    <w:rsid w:val="597C290B"/>
    <w:rsid w:val="598803B1"/>
    <w:rsid w:val="5999312B"/>
    <w:rsid w:val="59A5117A"/>
    <w:rsid w:val="59A937D5"/>
    <w:rsid w:val="59B7FB59"/>
    <w:rsid w:val="59B91A1F"/>
    <w:rsid w:val="59C101B4"/>
    <w:rsid w:val="59D923BD"/>
    <w:rsid w:val="59DB746A"/>
    <w:rsid w:val="59DD395F"/>
    <w:rsid w:val="59F2154E"/>
    <w:rsid w:val="59F82547"/>
    <w:rsid w:val="59F9295E"/>
    <w:rsid w:val="59F9691A"/>
    <w:rsid w:val="59FFE515"/>
    <w:rsid w:val="59FFED46"/>
    <w:rsid w:val="5A012975"/>
    <w:rsid w:val="5A032C9A"/>
    <w:rsid w:val="5A097A39"/>
    <w:rsid w:val="5A112448"/>
    <w:rsid w:val="5A1E417A"/>
    <w:rsid w:val="5A2D3B53"/>
    <w:rsid w:val="5A39156C"/>
    <w:rsid w:val="5A3F0176"/>
    <w:rsid w:val="5A4B061B"/>
    <w:rsid w:val="5A560E10"/>
    <w:rsid w:val="5A616802"/>
    <w:rsid w:val="5A6457FD"/>
    <w:rsid w:val="5A645A7F"/>
    <w:rsid w:val="5A6E45B7"/>
    <w:rsid w:val="5A831ACB"/>
    <w:rsid w:val="5A845B3B"/>
    <w:rsid w:val="5A867B53"/>
    <w:rsid w:val="5A873ECB"/>
    <w:rsid w:val="5A934A0F"/>
    <w:rsid w:val="5A957C98"/>
    <w:rsid w:val="5A971D60"/>
    <w:rsid w:val="5A9E6D6F"/>
    <w:rsid w:val="5AA24261"/>
    <w:rsid w:val="5AA955EF"/>
    <w:rsid w:val="5AAC3332"/>
    <w:rsid w:val="5AAD3771"/>
    <w:rsid w:val="5AAD60EA"/>
    <w:rsid w:val="5AB61166"/>
    <w:rsid w:val="5AB61DE0"/>
    <w:rsid w:val="5ADC3C17"/>
    <w:rsid w:val="5AF571A2"/>
    <w:rsid w:val="5AF70A51"/>
    <w:rsid w:val="5AF80325"/>
    <w:rsid w:val="5B072DB6"/>
    <w:rsid w:val="5B1C2265"/>
    <w:rsid w:val="5B233465"/>
    <w:rsid w:val="5B24216F"/>
    <w:rsid w:val="5B2470C9"/>
    <w:rsid w:val="5B303F63"/>
    <w:rsid w:val="5B417F1E"/>
    <w:rsid w:val="5B437CDD"/>
    <w:rsid w:val="5B490C9B"/>
    <w:rsid w:val="5B506B61"/>
    <w:rsid w:val="5B5E4E10"/>
    <w:rsid w:val="5B5F0F2E"/>
    <w:rsid w:val="5B5F5F31"/>
    <w:rsid w:val="5B6A7475"/>
    <w:rsid w:val="5B6B4F9B"/>
    <w:rsid w:val="5B6B796C"/>
    <w:rsid w:val="5B6F30EB"/>
    <w:rsid w:val="5B7621D4"/>
    <w:rsid w:val="5B85605C"/>
    <w:rsid w:val="5B914A01"/>
    <w:rsid w:val="5B9808C1"/>
    <w:rsid w:val="5B9C426A"/>
    <w:rsid w:val="5BB10CB2"/>
    <w:rsid w:val="5BC16A09"/>
    <w:rsid w:val="5BD91122"/>
    <w:rsid w:val="5BFD3CD1"/>
    <w:rsid w:val="5C012CC6"/>
    <w:rsid w:val="5C142F3C"/>
    <w:rsid w:val="5C313AEE"/>
    <w:rsid w:val="5C503DE0"/>
    <w:rsid w:val="5C5435D1"/>
    <w:rsid w:val="5C5679F9"/>
    <w:rsid w:val="5C5C5BA5"/>
    <w:rsid w:val="5C7D6D34"/>
    <w:rsid w:val="5C8C4702"/>
    <w:rsid w:val="5C927ACB"/>
    <w:rsid w:val="5C943DBC"/>
    <w:rsid w:val="5C997625"/>
    <w:rsid w:val="5C9D1184"/>
    <w:rsid w:val="5CA57080"/>
    <w:rsid w:val="5CA77E21"/>
    <w:rsid w:val="5CB7760A"/>
    <w:rsid w:val="5CCD19E5"/>
    <w:rsid w:val="5CE23DAC"/>
    <w:rsid w:val="5CE73917"/>
    <w:rsid w:val="5D011713"/>
    <w:rsid w:val="5D0A73AF"/>
    <w:rsid w:val="5D0B433F"/>
    <w:rsid w:val="5D0E312D"/>
    <w:rsid w:val="5D120F26"/>
    <w:rsid w:val="5D3D64C3"/>
    <w:rsid w:val="5D3E31E9"/>
    <w:rsid w:val="5D436E42"/>
    <w:rsid w:val="5D4C7D5A"/>
    <w:rsid w:val="5D545A7D"/>
    <w:rsid w:val="5D63667B"/>
    <w:rsid w:val="5D6F2EDA"/>
    <w:rsid w:val="5D77338F"/>
    <w:rsid w:val="5D783847"/>
    <w:rsid w:val="5D8B5480"/>
    <w:rsid w:val="5D9941C1"/>
    <w:rsid w:val="5DA92832"/>
    <w:rsid w:val="5DAE502B"/>
    <w:rsid w:val="5DB915F2"/>
    <w:rsid w:val="5DBC60F3"/>
    <w:rsid w:val="5DCA41FA"/>
    <w:rsid w:val="5DCD5E1E"/>
    <w:rsid w:val="5DDA5440"/>
    <w:rsid w:val="5DDD5947"/>
    <w:rsid w:val="5DDF393D"/>
    <w:rsid w:val="5DDF6E4E"/>
    <w:rsid w:val="5DFA49E0"/>
    <w:rsid w:val="5DFC31B0"/>
    <w:rsid w:val="5E11349C"/>
    <w:rsid w:val="5E1D0F80"/>
    <w:rsid w:val="5E3261DA"/>
    <w:rsid w:val="5E4C1080"/>
    <w:rsid w:val="5E4E1C8A"/>
    <w:rsid w:val="5E4E7BBB"/>
    <w:rsid w:val="5E532442"/>
    <w:rsid w:val="5E5D7A78"/>
    <w:rsid w:val="5E736FCD"/>
    <w:rsid w:val="5E7423B8"/>
    <w:rsid w:val="5E8274BA"/>
    <w:rsid w:val="5E8E347A"/>
    <w:rsid w:val="5E930A90"/>
    <w:rsid w:val="5E960581"/>
    <w:rsid w:val="5E9F11E3"/>
    <w:rsid w:val="5EA53C9A"/>
    <w:rsid w:val="5EBC7F37"/>
    <w:rsid w:val="5EBD3D5F"/>
    <w:rsid w:val="5ED36C86"/>
    <w:rsid w:val="5EDA60B0"/>
    <w:rsid w:val="5EE35A57"/>
    <w:rsid w:val="5EFD5F0A"/>
    <w:rsid w:val="5EFF6126"/>
    <w:rsid w:val="5F021772"/>
    <w:rsid w:val="5F13397F"/>
    <w:rsid w:val="5F1645A7"/>
    <w:rsid w:val="5F1F2324"/>
    <w:rsid w:val="5F2636B2"/>
    <w:rsid w:val="5F2C50FF"/>
    <w:rsid w:val="5F50072F"/>
    <w:rsid w:val="5F6979AC"/>
    <w:rsid w:val="5F6A54DD"/>
    <w:rsid w:val="5F8108E9"/>
    <w:rsid w:val="5F815969"/>
    <w:rsid w:val="5F887EC9"/>
    <w:rsid w:val="5F893C41"/>
    <w:rsid w:val="5F8B4FA7"/>
    <w:rsid w:val="5F9571F8"/>
    <w:rsid w:val="5F9B72D1"/>
    <w:rsid w:val="5F9C1BC7"/>
    <w:rsid w:val="5FAB005C"/>
    <w:rsid w:val="5FAB0A44"/>
    <w:rsid w:val="5FB34738"/>
    <w:rsid w:val="5FB82D7C"/>
    <w:rsid w:val="5FB83E82"/>
    <w:rsid w:val="5FB95E1C"/>
    <w:rsid w:val="5FBE4BB4"/>
    <w:rsid w:val="5FC85F82"/>
    <w:rsid w:val="5FCB3FE5"/>
    <w:rsid w:val="5FE33352"/>
    <w:rsid w:val="5FED772C"/>
    <w:rsid w:val="5FF97EAE"/>
    <w:rsid w:val="5FFBE05A"/>
    <w:rsid w:val="600C5381"/>
    <w:rsid w:val="60155C27"/>
    <w:rsid w:val="60162D11"/>
    <w:rsid w:val="601A6070"/>
    <w:rsid w:val="60226F8B"/>
    <w:rsid w:val="6025591D"/>
    <w:rsid w:val="60296873"/>
    <w:rsid w:val="60477ABF"/>
    <w:rsid w:val="604B06AE"/>
    <w:rsid w:val="60526566"/>
    <w:rsid w:val="60575E97"/>
    <w:rsid w:val="605F72F5"/>
    <w:rsid w:val="6062696C"/>
    <w:rsid w:val="60765F74"/>
    <w:rsid w:val="607F756F"/>
    <w:rsid w:val="60822B6A"/>
    <w:rsid w:val="608D7B10"/>
    <w:rsid w:val="609805E0"/>
    <w:rsid w:val="60982996"/>
    <w:rsid w:val="60C53D01"/>
    <w:rsid w:val="60C9018D"/>
    <w:rsid w:val="60D96503"/>
    <w:rsid w:val="61012C93"/>
    <w:rsid w:val="61053FC5"/>
    <w:rsid w:val="610C088E"/>
    <w:rsid w:val="611C0F34"/>
    <w:rsid w:val="613B0F6B"/>
    <w:rsid w:val="614A03E6"/>
    <w:rsid w:val="614C3178"/>
    <w:rsid w:val="61531A50"/>
    <w:rsid w:val="61532201"/>
    <w:rsid w:val="61651210"/>
    <w:rsid w:val="61666018"/>
    <w:rsid w:val="616B46BB"/>
    <w:rsid w:val="617B6EE4"/>
    <w:rsid w:val="61812E22"/>
    <w:rsid w:val="619B5D77"/>
    <w:rsid w:val="619C7C5C"/>
    <w:rsid w:val="61AF3E33"/>
    <w:rsid w:val="61B10243"/>
    <w:rsid w:val="61BB2DD9"/>
    <w:rsid w:val="61C00B2F"/>
    <w:rsid w:val="61C6117D"/>
    <w:rsid w:val="61CC7F6D"/>
    <w:rsid w:val="61DD1B9A"/>
    <w:rsid w:val="61E136F6"/>
    <w:rsid w:val="61F323CC"/>
    <w:rsid w:val="61F4426B"/>
    <w:rsid w:val="61F83805"/>
    <w:rsid w:val="62022776"/>
    <w:rsid w:val="62083BCC"/>
    <w:rsid w:val="620B070F"/>
    <w:rsid w:val="620E0D6B"/>
    <w:rsid w:val="621C6FEF"/>
    <w:rsid w:val="62256C85"/>
    <w:rsid w:val="62574D95"/>
    <w:rsid w:val="62586747"/>
    <w:rsid w:val="625B18C5"/>
    <w:rsid w:val="626C60B7"/>
    <w:rsid w:val="627325F5"/>
    <w:rsid w:val="62746498"/>
    <w:rsid w:val="6290313E"/>
    <w:rsid w:val="62922E0D"/>
    <w:rsid w:val="62982A5C"/>
    <w:rsid w:val="62A36DC8"/>
    <w:rsid w:val="62A41769"/>
    <w:rsid w:val="62B611F1"/>
    <w:rsid w:val="62B965EC"/>
    <w:rsid w:val="62BE1E54"/>
    <w:rsid w:val="62CB6D60"/>
    <w:rsid w:val="62D00ABF"/>
    <w:rsid w:val="62F154C5"/>
    <w:rsid w:val="62F45876"/>
    <w:rsid w:val="62FD0A5D"/>
    <w:rsid w:val="630831EC"/>
    <w:rsid w:val="630930CF"/>
    <w:rsid w:val="63162338"/>
    <w:rsid w:val="63184704"/>
    <w:rsid w:val="632036E4"/>
    <w:rsid w:val="63232EB3"/>
    <w:rsid w:val="63267478"/>
    <w:rsid w:val="633D315E"/>
    <w:rsid w:val="63466965"/>
    <w:rsid w:val="63517786"/>
    <w:rsid w:val="63520F1A"/>
    <w:rsid w:val="63660B97"/>
    <w:rsid w:val="636724EC"/>
    <w:rsid w:val="636B5B38"/>
    <w:rsid w:val="636C365E"/>
    <w:rsid w:val="637052D7"/>
    <w:rsid w:val="637F5A87"/>
    <w:rsid w:val="6388739F"/>
    <w:rsid w:val="638931FB"/>
    <w:rsid w:val="63954DAA"/>
    <w:rsid w:val="63AB062A"/>
    <w:rsid w:val="63AB1A91"/>
    <w:rsid w:val="63AC6354"/>
    <w:rsid w:val="63B76FCF"/>
    <w:rsid w:val="63C617D1"/>
    <w:rsid w:val="63C74AA3"/>
    <w:rsid w:val="63C96D02"/>
    <w:rsid w:val="63D47B81"/>
    <w:rsid w:val="63D87748"/>
    <w:rsid w:val="63DE2EEF"/>
    <w:rsid w:val="63E94CAF"/>
    <w:rsid w:val="63F16145"/>
    <w:rsid w:val="63FA3360"/>
    <w:rsid w:val="64024CFF"/>
    <w:rsid w:val="64156999"/>
    <w:rsid w:val="64177A6E"/>
    <w:rsid w:val="641D22DD"/>
    <w:rsid w:val="64306CAD"/>
    <w:rsid w:val="6445580E"/>
    <w:rsid w:val="644A1BF1"/>
    <w:rsid w:val="645B3151"/>
    <w:rsid w:val="64616F3B"/>
    <w:rsid w:val="646A170C"/>
    <w:rsid w:val="646C6303"/>
    <w:rsid w:val="64701038"/>
    <w:rsid w:val="647629E6"/>
    <w:rsid w:val="647948A0"/>
    <w:rsid w:val="64797A3F"/>
    <w:rsid w:val="647E6E52"/>
    <w:rsid w:val="64815AEE"/>
    <w:rsid w:val="64874BF3"/>
    <w:rsid w:val="64885DC6"/>
    <w:rsid w:val="648937A8"/>
    <w:rsid w:val="648B1BA9"/>
    <w:rsid w:val="648D0F64"/>
    <w:rsid w:val="649449E8"/>
    <w:rsid w:val="649D5D6D"/>
    <w:rsid w:val="64A101E4"/>
    <w:rsid w:val="64A9391A"/>
    <w:rsid w:val="64D77B16"/>
    <w:rsid w:val="64F1206D"/>
    <w:rsid w:val="64F1465A"/>
    <w:rsid w:val="6501677B"/>
    <w:rsid w:val="6509385A"/>
    <w:rsid w:val="650A5434"/>
    <w:rsid w:val="650A75D2"/>
    <w:rsid w:val="651B17E0"/>
    <w:rsid w:val="651E27DC"/>
    <w:rsid w:val="654725D5"/>
    <w:rsid w:val="65570D94"/>
    <w:rsid w:val="65574C16"/>
    <w:rsid w:val="655D3BA6"/>
    <w:rsid w:val="65660CAD"/>
    <w:rsid w:val="656F7088"/>
    <w:rsid w:val="65744A4C"/>
    <w:rsid w:val="657A4758"/>
    <w:rsid w:val="65834ED7"/>
    <w:rsid w:val="658904F7"/>
    <w:rsid w:val="65927DA1"/>
    <w:rsid w:val="6593581A"/>
    <w:rsid w:val="65AD00CC"/>
    <w:rsid w:val="65B31593"/>
    <w:rsid w:val="65B7553F"/>
    <w:rsid w:val="65BC5BDE"/>
    <w:rsid w:val="65CC6636"/>
    <w:rsid w:val="65D3678B"/>
    <w:rsid w:val="65DB69B9"/>
    <w:rsid w:val="65E142CF"/>
    <w:rsid w:val="65F16DEF"/>
    <w:rsid w:val="65FF5B93"/>
    <w:rsid w:val="66081715"/>
    <w:rsid w:val="661B00EA"/>
    <w:rsid w:val="661D360B"/>
    <w:rsid w:val="661F4E41"/>
    <w:rsid w:val="662A7F2C"/>
    <w:rsid w:val="664352B9"/>
    <w:rsid w:val="66523C3F"/>
    <w:rsid w:val="665C126F"/>
    <w:rsid w:val="666B1717"/>
    <w:rsid w:val="66776086"/>
    <w:rsid w:val="66805D9E"/>
    <w:rsid w:val="66820F47"/>
    <w:rsid w:val="668A782A"/>
    <w:rsid w:val="668F1B3D"/>
    <w:rsid w:val="66AC710E"/>
    <w:rsid w:val="66B07CC1"/>
    <w:rsid w:val="66B14B24"/>
    <w:rsid w:val="66B27D18"/>
    <w:rsid w:val="66B912B0"/>
    <w:rsid w:val="66C80429"/>
    <w:rsid w:val="66D04237"/>
    <w:rsid w:val="66D1442C"/>
    <w:rsid w:val="66D47E7F"/>
    <w:rsid w:val="66D64E5B"/>
    <w:rsid w:val="66DD089D"/>
    <w:rsid w:val="66F0016C"/>
    <w:rsid w:val="66FB2BD0"/>
    <w:rsid w:val="66FC2971"/>
    <w:rsid w:val="670008EB"/>
    <w:rsid w:val="67184229"/>
    <w:rsid w:val="671F1859"/>
    <w:rsid w:val="672506F4"/>
    <w:rsid w:val="67262B05"/>
    <w:rsid w:val="674E513F"/>
    <w:rsid w:val="67610E75"/>
    <w:rsid w:val="677178CC"/>
    <w:rsid w:val="677977BA"/>
    <w:rsid w:val="678966A9"/>
    <w:rsid w:val="6796514D"/>
    <w:rsid w:val="679D31F9"/>
    <w:rsid w:val="679D3BF4"/>
    <w:rsid w:val="67A07D7A"/>
    <w:rsid w:val="67B57CC9"/>
    <w:rsid w:val="67B6759E"/>
    <w:rsid w:val="67C11FB9"/>
    <w:rsid w:val="67D104DE"/>
    <w:rsid w:val="67DB5668"/>
    <w:rsid w:val="67E071EA"/>
    <w:rsid w:val="67E20393"/>
    <w:rsid w:val="67FA392E"/>
    <w:rsid w:val="67FC4971"/>
    <w:rsid w:val="68041527"/>
    <w:rsid w:val="68150768"/>
    <w:rsid w:val="681F3E12"/>
    <w:rsid w:val="68221BAF"/>
    <w:rsid w:val="682D62D9"/>
    <w:rsid w:val="6837248C"/>
    <w:rsid w:val="683E4ABF"/>
    <w:rsid w:val="68407C19"/>
    <w:rsid w:val="685143BC"/>
    <w:rsid w:val="68542A0A"/>
    <w:rsid w:val="68555296"/>
    <w:rsid w:val="686139AD"/>
    <w:rsid w:val="686C1E80"/>
    <w:rsid w:val="687513EA"/>
    <w:rsid w:val="687B1504"/>
    <w:rsid w:val="689079C3"/>
    <w:rsid w:val="6892679C"/>
    <w:rsid w:val="68C01904"/>
    <w:rsid w:val="68CF0917"/>
    <w:rsid w:val="68D56910"/>
    <w:rsid w:val="68EA05E8"/>
    <w:rsid w:val="68EF70C5"/>
    <w:rsid w:val="68F22D9F"/>
    <w:rsid w:val="69162C86"/>
    <w:rsid w:val="69165641"/>
    <w:rsid w:val="69212D91"/>
    <w:rsid w:val="69214083"/>
    <w:rsid w:val="693B7D5A"/>
    <w:rsid w:val="69456B9A"/>
    <w:rsid w:val="69481344"/>
    <w:rsid w:val="695700E3"/>
    <w:rsid w:val="696D0284"/>
    <w:rsid w:val="69766FE4"/>
    <w:rsid w:val="697C146C"/>
    <w:rsid w:val="6980516E"/>
    <w:rsid w:val="698B51FD"/>
    <w:rsid w:val="69944F4D"/>
    <w:rsid w:val="69960468"/>
    <w:rsid w:val="69A109AD"/>
    <w:rsid w:val="69CE55F7"/>
    <w:rsid w:val="69D5796F"/>
    <w:rsid w:val="69DE3A33"/>
    <w:rsid w:val="69F101EA"/>
    <w:rsid w:val="69F448E4"/>
    <w:rsid w:val="69F8273C"/>
    <w:rsid w:val="6A090874"/>
    <w:rsid w:val="6A0F6D29"/>
    <w:rsid w:val="6A1E4A89"/>
    <w:rsid w:val="6A206086"/>
    <w:rsid w:val="6A33233D"/>
    <w:rsid w:val="6A333127"/>
    <w:rsid w:val="6A3F0B90"/>
    <w:rsid w:val="6A3F71AB"/>
    <w:rsid w:val="6A407F9F"/>
    <w:rsid w:val="6A4610AD"/>
    <w:rsid w:val="6A4B3FF0"/>
    <w:rsid w:val="6A4D5F32"/>
    <w:rsid w:val="6A4E3ABD"/>
    <w:rsid w:val="6A4F30DD"/>
    <w:rsid w:val="6A5D65D9"/>
    <w:rsid w:val="6A722F0B"/>
    <w:rsid w:val="6A761B9C"/>
    <w:rsid w:val="6A7A4D5B"/>
    <w:rsid w:val="6A7B141D"/>
    <w:rsid w:val="6A8641CC"/>
    <w:rsid w:val="6A881C38"/>
    <w:rsid w:val="6A95494B"/>
    <w:rsid w:val="6A9F256B"/>
    <w:rsid w:val="6AA47B81"/>
    <w:rsid w:val="6AC034F3"/>
    <w:rsid w:val="6AC92749"/>
    <w:rsid w:val="6AC96987"/>
    <w:rsid w:val="6AC979C5"/>
    <w:rsid w:val="6ACF15BF"/>
    <w:rsid w:val="6AD42C61"/>
    <w:rsid w:val="6AE14092"/>
    <w:rsid w:val="6AEA323D"/>
    <w:rsid w:val="6AF07997"/>
    <w:rsid w:val="6AF5032D"/>
    <w:rsid w:val="6AFB2812"/>
    <w:rsid w:val="6AFF182D"/>
    <w:rsid w:val="6B016D82"/>
    <w:rsid w:val="6B032C8C"/>
    <w:rsid w:val="6B0845B4"/>
    <w:rsid w:val="6B3569BE"/>
    <w:rsid w:val="6B3637EA"/>
    <w:rsid w:val="6B3A1CE8"/>
    <w:rsid w:val="6B3E4E41"/>
    <w:rsid w:val="6B4D49EF"/>
    <w:rsid w:val="6B565CD0"/>
    <w:rsid w:val="6B5E2426"/>
    <w:rsid w:val="6B6D4417"/>
    <w:rsid w:val="6B7022D0"/>
    <w:rsid w:val="6B7B5422"/>
    <w:rsid w:val="6B852192"/>
    <w:rsid w:val="6B925A32"/>
    <w:rsid w:val="6B9C4F5E"/>
    <w:rsid w:val="6BA83728"/>
    <w:rsid w:val="6BAC4113"/>
    <w:rsid w:val="6BE02E3B"/>
    <w:rsid w:val="6BE13B5E"/>
    <w:rsid w:val="6BE31674"/>
    <w:rsid w:val="6BE852C7"/>
    <w:rsid w:val="6BE91CF0"/>
    <w:rsid w:val="6BE95EA9"/>
    <w:rsid w:val="6BEA6094"/>
    <w:rsid w:val="6BEF4116"/>
    <w:rsid w:val="6C114575"/>
    <w:rsid w:val="6C2930DC"/>
    <w:rsid w:val="6C32337D"/>
    <w:rsid w:val="6C3E2214"/>
    <w:rsid w:val="6C4D48CD"/>
    <w:rsid w:val="6C635F46"/>
    <w:rsid w:val="6C8202CD"/>
    <w:rsid w:val="6C875645"/>
    <w:rsid w:val="6C89702F"/>
    <w:rsid w:val="6C961621"/>
    <w:rsid w:val="6C9D5038"/>
    <w:rsid w:val="6CB26586"/>
    <w:rsid w:val="6CBB7DE1"/>
    <w:rsid w:val="6CC445CB"/>
    <w:rsid w:val="6CD042ED"/>
    <w:rsid w:val="6CDF30F3"/>
    <w:rsid w:val="6CF01775"/>
    <w:rsid w:val="6CFB62C0"/>
    <w:rsid w:val="6D01750D"/>
    <w:rsid w:val="6D026DE8"/>
    <w:rsid w:val="6D0316B2"/>
    <w:rsid w:val="6D0E1321"/>
    <w:rsid w:val="6D104BE0"/>
    <w:rsid w:val="6D10513E"/>
    <w:rsid w:val="6D132371"/>
    <w:rsid w:val="6D1B450F"/>
    <w:rsid w:val="6D396CA7"/>
    <w:rsid w:val="6D3F3B91"/>
    <w:rsid w:val="6D487B73"/>
    <w:rsid w:val="6D4B1E5A"/>
    <w:rsid w:val="6D5E70E9"/>
    <w:rsid w:val="6D6729D8"/>
    <w:rsid w:val="6D6E09F2"/>
    <w:rsid w:val="6D71561E"/>
    <w:rsid w:val="6D852386"/>
    <w:rsid w:val="6D887DB6"/>
    <w:rsid w:val="6D920165"/>
    <w:rsid w:val="6DAE4919"/>
    <w:rsid w:val="6DBD67AE"/>
    <w:rsid w:val="6DDD7632"/>
    <w:rsid w:val="6DDE1B84"/>
    <w:rsid w:val="6DF453C2"/>
    <w:rsid w:val="6E3363CE"/>
    <w:rsid w:val="6E3C316F"/>
    <w:rsid w:val="6E456275"/>
    <w:rsid w:val="6E475DDD"/>
    <w:rsid w:val="6E4D3AD4"/>
    <w:rsid w:val="6E4E1C3F"/>
    <w:rsid w:val="6E4E36BD"/>
    <w:rsid w:val="6E4E6782"/>
    <w:rsid w:val="6E5F44EB"/>
    <w:rsid w:val="6E6127F4"/>
    <w:rsid w:val="6E631ECC"/>
    <w:rsid w:val="6E697118"/>
    <w:rsid w:val="6E7206C2"/>
    <w:rsid w:val="6E7A0642"/>
    <w:rsid w:val="6E7C32EF"/>
    <w:rsid w:val="6E880670"/>
    <w:rsid w:val="6EBD7D11"/>
    <w:rsid w:val="6EC002E5"/>
    <w:rsid w:val="6EC46A44"/>
    <w:rsid w:val="6EC64ECD"/>
    <w:rsid w:val="6ECD2CED"/>
    <w:rsid w:val="6ED66BFA"/>
    <w:rsid w:val="6ED722D3"/>
    <w:rsid w:val="6EDDCA44"/>
    <w:rsid w:val="6EE1422E"/>
    <w:rsid w:val="6EEC4531"/>
    <w:rsid w:val="6EFF2534"/>
    <w:rsid w:val="6F1743AC"/>
    <w:rsid w:val="6F2B4C6D"/>
    <w:rsid w:val="6F433E0D"/>
    <w:rsid w:val="6F5C1867"/>
    <w:rsid w:val="6F5C3F48"/>
    <w:rsid w:val="6F61462B"/>
    <w:rsid w:val="6F6D6714"/>
    <w:rsid w:val="6F841802"/>
    <w:rsid w:val="6F9C2017"/>
    <w:rsid w:val="6F9F13EF"/>
    <w:rsid w:val="6FB16FC8"/>
    <w:rsid w:val="6FB62831"/>
    <w:rsid w:val="6FB84E8C"/>
    <w:rsid w:val="6FC2450B"/>
    <w:rsid w:val="6FC36CFC"/>
    <w:rsid w:val="6FCA64CD"/>
    <w:rsid w:val="6FCF744E"/>
    <w:rsid w:val="6FDD600F"/>
    <w:rsid w:val="6FE112C4"/>
    <w:rsid w:val="6FE9448A"/>
    <w:rsid w:val="6FF069FB"/>
    <w:rsid w:val="6FFB0619"/>
    <w:rsid w:val="6FFD7D02"/>
    <w:rsid w:val="6FFF957D"/>
    <w:rsid w:val="70020E6A"/>
    <w:rsid w:val="700A0487"/>
    <w:rsid w:val="701A60AC"/>
    <w:rsid w:val="701A70E6"/>
    <w:rsid w:val="702149D3"/>
    <w:rsid w:val="7021684B"/>
    <w:rsid w:val="70217D0F"/>
    <w:rsid w:val="703674CE"/>
    <w:rsid w:val="7056241A"/>
    <w:rsid w:val="70613296"/>
    <w:rsid w:val="707B2CB1"/>
    <w:rsid w:val="707B3132"/>
    <w:rsid w:val="70952588"/>
    <w:rsid w:val="709F1517"/>
    <w:rsid w:val="70A02B99"/>
    <w:rsid w:val="70A34833"/>
    <w:rsid w:val="70A43D4A"/>
    <w:rsid w:val="70BE0CFD"/>
    <w:rsid w:val="70D34D1C"/>
    <w:rsid w:val="70D56048"/>
    <w:rsid w:val="70DA3248"/>
    <w:rsid w:val="70EB67C6"/>
    <w:rsid w:val="70F33611"/>
    <w:rsid w:val="70F3716D"/>
    <w:rsid w:val="71027F8C"/>
    <w:rsid w:val="71145A61"/>
    <w:rsid w:val="71155335"/>
    <w:rsid w:val="7117773C"/>
    <w:rsid w:val="712A4901"/>
    <w:rsid w:val="712D744C"/>
    <w:rsid w:val="71357785"/>
    <w:rsid w:val="71391F94"/>
    <w:rsid w:val="713E6586"/>
    <w:rsid w:val="714479C8"/>
    <w:rsid w:val="714B51FB"/>
    <w:rsid w:val="71551BD5"/>
    <w:rsid w:val="715C7408"/>
    <w:rsid w:val="715D7335"/>
    <w:rsid w:val="71705DEE"/>
    <w:rsid w:val="717159EA"/>
    <w:rsid w:val="71763E5A"/>
    <w:rsid w:val="71777F8A"/>
    <w:rsid w:val="71810C1C"/>
    <w:rsid w:val="7185070D"/>
    <w:rsid w:val="719340CC"/>
    <w:rsid w:val="71950224"/>
    <w:rsid w:val="71A36DE5"/>
    <w:rsid w:val="71A412EF"/>
    <w:rsid w:val="71B106B0"/>
    <w:rsid w:val="71B61A42"/>
    <w:rsid w:val="71BB267E"/>
    <w:rsid w:val="71C32243"/>
    <w:rsid w:val="71D94178"/>
    <w:rsid w:val="71E1411F"/>
    <w:rsid w:val="71E258E0"/>
    <w:rsid w:val="71E450CA"/>
    <w:rsid w:val="71EA7F5E"/>
    <w:rsid w:val="71EC42E8"/>
    <w:rsid w:val="71F435DD"/>
    <w:rsid w:val="71F773F9"/>
    <w:rsid w:val="720723CB"/>
    <w:rsid w:val="72137E38"/>
    <w:rsid w:val="721F7D69"/>
    <w:rsid w:val="7225336C"/>
    <w:rsid w:val="722C5F6E"/>
    <w:rsid w:val="724B68D9"/>
    <w:rsid w:val="72524597"/>
    <w:rsid w:val="725400DF"/>
    <w:rsid w:val="725E62FA"/>
    <w:rsid w:val="72860473"/>
    <w:rsid w:val="728C686A"/>
    <w:rsid w:val="7299364D"/>
    <w:rsid w:val="72AB41A3"/>
    <w:rsid w:val="72C16C93"/>
    <w:rsid w:val="72D66A82"/>
    <w:rsid w:val="72D67597"/>
    <w:rsid w:val="72E2393D"/>
    <w:rsid w:val="72E43D31"/>
    <w:rsid w:val="72EE22E1"/>
    <w:rsid w:val="72FC49FE"/>
    <w:rsid w:val="72FF6E9B"/>
    <w:rsid w:val="73027148"/>
    <w:rsid w:val="7305147C"/>
    <w:rsid w:val="731A30F8"/>
    <w:rsid w:val="733777E5"/>
    <w:rsid w:val="733A7EE8"/>
    <w:rsid w:val="73466F84"/>
    <w:rsid w:val="735A55D3"/>
    <w:rsid w:val="73621B80"/>
    <w:rsid w:val="7375174D"/>
    <w:rsid w:val="73795D83"/>
    <w:rsid w:val="73850D73"/>
    <w:rsid w:val="738B56FD"/>
    <w:rsid w:val="739F2E93"/>
    <w:rsid w:val="739F35DC"/>
    <w:rsid w:val="73A60FE9"/>
    <w:rsid w:val="73C06788"/>
    <w:rsid w:val="73DC213A"/>
    <w:rsid w:val="73DE1B70"/>
    <w:rsid w:val="73FC458A"/>
    <w:rsid w:val="74001F87"/>
    <w:rsid w:val="74073A63"/>
    <w:rsid w:val="741378E4"/>
    <w:rsid w:val="741B0EB4"/>
    <w:rsid w:val="741E09A4"/>
    <w:rsid w:val="743138C9"/>
    <w:rsid w:val="7431692A"/>
    <w:rsid w:val="74432CA1"/>
    <w:rsid w:val="74454183"/>
    <w:rsid w:val="74493C73"/>
    <w:rsid w:val="74497E8D"/>
    <w:rsid w:val="744F70D5"/>
    <w:rsid w:val="7468055C"/>
    <w:rsid w:val="746B1062"/>
    <w:rsid w:val="74957A1D"/>
    <w:rsid w:val="74976F8C"/>
    <w:rsid w:val="749C28D6"/>
    <w:rsid w:val="74A466A3"/>
    <w:rsid w:val="74AB66DC"/>
    <w:rsid w:val="74AC2DBE"/>
    <w:rsid w:val="74B4279D"/>
    <w:rsid w:val="74C57CD7"/>
    <w:rsid w:val="74C959EF"/>
    <w:rsid w:val="74D226D8"/>
    <w:rsid w:val="74D951DD"/>
    <w:rsid w:val="74DB2B99"/>
    <w:rsid w:val="74DE3355"/>
    <w:rsid w:val="74E47465"/>
    <w:rsid w:val="74EC53F9"/>
    <w:rsid w:val="74F273DA"/>
    <w:rsid w:val="74F600B5"/>
    <w:rsid w:val="74F6722B"/>
    <w:rsid w:val="750958EA"/>
    <w:rsid w:val="75102AF5"/>
    <w:rsid w:val="751328C1"/>
    <w:rsid w:val="751955D7"/>
    <w:rsid w:val="751C1B98"/>
    <w:rsid w:val="752B3379"/>
    <w:rsid w:val="753F1C14"/>
    <w:rsid w:val="754B45FC"/>
    <w:rsid w:val="754C4FE3"/>
    <w:rsid w:val="755D3FA7"/>
    <w:rsid w:val="75662603"/>
    <w:rsid w:val="75780005"/>
    <w:rsid w:val="75790588"/>
    <w:rsid w:val="75837F2D"/>
    <w:rsid w:val="759453C4"/>
    <w:rsid w:val="75B23A9A"/>
    <w:rsid w:val="75BA7DC9"/>
    <w:rsid w:val="75BF0EBC"/>
    <w:rsid w:val="75C158E1"/>
    <w:rsid w:val="75F8173D"/>
    <w:rsid w:val="75FB13BD"/>
    <w:rsid w:val="75FE0A8D"/>
    <w:rsid w:val="75FE15A4"/>
    <w:rsid w:val="76087EFE"/>
    <w:rsid w:val="76277FE4"/>
    <w:rsid w:val="762F3987"/>
    <w:rsid w:val="762F4303"/>
    <w:rsid w:val="763146BA"/>
    <w:rsid w:val="76375D4D"/>
    <w:rsid w:val="763C17CD"/>
    <w:rsid w:val="7651209F"/>
    <w:rsid w:val="76625186"/>
    <w:rsid w:val="76694515"/>
    <w:rsid w:val="7671183A"/>
    <w:rsid w:val="76795A9A"/>
    <w:rsid w:val="76850BE3"/>
    <w:rsid w:val="768B1F9F"/>
    <w:rsid w:val="768E7AAD"/>
    <w:rsid w:val="769D37DC"/>
    <w:rsid w:val="76AD1FDF"/>
    <w:rsid w:val="76AF483A"/>
    <w:rsid w:val="76BF646F"/>
    <w:rsid w:val="76C61386"/>
    <w:rsid w:val="76CC46E8"/>
    <w:rsid w:val="76CF41D8"/>
    <w:rsid w:val="76D56664"/>
    <w:rsid w:val="76DB0DCF"/>
    <w:rsid w:val="76DF1C08"/>
    <w:rsid w:val="76E81AE6"/>
    <w:rsid w:val="76F780D2"/>
    <w:rsid w:val="77075720"/>
    <w:rsid w:val="770802F0"/>
    <w:rsid w:val="771025D4"/>
    <w:rsid w:val="77131639"/>
    <w:rsid w:val="77152224"/>
    <w:rsid w:val="77196438"/>
    <w:rsid w:val="77237002"/>
    <w:rsid w:val="77326AF1"/>
    <w:rsid w:val="77342D6F"/>
    <w:rsid w:val="773B467C"/>
    <w:rsid w:val="774D3A7A"/>
    <w:rsid w:val="77590EFC"/>
    <w:rsid w:val="775B5775"/>
    <w:rsid w:val="775E0D1F"/>
    <w:rsid w:val="776655B0"/>
    <w:rsid w:val="77672B54"/>
    <w:rsid w:val="77794B8C"/>
    <w:rsid w:val="777B5097"/>
    <w:rsid w:val="777E00C3"/>
    <w:rsid w:val="777E55F4"/>
    <w:rsid w:val="77820DEB"/>
    <w:rsid w:val="7792671F"/>
    <w:rsid w:val="7797445D"/>
    <w:rsid w:val="77986D62"/>
    <w:rsid w:val="779B2CD1"/>
    <w:rsid w:val="77A015C8"/>
    <w:rsid w:val="77A836A9"/>
    <w:rsid w:val="77A92E90"/>
    <w:rsid w:val="77B15DA9"/>
    <w:rsid w:val="77B358A8"/>
    <w:rsid w:val="77B650A0"/>
    <w:rsid w:val="77B930D4"/>
    <w:rsid w:val="77CE0481"/>
    <w:rsid w:val="77D25D2E"/>
    <w:rsid w:val="77E141C3"/>
    <w:rsid w:val="77E67FC5"/>
    <w:rsid w:val="77EC7456"/>
    <w:rsid w:val="77EE7D89"/>
    <w:rsid w:val="77EF0483"/>
    <w:rsid w:val="77F9150C"/>
    <w:rsid w:val="78131205"/>
    <w:rsid w:val="78177BE5"/>
    <w:rsid w:val="781911C5"/>
    <w:rsid w:val="781A279F"/>
    <w:rsid w:val="78210A63"/>
    <w:rsid w:val="782F5811"/>
    <w:rsid w:val="78384A59"/>
    <w:rsid w:val="78393FFF"/>
    <w:rsid w:val="783B343E"/>
    <w:rsid w:val="784A2663"/>
    <w:rsid w:val="784A43B3"/>
    <w:rsid w:val="784A620C"/>
    <w:rsid w:val="784C5B2D"/>
    <w:rsid w:val="785030F6"/>
    <w:rsid w:val="78581051"/>
    <w:rsid w:val="786228CD"/>
    <w:rsid w:val="786678A8"/>
    <w:rsid w:val="786F0FB8"/>
    <w:rsid w:val="78714DF4"/>
    <w:rsid w:val="78756296"/>
    <w:rsid w:val="7882338A"/>
    <w:rsid w:val="789C633C"/>
    <w:rsid w:val="78A91184"/>
    <w:rsid w:val="78B20233"/>
    <w:rsid w:val="78B47B29"/>
    <w:rsid w:val="78CF4963"/>
    <w:rsid w:val="78D81857"/>
    <w:rsid w:val="78E74845"/>
    <w:rsid w:val="78FC0536"/>
    <w:rsid w:val="78FE7954"/>
    <w:rsid w:val="7903264F"/>
    <w:rsid w:val="79150CBA"/>
    <w:rsid w:val="791512DC"/>
    <w:rsid w:val="79297BCF"/>
    <w:rsid w:val="79315979"/>
    <w:rsid w:val="793B6981"/>
    <w:rsid w:val="79566B90"/>
    <w:rsid w:val="795831E5"/>
    <w:rsid w:val="796E7E54"/>
    <w:rsid w:val="79756315"/>
    <w:rsid w:val="79765CDA"/>
    <w:rsid w:val="79A47621"/>
    <w:rsid w:val="79AA18D2"/>
    <w:rsid w:val="79AD6A52"/>
    <w:rsid w:val="79BD6141"/>
    <w:rsid w:val="79C56A19"/>
    <w:rsid w:val="79C8563A"/>
    <w:rsid w:val="79D957CA"/>
    <w:rsid w:val="79DA621C"/>
    <w:rsid w:val="79DA711C"/>
    <w:rsid w:val="79E13BA8"/>
    <w:rsid w:val="79ED729C"/>
    <w:rsid w:val="7A0A78E3"/>
    <w:rsid w:val="7A1211D1"/>
    <w:rsid w:val="7A311FA1"/>
    <w:rsid w:val="7A364577"/>
    <w:rsid w:val="7A450F4C"/>
    <w:rsid w:val="7A54735F"/>
    <w:rsid w:val="7A681FA7"/>
    <w:rsid w:val="7A6963D8"/>
    <w:rsid w:val="7A884DCA"/>
    <w:rsid w:val="7A9F1D9B"/>
    <w:rsid w:val="7AA21823"/>
    <w:rsid w:val="7AA7070E"/>
    <w:rsid w:val="7AA900DE"/>
    <w:rsid w:val="7AA936C9"/>
    <w:rsid w:val="7AB12D4C"/>
    <w:rsid w:val="7AC450ED"/>
    <w:rsid w:val="7ACA7190"/>
    <w:rsid w:val="7AD37F76"/>
    <w:rsid w:val="7AEE4FAA"/>
    <w:rsid w:val="7AF771AA"/>
    <w:rsid w:val="7B1448AF"/>
    <w:rsid w:val="7B16480F"/>
    <w:rsid w:val="7B190BA4"/>
    <w:rsid w:val="7B2A3951"/>
    <w:rsid w:val="7B36137C"/>
    <w:rsid w:val="7B38234C"/>
    <w:rsid w:val="7B3A4E9F"/>
    <w:rsid w:val="7B615D46"/>
    <w:rsid w:val="7B6F5B5B"/>
    <w:rsid w:val="7B735A7A"/>
    <w:rsid w:val="7B7415FA"/>
    <w:rsid w:val="7B765886"/>
    <w:rsid w:val="7B767496"/>
    <w:rsid w:val="7B7C4D25"/>
    <w:rsid w:val="7B7F3871"/>
    <w:rsid w:val="7B893C25"/>
    <w:rsid w:val="7B8B5C40"/>
    <w:rsid w:val="7B90640C"/>
    <w:rsid w:val="7B922E29"/>
    <w:rsid w:val="7B98728E"/>
    <w:rsid w:val="7B9C6D7F"/>
    <w:rsid w:val="7BB734C1"/>
    <w:rsid w:val="7BC24F1F"/>
    <w:rsid w:val="7BD31291"/>
    <w:rsid w:val="7BD5390A"/>
    <w:rsid w:val="7BD94735"/>
    <w:rsid w:val="7BE23EB3"/>
    <w:rsid w:val="7BFA1CF7"/>
    <w:rsid w:val="7C0F4B17"/>
    <w:rsid w:val="7C26489A"/>
    <w:rsid w:val="7C397E67"/>
    <w:rsid w:val="7C3A2FA7"/>
    <w:rsid w:val="7C4A67DB"/>
    <w:rsid w:val="7C5840BF"/>
    <w:rsid w:val="7C5E4034"/>
    <w:rsid w:val="7C9909ED"/>
    <w:rsid w:val="7C9C2291"/>
    <w:rsid w:val="7CA27D9F"/>
    <w:rsid w:val="7CA56991"/>
    <w:rsid w:val="7CA71E0B"/>
    <w:rsid w:val="7CB85E09"/>
    <w:rsid w:val="7CC0084B"/>
    <w:rsid w:val="7CC548D0"/>
    <w:rsid w:val="7CCE2197"/>
    <w:rsid w:val="7CCF13DD"/>
    <w:rsid w:val="7CD15C25"/>
    <w:rsid w:val="7CE46978"/>
    <w:rsid w:val="7CE81B50"/>
    <w:rsid w:val="7CEF2F95"/>
    <w:rsid w:val="7CF0254C"/>
    <w:rsid w:val="7CFA743F"/>
    <w:rsid w:val="7CFD713B"/>
    <w:rsid w:val="7CFE3A42"/>
    <w:rsid w:val="7CFF1519"/>
    <w:rsid w:val="7D036A82"/>
    <w:rsid w:val="7D0830DF"/>
    <w:rsid w:val="7D0F508E"/>
    <w:rsid w:val="7D17450A"/>
    <w:rsid w:val="7D1F60A0"/>
    <w:rsid w:val="7D2B7EDD"/>
    <w:rsid w:val="7D2D7769"/>
    <w:rsid w:val="7D387BFF"/>
    <w:rsid w:val="7D3F099E"/>
    <w:rsid w:val="7D4B01E2"/>
    <w:rsid w:val="7D533A52"/>
    <w:rsid w:val="7D5B43D0"/>
    <w:rsid w:val="7D6243C6"/>
    <w:rsid w:val="7D6C2781"/>
    <w:rsid w:val="7D76523E"/>
    <w:rsid w:val="7D781E69"/>
    <w:rsid w:val="7D7B5075"/>
    <w:rsid w:val="7D832173"/>
    <w:rsid w:val="7D8950E1"/>
    <w:rsid w:val="7D8A3C14"/>
    <w:rsid w:val="7D8C5B06"/>
    <w:rsid w:val="7D934401"/>
    <w:rsid w:val="7D94262F"/>
    <w:rsid w:val="7D953960"/>
    <w:rsid w:val="7D9579CF"/>
    <w:rsid w:val="7D961406"/>
    <w:rsid w:val="7DB83C18"/>
    <w:rsid w:val="7DC17FCF"/>
    <w:rsid w:val="7DCB394B"/>
    <w:rsid w:val="7DCC321F"/>
    <w:rsid w:val="7DE069AC"/>
    <w:rsid w:val="7DFF0E02"/>
    <w:rsid w:val="7E070C8C"/>
    <w:rsid w:val="7E0C521E"/>
    <w:rsid w:val="7E0E7E19"/>
    <w:rsid w:val="7E1840CC"/>
    <w:rsid w:val="7E1964D0"/>
    <w:rsid w:val="7E303249"/>
    <w:rsid w:val="7E37760E"/>
    <w:rsid w:val="7E4C5F6D"/>
    <w:rsid w:val="7E555123"/>
    <w:rsid w:val="7E557656"/>
    <w:rsid w:val="7E6416AA"/>
    <w:rsid w:val="7E824D8C"/>
    <w:rsid w:val="7E844BCE"/>
    <w:rsid w:val="7E8D660B"/>
    <w:rsid w:val="7E992085"/>
    <w:rsid w:val="7EAA127C"/>
    <w:rsid w:val="7EB47F46"/>
    <w:rsid w:val="7EB94600"/>
    <w:rsid w:val="7ECF7C45"/>
    <w:rsid w:val="7ED82860"/>
    <w:rsid w:val="7EDC7492"/>
    <w:rsid w:val="7EDF03CD"/>
    <w:rsid w:val="7EE051D4"/>
    <w:rsid w:val="7EE34CC4"/>
    <w:rsid w:val="7EE34DA7"/>
    <w:rsid w:val="7EF45DB1"/>
    <w:rsid w:val="7EFD2358"/>
    <w:rsid w:val="7EFE2453"/>
    <w:rsid w:val="7EFF5324"/>
    <w:rsid w:val="7F03165A"/>
    <w:rsid w:val="7F077A20"/>
    <w:rsid w:val="7F077BC2"/>
    <w:rsid w:val="7F09267A"/>
    <w:rsid w:val="7F2A644F"/>
    <w:rsid w:val="7F2B23E6"/>
    <w:rsid w:val="7F2B4123"/>
    <w:rsid w:val="7F314142"/>
    <w:rsid w:val="7F3426C9"/>
    <w:rsid w:val="7F394D98"/>
    <w:rsid w:val="7F3E0944"/>
    <w:rsid w:val="7F3E5DC7"/>
    <w:rsid w:val="7F4C3E66"/>
    <w:rsid w:val="7F5C2ED4"/>
    <w:rsid w:val="7F5D2D05"/>
    <w:rsid w:val="7F8A3D01"/>
    <w:rsid w:val="7F8C2C66"/>
    <w:rsid w:val="7F9C4EBD"/>
    <w:rsid w:val="7FAD310E"/>
    <w:rsid w:val="7FC97C6A"/>
    <w:rsid w:val="7FCD6742"/>
    <w:rsid w:val="7FDE8052"/>
    <w:rsid w:val="7FDF6B79"/>
    <w:rsid w:val="7FE40CF4"/>
    <w:rsid w:val="7FE546A7"/>
    <w:rsid w:val="7FE86419"/>
    <w:rsid w:val="7FEFF51B"/>
    <w:rsid w:val="7FF4D8EC"/>
    <w:rsid w:val="7FF7AAE5"/>
    <w:rsid w:val="7FFE43B9"/>
    <w:rsid w:val="8FFFA72C"/>
    <w:rsid w:val="9B37F1D6"/>
    <w:rsid w:val="9D6F3DFF"/>
    <w:rsid w:val="ADE62979"/>
    <w:rsid w:val="ADF61AAD"/>
    <w:rsid w:val="B77F4514"/>
    <w:rsid w:val="B9F7B9FA"/>
    <w:rsid w:val="BEFBAF53"/>
    <w:rsid w:val="CFBC025F"/>
    <w:rsid w:val="D6DFEB0C"/>
    <w:rsid w:val="D77FC25D"/>
    <w:rsid w:val="DF65D42E"/>
    <w:rsid w:val="DFA4E10D"/>
    <w:rsid w:val="EA7B6956"/>
    <w:rsid w:val="ED76DA0E"/>
    <w:rsid w:val="EFF7AAC2"/>
    <w:rsid w:val="EFFE9A53"/>
    <w:rsid w:val="F2B7B166"/>
    <w:rsid w:val="F2EF3A0D"/>
    <w:rsid w:val="F57FA655"/>
    <w:rsid w:val="F779A5E4"/>
    <w:rsid w:val="F97FDB0C"/>
    <w:rsid w:val="FB8B984C"/>
    <w:rsid w:val="FBBE3748"/>
    <w:rsid w:val="FBCE0959"/>
    <w:rsid w:val="FBFBC28C"/>
    <w:rsid w:val="FCDD80FD"/>
    <w:rsid w:val="FD190269"/>
    <w:rsid w:val="FF9732F9"/>
    <w:rsid w:val="FFFD59DB"/>
    <w:rsid w:val="FFFE8D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semiHidden="0" w:name="table of figures"/>
    <w:lsdException w:uiPriority="99" w:name="envelope address" w:locked="1"/>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line="440" w:lineRule="exact"/>
      <w:jc w:val="center"/>
      <w:outlineLvl w:val="0"/>
    </w:pPr>
    <w:rPr>
      <w:b/>
      <w:bCs/>
      <w:kern w:val="44"/>
      <w:sz w:val="44"/>
      <w:szCs w:val="44"/>
    </w:rPr>
  </w:style>
  <w:style w:type="paragraph" w:styleId="4">
    <w:name w:val="heading 2"/>
    <w:basedOn w:val="1"/>
    <w:next w:val="1"/>
    <w:link w:val="66"/>
    <w:qFormat/>
    <w:uiPriority w:val="99"/>
    <w:pPr>
      <w:keepNext/>
      <w:keepLines/>
      <w:spacing w:line="440" w:lineRule="exact"/>
      <w:jc w:val="left"/>
      <w:outlineLvl w:val="1"/>
    </w:pPr>
    <w:rPr>
      <w:rFonts w:ascii="Arial" w:hAnsi="Arial" w:eastAsia="黑体"/>
      <w:b/>
      <w:bCs/>
      <w:szCs w:val="32"/>
    </w:rPr>
  </w:style>
  <w:style w:type="paragraph" w:styleId="5">
    <w:name w:val="heading 3"/>
    <w:basedOn w:val="1"/>
    <w:next w:val="1"/>
    <w:link w:val="67"/>
    <w:qFormat/>
    <w:uiPriority w:val="99"/>
    <w:pPr>
      <w:keepNext/>
      <w:keepLines/>
      <w:spacing w:line="415" w:lineRule="auto"/>
      <w:outlineLvl w:val="2"/>
    </w:pPr>
    <w:rPr>
      <w:b/>
      <w:bCs/>
      <w:kern w:val="0"/>
      <w:sz w:val="32"/>
      <w:szCs w:val="32"/>
    </w:rPr>
  </w:style>
  <w:style w:type="paragraph" w:styleId="2">
    <w:name w:val="heading 4"/>
    <w:basedOn w:val="1"/>
    <w:next w:val="1"/>
    <w:link w:val="68"/>
    <w:qFormat/>
    <w:uiPriority w:val="99"/>
    <w:pPr>
      <w:keepNext/>
      <w:keepLines/>
      <w:spacing w:line="374" w:lineRule="auto"/>
      <w:outlineLvl w:val="3"/>
    </w:pPr>
    <w:rPr>
      <w:rFonts w:ascii="Arial" w:hAnsi="Arial" w:eastAsia="黑体"/>
      <w:b/>
      <w:bCs/>
      <w:sz w:val="28"/>
      <w:szCs w:val="28"/>
    </w:rPr>
  </w:style>
  <w:style w:type="paragraph" w:styleId="6">
    <w:name w:val="heading 5"/>
    <w:basedOn w:val="1"/>
    <w:next w:val="1"/>
    <w:link w:val="69"/>
    <w:qFormat/>
    <w:uiPriority w:val="99"/>
    <w:pPr>
      <w:keepNext/>
      <w:keepLines/>
      <w:spacing w:line="376" w:lineRule="auto"/>
      <w:outlineLvl w:val="4"/>
    </w:pPr>
    <w:rPr>
      <w:b/>
      <w:bCs/>
      <w:sz w:val="28"/>
      <w:szCs w:val="28"/>
    </w:rPr>
  </w:style>
  <w:style w:type="paragraph" w:styleId="7">
    <w:name w:val="heading 6"/>
    <w:basedOn w:val="1"/>
    <w:next w:val="1"/>
    <w:link w:val="70"/>
    <w:qFormat/>
    <w:uiPriority w:val="99"/>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link w:val="71"/>
    <w:qFormat/>
    <w:uiPriority w:val="99"/>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link w:val="72"/>
    <w:qFormat/>
    <w:uiPriority w:val="99"/>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99"/>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qFormat/>
    <w:uiPriority w:val="99"/>
    <w:pPr>
      <w:ind w:firstLine="420" w:firstLineChars="200"/>
    </w:pPr>
  </w:style>
  <w:style w:type="paragraph" w:styleId="13">
    <w:name w:val="Document Map"/>
    <w:basedOn w:val="1"/>
    <w:next w:val="1"/>
    <w:link w:val="76"/>
    <w:qFormat/>
    <w:uiPriority w:val="99"/>
    <w:pPr>
      <w:shd w:val="clear" w:color="auto" w:fill="000080"/>
    </w:pPr>
  </w:style>
  <w:style w:type="paragraph" w:styleId="14">
    <w:name w:val="annotation text"/>
    <w:basedOn w:val="1"/>
    <w:link w:val="77"/>
    <w:qFormat/>
    <w:uiPriority w:val="99"/>
    <w:pPr>
      <w:jc w:val="left"/>
    </w:pPr>
  </w:style>
  <w:style w:type="paragraph" w:styleId="15">
    <w:name w:val="Body Text 3"/>
    <w:basedOn w:val="1"/>
    <w:link w:val="78"/>
    <w:qFormat/>
    <w:uiPriority w:val="99"/>
    <w:rPr>
      <w:rFonts w:ascii="宋体"/>
      <w:sz w:val="24"/>
      <w:szCs w:val="20"/>
    </w:rPr>
  </w:style>
  <w:style w:type="paragraph" w:styleId="16">
    <w:name w:val="Body Text"/>
    <w:basedOn w:val="1"/>
    <w:link w:val="79"/>
    <w:qFormat/>
    <w:uiPriority w:val="99"/>
  </w:style>
  <w:style w:type="paragraph" w:styleId="17">
    <w:name w:val="Body Text Indent"/>
    <w:basedOn w:val="1"/>
    <w:next w:val="18"/>
    <w:link w:val="74"/>
    <w:qFormat/>
    <w:uiPriority w:val="99"/>
    <w:pPr>
      <w:ind w:left="420" w:leftChars="200"/>
    </w:pPr>
  </w:style>
  <w:style w:type="paragraph" w:styleId="18">
    <w:name w:val="envelope return"/>
    <w:basedOn w:val="1"/>
    <w:next w:val="11"/>
    <w:qFormat/>
    <w:uiPriority w:val="99"/>
    <w:pPr>
      <w:snapToGrid w:val="0"/>
    </w:pPr>
    <w:rPr>
      <w:rFonts w:ascii="Arial" w:hAnsi="Arial"/>
    </w:rPr>
  </w:style>
  <w:style w:type="paragraph" w:styleId="19">
    <w:name w:val="Block Text"/>
    <w:basedOn w:val="1"/>
    <w:qFormat/>
    <w:uiPriority w:val="99"/>
    <w:pPr>
      <w:spacing w:line="400" w:lineRule="exact"/>
      <w:ind w:left="-359" w:leftChars="-171" w:right="31" w:rightChars="15" w:firstLine="980" w:firstLineChars="350"/>
    </w:pPr>
    <w:rPr>
      <w:rFonts w:ascii="宋体" w:hAnsi="宋体"/>
      <w:sz w:val="28"/>
      <w:szCs w:val="32"/>
    </w:rPr>
  </w:style>
  <w:style w:type="paragraph" w:styleId="20">
    <w:name w:val="toc 5"/>
    <w:basedOn w:val="1"/>
    <w:next w:val="1"/>
    <w:qFormat/>
    <w:uiPriority w:val="99"/>
    <w:pPr>
      <w:ind w:left="840"/>
      <w:jc w:val="left"/>
    </w:pPr>
    <w:rPr>
      <w:sz w:val="18"/>
      <w:szCs w:val="18"/>
    </w:rPr>
  </w:style>
  <w:style w:type="paragraph" w:styleId="21">
    <w:name w:val="toc 3"/>
    <w:basedOn w:val="1"/>
    <w:next w:val="1"/>
    <w:qFormat/>
    <w:uiPriority w:val="99"/>
    <w:pPr>
      <w:ind w:left="420"/>
      <w:jc w:val="left"/>
    </w:pPr>
    <w:rPr>
      <w:i/>
      <w:iCs/>
      <w:sz w:val="20"/>
      <w:szCs w:val="20"/>
    </w:rPr>
  </w:style>
  <w:style w:type="paragraph" w:styleId="22">
    <w:name w:val="Plain Text"/>
    <w:basedOn w:val="1"/>
    <w:next w:val="1"/>
    <w:link w:val="80"/>
    <w:qFormat/>
    <w:uiPriority w:val="99"/>
    <w:rPr>
      <w:rFonts w:ascii="Courier New" w:hAnsi="Courier New"/>
      <w:szCs w:val="20"/>
    </w:rPr>
  </w:style>
  <w:style w:type="paragraph" w:styleId="23">
    <w:name w:val="toc 8"/>
    <w:basedOn w:val="1"/>
    <w:next w:val="1"/>
    <w:qFormat/>
    <w:uiPriority w:val="99"/>
    <w:pPr>
      <w:ind w:left="1470"/>
      <w:jc w:val="left"/>
    </w:pPr>
    <w:rPr>
      <w:sz w:val="18"/>
      <w:szCs w:val="18"/>
    </w:rPr>
  </w:style>
  <w:style w:type="paragraph" w:styleId="24">
    <w:name w:val="Date"/>
    <w:basedOn w:val="1"/>
    <w:next w:val="1"/>
    <w:link w:val="81"/>
    <w:qFormat/>
    <w:uiPriority w:val="99"/>
    <w:rPr>
      <w:sz w:val="24"/>
      <w:szCs w:val="20"/>
    </w:rPr>
  </w:style>
  <w:style w:type="paragraph" w:styleId="25">
    <w:name w:val="Body Text Indent 2"/>
    <w:basedOn w:val="1"/>
    <w:link w:val="82"/>
    <w:qFormat/>
    <w:uiPriority w:val="99"/>
    <w:pPr>
      <w:spacing w:line="360" w:lineRule="exact"/>
      <w:ind w:firstLine="600" w:firstLineChars="250"/>
      <w:jc w:val="left"/>
    </w:pPr>
    <w:rPr>
      <w:sz w:val="24"/>
    </w:rPr>
  </w:style>
  <w:style w:type="paragraph" w:styleId="26">
    <w:name w:val="Balloon Text"/>
    <w:basedOn w:val="1"/>
    <w:link w:val="83"/>
    <w:qFormat/>
    <w:uiPriority w:val="99"/>
    <w:rPr>
      <w:sz w:val="18"/>
      <w:szCs w:val="18"/>
    </w:rPr>
  </w:style>
  <w:style w:type="paragraph" w:styleId="27">
    <w:name w:val="footer"/>
    <w:basedOn w:val="1"/>
    <w:link w:val="84"/>
    <w:qFormat/>
    <w:uiPriority w:val="99"/>
    <w:pPr>
      <w:tabs>
        <w:tab w:val="center" w:pos="4153"/>
        <w:tab w:val="right" w:pos="8306"/>
      </w:tabs>
      <w:snapToGrid w:val="0"/>
      <w:jc w:val="left"/>
    </w:pPr>
    <w:rPr>
      <w:sz w:val="18"/>
      <w:szCs w:val="18"/>
    </w:rPr>
  </w:style>
  <w:style w:type="paragraph" w:styleId="28">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pPr>
      <w:jc w:val="left"/>
    </w:pPr>
    <w:rPr>
      <w:b/>
      <w:bCs/>
      <w:caps/>
      <w:sz w:val="20"/>
      <w:szCs w:val="20"/>
    </w:rPr>
  </w:style>
  <w:style w:type="paragraph" w:styleId="30">
    <w:name w:val="toc 4"/>
    <w:basedOn w:val="1"/>
    <w:next w:val="1"/>
    <w:qFormat/>
    <w:uiPriority w:val="99"/>
    <w:pPr>
      <w:ind w:left="630"/>
      <w:jc w:val="left"/>
    </w:pPr>
    <w:rPr>
      <w:sz w:val="18"/>
      <w:szCs w:val="18"/>
    </w:rPr>
  </w:style>
  <w:style w:type="paragraph" w:styleId="31">
    <w:name w:val="List"/>
    <w:basedOn w:val="1"/>
    <w:qFormat/>
    <w:uiPriority w:val="99"/>
    <w:pPr>
      <w:ind w:left="420" w:hanging="420"/>
    </w:pPr>
  </w:style>
  <w:style w:type="paragraph" w:styleId="32">
    <w:name w:val="footnote text"/>
    <w:basedOn w:val="1"/>
    <w:link w:val="86"/>
    <w:qFormat/>
    <w:uiPriority w:val="99"/>
    <w:rPr>
      <w:sz w:val="20"/>
      <w:szCs w:val="20"/>
    </w:rPr>
  </w:style>
  <w:style w:type="paragraph" w:styleId="33">
    <w:name w:val="toc 6"/>
    <w:basedOn w:val="1"/>
    <w:next w:val="1"/>
    <w:qFormat/>
    <w:uiPriority w:val="99"/>
    <w:pPr>
      <w:ind w:left="1050"/>
      <w:jc w:val="left"/>
    </w:pPr>
    <w:rPr>
      <w:sz w:val="18"/>
      <w:szCs w:val="18"/>
    </w:rPr>
  </w:style>
  <w:style w:type="paragraph" w:styleId="34">
    <w:name w:val="Body Text Indent 3"/>
    <w:basedOn w:val="1"/>
    <w:link w:val="87"/>
    <w:qFormat/>
    <w:uiPriority w:val="99"/>
    <w:pPr>
      <w:ind w:left="420" w:leftChars="200"/>
    </w:pPr>
    <w:rPr>
      <w:sz w:val="16"/>
      <w:szCs w:val="16"/>
    </w:rPr>
  </w:style>
  <w:style w:type="paragraph" w:styleId="35">
    <w:name w:val="table of figures"/>
    <w:basedOn w:val="1"/>
    <w:next w:val="1"/>
    <w:qFormat/>
    <w:uiPriority w:val="99"/>
    <w:pPr>
      <w:ind w:left="200" w:leftChars="200" w:hanging="200" w:hangingChars="200"/>
    </w:pPr>
  </w:style>
  <w:style w:type="paragraph" w:styleId="36">
    <w:name w:val="toc 2"/>
    <w:basedOn w:val="1"/>
    <w:next w:val="1"/>
    <w:qFormat/>
    <w:uiPriority w:val="99"/>
    <w:pPr>
      <w:ind w:left="210"/>
      <w:jc w:val="left"/>
    </w:pPr>
    <w:rPr>
      <w:smallCaps/>
      <w:sz w:val="20"/>
      <w:szCs w:val="20"/>
    </w:rPr>
  </w:style>
  <w:style w:type="paragraph" w:styleId="37">
    <w:name w:val="toc 9"/>
    <w:basedOn w:val="1"/>
    <w:next w:val="1"/>
    <w:qFormat/>
    <w:uiPriority w:val="99"/>
    <w:pPr>
      <w:ind w:left="1680"/>
      <w:jc w:val="left"/>
    </w:pPr>
    <w:rPr>
      <w:sz w:val="18"/>
      <w:szCs w:val="18"/>
    </w:rPr>
  </w:style>
  <w:style w:type="paragraph" w:styleId="38">
    <w:name w:val="Body Text 2"/>
    <w:basedOn w:val="1"/>
    <w:link w:val="88"/>
    <w:qFormat/>
    <w:uiPriority w:val="99"/>
    <w:pPr>
      <w:spacing w:line="440" w:lineRule="exact"/>
    </w:pPr>
    <w:rPr>
      <w:sz w:val="28"/>
    </w:rPr>
  </w:style>
  <w:style w:type="paragraph" w:styleId="39">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next w:val="41"/>
    <w:qFormat/>
    <w:uiPriority w:val="99"/>
    <w:pPr>
      <w:widowControl/>
      <w:spacing w:beforeAutospacing="1" w:afterAutospacing="1"/>
      <w:jc w:val="left"/>
    </w:pPr>
    <w:rPr>
      <w:rFonts w:ascii="宋体" w:hAnsi="宋体" w:cs="宋体"/>
      <w:kern w:val="0"/>
      <w:sz w:val="24"/>
    </w:rPr>
  </w:style>
  <w:style w:type="paragraph" w:customStyle="1" w:styleId="41">
    <w:name w:val="正文文字 8"/>
    <w:basedOn w:val="1"/>
    <w:next w:val="1"/>
    <w:qFormat/>
    <w:uiPriority w:val="99"/>
    <w:pPr>
      <w:ind w:left="240"/>
    </w:pPr>
    <w:rPr>
      <w:sz w:val="16"/>
    </w:rPr>
  </w:style>
  <w:style w:type="paragraph" w:styleId="42">
    <w:name w:val="index 1"/>
    <w:basedOn w:val="1"/>
    <w:next w:val="1"/>
    <w:qFormat/>
    <w:locked/>
    <w:uiPriority w:val="0"/>
    <w:pPr>
      <w:jc w:val="center"/>
    </w:pPr>
    <w:rPr>
      <w:rFonts w:ascii="Arial" w:hAnsi="Arial" w:eastAsia="Arial" w:cs="Arial"/>
      <w:b/>
      <w:bCs/>
      <w:sz w:val="28"/>
    </w:rPr>
  </w:style>
  <w:style w:type="paragraph" w:styleId="43">
    <w:name w:val="Title"/>
    <w:basedOn w:val="1"/>
    <w:next w:val="1"/>
    <w:link w:val="90"/>
    <w:qFormat/>
    <w:uiPriority w:val="99"/>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4"/>
    <w:next w:val="14"/>
    <w:link w:val="91"/>
    <w:qFormat/>
    <w:uiPriority w:val="99"/>
    <w:rPr>
      <w:b/>
      <w:bCs/>
    </w:rPr>
  </w:style>
  <w:style w:type="paragraph" w:styleId="45">
    <w:name w:val="Body Text First Indent 2"/>
    <w:basedOn w:val="17"/>
    <w:next w:val="1"/>
    <w:link w:val="75"/>
    <w:qFormat/>
    <w:uiPriority w:val="99"/>
    <w:pPr>
      <w:spacing w:line="360" w:lineRule="auto"/>
      <w:ind w:firstLine="200" w:firstLineChars="200"/>
    </w:pPr>
    <w:rPr>
      <w:rFonts w:ascii="宋体"/>
      <w:szCs w:val="20"/>
    </w:rPr>
  </w:style>
  <w:style w:type="table" w:styleId="47">
    <w:name w:val="Table Grid"/>
    <w:basedOn w:val="4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333333"/>
      <w:u w:val="none"/>
    </w:rPr>
  </w:style>
  <w:style w:type="character" w:styleId="52">
    <w:name w:val="Emphasis"/>
    <w:basedOn w:val="48"/>
    <w:qFormat/>
    <w:uiPriority w:val="99"/>
    <w:rPr>
      <w:rFonts w:cs="Times New Roman"/>
      <w:color w:val="CC0033"/>
    </w:rPr>
  </w:style>
  <w:style w:type="character" w:styleId="53">
    <w:name w:val="HTML Definition"/>
    <w:basedOn w:val="48"/>
    <w:qFormat/>
    <w:uiPriority w:val="99"/>
    <w:rPr>
      <w:rFonts w:cs="Times New Roman"/>
    </w:rPr>
  </w:style>
  <w:style w:type="character" w:styleId="54">
    <w:name w:val="HTML Typewriter"/>
    <w:basedOn w:val="48"/>
    <w:qFormat/>
    <w:uiPriority w:val="99"/>
    <w:rPr>
      <w:rFonts w:ascii="monospace" w:hAnsi="monospace" w:cs="Times New Roman"/>
      <w:sz w:val="20"/>
    </w:rPr>
  </w:style>
  <w:style w:type="character" w:styleId="55">
    <w:name w:val="HTML Acronym"/>
    <w:basedOn w:val="48"/>
    <w:qFormat/>
    <w:uiPriority w:val="99"/>
    <w:rPr>
      <w:rFonts w:cs="Times New Roman"/>
    </w:rPr>
  </w:style>
  <w:style w:type="character" w:styleId="56">
    <w:name w:val="HTML Variable"/>
    <w:basedOn w:val="48"/>
    <w:qFormat/>
    <w:uiPriority w:val="99"/>
    <w:rPr>
      <w:rFonts w:cs="Times New Roman"/>
    </w:rPr>
  </w:style>
  <w:style w:type="character" w:styleId="57">
    <w:name w:val="Hyperlink"/>
    <w:basedOn w:val="48"/>
    <w:qFormat/>
    <w:uiPriority w:val="99"/>
    <w:rPr>
      <w:rFonts w:cs="Times New Roman"/>
      <w:color w:val="333333"/>
      <w:u w:val="none"/>
    </w:rPr>
  </w:style>
  <w:style w:type="character" w:styleId="58">
    <w:name w:val="HTML Code"/>
    <w:basedOn w:val="48"/>
    <w:qFormat/>
    <w:uiPriority w:val="99"/>
    <w:rPr>
      <w:rFonts w:ascii="monospace" w:hAnsi="monospace" w:cs="Times New Roman"/>
      <w:sz w:val="20"/>
    </w:rPr>
  </w:style>
  <w:style w:type="character" w:styleId="59">
    <w:name w:val="annotation reference"/>
    <w:basedOn w:val="48"/>
    <w:qFormat/>
    <w:uiPriority w:val="99"/>
    <w:rPr>
      <w:rFonts w:cs="Times New Roman"/>
      <w:sz w:val="21"/>
    </w:rPr>
  </w:style>
  <w:style w:type="character" w:styleId="60">
    <w:name w:val="HTML Cite"/>
    <w:basedOn w:val="48"/>
    <w:qFormat/>
    <w:uiPriority w:val="99"/>
    <w:rPr>
      <w:rFonts w:cs="Times New Roman"/>
    </w:rPr>
  </w:style>
  <w:style w:type="character" w:styleId="61">
    <w:name w:val="footnote reference"/>
    <w:basedOn w:val="48"/>
    <w:qFormat/>
    <w:uiPriority w:val="99"/>
    <w:rPr>
      <w:rFonts w:cs="Times New Roman"/>
      <w:vertAlign w:val="superscript"/>
    </w:rPr>
  </w:style>
  <w:style w:type="character" w:styleId="62">
    <w:name w:val="HTML Keyboard"/>
    <w:basedOn w:val="48"/>
    <w:qFormat/>
    <w:uiPriority w:val="99"/>
    <w:rPr>
      <w:rFonts w:ascii="monospace" w:hAnsi="monospace" w:cs="Times New Roman"/>
      <w:sz w:val="20"/>
    </w:rPr>
  </w:style>
  <w:style w:type="character" w:styleId="63">
    <w:name w:val="HTML Sample"/>
    <w:basedOn w:val="48"/>
    <w:qFormat/>
    <w:uiPriority w:val="99"/>
    <w:rPr>
      <w:rFonts w:ascii="monospace" w:hAnsi="monospace" w:cs="Times New Roman"/>
    </w:rPr>
  </w:style>
  <w:style w:type="paragraph" w:customStyle="1" w:styleId="6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5">
    <w:name w:val="Heading 1 Char"/>
    <w:basedOn w:val="48"/>
    <w:link w:val="3"/>
    <w:qFormat/>
    <w:locked/>
    <w:uiPriority w:val="99"/>
    <w:rPr>
      <w:rFonts w:eastAsia="宋体" w:cs="Times New Roman"/>
      <w:b/>
      <w:kern w:val="44"/>
      <w:sz w:val="44"/>
      <w:lang w:val="en-US" w:eastAsia="zh-CN"/>
    </w:rPr>
  </w:style>
  <w:style w:type="character" w:customStyle="1" w:styleId="66">
    <w:name w:val="Heading 2 Char"/>
    <w:basedOn w:val="48"/>
    <w:link w:val="4"/>
    <w:qFormat/>
    <w:locked/>
    <w:uiPriority w:val="99"/>
    <w:rPr>
      <w:rFonts w:ascii="Arial" w:hAnsi="Arial" w:eastAsia="黑体" w:cs="Times New Roman"/>
      <w:b/>
      <w:kern w:val="2"/>
      <w:sz w:val="32"/>
      <w:lang w:val="en-US" w:eastAsia="zh-CN"/>
    </w:rPr>
  </w:style>
  <w:style w:type="character" w:customStyle="1" w:styleId="67">
    <w:name w:val="Heading 3 Char"/>
    <w:basedOn w:val="48"/>
    <w:link w:val="5"/>
    <w:qFormat/>
    <w:locked/>
    <w:uiPriority w:val="99"/>
    <w:rPr>
      <w:rFonts w:cs="Times New Roman"/>
      <w:b/>
      <w:sz w:val="32"/>
    </w:rPr>
  </w:style>
  <w:style w:type="character" w:customStyle="1" w:styleId="68">
    <w:name w:val="Heading 4 Char"/>
    <w:basedOn w:val="48"/>
    <w:link w:val="2"/>
    <w:semiHidden/>
    <w:qFormat/>
    <w:locked/>
    <w:uiPriority w:val="99"/>
    <w:rPr>
      <w:rFonts w:ascii="Cambria" w:hAnsi="Cambria" w:eastAsia="宋体" w:cs="Times New Roman"/>
      <w:b/>
      <w:bCs/>
      <w:sz w:val="28"/>
      <w:szCs w:val="28"/>
    </w:rPr>
  </w:style>
  <w:style w:type="character" w:customStyle="1" w:styleId="69">
    <w:name w:val="Heading 5 Char"/>
    <w:basedOn w:val="48"/>
    <w:link w:val="6"/>
    <w:qFormat/>
    <w:locked/>
    <w:uiPriority w:val="99"/>
    <w:rPr>
      <w:rFonts w:cs="Times New Roman"/>
      <w:b/>
      <w:kern w:val="2"/>
      <w:sz w:val="28"/>
    </w:rPr>
  </w:style>
  <w:style w:type="character" w:customStyle="1" w:styleId="70">
    <w:name w:val="Heading 6 Char"/>
    <w:basedOn w:val="48"/>
    <w:link w:val="7"/>
    <w:semiHidden/>
    <w:qFormat/>
    <w:locked/>
    <w:uiPriority w:val="99"/>
    <w:rPr>
      <w:rFonts w:ascii="Cambria" w:hAnsi="Cambria" w:eastAsia="宋体" w:cs="Times New Roman"/>
      <w:b/>
      <w:bCs/>
      <w:sz w:val="24"/>
      <w:szCs w:val="24"/>
    </w:rPr>
  </w:style>
  <w:style w:type="character" w:customStyle="1" w:styleId="71">
    <w:name w:val="Heading 7 Char"/>
    <w:basedOn w:val="48"/>
    <w:link w:val="8"/>
    <w:semiHidden/>
    <w:qFormat/>
    <w:locked/>
    <w:uiPriority w:val="99"/>
    <w:rPr>
      <w:rFonts w:cs="Times New Roman"/>
      <w:b/>
      <w:bCs/>
      <w:sz w:val="24"/>
      <w:szCs w:val="24"/>
    </w:rPr>
  </w:style>
  <w:style w:type="character" w:customStyle="1" w:styleId="72">
    <w:name w:val="Heading 8 Char"/>
    <w:basedOn w:val="48"/>
    <w:link w:val="9"/>
    <w:semiHidden/>
    <w:qFormat/>
    <w:locked/>
    <w:uiPriority w:val="99"/>
    <w:rPr>
      <w:rFonts w:ascii="Cambria" w:hAnsi="Cambria" w:eastAsia="宋体" w:cs="Times New Roman"/>
      <w:sz w:val="24"/>
      <w:szCs w:val="24"/>
    </w:rPr>
  </w:style>
  <w:style w:type="character" w:customStyle="1" w:styleId="73">
    <w:name w:val="Heading 9 Char"/>
    <w:basedOn w:val="48"/>
    <w:link w:val="10"/>
    <w:semiHidden/>
    <w:qFormat/>
    <w:locked/>
    <w:uiPriority w:val="99"/>
    <w:rPr>
      <w:rFonts w:ascii="Cambria" w:hAnsi="Cambria" w:eastAsia="宋体" w:cs="Times New Roman"/>
      <w:sz w:val="21"/>
      <w:szCs w:val="21"/>
    </w:rPr>
  </w:style>
  <w:style w:type="character" w:customStyle="1" w:styleId="74">
    <w:name w:val="Body Text Indent Char"/>
    <w:basedOn w:val="48"/>
    <w:link w:val="17"/>
    <w:semiHidden/>
    <w:qFormat/>
    <w:locked/>
    <w:uiPriority w:val="99"/>
    <w:rPr>
      <w:rFonts w:cs="Times New Roman"/>
      <w:sz w:val="24"/>
      <w:szCs w:val="24"/>
    </w:rPr>
  </w:style>
  <w:style w:type="character" w:customStyle="1" w:styleId="75">
    <w:name w:val="Body Text First Indent 2 Char"/>
    <w:basedOn w:val="74"/>
    <w:link w:val="45"/>
    <w:semiHidden/>
    <w:qFormat/>
    <w:locked/>
    <w:uiPriority w:val="99"/>
  </w:style>
  <w:style w:type="character" w:customStyle="1" w:styleId="76">
    <w:name w:val="Document Map Char"/>
    <w:basedOn w:val="48"/>
    <w:link w:val="13"/>
    <w:semiHidden/>
    <w:qFormat/>
    <w:locked/>
    <w:uiPriority w:val="99"/>
    <w:rPr>
      <w:rFonts w:cs="Times New Roman"/>
      <w:sz w:val="2"/>
    </w:rPr>
  </w:style>
  <w:style w:type="character" w:customStyle="1" w:styleId="77">
    <w:name w:val="Comment Text Char"/>
    <w:basedOn w:val="48"/>
    <w:link w:val="14"/>
    <w:qFormat/>
    <w:locked/>
    <w:uiPriority w:val="99"/>
    <w:rPr>
      <w:rFonts w:eastAsia="宋体" w:cs="Times New Roman"/>
      <w:kern w:val="2"/>
      <w:sz w:val="24"/>
      <w:lang w:val="en-US" w:eastAsia="zh-CN"/>
    </w:rPr>
  </w:style>
  <w:style w:type="character" w:customStyle="1" w:styleId="78">
    <w:name w:val="Body Text 3 Char"/>
    <w:basedOn w:val="48"/>
    <w:link w:val="15"/>
    <w:semiHidden/>
    <w:qFormat/>
    <w:locked/>
    <w:uiPriority w:val="99"/>
    <w:rPr>
      <w:rFonts w:cs="Times New Roman"/>
      <w:sz w:val="16"/>
      <w:szCs w:val="16"/>
    </w:rPr>
  </w:style>
  <w:style w:type="character" w:customStyle="1" w:styleId="79">
    <w:name w:val="Body Text Char"/>
    <w:basedOn w:val="48"/>
    <w:link w:val="16"/>
    <w:qFormat/>
    <w:locked/>
    <w:uiPriority w:val="99"/>
    <w:rPr>
      <w:rFonts w:eastAsia="宋体" w:cs="Times New Roman"/>
      <w:kern w:val="2"/>
      <w:sz w:val="24"/>
      <w:lang w:val="en-US" w:eastAsia="zh-CN"/>
    </w:rPr>
  </w:style>
  <w:style w:type="character" w:customStyle="1" w:styleId="80">
    <w:name w:val="Plain Text Char"/>
    <w:basedOn w:val="48"/>
    <w:link w:val="22"/>
    <w:qFormat/>
    <w:locked/>
    <w:uiPriority w:val="99"/>
    <w:rPr>
      <w:rFonts w:ascii="Courier New" w:hAnsi="Courier New" w:eastAsia="宋体" w:cs="Times New Roman"/>
      <w:kern w:val="2"/>
      <w:sz w:val="21"/>
      <w:lang w:val="en-US" w:eastAsia="zh-CN"/>
    </w:rPr>
  </w:style>
  <w:style w:type="character" w:customStyle="1" w:styleId="81">
    <w:name w:val="Date Char"/>
    <w:basedOn w:val="48"/>
    <w:link w:val="24"/>
    <w:semiHidden/>
    <w:qFormat/>
    <w:locked/>
    <w:uiPriority w:val="99"/>
    <w:rPr>
      <w:rFonts w:cs="Times New Roman"/>
      <w:sz w:val="24"/>
      <w:szCs w:val="24"/>
    </w:rPr>
  </w:style>
  <w:style w:type="character" w:customStyle="1" w:styleId="82">
    <w:name w:val="Body Text Indent 2 Char"/>
    <w:basedOn w:val="48"/>
    <w:link w:val="25"/>
    <w:semiHidden/>
    <w:qFormat/>
    <w:locked/>
    <w:uiPriority w:val="99"/>
    <w:rPr>
      <w:rFonts w:cs="Times New Roman"/>
      <w:sz w:val="24"/>
      <w:szCs w:val="24"/>
    </w:rPr>
  </w:style>
  <w:style w:type="character" w:customStyle="1" w:styleId="83">
    <w:name w:val="Balloon Text Char"/>
    <w:basedOn w:val="48"/>
    <w:link w:val="26"/>
    <w:semiHidden/>
    <w:qFormat/>
    <w:locked/>
    <w:uiPriority w:val="99"/>
    <w:rPr>
      <w:rFonts w:cs="Times New Roman"/>
      <w:sz w:val="2"/>
    </w:rPr>
  </w:style>
  <w:style w:type="character" w:customStyle="1" w:styleId="84">
    <w:name w:val="Footer Char"/>
    <w:basedOn w:val="48"/>
    <w:link w:val="27"/>
    <w:semiHidden/>
    <w:qFormat/>
    <w:locked/>
    <w:uiPriority w:val="99"/>
    <w:rPr>
      <w:rFonts w:cs="Times New Roman"/>
      <w:sz w:val="18"/>
      <w:szCs w:val="18"/>
    </w:rPr>
  </w:style>
  <w:style w:type="character" w:customStyle="1" w:styleId="85">
    <w:name w:val="Header Char"/>
    <w:basedOn w:val="48"/>
    <w:link w:val="28"/>
    <w:semiHidden/>
    <w:qFormat/>
    <w:locked/>
    <w:uiPriority w:val="99"/>
    <w:rPr>
      <w:rFonts w:cs="Times New Roman"/>
      <w:sz w:val="18"/>
      <w:szCs w:val="18"/>
    </w:rPr>
  </w:style>
  <w:style w:type="character" w:customStyle="1" w:styleId="86">
    <w:name w:val="Footnote Text Char"/>
    <w:basedOn w:val="48"/>
    <w:link w:val="32"/>
    <w:semiHidden/>
    <w:qFormat/>
    <w:locked/>
    <w:uiPriority w:val="99"/>
    <w:rPr>
      <w:rFonts w:cs="Times New Roman"/>
      <w:sz w:val="18"/>
      <w:szCs w:val="18"/>
    </w:rPr>
  </w:style>
  <w:style w:type="character" w:customStyle="1" w:styleId="87">
    <w:name w:val="Body Text Indent 3 Char"/>
    <w:basedOn w:val="48"/>
    <w:link w:val="34"/>
    <w:semiHidden/>
    <w:qFormat/>
    <w:locked/>
    <w:uiPriority w:val="99"/>
    <w:rPr>
      <w:rFonts w:cs="Times New Roman"/>
      <w:sz w:val="16"/>
      <w:szCs w:val="16"/>
    </w:rPr>
  </w:style>
  <w:style w:type="character" w:customStyle="1" w:styleId="88">
    <w:name w:val="Body Text 2 Char"/>
    <w:basedOn w:val="48"/>
    <w:link w:val="38"/>
    <w:semiHidden/>
    <w:qFormat/>
    <w:locked/>
    <w:uiPriority w:val="99"/>
    <w:rPr>
      <w:rFonts w:cs="Times New Roman"/>
      <w:sz w:val="24"/>
      <w:szCs w:val="24"/>
    </w:rPr>
  </w:style>
  <w:style w:type="character" w:customStyle="1" w:styleId="89">
    <w:name w:val="HTML Preformatted Char"/>
    <w:basedOn w:val="48"/>
    <w:link w:val="39"/>
    <w:qFormat/>
    <w:locked/>
    <w:uiPriority w:val="99"/>
    <w:rPr>
      <w:rFonts w:ascii="宋体" w:eastAsia="宋体" w:cs="Times New Roman"/>
      <w:sz w:val="24"/>
    </w:rPr>
  </w:style>
  <w:style w:type="character" w:customStyle="1" w:styleId="90">
    <w:name w:val="Title Char"/>
    <w:basedOn w:val="48"/>
    <w:link w:val="43"/>
    <w:qFormat/>
    <w:locked/>
    <w:uiPriority w:val="99"/>
    <w:rPr>
      <w:rFonts w:ascii="Cambria" w:hAnsi="Cambria" w:cs="Times New Roman"/>
      <w:b/>
      <w:bCs/>
      <w:sz w:val="32"/>
      <w:szCs w:val="32"/>
    </w:rPr>
  </w:style>
  <w:style w:type="character" w:customStyle="1" w:styleId="91">
    <w:name w:val="Comment Subject Char"/>
    <w:basedOn w:val="77"/>
    <w:link w:val="44"/>
    <w:semiHidden/>
    <w:qFormat/>
    <w:locked/>
    <w:uiPriority w:val="99"/>
    <w:rPr>
      <w:b/>
      <w:bCs/>
      <w:szCs w:val="24"/>
    </w:rPr>
  </w:style>
  <w:style w:type="paragraph" w:customStyle="1" w:styleId="92">
    <w:name w:val="List Paragraph1"/>
    <w:basedOn w:val="1"/>
    <w:qFormat/>
    <w:uiPriority w:val="99"/>
    <w:pPr>
      <w:ind w:firstLine="420" w:firstLineChars="200"/>
    </w:pPr>
  </w:style>
  <w:style w:type="paragraph" w:customStyle="1" w:styleId="93">
    <w:name w:val="_Style 62"/>
    <w:basedOn w:val="1"/>
    <w:next w:val="1"/>
    <w:qFormat/>
    <w:uiPriority w:val="99"/>
    <w:pPr>
      <w:pBdr>
        <w:top w:val="single" w:color="auto" w:sz="6" w:space="1"/>
      </w:pBdr>
      <w:jc w:val="center"/>
    </w:pPr>
    <w:rPr>
      <w:rFonts w:ascii="Arial"/>
      <w:vanish/>
      <w:sz w:val="16"/>
    </w:rPr>
  </w:style>
  <w:style w:type="paragraph" w:customStyle="1" w:styleId="94">
    <w:name w:val="Blockquote"/>
    <w:basedOn w:val="1"/>
    <w:qFormat/>
    <w:uiPriority w:val="99"/>
    <w:pPr>
      <w:autoSpaceDE w:val="0"/>
      <w:autoSpaceDN w:val="0"/>
      <w:adjustRightInd w:val="0"/>
      <w:ind w:left="360" w:right="360"/>
      <w:jc w:val="left"/>
    </w:pPr>
    <w:rPr>
      <w:kern w:val="0"/>
      <w:sz w:val="24"/>
      <w:szCs w:val="20"/>
    </w:rPr>
  </w:style>
  <w:style w:type="paragraph" w:customStyle="1" w:styleId="95">
    <w:name w:val="表格"/>
    <w:basedOn w:val="1"/>
    <w:qFormat/>
    <w:uiPriority w:val="99"/>
    <w:pPr>
      <w:jc w:val="center"/>
      <w:textAlignment w:val="center"/>
    </w:pPr>
    <w:rPr>
      <w:rFonts w:ascii="华文细黑" w:hAnsi="华文细黑"/>
      <w:kern w:val="0"/>
      <w:szCs w:val="20"/>
    </w:rPr>
  </w:style>
  <w:style w:type="paragraph" w:customStyle="1" w:styleId="96">
    <w:name w:val="表格文字"/>
    <w:basedOn w:val="1"/>
    <w:qFormat/>
    <w:uiPriority w:val="99"/>
    <w:pPr>
      <w:adjustRightInd w:val="0"/>
      <w:spacing w:line="420" w:lineRule="atLeast"/>
      <w:jc w:val="left"/>
      <w:textAlignment w:val="baseline"/>
    </w:pPr>
    <w:rPr>
      <w:kern w:val="0"/>
      <w:szCs w:val="20"/>
    </w:rPr>
  </w:style>
  <w:style w:type="paragraph" w:customStyle="1" w:styleId="97">
    <w:name w:val="Char"/>
    <w:basedOn w:val="1"/>
    <w:next w:val="1"/>
    <w:qFormat/>
    <w:uiPriority w:val="99"/>
    <w:pPr>
      <w:widowControl/>
      <w:spacing w:line="360" w:lineRule="auto"/>
      <w:jc w:val="left"/>
    </w:pPr>
    <w:rPr>
      <w:kern w:val="0"/>
      <w:szCs w:val="20"/>
      <w:lang w:eastAsia="en-US"/>
    </w:rPr>
  </w:style>
  <w:style w:type="paragraph" w:customStyle="1" w:styleId="9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样式2"/>
    <w:basedOn w:val="5"/>
    <w:qFormat/>
    <w:uiPriority w:val="99"/>
  </w:style>
  <w:style w:type="paragraph" w:customStyle="1" w:styleId="100">
    <w:name w:val="Default Paragraph Char Char Char Char"/>
    <w:basedOn w:val="1"/>
    <w:next w:val="1"/>
    <w:qFormat/>
    <w:uiPriority w:val="99"/>
    <w:pPr>
      <w:spacing w:line="360" w:lineRule="auto"/>
    </w:pPr>
    <w:rPr>
      <w:szCs w:val="20"/>
    </w:rPr>
  </w:style>
  <w:style w:type="paragraph" w:customStyle="1" w:styleId="101">
    <w:name w:val="节标题"/>
    <w:basedOn w:val="1"/>
    <w:next w:val="1"/>
    <w:qFormat/>
    <w:uiPriority w:val="99"/>
    <w:pPr>
      <w:widowControl/>
      <w:spacing w:line="289" w:lineRule="atLeast"/>
      <w:jc w:val="center"/>
      <w:textAlignment w:val="baseline"/>
    </w:pPr>
    <w:rPr>
      <w:color w:val="000000"/>
      <w:kern w:val="0"/>
      <w:sz w:val="28"/>
      <w:szCs w:val="20"/>
      <w:u w:color="000000"/>
    </w:rPr>
  </w:style>
  <w:style w:type="paragraph" w:customStyle="1" w:styleId="102">
    <w:name w:val="默认段落字体 Para Char Char Char Char"/>
    <w:basedOn w:val="1"/>
    <w:qFormat/>
    <w:uiPriority w:val="99"/>
  </w:style>
  <w:style w:type="paragraph" w:customStyle="1" w:styleId="103">
    <w:name w:val="样式 标题 1 + 黑体 五号"/>
    <w:basedOn w:val="3"/>
    <w:qFormat/>
    <w:uiPriority w:val="99"/>
    <w:pPr>
      <w:jc w:val="left"/>
    </w:pPr>
    <w:rPr>
      <w:rFonts w:ascii="黑体" w:hAnsi="黑体" w:eastAsia="黑体"/>
      <w:sz w:val="21"/>
    </w:rPr>
  </w:style>
  <w:style w:type="paragraph" w:customStyle="1" w:styleId="104">
    <w:name w:val="样式4"/>
    <w:basedOn w:val="5"/>
    <w:qFormat/>
    <w:uiPriority w:val="99"/>
  </w:style>
  <w:style w:type="paragraph" w:customStyle="1" w:styleId="105">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06">
    <w:name w:val="列出段落1"/>
    <w:basedOn w:val="1"/>
    <w:qFormat/>
    <w:uiPriority w:val="99"/>
    <w:pPr>
      <w:ind w:firstLine="200" w:firstLineChars="200"/>
    </w:pPr>
  </w:style>
  <w:style w:type="paragraph" w:customStyle="1" w:styleId="107">
    <w:name w:val="p0 New"/>
    <w:basedOn w:val="1"/>
    <w:qFormat/>
    <w:uiPriority w:val="99"/>
    <w:pPr>
      <w:widowControl/>
      <w:jc w:val="left"/>
    </w:pPr>
    <w:rPr>
      <w:rFonts w:ascii="宋体" w:hAnsi="宋体" w:cs="宋体"/>
      <w:kern w:val="0"/>
      <w:sz w:val="18"/>
      <w:szCs w:val="18"/>
    </w:rPr>
  </w:style>
  <w:style w:type="paragraph" w:customStyle="1" w:styleId="108">
    <w:name w:val="样式 标题 1 + 黑体 三号 非加粗 居中 段前: 6 磅 段后: 6 磅 行距: 固定值 20 磅"/>
    <w:basedOn w:val="3"/>
    <w:qFormat/>
    <w:uiPriority w:val="99"/>
    <w:pPr>
      <w:spacing w:line="400" w:lineRule="exact"/>
    </w:pPr>
    <w:rPr>
      <w:rFonts w:ascii="黑体" w:hAnsi="黑体" w:eastAsia="黑体" w:cs="宋体"/>
      <w:b w:val="0"/>
      <w:bCs w:val="0"/>
      <w:sz w:val="32"/>
      <w:szCs w:val="20"/>
    </w:rPr>
  </w:style>
  <w:style w:type="paragraph" w:customStyle="1" w:styleId="109">
    <w:name w:val="_Style 78"/>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Char1"/>
    <w:basedOn w:val="1"/>
    <w:qFormat/>
    <w:uiPriority w:val="99"/>
    <w:pPr>
      <w:tabs>
        <w:tab w:val="left" w:pos="360"/>
      </w:tabs>
    </w:pPr>
    <w:rPr>
      <w:sz w:val="24"/>
    </w:rPr>
  </w:style>
  <w:style w:type="paragraph" w:customStyle="1" w:styleId="111">
    <w:name w:val="样式1"/>
    <w:basedOn w:val="5"/>
    <w:qFormat/>
    <w:uiPriority w:val="99"/>
  </w:style>
  <w:style w:type="paragraph" w:customStyle="1" w:styleId="112">
    <w:name w:val="Char Char Char Char Char Char Char Char Char Char Char Char Char"/>
    <w:basedOn w:val="1"/>
    <w:qFormat/>
    <w:uiPriority w:val="99"/>
  </w:style>
  <w:style w:type="paragraph" w:customStyle="1" w:styleId="113">
    <w:name w:val="p"/>
    <w:basedOn w:val="1"/>
    <w:qFormat/>
    <w:uiPriority w:val="99"/>
    <w:rPr>
      <w:rFonts w:ascii="宋体"/>
      <w:sz w:val="24"/>
    </w:rPr>
  </w:style>
  <w:style w:type="paragraph" w:customStyle="1" w:styleId="114">
    <w:name w:val="Char Char Char Char"/>
    <w:basedOn w:val="1"/>
    <w:qFormat/>
    <w:uiPriority w:val="99"/>
  </w:style>
  <w:style w:type="paragraph" w:customStyle="1" w:styleId="115">
    <w:name w:val="_Style 84"/>
    <w:basedOn w:val="1"/>
    <w:next w:val="1"/>
    <w:qFormat/>
    <w:uiPriority w:val="99"/>
    <w:pPr>
      <w:pBdr>
        <w:bottom w:val="single" w:color="auto" w:sz="6" w:space="1"/>
      </w:pBdr>
      <w:jc w:val="center"/>
    </w:pPr>
    <w:rPr>
      <w:rFonts w:ascii="Arial"/>
      <w:vanish/>
      <w:sz w:val="16"/>
    </w:rPr>
  </w:style>
  <w:style w:type="paragraph" w:customStyle="1" w:styleId="116">
    <w:name w:val="1"/>
    <w:basedOn w:val="1"/>
    <w:next w:val="1"/>
    <w:qFormat/>
    <w:uiPriority w:val="99"/>
  </w:style>
  <w:style w:type="paragraph" w:customStyle="1" w:styleId="117">
    <w:name w:val="p15"/>
    <w:qFormat/>
    <w:uiPriority w:val="99"/>
    <w:pPr>
      <w:jc w:val="both"/>
    </w:pPr>
    <w:rPr>
      <w:rFonts w:ascii="宋体" w:hAnsi="Times New Roman" w:eastAsia="宋体" w:cs="宋体"/>
      <w:kern w:val="0"/>
      <w:sz w:val="21"/>
      <w:szCs w:val="21"/>
      <w:lang w:val="en-US" w:eastAsia="zh-CN" w:bidi="ar-SA"/>
    </w:rPr>
  </w:style>
  <w:style w:type="paragraph" w:customStyle="1" w:styleId="118">
    <w:name w:val="样式 标题 2 + Times New Roman 四号 非加粗 段前: 5 磅 段后: 0 磅 行距: 固定值 20..."/>
    <w:basedOn w:val="4"/>
    <w:qFormat/>
    <w:uiPriority w:val="99"/>
    <w:pPr>
      <w:spacing w:line="400" w:lineRule="exact"/>
    </w:pPr>
    <w:rPr>
      <w:rFonts w:ascii="Times New Roman" w:hAnsi="Times New Roman" w:cs="宋体"/>
      <w:b w:val="0"/>
      <w:bCs w:val="0"/>
      <w:sz w:val="28"/>
      <w:szCs w:val="20"/>
    </w:rPr>
  </w:style>
  <w:style w:type="paragraph" w:customStyle="1" w:styleId="119">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20">
    <w:name w:val="p0"/>
    <w:basedOn w:val="1"/>
    <w:qFormat/>
    <w:uiPriority w:val="99"/>
    <w:pPr>
      <w:widowControl/>
    </w:pPr>
    <w:rPr>
      <w:kern w:val="0"/>
      <w:szCs w:val="21"/>
    </w:rPr>
  </w:style>
  <w:style w:type="paragraph" w:customStyle="1" w:styleId="121">
    <w:name w:val="样式3"/>
    <w:basedOn w:val="5"/>
    <w:qFormat/>
    <w:uiPriority w:val="99"/>
  </w:style>
  <w:style w:type="paragraph" w:customStyle="1" w:styleId="122">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123">
    <w:name w:val="Char Char Char Char Char Char Char Char Char Char Char Char Char1"/>
    <w:basedOn w:val="1"/>
    <w:qFormat/>
    <w:uiPriority w:val="99"/>
  </w:style>
  <w:style w:type="paragraph" w:customStyle="1" w:styleId="124">
    <w:name w:val="Char4"/>
    <w:basedOn w:val="1"/>
    <w:qFormat/>
    <w:uiPriority w:val="99"/>
    <w:pPr>
      <w:widowControl/>
      <w:spacing w:line="360" w:lineRule="auto"/>
      <w:ind w:firstLine="200" w:firstLineChars="200"/>
      <w:textAlignment w:val="baseline"/>
    </w:pPr>
    <w:rPr>
      <w:color w:val="000000"/>
      <w:kern w:val="0"/>
      <w:szCs w:val="20"/>
      <w:u w:color="000000"/>
    </w:rPr>
  </w:style>
  <w:style w:type="paragraph" w:customStyle="1" w:styleId="125">
    <w:name w:val="Normal1"/>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26">
    <w:name w:val="first-child"/>
    <w:basedOn w:val="48"/>
    <w:qFormat/>
    <w:uiPriority w:val="99"/>
    <w:rPr>
      <w:rFonts w:cs="Times New Roman"/>
    </w:rPr>
  </w:style>
  <w:style w:type="character" w:customStyle="1" w:styleId="127">
    <w:name w:val="Char Char Char Char Char Char"/>
    <w:qFormat/>
    <w:uiPriority w:val="99"/>
    <w:rPr>
      <w:rFonts w:ascii="Arial" w:hAnsi="Arial" w:eastAsia="黑体"/>
      <w:b/>
      <w:kern w:val="2"/>
      <w:sz w:val="32"/>
      <w:lang w:val="en-US" w:eastAsia="zh-CN"/>
    </w:rPr>
  </w:style>
  <w:style w:type="character" w:customStyle="1" w:styleId="128">
    <w:name w:val="l11"/>
    <w:qFormat/>
    <w:uiPriority w:val="99"/>
    <w:rPr>
      <w:color w:val="999999"/>
    </w:rPr>
  </w:style>
  <w:style w:type="character" w:customStyle="1" w:styleId="129">
    <w:name w:val="Char Char"/>
    <w:qFormat/>
    <w:uiPriority w:val="99"/>
    <w:rPr>
      <w:rFonts w:ascii="Arial" w:hAnsi="Arial" w:eastAsia="黑体"/>
      <w:b/>
      <w:kern w:val="2"/>
      <w:sz w:val="32"/>
      <w:lang w:val="en-US" w:eastAsia="zh-CN"/>
    </w:rPr>
  </w:style>
  <w:style w:type="character" w:customStyle="1" w:styleId="130">
    <w:name w:val="Char Char5"/>
    <w:qFormat/>
    <w:uiPriority w:val="99"/>
    <w:rPr>
      <w:rFonts w:ascii="Arial" w:hAnsi="Arial" w:eastAsia="黑体"/>
      <w:b/>
      <w:kern w:val="2"/>
      <w:sz w:val="32"/>
    </w:rPr>
  </w:style>
  <w:style w:type="character" w:customStyle="1" w:styleId="131">
    <w:name w:val="msg-box28"/>
    <w:basedOn w:val="48"/>
    <w:qFormat/>
    <w:uiPriority w:val="99"/>
    <w:rPr>
      <w:rFonts w:cs="Times New Roman"/>
    </w:rPr>
  </w:style>
  <w:style w:type="character" w:customStyle="1" w:styleId="132">
    <w:name w:val="img_title6"/>
    <w:qFormat/>
    <w:uiPriority w:val="99"/>
    <w:rPr>
      <w:vanish/>
    </w:rPr>
  </w:style>
  <w:style w:type="character" w:customStyle="1" w:styleId="133">
    <w:name w:val="tit12"/>
    <w:qFormat/>
    <w:uiPriority w:val="99"/>
    <w:rPr>
      <w:color w:val="04A06C"/>
    </w:rPr>
  </w:style>
  <w:style w:type="character" w:customStyle="1" w:styleId="134">
    <w:name w:val="Char Char2"/>
    <w:qFormat/>
    <w:uiPriority w:val="99"/>
    <w:rPr>
      <w:rFonts w:eastAsia="宋体"/>
      <w:kern w:val="2"/>
      <w:sz w:val="24"/>
      <w:lang w:val="en-US" w:eastAsia="zh-CN"/>
    </w:rPr>
  </w:style>
  <w:style w:type="character" w:customStyle="1" w:styleId="135">
    <w:name w:val="nostart"/>
    <w:qFormat/>
    <w:uiPriority w:val="99"/>
    <w:rPr>
      <w:color w:val="FF0000"/>
    </w:rPr>
  </w:style>
  <w:style w:type="character" w:customStyle="1" w:styleId="136">
    <w:name w:val="nostart3"/>
    <w:basedOn w:val="48"/>
    <w:qFormat/>
    <w:uiPriority w:val="99"/>
    <w:rPr>
      <w:rFonts w:cs="Times New Roman"/>
    </w:rPr>
  </w:style>
  <w:style w:type="character" w:customStyle="1" w:styleId="137">
    <w:name w:val="img4"/>
    <w:basedOn w:val="48"/>
    <w:qFormat/>
    <w:uiPriority w:val="99"/>
    <w:rPr>
      <w:rFonts w:cs="Times New Roman"/>
    </w:rPr>
  </w:style>
  <w:style w:type="character" w:customStyle="1" w:styleId="138">
    <w:name w:val="tit11"/>
    <w:qFormat/>
    <w:uiPriority w:val="99"/>
    <w:rPr>
      <w:color w:val="B60000"/>
    </w:rPr>
  </w:style>
  <w:style w:type="character" w:customStyle="1" w:styleId="139">
    <w:name w:val="over"/>
    <w:qFormat/>
    <w:uiPriority w:val="99"/>
    <w:rPr>
      <w:color w:val="B60000"/>
    </w:rPr>
  </w:style>
  <w:style w:type="character" w:customStyle="1" w:styleId="140">
    <w:name w:val="l6"/>
    <w:qFormat/>
    <w:uiPriority w:val="99"/>
    <w:rPr>
      <w:color w:val="999999"/>
    </w:rPr>
  </w:style>
  <w:style w:type="character" w:customStyle="1" w:styleId="141">
    <w:name w:val="datetime"/>
    <w:qFormat/>
    <w:uiPriority w:val="99"/>
    <w:rPr>
      <w:rFonts w:ascii="Arial" w:hAnsi="Arial"/>
      <w:color w:val="999999"/>
      <w:sz w:val="21"/>
    </w:rPr>
  </w:style>
  <w:style w:type="character" w:customStyle="1" w:styleId="142">
    <w:name w:val="txt1"/>
    <w:basedOn w:val="48"/>
    <w:qFormat/>
    <w:uiPriority w:val="99"/>
    <w:rPr>
      <w:rFonts w:cs="Times New Roman"/>
    </w:rPr>
  </w:style>
  <w:style w:type="character" w:customStyle="1" w:styleId="143">
    <w:name w:val="starting1"/>
    <w:qFormat/>
    <w:uiPriority w:val="99"/>
    <w:rPr>
      <w:color w:val="339900"/>
    </w:rPr>
  </w:style>
  <w:style w:type="character" w:customStyle="1" w:styleId="144">
    <w:name w:val="starting2"/>
    <w:qFormat/>
    <w:uiPriority w:val="99"/>
    <w:rPr>
      <w:color w:val="B60000"/>
    </w:rPr>
  </w:style>
  <w:style w:type="character" w:customStyle="1" w:styleId="145">
    <w:name w:val="red"/>
    <w:qFormat/>
    <w:uiPriority w:val="99"/>
    <w:rPr>
      <w:rFonts w:ascii="Arial" w:hAnsi="Arial"/>
      <w:color w:val="E50000"/>
    </w:rPr>
  </w:style>
  <w:style w:type="character" w:customStyle="1" w:styleId="146">
    <w:name w:val="Char Char4"/>
    <w:qFormat/>
    <w:uiPriority w:val="99"/>
    <w:rPr>
      <w:rFonts w:eastAsia="宋体"/>
      <w:b/>
      <w:kern w:val="44"/>
      <w:sz w:val="44"/>
      <w:lang w:val="en-US" w:eastAsia="zh-CN"/>
    </w:rPr>
  </w:style>
  <w:style w:type="character" w:customStyle="1" w:styleId="147">
    <w:name w:val="font161"/>
    <w:qFormat/>
    <w:uiPriority w:val="99"/>
    <w:rPr>
      <w:b/>
      <w:sz w:val="32"/>
    </w:rPr>
  </w:style>
  <w:style w:type="character" w:customStyle="1" w:styleId="148">
    <w:name w:val="Char Char8"/>
    <w:qFormat/>
    <w:uiPriority w:val="99"/>
    <w:rPr>
      <w:rFonts w:ascii="Arial" w:hAnsi="Arial" w:eastAsia="黑体"/>
      <w:b/>
      <w:kern w:val="2"/>
      <w:sz w:val="32"/>
      <w:lang w:val="en-US" w:eastAsia="zh-CN"/>
    </w:rPr>
  </w:style>
  <w:style w:type="character" w:customStyle="1" w:styleId="149">
    <w:name w:val="msg-box29"/>
    <w:basedOn w:val="48"/>
    <w:qFormat/>
    <w:uiPriority w:val="99"/>
    <w:rPr>
      <w:rFonts w:cs="Times New Roman"/>
    </w:rPr>
  </w:style>
  <w:style w:type="character" w:customStyle="1" w:styleId="150">
    <w:name w:val="over2"/>
    <w:qFormat/>
    <w:uiPriority w:val="99"/>
    <w:rPr>
      <w:color w:val="999999"/>
    </w:rPr>
  </w:style>
  <w:style w:type="character" w:customStyle="1" w:styleId="151">
    <w:name w:val="img_title7"/>
    <w:qFormat/>
    <w:uiPriority w:val="99"/>
    <w:rPr>
      <w:vanish/>
    </w:rPr>
  </w:style>
  <w:style w:type="character" w:customStyle="1" w:styleId="152">
    <w:name w:val="l7"/>
    <w:qFormat/>
    <w:uiPriority w:val="99"/>
    <w:rPr>
      <w:color w:val="999999"/>
    </w:rPr>
  </w:style>
  <w:style w:type="character" w:customStyle="1" w:styleId="153">
    <w:name w:val="l51"/>
    <w:qFormat/>
    <w:uiPriority w:val="99"/>
    <w:rPr>
      <w:color w:val="999999"/>
    </w:rPr>
  </w:style>
  <w:style w:type="character" w:customStyle="1" w:styleId="154">
    <w:name w:val="num81"/>
    <w:basedOn w:val="48"/>
    <w:qFormat/>
    <w:uiPriority w:val="99"/>
    <w:rPr>
      <w:rFonts w:cs="Times New Roman"/>
    </w:rPr>
  </w:style>
  <w:style w:type="character" w:customStyle="1" w:styleId="155">
    <w:name w:val="Char Char1"/>
    <w:qFormat/>
    <w:uiPriority w:val="99"/>
    <w:rPr>
      <w:rFonts w:eastAsia="宋体"/>
      <w:kern w:val="2"/>
      <w:sz w:val="24"/>
      <w:lang w:val="en-US" w:eastAsia="zh-CN"/>
    </w:rPr>
  </w:style>
  <w:style w:type="character" w:customStyle="1" w:styleId="156">
    <w:name w:val="zs"/>
    <w:qFormat/>
    <w:uiPriority w:val="99"/>
    <w:rPr>
      <w:color w:val="8D744B"/>
      <w:sz w:val="18"/>
    </w:rPr>
  </w:style>
  <w:style w:type="character" w:customStyle="1" w:styleId="157">
    <w:name w:val="bigfont"/>
    <w:basedOn w:val="48"/>
    <w:qFormat/>
    <w:uiPriority w:val="99"/>
    <w:rPr>
      <w:rFonts w:cs="Times New Roman"/>
    </w:rPr>
  </w:style>
  <w:style w:type="character" w:customStyle="1" w:styleId="158">
    <w:name w:val="txt"/>
    <w:qFormat/>
    <w:uiPriority w:val="99"/>
    <w:rPr>
      <w:color w:val="C0C0C0"/>
    </w:rPr>
  </w:style>
  <w:style w:type="character" w:customStyle="1" w:styleId="159">
    <w:name w:val="jg"/>
    <w:basedOn w:val="48"/>
    <w:qFormat/>
    <w:uiPriority w:val="99"/>
    <w:rPr>
      <w:rFonts w:cs="Times New Roman"/>
    </w:rPr>
  </w:style>
  <w:style w:type="character" w:customStyle="1" w:styleId="160">
    <w:name w:val="17"/>
    <w:qFormat/>
    <w:uiPriority w:val="99"/>
    <w:rPr>
      <w:rFonts w:ascii="仿宋_GB2312" w:eastAsia="仿宋_GB2312"/>
      <w:color w:val="auto"/>
      <w:sz w:val="28"/>
      <w:u w:val="single"/>
    </w:rPr>
  </w:style>
  <w:style w:type="character" w:customStyle="1" w:styleId="161">
    <w:name w:val="job"/>
    <w:basedOn w:val="48"/>
    <w:qFormat/>
    <w:uiPriority w:val="99"/>
    <w:rPr>
      <w:rFonts w:cs="Times New Roman"/>
    </w:rPr>
  </w:style>
  <w:style w:type="character" w:customStyle="1" w:styleId="162">
    <w:name w:val="job1"/>
    <w:basedOn w:val="48"/>
    <w:qFormat/>
    <w:uiPriority w:val="99"/>
    <w:rPr>
      <w:rFonts w:cs="Times New Roman"/>
    </w:rPr>
  </w:style>
  <w:style w:type="character" w:customStyle="1" w:styleId="163">
    <w:name w:val="标题 2 Char"/>
    <w:qFormat/>
    <w:uiPriority w:val="99"/>
    <w:rPr>
      <w:rFonts w:ascii="Arial" w:hAnsi="Arial" w:eastAsia="黑体"/>
      <w:b/>
      <w:kern w:val="2"/>
      <w:sz w:val="32"/>
      <w:lang w:val="en-US" w:eastAsia="zh-CN"/>
    </w:rPr>
  </w:style>
  <w:style w:type="character" w:customStyle="1" w:styleId="164">
    <w:name w:val="p05"/>
    <w:basedOn w:val="48"/>
    <w:qFormat/>
    <w:uiPriority w:val="99"/>
    <w:rPr>
      <w:rFonts w:cs="Times New Roman"/>
    </w:rPr>
  </w:style>
  <w:style w:type="character" w:customStyle="1" w:styleId="165">
    <w:name w:val="Char Char7"/>
    <w:qFormat/>
    <w:uiPriority w:val="99"/>
    <w:rPr>
      <w:rFonts w:ascii="Arial" w:hAnsi="Arial" w:eastAsia="黑体"/>
      <w:b/>
      <w:kern w:val="2"/>
      <w:sz w:val="32"/>
      <w:lang w:val="en-US" w:eastAsia="zh-CN"/>
    </w:rPr>
  </w:style>
  <w:style w:type="character" w:customStyle="1" w:styleId="166">
    <w:name w:val="over3"/>
    <w:basedOn w:val="48"/>
    <w:qFormat/>
    <w:uiPriority w:val="99"/>
    <w:rPr>
      <w:rFonts w:cs="Times New Roman"/>
    </w:rPr>
  </w:style>
  <w:style w:type="character" w:customStyle="1" w:styleId="167">
    <w:name w:val="Char Char3"/>
    <w:qFormat/>
    <w:uiPriority w:val="99"/>
    <w:rPr>
      <w:rFonts w:ascii="Arial" w:hAnsi="Arial" w:eastAsia="黑体"/>
      <w:b/>
      <w:kern w:val="2"/>
      <w:sz w:val="32"/>
      <w:lang w:val="en-US" w:eastAsia="zh-CN"/>
    </w:rPr>
  </w:style>
  <w:style w:type="character" w:customStyle="1" w:styleId="168">
    <w:name w:val="Char Char71"/>
    <w:qFormat/>
    <w:uiPriority w:val="99"/>
    <w:rPr>
      <w:rFonts w:ascii="Arial" w:hAnsi="Arial" w:eastAsia="黑体"/>
      <w:b/>
      <w:kern w:val="2"/>
      <w:sz w:val="32"/>
      <w:lang w:val="en-US" w:eastAsia="zh-CN"/>
    </w:rPr>
  </w:style>
  <w:style w:type="character" w:customStyle="1" w:styleId="169">
    <w:name w:val="num51"/>
    <w:basedOn w:val="48"/>
    <w:qFormat/>
    <w:uiPriority w:val="99"/>
    <w:rPr>
      <w:rFonts w:cs="Times New Roman"/>
    </w:rPr>
  </w:style>
  <w:style w:type="character" w:customStyle="1" w:styleId="170">
    <w:name w:val="Char Char Char"/>
    <w:qFormat/>
    <w:uiPriority w:val="99"/>
    <w:rPr>
      <w:rFonts w:eastAsia="宋体"/>
      <w:b/>
      <w:kern w:val="44"/>
      <w:sz w:val="44"/>
      <w:lang w:val="en-US" w:eastAsia="zh-CN"/>
    </w:rPr>
  </w:style>
  <w:style w:type="character" w:customStyle="1" w:styleId="171">
    <w:name w:val="msg-box31"/>
    <w:basedOn w:val="48"/>
    <w:qFormat/>
    <w:uiPriority w:val="99"/>
    <w:rPr>
      <w:rFonts w:cs="Times New Roman"/>
    </w:rPr>
  </w:style>
  <w:style w:type="character" w:customStyle="1" w:styleId="172">
    <w:name w:val="msg-box30"/>
    <w:basedOn w:val="48"/>
    <w:qFormat/>
    <w:uiPriority w:val="99"/>
    <w:rPr>
      <w:rFonts w:cs="Times New Roman"/>
    </w:rPr>
  </w:style>
  <w:style w:type="character" w:customStyle="1" w:styleId="173">
    <w:name w:val="标题 1 Char Char"/>
    <w:qFormat/>
    <w:uiPriority w:val="99"/>
    <w:rPr>
      <w:rFonts w:eastAsia="宋体"/>
      <w:b/>
      <w:kern w:val="44"/>
      <w:sz w:val="44"/>
      <w:lang w:val="en-US" w:eastAsia="zh-CN"/>
    </w:rPr>
  </w:style>
  <w:style w:type="character" w:customStyle="1" w:styleId="174">
    <w:name w:val="c1"/>
    <w:basedOn w:val="48"/>
    <w:qFormat/>
    <w:uiPriority w:val="99"/>
    <w:rPr>
      <w:rFonts w:cs="Times New Roman"/>
    </w:rPr>
  </w:style>
  <w:style w:type="character" w:customStyle="1" w:styleId="175">
    <w:name w:val="纯文本 Char1"/>
    <w:qFormat/>
    <w:uiPriority w:val="99"/>
    <w:rPr>
      <w:rFonts w:ascii="Courier New" w:hAnsi="Courier New" w:eastAsia="宋体"/>
      <w:kern w:val="2"/>
      <w:sz w:val="21"/>
      <w:lang w:val="en-US" w:eastAsia="zh-CN"/>
    </w:rPr>
  </w:style>
  <w:style w:type="character" w:customStyle="1" w:styleId="176">
    <w:name w:val="Char Char Char1"/>
    <w:qFormat/>
    <w:uiPriority w:val="99"/>
    <w:rPr>
      <w:rFonts w:ascii="Arial" w:hAnsi="Arial" w:eastAsia="黑体"/>
      <w:b/>
      <w:kern w:val="2"/>
      <w:sz w:val="32"/>
      <w:lang w:val="en-US" w:eastAsia="zh-CN"/>
    </w:rPr>
  </w:style>
  <w:style w:type="character" w:customStyle="1" w:styleId="177">
    <w:name w:val="l3"/>
    <w:qFormat/>
    <w:uiPriority w:val="99"/>
    <w:rPr>
      <w:color w:val="999999"/>
    </w:rPr>
  </w:style>
  <w:style w:type="character" w:customStyle="1" w:styleId="178">
    <w:name w:val="tit14"/>
    <w:qFormat/>
    <w:uiPriority w:val="99"/>
    <w:rPr>
      <w:color w:val="B60000"/>
    </w:rPr>
  </w:style>
  <w:style w:type="character" w:customStyle="1" w:styleId="179">
    <w:name w:val="tit10"/>
    <w:qFormat/>
    <w:uiPriority w:val="99"/>
    <w:rPr>
      <w:color w:val="B60000"/>
    </w:rPr>
  </w:style>
  <w:style w:type="character" w:customStyle="1" w:styleId="180">
    <w:name w:val="l21"/>
    <w:qFormat/>
    <w:uiPriority w:val="99"/>
    <w:rPr>
      <w:color w:val="999999"/>
    </w:rPr>
  </w:style>
  <w:style w:type="character" w:customStyle="1" w:styleId="181">
    <w:name w:val="num71"/>
    <w:basedOn w:val="48"/>
    <w:qFormat/>
    <w:uiPriority w:val="99"/>
    <w:rPr>
      <w:rFonts w:cs="Times New Roman"/>
    </w:rPr>
  </w:style>
  <w:style w:type="character" w:customStyle="1" w:styleId="182">
    <w:name w:val="标题 2 Char Char"/>
    <w:qFormat/>
    <w:uiPriority w:val="99"/>
    <w:rPr>
      <w:rFonts w:ascii="Arial" w:hAnsi="Arial" w:eastAsia="黑体"/>
      <w:b/>
      <w:kern w:val="2"/>
      <w:sz w:val="32"/>
      <w:lang w:val="en-US" w:eastAsia="zh-CN"/>
    </w:rPr>
  </w:style>
  <w:style w:type="character" w:customStyle="1" w:styleId="183">
    <w:name w:val="buvis"/>
    <w:qFormat/>
    <w:uiPriority w:val="99"/>
    <w:rPr>
      <w:color w:val="999999"/>
    </w:rPr>
  </w:style>
  <w:style w:type="character" w:customStyle="1" w:styleId="184">
    <w:name w:val="name"/>
    <w:qFormat/>
    <w:uiPriority w:val="99"/>
    <w:rPr>
      <w:color w:val="444444"/>
      <w:sz w:val="21"/>
    </w:rPr>
  </w:style>
  <w:style w:type="character" w:customStyle="1" w:styleId="185">
    <w:name w:val="layui-this"/>
    <w:qFormat/>
    <w:uiPriority w:val="99"/>
    <w:rPr>
      <w:bdr w:val="single" w:color="EEEEEE" w:sz="6" w:space="0"/>
      <w:shd w:val="clear" w:color="auto" w:fill="FFFFFF"/>
    </w:rPr>
  </w:style>
  <w:style w:type="character" w:customStyle="1" w:styleId="186">
    <w:name w:val="标题 2 Char1"/>
    <w:qFormat/>
    <w:uiPriority w:val="99"/>
    <w:rPr>
      <w:rFonts w:ascii="Arial" w:hAnsi="Arial" w:eastAsia="黑体"/>
      <w:b/>
      <w:kern w:val="2"/>
      <w:sz w:val="32"/>
      <w:lang w:val="en-US" w:eastAsia="zh-CN"/>
    </w:rPr>
  </w:style>
  <w:style w:type="character" w:customStyle="1" w:styleId="187">
    <w:name w:val="zw"/>
    <w:qFormat/>
    <w:uiPriority w:val="99"/>
    <w:rPr>
      <w:color w:val="BD1E22"/>
      <w:sz w:val="22"/>
    </w:rPr>
  </w:style>
  <w:style w:type="character" w:customStyle="1" w:styleId="188">
    <w:name w:val="name1"/>
    <w:qFormat/>
    <w:uiPriority w:val="99"/>
    <w:rPr>
      <w:color w:val="695435"/>
      <w:sz w:val="24"/>
    </w:rPr>
  </w:style>
  <w:style w:type="character" w:customStyle="1" w:styleId="189">
    <w:name w:val="num61"/>
    <w:basedOn w:val="48"/>
    <w:qFormat/>
    <w:uiPriority w:val="99"/>
    <w:rPr>
      <w:rFonts w:cs="Times New Roman"/>
    </w:rPr>
  </w:style>
  <w:style w:type="character" w:customStyle="1" w:styleId="190">
    <w:name w:val="mesg-myd"/>
    <w:qFormat/>
    <w:uiPriority w:val="99"/>
    <w:rPr>
      <w:color w:val="EE0000"/>
    </w:rPr>
  </w:style>
  <w:style w:type="character" w:customStyle="1" w:styleId="191">
    <w:name w:val="c2"/>
    <w:basedOn w:val="48"/>
    <w:qFormat/>
    <w:uiPriority w:val="99"/>
    <w:rPr>
      <w:rFonts w:cs="Times New Roman"/>
    </w:rPr>
  </w:style>
  <w:style w:type="character" w:customStyle="1" w:styleId="192">
    <w:name w:val="c3"/>
    <w:basedOn w:val="48"/>
    <w:qFormat/>
    <w:uiPriority w:val="99"/>
    <w:rPr>
      <w:rFonts w:cs="Times New Roman"/>
    </w:rPr>
  </w:style>
  <w:style w:type="character" w:customStyle="1" w:styleId="193">
    <w:name w:val="over1"/>
    <w:qFormat/>
    <w:uiPriority w:val="99"/>
    <w:rPr>
      <w:color w:val="B60000"/>
    </w:rPr>
  </w:style>
  <w:style w:type="character" w:customStyle="1" w:styleId="194">
    <w:name w:val="tit13"/>
    <w:qFormat/>
    <w:uiPriority w:val="99"/>
    <w:rPr>
      <w:color w:val="FFFFFF"/>
    </w:rPr>
  </w:style>
  <w:style w:type="character" w:customStyle="1" w:styleId="195">
    <w:name w:val="Char Char21"/>
    <w:qFormat/>
    <w:uiPriority w:val="99"/>
    <w:rPr>
      <w:rFonts w:eastAsia="宋体"/>
      <w:kern w:val="2"/>
      <w:sz w:val="24"/>
      <w:lang w:val="en-US" w:eastAsia="zh-CN"/>
    </w:rPr>
  </w:style>
  <w:style w:type="character" w:customStyle="1" w:styleId="196">
    <w:name w:val="l41"/>
    <w:qFormat/>
    <w:uiPriority w:val="99"/>
    <w:rPr>
      <w:color w:val="999999"/>
    </w:rPr>
  </w:style>
  <w:style w:type="character" w:customStyle="1" w:styleId="197">
    <w:name w:val="16"/>
    <w:qFormat/>
    <w:uiPriority w:val="99"/>
    <w:rPr>
      <w:rFonts w:ascii="仿宋_GB2312" w:eastAsia="仿宋_GB2312"/>
      <w:color w:val="auto"/>
      <w:sz w:val="28"/>
    </w:rPr>
  </w:style>
  <w:style w:type="character" w:customStyle="1" w:styleId="198">
    <w:name w:val="num31"/>
    <w:basedOn w:val="48"/>
    <w:qFormat/>
    <w:uiPriority w:val="99"/>
    <w:rPr>
      <w:rFonts w:cs="Times New Roman"/>
    </w:rPr>
  </w:style>
  <w:style w:type="character" w:customStyle="1" w:styleId="199">
    <w:name w:val="starting4"/>
    <w:basedOn w:val="48"/>
    <w:qFormat/>
    <w:uiPriority w:val="99"/>
    <w:rPr>
      <w:rFonts w:cs="Times New Roman"/>
    </w:rPr>
  </w:style>
  <w:style w:type="character" w:customStyle="1" w:styleId="200">
    <w:name w:val="bsharetext"/>
    <w:basedOn w:val="48"/>
    <w:qFormat/>
    <w:uiPriority w:val="99"/>
    <w:rPr>
      <w:rFonts w:cs="Times New Roman"/>
    </w:rPr>
  </w:style>
  <w:style w:type="character" w:customStyle="1" w:styleId="201">
    <w:name w:val="unit"/>
    <w:qFormat/>
    <w:uiPriority w:val="99"/>
    <w:rPr>
      <w:color w:val="999999"/>
    </w:rPr>
  </w:style>
  <w:style w:type="character" w:customStyle="1" w:styleId="202">
    <w:name w:val="nostart2"/>
    <w:qFormat/>
    <w:uiPriority w:val="99"/>
    <w:rPr>
      <w:color w:val="B60000"/>
    </w:rPr>
  </w:style>
  <w:style w:type="character" w:customStyle="1" w:styleId="203">
    <w:name w:val="纯文本 Char"/>
    <w:qFormat/>
    <w:uiPriority w:val="99"/>
    <w:rPr>
      <w:rFonts w:ascii="Courier New" w:hAnsi="Courier New" w:eastAsia="宋体"/>
      <w:kern w:val="2"/>
      <w:sz w:val="21"/>
      <w:lang w:val="en-US" w:eastAsia="zh-CN"/>
    </w:rPr>
  </w:style>
  <w:style w:type="character" w:customStyle="1" w:styleId="204">
    <w:name w:val="Char Char81"/>
    <w:qFormat/>
    <w:uiPriority w:val="99"/>
    <w:rPr>
      <w:rFonts w:ascii="Arial" w:hAnsi="Arial" w:eastAsia="黑体"/>
      <w:b/>
      <w:kern w:val="2"/>
      <w:sz w:val="32"/>
      <w:lang w:val="en-US" w:eastAsia="zh-CN"/>
    </w:rPr>
  </w:style>
  <w:style w:type="character" w:customStyle="1" w:styleId="205">
    <w:name w:val="starting"/>
    <w:qFormat/>
    <w:uiPriority w:val="99"/>
    <w:rPr>
      <w:color w:val="339900"/>
    </w:rPr>
  </w:style>
  <w:style w:type="character" w:customStyle="1" w:styleId="206">
    <w:name w:val="nostart1"/>
    <w:qFormat/>
    <w:uiPriority w:val="99"/>
    <w:rPr>
      <w:color w:val="FF0000"/>
    </w:rPr>
  </w:style>
  <w:style w:type="character" w:customStyle="1" w:styleId="207">
    <w:name w:val="num210"/>
    <w:basedOn w:val="48"/>
    <w:qFormat/>
    <w:uiPriority w:val="99"/>
    <w:rPr>
      <w:rFonts w:cs="Times New Roman"/>
    </w:rPr>
  </w:style>
  <w:style w:type="character" w:customStyle="1" w:styleId="208">
    <w:name w:val="buvis1"/>
    <w:qFormat/>
    <w:uiPriority w:val="99"/>
    <w:rPr>
      <w:color w:val="CC0000"/>
    </w:rPr>
  </w:style>
  <w:style w:type="character" w:customStyle="1" w:styleId="209">
    <w:name w:val="starting3"/>
    <w:basedOn w:val="48"/>
    <w:qFormat/>
    <w:uiPriority w:val="99"/>
    <w:rPr>
      <w:rFonts w:cs="Times New Roman"/>
    </w:rPr>
  </w:style>
  <w:style w:type="character" w:customStyle="1" w:styleId="210">
    <w:name w:val="textcontents"/>
    <w:basedOn w:val="48"/>
    <w:qFormat/>
    <w:uiPriority w:val="99"/>
    <w:rPr>
      <w:rFonts w:cs="Times New Roman"/>
    </w:rPr>
  </w:style>
  <w:style w:type="character" w:customStyle="1" w:styleId="211">
    <w:name w:val="num41"/>
    <w:basedOn w:val="48"/>
    <w:qFormat/>
    <w:uiPriority w:val="99"/>
    <w:rPr>
      <w:rFonts w:cs="Times New Roman"/>
    </w:rPr>
  </w:style>
  <w:style w:type="character" w:customStyle="1" w:styleId="212">
    <w:name w:val="tit9"/>
    <w:qFormat/>
    <w:uiPriority w:val="99"/>
    <w:rPr>
      <w:color w:val="B60000"/>
      <w:sz w:val="27"/>
      <w:bdr w:val="single" w:color="DFCEB8" w:sz="6" w:space="0"/>
      <w:shd w:val="clear" w:color="auto" w:fill="FFFFFF"/>
    </w:rPr>
  </w:style>
  <w:style w:type="character" w:customStyle="1" w:styleId="213">
    <w:name w:val="name2"/>
    <w:qFormat/>
    <w:uiPriority w:val="99"/>
    <w:rPr>
      <w:color w:val="000000"/>
      <w:sz w:val="39"/>
    </w:rPr>
  </w:style>
  <w:style w:type="character" w:customStyle="1" w:styleId="214">
    <w:name w:val="img_title8"/>
    <w:qFormat/>
    <w:uiPriority w:val="99"/>
    <w:rPr>
      <w:vanish/>
    </w:rPr>
  </w:style>
  <w:style w:type="character" w:customStyle="1" w:styleId="215">
    <w:name w:val="tit15"/>
    <w:qFormat/>
    <w:uiPriority w:val="99"/>
    <w:rPr>
      <w:b/>
      <w:color w:val="B60000"/>
    </w:rPr>
  </w:style>
  <w:style w:type="character" w:customStyle="1" w:styleId="216">
    <w:name w:val="img_title9"/>
    <w:qFormat/>
    <w:uiPriority w:val="99"/>
    <w:rPr>
      <w:vanish/>
    </w:rPr>
  </w:style>
  <w:style w:type="table" w:customStyle="1" w:styleId="217">
    <w:name w:val="Table Normal"/>
    <w:unhideWhenUsed/>
    <w:qFormat/>
    <w:uiPriority w:val="0"/>
    <w:tblPr>
      <w:tblCellMar>
        <w:top w:w="0" w:type="dxa"/>
        <w:left w:w="0" w:type="dxa"/>
        <w:bottom w:w="0" w:type="dxa"/>
        <w:right w:w="0" w:type="dxa"/>
      </w:tblCellMar>
    </w:tblPr>
  </w:style>
  <w:style w:type="paragraph" w:customStyle="1" w:styleId="218">
    <w:name w:val="正文 New"/>
    <w:next w:val="219"/>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19">
    <w:name w:val="正文缩进1"/>
    <w:basedOn w:val="1"/>
    <w:next w:val="13"/>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220">
    <w:name w:val="hover"/>
    <w:basedOn w:val="48"/>
    <w:qFormat/>
    <w:uiPriority w:val="0"/>
    <w:rPr>
      <w:color w:val="2590EB"/>
    </w:rPr>
  </w:style>
  <w:style w:type="character" w:customStyle="1" w:styleId="221">
    <w:name w:val="hover1"/>
    <w:basedOn w:val="48"/>
    <w:qFormat/>
    <w:uiPriority w:val="0"/>
    <w:rPr>
      <w:color w:val="2590EB"/>
    </w:rPr>
  </w:style>
  <w:style w:type="character" w:customStyle="1" w:styleId="222">
    <w:name w:val="hover2"/>
    <w:basedOn w:val="48"/>
    <w:qFormat/>
    <w:uiPriority w:val="0"/>
    <w:rPr>
      <w:color w:val="2590EB"/>
      <w:shd w:val="clear" w:fill="E9F4FD"/>
    </w:rPr>
  </w:style>
  <w:style w:type="character" w:customStyle="1" w:styleId="223">
    <w:name w:val="hover3"/>
    <w:basedOn w:val="48"/>
    <w:qFormat/>
    <w:uiPriority w:val="0"/>
  </w:style>
  <w:style w:type="character" w:customStyle="1" w:styleId="224">
    <w:name w:val="mini-outputtext1"/>
    <w:basedOn w:val="48"/>
    <w:qFormat/>
    <w:uiPriority w:val="0"/>
  </w:style>
  <w:style w:type="character" w:customStyle="1" w:styleId="225">
    <w:name w:val="hover4"/>
    <w:basedOn w:val="48"/>
    <w:qFormat/>
    <w:uiPriority w:val="0"/>
    <w:rPr>
      <w:color w:val="2590EB"/>
    </w:rPr>
  </w:style>
  <w:style w:type="paragraph" w:styleId="226">
    <w:name w:val="List Paragraph"/>
    <w:basedOn w:val="1"/>
    <w:qFormat/>
    <w:uiPriority w:val="34"/>
    <w:pPr>
      <w:ind w:firstLine="420" w:firstLineChars="200"/>
    </w:pPr>
  </w:style>
  <w:style w:type="paragraph" w:customStyle="1" w:styleId="2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92</Pages>
  <Words>22091</Words>
  <Characters>23709</Characters>
  <Lines>0</Lines>
  <Paragraphs>0</Paragraphs>
  <TotalTime>0</TotalTime>
  <ScaleCrop>false</ScaleCrop>
  <LinksUpToDate>false</LinksUpToDate>
  <CharactersWithSpaces>23948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2016-05-17T16:29:00Z</dcterms:created>
  <dc:creator>dengxiaochun</dc:creator>
  <cp:lastModifiedBy>韦韦</cp:lastModifiedBy>
  <cp:lastPrinted>2025-07-16T05:08:00Z</cp:lastPrinted>
  <dcterms:modified xsi:type="dcterms:W3CDTF">2025-08-14T09:39:28Z</dcterms:modified>
  <dc:title>标准交易文件</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E180D6C4BA0E4DE480849D92F5A48AD0_13</vt:lpwstr>
  </property>
  <property fmtid="{D5CDD505-2E9C-101B-9397-08002B2CF9AE}" pid="4" name="KSOTemplateDocerSaveRecord">
    <vt:lpwstr>eyJoZGlkIjoiZmQ5MGI3YTdkMjVkZTZjM2ZjZTQ5YjMxYTJjZjRlOWEiLCJ1c2VySWQiOiIzNjE4MjQ5In0=</vt:lpwstr>
  </property>
</Properties>
</file>