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775F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67FC174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6A9EC6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086500B">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竞争性谈判文件示范文本（服务类）</w:t>
      </w:r>
    </w:p>
    <w:bookmarkEnd w:id="0"/>
    <w:p w14:paraId="4FDBB6CE">
      <w:pPr>
        <w:tabs>
          <w:tab w:val="left" w:pos="315"/>
          <w:tab w:val="left" w:pos="8820"/>
        </w:tabs>
        <w:spacing w:before="240" w:beforeLines="100" w:after="120" w:afterLines="50" w:line="500" w:lineRule="exact"/>
        <w:ind w:right="267" w:rightChars="127"/>
        <w:jc w:val="center"/>
        <w:rPr>
          <w:rFonts w:hint="eastAsia" w:ascii="宋体" w:hAnsi="宋体" w:eastAsia="宋体"/>
          <w:b/>
          <w:bCs w:val="0"/>
          <w:color w:val="auto"/>
          <w:sz w:val="44"/>
          <w:szCs w:val="44"/>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2024版</w:t>
      </w:r>
      <w:r>
        <w:rPr>
          <w:rFonts w:hint="eastAsia" w:ascii="宋体" w:hAnsi="宋体" w:eastAsia="宋体"/>
          <w:b/>
          <w:bCs/>
          <w:color w:val="auto"/>
          <w:sz w:val="52"/>
          <w:szCs w:val="52"/>
          <w:highlight w:val="none"/>
          <w:lang w:eastAsia="zh-CN"/>
        </w:rPr>
        <w:t>）</w:t>
      </w:r>
    </w:p>
    <w:p w14:paraId="4A156EE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E48FA7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8E3C04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B9533C0">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BA6F4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37E0365">
      <w:pPr>
        <w:tabs>
          <w:tab w:val="left" w:pos="2410"/>
        </w:tabs>
        <w:autoSpaceDE w:val="0"/>
        <w:autoSpaceDN w:val="0"/>
        <w:adjustRightInd w:val="0"/>
        <w:snapToGrid w:val="0"/>
        <w:spacing w:line="360" w:lineRule="auto"/>
        <w:rPr>
          <w:rFonts w:hint="eastAsia"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bookmarkStart w:id="174" w:name="_GoBack"/>
      <w:r>
        <w:rPr>
          <w:rFonts w:hint="eastAsia" w:ascii="宋体" w:hAnsi="宋体" w:eastAsia="宋体"/>
          <w:b/>
          <w:color w:val="auto"/>
          <w:spacing w:val="20"/>
          <w:kern w:val="0"/>
          <w:sz w:val="32"/>
          <w:szCs w:val="32"/>
          <w:highlight w:val="none"/>
          <w:u w:val="single"/>
          <w:lang w:eastAsia="zh-CN"/>
        </w:rPr>
        <w:t>滁州市老城区排涝综合整治工程、滁州市城南片区排涝综合整治工程三批次监理项目</w:t>
      </w:r>
      <w:bookmarkEnd w:id="174"/>
    </w:p>
    <w:p w14:paraId="5484C0E9">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czsjcg202601-015</w:t>
      </w:r>
    </w:p>
    <w:p w14:paraId="073EC931">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滁州市重点工程建设管理处</w:t>
      </w:r>
    </w:p>
    <w:p w14:paraId="33F53FEF">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滁州市城投工程咨询管理有限公司</w:t>
      </w:r>
    </w:p>
    <w:p w14:paraId="522E620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5F6F59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1</w:t>
      </w:r>
      <w:r>
        <w:rPr>
          <w:rFonts w:hint="eastAsia" w:ascii="宋体" w:hAnsi="宋体" w:eastAsia="宋体"/>
          <w:b/>
          <w:color w:val="auto"/>
          <w:sz w:val="36"/>
          <w:highlight w:val="none"/>
        </w:rPr>
        <w:t>月</w:t>
      </w:r>
    </w:p>
    <w:p w14:paraId="1DA538E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1895B24">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rFonts w:hint="eastAsia" w:ascii="宋体" w:hAnsi="宋体" w:eastAsia="宋体" w:cs="宋体"/>
          <w:color w:val="auto"/>
          <w:sz w:val="28"/>
          <w:szCs w:val="28"/>
          <w:highlight w:val="none"/>
        </w:rPr>
      </w:pPr>
      <w:r>
        <w:rPr>
          <w:rFonts w:asciiTheme="minorEastAsia" w:hAnsiTheme="minorEastAsia"/>
          <w:b/>
          <w:color w:val="auto"/>
          <w:sz w:val="32"/>
          <w:highlight w:val="none"/>
        </w:rPr>
        <w:fldChar w:fldCharType="begin"/>
      </w:r>
      <w:r>
        <w:rPr>
          <w:rFonts w:asciiTheme="minorEastAsia" w:hAnsiTheme="minorEastAsia"/>
          <w:b/>
          <w:color w:val="auto"/>
          <w:sz w:val="32"/>
          <w:highlight w:val="none"/>
        </w:rPr>
        <w:instrText xml:space="preserve">TOC \o "1-1" \h \u </w:instrText>
      </w:r>
      <w:r>
        <w:rPr>
          <w:rFonts w:asciiTheme="minorEastAsia" w:hAnsiTheme="minorEastAsia"/>
          <w:b/>
          <w:color w:val="auto"/>
          <w:sz w:val="32"/>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_Toc10028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谈判邀请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_Toc10028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9DDBA73">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_Toc1870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_Toc1870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643EB6F">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_Toc32485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_Toc32485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5FB3796">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74C0F6">
      <w:pPr>
        <w:keepNext w:val="0"/>
        <w:keepLines w:val="0"/>
        <w:pageBreakBefore w:val="0"/>
        <w:kinsoku/>
        <w:wordWrap/>
        <w:overflowPunct/>
        <w:topLinePunct w:val="0"/>
        <w:autoSpaceDE/>
        <w:autoSpaceDN/>
        <w:bidi w:val="0"/>
        <w:adjustRightInd/>
        <w:snapToGrid/>
        <w:spacing w:line="600" w:lineRule="exact"/>
        <w:textAlignment w:val="auto"/>
        <w:rPr>
          <w:rFonts w:hint="default" w:eastAsia="宋体"/>
          <w:color w:val="auto"/>
          <w:highlight w:val="none"/>
          <w:lang w:val="en-US" w:eastAsia="zh-CN"/>
        </w:rPr>
      </w:pPr>
      <w:r>
        <w:rPr>
          <w:rFonts w:hint="eastAsia" w:ascii="宋体" w:hAnsi="宋体" w:eastAsia="宋体" w:cs="宋体"/>
          <w:color w:val="auto"/>
          <w:sz w:val="28"/>
          <w:szCs w:val="28"/>
          <w:highlight w:val="none"/>
          <w:lang w:val="en-US" w:eastAsia="zh-CN"/>
        </w:rPr>
        <w:t>第五章  政府采购合同</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fldChar w:fldCharType="end"/>
      </w:r>
    </w:p>
    <w:p w14:paraId="27951A8F">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_Toc11605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_Toc11605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E6157DF">
      <w:pPr>
        <w:pStyle w:val="18"/>
        <w:keepNext w:val="0"/>
        <w:keepLines w:val="0"/>
        <w:pageBreakBefore w:val="0"/>
        <w:tabs>
          <w:tab w:val="right" w:leader="dot" w:pos="8279"/>
        </w:tabs>
        <w:kinsoku/>
        <w:wordWrap/>
        <w:overflowPunct/>
        <w:topLinePunct w:val="0"/>
        <w:autoSpaceDE/>
        <w:autoSpaceDN/>
        <w:bidi w:val="0"/>
        <w:adjustRightInd/>
        <w:snapToGrid/>
        <w:spacing w:after="0" w:line="600" w:lineRule="exact"/>
        <w:textAlignment w:val="auto"/>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_Toc3652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eastAsia="宋体" w:cs="宋体"/>
          <w:bCs/>
          <w:color w:val="auto"/>
          <w:sz w:val="28"/>
          <w:szCs w:val="28"/>
          <w:highlight w:val="none"/>
          <w:lang w:val="en-US" w:eastAsia="zh-CN"/>
        </w:rPr>
        <w:t>七</w:t>
      </w:r>
      <w:r>
        <w:rPr>
          <w:rFonts w:hint="eastAsia" w:ascii="宋体" w:hAnsi="宋体" w:eastAsia="宋体" w:cs="宋体"/>
          <w:bCs/>
          <w:color w:val="auto"/>
          <w:sz w:val="28"/>
          <w:szCs w:val="28"/>
          <w:highlight w:val="none"/>
        </w:rPr>
        <w:t>章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_Toc3652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D706B4">
      <w:pPr>
        <w:pStyle w:val="19"/>
        <w:keepNext w:val="0"/>
        <w:keepLines w:val="0"/>
        <w:pageBreakBefore w:val="0"/>
        <w:tabs>
          <w:tab w:val="right" w:leader="dot" w:pos="8296"/>
        </w:tabs>
        <w:kinsoku/>
        <w:wordWrap/>
        <w:overflowPunct/>
        <w:topLinePunct w:val="0"/>
        <w:autoSpaceDE/>
        <w:autoSpaceDN/>
        <w:bidi w:val="0"/>
        <w:adjustRightInd/>
        <w:snapToGrid/>
        <w:spacing w:after="0" w:line="600" w:lineRule="exact"/>
        <w:textAlignment w:val="auto"/>
        <w:rPr>
          <w:rFonts w:asciiTheme="minorEastAsia" w:hAnsiTheme="minorEastAsia"/>
          <w:b/>
          <w:color w:val="auto"/>
          <w:sz w:val="32"/>
          <w:highlight w:val="none"/>
        </w:rPr>
      </w:pPr>
      <w:r>
        <w:rPr>
          <w:rFonts w:asciiTheme="minorEastAsia" w:hAnsiTheme="minorEastAsia"/>
          <w:color w:val="auto"/>
          <w:highlight w:val="none"/>
        </w:rPr>
        <w:fldChar w:fldCharType="end"/>
      </w:r>
    </w:p>
    <w:p w14:paraId="62B83D16">
      <w:pPr>
        <w:spacing w:line="360" w:lineRule="auto"/>
        <w:jc w:val="center"/>
        <w:outlineLvl w:val="1"/>
        <w:rPr>
          <w:rFonts w:asciiTheme="minorEastAsia" w:hAnsiTheme="minorEastAsia" w:eastAsiaTheme="minorEastAsia"/>
          <w:b/>
          <w:color w:val="auto"/>
          <w:sz w:val="28"/>
          <w:highlight w:val="none"/>
        </w:rPr>
        <w:sectPr>
          <w:pgSz w:w="11907" w:h="16840"/>
          <w:pgMar w:top="1474" w:right="1814" w:bottom="1474" w:left="1814" w:header="851" w:footer="992" w:gutter="0"/>
          <w:cols w:space="720" w:num="1"/>
          <w:docGrid w:linePitch="462" w:charSpace="0"/>
        </w:sectPr>
      </w:pPr>
    </w:p>
    <w:p w14:paraId="78BF970C">
      <w:pPr>
        <w:spacing w:line="360" w:lineRule="auto"/>
        <w:jc w:val="center"/>
        <w:outlineLvl w:val="0"/>
        <w:rPr>
          <w:rFonts w:asciiTheme="minorEastAsia" w:hAnsiTheme="minorEastAsia" w:eastAsiaTheme="minorEastAsia"/>
          <w:b/>
          <w:color w:val="auto"/>
          <w:sz w:val="28"/>
          <w:highlight w:val="none"/>
        </w:rPr>
      </w:pPr>
      <w:bookmarkStart w:id="1" w:name="_Toc10028"/>
      <w:bookmarkStart w:id="2" w:name="_Toc2191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1"/>
      <w:bookmarkEnd w:id="2"/>
    </w:p>
    <w:p w14:paraId="4DA47029">
      <w:pPr>
        <w:autoSpaceDE w:val="0"/>
        <w:autoSpaceDN w:val="0"/>
        <w:adjustRightInd w:val="0"/>
        <w:spacing w:line="480" w:lineRule="exact"/>
        <w:ind w:firstLine="439" w:firstLineChars="182"/>
        <w:jc w:val="left"/>
        <w:rPr>
          <w:rFonts w:ascii="宋体" w:hAnsi="宋体" w:eastAsia="宋体"/>
          <w:b/>
          <w:bCs/>
          <w:color w:val="auto"/>
          <w:sz w:val="24"/>
          <w:szCs w:val="18"/>
          <w:highlight w:val="none"/>
        </w:rPr>
      </w:pPr>
      <w:bookmarkStart w:id="3" w:name="_Toc21967"/>
      <w:bookmarkStart w:id="4" w:name="_Toc7340"/>
      <w:r>
        <w:rPr>
          <w:rFonts w:hint="eastAsia" w:ascii="宋体" w:hAnsi="宋体" w:eastAsia="宋体"/>
          <w:b/>
          <w:bCs/>
          <w:color w:val="auto"/>
          <w:sz w:val="24"/>
          <w:szCs w:val="18"/>
          <w:highlight w:val="none"/>
        </w:rPr>
        <w:t>项目概况</w:t>
      </w:r>
    </w:p>
    <w:p w14:paraId="35A61024">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color w:val="auto"/>
          <w:sz w:val="24"/>
          <w:szCs w:val="18"/>
          <w:highlight w:val="none"/>
          <w:u w:val="single"/>
          <w:lang w:eastAsia="zh-CN"/>
        </w:rPr>
        <w:t>滁州市老城区排涝综合整治工程、滁州市城南片区排涝综合整治工程三批次监理项目</w:t>
      </w:r>
      <w:r>
        <w:rPr>
          <w:rFonts w:hint="eastAsia" w:ascii="宋体" w:hAnsi="宋体" w:eastAsia="宋体"/>
          <w:color w:val="auto"/>
          <w:sz w:val="24"/>
          <w:szCs w:val="18"/>
          <w:highlight w:val="none"/>
        </w:rPr>
        <w:t>的潜在供应商应在</w:t>
      </w:r>
      <w:r>
        <w:rPr>
          <w:rFonts w:hint="eastAsia" w:ascii="宋体" w:hAnsi="宋体" w:eastAsia="宋体"/>
          <w:color w:val="auto"/>
          <w:sz w:val="24"/>
          <w:szCs w:val="18"/>
          <w:highlight w:val="none"/>
          <w:u w:val="single"/>
        </w:rPr>
        <w:t>滁州市公共资源交易中心网（http://ggzy.chuzhou.gov.cn/）</w:t>
      </w:r>
      <w:r>
        <w:rPr>
          <w:rFonts w:hint="eastAsia" w:ascii="宋体" w:hAnsi="宋体" w:eastAsia="宋体"/>
          <w:color w:val="auto"/>
          <w:sz w:val="24"/>
          <w:szCs w:val="18"/>
          <w:highlight w:val="none"/>
        </w:rPr>
        <w:t>获取采购文件，并于</w:t>
      </w:r>
      <w:r>
        <w:rPr>
          <w:rFonts w:hint="eastAsia" w:ascii="宋体" w:hAnsi="宋体" w:eastAsia="宋体"/>
          <w:color w:val="auto"/>
          <w:sz w:val="24"/>
          <w:szCs w:val="18"/>
          <w:highlight w:val="none"/>
        </w:rPr>
        <w:t>202</w:t>
      </w:r>
      <w:r>
        <w:rPr>
          <w:rFonts w:hint="eastAsia" w:ascii="宋体" w:hAnsi="宋体" w:eastAsia="宋体"/>
          <w:color w:val="auto"/>
          <w:sz w:val="24"/>
          <w:szCs w:val="18"/>
          <w:highlight w:val="none"/>
          <w:lang w:val="en-US" w:eastAsia="zh-CN"/>
        </w:rPr>
        <w:t>6</w:t>
      </w:r>
      <w:r>
        <w:rPr>
          <w:rFonts w:hint="eastAsia" w:ascii="宋体" w:hAnsi="宋体" w:eastAsia="宋体"/>
          <w:color w:val="auto"/>
          <w:sz w:val="24"/>
          <w:szCs w:val="18"/>
          <w:highlight w:val="none"/>
        </w:rPr>
        <w:t>年</w:t>
      </w: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月</w:t>
      </w:r>
      <w:r>
        <w:rPr>
          <w:rFonts w:hint="eastAsia" w:ascii="宋体" w:hAnsi="宋体" w:eastAsia="宋体"/>
          <w:color w:val="auto"/>
          <w:sz w:val="24"/>
          <w:szCs w:val="18"/>
          <w:highlight w:val="none"/>
          <w:lang w:val="en-US" w:eastAsia="zh-CN"/>
        </w:rPr>
        <w:t>26</w:t>
      </w:r>
      <w:r>
        <w:rPr>
          <w:rFonts w:hint="eastAsia" w:ascii="宋体" w:hAnsi="宋体" w:eastAsia="宋体"/>
          <w:color w:val="auto"/>
          <w:sz w:val="24"/>
          <w:szCs w:val="18"/>
          <w:highlight w:val="none"/>
        </w:rPr>
        <w:t>日</w:t>
      </w:r>
      <w:r>
        <w:rPr>
          <w:rFonts w:hint="eastAsia" w:ascii="宋体" w:hAnsi="宋体" w:eastAsia="宋体"/>
          <w:color w:val="auto"/>
          <w:sz w:val="24"/>
          <w:szCs w:val="18"/>
          <w:highlight w:val="none"/>
          <w:lang w:val="en-US" w:eastAsia="zh-CN"/>
        </w:rPr>
        <w:t>9</w:t>
      </w:r>
      <w:r>
        <w:rPr>
          <w:rFonts w:hint="eastAsia" w:ascii="宋体" w:hAnsi="宋体" w:eastAsia="宋体"/>
          <w:color w:val="auto"/>
          <w:sz w:val="24"/>
          <w:szCs w:val="18"/>
          <w:highlight w:val="none"/>
        </w:rPr>
        <w:t>点</w:t>
      </w:r>
      <w:r>
        <w:rPr>
          <w:rFonts w:hint="eastAsia" w:ascii="宋体" w:hAnsi="宋体" w:eastAsia="宋体"/>
          <w:color w:val="auto"/>
          <w:sz w:val="24"/>
          <w:szCs w:val="18"/>
          <w:highlight w:val="none"/>
          <w:lang w:val="en-US" w:eastAsia="zh-CN"/>
        </w:rPr>
        <w:t>10</w:t>
      </w:r>
      <w:r>
        <w:rPr>
          <w:rFonts w:hint="eastAsia" w:ascii="宋体" w:hAnsi="宋体" w:eastAsia="宋体"/>
          <w:color w:val="auto"/>
          <w:sz w:val="24"/>
          <w:szCs w:val="18"/>
          <w:highlight w:val="none"/>
        </w:rPr>
        <w:t>分</w:t>
      </w:r>
      <w:r>
        <w:rPr>
          <w:rFonts w:hint="eastAsia" w:ascii="宋体" w:hAnsi="宋体" w:eastAsia="宋体"/>
          <w:color w:val="auto"/>
          <w:sz w:val="24"/>
          <w:szCs w:val="18"/>
          <w:highlight w:val="none"/>
        </w:rPr>
        <w:t>（北京时间）前递交响应文件。</w:t>
      </w:r>
    </w:p>
    <w:p w14:paraId="33CEDFAD">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一、项目名称及内容</w:t>
      </w:r>
      <w:bookmarkEnd w:id="3"/>
      <w:bookmarkEnd w:id="4"/>
    </w:p>
    <w:p w14:paraId="1EA65D3E">
      <w:pPr>
        <w:spacing w:line="48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项目编号：czsjcg202601-01</w:t>
      </w:r>
      <w:r>
        <w:rPr>
          <w:rFonts w:hint="eastAsia" w:asciiTheme="minorEastAsia" w:hAnsiTheme="minorEastAsia" w:eastAsiaTheme="minorEastAsia"/>
          <w:color w:val="auto"/>
          <w:sz w:val="24"/>
          <w:highlight w:val="none"/>
          <w:lang w:val="en-US" w:eastAsia="zh-CN"/>
        </w:rPr>
        <w:t xml:space="preserve">5  </w:t>
      </w:r>
    </w:p>
    <w:p w14:paraId="3C31C8FB">
      <w:pPr>
        <w:autoSpaceDE w:val="0"/>
        <w:autoSpaceDN w:val="0"/>
        <w:adjustRightInd w:val="0"/>
        <w:spacing w:line="480" w:lineRule="exact"/>
        <w:ind w:firstLine="436" w:firstLineChars="182"/>
        <w:jc w:val="left"/>
        <w:rPr>
          <w:rFonts w:hint="eastAsia" w:ascii="宋体" w:hAnsi="宋体" w:eastAsiaTheme="minorEastAsia"/>
          <w:color w:val="auto"/>
          <w:sz w:val="24"/>
          <w:szCs w:val="18"/>
          <w:highlight w:val="non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滁州市老城区排涝综合整治工程、滁州市城南片区排涝综合整治工程三批次监理项目</w:t>
      </w:r>
    </w:p>
    <w:p w14:paraId="39087830">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2DE37F6B">
      <w:pPr>
        <w:spacing w:line="480" w:lineRule="exact"/>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预算金额：</w:t>
      </w:r>
      <w:r>
        <w:rPr>
          <w:rFonts w:hint="eastAsia" w:asciiTheme="minorEastAsia" w:hAnsiTheme="minorEastAsia" w:eastAsiaTheme="minorEastAsia"/>
          <w:color w:val="auto"/>
          <w:sz w:val="24"/>
          <w:highlight w:val="none"/>
          <w:lang w:val="en-US" w:eastAsia="zh-CN"/>
        </w:rPr>
        <w:t>550000元</w:t>
      </w:r>
    </w:p>
    <w:p w14:paraId="2AD6B17C">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w:t>
      </w:r>
      <w:r>
        <w:rPr>
          <w:rFonts w:hint="eastAsia" w:asciiTheme="minorEastAsia" w:hAnsiTheme="minorEastAsia" w:eastAsiaTheme="minorEastAsia"/>
          <w:color w:val="auto"/>
          <w:sz w:val="24"/>
          <w:highlight w:val="none"/>
          <w:lang w:val="en-US" w:eastAsia="zh-CN"/>
        </w:rPr>
        <w:t>本项目采用费率报价，费率最高限价为1.0%，最终监理费费用=工程结算价*成交费率</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报价不得高于最高限价，否则按无效响应处理</w:t>
      </w:r>
      <w:r>
        <w:rPr>
          <w:rFonts w:hint="eastAsia" w:ascii="宋体" w:hAnsi="宋体" w:eastAsia="宋体"/>
          <w:color w:val="auto"/>
          <w:sz w:val="24"/>
          <w:szCs w:val="18"/>
          <w:highlight w:val="none"/>
        </w:rPr>
        <w:t>。</w:t>
      </w:r>
    </w:p>
    <w:p w14:paraId="2E65DEC8">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委托开展项目前期工作，办理相关建设手续，参与本工程的施工准备阶段（包括项目的施工许可证等）、接受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Theme="minorEastAsia" w:hAnsiTheme="minorEastAsia" w:eastAsiaTheme="minorEastAsia"/>
          <w:color w:val="auto"/>
          <w:sz w:val="24"/>
          <w:highlight w:val="none"/>
          <w:lang w:val="en-US" w:eastAsia="zh-CN"/>
        </w:rPr>
        <w:t>。</w:t>
      </w:r>
    </w:p>
    <w:p w14:paraId="5EDF987E">
      <w:pPr>
        <w:spacing w:line="480" w:lineRule="exact"/>
        <w:ind w:firstLine="435"/>
        <w:rPr>
          <w:rFonts w:eastAsia="宋体" w:asciiTheme="minorEastAsia" w:hAnsiTheme="minorEastAsia"/>
          <w:color w:val="auto"/>
          <w:sz w:val="24"/>
          <w:highlight w:val="none"/>
        </w:rPr>
      </w:pPr>
      <w:r>
        <w:rPr>
          <w:rFonts w:hint="eastAsia" w:asciiTheme="minorEastAsia" w:hAnsiTheme="minorEastAsia" w:eastAsiaTheme="minorEastAsia"/>
          <w:color w:val="auto"/>
          <w:sz w:val="24"/>
          <w:highlight w:val="none"/>
        </w:rPr>
        <w:t>合同履行期限：自合同签订之日起至本质量缺陷责任期满截止</w:t>
      </w:r>
      <w:r>
        <w:rPr>
          <w:rFonts w:hint="eastAsia" w:ascii="宋体" w:hAnsi="宋体" w:eastAsia="宋体" w:cs="宋体"/>
          <w:color w:val="auto"/>
          <w:sz w:val="24"/>
          <w:szCs w:val="24"/>
          <w:highlight w:val="none"/>
        </w:rPr>
        <w:t>。</w:t>
      </w:r>
    </w:p>
    <w:p w14:paraId="37204915">
      <w:pPr>
        <w:autoSpaceDE w:val="0"/>
        <w:autoSpaceDN w:val="0"/>
        <w:adjustRightInd w:val="0"/>
        <w:spacing w:line="360" w:lineRule="auto"/>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本项目不接受联合体。</w:t>
      </w:r>
    </w:p>
    <w:p w14:paraId="10AB0910">
      <w:pPr>
        <w:spacing w:line="360" w:lineRule="auto"/>
        <w:ind w:firstLine="435"/>
        <w:outlineLvl w:val="1"/>
        <w:rPr>
          <w:rFonts w:ascii="宋体" w:hAnsi="宋体" w:eastAsia="宋体"/>
          <w:b/>
          <w:bCs/>
          <w:color w:val="auto"/>
          <w:sz w:val="24"/>
          <w:szCs w:val="18"/>
          <w:highlight w:val="none"/>
        </w:rPr>
      </w:pPr>
      <w:bookmarkStart w:id="5" w:name="_Toc10226"/>
      <w:bookmarkStart w:id="6"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5"/>
      <w:r>
        <w:rPr>
          <w:rFonts w:hint="eastAsia" w:ascii="宋体" w:hAnsi="宋体" w:eastAsia="宋体"/>
          <w:b/>
          <w:bCs/>
          <w:color w:val="auto"/>
          <w:sz w:val="24"/>
          <w:szCs w:val="18"/>
          <w:highlight w:val="none"/>
        </w:rPr>
        <w:t>申请人的资格要求</w:t>
      </w:r>
      <w:bookmarkEnd w:id="6"/>
    </w:p>
    <w:p w14:paraId="67403BA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5ACFADBF">
      <w:pPr>
        <w:spacing w:line="360" w:lineRule="auto"/>
        <w:ind w:firstLine="435"/>
        <w:rPr>
          <w:rFonts w:hint="eastAsia"/>
          <w:color w:val="auto"/>
          <w:highlight w:val="none"/>
          <w:lang w:eastAsia="zh-CN"/>
        </w:rPr>
      </w:pPr>
      <w:r>
        <w:rPr>
          <w:rFonts w:hint="eastAsia" w:asciiTheme="minorEastAsia" w:hAnsiTheme="minorEastAsia" w:eastAsiaTheme="minorEastAsia"/>
          <w:color w:val="auto"/>
          <w:sz w:val="24"/>
          <w:highlight w:val="none"/>
        </w:rPr>
        <w:t>2.落实政府采购政策需满足的资格要求：</w:t>
      </w:r>
      <w:r>
        <w:rPr>
          <w:rFonts w:hint="eastAsia" w:asciiTheme="minorEastAsia" w:hAnsiTheme="minorEastAsia" w:eastAsiaTheme="minorEastAsia"/>
          <w:color w:val="auto"/>
          <w:sz w:val="24"/>
          <w:highlight w:val="non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7B9F544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3.本项目的特定资格要求：</w:t>
      </w:r>
      <w:r>
        <w:rPr>
          <w:rFonts w:hint="eastAsia" w:asciiTheme="minorEastAsia" w:hAnsiTheme="minorEastAsia" w:eastAsiaTheme="minorEastAsia"/>
          <w:color w:val="auto"/>
          <w:sz w:val="24"/>
          <w:highlight w:val="none"/>
          <w:lang w:val="en-US" w:eastAsia="zh-CN"/>
        </w:rPr>
        <w:t>（1）供应商须具备工程监理综合资质或市政公用工程监理</w:t>
      </w:r>
      <w:r>
        <w:rPr>
          <w:rFonts w:hint="eastAsia" w:asciiTheme="minorEastAsia" w:hAnsiTheme="minorEastAsia" w:eastAsiaTheme="minorEastAsia"/>
          <w:color w:val="auto"/>
          <w:sz w:val="24"/>
          <w:highlight w:val="none"/>
          <w:lang w:val="en-US" w:eastAsia="zh-CN"/>
        </w:rPr>
        <w:t>乙级</w:t>
      </w:r>
      <w:r>
        <w:rPr>
          <w:rFonts w:hint="eastAsia" w:asciiTheme="minorEastAsia" w:hAnsiTheme="minorEastAsia" w:eastAsiaTheme="minorEastAsia"/>
          <w:color w:val="auto"/>
          <w:sz w:val="24"/>
          <w:highlight w:val="none"/>
          <w:lang w:val="en-US" w:eastAsia="zh-CN"/>
        </w:rPr>
        <w:t>及以上资质；（2）拟派总监理工程师须持有在本单位注册的市政公用工程专业国家级注册监理工程师证书。</w:t>
      </w:r>
    </w:p>
    <w:p w14:paraId="1C27EFDF">
      <w:pPr>
        <w:spacing w:line="360" w:lineRule="auto"/>
        <w:ind w:firstLine="435"/>
        <w:outlineLvl w:val="1"/>
        <w:rPr>
          <w:rFonts w:hint="eastAsia" w:asciiTheme="minorEastAsia" w:hAnsiTheme="minorEastAsia" w:eastAsiaTheme="minorEastAsia"/>
          <w:color w:val="auto"/>
          <w:sz w:val="24"/>
          <w:highlight w:val="none"/>
        </w:rPr>
      </w:pPr>
      <w:bookmarkStart w:id="7" w:name="_Toc4607"/>
      <w:bookmarkStart w:id="8" w:name="_Toc31469"/>
      <w:r>
        <w:rPr>
          <w:rFonts w:hint="eastAsia" w:asciiTheme="minorEastAsia" w:hAnsiTheme="minorEastAsia" w:eastAsiaTheme="minorEastAsia"/>
          <w:color w:val="auto"/>
          <w:sz w:val="24"/>
          <w:highlight w:val="none"/>
        </w:rPr>
        <w:t>4.信誉要求：供应商不得存在以下情形：</w:t>
      </w:r>
    </w:p>
    <w:p w14:paraId="48CED6B4">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①被列入“信用中国”网站“失信被执行人”的；</w:t>
      </w:r>
    </w:p>
    <w:p w14:paraId="1134E614">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②被列入“信用中国”网站“重大税收违法失信主体”的；</w:t>
      </w:r>
    </w:p>
    <w:p w14:paraId="53271BE9">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③被列入“信用中国”网站 “严重失信主体名单”的；</w:t>
      </w:r>
    </w:p>
    <w:p w14:paraId="33A48BAE">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④在“信用中国”网站上披露的仍在公示期的严重失信行为(具体行为类别及判定依据见“信用中国”查询的严重失信行为类别及判定依据)的；</w:t>
      </w:r>
    </w:p>
    <w:p w14:paraId="22BB9E81">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⑤被列入国家企业信用信息公示系统网站“经营异常名录”或者“严重违法失信名单”的。</w:t>
      </w:r>
    </w:p>
    <w:p w14:paraId="33DB142C">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⑥被列入中国政府采购网站“政府采购严重违法失信行为信息记录”的；</w:t>
      </w:r>
    </w:p>
    <w:p w14:paraId="03331391">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⑦前三年有行贿犯罪行为的单位和个人。</w:t>
      </w:r>
    </w:p>
    <w:p w14:paraId="70F1BEF7">
      <w:pPr>
        <w:spacing w:line="360" w:lineRule="auto"/>
        <w:ind w:firstLine="435"/>
        <w:outlineLvl w:val="1"/>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5.供应商所属分公司、办事处等分支机构存在第4款信誉要求①-⑦项情形之一的，接受供应商参加本项目。</w:t>
      </w:r>
    </w:p>
    <w:p w14:paraId="317E634B">
      <w:pPr>
        <w:spacing w:line="360" w:lineRule="auto"/>
        <w:ind w:firstLine="435"/>
        <w:outlineLvl w:val="1"/>
        <w:rPr>
          <w:rFonts w:hint="eastAsia" w:ascii="宋体" w:hAnsi="宋体" w:eastAsiaTheme="minorEastAsia"/>
          <w:b/>
          <w:bCs/>
          <w:color w:val="auto"/>
          <w:sz w:val="24"/>
          <w:szCs w:val="18"/>
          <w:highlight w:val="none"/>
          <w:lang w:eastAsia="zh-CN"/>
        </w:rPr>
      </w:pPr>
      <w:r>
        <w:rPr>
          <w:rFonts w:hint="eastAsia" w:asciiTheme="minorEastAsia" w:hAnsiTheme="minorEastAsia" w:eastAsiaTheme="minorEastAsia"/>
          <w:color w:val="auto"/>
          <w:sz w:val="24"/>
          <w:highlight w:val="none"/>
        </w:rPr>
        <w:t>备注：第4、5条按照“关于联合惩戒失信行为加强信用查询管理的通知”查询或承诺</w:t>
      </w:r>
      <w:r>
        <w:rPr>
          <w:rFonts w:hint="eastAsia" w:asciiTheme="minorEastAsia" w:hAnsiTheme="minorEastAsia" w:eastAsiaTheme="minorEastAsia"/>
          <w:color w:val="auto"/>
          <w:sz w:val="24"/>
          <w:highlight w:val="none"/>
          <w:lang w:eastAsia="zh-CN"/>
        </w:rPr>
        <w:t>。</w:t>
      </w:r>
    </w:p>
    <w:p w14:paraId="551F470A">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7"/>
      <w:r>
        <w:rPr>
          <w:rFonts w:hint="eastAsia" w:asciiTheme="minorEastAsia" w:hAnsiTheme="minorEastAsia" w:eastAsiaTheme="minorEastAsia"/>
          <w:b/>
          <w:color w:val="auto"/>
          <w:sz w:val="24"/>
          <w:highlight w:val="none"/>
        </w:rPr>
        <w:t>获取采购文件</w:t>
      </w:r>
      <w:bookmarkEnd w:id="8"/>
    </w:p>
    <w:p w14:paraId="7181F4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20</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lang w:val="en-US" w:eastAsia="zh-CN"/>
        </w:rPr>
        <w:t>26</w:t>
      </w:r>
      <w:r>
        <w:rPr>
          <w:rFonts w:hint="eastAsia" w:asciiTheme="minorEastAsia" w:hAnsiTheme="minorEastAsia" w:eastAsiaTheme="minorEastAsia" w:cstheme="minorEastAsia"/>
          <w:color w:val="auto"/>
          <w:sz w:val="24"/>
          <w:szCs w:val="24"/>
          <w:highlight w:val="none"/>
          <w:u w:val="none"/>
        </w:rPr>
        <w:t>日</w:t>
      </w:r>
    </w:p>
    <w:p w14:paraId="100BCE8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地点：滁州市公共资源交易中心网</w:t>
      </w:r>
    </w:p>
    <w:p w14:paraId="4B02C9C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方式：网上下载</w:t>
      </w:r>
    </w:p>
    <w:p w14:paraId="6B0A7D0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售价：0元</w:t>
      </w:r>
    </w:p>
    <w:p w14:paraId="3BDE39B2">
      <w:pPr>
        <w:spacing w:line="360" w:lineRule="auto"/>
        <w:ind w:firstLine="435"/>
        <w:outlineLvl w:val="1"/>
        <w:rPr>
          <w:rFonts w:ascii="宋体" w:hAnsi="宋体" w:eastAsia="宋体"/>
          <w:b/>
          <w:bCs/>
          <w:color w:val="auto"/>
          <w:sz w:val="24"/>
          <w:szCs w:val="18"/>
          <w:highlight w:val="none"/>
        </w:rPr>
      </w:pPr>
      <w:bookmarkStart w:id="9" w:name="_Toc19753"/>
      <w:bookmarkStart w:id="10" w:name="_Toc1667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9"/>
      <w:r>
        <w:rPr>
          <w:rFonts w:hint="eastAsia" w:ascii="宋体" w:hAnsi="宋体" w:eastAsia="宋体"/>
          <w:b/>
          <w:bCs/>
          <w:color w:val="auto"/>
          <w:sz w:val="24"/>
          <w:highlight w:val="none"/>
        </w:rPr>
        <w:t>响应文件提交</w:t>
      </w:r>
      <w:bookmarkEnd w:id="10"/>
    </w:p>
    <w:p w14:paraId="445FE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截止时间：</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26</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33DC184D">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stheme="minorEastAsia"/>
          <w:color w:val="auto"/>
          <w:sz w:val="24"/>
          <w:szCs w:val="24"/>
          <w:highlight w:val="none"/>
        </w:rPr>
        <w:t>地点：滁州市公共资源交易中心</w:t>
      </w:r>
    </w:p>
    <w:p w14:paraId="3062808E">
      <w:pPr>
        <w:spacing w:line="360" w:lineRule="auto"/>
        <w:ind w:firstLine="435"/>
        <w:outlineLvl w:val="1"/>
        <w:rPr>
          <w:rFonts w:ascii="宋体" w:hAnsi="宋体" w:eastAsia="宋体"/>
          <w:b/>
          <w:bCs/>
          <w:color w:val="auto"/>
          <w:sz w:val="24"/>
          <w:szCs w:val="18"/>
          <w:highlight w:val="none"/>
        </w:rPr>
      </w:pPr>
      <w:bookmarkStart w:id="11" w:name="_Toc8953"/>
      <w:bookmarkStart w:id="12"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11"/>
      <w:r>
        <w:rPr>
          <w:rFonts w:hint="eastAsia" w:ascii="宋体" w:hAnsi="宋体" w:eastAsia="宋体"/>
          <w:b/>
          <w:bCs/>
          <w:color w:val="auto"/>
          <w:sz w:val="24"/>
          <w:highlight w:val="none"/>
        </w:rPr>
        <w:t>开启</w:t>
      </w:r>
      <w:bookmarkEnd w:id="12"/>
    </w:p>
    <w:p w14:paraId="52752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u w:val="none"/>
        </w:rPr>
        <w:t>时间：</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lang w:val="en-US" w:eastAsia="zh-CN"/>
        </w:rPr>
        <w:t>26</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lang w:val="en-US" w:eastAsia="zh-CN"/>
        </w:rPr>
        <w:t>9</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41640C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18"/>
          <w:highlight w:val="none"/>
        </w:rPr>
      </w:pPr>
      <w:r>
        <w:rPr>
          <w:rFonts w:hint="eastAsia" w:asciiTheme="minorEastAsia" w:hAnsiTheme="minorEastAsia" w:eastAsiaTheme="minorEastAsia" w:cstheme="minorEastAsia"/>
          <w:color w:val="auto"/>
          <w:sz w:val="24"/>
          <w:szCs w:val="24"/>
          <w:highlight w:val="none"/>
        </w:rPr>
        <w:t>地点：滁州市公共资源交易中心</w:t>
      </w:r>
    </w:p>
    <w:p w14:paraId="5E97229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14575"/>
      <w:bookmarkStart w:id="14" w:name="_Toc16203"/>
      <w:r>
        <w:rPr>
          <w:rFonts w:hint="eastAsia" w:ascii="宋体" w:hAnsi="宋体" w:eastAsia="宋体"/>
          <w:b/>
          <w:bCs/>
          <w:color w:val="auto"/>
          <w:sz w:val="24"/>
          <w:szCs w:val="18"/>
          <w:highlight w:val="none"/>
          <w:lang w:val="en-US" w:eastAsia="zh-CN"/>
        </w:rPr>
        <w:t>六</w:t>
      </w:r>
      <w:r>
        <w:rPr>
          <w:rFonts w:hint="eastAsia" w:ascii="宋体" w:hAnsi="宋体" w:eastAsia="宋体"/>
          <w:b/>
          <w:bCs/>
          <w:color w:val="auto"/>
          <w:sz w:val="24"/>
          <w:szCs w:val="18"/>
          <w:highlight w:val="none"/>
        </w:rPr>
        <w:t>、公告期限</w:t>
      </w:r>
      <w:bookmarkEnd w:id="13"/>
    </w:p>
    <w:p w14:paraId="7B75C6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自本公告发布之日起3个工作日。</w:t>
      </w:r>
    </w:p>
    <w:p w14:paraId="03749FBE">
      <w:pPr>
        <w:spacing w:line="480" w:lineRule="exact"/>
        <w:ind w:firstLine="437"/>
        <w:outlineLvl w:val="1"/>
        <w:rPr>
          <w:rFonts w:ascii="宋体" w:hAnsi="宋体" w:eastAsia="宋体"/>
          <w:b/>
          <w:bCs/>
          <w:color w:val="auto"/>
          <w:sz w:val="24"/>
          <w:szCs w:val="18"/>
          <w:highlight w:val="none"/>
        </w:rPr>
      </w:pPr>
      <w:bookmarkStart w:id="15" w:name="_Toc35393795"/>
      <w:bookmarkStart w:id="16" w:name="_Toc10195"/>
      <w:bookmarkStart w:id="17" w:name="_Toc35393626"/>
      <w:bookmarkStart w:id="18" w:name="_Toc7755"/>
      <w:r>
        <w:rPr>
          <w:rFonts w:hint="eastAsia" w:ascii="宋体" w:hAnsi="宋体" w:eastAsia="宋体"/>
          <w:b/>
          <w:bCs/>
          <w:color w:val="auto"/>
          <w:sz w:val="24"/>
          <w:szCs w:val="18"/>
          <w:highlight w:val="none"/>
        </w:rPr>
        <w:t>七、保证金金额及缴纳账户</w:t>
      </w:r>
    </w:p>
    <w:p w14:paraId="43B9E2D5">
      <w:pPr>
        <w:adjustRightInd w:val="0"/>
        <w:snapToGrid w:val="0"/>
        <w:spacing w:line="48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是否要求供应商提交保证金：不要求。</w:t>
      </w:r>
    </w:p>
    <w:p w14:paraId="6A3CC1D4">
      <w:pPr>
        <w:spacing w:line="480" w:lineRule="exact"/>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八、其他补充事宜</w:t>
      </w:r>
      <w:bookmarkEnd w:id="15"/>
      <w:bookmarkEnd w:id="16"/>
      <w:bookmarkEnd w:id="17"/>
    </w:p>
    <w:p w14:paraId="0AEECCE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-581885160（8：00-21：00）、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7D4CABFE">
      <w:pPr>
        <w:spacing w:line="360" w:lineRule="auto"/>
        <w:ind w:firstLine="435"/>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2.请供应商登录滁州市公共资源交易中心网站查看参加本项目的程序。（具体操作步骤和程序请参见服务指南&gt;交易须知&gt;投标人填写投标信息、下载文件及网上提问操作手册）。</w:t>
      </w:r>
    </w:p>
    <w:p w14:paraId="03431C6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3A9E65E5">
      <w:pPr>
        <w:spacing w:line="360" w:lineRule="auto"/>
        <w:ind w:firstLine="435"/>
        <w:outlineLvl w:val="1"/>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r>
        <w:rPr>
          <w:rFonts w:hint="eastAsia" w:ascii="宋体" w:hAnsi="宋体" w:eastAsia="宋体"/>
          <w:color w:val="auto"/>
          <w:sz w:val="24"/>
          <w:szCs w:val="18"/>
          <w:highlight w:val="none"/>
          <w:lang w:eastAsia="zh-CN"/>
        </w:rPr>
        <w:t>。</w:t>
      </w:r>
    </w:p>
    <w:p w14:paraId="7F0F6DFF">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lang w:val="en-US" w:eastAsia="zh-CN"/>
        </w:rPr>
        <w:t>九、</w:t>
      </w:r>
      <w:bookmarkEnd w:id="14"/>
      <w:r>
        <w:rPr>
          <w:rFonts w:hint="eastAsia" w:ascii="宋体" w:hAnsi="宋体" w:eastAsia="宋体"/>
          <w:b/>
          <w:bCs/>
          <w:color w:val="auto"/>
          <w:sz w:val="24"/>
          <w:szCs w:val="18"/>
          <w:highlight w:val="none"/>
          <w:lang w:val="en-US" w:eastAsia="zh-CN"/>
        </w:rPr>
        <w:t>凡对本次采购提出询问，请按以下方式联系</w:t>
      </w:r>
      <w:bookmarkEnd w:id="18"/>
    </w:p>
    <w:p w14:paraId="24B295BC">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7D1F8213">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滁州市重点工程建设管理处</w:t>
      </w:r>
    </w:p>
    <w:p w14:paraId="55336586">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none"/>
          <w:lang w:val="en-US" w:eastAsia="zh-CN"/>
        </w:rPr>
        <w:t>滁州市琅琊西路81号建设大厦4楼</w:t>
      </w:r>
    </w:p>
    <w:p w14:paraId="4B39E4F3">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联系人：马雪婷</w:t>
      </w:r>
    </w:p>
    <w:p w14:paraId="6E7444DC">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none"/>
          <w:lang w:val="en-US" w:eastAsia="zh-CN"/>
        </w:rPr>
        <w:t>0550-3046029</w:t>
      </w:r>
    </w:p>
    <w:p w14:paraId="1DC58682">
      <w:pPr>
        <w:spacing w:line="360" w:lineRule="auto"/>
        <w:ind w:firstLine="437"/>
        <w:outlineLvl w:val="9"/>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01D1F7C">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滁州市城投工程咨询管理有限公司</w:t>
      </w:r>
    </w:p>
    <w:p w14:paraId="7BD98F0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olor w:val="auto"/>
          <w:sz w:val="24"/>
          <w:szCs w:val="18"/>
          <w:highlight w:val="none"/>
          <w:u w:val="none"/>
        </w:rPr>
        <w:t>滁州市龙蟠大道109号房产大厦6楼</w:t>
      </w:r>
      <w:r>
        <w:rPr>
          <w:rFonts w:hint="eastAsia" w:ascii="宋体" w:hAnsi="宋体" w:eastAsia="宋体"/>
          <w:color w:val="auto"/>
          <w:sz w:val="24"/>
          <w:szCs w:val="18"/>
          <w:highlight w:val="none"/>
          <w:u w:val="none"/>
          <w:lang w:val="en-US" w:eastAsia="zh-CN"/>
        </w:rPr>
        <w:t>620室</w:t>
      </w:r>
    </w:p>
    <w:p w14:paraId="4C3A3344">
      <w:pPr>
        <w:spacing w:line="360" w:lineRule="auto"/>
        <w:ind w:firstLine="435"/>
        <w:rPr>
          <w:rFonts w:hint="eastAsia" w:eastAsia="宋体"/>
          <w:color w:val="auto"/>
          <w:highlight w:val="none"/>
          <w:u w:val="non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none"/>
          <w:lang w:val="en-US" w:eastAsia="zh-CN"/>
        </w:rPr>
        <w:t>关勤勤</w:t>
      </w:r>
    </w:p>
    <w:p w14:paraId="4E814982">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olor w:val="auto"/>
          <w:sz w:val="24"/>
          <w:szCs w:val="18"/>
          <w:highlight w:val="none"/>
          <w:u w:val="none"/>
          <w:lang w:val="en-US" w:eastAsia="zh-CN"/>
        </w:rPr>
        <w:t>0550-3519590</w:t>
      </w:r>
    </w:p>
    <w:p w14:paraId="705A7696">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21149597">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：滁州市公共资源交易监督管理局</w:t>
      </w:r>
    </w:p>
    <w:p w14:paraId="5263521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u w:val="none"/>
        </w:rPr>
        <w:t>滁州市龙蟠大道109号房产大厦</w:t>
      </w:r>
      <w:r>
        <w:rPr>
          <w:rFonts w:hint="eastAsia" w:ascii="宋体" w:hAnsi="宋体" w:eastAsia="宋体"/>
          <w:color w:val="auto"/>
          <w:sz w:val="24"/>
          <w:szCs w:val="18"/>
          <w:highlight w:val="none"/>
          <w:u w:val="none"/>
          <w:lang w:val="en-US" w:eastAsia="zh-CN"/>
        </w:rPr>
        <w:t>3楼</w:t>
      </w:r>
    </w:p>
    <w:p w14:paraId="311C3B5F">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none"/>
          <w:lang w:val="en-US" w:eastAsia="zh-CN"/>
        </w:rPr>
        <w:t>0550-3801601</w:t>
      </w:r>
      <w:r>
        <w:rPr>
          <w:rFonts w:ascii="宋体" w:hAnsi="宋体" w:eastAsia="宋体"/>
          <w:color w:val="auto"/>
          <w:sz w:val="24"/>
          <w:szCs w:val="18"/>
          <w:highlight w:val="none"/>
        </w:rPr>
        <w:br w:type="page"/>
      </w:r>
    </w:p>
    <w:p w14:paraId="4A32344E">
      <w:pPr>
        <w:spacing w:line="360" w:lineRule="auto"/>
        <w:jc w:val="center"/>
        <w:outlineLvl w:val="0"/>
        <w:rPr>
          <w:rFonts w:asciiTheme="minorEastAsia" w:hAnsiTheme="minorEastAsia" w:eastAsiaTheme="minorEastAsia"/>
          <w:b/>
          <w:color w:val="auto"/>
          <w:sz w:val="28"/>
          <w:highlight w:val="none"/>
        </w:rPr>
      </w:pPr>
      <w:bookmarkStart w:id="19" w:name="_Toc5721"/>
      <w:bookmarkStart w:id="20" w:name="_Toc187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9"/>
      <w:bookmarkEnd w:id="20"/>
    </w:p>
    <w:p w14:paraId="11DD15B5">
      <w:pPr>
        <w:spacing w:line="360" w:lineRule="auto"/>
        <w:jc w:val="center"/>
        <w:outlineLvl w:val="1"/>
        <w:rPr>
          <w:rFonts w:asciiTheme="minorEastAsia" w:hAnsiTheme="minorEastAsia" w:eastAsiaTheme="minorEastAsia"/>
          <w:b/>
          <w:color w:val="auto"/>
          <w:sz w:val="24"/>
          <w:highlight w:val="none"/>
        </w:rPr>
      </w:pPr>
      <w:bookmarkStart w:id="21" w:name="_Toc16645"/>
      <w:bookmarkStart w:id="22" w:name="_Toc27956"/>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06E62344">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7E60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4D4F2AD">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7CFE8F7C">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2F9B67AB">
            <w:pPr>
              <w:pStyle w:val="42"/>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5C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3571D08">
            <w:pPr>
              <w:pStyle w:val="43"/>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5</w:t>
            </w:r>
            <w:r>
              <w:rPr>
                <w:bCs/>
                <w:color w:val="auto"/>
                <w:kern w:val="2"/>
                <w:highlight w:val="none"/>
              </w:rPr>
              <w:t>.</w:t>
            </w:r>
            <w:r>
              <w:rPr>
                <w:rFonts w:hint="eastAsia"/>
                <w:bCs/>
                <w:color w:val="auto"/>
                <w:kern w:val="2"/>
                <w:highlight w:val="none"/>
                <w:lang w:val="en-US" w:eastAsia="zh-CN"/>
              </w:rPr>
              <w:t>2</w:t>
            </w:r>
          </w:p>
        </w:tc>
        <w:tc>
          <w:tcPr>
            <w:tcW w:w="2032" w:type="dxa"/>
            <w:vAlign w:val="center"/>
          </w:tcPr>
          <w:p w14:paraId="1A6242A7">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5722" w:type="dxa"/>
            <w:vAlign w:val="center"/>
          </w:tcPr>
          <w:p w14:paraId="065BDEE9">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5292C12">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381D076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EB117C7">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lang w:val="en-US" w:eastAsia="zh-CN"/>
              </w:rPr>
              <w:t>/</w:t>
            </w:r>
          </w:p>
          <w:p w14:paraId="773C0C29">
            <w:pPr>
              <w:spacing w:line="360" w:lineRule="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lang w:val="en-US" w:eastAsia="zh-CN"/>
              </w:rPr>
              <w:t>/</w:t>
            </w:r>
          </w:p>
          <w:p w14:paraId="65DD78E7">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13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B0F661B">
            <w:pPr>
              <w:pStyle w:val="43"/>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6.1</w:t>
            </w:r>
          </w:p>
        </w:tc>
        <w:tc>
          <w:tcPr>
            <w:tcW w:w="1160" w:type="pct"/>
            <w:vAlign w:val="center"/>
          </w:tcPr>
          <w:p w14:paraId="2E44F299">
            <w:pPr>
              <w:pStyle w:val="42"/>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2AD70EAE">
            <w:pPr>
              <w:pStyle w:val="42"/>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23</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035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6E2BC835">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60" w:type="pct"/>
            <w:vAlign w:val="center"/>
          </w:tcPr>
          <w:p w14:paraId="769F075D">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0B791D4E">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 xml:space="preserve"> / </w:t>
            </w:r>
            <w:r>
              <w:rPr>
                <w:rFonts w:ascii="宋体" w:hAnsi="宋体" w:eastAsia="宋体"/>
                <w:b w:val="0"/>
                <w:color w:val="auto"/>
                <w:sz w:val="24"/>
                <w:highlight w:val="none"/>
              </w:rPr>
              <w:t>个包</w:t>
            </w:r>
          </w:p>
          <w:p w14:paraId="3DD99DAE">
            <w:pPr>
              <w:pStyle w:val="42"/>
              <w:widowControl w:val="0"/>
              <w:spacing w:before="0" w:beforeAutospacing="0" w:after="0" w:afterAutospacing="0" w:line="360" w:lineRule="auto"/>
              <w:jc w:val="both"/>
              <w:rPr>
                <w:rFonts w:hint="default" w:ascii="宋体" w:hAnsi="宋体" w:eastAsia="宋体"/>
                <w:b w:val="0"/>
                <w:color w:val="auto"/>
                <w:sz w:val="24"/>
                <w:highlight w:val="none"/>
                <w:lang w:val="en-US"/>
              </w:rPr>
            </w:pPr>
            <w:r>
              <w:rPr>
                <w:rFonts w:hint="eastAsia" w:ascii="宋体" w:hAnsi="宋体" w:eastAsia="宋体"/>
                <w:b w:val="0"/>
                <w:color w:val="auto"/>
                <w:sz w:val="24"/>
                <w:highlight w:val="none"/>
              </w:rPr>
              <w:t>供应商</w:t>
            </w:r>
            <w:r>
              <w:rPr>
                <w:rFonts w:hint="eastAsia" w:ascii="宋体" w:hAnsi="宋体" w:eastAsia="宋体"/>
                <w:b w:val="0"/>
                <w:bCs w:val="0"/>
                <w:color w:val="auto"/>
                <w:sz w:val="24"/>
                <w:szCs w:val="24"/>
                <w:highlight w:val="none"/>
              </w:rPr>
              <w:t>参加</w:t>
            </w:r>
            <w:r>
              <w:rPr>
                <w:rFonts w:hint="eastAsia" w:ascii="宋体" w:hAnsi="宋体" w:eastAsia="宋体"/>
                <w:b w:val="0"/>
                <w:color w:val="auto"/>
                <w:sz w:val="24"/>
                <w:highlight w:val="none"/>
              </w:rPr>
              <w:t>多个包谈判的成交</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color w:val="auto"/>
                <w:sz w:val="24"/>
                <w:highlight w:val="none"/>
                <w:u w:val="single"/>
                <w:lang w:val="en-US" w:eastAsia="zh-CN"/>
              </w:rPr>
              <w:t xml:space="preserve"> / </w:t>
            </w:r>
          </w:p>
        </w:tc>
      </w:tr>
      <w:tr w14:paraId="43A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2" w:type="pct"/>
            <w:vAlign w:val="center"/>
          </w:tcPr>
          <w:p w14:paraId="598ED81A">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10</w:t>
            </w:r>
            <w:r>
              <w:rPr>
                <w:rFonts w:ascii="宋体" w:hAnsi="宋体" w:eastAsia="宋体"/>
                <w:bCs/>
                <w:color w:val="auto"/>
                <w:kern w:val="2"/>
                <w:highlight w:val="none"/>
              </w:rPr>
              <w:t>.1</w:t>
            </w:r>
          </w:p>
        </w:tc>
        <w:tc>
          <w:tcPr>
            <w:tcW w:w="1160" w:type="pct"/>
            <w:vAlign w:val="center"/>
          </w:tcPr>
          <w:p w14:paraId="71CD4336">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7" w:type="pct"/>
            <w:vAlign w:val="center"/>
          </w:tcPr>
          <w:p w14:paraId="65074E0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DE3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46D747D">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D7A7E4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7" w:type="pct"/>
            <w:vAlign w:val="center"/>
          </w:tcPr>
          <w:p w14:paraId="12D0BFE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FD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B198A2C">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p>
        </w:tc>
        <w:tc>
          <w:tcPr>
            <w:tcW w:w="1160" w:type="pct"/>
            <w:vAlign w:val="center"/>
          </w:tcPr>
          <w:p w14:paraId="47C241F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29B7BCB4">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60</w:t>
            </w:r>
            <w:r>
              <w:rPr>
                <w:rFonts w:hint="eastAsia" w:ascii="宋体" w:hAnsi="宋体" w:eastAsia="宋体"/>
                <w:b w:val="0"/>
                <w:color w:val="auto"/>
                <w:sz w:val="24"/>
                <w:highlight w:val="none"/>
              </w:rPr>
              <w:t>分钟内</w:t>
            </w:r>
            <w:r>
              <w:rPr>
                <w:rFonts w:hint="eastAsia" w:ascii="宋体" w:hAnsi="宋体" w:eastAsia="宋体"/>
                <w:color w:val="auto"/>
                <w:sz w:val="24"/>
                <w:highlight w:val="none"/>
              </w:rPr>
              <w:t>（以本项目网上招投标系统解密倒计时为准）</w:t>
            </w:r>
          </w:p>
        </w:tc>
      </w:tr>
      <w:tr w14:paraId="7E73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6ED70F3">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14</w:t>
            </w:r>
            <w:r>
              <w:rPr>
                <w:rFonts w:hint="eastAsia" w:ascii="宋体" w:hAnsi="宋体" w:eastAsia="宋体"/>
                <w:bCs/>
                <w:color w:val="auto"/>
                <w:kern w:val="2"/>
                <w:highlight w:val="none"/>
              </w:rPr>
              <w:t>.3</w:t>
            </w:r>
          </w:p>
        </w:tc>
        <w:tc>
          <w:tcPr>
            <w:tcW w:w="1160" w:type="pct"/>
            <w:vAlign w:val="center"/>
          </w:tcPr>
          <w:p w14:paraId="530FA6C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32726157">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最低评标价法</w:t>
            </w:r>
          </w:p>
        </w:tc>
      </w:tr>
      <w:tr w14:paraId="1BA2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7819E47">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rPr>
              <w:t>4</w:t>
            </w:r>
          </w:p>
        </w:tc>
        <w:tc>
          <w:tcPr>
            <w:tcW w:w="1160" w:type="pct"/>
            <w:vAlign w:val="center"/>
          </w:tcPr>
          <w:p w14:paraId="56566A4B">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最后报价扣除</w:t>
            </w:r>
          </w:p>
        </w:tc>
        <w:tc>
          <w:tcPr>
            <w:tcW w:w="3267" w:type="pct"/>
            <w:vAlign w:val="center"/>
          </w:tcPr>
          <w:p w14:paraId="79E4DC6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6FDA663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74092575">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2D1B310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1249DA62">
            <w:pPr>
              <w:pStyle w:val="42"/>
              <w:widowControl w:val="0"/>
              <w:spacing w:before="0" w:beforeAutospacing="0" w:after="0" w:afterAutospacing="0" w:line="360" w:lineRule="auto"/>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p w14:paraId="2FC3F603">
            <w:pPr>
              <w:keepNext w:val="0"/>
              <w:keepLines w:val="0"/>
              <w:pageBreakBefore w:val="0"/>
              <w:kinsoku/>
              <w:overflowPunct/>
              <w:topLinePunct/>
              <w:autoSpaceDE/>
              <w:autoSpaceDN/>
              <w:bidi w:val="0"/>
              <w:spacing w:line="520" w:lineRule="exact"/>
              <w:textAlignment w:val="auto"/>
              <w:rPr>
                <w:rFonts w:hint="eastAsia" w:ascii="宋体" w:hAnsi="宋体" w:eastAsia="宋体"/>
                <w:b w:val="0"/>
                <w:i/>
                <w:color w:val="auto"/>
                <w:sz w:val="24"/>
                <w:highlight w:val="none"/>
                <w:lang w:val="en-US" w:eastAsia="zh-CN"/>
              </w:rPr>
            </w:pPr>
            <w:r>
              <w:rPr>
                <w:rFonts w:hint="eastAsia" w:ascii="宋体" w:hAnsi="宋体" w:eastAsia="宋体" w:cs="宋体"/>
                <w:b/>
                <w:bCs/>
                <w:color w:val="auto"/>
                <w:sz w:val="24"/>
                <w:szCs w:val="24"/>
                <w:highlight w:val="none"/>
              </w:rPr>
              <w:t>本项目为面向中小企业预留份额的采购包，专门面向中小企业采购。专门面向中小企业采购的项目或者采购包，不再执行价格评审优惠的扶持政策。</w:t>
            </w:r>
          </w:p>
        </w:tc>
      </w:tr>
      <w:tr w14:paraId="100D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4BC6456F">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p w14:paraId="6A3132CE">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restart"/>
            <w:vAlign w:val="center"/>
          </w:tcPr>
          <w:p w14:paraId="7882D0F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7" w:type="pct"/>
            <w:vAlign w:val="center"/>
          </w:tcPr>
          <w:p w14:paraId="3A223639">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20B15733">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089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29726A84">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p>
        </w:tc>
        <w:tc>
          <w:tcPr>
            <w:tcW w:w="1160" w:type="pct"/>
            <w:vMerge w:val="continue"/>
            <w:vAlign w:val="center"/>
          </w:tcPr>
          <w:p w14:paraId="6E06244F">
            <w:pPr>
              <w:pStyle w:val="42"/>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7915C89F">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CDD0E22">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采购人确定</w:t>
            </w:r>
          </w:p>
        </w:tc>
      </w:tr>
      <w:tr w14:paraId="5F96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C04D2B5">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4DFA21CC">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随</w:t>
            </w:r>
            <w:r>
              <w:rPr>
                <w:rFonts w:hint="eastAsia" w:ascii="宋体" w:hAnsi="宋体" w:eastAsia="宋体"/>
                <w:b w:val="0"/>
                <w:color w:val="auto"/>
                <w:sz w:val="24"/>
                <w:highlight w:val="none"/>
                <w:lang w:val="en-US" w:eastAsia="zh-CN"/>
              </w:rPr>
              <w:t>成交</w:t>
            </w:r>
            <w:r>
              <w:rPr>
                <w:rFonts w:hint="eastAsia" w:ascii="宋体" w:hAnsi="宋体" w:eastAsia="宋体"/>
                <w:b w:val="0"/>
                <w:color w:val="auto"/>
                <w:sz w:val="24"/>
                <w:highlight w:val="none"/>
              </w:rPr>
              <w:t>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67" w:type="pct"/>
            <w:vAlign w:val="center"/>
          </w:tcPr>
          <w:p w14:paraId="4A412053">
            <w:pPr>
              <w:pStyle w:val="42"/>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68F532DE">
            <w:pPr>
              <w:pStyle w:val="42"/>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0F4556FE">
            <w:pPr>
              <w:pStyle w:val="42"/>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）因落实政府采购政策等原因进行价格扣除后中标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供应商的评审报价</w:t>
            </w:r>
            <w:r>
              <w:rPr>
                <w:rFonts w:hint="eastAsia" w:ascii="宋体" w:hAnsi="宋体" w:eastAsia="宋体"/>
                <w:b w:val="0"/>
                <w:color w:val="auto"/>
                <w:sz w:val="24"/>
                <w:highlight w:val="none"/>
                <w:u w:val="none"/>
                <w:lang w:eastAsia="zh-CN"/>
              </w:rPr>
              <w:t>；</w:t>
            </w:r>
          </w:p>
        </w:tc>
      </w:tr>
      <w:tr w14:paraId="3449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5C0980B">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23</w:t>
            </w:r>
            <w:r>
              <w:rPr>
                <w:rFonts w:ascii="宋体" w:hAnsi="宋体" w:eastAsia="宋体"/>
                <w:bCs/>
                <w:color w:val="auto"/>
                <w:kern w:val="2"/>
                <w:highlight w:val="none"/>
              </w:rPr>
              <w:t>.1</w:t>
            </w:r>
          </w:p>
        </w:tc>
        <w:tc>
          <w:tcPr>
            <w:tcW w:w="1160" w:type="pct"/>
            <w:vAlign w:val="center"/>
          </w:tcPr>
          <w:p w14:paraId="4BC1871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3C3170B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数据电文</w:t>
            </w:r>
          </w:p>
          <w:p w14:paraId="7A5E240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特别提醒：本项目发布成交结果公告的同时，通过电子交易系统向成交供应商发出成交通知书。成交通知书发出视为已送达，供应商应主动登录电子交易系统查询，采购人和采购代理机构不承担供应商未及时关注相关信息引发的相关责任。</w:t>
            </w:r>
          </w:p>
        </w:tc>
      </w:tr>
      <w:tr w14:paraId="2A89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2F7D0B8">
            <w:pPr>
              <w:pStyle w:val="43"/>
              <w:pBdr>
                <w:bottom w:val="none" w:color="auto" w:sz="0" w:space="0"/>
              </w:pBdr>
              <w:tabs>
                <w:tab w:val="clear" w:pos="4153"/>
                <w:tab w:val="clear" w:pos="8306"/>
              </w:tabs>
              <w:adjustRightInd/>
              <w:spacing w:line="24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cs="宋体"/>
                <w:b w:val="0"/>
                <w:bCs/>
                <w:color w:val="auto"/>
                <w:sz w:val="24"/>
                <w:szCs w:val="24"/>
                <w:highlight w:val="none"/>
                <w:lang w:val="en-US" w:eastAsia="zh-CN"/>
              </w:rPr>
              <w:t>24.1</w:t>
            </w:r>
          </w:p>
        </w:tc>
        <w:tc>
          <w:tcPr>
            <w:tcW w:w="1160" w:type="pct"/>
            <w:vAlign w:val="center"/>
          </w:tcPr>
          <w:p w14:paraId="0D5533CC">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告知谈判结果的形式</w:t>
            </w:r>
          </w:p>
        </w:tc>
        <w:tc>
          <w:tcPr>
            <w:tcW w:w="3267" w:type="pct"/>
            <w:vAlign w:val="center"/>
          </w:tcPr>
          <w:p w14:paraId="090298B3">
            <w:pPr>
              <w:pStyle w:val="42"/>
              <w:widowControl w:val="0"/>
              <w:spacing w:before="0" w:beforeAutospacing="0" w:after="0" w:afterAutospacing="0" w:line="360" w:lineRule="auto"/>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b w:val="0"/>
                <w:bCs/>
                <w:color w:val="auto"/>
                <w:sz w:val="24"/>
                <w:szCs w:val="24"/>
                <w:highlight w:val="none"/>
                <w:lang w:val="en-US" w:eastAsia="zh-CN"/>
              </w:rPr>
              <w:t>系统查看</w:t>
            </w:r>
          </w:p>
          <w:p w14:paraId="14297F25">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lang w:val="en-US" w:eastAsia="zh-CN"/>
              </w:rPr>
              <w:t>□</w:t>
            </w:r>
            <w:r>
              <w:rPr>
                <w:rFonts w:hint="eastAsia" w:ascii="宋体" w:hAnsi="宋体" w:eastAsia="宋体"/>
                <w:b w:val="0"/>
                <w:color w:val="auto"/>
                <w:sz w:val="24"/>
                <w:highlight w:val="none"/>
                <w:lang w:val="en-US" w:eastAsia="zh-CN"/>
              </w:rPr>
              <w:t>谈判现场告知</w:t>
            </w:r>
          </w:p>
        </w:tc>
      </w:tr>
      <w:tr w14:paraId="18D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CE8752C">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65C5036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35AE17F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5D240D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28AB16DE">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7149D72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24CEEE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9828D4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2A226819">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A63341">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0D2C6299">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178129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EAE3B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14F2DE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41A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AFD40F8">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1484AF8">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代理费用</w:t>
            </w:r>
          </w:p>
        </w:tc>
        <w:tc>
          <w:tcPr>
            <w:tcW w:w="3267" w:type="pct"/>
            <w:vAlign w:val="center"/>
          </w:tcPr>
          <w:p w14:paraId="6E6DD2F0">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color w:val="auto"/>
                <w:spacing w:val="14"/>
                <w:sz w:val="24"/>
                <w:szCs w:val="24"/>
                <w:highlight w:val="none"/>
                <w:lang w:val="en-US" w:eastAsia="zh-CN"/>
              </w:rPr>
              <w:t>供应商</w:t>
            </w:r>
          </w:p>
          <w:p w14:paraId="6059FDCB">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成交供应商</w:t>
            </w:r>
            <w:r>
              <w:rPr>
                <w:rFonts w:hint="eastAsia" w:ascii="宋体" w:hAnsi="宋体" w:eastAsia="宋体" w:cs="宋体"/>
                <w:color w:val="auto"/>
                <w:sz w:val="24"/>
                <w:szCs w:val="24"/>
                <w:highlight w:val="none"/>
                <w:u w:val="single"/>
              </w:rPr>
              <w:t>在获取成交通知书时一次性支付给代理机构</w:t>
            </w:r>
          </w:p>
          <w:p w14:paraId="7613C01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kern w:val="2"/>
                <w:sz w:val="24"/>
                <w:szCs w:val="24"/>
                <w:highlight w:val="none"/>
                <w:u w:val="single"/>
                <w:lang w:val="en-US" w:eastAsia="zh-CN"/>
              </w:rPr>
              <w:t>参考</w:t>
            </w:r>
            <w:r>
              <w:rPr>
                <w:rFonts w:hint="eastAsia" w:ascii="宋体" w:hAnsi="宋体" w:eastAsia="宋体" w:cs="宋体"/>
                <w:b w:val="0"/>
                <w:bCs w:val="0"/>
                <w:color w:val="auto"/>
                <w:kern w:val="2"/>
                <w:sz w:val="24"/>
                <w:szCs w:val="24"/>
                <w:highlight w:val="none"/>
                <w:u w:val="single"/>
              </w:rPr>
              <w:t>《关于进一步明确代理费计取标准的通知》滁公管综〔2023〕19号</w:t>
            </w:r>
            <w:r>
              <w:rPr>
                <w:rFonts w:hint="eastAsia" w:ascii="宋体" w:hAnsi="宋体" w:eastAsia="宋体" w:cs="宋体"/>
                <w:b w:val="0"/>
                <w:bCs w:val="0"/>
                <w:color w:val="auto"/>
                <w:kern w:val="2"/>
                <w:sz w:val="24"/>
                <w:szCs w:val="24"/>
                <w:highlight w:val="none"/>
                <w:u w:val="single"/>
                <w:lang w:val="en-US" w:eastAsia="zh-CN"/>
              </w:rPr>
              <w:t>文件</w:t>
            </w:r>
            <w:r>
              <w:rPr>
                <w:rFonts w:hint="eastAsia" w:ascii="宋体" w:hAnsi="宋体" w:eastAsia="宋体" w:cs="宋体"/>
                <w:b w:val="0"/>
                <w:bCs w:val="0"/>
                <w:color w:val="auto"/>
                <w:kern w:val="2"/>
                <w:sz w:val="24"/>
                <w:szCs w:val="24"/>
                <w:highlight w:val="none"/>
                <w:u w:val="single"/>
              </w:rPr>
              <w:t>，以最高限价（控制价）计算</w:t>
            </w:r>
            <w:r>
              <w:rPr>
                <w:rFonts w:hint="eastAsia" w:ascii="宋体" w:hAnsi="宋体" w:eastAsia="宋体" w:cs="宋体"/>
                <w:b w:val="0"/>
                <w:bCs w:val="0"/>
                <w:color w:val="auto"/>
                <w:kern w:val="2"/>
                <w:sz w:val="24"/>
                <w:szCs w:val="24"/>
                <w:highlight w:val="none"/>
                <w:u w:val="single"/>
                <w:lang w:eastAsia="zh-CN"/>
              </w:rPr>
              <w:t>；</w:t>
            </w:r>
            <w:r>
              <w:rPr>
                <w:rFonts w:hint="eastAsia" w:ascii="宋体" w:hAnsi="宋体" w:eastAsia="宋体" w:cs="宋体"/>
                <w:b w:val="0"/>
                <w:bCs w:val="0"/>
                <w:color w:val="auto"/>
                <w:kern w:val="2"/>
                <w:sz w:val="24"/>
                <w:szCs w:val="24"/>
                <w:highlight w:val="none"/>
                <w:u w:val="single"/>
                <w:lang w:val="en-US" w:eastAsia="zh-CN"/>
              </w:rPr>
              <w:t>本项目代理费用4100元。</w:t>
            </w:r>
          </w:p>
        </w:tc>
      </w:tr>
      <w:tr w14:paraId="791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89C59C4">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02905B4B">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2500118A">
            <w:pPr>
              <w:pStyle w:val="42"/>
              <w:widowControl w:val="0"/>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b w:val="0"/>
                <w:bCs/>
                <w:color w:val="auto"/>
                <w:sz w:val="24"/>
                <w:highlight w:val="none"/>
                <w:lang w:val="en-US" w:eastAsia="zh-CN"/>
              </w:rPr>
              <w:t>（1）</w:t>
            </w:r>
            <w:r>
              <w:rPr>
                <w:rFonts w:hint="eastAsia" w:ascii="宋体" w:hAnsi="宋体" w:eastAsia="宋体"/>
                <w:b w:val="0"/>
                <w:bCs/>
                <w:color w:val="auto"/>
                <w:sz w:val="24"/>
                <w:highlight w:val="none"/>
                <w:lang w:val="en-US" w:eastAsia="zh-CN"/>
              </w:rPr>
              <w:t>采购人与成交供应商应当自发出成交通知书之日起7个工作日内签订合同，采购合同签订之日起2个工作日内完成政府采购合同公开。</w:t>
            </w:r>
          </w:p>
          <w:p w14:paraId="4850BDDA">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02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0B20C72">
            <w:pPr>
              <w:pStyle w:val="43"/>
              <w:pBdr>
                <w:bottom w:val="none" w:color="auto" w:sz="0" w:space="0"/>
              </w:pBdr>
              <w:tabs>
                <w:tab w:val="clear" w:pos="4153"/>
                <w:tab w:val="clear" w:pos="8306"/>
              </w:tabs>
              <w:adjustRightInd/>
              <w:spacing w:line="240" w:lineRule="auto"/>
              <w:textAlignment w:val="auto"/>
              <w:rPr>
                <w:rFonts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523AA2BD">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627F78AF">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lang w:val="en-US" w:eastAsia="zh-CN"/>
              </w:rPr>
              <w:t>如供应商对谈判文件有质疑，依据中华人民共和国财政部令第94号《政府采购质疑和投诉办法》规定提出质疑；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lang w:val="en-US" w:eastAsia="zh-CN"/>
              </w:rPr>
              <w:t xml:space="preserve">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 </w:t>
            </w:r>
          </w:p>
          <w:p w14:paraId="66035E77">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val="en-US" w:eastAsia="zh-CN"/>
              </w:rPr>
              <w:t>滁州市重点工程建设管理处</w:t>
            </w:r>
            <w:r>
              <w:rPr>
                <w:rFonts w:hint="eastAsia" w:ascii="宋体" w:hAnsi="宋体" w:eastAsia="宋体" w:cs="宋体"/>
                <w:b w:val="0"/>
                <w:bCs w:val="0"/>
                <w:color w:val="auto"/>
                <w:sz w:val="24"/>
                <w:szCs w:val="24"/>
                <w:highlight w:val="none"/>
                <w:u w:val="single"/>
                <w:lang w:val="en-US" w:eastAsia="zh-CN"/>
              </w:rPr>
              <w:t>、滁州市城投工程咨询管理有限公司</w:t>
            </w:r>
          </w:p>
          <w:p w14:paraId="469CD112">
            <w:pPr>
              <w:pStyle w:val="42"/>
              <w:keepNext w:val="0"/>
              <w:keepLines w:val="0"/>
              <w:pageBreakBefore w:val="0"/>
              <w:widowControl w:val="0"/>
              <w:kinsoku/>
              <w:overflowPunct/>
              <w:autoSpaceDE/>
              <w:autoSpaceDN/>
              <w:bidi w:val="0"/>
              <w:spacing w:before="0" w:beforeAutospacing="0" w:after="0" w:afterAutospacing="0" w:line="520" w:lineRule="exact"/>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kern w:val="0"/>
                <w:sz w:val="24"/>
                <w:szCs w:val="24"/>
                <w:highlight w:val="none"/>
                <w:u w:val="single"/>
                <w:lang w:val="en-US" w:eastAsia="zh-CN"/>
              </w:rPr>
              <w:t>0550-3046029、0550-3519590</w:t>
            </w:r>
            <w:r>
              <w:rPr>
                <w:rFonts w:hint="eastAsia" w:ascii="宋体" w:hAnsi="宋体" w:eastAsia="宋体" w:cs="宋体"/>
                <w:b w:val="0"/>
                <w:bCs/>
                <w:color w:val="auto"/>
                <w:kern w:val="0"/>
                <w:sz w:val="24"/>
                <w:szCs w:val="24"/>
                <w:highlight w:val="none"/>
                <w:u w:val="single"/>
              </w:rPr>
              <w:t xml:space="preserve"> </w:t>
            </w:r>
          </w:p>
          <w:p w14:paraId="09ED8327">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color w:val="auto"/>
                <w:sz w:val="24"/>
                <w:szCs w:val="24"/>
                <w:highlight w:val="none"/>
              </w:rPr>
              <w:t>通讯地址：</w:t>
            </w:r>
            <w:r>
              <w:rPr>
                <w:rFonts w:hint="eastAsia" w:ascii="宋体" w:hAnsi="宋体" w:eastAsia="宋体" w:cs="宋体"/>
                <w:b w:val="0"/>
                <w:bCs/>
                <w:color w:val="auto"/>
                <w:kern w:val="0"/>
                <w:sz w:val="24"/>
                <w:szCs w:val="24"/>
                <w:highlight w:val="none"/>
                <w:u w:val="single"/>
                <w:lang w:val="en-US" w:eastAsia="zh-CN"/>
              </w:rPr>
              <w:t>滁州市琅琊西路81号建设大厦4楼</w:t>
            </w:r>
            <w:r>
              <w:rPr>
                <w:rFonts w:hint="eastAsia" w:ascii="宋体" w:hAnsi="宋体" w:eastAsia="宋体" w:cs="宋体"/>
                <w:b w:val="0"/>
                <w:bCs/>
                <w:color w:val="auto"/>
                <w:kern w:val="0"/>
                <w:sz w:val="24"/>
                <w:szCs w:val="24"/>
                <w:highlight w:val="none"/>
                <w:u w:val="single"/>
                <w:lang w:eastAsia="zh-CN"/>
              </w:rPr>
              <w:t>、滁州市龙蟠大道109号房产大厦6楼</w:t>
            </w:r>
          </w:p>
        </w:tc>
      </w:tr>
      <w:tr w14:paraId="3212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5FC02EB">
            <w:pPr>
              <w:pStyle w:val="43"/>
              <w:pBdr>
                <w:bottom w:val="none" w:color="auto" w:sz="0" w:space="0"/>
              </w:pBdr>
              <w:tabs>
                <w:tab w:val="clear" w:pos="4153"/>
                <w:tab w:val="clear" w:pos="8306"/>
              </w:tabs>
              <w:adjustRightInd/>
              <w:spacing w:line="240" w:lineRule="auto"/>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30</w:t>
            </w:r>
          </w:p>
        </w:tc>
        <w:tc>
          <w:tcPr>
            <w:tcW w:w="1160" w:type="pct"/>
            <w:vAlign w:val="center"/>
          </w:tcPr>
          <w:p w14:paraId="08394BD7">
            <w:pPr>
              <w:pStyle w:val="42"/>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其他内容</w:t>
            </w:r>
          </w:p>
        </w:tc>
        <w:tc>
          <w:tcPr>
            <w:tcW w:w="3267" w:type="pct"/>
            <w:vAlign w:val="center"/>
          </w:tcPr>
          <w:p w14:paraId="0CCFBD36">
            <w:pPr>
              <w:pStyle w:val="42"/>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E92143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val="en-US" w:eastAsia="zh-CN"/>
              </w:rPr>
              <w:t>谈判</w:t>
            </w:r>
            <w:r>
              <w:rPr>
                <w:rFonts w:asciiTheme="minorEastAsia" w:hAnsiTheme="minorEastAsia" w:eastAsiaTheme="minorEastAsia"/>
                <w:bCs/>
                <w:color w:val="auto"/>
                <w:sz w:val="24"/>
                <w:szCs w:val="24"/>
                <w:highlight w:val="none"/>
              </w:rPr>
              <w:t>文件的各个组成文件应互为解释，互为说明；</w:t>
            </w:r>
          </w:p>
          <w:p w14:paraId="7F5A2B33">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28B02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9D2CEAF">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53D08F11">
            <w:pPr>
              <w:pStyle w:val="42"/>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62F3FB19">
            <w:pPr>
              <w:pStyle w:val="20"/>
              <w:widowControl/>
              <w:spacing w:before="0" w:beforeAutospacing="0" w:after="0" w:afterAutospacing="0" w:line="480" w:lineRule="exact"/>
              <w:rPr>
                <w:rFonts w:ascii="宋体" w:hAnsi="宋体" w:eastAsia="宋体" w:cs="宋体"/>
                <w:color w:val="auto"/>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宋体" w:hAnsi="宋体" w:eastAsia="宋体" w:cs="宋体"/>
                <w:color w:val="auto"/>
                <w:szCs w:val="24"/>
                <w:highlight w:val="none"/>
              </w:rPr>
              <w:t>“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成交供应商融资申请信息推送第三方平台、意向金融机构。</w:t>
            </w:r>
          </w:p>
          <w:p w14:paraId="739B7E41">
            <w:pPr>
              <w:pStyle w:val="20"/>
              <w:spacing w:before="0" w:beforeAutospacing="0" w:after="0" w:afterAutospacing="0"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3、电子保函指引：成交供应商可访问安徽省政府采购网“融资/保函”栏目，申请办理电子保函（包括：履约保函、预付款保函）。</w:t>
            </w:r>
          </w:p>
          <w:p w14:paraId="21F1C370">
            <w:pPr>
              <w:pStyle w:val="20"/>
              <w:spacing w:before="0" w:beforeAutospacing="0" w:after="0" w:afterAutospacing="0" w:line="360" w:lineRule="auto"/>
              <w:jc w:val="both"/>
              <w:rPr>
                <w:rFonts w:ascii="宋体" w:hAnsi="宋体" w:eastAsia="宋体" w:cs="@仿宋_GB2312"/>
                <w:bCs/>
                <w:color w:val="auto"/>
                <w:kern w:val="2"/>
                <w:szCs w:val="24"/>
                <w:highlight w:val="none"/>
              </w:rPr>
            </w:pPr>
            <w:r>
              <w:rPr>
                <w:rFonts w:hint="eastAsia" w:cs="@仿宋_GB2312" w:asciiTheme="minorEastAsia" w:hAnsiTheme="minorEastAsia" w:eastAsiaTheme="minorEastAsia"/>
                <w:bCs/>
                <w:color w:val="auto"/>
                <w:kern w:val="2"/>
                <w:szCs w:val="24"/>
                <w:highlight w:val="none"/>
              </w:rPr>
              <w:t>4.</w:t>
            </w:r>
            <w:r>
              <w:rPr>
                <w:rFonts w:hint="eastAsia" w:ascii="宋体" w:hAnsi="宋体" w:eastAsia="宋体" w:cs="宋体"/>
                <w:bCs/>
                <w:color w:val="auto"/>
                <w:kern w:val="2"/>
                <w:szCs w:val="24"/>
                <w:highlight w:val="none"/>
              </w:rPr>
              <w:t>部分可提供线下政采贷的金融机构：</w:t>
            </w:r>
          </w:p>
          <w:p w14:paraId="0C06704F">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市本级</w:t>
            </w:r>
          </w:p>
          <w:p w14:paraId="0FBDDC9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金融机构名称：兴业银行滁州分行</w:t>
            </w:r>
          </w:p>
          <w:p w14:paraId="4BF9B5B1">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安徽省滁州市琅琊区丰乐大道1090号</w:t>
            </w:r>
          </w:p>
          <w:p w14:paraId="5A729B3B">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伏庚：17755080811</w:t>
            </w:r>
          </w:p>
          <w:p w14:paraId="1F1404A7">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琅琊区</w:t>
            </w:r>
          </w:p>
          <w:p w14:paraId="372CF591">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金融机构名称：滁州皖东农村商业银行城中支行 </w:t>
            </w:r>
          </w:p>
          <w:p w14:paraId="775E393E">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地址：滁州经济技术开发区清流西路248号</w:t>
            </w:r>
          </w:p>
          <w:p w14:paraId="19C15F1A">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联系人及电话：杨行长13855011150刘经理18019805345</w:t>
            </w:r>
          </w:p>
          <w:p w14:paraId="7A4F688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南谯区</w:t>
            </w:r>
          </w:p>
          <w:p w14:paraId="7A20BE8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金融机构名称：滁州皖东农村商业银行城中支行 </w:t>
            </w:r>
          </w:p>
          <w:p w14:paraId="09EF2F16">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地址：滁州经济技术开发区清流西路248号</w:t>
            </w:r>
          </w:p>
          <w:p w14:paraId="610443B0">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联系人及电话：杨行长13855011150刘经理18019805345</w:t>
            </w:r>
          </w:p>
          <w:p w14:paraId="468FC59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天长市</w:t>
            </w:r>
          </w:p>
          <w:p w14:paraId="56431FF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金融机构名称：安徽桐城农村商业银行股份有限公司天长支行</w:t>
            </w:r>
          </w:p>
          <w:p w14:paraId="3B7776CA">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地址：天长市广陵中路1号楼金太阳老年公寓21号综合楼1-2层</w:t>
            </w:r>
          </w:p>
          <w:p w14:paraId="7044E390">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联系人及电话：卢晓明 18355006669</w:t>
            </w:r>
          </w:p>
          <w:p w14:paraId="5FF0AD6A">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金融机构：中国建设银行股份有限公司天长支行</w:t>
            </w:r>
          </w:p>
          <w:p w14:paraId="7D1DA1B5">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地址：安徽省天长市永福中路</w:t>
            </w:r>
          </w:p>
          <w:p w14:paraId="749EFFA5">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联系人及电话：刘爽 15655033366</w:t>
            </w:r>
          </w:p>
          <w:p w14:paraId="6BF09C0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金融机构名称：中国工商银行股份有限公司天长支行</w:t>
            </w:r>
          </w:p>
          <w:p w14:paraId="62F6F5B9">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地址：安徽省天长市石梁东路</w:t>
            </w:r>
          </w:p>
          <w:p w14:paraId="5090F9E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联系人及电话：倪永生 13855043777</w:t>
            </w:r>
          </w:p>
          <w:p w14:paraId="5504B140">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明光市</w:t>
            </w:r>
          </w:p>
          <w:p w14:paraId="1602254D">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金融机构名称：安徽明光民丰村镇银行有限责任公司</w:t>
            </w:r>
          </w:p>
          <w:p w14:paraId="367F324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地址：安徽省明光市池河大道 618 号</w:t>
            </w:r>
          </w:p>
          <w:p w14:paraId="79121C9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联系人及电话：唐玉超 17755082100</w:t>
            </w:r>
          </w:p>
          <w:p w14:paraId="295E3830">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金融机构名称：徽商银行明光支行</w:t>
            </w:r>
          </w:p>
          <w:p w14:paraId="331C423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地址：安徽省明光市韩山路 195 号</w:t>
            </w:r>
          </w:p>
          <w:p w14:paraId="1F3D78C5">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联系人及电话：李文龙 18019803518</w:t>
            </w:r>
          </w:p>
          <w:p w14:paraId="30949E85">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金融机构名称：安徽明光农村商业银行股份有限公司</w:t>
            </w:r>
          </w:p>
          <w:p w14:paraId="4FA6498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地址：安徽省明光市龙山东路 30 号</w:t>
            </w:r>
          </w:p>
          <w:p w14:paraId="4EB11517">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联系人及电话：姚敏 13905506298</w:t>
            </w:r>
          </w:p>
          <w:p w14:paraId="330685C8">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金融机构名称：中国工商银行明光支行</w:t>
            </w:r>
          </w:p>
          <w:p w14:paraId="4C03331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地址：明光市车站路 301 号</w:t>
            </w:r>
          </w:p>
          <w:p w14:paraId="5AC56537">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联系人及电话：许春晖 18712040304</w:t>
            </w:r>
          </w:p>
          <w:p w14:paraId="2B239751">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来安县</w:t>
            </w:r>
          </w:p>
          <w:p w14:paraId="4B68A74B">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金融机构名称：安徽来安农村商业银行股份有限公司   </w:t>
            </w:r>
          </w:p>
          <w:p w14:paraId="16742F8E">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地址：安徽省来安县新安镇黎明路78号  </w:t>
            </w:r>
          </w:p>
          <w:p w14:paraId="11A58B8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 孙帅 18712050229</w:t>
            </w:r>
          </w:p>
          <w:p w14:paraId="2E92BF9E">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凤阳县</w:t>
            </w:r>
          </w:p>
          <w:p w14:paraId="16F01888">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金融机构名称：凤阳利民村镇银行 </w:t>
            </w:r>
          </w:p>
          <w:p w14:paraId="3763C2FC">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地址：安徽省滁州市凤阳县府城镇名城世家小区D区2幢1号商铺</w:t>
            </w:r>
          </w:p>
          <w:p w14:paraId="132F4B6F">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联系人及电话：宁聪 0550-6715501   </w:t>
            </w:r>
          </w:p>
          <w:p w14:paraId="77684339">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金融机构名称：凤阳农村商业银行股份有限公司 </w:t>
            </w:r>
          </w:p>
          <w:p w14:paraId="4E8C821C">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地址：凤阳县府城镇中都街道云霁路99号   </w:t>
            </w:r>
          </w:p>
          <w:p w14:paraId="2F195BC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联系人及电话：王龙纪 0550-6725047</w:t>
            </w:r>
          </w:p>
          <w:p w14:paraId="654FF23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全椒县</w:t>
            </w:r>
          </w:p>
          <w:p w14:paraId="7FC5D49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金融机构名称：徽商银行股份有限公全椒支行 </w:t>
            </w:r>
          </w:p>
          <w:p w14:paraId="50D5885E">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 xml:space="preserve">地址：安徽省滁州市全椒县儒林路广电大厦1楼 </w:t>
            </w:r>
          </w:p>
          <w:p w14:paraId="053BBFDD">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联系人及电话：宣东东 18855058765</w:t>
            </w:r>
          </w:p>
          <w:p w14:paraId="37ED64F7">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定远县</w:t>
            </w:r>
          </w:p>
          <w:p w14:paraId="6E072AF3">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金融机构名称：徽商银行股份有限公司定远支行</w:t>
            </w:r>
          </w:p>
          <w:p w14:paraId="5060767B">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地址：定远县长征路与合蚌路交叉口</w:t>
            </w:r>
          </w:p>
          <w:p w14:paraId="36EC236B">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联系人及电话：俞旭 13721071985</w:t>
            </w:r>
          </w:p>
          <w:p w14:paraId="19F1BD6C">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金融机构名称：中国银行股份有限公司定远支行</w:t>
            </w:r>
          </w:p>
          <w:p w14:paraId="754702BD">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地址：定远县定城镇东大街油坊巷西1号</w:t>
            </w:r>
          </w:p>
          <w:p w14:paraId="2B629485">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联系人及电话：米阳 13721071985</w:t>
            </w:r>
          </w:p>
          <w:p w14:paraId="3518848D">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金融机构名称：中国邮政储蓄银行股份有限公司定远县支行</w:t>
            </w:r>
          </w:p>
          <w:p w14:paraId="2E4A3408">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地址：定远县定城镇东大街中段（老供电局）邮储银行定远县支行</w:t>
            </w:r>
          </w:p>
          <w:p w14:paraId="481DE608">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联系人及电话：蒋宋、付文玲18055035230、18355281631</w:t>
            </w:r>
          </w:p>
          <w:p w14:paraId="2A49F4FF">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金融机构名称：安徽定远农村商业银行股份有限公司</w:t>
            </w:r>
          </w:p>
          <w:p w14:paraId="64E545FE">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地址：定远县戚继光大道197号新城支行</w:t>
            </w:r>
          </w:p>
          <w:p w14:paraId="258EBBB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联系人及电话：范大伟13505554639</w:t>
            </w:r>
          </w:p>
          <w:p w14:paraId="271E0E62">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金融机构名称：安徽定远民丰村镇银行股份有限公司</w:t>
            </w:r>
          </w:p>
          <w:p w14:paraId="4EDBAAFC">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地址：定远县定城镇长征中路</w:t>
            </w:r>
          </w:p>
          <w:p w14:paraId="1BBAFDC6">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联系人及电话：朱冬冬18155018299。</w:t>
            </w:r>
          </w:p>
          <w:p w14:paraId="22C7D214">
            <w:pPr>
              <w:pStyle w:val="20"/>
              <w:spacing w:before="0" w:beforeAutospacing="0" w:after="0" w:afterAutospacing="0" w:line="360" w:lineRule="auto"/>
              <w:jc w:val="both"/>
              <w:rPr>
                <w:rFonts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5、特别提示：</w:t>
            </w:r>
          </w:p>
          <w:p w14:paraId="2716948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（1）供应商应填写信息并下载谈判文件，否则无法上传响应文件。注：供应商如为联合体的,牵头人必须填写信息（信息包括联合体所有成员信息)并下载谈判文件。</w:t>
            </w:r>
          </w:p>
          <w:p w14:paraId="4177989D">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本项目采用电子招标投标，请供应商在滁州市公共资源交易中心网&gt;服务指南&gt;软件下载栏目点击下载投标文件制作工具。供应商需采用最新版投标文件制作工具。软件运行需在国际互联网络通畅状态，供应商需注意更新，以免造成响应文件制作错误，如因此导致谈判小组否决其参与资格，责任自负。如有技术问题请联系0550-3801701，4009980000。</w:t>
            </w:r>
          </w:p>
          <w:p w14:paraId="76655A54">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（3）如果过程中出现谈判文件更改，应以最后发布的答疑澄清文件中的模板制作本项目最新响应文件。</w:t>
            </w:r>
          </w:p>
          <w:p w14:paraId="5C2E14D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 xml:space="preserve">（4）供应商应当用本单位CA数字证书制作响应文件，制作成功后进行响应文件上传。 </w:t>
            </w:r>
          </w:p>
          <w:p w14:paraId="1B759E4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5D330ED">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（6）请供应商注意加密响应文件CA数字证书的有效期，不在有效期的CA数字证书无法解密响应文件。</w:t>
            </w:r>
          </w:p>
          <w:p w14:paraId="65FFB52E">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（7）供应商投标MAC地址或供应商联系人或联系电话相同的，由谈判小组否决其资格，并报告监管部门作不良行为处理和进一步调查。</w:t>
            </w:r>
          </w:p>
          <w:p w14:paraId="1084B26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（8）供应商单方面出现其他供应商材料的，由谈判小组否决其响应。</w:t>
            </w:r>
          </w:p>
          <w:p w14:paraId="5C0FB37E">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9）评审时查询响应文件制作机器码、文件创建标识码及造价软件加密锁号。若存在响应文件制作机器码或创建标识码或造价软件加密锁号信息与其他供应商雷同的，由谈判小组否决其资格，依法依规予以处理。</w:t>
            </w:r>
          </w:p>
          <w:p w14:paraId="220DA3E2">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10）电子加密响应文件上传到系统后，需要供应商和代理公司到响应文件提交截止后共同解锁，不存在商务报价等信息通过系统泄密的风险；响应文件提交截止时间前，已上传的响应文件也可以撤回修改。集中到响应文件提交截止时间前上传电子加密响应文件，可能出现由于供应商制作电子响应文件不熟练、网络拥堵等不可预知的情况而且无法及时解决，丧失响应机会，请各供应商提前制作、上传电子加密响应文件，否则由于无法及时上传电子加密响应文件而无效响应的情况，责任自负！</w:t>
            </w:r>
          </w:p>
          <w:p w14:paraId="7DFFF4E8">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6、评审过程中的澄清、说明或补正：</w:t>
            </w:r>
          </w:p>
          <w:p w14:paraId="5AC1A840">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谈判小组通过网上招投标系统将需要澄清、说明或补正的内容以询标函的形式发送给供应商，供应商应安排专人登录网上招投标系统并保持在线状态，并确保联系方式有效，以便及时接收谈判小组可能发出的询标函。</w:t>
            </w:r>
          </w:p>
          <w:p w14:paraId="37FA9FDC">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因供应商未登录网上招投标系统导致无法及时接收询标函（远程网上询标）或未在规定时间内按谈判小组要求进行澄清、说明或补正内容的视同供应商放弃澄清、说明或补正内容的权利，谈判小组可按对供应商不利的解释进行判定。</w:t>
            </w:r>
          </w:p>
          <w:p w14:paraId="71C44D98">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7.同义词语：</w:t>
            </w:r>
          </w:p>
          <w:p w14:paraId="1AEEE84F">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谈判文件第六章  响应文件格式、附件1“关于联合惩戒失信行为 加强信用查询管理的通知”等章节中 “招标人”、“投标人”，等同于“采购人”、“供应商”。</w:t>
            </w:r>
          </w:p>
          <w:p w14:paraId="66D23685">
            <w:pPr>
              <w:pStyle w:val="42"/>
              <w:widowControl w:val="0"/>
              <w:spacing w:before="0" w:beforeAutospacing="0" w:after="0" w:afterAutospacing="0" w:line="360" w:lineRule="auto"/>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lang w:val="en-US" w:eastAsia="zh-CN"/>
              </w:rPr>
              <w:t>8.</w:t>
            </w:r>
            <w:r>
              <w:rPr>
                <w:rFonts w:hint="eastAsia" w:asciiTheme="minorEastAsia" w:hAnsiTheme="minorEastAsia" w:eastAsiaTheme="minorEastAsia"/>
                <w:b w:val="0"/>
                <w:color w:val="auto"/>
                <w:kern w:val="2"/>
                <w:sz w:val="24"/>
                <w:szCs w:val="24"/>
                <w:highlight w:val="none"/>
              </w:rPr>
              <w:t>落实政府采购支持节能产品、环境标志产品政策。</w:t>
            </w:r>
          </w:p>
          <w:p w14:paraId="21CB5C83">
            <w:pPr>
              <w:pStyle w:val="42"/>
              <w:widowControl w:val="0"/>
              <w:spacing w:before="0" w:beforeAutospacing="0" w:after="0" w:afterAutospacing="0" w:line="360" w:lineRule="auto"/>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color w:val="auto"/>
                <w:kern w:val="2"/>
                <w:sz w:val="24"/>
                <w:szCs w:val="24"/>
                <w:highlight w:val="none"/>
              </w:rPr>
              <w:t>9.系统中提供的表格与采购文件中不一致时，以采购文件中提供的表格格式为准。</w:t>
            </w:r>
          </w:p>
        </w:tc>
      </w:tr>
    </w:tbl>
    <w:p w14:paraId="492CE85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577"/>
      <w:bookmarkStart w:id="24" w:name="_Toc6109"/>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3"/>
      <w:bookmarkEnd w:id="24"/>
    </w:p>
    <w:p w14:paraId="3B8D82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74C58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9B446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6323B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737F1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5" w:name="_Hlk60610946"/>
      <w:r>
        <w:rPr>
          <w:rFonts w:ascii="宋体" w:hAnsi="宋体" w:eastAsia="宋体"/>
          <w:color w:val="auto"/>
          <w:sz w:val="24"/>
          <w:highlight w:val="none"/>
        </w:rPr>
        <w:t>本项目的</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须满足以下条件：</w:t>
      </w:r>
    </w:p>
    <w:p w14:paraId="240A09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9637E1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谈判</w:t>
      </w:r>
      <w:r>
        <w:rPr>
          <w:rFonts w:ascii="宋体" w:hAnsi="宋体" w:eastAsia="宋体"/>
          <w:color w:val="auto"/>
          <w:sz w:val="24"/>
          <w:highlight w:val="none"/>
        </w:rPr>
        <w:t>文件。</w:t>
      </w:r>
    </w:p>
    <w:p w14:paraId="486776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882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w:t>
      </w: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所投产品为进口产品，</w:t>
      </w:r>
      <w:r>
        <w:rPr>
          <w:rFonts w:ascii="宋体" w:hAnsi="宋体" w:eastAsia="宋体"/>
          <w:color w:val="auto"/>
          <w:sz w:val="24"/>
          <w:highlight w:val="none"/>
        </w:rPr>
        <w:t>其</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无效</w:t>
      </w:r>
      <w:r>
        <w:rPr>
          <w:rFonts w:hint="eastAsia" w:ascii="宋体" w:hAnsi="宋体" w:eastAsia="宋体"/>
          <w:color w:val="auto"/>
          <w:sz w:val="24"/>
          <w:highlight w:val="none"/>
        </w:rPr>
        <w:t>。</w:t>
      </w:r>
    </w:p>
    <w:bookmarkEnd w:id="25"/>
    <w:p w14:paraId="63901C79">
      <w:pPr>
        <w:spacing w:line="360" w:lineRule="auto"/>
        <w:ind w:firstLine="435"/>
        <w:rPr>
          <w:rFonts w:ascii="宋体" w:hAnsi="宋体" w:eastAsia="宋体"/>
          <w:color w:val="auto"/>
          <w:sz w:val="24"/>
          <w:highlight w:val="none"/>
        </w:rPr>
      </w:pPr>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p>
    <w:p w14:paraId="5A0C3F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两个以上供应商可以组成一个谈判联合体，以一个供应商的身份谈判</w:t>
      </w:r>
      <w:r>
        <w:rPr>
          <w:rFonts w:ascii="宋体" w:hAnsi="宋体" w:eastAsia="宋体"/>
          <w:color w:val="auto"/>
          <w:sz w:val="24"/>
          <w:highlight w:val="none"/>
        </w:rPr>
        <w:t>。</w:t>
      </w:r>
      <w:r>
        <w:rPr>
          <w:rFonts w:hint="eastAsia" w:ascii="宋体" w:hAnsi="宋体" w:eastAsia="宋体"/>
          <w:color w:val="auto"/>
          <w:sz w:val="24"/>
          <w:highlight w:val="none"/>
        </w:rPr>
        <w:t>联合体</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的，</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rPr>
        <w:t>文件获取手续由联合体中任一成员单位办理均可。</w:t>
      </w:r>
    </w:p>
    <w:p w14:paraId="6C9A71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BA47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EB04F8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0B07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谈判</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1D38ED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772A1B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谈判</w:t>
      </w:r>
      <w:r>
        <w:rPr>
          <w:rFonts w:ascii="宋体" w:hAnsi="宋体" w:eastAsia="宋体"/>
          <w:color w:val="auto"/>
          <w:sz w:val="24"/>
          <w:highlight w:val="none"/>
        </w:rPr>
        <w:t>，否则相关</w:t>
      </w:r>
      <w:r>
        <w:rPr>
          <w:rFonts w:hint="eastAsia" w:ascii="宋体" w:hAnsi="宋体" w:eastAsia="宋体"/>
          <w:color w:val="auto"/>
          <w:sz w:val="24"/>
          <w:highlight w:val="none"/>
        </w:rPr>
        <w:t>响应文件</w:t>
      </w:r>
      <w:r>
        <w:rPr>
          <w:rFonts w:ascii="宋体" w:hAnsi="宋体" w:eastAsia="宋体"/>
          <w:color w:val="auto"/>
          <w:sz w:val="24"/>
          <w:highlight w:val="none"/>
        </w:rPr>
        <w:t>将被认定为</w:t>
      </w:r>
      <w:r>
        <w:rPr>
          <w:rFonts w:hint="eastAsia" w:ascii="宋体" w:hAnsi="宋体" w:eastAsia="宋体"/>
          <w:b/>
          <w:color w:val="auto"/>
          <w:sz w:val="24"/>
          <w:highlight w:val="none"/>
        </w:rPr>
        <w:t>响应</w:t>
      </w:r>
      <w:r>
        <w:rPr>
          <w:rFonts w:ascii="宋体" w:hAnsi="宋体" w:eastAsia="宋体"/>
          <w:b/>
          <w:color w:val="auto"/>
          <w:sz w:val="24"/>
          <w:highlight w:val="none"/>
        </w:rPr>
        <w:t>无效</w:t>
      </w:r>
      <w:r>
        <w:rPr>
          <w:rFonts w:ascii="宋体" w:hAnsi="宋体" w:eastAsia="宋体"/>
          <w:color w:val="auto"/>
          <w:sz w:val="24"/>
          <w:highlight w:val="none"/>
        </w:rPr>
        <w:t>。</w:t>
      </w:r>
    </w:p>
    <w:p w14:paraId="01D712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.8对联合体参加谈判的其他资格要求见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3F050487">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2B9D3F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3768DFC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6DA6A3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0FA52E3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671FC36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A85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1739D8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.1谈判文件包括下列内容：</w:t>
      </w:r>
    </w:p>
    <w:p w14:paraId="31B35B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5089CBD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187F8DF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F16042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19B2898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EF7F85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19C6E2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E6040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2F1E8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2AABEF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6E9D6F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4F71AA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6" w:name="_Hlk16458572"/>
      <w:r>
        <w:rPr>
          <w:rFonts w:hint="eastAsia" w:ascii="宋体" w:hAnsi="宋体" w:eastAsia="宋体"/>
          <w:color w:val="auto"/>
          <w:sz w:val="24"/>
          <w:szCs w:val="18"/>
          <w:highlight w:val="none"/>
        </w:rPr>
        <w:t>安徽省政府采购网</w:t>
      </w:r>
      <w:bookmarkEnd w:id="26"/>
      <w:r>
        <w:rPr>
          <w:rFonts w:hint="eastAsia" w:asciiTheme="minorEastAsia" w:hAnsiTheme="minorEastAsia" w:eastAsiaTheme="minorEastAsia"/>
          <w:color w:val="auto"/>
          <w:sz w:val="24"/>
          <w:highlight w:val="none"/>
        </w:rPr>
        <w:t>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128FD7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07147A07">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val="0"/>
          <w:iCs/>
          <w:color w:val="auto"/>
          <w:sz w:val="24"/>
          <w:highlight w:val="none"/>
        </w:rPr>
        <w:t>。</w:t>
      </w:r>
    </w:p>
    <w:p w14:paraId="1B2008C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3A9379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87A0E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B9E80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217F8B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20F716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53DD4C2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95F75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lang w:val="en-US" w:eastAsia="zh-CN"/>
        </w:rPr>
        <w:t>本项目</w:t>
      </w:r>
      <w:r>
        <w:rPr>
          <w:rFonts w:ascii="宋体" w:hAnsi="宋体" w:eastAsia="宋体"/>
          <w:color w:val="auto"/>
          <w:sz w:val="24"/>
          <w:highlight w:val="none"/>
        </w:rPr>
        <w:t>响应文件格式的相关内容。</w:t>
      </w:r>
    </w:p>
    <w:p w14:paraId="7DC3B9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7" w:name="_Hlk11703583"/>
      <w:r>
        <w:rPr>
          <w:rFonts w:hint="eastAsia" w:asciiTheme="minorEastAsia" w:hAnsiTheme="minorEastAsia" w:eastAsiaTheme="minorEastAsia"/>
          <w:color w:val="auto"/>
          <w:sz w:val="24"/>
          <w:highlight w:val="none"/>
        </w:rPr>
        <w:t>。</w:t>
      </w:r>
    </w:p>
    <w:bookmarkEnd w:id="27"/>
    <w:p w14:paraId="376837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545065F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90BB0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除谈判文件另有规定外，</w:t>
      </w:r>
      <w:r>
        <w:rPr>
          <w:rFonts w:hint="eastAsia" w:asciiTheme="minorEastAsia" w:hAnsiTheme="minorEastAsia" w:eastAsiaTheme="minorEastAsia"/>
          <w:color w:val="auto"/>
          <w:sz w:val="24"/>
          <w:highlight w:val="none"/>
        </w:rPr>
        <w:t>所有内容均应以人民币报价，供应商的谈判报价应遵守《中华人民共和国价格法》。</w:t>
      </w:r>
    </w:p>
    <w:p w14:paraId="281FB9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在分项报价表上标明分项服务、伴随的货物和工程的价格（如适用）和总价，未标明的视同包含在谈判报价中。</w:t>
      </w:r>
    </w:p>
    <w:p w14:paraId="6ADBC0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0A745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C073F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7E1547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3745CD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.1本项目不收取谈判保证金。</w:t>
      </w:r>
    </w:p>
    <w:p w14:paraId="359624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63C6AB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DE539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E5D47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230A8B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1ED8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8DB46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r>
        <w:rPr>
          <w:rFonts w:asciiTheme="minorEastAsia" w:hAnsiTheme="minorEastAsia" w:eastAsiaTheme="minorEastAsia"/>
          <w:color w:val="auto"/>
          <w:sz w:val="24"/>
          <w:highlight w:val="none"/>
        </w:rPr>
        <w:t>。</w:t>
      </w:r>
    </w:p>
    <w:p w14:paraId="26778F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59A3AAE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62FDFB5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1BBB0F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46832B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6A633E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45BE5787">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.响应文件的评审与谈判</w:t>
      </w:r>
    </w:p>
    <w:p w14:paraId="66423E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竞争性谈判公告</w:t>
      </w:r>
      <w:r>
        <w:rPr>
          <w:rFonts w:hint="eastAsia" w:asciiTheme="minorEastAsia" w:hAnsiTheme="minorEastAsia" w:eastAsiaTheme="minorEastAsia"/>
          <w:color w:val="auto"/>
          <w:sz w:val="24"/>
          <w:highlight w:val="none"/>
        </w:rPr>
        <w:t>规定的时间和地点组织谈判。</w:t>
      </w:r>
    </w:p>
    <w:p w14:paraId="56FB8C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竞争性谈判采用最低评标价法评审。</w:t>
      </w:r>
    </w:p>
    <w:p w14:paraId="7776C9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最低评标价法，是指响应文件满足谈判文件全部实质性要求且最后报价最低的供应商为成交候选人的评标方法。</w:t>
      </w:r>
    </w:p>
    <w:p w14:paraId="56C5A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.3谈判小组将按照谈判文件规定的评审方法和标准对供应商独立进行评审。评审程序如下：</w:t>
      </w:r>
    </w:p>
    <w:p w14:paraId="61B8B6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.3.1初审。谈判小组对供应商必须满足和实质性响应的内容进行评审，供应商未实质性响应谈判文件要求导致响应无效的，谈判小组将以书面询标的方式告知有关供应商。</w:t>
      </w:r>
    </w:p>
    <w:p w14:paraId="2A9A6E6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0371299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8B08C5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6E00D3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.3.2谈判。初审合格后，谈判小组将按网上加密电子响应文件提交顺序集中与单一供应商分别进行谈判，并给予所有参加谈判的供应商平等的谈判机会。</w:t>
      </w:r>
    </w:p>
    <w:p w14:paraId="0CC550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30D6B0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8E4EE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.4.1为保证谈判活动顺利进行，供应商可派相关技术人员进行网上答疑；</w:t>
      </w:r>
    </w:p>
    <w:p w14:paraId="37AB19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51B4B8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F5DD38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7D3714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49504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6704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.终止竞争性谈判</w:t>
      </w:r>
    </w:p>
    <w:p w14:paraId="40FB8E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.1出现下列情况之一时，采购人和采购代理机构有权宣布终止竞争性谈判采购，并将理由通知所有供应商：</w:t>
      </w:r>
    </w:p>
    <w:p w14:paraId="11444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2000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8788A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7AAE3A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BBE4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E8522F6">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06ECB6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.2谈判小组要求供应商澄清、说明或者更正响应文件应当以书面形式（询标）作出。供应商的澄清、说明或者更正应当由法定代表人或其授权代表签字或者加盖公章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09437EE2">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02BB08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469375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谈判并不限定只进行二轮报价，如果谈判小组认为有必要，可以要求供应商进行多轮报价。</w:t>
      </w:r>
      <w:r>
        <w:rPr>
          <w:rFonts w:hint="eastAsia" w:asciiTheme="minorEastAsia" w:hAnsiTheme="minorEastAsia" w:eastAsiaTheme="minorEastAsia"/>
          <w:color w:val="auto"/>
          <w:sz w:val="24"/>
          <w:highlight w:val="none"/>
        </w:rPr>
        <w:t>（本项目约定为二轮报价）</w:t>
      </w:r>
    </w:p>
    <w:p w14:paraId="217C22B2">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次谈判实行二轮报价。第一轮报价为供应商在响应文件中填报的报价，第二轮报价在响应文件通过评审后，由谈判小组通过评标系统以询标方式，向响应文件评审有效的各供应商进行询标，各供应商应在评标系统询标规定的时间内，通过“评标澄清回复”进行第二轮报价。各供应商应及时查看系统质询问题并及时进行第二轮报价，第二轮报价即为最后报价，若供应商未在系统询标规定的时间内进行第二轮报价（最后报价）或第二轮报价被谈判小组认为不符合要求的，谈判小组默认其响应文件中填报的价格为供应商的最后报价，谈判价格以供应商的最后报价为准。望各供应商务必全程在线，及时进行回复，否则，因此给其造成相关后果，自行承担。采用分项报价的项目，最后报价的各分项结合第一轮报价中的各项单价按总价同比例下浮，价款结算时按成交下浮比率进行调整。</w:t>
      </w:r>
    </w:p>
    <w:p w14:paraId="146D69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107F8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13A899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w:t>
      </w:r>
      <w:r>
        <w:rPr>
          <w:rFonts w:hint="eastAsia" w:asciiTheme="majorEastAsia" w:hAnsiTheme="majorEastAsia" w:eastAsiaTheme="majorEastAsia"/>
          <w:color w:val="auto"/>
          <w:sz w:val="24"/>
          <w:highlight w:val="none"/>
          <w:lang w:val="en-US" w:eastAsia="zh-CN"/>
        </w:rPr>
        <w:t>和</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57B7A77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1FA4E805">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p>
    <w:p w14:paraId="0D2694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6C3F67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10AB78B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78AFFCB">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DD4CC7A">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60D346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1F6643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F80D53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.1评审将在严格保密的情况下进行。</w:t>
      </w:r>
    </w:p>
    <w:p w14:paraId="5C95AE9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F22A2E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21BCBBF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在安徽省政府采购网（www.ccgp-anhui.gov.cn）</w:t>
      </w:r>
      <w:r>
        <w:rPr>
          <w:rFonts w:hint="eastAsia" w:asciiTheme="minorEastAsia" w:hAnsiTheme="minorEastAsia" w:eastAsiaTheme="minorEastAsia"/>
          <w:color w:val="auto"/>
          <w:sz w:val="24"/>
          <w:highlight w:val="none"/>
        </w:rPr>
        <w:t>、滁州市公共资源交易中心（https://ggzy.chuzhou.gov.cn/）</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64BBAFC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4D49A21">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.成交通知书</w:t>
      </w:r>
    </w:p>
    <w:p w14:paraId="716DCF9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Theme="minorEastAsia" w:hAnsiTheme="minorEastAsia" w:eastAsiaTheme="minorEastAsia"/>
          <w:color w:val="auto"/>
          <w:sz w:val="24"/>
          <w:highlight w:val="none"/>
        </w:rPr>
        <w:t>成交通知书须加盖采购人、采购代理机构公章并经公共资源交易中心加盖见证章后，方可发出。</w:t>
      </w:r>
    </w:p>
    <w:p w14:paraId="627D17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262B67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.3成交通知书是合同的组成部分。</w:t>
      </w:r>
    </w:p>
    <w:p w14:paraId="2DAB3F6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67EA52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6DEACD8B">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采购代理机构对未成交的供应商不做未成交原因的解释。</w:t>
      </w:r>
    </w:p>
    <w:p w14:paraId="4354F1E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6A601F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158A97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19D69AB0">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2664CD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6C560A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.签订合同</w:t>
      </w:r>
    </w:p>
    <w:p w14:paraId="2C1D0401">
      <w:pPr>
        <w:spacing w:line="360" w:lineRule="auto"/>
        <w:ind w:firstLine="435"/>
        <w:rPr>
          <w:rFonts w:ascii="宋体" w:hAnsi="宋体" w:eastAsia="宋体"/>
          <w:color w:val="auto"/>
          <w:sz w:val="24"/>
          <w:highlight w:val="none"/>
        </w:rPr>
      </w:pPr>
      <w:bookmarkStart w:id="28" w:name="_Hlk60264926"/>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32D97B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.2谈判文件、成交供应商的响应文件及其澄清文件等，均为签订合同的依据。</w:t>
      </w:r>
    </w:p>
    <w:p w14:paraId="7619D3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71EE8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8"/>
    </w:p>
    <w:p w14:paraId="27EB49B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.廉洁自律规定</w:t>
      </w:r>
    </w:p>
    <w:p w14:paraId="1BEB9E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F0BCA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3B23E61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.质疑的提出与接收</w:t>
      </w:r>
    </w:p>
    <w:p w14:paraId="503553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4B382FB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7FBBFF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4B3D180">
      <w:pPr>
        <w:spacing w:line="440" w:lineRule="exact"/>
        <w:ind w:firstLine="435"/>
        <w:rPr>
          <w:rFonts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1AD68B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r>
        <w:rPr>
          <w:rFonts w:hint="eastAsia" w:ascii="宋体" w:hAnsi="宋体" w:eastAsia="宋体"/>
          <w:color w:val="auto"/>
          <w:sz w:val="24"/>
          <w:highlight w:val="none"/>
          <w:lang w:val="en-US" w:eastAsia="zh-CN"/>
        </w:rPr>
        <w:t>。</w:t>
      </w:r>
    </w:p>
    <w:p w14:paraId="35535D6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2E21DD4C">
      <w:pPr>
        <w:wordWrap w:val="0"/>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08259C41">
      <w:pPr>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2229B121">
      <w:pPr>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30.3政府采购监督管理部门在处理投诉事项期间，可以视具体情况书面通知采购人暂停采购活动，但暂停时间最长不得超过30日。</w:t>
      </w:r>
    </w:p>
    <w:p w14:paraId="3637604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.需要补充的其他内容</w:t>
      </w:r>
    </w:p>
    <w:p w14:paraId="6F1573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40FA7F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F0C5A6B">
      <w:pPr>
        <w:spacing w:line="360" w:lineRule="auto"/>
        <w:jc w:val="center"/>
        <w:outlineLvl w:val="0"/>
        <w:rPr>
          <w:rFonts w:asciiTheme="minorEastAsia" w:hAnsiTheme="minorEastAsia" w:eastAsiaTheme="minorEastAsia"/>
          <w:b/>
          <w:color w:val="auto"/>
          <w:sz w:val="28"/>
          <w:highlight w:val="none"/>
        </w:rPr>
      </w:pPr>
      <w:bookmarkStart w:id="29" w:name="_Toc12846"/>
      <w:bookmarkStart w:id="30" w:name="_Toc32485"/>
      <w:r>
        <w:rPr>
          <w:rFonts w:hint="eastAsia" w:asciiTheme="minorEastAsia" w:hAnsiTheme="minorEastAsia" w:eastAsiaTheme="minorEastAsia"/>
          <w:b/>
          <w:color w:val="auto"/>
          <w:sz w:val="28"/>
          <w:highlight w:val="none"/>
        </w:rPr>
        <w:t>第三章  采购需求</w:t>
      </w:r>
      <w:bookmarkEnd w:id="29"/>
      <w:bookmarkEnd w:id="30"/>
    </w:p>
    <w:p w14:paraId="5823FF2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386005D">
      <w:pPr>
        <w:spacing w:line="360" w:lineRule="auto"/>
        <w:ind w:firstLine="435"/>
        <w:rPr>
          <w:rFonts w:hint="eastAsia" w:ascii="宋体" w:hAnsi="宋体" w:eastAsia="宋体" w:cs="宋体"/>
          <w:color w:val="auto"/>
          <w:sz w:val="24"/>
          <w:szCs w:val="24"/>
          <w:highlight w:val="none"/>
        </w:rPr>
      </w:pPr>
      <w:bookmarkStart w:id="31" w:name="_Toc451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谈判小组</w:t>
      </w:r>
      <w:r>
        <w:rPr>
          <w:rFonts w:hint="eastAsia" w:ascii="宋体" w:hAnsi="宋体" w:eastAsia="宋体" w:cs="宋体"/>
          <w:color w:val="auto"/>
          <w:sz w:val="24"/>
          <w:szCs w:val="24"/>
          <w:highlight w:val="none"/>
        </w:rPr>
        <w:t>评审认可。</w:t>
      </w:r>
    </w:p>
    <w:p w14:paraId="09AACCE7">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2E64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66958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AB0FDDD">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66145A4">
      <w:pPr>
        <w:spacing w:line="360" w:lineRule="auto"/>
        <w:ind w:firstLine="437"/>
        <w:outlineLvl w:val="1"/>
        <w:rPr>
          <w:rFonts w:ascii="宋体" w:hAnsi="宋体" w:eastAsia="宋体"/>
          <w:b/>
          <w:color w:val="auto"/>
          <w:sz w:val="24"/>
          <w:szCs w:val="18"/>
          <w:highlight w:val="none"/>
        </w:rPr>
      </w:pPr>
      <w:bookmarkStart w:id="32" w:name="_Toc24918"/>
      <w:r>
        <w:rPr>
          <w:rFonts w:hint="eastAsia" w:ascii="宋体" w:hAnsi="宋体" w:eastAsia="宋体"/>
          <w:b/>
          <w:color w:val="auto"/>
          <w:sz w:val="24"/>
          <w:szCs w:val="18"/>
          <w:highlight w:val="none"/>
        </w:rPr>
        <w:t>一、采购需求前附表</w:t>
      </w:r>
      <w:bookmarkEnd w:id="31"/>
      <w:bookmarkEnd w:id="32"/>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EB9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E6AD79">
            <w:pPr>
              <w:pStyle w:val="4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0F88E103">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042165F7">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389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975511B">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005F74C2">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551FE78A">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合同签订且具备实施条件后，支付合同价的40%预付款（扣除暂列金额）（预付款支付前，中标人须提供同等金额的见索即付保函），根据施工请款资料，于次月按照完成合格工程量的60%支付监理费，累计支付至监理范围内全部合格工程量的60%停止拨付，竣工验收合格、资料归档付清余款。（注：发包人在政府资金调度会批准且发票送达后完成支付）</w:t>
            </w:r>
            <w:r>
              <w:rPr>
                <w:rFonts w:hint="eastAsia" w:ascii="宋体" w:hAnsi="宋体" w:eastAsia="宋体"/>
                <w:b w:val="0"/>
                <w:color w:val="auto"/>
                <w:sz w:val="24"/>
                <w:highlight w:val="none"/>
                <w:u w:val="single"/>
                <w:lang w:eastAsia="zh-CN"/>
              </w:rPr>
              <w:t>。</w:t>
            </w:r>
          </w:p>
        </w:tc>
      </w:tr>
      <w:tr w14:paraId="175F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CDAF8C">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04D0580">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15856789">
            <w:pPr>
              <w:pStyle w:val="42"/>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滁州市内</w:t>
            </w:r>
          </w:p>
        </w:tc>
      </w:tr>
      <w:tr w14:paraId="2A91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74B795">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78E5DD08">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52CB7DC1">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自合同签订之日起至本质量缺陷责任期满截止。</w:t>
            </w:r>
          </w:p>
        </w:tc>
      </w:tr>
      <w:tr w14:paraId="20A4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494D2E5">
            <w:pPr>
              <w:pStyle w:val="43"/>
              <w:pBdr>
                <w:bottom w:val="none" w:color="auto" w:sz="0" w:space="0"/>
              </w:pBdr>
              <w:tabs>
                <w:tab w:val="clear" w:pos="4153"/>
                <w:tab w:val="clear" w:pos="8306"/>
              </w:tabs>
              <w:adjustRightInd/>
              <w:spacing w:line="240" w:lineRule="auto"/>
              <w:textAlignment w:val="auto"/>
              <w:rPr>
                <w:rFonts w:asciiTheme="majorEastAsia" w:hAnsiTheme="majorEastAsia" w:eastAsiaTheme="majorEastAsia"/>
                <w:bCs/>
                <w:color w:val="auto"/>
                <w:kern w:val="2"/>
                <w:highlight w:val="none"/>
              </w:rPr>
            </w:pPr>
            <w:r>
              <w:rPr>
                <w:rFonts w:asciiTheme="majorEastAsia" w:hAnsiTheme="majorEastAsia" w:eastAsiaTheme="majorEastAsia"/>
                <w:bCs/>
                <w:color w:val="auto"/>
                <w:kern w:val="2"/>
                <w:highlight w:val="none"/>
              </w:rPr>
              <w:t>4</w:t>
            </w:r>
          </w:p>
        </w:tc>
        <w:tc>
          <w:tcPr>
            <w:tcW w:w="1192" w:type="pct"/>
            <w:vAlign w:val="center"/>
          </w:tcPr>
          <w:p w14:paraId="6FCAE39A">
            <w:pPr>
              <w:pStyle w:val="42"/>
              <w:widowControl w:val="0"/>
              <w:spacing w:before="0" w:beforeAutospacing="0" w:after="0" w:afterAutospacing="0" w:line="360" w:lineRule="auto"/>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本项目采购标的名称及所属行业</w:t>
            </w:r>
          </w:p>
        </w:tc>
        <w:tc>
          <w:tcPr>
            <w:tcW w:w="3217" w:type="pct"/>
            <w:vAlign w:val="center"/>
          </w:tcPr>
          <w:p w14:paraId="309EE157">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eastAsia="zh-CN"/>
              </w:rPr>
              <w:t>滁州市老城区排涝综合整治工程、滁州市城南片区排涝综合整治工程三批次监理项目</w:t>
            </w:r>
          </w:p>
          <w:p w14:paraId="1DF571A4">
            <w:pPr>
              <w:spacing w:line="360" w:lineRule="auto"/>
              <w:jc w:val="left"/>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其他未列明行业</w:t>
            </w:r>
          </w:p>
        </w:tc>
      </w:tr>
    </w:tbl>
    <w:p w14:paraId="0F0E8CBB">
      <w:pPr>
        <w:spacing w:line="360" w:lineRule="auto"/>
        <w:ind w:firstLine="482" w:firstLineChars="200"/>
        <w:outlineLvl w:val="1"/>
        <w:rPr>
          <w:rFonts w:ascii="宋体" w:hAnsi="宋体" w:eastAsia="宋体"/>
          <w:b/>
          <w:color w:val="auto"/>
          <w:sz w:val="24"/>
          <w:szCs w:val="18"/>
          <w:highlight w:val="none"/>
        </w:rPr>
      </w:pPr>
      <w:bookmarkStart w:id="33" w:name="_Toc9389"/>
      <w:bookmarkStart w:id="34" w:name="_Toc12926"/>
      <w:bookmarkStart w:id="35" w:name="_Hlk16461016"/>
      <w:r>
        <w:rPr>
          <w:rFonts w:hint="eastAsia" w:ascii="宋体" w:hAnsi="宋体" w:eastAsia="宋体"/>
          <w:b/>
          <w:color w:val="auto"/>
          <w:sz w:val="24"/>
          <w:szCs w:val="18"/>
          <w:highlight w:val="none"/>
        </w:rPr>
        <w:t>二、项目概况</w:t>
      </w:r>
      <w:bookmarkEnd w:id="33"/>
      <w:bookmarkEnd w:id="34"/>
    </w:p>
    <w:p w14:paraId="53FBB3A5">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滁州市老城区排涝综合整治工程、滁州市城南片区排涝综合整治工程三批次监理项目，监理服务费约55万元。</w:t>
      </w:r>
    </w:p>
    <w:p w14:paraId="32ECBC22">
      <w:pPr>
        <w:spacing w:line="360" w:lineRule="auto"/>
        <w:ind w:firstLine="482" w:firstLineChars="200"/>
        <w:outlineLvl w:val="1"/>
        <w:rPr>
          <w:rFonts w:ascii="宋体" w:hAnsi="宋体" w:eastAsia="宋体"/>
          <w:b/>
          <w:color w:val="auto"/>
          <w:sz w:val="24"/>
          <w:szCs w:val="18"/>
          <w:highlight w:val="none"/>
        </w:rPr>
      </w:pPr>
      <w:bookmarkStart w:id="36" w:name="_Toc24967"/>
      <w:bookmarkStart w:id="37" w:name="_Toc4312"/>
      <w:r>
        <w:rPr>
          <w:rFonts w:hint="eastAsia" w:ascii="宋体" w:hAnsi="宋体" w:eastAsia="宋体"/>
          <w:b/>
          <w:color w:val="auto"/>
          <w:sz w:val="24"/>
          <w:szCs w:val="18"/>
          <w:highlight w:val="none"/>
        </w:rPr>
        <w:t>三、服务需求</w:t>
      </w:r>
      <w:bookmarkEnd w:id="36"/>
      <w:bookmarkEnd w:id="37"/>
    </w:p>
    <w:p w14:paraId="12E69352">
      <w:pPr>
        <w:spacing w:line="360" w:lineRule="auto"/>
        <w:ind w:firstLine="480" w:firstLineChars="200"/>
        <w:rPr>
          <w:rFonts w:hint="eastAsia" w:ascii="宋体" w:hAnsi="宋体" w:eastAsiaTheme="minorEastAsia"/>
          <w:b/>
          <w:color w:val="auto"/>
          <w:sz w:val="24"/>
          <w:szCs w:val="18"/>
          <w:highlight w:val="none"/>
          <w:lang w:eastAsia="zh-CN"/>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委托开展项目前期工作，办理相关建设手续，参与本工程的施工准备阶段（包括项目的施工许可证等）、接受</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Theme="minorEastAsia" w:hAnsiTheme="minorEastAsia" w:eastAsiaTheme="minorEastAsia"/>
          <w:color w:val="auto"/>
          <w:sz w:val="24"/>
          <w:highlight w:val="none"/>
          <w:lang w:eastAsia="zh-CN"/>
        </w:rPr>
        <w:t>。</w:t>
      </w:r>
    </w:p>
    <w:p w14:paraId="309BE922">
      <w:pPr>
        <w:spacing w:line="360" w:lineRule="auto"/>
        <w:ind w:firstLine="480" w:firstLineChars="200"/>
        <w:rPr>
          <w:rFonts w:hint="eastAsia" w:asciiTheme="minorEastAsia" w:hAnsiTheme="minorEastAsia" w:eastAsiaTheme="minorEastAsia"/>
          <w:color w:val="auto"/>
          <w:sz w:val="24"/>
          <w:highlight w:val="none"/>
        </w:rPr>
      </w:pPr>
      <w:bookmarkStart w:id="38" w:name="_Toc30537"/>
      <w:bookmarkStart w:id="39" w:name="_Toc15927"/>
      <w:r>
        <w:rPr>
          <w:rFonts w:hint="eastAsia" w:asciiTheme="minorEastAsia" w:hAnsiTheme="minorEastAsia" w:eastAsiaTheme="minorEastAsia"/>
          <w:color w:val="auto"/>
          <w:sz w:val="24"/>
          <w:highlight w:val="none"/>
          <w:lang w:val="en-US" w:eastAsia="zh-CN"/>
        </w:rPr>
        <w:t xml:space="preserve">人员配备： </w:t>
      </w:r>
    </w:p>
    <w:p w14:paraId="3AE90D9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1、总监理工程师 1 人（总监须具有国家级注册监理工程师执业资格，注册专业为市政公用工程专业）。</w:t>
      </w:r>
      <w:r>
        <w:rPr>
          <w:rFonts w:hint="eastAsia" w:asciiTheme="minorEastAsia" w:hAnsiTheme="minorEastAsia" w:eastAsiaTheme="minorEastAsia"/>
          <w:b/>
          <w:bCs/>
          <w:color w:val="auto"/>
          <w:sz w:val="24"/>
          <w:highlight w:val="none"/>
          <w:lang w:val="en-US" w:eastAsia="zh-CN"/>
        </w:rPr>
        <w:t>拟派总监理工程师在本项目所在市行政区域外无在建，在本项目所在市行政区域内不多于两个在建项目，如有在建项目，响应文件中需提供建设单位书面同意参与本项目总监投标履约</w:t>
      </w:r>
      <w:r>
        <w:rPr>
          <w:rFonts w:hint="eastAsia" w:asciiTheme="minorEastAsia" w:hAnsiTheme="minorEastAsia" w:eastAsiaTheme="minorEastAsia"/>
          <w:color w:val="auto"/>
          <w:sz w:val="24"/>
          <w:highlight w:val="none"/>
          <w:lang w:val="en-US" w:eastAsia="zh-CN"/>
        </w:rPr>
        <w:t xml:space="preserve">。 </w:t>
      </w:r>
    </w:p>
    <w:p w14:paraId="7083482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2、专业监理工程师不少于2人【具有市政公用工程专业省级及以上监理工程师证书，专业监理工程师的专业以注册专业（或学历专业或职称专业）为准。专业监理工程师的专业以注册专业（或学历专业或职称专业）为准，以学历专业（或职称专业）证明其专业的，除需提供省级监理工程师证书外，还需提供学历证书（或职称证书）。专业监理工程师（省级监理工程师）可以采用国家级注册监理工程师代替，但其专业应满足上述要求】 </w:t>
      </w:r>
    </w:p>
    <w:p w14:paraId="292D839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3、监理员不少于2人； </w:t>
      </w:r>
    </w:p>
    <w:p w14:paraId="2AB10D9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 xml:space="preserve">4、见证员不少于1人(可兼任)； </w:t>
      </w:r>
    </w:p>
    <w:p w14:paraId="630EF6F6">
      <w:p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响应时仅须按要求提供总监理工程师的注册监理工程证书，其他人员在响应文件中按响应文件格式“拟组建的监理部人员情况一览表”中填写人员信息即可，无需提供人员证书等证明材料。</w:t>
      </w:r>
    </w:p>
    <w:p w14:paraId="4908A854">
      <w:pPr>
        <w:spacing w:line="360" w:lineRule="auto"/>
        <w:ind w:firstLine="482" w:firstLineChars="200"/>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四、报价要求</w:t>
      </w:r>
      <w:bookmarkEnd w:id="38"/>
      <w:bookmarkEnd w:id="39"/>
    </w:p>
    <w:p w14:paraId="15557247">
      <w:pPr>
        <w:spacing w:line="480" w:lineRule="exact"/>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本项目采用费率报价，费率最高限价为1.0%，最终监理费费用=工程结算价*成交费率</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报价不得高于最高限价，否则按无效响应处理</w:t>
      </w:r>
      <w:r>
        <w:rPr>
          <w:rFonts w:hint="eastAsia" w:asciiTheme="minorEastAsia" w:hAnsiTheme="minorEastAsia" w:eastAsiaTheme="minorEastAsia"/>
          <w:color w:val="auto"/>
          <w:sz w:val="24"/>
          <w:highlight w:val="none"/>
          <w:lang w:val="en-US" w:eastAsia="zh-CN"/>
        </w:rPr>
        <w:t>。</w:t>
      </w:r>
    </w:p>
    <w:p w14:paraId="210FC9AA">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供应商的响应报价应为项目采购范围内监理单位所提供的全部服务工作内容所需的全部费用，包含所有成本、利润等全部费用。无论任何原因导致的工期延长，委托人均不再增加监理费用。</w:t>
      </w:r>
    </w:p>
    <w:p w14:paraId="1A088770">
      <w:pPr>
        <w:spacing w:line="360" w:lineRule="auto"/>
        <w:ind w:firstLine="482" w:firstLineChars="200"/>
        <w:outlineLvl w:val="1"/>
        <w:rPr>
          <w:rFonts w:ascii="宋体" w:hAnsi="宋体" w:eastAsia="宋体"/>
          <w:b/>
          <w:color w:val="auto"/>
          <w:sz w:val="24"/>
          <w:szCs w:val="18"/>
          <w:highlight w:val="none"/>
        </w:rPr>
      </w:pPr>
      <w:bookmarkStart w:id="40" w:name="_Toc20190"/>
      <w:bookmarkStart w:id="41" w:name="_Toc6830"/>
      <w:r>
        <w:rPr>
          <w:rFonts w:hint="eastAsia" w:ascii="宋体" w:hAnsi="宋体" w:eastAsia="宋体"/>
          <w:b/>
          <w:color w:val="auto"/>
          <w:sz w:val="24"/>
          <w:szCs w:val="18"/>
          <w:highlight w:val="none"/>
        </w:rPr>
        <w:t>五、其他要求</w:t>
      </w:r>
      <w:bookmarkEnd w:id="40"/>
      <w:bookmarkEnd w:id="41"/>
    </w:p>
    <w:bookmarkEnd w:id="35"/>
    <w:p w14:paraId="5C52A7A7">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1、监理单位进驻现场后，须按采购人要求根据施工现场情况增加或调整人员数量和相关专业，费用不予调整。现场监理人员不得随意更换或减少； </w:t>
      </w:r>
    </w:p>
    <w:p w14:paraId="1DFA615D">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2、监理单位根据施工现场情况或采购人需求，在分项专业施工时，拟派相关专业人员在场监理服务，例如人防施工阶段，须派驻人防监理工程师在施工现场进行监理工作。费用全部含在响应报价中，采购人不再另行支付任何费用。 </w:t>
      </w:r>
    </w:p>
    <w:p w14:paraId="6B3D365C">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3、本表所要求的人员配备为本项目的最低配备要求，未按上述人员要求配备齐全监理人员的，视为不响应竞争性谈判文件，按无效响应处理。</w:t>
      </w:r>
    </w:p>
    <w:p w14:paraId="1482EF0A">
      <w:pPr>
        <w:spacing w:line="360" w:lineRule="auto"/>
        <w:jc w:val="center"/>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42" w:name="_Toc23236"/>
      <w:bookmarkStart w:id="43" w:name="_Toc2395"/>
      <w:r>
        <w:rPr>
          <w:rFonts w:hint="eastAsia" w:asciiTheme="minorEastAsia" w:hAnsiTheme="minorEastAsia" w:eastAsiaTheme="minorEastAsia"/>
          <w:b/>
          <w:color w:val="auto"/>
          <w:sz w:val="28"/>
          <w:highlight w:val="none"/>
        </w:rPr>
        <w:t>第四章  评审方法和标准</w:t>
      </w:r>
      <w:bookmarkEnd w:id="42"/>
      <w:bookmarkEnd w:id="43"/>
    </w:p>
    <w:p w14:paraId="7340748B">
      <w:pPr>
        <w:spacing w:line="360" w:lineRule="auto"/>
        <w:ind w:firstLine="437"/>
        <w:outlineLvl w:val="1"/>
        <w:rPr>
          <w:rFonts w:asciiTheme="minorEastAsia" w:hAnsiTheme="minorEastAsia" w:eastAsiaTheme="minorEastAsia"/>
          <w:b/>
          <w:color w:val="auto"/>
          <w:sz w:val="24"/>
          <w:highlight w:val="none"/>
        </w:rPr>
      </w:pPr>
      <w:bookmarkStart w:id="44" w:name="_Toc16905"/>
      <w:bookmarkStart w:id="45" w:name="_Toc20577"/>
      <w:r>
        <w:rPr>
          <w:rFonts w:hint="eastAsia" w:asciiTheme="minorEastAsia" w:hAnsiTheme="minorEastAsia" w:eastAsiaTheme="minorEastAsia"/>
          <w:b/>
          <w:color w:val="auto"/>
          <w:sz w:val="24"/>
          <w:highlight w:val="none"/>
        </w:rPr>
        <w:t>一、总则</w:t>
      </w:r>
      <w:bookmarkEnd w:id="44"/>
      <w:bookmarkEnd w:id="45"/>
    </w:p>
    <w:p w14:paraId="4F105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44D5D08">
      <w:pPr>
        <w:spacing w:line="360" w:lineRule="auto"/>
        <w:ind w:firstLine="437"/>
        <w:outlineLvl w:val="1"/>
        <w:rPr>
          <w:rFonts w:asciiTheme="minorEastAsia" w:hAnsiTheme="minorEastAsia" w:eastAsiaTheme="minorEastAsia"/>
          <w:b/>
          <w:color w:val="auto"/>
          <w:sz w:val="24"/>
          <w:highlight w:val="none"/>
        </w:rPr>
      </w:pPr>
      <w:bookmarkStart w:id="46" w:name="_Toc14705"/>
      <w:bookmarkStart w:id="47" w:name="_Toc28634"/>
      <w:r>
        <w:rPr>
          <w:rFonts w:hint="eastAsia" w:asciiTheme="minorEastAsia" w:hAnsiTheme="minorEastAsia" w:eastAsiaTheme="minorEastAsia"/>
          <w:b/>
          <w:color w:val="auto"/>
          <w:sz w:val="24"/>
          <w:highlight w:val="none"/>
        </w:rPr>
        <w:t>二、评审方法</w:t>
      </w:r>
      <w:bookmarkEnd w:id="46"/>
      <w:bookmarkEnd w:id="47"/>
    </w:p>
    <w:p w14:paraId="32C325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67"/>
        <w:gridCol w:w="4380"/>
        <w:gridCol w:w="2080"/>
      </w:tblGrid>
      <w:tr w14:paraId="5AE5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C660574">
            <w:pPr>
              <w:adjustRightInd w:val="0"/>
              <w:snapToGrid w:val="0"/>
              <w:spacing w:line="360" w:lineRule="auto"/>
              <w:ind w:right="-10"/>
              <w:jc w:val="center"/>
              <w:rPr>
                <w:rFonts w:ascii="宋体" w:hAnsi="宋体" w:eastAsia="宋体"/>
                <w:color w:val="auto"/>
                <w:sz w:val="24"/>
                <w:highlight w:val="none"/>
              </w:rPr>
            </w:pPr>
            <w:bookmarkStart w:id="48" w:name="_Hlk60612144"/>
            <w:r>
              <w:rPr>
                <w:rFonts w:hint="eastAsia" w:ascii="宋体" w:hAnsi="宋体" w:eastAsia="宋体"/>
                <w:b/>
                <w:color w:val="auto"/>
                <w:sz w:val="24"/>
                <w:szCs w:val="22"/>
                <w:highlight w:val="none"/>
              </w:rPr>
              <w:t>初审表</w:t>
            </w:r>
          </w:p>
        </w:tc>
      </w:tr>
      <w:tr w14:paraId="1B29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5308D3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02" w:type="pct"/>
            <w:tcBorders>
              <w:bottom w:val="single" w:color="auto" w:sz="4" w:space="0"/>
            </w:tcBorders>
            <w:vAlign w:val="center"/>
          </w:tcPr>
          <w:p w14:paraId="4EEAFAFF">
            <w:pPr>
              <w:pStyle w:val="43"/>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lang w:val="en-US" w:eastAsia="zh-CN"/>
              </w:rPr>
              <w:t>审查</w:t>
            </w:r>
            <w:r>
              <w:rPr>
                <w:rFonts w:hint="eastAsia" w:ascii="宋体" w:hAnsi="宋体" w:eastAsia="宋体"/>
                <w:color w:val="auto"/>
                <w:kern w:val="2"/>
                <w:szCs w:val="24"/>
                <w:highlight w:val="none"/>
              </w:rPr>
              <w:t>指标</w:t>
            </w:r>
          </w:p>
        </w:tc>
        <w:tc>
          <w:tcPr>
            <w:tcW w:w="2570" w:type="pct"/>
            <w:tcBorders>
              <w:bottom w:val="single" w:color="auto" w:sz="4" w:space="0"/>
            </w:tcBorders>
            <w:vAlign w:val="center"/>
          </w:tcPr>
          <w:p w14:paraId="60A03AA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审查</w:t>
            </w:r>
            <w:r>
              <w:rPr>
                <w:rFonts w:hint="eastAsia" w:ascii="宋体" w:hAnsi="宋体" w:eastAsia="宋体"/>
                <w:color w:val="auto"/>
                <w:sz w:val="24"/>
                <w:highlight w:val="none"/>
              </w:rPr>
              <w:t>标准</w:t>
            </w:r>
          </w:p>
        </w:tc>
        <w:tc>
          <w:tcPr>
            <w:tcW w:w="1219" w:type="pct"/>
            <w:tcBorders>
              <w:bottom w:val="single" w:color="auto" w:sz="4" w:space="0"/>
            </w:tcBorders>
            <w:vAlign w:val="center"/>
          </w:tcPr>
          <w:p w14:paraId="3298F7B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611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8" w:type="pct"/>
            <w:tcBorders>
              <w:bottom w:val="single" w:color="auto" w:sz="4" w:space="0"/>
            </w:tcBorders>
            <w:vAlign w:val="center"/>
          </w:tcPr>
          <w:p w14:paraId="7DE7629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802" w:type="pct"/>
            <w:tcBorders>
              <w:bottom w:val="single" w:color="auto" w:sz="4" w:space="0"/>
            </w:tcBorders>
            <w:vAlign w:val="center"/>
          </w:tcPr>
          <w:p w14:paraId="0BDD2905">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70" w:type="pct"/>
            <w:tcBorders>
              <w:bottom w:val="single" w:color="auto" w:sz="4" w:space="0"/>
            </w:tcBorders>
            <w:vAlign w:val="center"/>
          </w:tcPr>
          <w:p w14:paraId="0EE54B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7FF43C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4D49E3B">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53E11C4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188544FB">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219" w:type="pct"/>
            <w:vAlign w:val="center"/>
          </w:tcPr>
          <w:p w14:paraId="1F22FBEC">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B8F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61B93CF7">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02" w:type="pct"/>
            <w:tcBorders>
              <w:bottom w:val="single" w:color="auto" w:sz="4" w:space="0"/>
            </w:tcBorders>
            <w:vAlign w:val="center"/>
          </w:tcPr>
          <w:p w14:paraId="0D88B71A">
            <w:pPr>
              <w:spacing w:after="50" w:line="360" w:lineRule="auto"/>
              <w:ind w:right="-10" w:rightChars="0"/>
              <w:jc w:val="center"/>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olor w:val="auto"/>
                <w:sz w:val="24"/>
                <w:szCs w:val="18"/>
                <w:highlight w:val="none"/>
                <w:lang w:val="en-US" w:eastAsia="zh-CN"/>
              </w:rPr>
              <w:t>供应商资格声明书</w:t>
            </w:r>
          </w:p>
        </w:tc>
        <w:tc>
          <w:tcPr>
            <w:tcW w:w="2570" w:type="pct"/>
            <w:tcBorders>
              <w:bottom w:val="single" w:color="auto" w:sz="4" w:space="0"/>
            </w:tcBorders>
            <w:vAlign w:val="center"/>
          </w:tcPr>
          <w:p w14:paraId="261B1409">
            <w:pPr>
              <w:spacing w:after="50" w:line="360" w:lineRule="auto"/>
              <w:ind w:right="-10" w:rightChars="0"/>
              <w:jc w:val="left"/>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219" w:type="pct"/>
            <w:tcBorders>
              <w:bottom w:val="single" w:color="auto" w:sz="4" w:space="0"/>
            </w:tcBorders>
            <w:vAlign w:val="center"/>
          </w:tcPr>
          <w:p w14:paraId="022A5EC0">
            <w:pPr>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79C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307C2C0">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3</w:t>
            </w:r>
          </w:p>
        </w:tc>
        <w:tc>
          <w:tcPr>
            <w:tcW w:w="802" w:type="pct"/>
            <w:tcBorders>
              <w:bottom w:val="single" w:color="auto" w:sz="4" w:space="0"/>
            </w:tcBorders>
            <w:vAlign w:val="center"/>
          </w:tcPr>
          <w:p w14:paraId="6FFDE6EC">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w:t>
            </w:r>
          </w:p>
        </w:tc>
        <w:tc>
          <w:tcPr>
            <w:tcW w:w="2570" w:type="pct"/>
            <w:tcBorders>
              <w:bottom w:val="single" w:color="auto" w:sz="4" w:space="0"/>
            </w:tcBorders>
            <w:vAlign w:val="center"/>
          </w:tcPr>
          <w:p w14:paraId="3BABE716">
            <w:pPr>
              <w:keepNext w:val="0"/>
              <w:keepLines w:val="0"/>
              <w:pageBreakBefore w:val="0"/>
              <w:widowControl w:val="0"/>
              <w:kinsoku/>
              <w:wordWrap w:val="0"/>
              <w:overflowPunct/>
              <w:topLinePunct w:val="0"/>
              <w:autoSpaceDE/>
              <w:autoSpaceDN/>
              <w:bidi w:val="0"/>
              <w:adjustRightInd/>
              <w:snapToGrid/>
              <w:spacing w:after="50" w:line="360" w:lineRule="auto"/>
              <w:ind w:right="-11" w:rightChars="0"/>
              <w:jc w:val="left"/>
              <w:textAlignment w:val="auto"/>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14.3.1条中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19" w:type="pct"/>
            <w:tcBorders>
              <w:bottom w:val="single" w:color="auto" w:sz="4" w:space="0"/>
            </w:tcBorders>
            <w:vAlign w:val="center"/>
          </w:tcPr>
          <w:p w14:paraId="7620D26D">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53C8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49CB5E81">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4</w:t>
            </w:r>
          </w:p>
        </w:tc>
        <w:tc>
          <w:tcPr>
            <w:tcW w:w="802" w:type="pct"/>
            <w:tcBorders>
              <w:bottom w:val="single" w:color="auto" w:sz="4" w:space="0"/>
            </w:tcBorders>
            <w:vAlign w:val="center"/>
          </w:tcPr>
          <w:p w14:paraId="4D202F6B">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中小企业证明文件</w:t>
            </w:r>
          </w:p>
        </w:tc>
        <w:tc>
          <w:tcPr>
            <w:tcW w:w="2570" w:type="pct"/>
            <w:tcBorders>
              <w:bottom w:val="single" w:color="auto" w:sz="4" w:space="0"/>
            </w:tcBorders>
            <w:vAlign w:val="top"/>
          </w:tcPr>
          <w:p w14:paraId="38528056">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4F6453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379B32EA">
            <w:pPr>
              <w:spacing w:after="50" w:line="360" w:lineRule="auto"/>
              <w:ind w:right="-10" w:rightChars="0"/>
              <w:jc w:val="left"/>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文件关于预留份额的要求。</w:t>
            </w:r>
          </w:p>
        </w:tc>
        <w:tc>
          <w:tcPr>
            <w:tcW w:w="1219" w:type="pct"/>
            <w:tcBorders>
              <w:bottom w:val="single" w:color="auto" w:sz="4" w:space="0"/>
            </w:tcBorders>
            <w:vAlign w:val="center"/>
          </w:tcPr>
          <w:p w14:paraId="750CA587">
            <w:pPr>
              <w:spacing w:after="50" w:line="360" w:lineRule="auto"/>
              <w:ind w:right="-1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75E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18FABB30">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5</w:t>
            </w:r>
          </w:p>
        </w:tc>
        <w:tc>
          <w:tcPr>
            <w:tcW w:w="802" w:type="pct"/>
            <w:vAlign w:val="center"/>
          </w:tcPr>
          <w:p w14:paraId="49874CC2">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其他特定资格要求</w:t>
            </w:r>
          </w:p>
        </w:tc>
        <w:tc>
          <w:tcPr>
            <w:tcW w:w="2570" w:type="pct"/>
            <w:vAlign w:val="center"/>
          </w:tcPr>
          <w:p w14:paraId="31B2B534">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谈判</w:t>
            </w:r>
            <w:r>
              <w:rPr>
                <w:rFonts w:ascii="宋体" w:hAnsi="宋体" w:eastAsia="宋体" w:cs="宋体"/>
                <w:color w:val="auto"/>
                <w:spacing w:val="10"/>
                <w:sz w:val="24"/>
                <w:szCs w:val="24"/>
                <w:highlight w:val="none"/>
              </w:rPr>
              <w:t>邀请》</w:t>
            </w:r>
          </w:p>
        </w:tc>
        <w:tc>
          <w:tcPr>
            <w:tcW w:w="1219" w:type="pct"/>
            <w:vAlign w:val="center"/>
          </w:tcPr>
          <w:p w14:paraId="70E45834">
            <w:pPr>
              <w:spacing w:after="50" w:line="360" w:lineRule="auto"/>
              <w:ind w:right="-10" w:rightChars="0"/>
              <w:jc w:val="both"/>
              <w:rPr>
                <w:rFonts w:ascii="宋体" w:hAnsi="宋体" w:eastAsia="宋体" w:cs="宋体"/>
                <w:color w:val="auto"/>
                <w:spacing w:val="10"/>
                <w:kern w:val="2"/>
                <w:sz w:val="24"/>
                <w:szCs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CE6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FB7EE27">
            <w:pPr>
              <w:adjustRightInd w:val="0"/>
              <w:snapToGrid w:val="0"/>
              <w:spacing w:line="360" w:lineRule="auto"/>
              <w:ind w:right="-10" w:rightChars="0"/>
              <w:jc w:val="center"/>
              <w:rPr>
                <w:rFonts w:hint="eastAsia" w:cs="@仿宋_GB2312" w:asciiTheme="majorEastAsia" w:hAnsiTheme="majorEastAsia" w:eastAsiaTheme="maj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6</w:t>
            </w:r>
          </w:p>
        </w:tc>
        <w:tc>
          <w:tcPr>
            <w:tcW w:w="802" w:type="pct"/>
            <w:vAlign w:val="center"/>
          </w:tcPr>
          <w:p w14:paraId="76F9762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谈判响应</w:t>
            </w:r>
            <w:r>
              <w:rPr>
                <w:rFonts w:hint="eastAsia" w:asciiTheme="minorEastAsia" w:hAnsiTheme="minorEastAsia" w:eastAsiaTheme="minorEastAsia"/>
                <w:color w:val="auto"/>
                <w:sz w:val="24"/>
                <w:szCs w:val="28"/>
                <w:highlight w:val="none"/>
              </w:rPr>
              <w:t>函</w:t>
            </w:r>
          </w:p>
        </w:tc>
        <w:tc>
          <w:tcPr>
            <w:tcW w:w="2570" w:type="pct"/>
            <w:vAlign w:val="center"/>
          </w:tcPr>
          <w:p w14:paraId="23E6C1C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19" w:type="pct"/>
            <w:vAlign w:val="center"/>
          </w:tcPr>
          <w:p w14:paraId="3A5B75D8">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6949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C87692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7</w:t>
            </w:r>
          </w:p>
        </w:tc>
        <w:tc>
          <w:tcPr>
            <w:tcW w:w="802" w:type="pct"/>
            <w:vAlign w:val="center"/>
          </w:tcPr>
          <w:p w14:paraId="0D34806E">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570" w:type="pct"/>
            <w:vAlign w:val="center"/>
          </w:tcPr>
          <w:p w14:paraId="5405A495">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219" w:type="pct"/>
            <w:vAlign w:val="center"/>
          </w:tcPr>
          <w:p w14:paraId="7884B484">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2DFC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3D073A8">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802" w:type="pct"/>
            <w:vAlign w:val="center"/>
          </w:tcPr>
          <w:p w14:paraId="5F4ED450">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报价</w:t>
            </w:r>
          </w:p>
        </w:tc>
        <w:tc>
          <w:tcPr>
            <w:tcW w:w="2570" w:type="pct"/>
            <w:vAlign w:val="center"/>
          </w:tcPr>
          <w:p w14:paraId="2246D79C">
            <w:pPr>
              <w:spacing w:after="50" w:line="360" w:lineRule="auto"/>
              <w:ind w:right="-10" w:rightChars="0"/>
              <w:jc w:val="center"/>
              <w:rPr>
                <w:rFonts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219" w:type="pct"/>
            <w:vAlign w:val="center"/>
          </w:tcPr>
          <w:p w14:paraId="2151BADA">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9DA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456986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w:t>
            </w:r>
          </w:p>
        </w:tc>
        <w:tc>
          <w:tcPr>
            <w:tcW w:w="802" w:type="pct"/>
            <w:vAlign w:val="center"/>
          </w:tcPr>
          <w:p w14:paraId="49F5B321">
            <w:pPr>
              <w:spacing w:after="50" w:line="480" w:lineRule="exact"/>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商务响应情况</w:t>
            </w:r>
          </w:p>
        </w:tc>
        <w:tc>
          <w:tcPr>
            <w:tcW w:w="2570" w:type="pct"/>
            <w:vAlign w:val="center"/>
          </w:tcPr>
          <w:p w14:paraId="39FD1F80">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eastAsia="zh-CN"/>
              </w:rPr>
              <w:t>服务期</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eastAsia="zh-CN"/>
              </w:rPr>
              <w:t>服务地点</w:t>
            </w:r>
            <w:r>
              <w:rPr>
                <w:rFonts w:hint="eastAsia" w:asciiTheme="minorEastAsia" w:hAnsiTheme="minorEastAsia" w:eastAsiaTheme="minorEastAsia"/>
                <w:color w:val="auto"/>
                <w:sz w:val="24"/>
                <w:szCs w:val="28"/>
                <w:highlight w:val="none"/>
              </w:rPr>
              <w:t>等实质性要求</w:t>
            </w:r>
          </w:p>
        </w:tc>
        <w:tc>
          <w:tcPr>
            <w:tcW w:w="1219" w:type="pct"/>
            <w:vAlign w:val="center"/>
          </w:tcPr>
          <w:p w14:paraId="4B43F5C1">
            <w:pPr>
              <w:adjustRightInd w:val="0"/>
              <w:snapToGrid w:val="0"/>
              <w:spacing w:line="480" w:lineRule="exact"/>
              <w:ind w:right="-10" w:rightChars="0"/>
              <w:jc w:val="center"/>
              <w:rPr>
                <w:rFonts w:hint="eastAsia" w:ascii="宋体" w:hAnsi="宋体" w:eastAsia="宋体"/>
                <w:color w:val="auto"/>
                <w:sz w:val="24"/>
                <w:highlight w:val="none"/>
              </w:rPr>
            </w:pPr>
            <w:r>
              <w:rPr>
                <w:rFonts w:hint="eastAsia" w:ascii="宋体" w:hAnsi="宋体" w:eastAsia="宋体"/>
                <w:color w:val="auto"/>
                <w:sz w:val="24"/>
                <w:highlight w:val="none"/>
              </w:rPr>
              <w:t>详见第六章响应文件格式。</w:t>
            </w:r>
          </w:p>
        </w:tc>
      </w:tr>
      <w:tr w14:paraId="6BF7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1E7AFC14">
            <w:pPr>
              <w:spacing w:after="50" w:line="480" w:lineRule="exact"/>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10</w:t>
            </w:r>
          </w:p>
        </w:tc>
        <w:tc>
          <w:tcPr>
            <w:tcW w:w="1367" w:type="dxa"/>
            <w:vAlign w:val="center"/>
          </w:tcPr>
          <w:p w14:paraId="5179A76C">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诚信履约承诺函</w:t>
            </w:r>
          </w:p>
        </w:tc>
        <w:tc>
          <w:tcPr>
            <w:tcW w:w="4380" w:type="dxa"/>
            <w:vAlign w:val="center"/>
          </w:tcPr>
          <w:p w14:paraId="5B74AE62">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080" w:type="dxa"/>
            <w:vAlign w:val="center"/>
          </w:tcPr>
          <w:p w14:paraId="6D1EEB02">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详见第六章</w:t>
            </w: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文件格式</w:t>
            </w:r>
            <w:r>
              <w:rPr>
                <w:rFonts w:hint="eastAsia" w:asciiTheme="minorEastAsia" w:hAnsiTheme="minorEastAsia" w:eastAsiaTheme="minorEastAsia"/>
                <w:color w:val="auto"/>
                <w:sz w:val="24"/>
                <w:szCs w:val="28"/>
                <w:highlight w:val="none"/>
                <w:lang w:eastAsia="zh-CN"/>
              </w:rPr>
              <w:t>。</w:t>
            </w:r>
          </w:p>
        </w:tc>
      </w:tr>
      <w:tr w14:paraId="778B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2274C512">
            <w:pPr>
              <w:spacing w:after="50" w:line="480" w:lineRule="exact"/>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11</w:t>
            </w:r>
          </w:p>
        </w:tc>
        <w:tc>
          <w:tcPr>
            <w:tcW w:w="1367" w:type="dxa"/>
            <w:vAlign w:val="center"/>
          </w:tcPr>
          <w:p w14:paraId="18374CF2">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诚信响应承诺书</w:t>
            </w:r>
          </w:p>
        </w:tc>
        <w:tc>
          <w:tcPr>
            <w:tcW w:w="4380" w:type="dxa"/>
            <w:vAlign w:val="top"/>
          </w:tcPr>
          <w:p w14:paraId="04C8F80A">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谈判</w:t>
            </w:r>
            <w:r>
              <w:rPr>
                <w:rFonts w:hint="eastAsia" w:asciiTheme="minorEastAsia" w:hAnsiTheme="minorEastAsia" w:eastAsiaTheme="minorEastAsia"/>
                <w:color w:val="auto"/>
                <w:sz w:val="24"/>
                <w:szCs w:val="28"/>
                <w:highlight w:val="none"/>
              </w:rPr>
              <w:t>文件规定并加盖供应商电子签章</w:t>
            </w:r>
          </w:p>
        </w:tc>
        <w:tc>
          <w:tcPr>
            <w:tcW w:w="2080" w:type="dxa"/>
            <w:vAlign w:val="center"/>
          </w:tcPr>
          <w:p w14:paraId="0B7DD92A">
            <w:pPr>
              <w:spacing w:after="50" w:line="480" w:lineRule="exact"/>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详见第六章</w:t>
            </w:r>
            <w:r>
              <w:rPr>
                <w:rFonts w:hint="eastAsia" w:asciiTheme="minorEastAsia" w:hAnsiTheme="minorEastAsia" w:eastAsiaTheme="minorEastAsia"/>
                <w:color w:val="auto"/>
                <w:sz w:val="24"/>
                <w:szCs w:val="28"/>
                <w:highlight w:val="none"/>
                <w:lang w:val="en-US" w:eastAsia="zh-CN"/>
              </w:rPr>
              <w:t>响应</w:t>
            </w:r>
            <w:r>
              <w:rPr>
                <w:rFonts w:hint="eastAsia" w:asciiTheme="minorEastAsia" w:hAnsiTheme="minorEastAsia" w:eastAsiaTheme="minorEastAsia"/>
                <w:color w:val="auto"/>
                <w:sz w:val="24"/>
                <w:szCs w:val="28"/>
                <w:highlight w:val="none"/>
              </w:rPr>
              <w:t>文件格式</w:t>
            </w:r>
            <w:r>
              <w:rPr>
                <w:rFonts w:hint="eastAsia" w:asciiTheme="minorEastAsia" w:hAnsiTheme="minorEastAsia" w:eastAsiaTheme="minorEastAsia"/>
                <w:color w:val="auto"/>
                <w:sz w:val="24"/>
                <w:szCs w:val="28"/>
                <w:highlight w:val="none"/>
                <w:lang w:eastAsia="zh-CN"/>
              </w:rPr>
              <w:t>。</w:t>
            </w:r>
          </w:p>
        </w:tc>
      </w:tr>
      <w:bookmarkEnd w:id="48"/>
    </w:tbl>
    <w:p w14:paraId="64C2FB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49505BB">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BF1FCEA">
      <w:pPr>
        <w:spacing w:line="360" w:lineRule="auto"/>
        <w:ind w:firstLine="437"/>
        <w:outlineLvl w:val="1"/>
        <w:rPr>
          <w:rFonts w:asciiTheme="minorEastAsia" w:hAnsiTheme="minorEastAsia" w:eastAsiaTheme="minorEastAsia"/>
          <w:b/>
          <w:color w:val="auto"/>
          <w:sz w:val="24"/>
          <w:highlight w:val="none"/>
        </w:rPr>
      </w:pPr>
      <w:bookmarkStart w:id="49" w:name="_Toc27310"/>
      <w:bookmarkStart w:id="50" w:name="_Toc35526206"/>
      <w:r>
        <w:rPr>
          <w:rFonts w:hint="eastAsia" w:asciiTheme="minorEastAsia" w:hAnsiTheme="minorEastAsia" w:eastAsiaTheme="minorEastAsia"/>
          <w:b/>
          <w:color w:val="auto"/>
          <w:sz w:val="24"/>
          <w:highlight w:val="none"/>
        </w:rPr>
        <w:t>三、无效响应条款</w:t>
      </w:r>
    </w:p>
    <w:p w14:paraId="186222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62F056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08E1EA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60分钟，否则响应文件将被拒绝。</w:t>
      </w:r>
    </w:p>
    <w:p w14:paraId="743315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62786A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3479F9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0A9018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34FE0C2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（4）竞争性谈判公告写明专门面向中小企业采购，供应商提供的货物非中小企业制造的；</w:t>
      </w:r>
    </w:p>
    <w:p w14:paraId="216910D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（5）要求供应商以联合体形式参加采购活动，供应商非联合体或者联合协议中中小企业合同金额未达到应当达到的比例；</w:t>
      </w:r>
    </w:p>
    <w:p w14:paraId="522F81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（6）要求获得采购合同的供应商向中小企业分包，供应商未提供分包意向协议或者分包意向协议中中小企业合同金额未达到应当达到的比例；</w:t>
      </w:r>
    </w:p>
    <w:p w14:paraId="66BC8B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（7）无法查看并检验电子响应文件中相关资料的；</w:t>
      </w:r>
    </w:p>
    <w:p w14:paraId="57A0A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（8）联合体参与未提交联合体协议的；</w:t>
      </w:r>
    </w:p>
    <w:p w14:paraId="7F09B8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（9）责令停产停业的；</w:t>
      </w:r>
    </w:p>
    <w:p w14:paraId="11DBE3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（10）暂停或者取消参与政府采购项目资格的；</w:t>
      </w:r>
    </w:p>
    <w:p w14:paraId="28CEFF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（11）单位负责人为同一人或者存在直接控股、管理关系的不同单位的；</w:t>
      </w:r>
    </w:p>
    <w:p w14:paraId="430E184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（12）供应商基本资格条件和特定资格条件中有一项及以上不符合要求的；</w:t>
      </w:r>
    </w:p>
    <w:p w14:paraId="0F49F6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613B5C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（14）其它情形按无效响应处理，并经公共资源交易监督部门核准的；</w:t>
      </w:r>
    </w:p>
    <w:p w14:paraId="19CBD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（15）供应商响应MAC地址或供应商联系人或联系电话相同的，由谈判小组否决其响应，并报告监管部门作不良行为处理和进一步调查；</w:t>
      </w:r>
    </w:p>
    <w:p w14:paraId="04E225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（16）供应商单方面出现其他供应商材料的；</w:t>
      </w:r>
    </w:p>
    <w:p w14:paraId="7BFD76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（17）竞争性谈判公告未写明允许采购进口产品，供应商所投产品为进口产品的；</w:t>
      </w:r>
    </w:p>
    <w:p w14:paraId="05B34C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（18）谈判文件规定的其它无效情形。</w:t>
      </w:r>
    </w:p>
    <w:p w14:paraId="341806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60D7DB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（1）响应文件签章不全，经谈判小组一致认定对响应内容有实质性影响并经公共资源交易监督部门核准的；</w:t>
      </w:r>
    </w:p>
    <w:p w14:paraId="48B16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40CC29A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（3）同一供应商提交两个或以上不同的响应文件或者报价，但谈判文件规定提交备选方案的除外；</w:t>
      </w:r>
    </w:p>
    <w:p w14:paraId="658371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（4）响应文件没有对谈判文件的实质性要求和条件作出响应；</w:t>
      </w:r>
    </w:p>
    <w:p w14:paraId="5A7469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（5）报价超出规定的最高限价或公布的采购预算的或供应商的报价各项单价高于谈判文件给定的单价最高限价；</w:t>
      </w:r>
    </w:p>
    <w:p w14:paraId="18E009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（6）不按谈判小组要求澄清、说明或补正的，或者谈判小组根据谈判文件的规定对</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文件的计算错误进行修正后，供应商不接受修正的报价的。</w:t>
      </w:r>
    </w:p>
    <w:p w14:paraId="486FE0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（7）其它情形，经谈判小组提出按无效响应处理，并经公共资源交易监督部门核准的；</w:t>
      </w:r>
    </w:p>
    <w:p w14:paraId="488F8B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13FD14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（9）谈判文件规定的其它无效响应情形。</w:t>
      </w:r>
    </w:p>
    <w:p w14:paraId="7B65B1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01544A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D586D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71A0A4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29E1C3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C1E17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（5）拒不确认谈判小组评审修正的响应无效；</w:t>
      </w:r>
    </w:p>
    <w:p w14:paraId="3CF08C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（6）其它情形，经谈判小组提出按无效响应处理，并经公共资源交易监督部门核准的；</w:t>
      </w:r>
    </w:p>
    <w:p w14:paraId="6266226D">
      <w:pPr>
        <w:spacing w:line="360" w:lineRule="auto"/>
        <w:ind w:firstLine="480" w:firstLineChars="200"/>
        <w:jc w:val="left"/>
        <w:outlineLvl w:val="0"/>
        <w:rPr>
          <w:rFonts w:hint="eastAsia" w:asciiTheme="minorEastAsia" w:hAnsiTheme="minorEastAsia" w:eastAsiaTheme="minorEastAsia"/>
          <w:color w:val="auto"/>
          <w:sz w:val="24"/>
          <w:highlight w:val="none"/>
          <w:lang w:eastAsia="zh-CN"/>
        </w:rPr>
      </w:pPr>
      <w:bookmarkStart w:id="51" w:name="_Toc10939"/>
      <w:r>
        <w:rPr>
          <w:rFonts w:hint="eastAsia" w:asciiTheme="minorEastAsia" w:hAnsiTheme="minorEastAsia" w:eastAsiaTheme="minorEastAsia"/>
          <w:color w:val="auto"/>
          <w:sz w:val="24"/>
          <w:highlight w:val="none"/>
        </w:rPr>
        <w:t>（7）谈判文件规定的其它无效响应情形</w:t>
      </w:r>
      <w:r>
        <w:rPr>
          <w:rFonts w:hint="eastAsia" w:asciiTheme="minorEastAsia" w:hAnsiTheme="minorEastAsia" w:eastAsiaTheme="minorEastAsia"/>
          <w:color w:val="auto"/>
          <w:sz w:val="24"/>
          <w:highlight w:val="none"/>
          <w:lang w:eastAsia="zh-CN"/>
        </w:rPr>
        <w:t>。</w:t>
      </w:r>
      <w:bookmarkEnd w:id="51"/>
    </w:p>
    <w:p w14:paraId="3D043DDE">
      <w:pPr>
        <w:spacing w:line="360" w:lineRule="auto"/>
        <w:jc w:val="center"/>
        <w:outlineLvl w:val="0"/>
        <w:rPr>
          <w:rFonts w:hint="eastAsia" w:asciiTheme="minorEastAsia" w:hAnsiTheme="minorEastAsia" w:eastAsiaTheme="minorEastAsia"/>
          <w:color w:val="auto"/>
          <w:sz w:val="24"/>
          <w:highlight w:val="none"/>
          <w:lang w:eastAsia="zh-CN"/>
        </w:rPr>
      </w:pPr>
    </w:p>
    <w:p w14:paraId="130EF251">
      <w:pPr>
        <w:spacing w:line="360" w:lineRule="auto"/>
        <w:jc w:val="center"/>
        <w:outlineLvl w:val="0"/>
        <w:rPr>
          <w:rFonts w:hint="eastAsia" w:asciiTheme="minorEastAsia" w:hAnsiTheme="minorEastAsia" w:eastAsiaTheme="minorEastAsia"/>
          <w:color w:val="auto"/>
          <w:sz w:val="24"/>
          <w:highlight w:val="none"/>
          <w:lang w:eastAsia="zh-CN"/>
        </w:rPr>
      </w:pPr>
    </w:p>
    <w:p w14:paraId="6BB830E9">
      <w:pPr>
        <w:spacing w:line="360" w:lineRule="auto"/>
        <w:jc w:val="center"/>
        <w:outlineLvl w:val="0"/>
        <w:rPr>
          <w:rFonts w:hint="eastAsia" w:asciiTheme="minorEastAsia" w:hAnsiTheme="minorEastAsia" w:eastAsiaTheme="minorEastAsia"/>
          <w:color w:val="auto"/>
          <w:sz w:val="24"/>
          <w:highlight w:val="none"/>
          <w:lang w:eastAsia="zh-CN"/>
        </w:rPr>
      </w:pPr>
    </w:p>
    <w:p w14:paraId="5B350ABE">
      <w:pPr>
        <w:spacing w:line="360" w:lineRule="auto"/>
        <w:jc w:val="center"/>
        <w:outlineLvl w:val="0"/>
        <w:rPr>
          <w:rFonts w:hint="eastAsia" w:asciiTheme="minorEastAsia" w:hAnsiTheme="minorEastAsia" w:eastAsiaTheme="minorEastAsia"/>
          <w:color w:val="auto"/>
          <w:sz w:val="24"/>
          <w:highlight w:val="none"/>
          <w:lang w:eastAsia="zh-CN"/>
        </w:rPr>
      </w:pPr>
    </w:p>
    <w:p w14:paraId="5D4E78EC">
      <w:pPr>
        <w:spacing w:line="360" w:lineRule="auto"/>
        <w:jc w:val="center"/>
        <w:outlineLvl w:val="0"/>
        <w:rPr>
          <w:rFonts w:hint="eastAsia" w:asciiTheme="minorEastAsia" w:hAnsiTheme="minorEastAsia" w:eastAsiaTheme="minorEastAsia"/>
          <w:b/>
          <w:color w:val="auto"/>
          <w:sz w:val="28"/>
          <w:highlight w:val="none"/>
        </w:rPr>
      </w:pPr>
    </w:p>
    <w:p w14:paraId="3B7B5610">
      <w:pPr>
        <w:spacing w:line="360" w:lineRule="auto"/>
        <w:jc w:val="center"/>
        <w:outlineLvl w:val="0"/>
        <w:rPr>
          <w:rFonts w:hint="eastAsia" w:asciiTheme="minorEastAsia" w:hAnsiTheme="minorEastAsia" w:eastAsiaTheme="minorEastAsia"/>
          <w:b/>
          <w:color w:val="auto"/>
          <w:sz w:val="28"/>
          <w:highlight w:val="none"/>
        </w:rPr>
      </w:pPr>
    </w:p>
    <w:p w14:paraId="765CA1AC">
      <w:pPr>
        <w:spacing w:line="360" w:lineRule="auto"/>
        <w:jc w:val="center"/>
        <w:outlineLvl w:val="0"/>
        <w:rPr>
          <w:rFonts w:hint="eastAsia" w:asciiTheme="minorEastAsia" w:hAnsiTheme="minorEastAsia" w:eastAsiaTheme="minorEastAsia"/>
          <w:b/>
          <w:color w:val="auto"/>
          <w:sz w:val="28"/>
          <w:highlight w:val="none"/>
        </w:rPr>
      </w:pPr>
    </w:p>
    <w:p w14:paraId="0FFCD9FE">
      <w:pPr>
        <w:spacing w:line="360" w:lineRule="auto"/>
        <w:jc w:val="center"/>
        <w:outlineLvl w:val="0"/>
        <w:rPr>
          <w:rFonts w:hint="eastAsia" w:asciiTheme="minorEastAsia" w:hAnsiTheme="minorEastAsia" w:eastAsiaTheme="minorEastAsia"/>
          <w:b/>
          <w:color w:val="auto"/>
          <w:sz w:val="28"/>
          <w:highlight w:val="none"/>
        </w:rPr>
      </w:pPr>
    </w:p>
    <w:p w14:paraId="39710A91">
      <w:pPr>
        <w:spacing w:line="360" w:lineRule="auto"/>
        <w:jc w:val="center"/>
        <w:outlineLvl w:val="0"/>
        <w:rPr>
          <w:rFonts w:hint="eastAsia" w:asciiTheme="minorEastAsia" w:hAnsiTheme="minorEastAsia" w:eastAsiaTheme="minorEastAsia"/>
          <w:b/>
          <w:color w:val="auto"/>
          <w:sz w:val="28"/>
          <w:highlight w:val="none"/>
        </w:rPr>
      </w:pPr>
    </w:p>
    <w:p w14:paraId="5864AAFA">
      <w:pPr>
        <w:spacing w:line="360" w:lineRule="auto"/>
        <w:jc w:val="center"/>
        <w:outlineLvl w:val="0"/>
        <w:rPr>
          <w:rFonts w:hint="eastAsia" w:asciiTheme="minorEastAsia" w:hAnsiTheme="minorEastAsia" w:eastAsiaTheme="minorEastAsia"/>
          <w:b/>
          <w:color w:val="auto"/>
          <w:sz w:val="28"/>
          <w:highlight w:val="none"/>
        </w:rPr>
      </w:pPr>
    </w:p>
    <w:p w14:paraId="0C40670B">
      <w:pPr>
        <w:spacing w:line="360" w:lineRule="auto"/>
        <w:jc w:val="center"/>
        <w:outlineLvl w:val="0"/>
        <w:rPr>
          <w:rFonts w:hint="eastAsia" w:asciiTheme="minorEastAsia" w:hAnsiTheme="minorEastAsia" w:eastAsiaTheme="minorEastAsia"/>
          <w:b/>
          <w:color w:val="auto"/>
          <w:sz w:val="28"/>
          <w:highlight w:val="none"/>
        </w:rPr>
      </w:pPr>
    </w:p>
    <w:p w14:paraId="1AA066E2">
      <w:pPr>
        <w:spacing w:line="360" w:lineRule="auto"/>
        <w:jc w:val="center"/>
        <w:outlineLvl w:val="0"/>
        <w:rPr>
          <w:rFonts w:hint="eastAsia" w:asciiTheme="minorEastAsia" w:hAnsiTheme="minorEastAsia" w:eastAsiaTheme="minorEastAsia"/>
          <w:b/>
          <w:color w:val="auto"/>
          <w:sz w:val="28"/>
          <w:highlight w:val="none"/>
        </w:rPr>
      </w:pPr>
    </w:p>
    <w:p w14:paraId="2E593F0C">
      <w:pPr>
        <w:spacing w:line="360" w:lineRule="auto"/>
        <w:jc w:val="center"/>
        <w:outlineLvl w:val="0"/>
        <w:rPr>
          <w:rFonts w:hint="eastAsia" w:asciiTheme="minorEastAsia" w:hAnsiTheme="minorEastAsia" w:eastAsiaTheme="minorEastAsia"/>
          <w:b/>
          <w:color w:val="auto"/>
          <w:sz w:val="28"/>
          <w:highlight w:val="none"/>
        </w:rPr>
      </w:pPr>
    </w:p>
    <w:p w14:paraId="6B92A0C4">
      <w:pPr>
        <w:spacing w:line="360" w:lineRule="auto"/>
        <w:jc w:val="center"/>
        <w:outlineLvl w:val="0"/>
        <w:rPr>
          <w:rFonts w:hint="eastAsia" w:asciiTheme="minorEastAsia" w:hAnsiTheme="minorEastAsia" w:eastAsiaTheme="minorEastAsia"/>
          <w:b/>
          <w:color w:val="auto"/>
          <w:sz w:val="28"/>
          <w:highlight w:val="none"/>
        </w:rPr>
      </w:pPr>
    </w:p>
    <w:p w14:paraId="076E6FA8">
      <w:pPr>
        <w:spacing w:line="360" w:lineRule="auto"/>
        <w:jc w:val="center"/>
        <w:outlineLvl w:val="0"/>
        <w:rPr>
          <w:rFonts w:hint="eastAsia" w:asciiTheme="minorEastAsia" w:hAnsiTheme="minorEastAsia" w:eastAsiaTheme="minorEastAsia"/>
          <w:b/>
          <w:color w:val="auto"/>
          <w:sz w:val="28"/>
          <w:highlight w:val="none"/>
        </w:rPr>
      </w:pPr>
    </w:p>
    <w:p w14:paraId="5B9B567C">
      <w:pPr>
        <w:spacing w:line="360" w:lineRule="auto"/>
        <w:jc w:val="center"/>
        <w:outlineLvl w:val="0"/>
        <w:rPr>
          <w:rFonts w:hint="eastAsia" w:asciiTheme="minorEastAsia" w:hAnsiTheme="minorEastAsia" w:eastAsiaTheme="minorEastAsia"/>
          <w:b/>
          <w:color w:val="auto"/>
          <w:sz w:val="28"/>
          <w:highlight w:val="none"/>
        </w:rPr>
      </w:pPr>
    </w:p>
    <w:p w14:paraId="48C37080">
      <w:pPr>
        <w:spacing w:line="360" w:lineRule="auto"/>
        <w:jc w:val="center"/>
        <w:outlineLvl w:val="0"/>
        <w:rPr>
          <w:rFonts w:hint="eastAsia" w:asciiTheme="minorEastAsia" w:hAnsiTheme="minorEastAsia" w:eastAsiaTheme="minorEastAsia"/>
          <w:b/>
          <w:color w:val="auto"/>
          <w:sz w:val="28"/>
          <w:highlight w:val="none"/>
        </w:rPr>
      </w:pPr>
    </w:p>
    <w:p w14:paraId="5A9A5D77">
      <w:pPr>
        <w:pStyle w:val="2"/>
        <w:rPr>
          <w:rFonts w:hint="eastAsia" w:asciiTheme="minorEastAsia" w:hAnsiTheme="minorEastAsia" w:eastAsiaTheme="minorEastAsia"/>
          <w:b/>
          <w:color w:val="auto"/>
          <w:sz w:val="28"/>
          <w:highlight w:val="none"/>
        </w:rPr>
      </w:pPr>
    </w:p>
    <w:p w14:paraId="5278B64A">
      <w:pPr>
        <w:rPr>
          <w:rFonts w:hint="eastAsia"/>
          <w:color w:val="auto"/>
          <w:highlight w:val="none"/>
        </w:rPr>
      </w:pPr>
    </w:p>
    <w:p w14:paraId="676AAF16">
      <w:pPr>
        <w:spacing w:line="360" w:lineRule="auto"/>
        <w:jc w:val="center"/>
        <w:outlineLvl w:val="0"/>
        <w:rPr>
          <w:rFonts w:hint="eastAsia" w:asciiTheme="minorEastAsia" w:hAnsiTheme="minorEastAsia" w:eastAsiaTheme="minorEastAsia"/>
          <w:b/>
          <w:color w:val="auto"/>
          <w:sz w:val="28"/>
          <w:highlight w:val="none"/>
        </w:rPr>
      </w:pPr>
    </w:p>
    <w:p w14:paraId="305FD748">
      <w:pPr>
        <w:spacing w:line="360" w:lineRule="auto"/>
        <w:jc w:val="center"/>
        <w:outlineLvl w:val="0"/>
        <w:rPr>
          <w:rFonts w:hint="eastAsia" w:asciiTheme="minorEastAsia" w:hAnsiTheme="minorEastAsia" w:eastAsiaTheme="minorEastAsia"/>
          <w:b/>
          <w:color w:val="auto"/>
          <w:sz w:val="28"/>
          <w:highlight w:val="none"/>
        </w:rPr>
      </w:pPr>
    </w:p>
    <w:p w14:paraId="63EB2728">
      <w:pPr>
        <w:spacing w:line="360" w:lineRule="auto"/>
        <w:jc w:val="center"/>
        <w:outlineLvl w:val="0"/>
        <w:rPr>
          <w:rFonts w:hint="eastAsia" w:asciiTheme="minorEastAsia" w:hAnsiTheme="minorEastAsia" w:eastAsiaTheme="minorEastAsia"/>
          <w:b/>
          <w:color w:val="auto"/>
          <w:sz w:val="28"/>
          <w:highlight w:val="none"/>
        </w:rPr>
      </w:pPr>
    </w:p>
    <w:p w14:paraId="4391A57C">
      <w:pPr>
        <w:spacing w:line="360" w:lineRule="auto"/>
        <w:jc w:val="center"/>
        <w:outlineLvl w:val="0"/>
        <w:rPr>
          <w:rFonts w:asciiTheme="minorEastAsia" w:hAnsiTheme="minorEastAsia" w:eastAsiaTheme="minorEastAsia"/>
          <w:b/>
          <w:color w:val="auto"/>
          <w:sz w:val="28"/>
          <w:highlight w:val="none"/>
        </w:rPr>
      </w:pPr>
      <w:bookmarkStart w:id="52" w:name="_Toc179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9"/>
      <w:bookmarkEnd w:id="50"/>
      <w:bookmarkEnd w:id="52"/>
    </w:p>
    <w:p w14:paraId="14305299">
      <w:pPr>
        <w:spacing w:line="360" w:lineRule="auto"/>
        <w:rPr>
          <w:rFonts w:hint="eastAsia" w:ascii="华文中宋" w:hAnsi="华文中宋" w:eastAsia="华文中宋"/>
          <w:b/>
          <w:bCs/>
          <w:color w:val="auto"/>
          <w:sz w:val="48"/>
          <w:szCs w:val="48"/>
          <w:highlight w:val="none"/>
        </w:rPr>
      </w:pPr>
      <w:bookmarkStart w:id="53" w:name="_Toc29374"/>
      <w:r>
        <w:rPr>
          <w:rFonts w:hint="eastAsia" w:ascii="仿宋_GB2312" w:eastAsia="仿宋_GB2312"/>
          <w:b/>
          <w:color w:val="auto"/>
          <w:sz w:val="32"/>
          <w:szCs w:val="32"/>
          <w:highlight w:val="none"/>
        </w:rPr>
        <w:t>（ＧＦ－2012－0202）</w:t>
      </w:r>
    </w:p>
    <w:p w14:paraId="7BE20A3D">
      <w:pPr>
        <w:spacing w:line="360" w:lineRule="auto"/>
        <w:jc w:val="center"/>
        <w:rPr>
          <w:rFonts w:hint="eastAsia" w:ascii="华文中宋" w:hAnsi="华文中宋" w:eastAsia="华文中宋"/>
          <w:b/>
          <w:bCs/>
          <w:color w:val="auto"/>
          <w:sz w:val="48"/>
          <w:szCs w:val="48"/>
          <w:highlight w:val="none"/>
        </w:rPr>
      </w:pPr>
    </w:p>
    <w:p w14:paraId="1B9E95DD">
      <w:pPr>
        <w:spacing w:line="360" w:lineRule="auto"/>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14:paraId="59487750">
      <w:pPr>
        <w:spacing w:line="360" w:lineRule="auto"/>
        <w:jc w:val="center"/>
        <w:rPr>
          <w:rFonts w:hint="eastAsia" w:ascii="华文楷体" w:hAnsi="华文楷体" w:eastAsia="华文楷体"/>
          <w:b/>
          <w:bCs/>
          <w:color w:val="auto"/>
          <w:sz w:val="52"/>
          <w:szCs w:val="52"/>
          <w:highlight w:val="none"/>
        </w:rPr>
      </w:pPr>
      <w:r>
        <w:rPr>
          <w:rFonts w:hint="eastAsia" w:ascii="华文楷体" w:hAnsi="华文楷体" w:eastAsia="华文楷体"/>
          <w:b/>
          <w:bCs/>
          <w:color w:val="auto"/>
          <w:sz w:val="52"/>
          <w:szCs w:val="52"/>
          <w:highlight w:val="none"/>
          <w:lang w:eastAsia="zh-CN"/>
        </w:rPr>
        <w:t>（</w:t>
      </w:r>
      <w:r>
        <w:rPr>
          <w:rFonts w:hint="eastAsia" w:ascii="华文楷体" w:hAnsi="华文楷体" w:eastAsia="华文楷体"/>
          <w:b/>
          <w:bCs/>
          <w:color w:val="auto"/>
          <w:sz w:val="52"/>
          <w:szCs w:val="52"/>
          <w:highlight w:val="none"/>
        </w:rPr>
        <w:t>示范文本</w:t>
      </w:r>
      <w:r>
        <w:rPr>
          <w:rFonts w:hint="eastAsia" w:ascii="华文楷体" w:hAnsi="华文楷体" w:eastAsia="华文楷体"/>
          <w:b/>
          <w:bCs/>
          <w:color w:val="auto"/>
          <w:sz w:val="52"/>
          <w:szCs w:val="52"/>
          <w:highlight w:val="none"/>
          <w:lang w:eastAsia="zh-CN"/>
        </w:rPr>
        <w:t>）</w:t>
      </w:r>
    </w:p>
    <w:p w14:paraId="41321FE5">
      <w:pPr>
        <w:rPr>
          <w:rFonts w:hint="eastAsia"/>
          <w:color w:val="auto"/>
          <w:highlight w:val="none"/>
        </w:rPr>
      </w:pPr>
    </w:p>
    <w:p w14:paraId="7CA559D7">
      <w:pPr>
        <w:spacing w:line="360" w:lineRule="auto"/>
        <w:rPr>
          <w:rFonts w:hint="eastAsia" w:ascii="仿宋_GB2312" w:hAnsi="宋体" w:eastAsia="仿宋_GB2312"/>
          <w:b/>
          <w:bCs/>
          <w:color w:val="auto"/>
          <w:sz w:val="24"/>
          <w:highlight w:val="none"/>
        </w:rPr>
      </w:pPr>
    </w:p>
    <w:p w14:paraId="2858D136">
      <w:pPr>
        <w:pStyle w:val="2"/>
        <w:rPr>
          <w:rFonts w:hint="eastAsia" w:ascii="仿宋_GB2312" w:hAnsi="宋体" w:eastAsia="仿宋_GB2312"/>
          <w:b/>
          <w:bCs/>
          <w:color w:val="auto"/>
          <w:sz w:val="24"/>
          <w:highlight w:val="none"/>
        </w:rPr>
      </w:pPr>
    </w:p>
    <w:p w14:paraId="5053CB1C">
      <w:pPr>
        <w:rPr>
          <w:rFonts w:hint="eastAsia" w:ascii="仿宋_GB2312" w:hAnsi="宋体" w:eastAsia="仿宋_GB2312"/>
          <w:b/>
          <w:bCs/>
          <w:color w:val="auto"/>
          <w:sz w:val="24"/>
          <w:highlight w:val="none"/>
        </w:rPr>
      </w:pPr>
    </w:p>
    <w:p w14:paraId="7C758426">
      <w:pPr>
        <w:pStyle w:val="2"/>
        <w:rPr>
          <w:rFonts w:hint="eastAsia" w:ascii="仿宋_GB2312" w:hAnsi="宋体" w:eastAsia="仿宋_GB2312"/>
          <w:b/>
          <w:bCs/>
          <w:color w:val="auto"/>
          <w:sz w:val="24"/>
          <w:highlight w:val="none"/>
        </w:rPr>
      </w:pPr>
    </w:p>
    <w:p w14:paraId="5310F7F8">
      <w:pPr>
        <w:rPr>
          <w:rFonts w:hint="eastAsia" w:ascii="仿宋_GB2312" w:hAnsi="宋体" w:eastAsia="仿宋_GB2312"/>
          <w:b/>
          <w:bCs/>
          <w:color w:val="auto"/>
          <w:sz w:val="24"/>
          <w:highlight w:val="none"/>
        </w:rPr>
      </w:pPr>
    </w:p>
    <w:p w14:paraId="6DBE7952">
      <w:pPr>
        <w:pStyle w:val="2"/>
        <w:rPr>
          <w:rFonts w:hint="eastAsia" w:ascii="仿宋_GB2312" w:hAnsi="宋体" w:eastAsia="仿宋_GB2312"/>
          <w:b/>
          <w:bCs/>
          <w:color w:val="auto"/>
          <w:sz w:val="24"/>
          <w:highlight w:val="none"/>
        </w:rPr>
      </w:pPr>
    </w:p>
    <w:p w14:paraId="6BEC9359">
      <w:pPr>
        <w:rPr>
          <w:rFonts w:hint="eastAsia" w:ascii="仿宋_GB2312" w:hAnsi="宋体" w:eastAsia="仿宋_GB2312"/>
          <w:b/>
          <w:bCs/>
          <w:color w:val="auto"/>
          <w:sz w:val="24"/>
          <w:highlight w:val="none"/>
        </w:rPr>
      </w:pPr>
    </w:p>
    <w:p w14:paraId="5A72394D">
      <w:pPr>
        <w:pStyle w:val="2"/>
        <w:rPr>
          <w:rFonts w:hint="eastAsia" w:ascii="仿宋_GB2312" w:hAnsi="宋体" w:eastAsia="仿宋_GB2312"/>
          <w:b/>
          <w:bCs/>
          <w:color w:val="auto"/>
          <w:sz w:val="24"/>
          <w:highlight w:val="none"/>
        </w:rPr>
      </w:pPr>
    </w:p>
    <w:p w14:paraId="54DBD975">
      <w:pPr>
        <w:rPr>
          <w:rFonts w:hint="eastAsia" w:ascii="仿宋_GB2312" w:hAnsi="宋体" w:eastAsia="仿宋_GB2312"/>
          <w:b/>
          <w:bCs/>
          <w:color w:val="auto"/>
          <w:sz w:val="24"/>
          <w:highlight w:val="none"/>
        </w:rPr>
      </w:pPr>
    </w:p>
    <w:p w14:paraId="1853FA67">
      <w:pPr>
        <w:pStyle w:val="2"/>
        <w:rPr>
          <w:rFonts w:hint="eastAsia" w:ascii="仿宋_GB2312" w:hAnsi="宋体" w:eastAsia="仿宋_GB2312"/>
          <w:b/>
          <w:bCs/>
          <w:color w:val="auto"/>
          <w:sz w:val="24"/>
          <w:highlight w:val="none"/>
        </w:rPr>
      </w:pPr>
    </w:p>
    <w:p w14:paraId="5298676B">
      <w:pPr>
        <w:rPr>
          <w:rFonts w:hint="eastAsia" w:ascii="仿宋_GB2312" w:hAnsi="宋体" w:eastAsia="仿宋_GB2312"/>
          <w:b/>
          <w:bCs/>
          <w:color w:val="auto"/>
          <w:sz w:val="24"/>
          <w:highlight w:val="none"/>
        </w:rPr>
      </w:pPr>
    </w:p>
    <w:p w14:paraId="2111F276">
      <w:pPr>
        <w:pStyle w:val="2"/>
        <w:rPr>
          <w:rFonts w:hint="eastAsia" w:ascii="仿宋_GB2312" w:hAnsi="宋体" w:eastAsia="仿宋_GB2312"/>
          <w:b/>
          <w:bCs/>
          <w:color w:val="auto"/>
          <w:sz w:val="24"/>
          <w:highlight w:val="none"/>
        </w:rPr>
      </w:pPr>
    </w:p>
    <w:p w14:paraId="67BB3569">
      <w:pPr>
        <w:rPr>
          <w:rFonts w:hint="eastAsia" w:ascii="仿宋_GB2312" w:hAnsi="宋体" w:eastAsia="仿宋_GB2312"/>
          <w:b/>
          <w:bCs/>
          <w:color w:val="auto"/>
          <w:sz w:val="24"/>
          <w:highlight w:val="none"/>
        </w:rPr>
      </w:pPr>
    </w:p>
    <w:p w14:paraId="5CAFF7DE">
      <w:pPr>
        <w:pStyle w:val="2"/>
        <w:rPr>
          <w:rFonts w:hint="eastAsia"/>
          <w:color w:val="auto"/>
          <w:highlight w:val="none"/>
        </w:rPr>
      </w:pPr>
    </w:p>
    <w:p w14:paraId="29F054B8">
      <w:pPr>
        <w:spacing w:line="360" w:lineRule="auto"/>
        <w:jc w:val="center"/>
        <w:rPr>
          <w:rFonts w:hint="eastAsia" w:ascii="华文中宋" w:hAnsi="华文中宋" w:eastAsia="华文中宋"/>
          <w:b/>
          <w:color w:val="auto"/>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bCs/>
          <w:color w:val="auto"/>
          <w:sz w:val="32"/>
          <w:szCs w:val="32"/>
          <w:highlight w:val="none"/>
        </w:rPr>
        <w:t>住房和城乡建设部</w:t>
      </w:r>
    </w:p>
    <w:p w14:paraId="66824C2A">
      <w:pPr>
        <w:spacing w:line="360" w:lineRule="auto"/>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1FFAF9E0">
      <w:pPr>
        <w:spacing w:line="360" w:lineRule="auto"/>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国家工商行政管理总局</w:t>
      </w:r>
    </w:p>
    <w:p w14:paraId="0D432DD0">
      <w:pPr>
        <w:rPr>
          <w:rFonts w:hint="eastAsia"/>
          <w:color w:val="auto"/>
          <w:highlight w:val="none"/>
        </w:rPr>
      </w:pPr>
      <w:r>
        <w:rPr>
          <w:rFonts w:hint="eastAsia"/>
          <w:color w:val="auto"/>
          <w:highlight w:val="none"/>
        </w:rPr>
        <w:br w:type="page"/>
      </w:r>
    </w:p>
    <w:p w14:paraId="611F5C9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仿宋_GB2312" w:hAnsi="宋体" w:eastAsia="仿宋_GB2312"/>
          <w:b/>
          <w:color w:val="auto"/>
          <w:sz w:val="13"/>
          <w:szCs w:val="13"/>
          <w:highlight w:val="none"/>
        </w:rPr>
      </w:pPr>
      <w:r>
        <w:rPr>
          <w:rFonts w:hint="eastAsia" w:ascii="宋体" w:hAnsi="宋体" w:eastAsia="宋体" w:cs="宋体"/>
          <w:b/>
          <w:bCs/>
          <w:color w:val="auto"/>
          <w:sz w:val="32"/>
          <w:szCs w:val="32"/>
          <w:highlight w:val="none"/>
        </w:rPr>
        <w:t xml:space="preserve"> </w:t>
      </w:r>
      <w:bookmarkStart w:id="54" w:name="_Toc26827"/>
      <w:bookmarkStart w:id="55" w:name="_Toc19644"/>
      <w:bookmarkStart w:id="56" w:name="_Toc7788"/>
      <w:r>
        <w:rPr>
          <w:rFonts w:hint="eastAsia" w:ascii="宋体" w:hAnsi="宋体" w:eastAsia="宋体" w:cs="宋体"/>
          <w:b/>
          <w:bCs/>
          <w:color w:val="auto"/>
          <w:sz w:val="32"/>
          <w:szCs w:val="32"/>
          <w:highlight w:val="none"/>
        </w:rPr>
        <w:t>第一部分  协议书</w:t>
      </w:r>
      <w:bookmarkEnd w:id="54"/>
      <w:bookmarkEnd w:id="55"/>
      <w:bookmarkEnd w:id="56"/>
    </w:p>
    <w:p w14:paraId="040D027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376537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监理人（全称）：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410423E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》、《中华人民共和国建筑法》及其他有关法律、法规，遵循平等、自愿、公平和诚信的原则，双方就下述工程委托监理与相关服务事项协商一致，订立本合同。</w:t>
      </w:r>
    </w:p>
    <w:p w14:paraId="0750FA6B">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57" w:name="_Toc30646"/>
      <w:bookmarkStart w:id="58" w:name="_Toc9153"/>
      <w:bookmarkStart w:id="59" w:name="_Toc681"/>
      <w:bookmarkStart w:id="60" w:name="_Toc20679"/>
      <w:r>
        <w:rPr>
          <w:rFonts w:hint="eastAsia" w:ascii="宋体" w:hAnsi="宋体" w:eastAsia="宋体" w:cs="宋体"/>
          <w:b/>
          <w:color w:val="auto"/>
          <w:sz w:val="21"/>
          <w:szCs w:val="21"/>
          <w:highlight w:val="none"/>
        </w:rPr>
        <w:t>一、工程概况</w:t>
      </w:r>
      <w:bookmarkEnd w:id="57"/>
      <w:bookmarkEnd w:id="58"/>
      <w:bookmarkEnd w:id="59"/>
      <w:bookmarkEnd w:id="60"/>
    </w:p>
    <w:p w14:paraId="024739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工程名称：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151298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工程地点：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77100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工程规模：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FA5BE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工程</w:t>
      </w:r>
      <w:r>
        <w:rPr>
          <w:rFonts w:hint="eastAsia" w:ascii="宋体" w:hAnsi="宋体" w:eastAsia="宋体" w:cs="宋体"/>
          <w:color w:val="auto"/>
          <w:kern w:val="0"/>
          <w:sz w:val="21"/>
          <w:szCs w:val="21"/>
          <w:highlight w:val="none"/>
        </w:rPr>
        <w:t>概算投资额或建筑安装工程费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A51ED1">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1" w:name="_Toc5109"/>
      <w:bookmarkStart w:id="62" w:name="_Toc9664"/>
      <w:r>
        <w:rPr>
          <w:rFonts w:hint="eastAsia" w:ascii="宋体" w:hAnsi="宋体" w:eastAsia="宋体" w:cs="宋体"/>
          <w:b/>
          <w:color w:val="auto"/>
          <w:sz w:val="21"/>
          <w:szCs w:val="21"/>
          <w:highlight w:val="none"/>
        </w:rPr>
        <w:t>二、词语限定</w:t>
      </w:r>
      <w:bookmarkEnd w:id="61"/>
      <w:bookmarkEnd w:id="62"/>
    </w:p>
    <w:p w14:paraId="197C512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协议书中相关词语的含义与通用条件中的定义与解释相同。</w:t>
      </w:r>
    </w:p>
    <w:p w14:paraId="03205D69">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3" w:name="_Toc25843"/>
      <w:bookmarkStart w:id="64" w:name="_Toc21994"/>
      <w:bookmarkStart w:id="65" w:name="_Toc28974"/>
      <w:bookmarkStart w:id="66" w:name="_Toc22199"/>
      <w:r>
        <w:rPr>
          <w:rFonts w:hint="eastAsia" w:ascii="宋体" w:hAnsi="宋体" w:eastAsia="宋体" w:cs="宋体"/>
          <w:b/>
          <w:color w:val="auto"/>
          <w:sz w:val="21"/>
          <w:szCs w:val="21"/>
          <w:highlight w:val="none"/>
        </w:rPr>
        <w:t>三、组成本合同的文件</w:t>
      </w:r>
      <w:bookmarkEnd w:id="63"/>
      <w:bookmarkEnd w:id="64"/>
      <w:bookmarkEnd w:id="65"/>
      <w:bookmarkEnd w:id="66"/>
    </w:p>
    <w:p w14:paraId="308FD1F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协议书；</w:t>
      </w:r>
    </w:p>
    <w:p w14:paraId="540186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中标通知书（适用于招标工程）或委托书（适用于非招标工程）；</w:t>
      </w:r>
    </w:p>
    <w:p w14:paraId="6D8FEB6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投标文件（适用于招标工程）或监理与相关服务建议书（适用于非招标工程）；</w:t>
      </w:r>
    </w:p>
    <w:p w14:paraId="6081D9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专用条件；</w:t>
      </w:r>
    </w:p>
    <w:p w14:paraId="1253D3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通用条件；</w:t>
      </w:r>
    </w:p>
    <w:p w14:paraId="326437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附录，即：</w:t>
      </w:r>
    </w:p>
    <w:p w14:paraId="05DBFCF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附录A  相关服务的范围和内容</w:t>
      </w:r>
    </w:p>
    <w:p w14:paraId="6A3835A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附录B  委托人派遣的人员和提供的</w:t>
      </w:r>
      <w:r>
        <w:rPr>
          <w:rFonts w:hint="eastAsia" w:ascii="宋体" w:hAnsi="宋体" w:eastAsia="宋体" w:cs="宋体"/>
          <w:bCs/>
          <w:color w:val="auto"/>
          <w:sz w:val="21"/>
          <w:szCs w:val="21"/>
          <w:highlight w:val="none"/>
        </w:rPr>
        <w:t>房屋、资料</w:t>
      </w:r>
      <w:r>
        <w:rPr>
          <w:rFonts w:hint="eastAsia" w:ascii="宋体" w:hAnsi="宋体" w:eastAsia="宋体" w:cs="宋体"/>
          <w:color w:val="auto"/>
          <w:sz w:val="21"/>
          <w:szCs w:val="21"/>
          <w:highlight w:val="none"/>
        </w:rPr>
        <w:t>、设备</w:t>
      </w:r>
    </w:p>
    <w:p w14:paraId="2EA7E96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本合同签订后，双方依法签订的补充协议也是本合同文件的组成部分。</w:t>
      </w:r>
    </w:p>
    <w:p w14:paraId="03372ED5">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67" w:name="_Toc32346"/>
      <w:bookmarkStart w:id="68" w:name="_Toc16696"/>
      <w:bookmarkStart w:id="69" w:name="_Toc1406"/>
      <w:bookmarkStart w:id="70" w:name="_Toc7338"/>
      <w:r>
        <w:rPr>
          <w:rFonts w:hint="eastAsia" w:ascii="宋体" w:hAnsi="宋体" w:eastAsia="宋体" w:cs="宋体"/>
          <w:b/>
          <w:color w:val="auto"/>
          <w:sz w:val="21"/>
          <w:szCs w:val="21"/>
          <w:highlight w:val="none"/>
        </w:rPr>
        <w:t>四、总监理工程师</w:t>
      </w:r>
      <w:bookmarkEnd w:id="67"/>
      <w:bookmarkEnd w:id="68"/>
      <w:bookmarkEnd w:id="69"/>
      <w:bookmarkEnd w:id="70"/>
    </w:p>
    <w:p w14:paraId="01D67EB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，身份证号码：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，注册号：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F2A59A">
      <w:pPr>
        <w:keepNext w:val="0"/>
        <w:keepLines w:val="0"/>
        <w:pageBreakBefore w:val="0"/>
        <w:widowControl w:val="0"/>
        <w:kinsoku/>
        <w:wordWrap/>
        <w:overflowPunct/>
        <w:topLinePunct w:val="0"/>
        <w:autoSpaceDE/>
        <w:autoSpaceDN/>
        <w:bidi w:val="0"/>
        <w:adjustRightInd/>
        <w:snapToGrid/>
        <w:spacing w:before="95" w:beforeLines="30" w:after="95" w:afterLines="30" w:line="44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71" w:name="_Toc16314"/>
      <w:bookmarkStart w:id="72" w:name="_Toc30508"/>
      <w:bookmarkStart w:id="73" w:name="_Toc12474"/>
      <w:bookmarkStart w:id="74" w:name="_Toc21587"/>
      <w:r>
        <w:rPr>
          <w:rFonts w:hint="eastAsia" w:ascii="宋体" w:hAnsi="宋体" w:eastAsia="宋体" w:cs="宋体"/>
          <w:b/>
          <w:color w:val="auto"/>
          <w:sz w:val="21"/>
          <w:szCs w:val="21"/>
          <w:highlight w:val="none"/>
        </w:rPr>
        <w:t>五、签约酬金</w:t>
      </w:r>
      <w:bookmarkEnd w:id="71"/>
      <w:bookmarkEnd w:id="72"/>
      <w:bookmarkEnd w:id="73"/>
      <w:bookmarkEnd w:id="74"/>
    </w:p>
    <w:p w14:paraId="43753430">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Cs w:val="21"/>
          <w:highlight w:val="none"/>
          <w:lang w:eastAsia="zh-CN" w:bidi="ar-SA"/>
        </w:rPr>
      </w:pPr>
      <w:r>
        <w:rPr>
          <w:rFonts w:hint="eastAsia" w:ascii="宋体" w:hAnsi="宋体" w:eastAsia="宋体" w:cs="宋体"/>
          <w:b/>
          <w:color w:val="auto"/>
          <w:szCs w:val="21"/>
          <w:highlight w:val="none"/>
          <w:lang w:val="en-US" w:eastAsia="zh-CN" w:bidi="ar-SA"/>
        </w:rPr>
        <w:t>本项目采用费率报价，成交费率</w:t>
      </w:r>
      <w:r>
        <w:rPr>
          <w:rFonts w:hint="eastAsia" w:ascii="宋体" w:hAnsi="宋体" w:eastAsia="宋体" w:cs="宋体"/>
          <w:b/>
          <w:color w:val="auto"/>
          <w:szCs w:val="21"/>
          <w:highlight w:val="none"/>
          <w:u w:val="single"/>
          <w:lang w:val="en-US" w:eastAsia="zh-CN" w:bidi="ar-SA"/>
        </w:rPr>
        <w:t xml:space="preserve">          </w:t>
      </w:r>
      <w:r>
        <w:rPr>
          <w:rFonts w:hint="eastAsia" w:ascii="宋体" w:hAnsi="宋体" w:eastAsia="宋体" w:cs="宋体"/>
          <w:b/>
          <w:color w:val="auto"/>
          <w:szCs w:val="21"/>
          <w:highlight w:val="none"/>
          <w:lang w:val="en-US" w:eastAsia="zh-CN" w:bidi="ar-SA"/>
        </w:rPr>
        <w:t>，最终监理费费用=工程结算价*成交费率</w:t>
      </w:r>
      <w:r>
        <w:rPr>
          <w:rFonts w:hint="eastAsia" w:ascii="宋体" w:hAnsi="宋体" w:eastAsia="宋体" w:cs="宋体"/>
          <w:b/>
          <w:color w:val="auto"/>
          <w:szCs w:val="21"/>
          <w:highlight w:val="none"/>
          <w:lang w:eastAsia="zh-CN" w:bidi="ar-SA"/>
        </w:rPr>
        <w:t>。</w:t>
      </w:r>
    </w:p>
    <w:p w14:paraId="5F221673">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Cs w:val="21"/>
          <w:highlight w:val="none"/>
          <w:lang w:bidi="ar-SA"/>
        </w:rPr>
      </w:pPr>
      <w:r>
        <w:rPr>
          <w:rFonts w:hint="eastAsia" w:ascii="宋体" w:hAnsi="宋体" w:eastAsia="宋体" w:cs="宋体"/>
          <w:b/>
          <w:color w:val="auto"/>
          <w:szCs w:val="21"/>
          <w:highlight w:val="none"/>
          <w:lang w:val="en-US" w:eastAsia="zh-CN" w:bidi="ar-SA"/>
        </w:rPr>
        <w:t>注：初期暂以建安工程施工中标价为计算额计算监理费，最终支付以施工结算价为计费基数计算监理费。无论任何原因导致的工期延长，委托人均不再增加监理费用</w:t>
      </w:r>
      <w:r>
        <w:rPr>
          <w:rFonts w:hint="eastAsia" w:ascii="宋体" w:hAnsi="宋体" w:eastAsia="宋体" w:cs="宋体"/>
          <w:b/>
          <w:color w:val="auto"/>
          <w:szCs w:val="21"/>
          <w:highlight w:val="none"/>
          <w:lang w:bidi="ar-SA"/>
        </w:rPr>
        <w:t>。</w:t>
      </w:r>
    </w:p>
    <w:p w14:paraId="7980329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w:t>
      </w:r>
    </w:p>
    <w:p w14:paraId="6BC5802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监理酬金：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6B04C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相关服务酬金：</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71B40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2091EF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（1）勘察阶段服务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0E9C1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（2）设计阶段服务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D22FA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（3）保修阶段服务</w:t>
      </w:r>
      <w:r>
        <w:rPr>
          <w:rFonts w:hint="eastAsia" w:ascii="宋体" w:hAnsi="宋体" w:eastAsia="宋体" w:cs="宋体"/>
          <w:color w:val="auto"/>
          <w:sz w:val="21"/>
          <w:szCs w:val="21"/>
          <w:highlight w:val="none"/>
        </w:rPr>
        <w:t>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648240">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其他相关服务酬金：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1BC9E8">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75" w:name="_Toc16163"/>
      <w:bookmarkStart w:id="76" w:name="_Toc9390"/>
      <w:bookmarkStart w:id="77" w:name="_Toc19082"/>
      <w:bookmarkStart w:id="78" w:name="_Toc13897"/>
      <w:r>
        <w:rPr>
          <w:rFonts w:hint="eastAsia" w:ascii="宋体" w:hAnsi="宋体" w:eastAsia="宋体" w:cs="宋体"/>
          <w:b/>
          <w:color w:val="auto"/>
          <w:sz w:val="21"/>
          <w:szCs w:val="21"/>
          <w:highlight w:val="none"/>
        </w:rPr>
        <w:t>六、期限</w:t>
      </w:r>
      <w:bookmarkEnd w:id="75"/>
      <w:bookmarkEnd w:id="76"/>
      <w:bookmarkEnd w:id="77"/>
      <w:bookmarkEnd w:id="78"/>
    </w:p>
    <w:p w14:paraId="2F9BC1E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sz w:val="21"/>
          <w:szCs w:val="21"/>
          <w:highlight w:val="none"/>
        </w:rPr>
        <w:t>监理期限：自合同签订之日起至本质量缺陷责任期满截止。</w:t>
      </w:r>
    </w:p>
    <w:p w14:paraId="33FF21F6">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sz w:val="21"/>
          <w:szCs w:val="21"/>
          <w:highlight w:val="none"/>
        </w:rPr>
        <w:t>相关服务期限：</w:t>
      </w:r>
    </w:p>
    <w:p w14:paraId="149CB337">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（1）勘察阶段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31AE09E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（2）设计阶段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467B14F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（3）保修阶段</w:t>
      </w: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79FED34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其他相关服务期限自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日始，至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426F0FF4">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lang w:val="en-US" w:eastAsia="zh-CN"/>
        </w:rPr>
      </w:pPr>
      <w:bookmarkStart w:id="79" w:name="_Toc3907"/>
      <w:bookmarkStart w:id="80" w:name="_Toc27015"/>
      <w:bookmarkStart w:id="81" w:name="_Toc17782"/>
      <w:bookmarkStart w:id="82" w:name="_Toc12274"/>
      <w:r>
        <w:rPr>
          <w:rFonts w:hint="eastAsia" w:ascii="宋体" w:hAnsi="宋体" w:eastAsia="宋体" w:cs="宋体"/>
          <w:b/>
          <w:color w:val="auto"/>
          <w:sz w:val="21"/>
          <w:szCs w:val="21"/>
          <w:highlight w:val="none"/>
        </w:rPr>
        <w:t>七、双方承诺</w:t>
      </w:r>
      <w:bookmarkEnd w:id="79"/>
      <w:bookmarkEnd w:id="80"/>
      <w:bookmarkEnd w:id="81"/>
      <w:bookmarkEnd w:id="82"/>
      <w:r>
        <w:rPr>
          <w:rFonts w:hint="eastAsia" w:ascii="宋体" w:hAnsi="宋体" w:eastAsia="宋体" w:cs="宋体"/>
          <w:b/>
          <w:color w:val="auto"/>
          <w:sz w:val="21"/>
          <w:szCs w:val="21"/>
          <w:highlight w:val="none"/>
          <w:lang w:val="en-US" w:eastAsia="zh-CN"/>
        </w:rPr>
        <w:t xml:space="preserve"> </w:t>
      </w:r>
    </w:p>
    <w:p w14:paraId="0E53C8BA">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b/>
          <w:color w:val="auto"/>
          <w:sz w:val="21"/>
          <w:szCs w:val="21"/>
          <w:highlight w:val="none"/>
        </w:rPr>
      </w:pPr>
      <w:bookmarkStart w:id="83" w:name="_Toc2209"/>
      <w:bookmarkStart w:id="84" w:name="_Toc5812"/>
      <w:bookmarkStart w:id="85" w:name="_Toc17889"/>
      <w:bookmarkStart w:id="86" w:name="_Toc25648"/>
      <w:r>
        <w:rPr>
          <w:rFonts w:hint="eastAsia" w:ascii="宋体" w:hAnsi="宋体" w:eastAsia="宋体" w:cs="宋体"/>
          <w:color w:val="auto"/>
          <w:sz w:val="21"/>
          <w:szCs w:val="21"/>
          <w:highlight w:val="none"/>
        </w:rPr>
        <w:t>1. 监理人向委托人承诺，按照本合同约定</w:t>
      </w:r>
      <w:r>
        <w:rPr>
          <w:rFonts w:hint="eastAsia" w:ascii="宋体" w:hAnsi="宋体" w:eastAsia="宋体" w:cs="宋体"/>
          <w:color w:val="auto"/>
          <w:kern w:val="0"/>
          <w:sz w:val="21"/>
          <w:szCs w:val="21"/>
          <w:highlight w:val="none"/>
        </w:rPr>
        <w:t>提供</w:t>
      </w:r>
      <w:r>
        <w:rPr>
          <w:rFonts w:hint="eastAsia" w:ascii="宋体" w:hAnsi="宋体" w:eastAsia="宋体" w:cs="宋体"/>
          <w:color w:val="auto"/>
          <w:sz w:val="21"/>
          <w:szCs w:val="21"/>
          <w:highlight w:val="none"/>
        </w:rPr>
        <w:t>监理与相关服务。</w:t>
      </w:r>
      <w:bookmarkEnd w:id="83"/>
      <w:bookmarkEnd w:id="84"/>
      <w:bookmarkEnd w:id="85"/>
      <w:bookmarkEnd w:id="86"/>
    </w:p>
    <w:p w14:paraId="25AE6ECE">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outlineLvl w:val="0"/>
        <w:rPr>
          <w:rFonts w:hint="eastAsia" w:ascii="宋体" w:hAnsi="宋体" w:eastAsia="宋体" w:cs="宋体"/>
          <w:color w:val="auto"/>
          <w:sz w:val="21"/>
          <w:szCs w:val="21"/>
          <w:highlight w:val="none"/>
        </w:rPr>
      </w:pPr>
      <w:bookmarkStart w:id="87" w:name="_Toc14048"/>
      <w:bookmarkStart w:id="88" w:name="_Toc11663"/>
      <w:bookmarkStart w:id="89" w:name="_Toc22188"/>
      <w:bookmarkStart w:id="90" w:name="_Toc3293"/>
      <w:r>
        <w:rPr>
          <w:rFonts w:hint="eastAsia" w:ascii="宋体" w:hAnsi="宋体" w:eastAsia="宋体" w:cs="宋体"/>
          <w:color w:val="auto"/>
          <w:sz w:val="21"/>
          <w:szCs w:val="21"/>
          <w:highlight w:val="none"/>
        </w:rPr>
        <w:t>2. 委托人向监理人承诺，按照本合同约定派遣相应的人员，提供</w:t>
      </w:r>
      <w:r>
        <w:rPr>
          <w:rFonts w:hint="eastAsia" w:ascii="宋体" w:hAnsi="宋体" w:eastAsia="宋体" w:cs="宋体"/>
          <w:bCs/>
          <w:color w:val="auto"/>
          <w:sz w:val="21"/>
          <w:szCs w:val="21"/>
          <w:highlight w:val="none"/>
        </w:rPr>
        <w:t>房屋、资料</w:t>
      </w:r>
      <w:r>
        <w:rPr>
          <w:rFonts w:hint="eastAsia" w:ascii="宋体" w:hAnsi="宋体" w:eastAsia="宋体" w:cs="宋体"/>
          <w:color w:val="auto"/>
          <w:sz w:val="21"/>
          <w:szCs w:val="21"/>
          <w:highlight w:val="none"/>
        </w:rPr>
        <w:t>、设备，并按本合同约定支付酬金。</w:t>
      </w:r>
      <w:bookmarkEnd w:id="87"/>
      <w:bookmarkEnd w:id="88"/>
      <w:bookmarkEnd w:id="89"/>
      <w:bookmarkEnd w:id="90"/>
    </w:p>
    <w:p w14:paraId="2262876A">
      <w:pPr>
        <w:keepNext w:val="0"/>
        <w:keepLines w:val="0"/>
        <w:pageBreakBefore w:val="0"/>
        <w:widowControl w:val="0"/>
        <w:kinsoku/>
        <w:wordWrap/>
        <w:overflowPunct/>
        <w:topLinePunct w:val="0"/>
        <w:autoSpaceDE/>
        <w:autoSpaceDN/>
        <w:bidi w:val="0"/>
        <w:adjustRightInd/>
        <w:snapToGrid/>
        <w:spacing w:before="95" w:beforeLines="30" w:after="95" w:afterLines="30" w:line="400" w:lineRule="exact"/>
        <w:ind w:left="0" w:leftChars="0" w:firstLine="422" w:firstLineChars="200"/>
        <w:jc w:val="left"/>
        <w:textAlignment w:val="auto"/>
        <w:outlineLvl w:val="0"/>
        <w:rPr>
          <w:rFonts w:hint="eastAsia" w:ascii="宋体" w:hAnsi="宋体" w:eastAsia="宋体" w:cs="宋体"/>
          <w:b/>
          <w:color w:val="auto"/>
          <w:sz w:val="21"/>
          <w:szCs w:val="21"/>
          <w:highlight w:val="none"/>
        </w:rPr>
      </w:pPr>
      <w:bookmarkStart w:id="91" w:name="_Toc5312"/>
      <w:bookmarkStart w:id="92" w:name="_Toc31269"/>
      <w:bookmarkStart w:id="93" w:name="_Toc10244"/>
      <w:bookmarkStart w:id="94" w:name="_Toc32139"/>
      <w:r>
        <w:rPr>
          <w:rFonts w:hint="eastAsia" w:ascii="宋体" w:hAnsi="宋体" w:eastAsia="宋体" w:cs="宋体"/>
          <w:b/>
          <w:color w:val="auto"/>
          <w:sz w:val="21"/>
          <w:szCs w:val="21"/>
          <w:highlight w:val="none"/>
        </w:rPr>
        <w:t>八、合同订立</w:t>
      </w:r>
      <w:bookmarkEnd w:id="91"/>
      <w:bookmarkEnd w:id="92"/>
      <w:bookmarkEnd w:id="93"/>
      <w:bookmarkEnd w:id="94"/>
    </w:p>
    <w:p w14:paraId="36DD17E2">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FADEED3">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订立地点：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AFF368">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份，具有同等法律效力，双方各执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235617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p>
    <w:p w14:paraId="71C8EF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w:t>
      </w:r>
      <w:r>
        <w:rPr>
          <w:rFonts w:hint="eastAsia" w:ascii="宋体" w:hAnsi="宋体" w:eastAsia="宋体" w:cs="宋体"/>
          <w:color w:val="auto"/>
          <w:sz w:val="21"/>
          <w:szCs w:val="21"/>
          <w:highlight w:val="none"/>
          <w:u w:val="single"/>
        </w:rPr>
        <w:t xml:space="preserve">   （盖章）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监理人：</w:t>
      </w:r>
      <w:r>
        <w:rPr>
          <w:rFonts w:hint="eastAsia" w:ascii="宋体" w:hAnsi="宋体" w:eastAsia="宋体" w:cs="宋体"/>
          <w:color w:val="auto"/>
          <w:sz w:val="21"/>
          <w:szCs w:val="21"/>
          <w:highlight w:val="none"/>
          <w:u w:val="single"/>
        </w:rPr>
        <w:t xml:space="preserve">   （盖章）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2171C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住所： </w:t>
      </w:r>
      <w:r>
        <w:rPr>
          <w:rFonts w:hint="eastAsia" w:ascii="宋体" w:hAnsi="宋体" w:eastAsia="宋体" w:cs="宋体"/>
          <w:color w:val="auto"/>
          <w:sz w:val="21"/>
          <w:szCs w:val="21"/>
          <w:highlight w:val="none"/>
          <w:u w:val="single"/>
        </w:rPr>
        <w:t xml:space="preserve">                      </w:t>
      </w:r>
    </w:p>
    <w:p w14:paraId="25FDF7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282CC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法定代表人或其授权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法定代表人或其授权</w:t>
      </w:r>
    </w:p>
    <w:p w14:paraId="6C048C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的代理人：</w:t>
      </w:r>
      <w:r>
        <w:rPr>
          <w:rFonts w:hint="eastAsia" w:ascii="宋体" w:hAnsi="宋体" w:eastAsia="宋体" w:cs="宋体"/>
          <w:color w:val="auto"/>
          <w:sz w:val="21"/>
          <w:szCs w:val="21"/>
          <w:highlight w:val="none"/>
          <w:u w:val="single"/>
        </w:rPr>
        <w:t xml:space="preserve">（签字）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的代理人：</w:t>
      </w:r>
      <w:r>
        <w:rPr>
          <w:rFonts w:hint="eastAsia" w:ascii="宋体" w:hAnsi="宋体" w:eastAsia="宋体" w:cs="宋体"/>
          <w:color w:val="auto"/>
          <w:sz w:val="21"/>
          <w:szCs w:val="21"/>
          <w:highlight w:val="none"/>
          <w:u w:val="single"/>
        </w:rPr>
        <w:t xml:space="preserve">（签字）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D78AB7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C3667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u w:val="single"/>
        </w:rPr>
        <w:t xml:space="preserve">                       </w:t>
      </w:r>
    </w:p>
    <w:p w14:paraId="795CCEF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F24C9A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65AF3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A585DD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rPr>
      </w:pPr>
      <w:bookmarkStart w:id="95" w:name="_Toc29801"/>
      <w:bookmarkStart w:id="96" w:name="_Toc23223"/>
      <w:bookmarkStart w:id="97" w:name="_Toc2308"/>
      <w:r>
        <w:rPr>
          <w:rFonts w:hint="eastAsia" w:ascii="宋体" w:hAnsi="宋体" w:eastAsia="宋体" w:cs="宋体"/>
          <w:b/>
          <w:bCs/>
          <w:color w:val="auto"/>
          <w:sz w:val="32"/>
          <w:szCs w:val="32"/>
          <w:highlight w:val="none"/>
        </w:rPr>
        <w:t>第二部分  通用条件</w:t>
      </w:r>
      <w:bookmarkEnd w:id="95"/>
      <w:bookmarkEnd w:id="96"/>
      <w:bookmarkEnd w:id="97"/>
    </w:p>
    <w:p w14:paraId="750B97B4">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定义与解释</w:t>
      </w:r>
    </w:p>
    <w:p w14:paraId="1256A93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1.1 </w:t>
      </w:r>
      <w:r>
        <w:rPr>
          <w:rFonts w:hint="eastAsia" w:ascii="宋体" w:hAnsi="宋体" w:eastAsia="宋体" w:cs="宋体"/>
          <w:bCs/>
          <w:color w:val="auto"/>
          <w:sz w:val="21"/>
          <w:szCs w:val="21"/>
          <w:highlight w:val="none"/>
        </w:rPr>
        <w:t>定义</w:t>
      </w:r>
    </w:p>
    <w:p w14:paraId="62E9C3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除根据上下文另有其意义外，组成本合同的全部文件中的下列名词和用语应具有本款所赋予的含义：</w:t>
      </w:r>
    </w:p>
    <w:p w14:paraId="6F8858B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“工程”是指按照本合同约定实施监理与相关服务的建设工程。</w:t>
      </w:r>
    </w:p>
    <w:p w14:paraId="4A75D3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“委托人”是指本合同中委托监理与相关服务的一方，及其合法的继承人或受让人。</w:t>
      </w:r>
    </w:p>
    <w:p w14:paraId="42E72C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“监理人”是指本合同中提供监理与相关服务的一方，及其合法的继承人。</w:t>
      </w:r>
    </w:p>
    <w:p w14:paraId="6057B5B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“承包人”是指在工程范围内与委托人签订勘察、设计、施工等有关合同的当事人，及其合法的继承人。</w:t>
      </w:r>
    </w:p>
    <w:p w14:paraId="5E6037E1">
      <w:pPr>
        <w:pStyle w:val="13"/>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77CA2C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“相关服务”是指监理人受委托人的委托 ，按照本合同约定，在勘察、设计、保修等阶段提供的服务活动。</w:t>
      </w:r>
    </w:p>
    <w:p w14:paraId="42142F3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“正常工作”指本合同订立时通用条件和专用条件中约定的监理人的工作。</w:t>
      </w:r>
    </w:p>
    <w:p w14:paraId="415462D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 “附加工作”是指本合同约定的正常工作以外监理人的工作。</w:t>
      </w:r>
    </w:p>
    <w:p w14:paraId="6E190BB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1.1.9 “项目监理机构”是指监理人派驻工程负责履行本合同的组织机构。</w:t>
      </w:r>
    </w:p>
    <w:p w14:paraId="5AC93FE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1.1.10 “总监理工程师”是指由监理人的法定代表人书面授权，全面负责履行本合同、主持项目监理机构工作的注册监理工程师。</w:t>
      </w:r>
    </w:p>
    <w:p w14:paraId="68B0BDE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“酬金”是指监理人履行本合同义务，委托人按照本合同约定给付监理人的金额。</w:t>
      </w:r>
    </w:p>
    <w:p w14:paraId="176A2E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“正常工作</w:t>
      </w:r>
      <w:r>
        <w:rPr>
          <w:rFonts w:hint="eastAsia" w:ascii="宋体" w:hAnsi="宋体" w:eastAsia="宋体" w:cs="宋体"/>
          <w:color w:val="auto"/>
          <w:kern w:val="0"/>
          <w:sz w:val="21"/>
          <w:szCs w:val="21"/>
          <w:highlight w:val="none"/>
        </w:rPr>
        <w:t>酬金”</w:t>
      </w:r>
      <w:r>
        <w:rPr>
          <w:rFonts w:hint="eastAsia" w:ascii="宋体" w:hAnsi="宋体" w:eastAsia="宋体" w:cs="宋体"/>
          <w:color w:val="auto"/>
          <w:sz w:val="21"/>
          <w:szCs w:val="21"/>
          <w:highlight w:val="none"/>
        </w:rPr>
        <w:t>是指监理人完成正常工作，委托人应给付监理人并在协议书中载明的签约</w:t>
      </w:r>
      <w:r>
        <w:rPr>
          <w:rFonts w:hint="eastAsia" w:ascii="宋体" w:hAnsi="宋体" w:eastAsia="宋体" w:cs="宋体"/>
          <w:color w:val="auto"/>
          <w:kern w:val="0"/>
          <w:sz w:val="21"/>
          <w:szCs w:val="21"/>
          <w:highlight w:val="none"/>
        </w:rPr>
        <w:t>酬金额</w:t>
      </w:r>
      <w:r>
        <w:rPr>
          <w:rFonts w:hint="eastAsia" w:ascii="宋体" w:hAnsi="宋体" w:eastAsia="宋体" w:cs="宋体"/>
          <w:color w:val="auto"/>
          <w:sz w:val="21"/>
          <w:szCs w:val="21"/>
          <w:highlight w:val="none"/>
        </w:rPr>
        <w:t>。</w:t>
      </w:r>
    </w:p>
    <w:p w14:paraId="3C326B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 “附加工作酬金”是指监理人完成附加工作，委托人应给付监理人的金额。</w:t>
      </w:r>
    </w:p>
    <w:p w14:paraId="30DB502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 “一方”是指委托人或监理人；“双方”是指委托人和监理人；“第三方”是指除委托人和监理人以外的有关方。</w:t>
      </w:r>
    </w:p>
    <w:p w14:paraId="667A8E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1.1.15 “书面形式”是指合同书、信件和数据电文（包括电报、电传、传真、电子数据交换和电子邮件）等可以有形地表现所载内容的形式。</w:t>
      </w:r>
    </w:p>
    <w:p w14:paraId="280C3E5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1.1.16 “天”是指第一天零时至第二天零时的时间。</w:t>
      </w:r>
    </w:p>
    <w:p w14:paraId="2CB86F5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1.1.17“月”是指按公历从一个月中任何一天开始的一个公历月时间。</w:t>
      </w:r>
    </w:p>
    <w:p w14:paraId="16F8A6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0A5276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1.2 </w:t>
      </w:r>
      <w:r>
        <w:rPr>
          <w:rFonts w:hint="eastAsia" w:ascii="宋体" w:hAnsi="宋体" w:eastAsia="宋体" w:cs="宋体"/>
          <w:color w:val="auto"/>
          <w:sz w:val="21"/>
          <w:szCs w:val="21"/>
          <w:highlight w:val="none"/>
        </w:rPr>
        <w:t>解释</w:t>
      </w:r>
    </w:p>
    <w:p w14:paraId="6EABD41F">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1.2.1本合同使用中文书写、解释和说明。如专用条件约定使用两种及以上语言文字时，应以中文为准。</w:t>
      </w:r>
    </w:p>
    <w:p w14:paraId="1994FF9B">
      <w:pPr>
        <w:keepNext w:val="0"/>
        <w:keepLines w:val="0"/>
        <w:pageBreakBefore w:val="0"/>
        <w:widowControl w:val="0"/>
        <w:tabs>
          <w:tab w:val="left" w:pos="614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组成本合同的下列文件彼此应能相互解释、互为说明。除专用条件另有约定外，本合同文件的解释顺序如下：</w:t>
      </w:r>
    </w:p>
    <w:p w14:paraId="644CECD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（1）协议书；</w:t>
      </w:r>
    </w:p>
    <w:p w14:paraId="3C2A90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（2）中标通知书（适用于招标工程）或委托书（适用于非招标工程）；</w:t>
      </w:r>
    </w:p>
    <w:p w14:paraId="0E900D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（3）专用条件及附录A、附录B；</w:t>
      </w:r>
    </w:p>
    <w:p w14:paraId="67BCE10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（4）通用条件；</w:t>
      </w:r>
    </w:p>
    <w:p w14:paraId="79BC932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（5）投标文件（适用于招标工程）或监理与相关服务建议书（适用于非招标工程）。</w:t>
      </w:r>
    </w:p>
    <w:p w14:paraId="715E3A18">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双方签订的补充协议与其他文件发生矛盾或歧义时，属于同一类内容的文件，应以最新签署的为准。</w:t>
      </w:r>
    </w:p>
    <w:p w14:paraId="2E4FC278">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监理人的义务</w:t>
      </w:r>
    </w:p>
    <w:p w14:paraId="2CFAD5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 监理的范围和工作内容</w:t>
      </w:r>
    </w:p>
    <w:p w14:paraId="6321A51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监理范围在专用条件中约定。</w:t>
      </w:r>
    </w:p>
    <w:p w14:paraId="294B185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除专用条件另有约定外，监理工作内容包括：</w:t>
      </w:r>
    </w:p>
    <w:p w14:paraId="501139E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（1）收到工程设计文件后编制监理规划，并在第一次工地会议7天前报委托人。根据有关规定和监理工作需要，编制监理实施细则；</w:t>
      </w:r>
    </w:p>
    <w:p w14:paraId="559091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（2）熟悉工程设计文件，并参加由委托人主持的图纸会审和设计交底会议；</w:t>
      </w:r>
    </w:p>
    <w:p w14:paraId="246D03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（3）参加由委托人主持的第一次工地会议；主持监理例会并根据工程需要主持或参加专题会议；</w:t>
      </w:r>
    </w:p>
    <w:p w14:paraId="52DF153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（4）审查施工承包人提交的施工组织设计，重点审查其中的质量安全技术措施、专项施工方案与工程建设强制性标准的符合性；</w:t>
      </w:r>
    </w:p>
    <w:p w14:paraId="56C9E7D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（5）检查施工承包人工程质量、安全生产管理制度及组织机构和人员资格； </w:t>
      </w:r>
    </w:p>
    <w:p w14:paraId="58203A8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（6）检查施工承包人专职安全生产管理人员的配备情况；</w:t>
      </w:r>
    </w:p>
    <w:p w14:paraId="123ADF8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（7）审查施工承包人提交的施工进度计划，核查承包人对施工进度计划的调整；</w:t>
      </w:r>
    </w:p>
    <w:p w14:paraId="70A798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（9）审核施工分包人资质条件；</w:t>
      </w:r>
    </w:p>
    <w:p w14:paraId="315809D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（10）查验施工承包人的施工测量放线成果；</w:t>
      </w:r>
    </w:p>
    <w:p w14:paraId="5D6F26C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（11）审查工程开工条件，对条件具备的签发开工令；</w:t>
      </w:r>
    </w:p>
    <w:p w14:paraId="22D8771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（12）审查施工承包人报送的工程材料、构配件、设备质量证明文件的有效性和符合性，并按规定对用于工程的材料采取平行检验或见证取样方式进行抽检；</w:t>
      </w:r>
    </w:p>
    <w:p w14:paraId="19AF374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（13）审核施工承包人提交的工程款支付申请，签发或出具工程款支付证书，并报委托人审核、批准；</w:t>
      </w:r>
    </w:p>
    <w:p w14:paraId="16981BB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（14）在巡视、旁站和检验过程中，发现工程质量、施工安全存在事故隐患的，要求施工承包人整改并报委托人；</w:t>
      </w:r>
    </w:p>
    <w:p w14:paraId="3A4C813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（15）经委托人同意，签发工程暂停令和复工令；</w:t>
      </w:r>
    </w:p>
    <w:p w14:paraId="7AD42F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（16）审查施工承包人提交的采用新材料、新工艺、新技术、新设备的论证材料及相关验收标准；</w:t>
      </w:r>
    </w:p>
    <w:p w14:paraId="511CF7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（17）验收隐蔽工程、分部分项工程；</w:t>
      </w:r>
    </w:p>
    <w:p w14:paraId="1D96CA1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（18）审查施工承包人提交的工程变更申请，协调处理施工进度调整、费用索赔、合同争议等事项；</w:t>
      </w:r>
    </w:p>
    <w:p w14:paraId="2E58BAA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（19）审查施工承包人提交的竣工验收申请，编写工程质量评估报告；</w:t>
      </w:r>
    </w:p>
    <w:p w14:paraId="695BCFA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（20）参加工程竣工验收，签署竣工验收意见；</w:t>
      </w:r>
    </w:p>
    <w:p w14:paraId="771A9BB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（21）审查施工承包人提交的竣工结算申请并报委托人；</w:t>
      </w:r>
    </w:p>
    <w:p w14:paraId="2019889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（22）编制、整理工程监理归档文件并报委托人。</w:t>
      </w:r>
    </w:p>
    <w:p w14:paraId="2E2E513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相关服务的范围和内容在附录A中约定。</w:t>
      </w:r>
    </w:p>
    <w:p w14:paraId="51741F9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bCs/>
          <w:color w:val="auto"/>
          <w:sz w:val="21"/>
          <w:szCs w:val="21"/>
          <w:highlight w:val="none"/>
        </w:rPr>
        <w:t>监理与相关服务依据</w:t>
      </w:r>
    </w:p>
    <w:p w14:paraId="777C0F4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监理依据包括：</w:t>
      </w:r>
    </w:p>
    <w:p w14:paraId="1246225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（1）适用的法律、行政法规及部门规章；</w:t>
      </w:r>
    </w:p>
    <w:p w14:paraId="7D3DBF2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（2）与工程有关的标准；</w:t>
      </w:r>
    </w:p>
    <w:p w14:paraId="37DB4B7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（3）工程设计及有关文件；</w:t>
      </w:r>
    </w:p>
    <w:p w14:paraId="1581502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（4）本合同及委托人与第三方签订的与实施工程有关的其他合同。</w:t>
      </w:r>
    </w:p>
    <w:p w14:paraId="1D98462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双方根据工程的行业和地域特点，在专用条件中具体约定监理依据。</w:t>
      </w:r>
    </w:p>
    <w:p w14:paraId="23D9E73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相关服务依据在专用条件中约定。</w:t>
      </w:r>
    </w:p>
    <w:p w14:paraId="002C267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 项目监理机构和人员</w:t>
      </w:r>
    </w:p>
    <w:p w14:paraId="2020350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2.3.1 监理人应组建满足工作需要的项目监理机构，配备必要的检测设备。项目监理机构的主要人员应具有相应的资格条件。</w:t>
      </w:r>
    </w:p>
    <w:p w14:paraId="61191A1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2.3.2本合同履行过程中，总监理工程师及重要岗位监理人员应保持相对稳定，以保证监理工作正常进行。</w:t>
      </w:r>
    </w:p>
    <w:p w14:paraId="698C50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3CC28E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 监理人应及时更换有下列情形之一的监理人员：</w:t>
      </w:r>
    </w:p>
    <w:p w14:paraId="0260355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（1）严重过失行为的；</w:t>
      </w:r>
    </w:p>
    <w:p w14:paraId="3D43BA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（2）有违法行为不能履行职责的；</w:t>
      </w:r>
    </w:p>
    <w:p w14:paraId="0A823E9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（3）涉嫌犯罪的；</w:t>
      </w:r>
    </w:p>
    <w:p w14:paraId="6D76EFC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（4）不能胜任岗位职责的；</w:t>
      </w:r>
    </w:p>
    <w:p w14:paraId="1ED3229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（5）严重违反职业道德的；</w:t>
      </w:r>
    </w:p>
    <w:p w14:paraId="231235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（6）专用条件约定的其他情形。</w:t>
      </w:r>
    </w:p>
    <w:p w14:paraId="3F7393B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2.3.5 委托人可要求监理人更换不能胜任本职工作的项目监理机构人员。</w:t>
      </w:r>
    </w:p>
    <w:p w14:paraId="18A191B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 履行职责</w:t>
      </w:r>
    </w:p>
    <w:p w14:paraId="4265DC0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监理人应遵循职业道德准则和行为规范，严格按照法律法规、工程建设有关标准及本合同履行职责。</w:t>
      </w:r>
    </w:p>
    <w:p w14:paraId="3264BC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 在监理与相关服务范围内，委托人和承包人提出的意见和要求，监理人应及时提出处置意见。当委托人与承包人之间发生合同争议时，监理人应协助委托人、承包人协商解决。</w:t>
      </w:r>
    </w:p>
    <w:p w14:paraId="283976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 当委托人与承包人之间的合同争议提交仲裁机构仲裁或人民法院审理时，监理人应提供必要的证明资料。</w:t>
      </w:r>
    </w:p>
    <w:p w14:paraId="241DA14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2.4.3 监理人应在专用条件约定的授权范围内，处理委托人与承包人所签订合同的变更事宜。如果变更超过授权范围，应以书面形式报委托人批准。</w:t>
      </w:r>
    </w:p>
    <w:p w14:paraId="54702A0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在紧急情况下，为了保护财产和人身安全，监理人所发出的指令未能事先报委托人批准时，应在发出指令后的24小时内以书面形式报委托人。</w:t>
      </w:r>
    </w:p>
    <w:p w14:paraId="1DDB1EC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 除专用条件另有约定外，监理人发现承包人的人员不能胜任本职工作的，有权要求承包人予以调换。</w:t>
      </w:r>
    </w:p>
    <w:p w14:paraId="4B3C3B4D">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 提交报告</w:t>
      </w:r>
    </w:p>
    <w:p w14:paraId="584FE5F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监理人应按专用条件约定的种类、时间和份数向委托人提交监理与相关服务的报告。</w:t>
      </w:r>
    </w:p>
    <w:p w14:paraId="1EE8DBA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 文件资料</w:t>
      </w:r>
    </w:p>
    <w:p w14:paraId="1D104523">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在本合同履行期内，监理人应在现场保留工作所用的图纸、报告及记录监理工</w:t>
      </w:r>
      <w:r>
        <w:rPr>
          <w:rFonts w:hint="eastAsia" w:ascii="宋体" w:hAnsi="宋体" w:eastAsia="宋体" w:cs="宋体"/>
          <w:color w:val="auto"/>
          <w:sz w:val="21"/>
          <w:szCs w:val="21"/>
          <w:highlight w:val="none"/>
        </w:rPr>
        <w:t>作的相关文件。工程竣工后，应当按照档案管理规定将监理有关文件归档。</w:t>
      </w:r>
    </w:p>
    <w:p w14:paraId="5F496D7D">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 使用委托人的财产</w:t>
      </w:r>
    </w:p>
    <w:p w14:paraId="7E2F838E">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ADACF45">
      <w:pPr>
        <w:keepNext w:val="0"/>
        <w:keepLines w:val="0"/>
        <w:pageBreakBefore w:val="0"/>
        <w:widowControl w:val="0"/>
        <w:kinsoku/>
        <w:wordWrap/>
        <w:overflowPunct/>
        <w:topLinePunct w:val="0"/>
        <w:autoSpaceDE/>
        <w:autoSpaceDN/>
        <w:bidi w:val="0"/>
        <w:spacing w:line="440" w:lineRule="exact"/>
        <w:ind w:left="0" w:leftChars="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3．委托人的义务</w:t>
      </w:r>
    </w:p>
    <w:p w14:paraId="3629A73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 告知</w:t>
      </w:r>
    </w:p>
    <w:p w14:paraId="657033A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委托人应在委托人与承包人签订的合同中明确监理人、总监理工程师和授予项目监理机构的权限。如有变更，应及时通知承包人。</w:t>
      </w:r>
    </w:p>
    <w:p w14:paraId="7675B4D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 提供资料</w:t>
      </w:r>
    </w:p>
    <w:p w14:paraId="4EA00B5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委托人应按照附录B约定，无偿向监理人提供工程有关的资料。</w:t>
      </w:r>
      <w:r>
        <w:rPr>
          <w:rFonts w:hint="eastAsia" w:ascii="宋体" w:hAnsi="宋体" w:eastAsia="宋体" w:cs="宋体"/>
          <w:color w:val="auto"/>
          <w:sz w:val="21"/>
          <w:szCs w:val="21"/>
          <w:highlight w:val="none"/>
        </w:rPr>
        <w:t>在本合同履行过程中，委托人应及时向监理人提供最新的与工程有关的资料。</w:t>
      </w:r>
    </w:p>
    <w:p w14:paraId="27647B0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 提供工作条件</w:t>
      </w:r>
    </w:p>
    <w:p w14:paraId="021D17C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委托人应为监理人完成监理与相关服务提供必要的条件。</w:t>
      </w:r>
    </w:p>
    <w:p w14:paraId="6AC05F2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3.3.1 </w:t>
      </w:r>
      <w:r>
        <w:rPr>
          <w:rFonts w:hint="eastAsia" w:ascii="宋体" w:hAnsi="宋体" w:eastAsia="宋体" w:cs="宋体"/>
          <w:color w:val="auto"/>
          <w:sz w:val="21"/>
          <w:szCs w:val="21"/>
          <w:highlight w:val="none"/>
        </w:rPr>
        <w:t>委托人应按照附录B约定，派遣相应的人员，提供房屋、设备，供监理人</w:t>
      </w:r>
      <w:r>
        <w:rPr>
          <w:rFonts w:hint="eastAsia" w:ascii="宋体" w:hAnsi="宋体" w:eastAsia="宋体" w:cs="宋体"/>
          <w:color w:val="auto"/>
          <w:kern w:val="0"/>
          <w:sz w:val="21"/>
          <w:szCs w:val="21"/>
          <w:highlight w:val="none"/>
        </w:rPr>
        <w:t>无偿</w:t>
      </w:r>
      <w:r>
        <w:rPr>
          <w:rFonts w:hint="eastAsia" w:ascii="宋体" w:hAnsi="宋体" w:eastAsia="宋体" w:cs="宋体"/>
          <w:color w:val="auto"/>
          <w:sz w:val="21"/>
          <w:szCs w:val="21"/>
          <w:highlight w:val="none"/>
        </w:rPr>
        <w:t>使用。</w:t>
      </w:r>
    </w:p>
    <w:p w14:paraId="157B351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3.3.2 </w:t>
      </w:r>
      <w:r>
        <w:rPr>
          <w:rFonts w:hint="eastAsia" w:ascii="宋体" w:hAnsi="宋体" w:eastAsia="宋体" w:cs="宋体"/>
          <w:color w:val="auto"/>
          <w:sz w:val="21"/>
          <w:szCs w:val="21"/>
          <w:highlight w:val="none"/>
        </w:rPr>
        <w:t>委托人应负责协调工程建设中所有外部关系，为监理人履行本合同提供必要的外部条件。</w:t>
      </w:r>
    </w:p>
    <w:p w14:paraId="1971C26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 委托人代表</w:t>
      </w:r>
    </w:p>
    <w:p w14:paraId="69E4ADB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185D875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 委托人意见或要求</w:t>
      </w:r>
    </w:p>
    <w:p w14:paraId="04AD17C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在本合同约定的监理与相关服务工作范围内，委托人对承包人的任何意见或要求应通知监理人，由监理人向承包人发出相应指令。</w:t>
      </w:r>
    </w:p>
    <w:p w14:paraId="747753E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答复</w:t>
      </w:r>
    </w:p>
    <w:p w14:paraId="3FE2313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委托人应在专用条件约定的时间内，对监理人以书面形式提交并要求作出决定的事宜，给予书面答复。逾期未答复的，视为委托人认可。</w:t>
      </w:r>
    </w:p>
    <w:p w14:paraId="55B40A56">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 支付</w:t>
      </w:r>
    </w:p>
    <w:p w14:paraId="7F5840D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委托人应按本合同约定，向监理人支付酬金。</w:t>
      </w:r>
    </w:p>
    <w:p w14:paraId="4ED2BE6B">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违约责任</w:t>
      </w:r>
    </w:p>
    <w:p w14:paraId="3E45BA1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监理人的违约责任</w:t>
      </w:r>
    </w:p>
    <w:p w14:paraId="446084A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监理人未履行本合同义务的，应承担相应的责任。</w:t>
      </w:r>
    </w:p>
    <w:p w14:paraId="40E9192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 因监理人违反本合同约定</w:t>
      </w:r>
      <w:r>
        <w:rPr>
          <w:rFonts w:hint="eastAsia" w:ascii="宋体" w:hAnsi="宋体" w:eastAsia="宋体" w:cs="宋体"/>
          <w:color w:val="auto"/>
          <w:sz w:val="21"/>
          <w:szCs w:val="21"/>
          <w:highlight w:val="none"/>
        </w:rPr>
        <w:t>给委托人造成损失的，监理人应当赔偿委托人损失</w:t>
      </w:r>
      <w:r>
        <w:rPr>
          <w:rFonts w:hint="eastAsia" w:ascii="宋体" w:hAnsi="宋体" w:eastAsia="宋体" w:cs="宋体"/>
          <w:color w:val="auto"/>
          <w:kern w:val="0"/>
          <w:sz w:val="21"/>
          <w:szCs w:val="21"/>
          <w:highlight w:val="none"/>
        </w:rPr>
        <w:t>。赔偿金额的确定方法在专用条件中约定。监理人承担部分赔偿责任的，其承担赔偿金额由双方协商确定。</w:t>
      </w:r>
    </w:p>
    <w:p w14:paraId="0A634F1F">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4.1.2 监理人向委托人的索赔不成立时，监理人应赔偿委托人由此发生的费用。</w:t>
      </w:r>
    </w:p>
    <w:p w14:paraId="31EC9C1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 委托人的违约责任</w:t>
      </w:r>
    </w:p>
    <w:p w14:paraId="18F5511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委托人未履行本合同义务的，应承担相应的责任。</w:t>
      </w:r>
    </w:p>
    <w:p w14:paraId="2D149F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委托人违反本合同约定造成监理人损失的，委托人应予以赔偿。</w:t>
      </w:r>
    </w:p>
    <w:p w14:paraId="5FC249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 委托人向监理人的索赔不成立时，应赔偿监理人由此引起的费用。</w:t>
      </w:r>
    </w:p>
    <w:p w14:paraId="39C189F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4.2.3 </w:t>
      </w:r>
      <w:r>
        <w:rPr>
          <w:rFonts w:hint="eastAsia" w:ascii="宋体" w:hAnsi="宋体" w:eastAsia="宋体" w:cs="宋体"/>
          <w:color w:val="auto"/>
          <w:kern w:val="0"/>
          <w:sz w:val="21"/>
          <w:szCs w:val="21"/>
          <w:highlight w:val="none"/>
        </w:rPr>
        <w:t>委托人未能按期支付</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超过28天，应按专用条件约定支付逾期付款利息。</w:t>
      </w:r>
    </w:p>
    <w:p w14:paraId="4A78A98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4.3 除外责任</w:t>
      </w:r>
    </w:p>
    <w:p w14:paraId="6501DB8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因非监理人的原因，且监理人无过错，发生工程质量事故、安全事故、工期延误等造成的损失，监理人不承担赔偿责任。</w:t>
      </w:r>
    </w:p>
    <w:p w14:paraId="60BE2D6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因不可抗力导致本合同全部或部分不能履行时，双方各自承担其因此而造成的损失、损害。</w:t>
      </w:r>
    </w:p>
    <w:p w14:paraId="69CEEBEC">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支付</w:t>
      </w:r>
    </w:p>
    <w:p w14:paraId="14FB2EF4">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bCs/>
          <w:color w:val="auto"/>
          <w:sz w:val="21"/>
          <w:szCs w:val="21"/>
          <w:highlight w:val="none"/>
        </w:rPr>
        <w:t>支付货币</w:t>
      </w:r>
    </w:p>
    <w:p w14:paraId="6B65D98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除专用条件另有约定外，酬金均以人民币支付。涉及外币支付的，所采用的货币种类、比例和汇率在专用条件中约定。</w:t>
      </w:r>
    </w:p>
    <w:p w14:paraId="118643D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5.2 支付申请</w:t>
      </w:r>
    </w:p>
    <w:p w14:paraId="610D9759">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监理人应在本合同约定的每次应付款时间的7天前，向委托人提交支付申请书。支付申请书应当说明当期应付款总额，并列出当期应支付的款项及其金额。</w:t>
      </w:r>
    </w:p>
    <w:p w14:paraId="43A21CD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5.3 支付酬金</w:t>
      </w:r>
    </w:p>
    <w:p w14:paraId="68E6E07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支付的酬金包括正常工作酬金、附加工作酬金、合理化建议奖励金额及费用。</w:t>
      </w:r>
    </w:p>
    <w:p w14:paraId="3AB9EFB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5.4 </w:t>
      </w:r>
      <w:r>
        <w:rPr>
          <w:rFonts w:hint="eastAsia" w:ascii="宋体" w:hAnsi="宋体" w:eastAsia="宋体" w:cs="宋体"/>
          <w:bCs/>
          <w:color w:val="auto"/>
          <w:sz w:val="21"/>
          <w:szCs w:val="21"/>
          <w:highlight w:val="none"/>
        </w:rPr>
        <w:t>有争议部分的付款</w:t>
      </w:r>
    </w:p>
    <w:p w14:paraId="138F5B2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4C68CB41">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 合同生效、变更、暂停、解除与终止</w:t>
      </w:r>
    </w:p>
    <w:p w14:paraId="5FB8C81A">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6.1生效</w:t>
      </w:r>
    </w:p>
    <w:p w14:paraId="0DC091D1">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除法律另有规定或者专用条件另有约定外，委托人和监理人的法定代表人或其授权代理人在协议书上签字并盖单位章后本合同生效。</w:t>
      </w:r>
    </w:p>
    <w:p w14:paraId="663D770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eastAsia="宋体" w:cs="宋体"/>
          <w:bCs/>
          <w:color w:val="auto"/>
          <w:sz w:val="21"/>
          <w:szCs w:val="21"/>
          <w:highlight w:val="none"/>
        </w:rPr>
        <w:t>变更</w:t>
      </w:r>
    </w:p>
    <w:p w14:paraId="0C2CC67B">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6.2.1 任何一方提出变更请求时，双方经协商一致后可进行变更。</w:t>
      </w:r>
    </w:p>
    <w:p w14:paraId="422E163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662F1E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753E65E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6.2.4合同签订后，遇有与工程相关的法律法规、标准颁布或修订的，双方应遵照执行。由此引起监理与相关服务的范围、时间、酬金变化的，双方应通过协商进行相应调整。</w:t>
      </w:r>
    </w:p>
    <w:p w14:paraId="35D71AD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6.2.5 因非监理人原因造成工程概算投资额或建筑安装工程费增加时，正常工作酬金应作相应调整。调整方法在专用条件中约定。</w:t>
      </w:r>
    </w:p>
    <w:p w14:paraId="31A72D21">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 因工程规模、监理范围的变化导致监理人的正常工作量减少时，正常工作酬金应作相应调整。调整方法在专用条件中约定。</w:t>
      </w:r>
    </w:p>
    <w:p w14:paraId="258079E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6.3 暂停与</w:t>
      </w:r>
      <w:r>
        <w:rPr>
          <w:rFonts w:hint="eastAsia" w:ascii="宋体" w:hAnsi="宋体" w:eastAsia="宋体" w:cs="宋体"/>
          <w:bCs/>
          <w:color w:val="auto"/>
          <w:sz w:val="21"/>
          <w:szCs w:val="21"/>
          <w:highlight w:val="none"/>
        </w:rPr>
        <w:t>解除</w:t>
      </w:r>
    </w:p>
    <w:p w14:paraId="20AE563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除双方协商一致可以解除本合同外，当一方无正当理由未履行本合同约定的义务时，另一方可以根据本合同约定暂停履行本合同直至解除本合同。</w:t>
      </w:r>
    </w:p>
    <w:p w14:paraId="32A977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E1AFD0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因解除本合同或解除监理人的部分义务导致监理人遭受的损失，除依法可以免除责任的情况外，应由委托人予以补偿，补偿金额由双方协商确定。</w:t>
      </w:r>
    </w:p>
    <w:p w14:paraId="193594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解除本合同的协议必须采取书面形式，协议未达成之前，本合同仍然有效。</w:t>
      </w:r>
    </w:p>
    <w:p w14:paraId="76C9DE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0BD57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酬金支付至本合同解除日，且应承担第4.2款约定的责任。</w:t>
      </w:r>
    </w:p>
    <w:p w14:paraId="3D9C17B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color w:val="auto"/>
          <w:kern w:val="0"/>
          <w:sz w:val="21"/>
          <w:szCs w:val="21"/>
          <w:highlight w:val="none"/>
        </w:rPr>
        <w:t>的</w:t>
      </w:r>
      <w:r>
        <w:rPr>
          <w:rFonts w:hint="eastAsia" w:ascii="宋体" w:hAnsi="宋体" w:eastAsia="宋体" w:cs="宋体"/>
          <w:color w:val="auto"/>
          <w:sz w:val="21"/>
          <w:szCs w:val="21"/>
          <w:highlight w:val="none"/>
        </w:rPr>
        <w:t>酬金支付至</w:t>
      </w:r>
      <w:r>
        <w:rPr>
          <w:rFonts w:hint="eastAsia" w:ascii="宋体" w:hAnsi="宋体" w:eastAsia="宋体" w:cs="宋体"/>
          <w:color w:val="auto"/>
          <w:kern w:val="0"/>
          <w:sz w:val="21"/>
          <w:szCs w:val="21"/>
          <w:highlight w:val="none"/>
        </w:rPr>
        <w:t>限期改正通知到达监理人之日</w:t>
      </w:r>
      <w:r>
        <w:rPr>
          <w:rFonts w:hint="eastAsia" w:ascii="宋体" w:hAnsi="宋体" w:eastAsia="宋体" w:cs="宋体"/>
          <w:color w:val="auto"/>
          <w:sz w:val="21"/>
          <w:szCs w:val="21"/>
          <w:highlight w:val="none"/>
        </w:rPr>
        <w:t>，但监理人应承担第4.1款约定的责任。</w:t>
      </w:r>
    </w:p>
    <w:p w14:paraId="4089FE7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3E88ED3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6.3.5 因不可抗力致使本合同部分或全部不能履行时，一方应立即通知另一方，可暂停或解除本合同。</w:t>
      </w:r>
    </w:p>
    <w:p w14:paraId="2BC5BE4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6.3.6 本合同解除后，本合同约定的有关结算、清理、争议解决方式的条件仍然有效。</w:t>
      </w:r>
    </w:p>
    <w:p w14:paraId="6737FA3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6.4 </w:t>
      </w:r>
      <w:r>
        <w:rPr>
          <w:rFonts w:hint="eastAsia" w:ascii="宋体" w:hAnsi="宋体" w:eastAsia="宋体" w:cs="宋体"/>
          <w:bCs/>
          <w:color w:val="auto"/>
          <w:sz w:val="21"/>
          <w:szCs w:val="21"/>
          <w:highlight w:val="none"/>
        </w:rPr>
        <w:t>终止</w:t>
      </w:r>
    </w:p>
    <w:p w14:paraId="63A18E2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以下条件全部满足时，本合同即告终止：</w:t>
      </w:r>
    </w:p>
    <w:p w14:paraId="2DC907F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（1）监理人完成本合同约定的全部工作；</w:t>
      </w:r>
    </w:p>
    <w:p w14:paraId="00A1481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（2）委托人与监理人结清并支付全部酬金。</w:t>
      </w:r>
    </w:p>
    <w:p w14:paraId="3D31339E">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争议解决</w:t>
      </w:r>
    </w:p>
    <w:p w14:paraId="0801543A">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bCs/>
          <w:color w:val="auto"/>
          <w:sz w:val="21"/>
          <w:szCs w:val="21"/>
          <w:highlight w:val="none"/>
        </w:rPr>
        <w:t>协商</w:t>
      </w:r>
    </w:p>
    <w:p w14:paraId="6086B416">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双方应本着诚信原则协商解决彼此间的争议。</w:t>
      </w:r>
    </w:p>
    <w:p w14:paraId="3094A16E">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bCs/>
          <w:color w:val="auto"/>
          <w:sz w:val="21"/>
          <w:szCs w:val="21"/>
          <w:highlight w:val="none"/>
        </w:rPr>
        <w:t>调解</w:t>
      </w:r>
    </w:p>
    <w:p w14:paraId="787758E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如果双方不能在14天内或双方商定的其他时间内解决本合同争议，可以将其提交给专用条件约定的或事后达成协议的调解人进行调解。</w:t>
      </w:r>
    </w:p>
    <w:p w14:paraId="4C1130A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7.3</w:t>
      </w:r>
      <w:r>
        <w:rPr>
          <w:rFonts w:hint="eastAsia" w:ascii="宋体" w:hAnsi="宋体" w:eastAsia="宋体" w:cs="宋体"/>
          <w:bCs/>
          <w:color w:val="auto"/>
          <w:sz w:val="21"/>
          <w:szCs w:val="21"/>
          <w:highlight w:val="none"/>
        </w:rPr>
        <w:t>仲裁或诉讼</w:t>
      </w:r>
    </w:p>
    <w:p w14:paraId="1AAC42BC">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双方均有权不经调解直接向专用条件约定的仲裁机构申请仲裁或向有管辖权的人民法院提起诉讼。</w:t>
      </w:r>
    </w:p>
    <w:p w14:paraId="1C7FD8DC">
      <w:pPr>
        <w:keepNext w:val="0"/>
        <w:keepLines w:val="0"/>
        <w:pageBreakBefore w:val="0"/>
        <w:widowControl w:val="0"/>
        <w:kinsoku/>
        <w:wordWrap/>
        <w:overflowPunct/>
        <w:topLinePunct w:val="0"/>
        <w:autoSpaceDE/>
        <w:autoSpaceDN/>
        <w:bidi w:val="0"/>
        <w:snapToGrid w:val="0"/>
        <w:spacing w:line="42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其他</w:t>
      </w:r>
    </w:p>
    <w:p w14:paraId="7A33D89C">
      <w:pPr>
        <w:keepNext w:val="0"/>
        <w:keepLines w:val="0"/>
        <w:pageBreakBefore w:val="0"/>
        <w:widowControl w:val="0"/>
        <w:kinsoku/>
        <w:wordWrap/>
        <w:overflowPunct/>
        <w:topLinePunct w:val="0"/>
        <w:autoSpaceDE/>
        <w:autoSpaceDN/>
        <w:bidi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8.1 </w:t>
      </w:r>
      <w:r>
        <w:rPr>
          <w:rFonts w:hint="eastAsia" w:ascii="宋体" w:hAnsi="宋体" w:eastAsia="宋体" w:cs="宋体"/>
          <w:bCs/>
          <w:color w:val="auto"/>
          <w:sz w:val="21"/>
          <w:szCs w:val="21"/>
          <w:highlight w:val="none"/>
        </w:rPr>
        <w:t>外出考察费用</w:t>
      </w:r>
    </w:p>
    <w:p w14:paraId="4EFBAE14">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经委托人同意，监理人员外出考察发生的费用由委托人审核后支付。</w:t>
      </w:r>
    </w:p>
    <w:p w14:paraId="38B3F1C6">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8.2 </w:t>
      </w:r>
      <w:r>
        <w:rPr>
          <w:rFonts w:hint="eastAsia" w:ascii="宋体" w:hAnsi="宋体" w:eastAsia="宋体" w:cs="宋体"/>
          <w:bCs/>
          <w:color w:val="auto"/>
          <w:sz w:val="21"/>
          <w:szCs w:val="21"/>
          <w:highlight w:val="none"/>
        </w:rPr>
        <w:t>检测费用</w:t>
      </w:r>
    </w:p>
    <w:p w14:paraId="6183CF00">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委托人要求监理人进行的材料和设备检测所发生的费用，由委托人支付，支付时间在专用条件中约定。</w:t>
      </w:r>
    </w:p>
    <w:p w14:paraId="5D9C9C2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8.3 </w:t>
      </w:r>
      <w:r>
        <w:rPr>
          <w:rFonts w:hint="eastAsia" w:ascii="宋体" w:hAnsi="宋体" w:eastAsia="宋体" w:cs="宋体"/>
          <w:bCs/>
          <w:color w:val="auto"/>
          <w:sz w:val="21"/>
          <w:szCs w:val="21"/>
          <w:highlight w:val="none"/>
        </w:rPr>
        <w:t>咨询费用</w:t>
      </w:r>
    </w:p>
    <w:p w14:paraId="5BD24D5D">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经委托人同意，根据工程需要由监理人组织的相关咨询论证会以及聘请相关专家等发生的费用由委托人支付，支付时间在专用条件中约定。</w:t>
      </w:r>
    </w:p>
    <w:p w14:paraId="187FFDD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8.4 </w:t>
      </w:r>
      <w:r>
        <w:rPr>
          <w:rFonts w:hint="eastAsia" w:ascii="宋体" w:hAnsi="宋体" w:eastAsia="宋体" w:cs="宋体"/>
          <w:bCs/>
          <w:color w:val="auto"/>
          <w:sz w:val="21"/>
          <w:szCs w:val="21"/>
          <w:highlight w:val="none"/>
        </w:rPr>
        <w:t>奖励</w:t>
      </w:r>
    </w:p>
    <w:p w14:paraId="5A75EEF1">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3B6D6A0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8.5 </w:t>
      </w:r>
      <w:r>
        <w:rPr>
          <w:rFonts w:hint="eastAsia" w:ascii="宋体" w:hAnsi="宋体" w:eastAsia="宋体" w:cs="宋体"/>
          <w:bCs/>
          <w:color w:val="auto"/>
          <w:sz w:val="21"/>
          <w:szCs w:val="21"/>
          <w:highlight w:val="none"/>
        </w:rPr>
        <w:t>守法诚信</w:t>
      </w:r>
    </w:p>
    <w:p w14:paraId="68F5C187">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监理人及其工作人员不得从与实施工程有关的第三方处获得任何经济利益。</w:t>
      </w:r>
    </w:p>
    <w:p w14:paraId="6327833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8.6 </w:t>
      </w:r>
      <w:r>
        <w:rPr>
          <w:rFonts w:hint="eastAsia" w:ascii="宋体" w:hAnsi="宋体" w:eastAsia="宋体" w:cs="宋体"/>
          <w:bCs/>
          <w:color w:val="auto"/>
          <w:sz w:val="21"/>
          <w:szCs w:val="21"/>
          <w:highlight w:val="none"/>
        </w:rPr>
        <w:t>保密</w:t>
      </w:r>
    </w:p>
    <w:p w14:paraId="16850FC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双方不得泄露对方申明的保密资料，亦不得泄露与实施工程有关的第三方所提供的保密资料，保密事项在专用条件中约定。</w:t>
      </w:r>
    </w:p>
    <w:p w14:paraId="0DFA2C55">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8.7 </w:t>
      </w:r>
      <w:r>
        <w:rPr>
          <w:rFonts w:hint="eastAsia" w:ascii="宋体" w:hAnsi="宋体" w:eastAsia="宋体" w:cs="宋体"/>
          <w:bCs/>
          <w:color w:val="auto"/>
          <w:sz w:val="21"/>
          <w:szCs w:val="21"/>
          <w:highlight w:val="none"/>
        </w:rPr>
        <w:t>通知</w:t>
      </w:r>
    </w:p>
    <w:p w14:paraId="329221A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本合同涉及的通知均应当采用书面形式，并在送达对方时生效，收件人应书面签收。</w:t>
      </w:r>
    </w:p>
    <w:p w14:paraId="7481BE58">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8.8 </w:t>
      </w:r>
      <w:r>
        <w:rPr>
          <w:rFonts w:hint="eastAsia" w:ascii="宋体" w:hAnsi="宋体" w:eastAsia="宋体" w:cs="宋体"/>
          <w:bCs/>
          <w:color w:val="auto"/>
          <w:sz w:val="21"/>
          <w:szCs w:val="21"/>
          <w:highlight w:val="none"/>
        </w:rPr>
        <w:t>著作权</w:t>
      </w:r>
    </w:p>
    <w:p w14:paraId="3D412BA4">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监理人对其编制的文件拥有著作权。</w:t>
      </w:r>
    </w:p>
    <w:p w14:paraId="1D1A9D49">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r>
        <w:rPr>
          <w:rFonts w:hint="eastAsia" w:ascii="宋体" w:hAnsi="宋体" w:eastAsia="宋体" w:cs="宋体"/>
          <w:color w:val="auto"/>
          <w:sz w:val="21"/>
          <w:szCs w:val="21"/>
          <w:highlight w:val="none"/>
          <w:lang w:eastAsia="zh-CN"/>
        </w:rPr>
        <w:t>。</w:t>
      </w:r>
    </w:p>
    <w:p w14:paraId="13FFAE23">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p>
    <w:p w14:paraId="3E11963B">
      <w:pPr>
        <w:keepNext w:val="0"/>
        <w:keepLines w:val="0"/>
        <w:pageBreakBefore w:val="0"/>
        <w:widowControl w:val="0"/>
        <w:kinsoku/>
        <w:wordWrap/>
        <w:overflowPunct/>
        <w:topLinePunct w:val="0"/>
        <w:autoSpaceDE/>
        <w:autoSpaceDN/>
        <w:bidi w:val="0"/>
        <w:snapToGrid w:val="0"/>
        <w:spacing w:line="420" w:lineRule="exact"/>
        <w:ind w:left="0" w:leftChars="0" w:firstLine="420" w:firstLineChars="200"/>
        <w:jc w:val="left"/>
        <w:textAlignment w:val="auto"/>
        <w:rPr>
          <w:rFonts w:hint="eastAsia" w:ascii="宋体" w:hAnsi="宋体" w:eastAsia="宋体" w:cs="宋体"/>
          <w:color w:val="auto"/>
          <w:sz w:val="21"/>
          <w:szCs w:val="21"/>
          <w:highlight w:val="none"/>
          <w:lang w:eastAsia="zh-CN"/>
        </w:rPr>
      </w:pPr>
    </w:p>
    <w:p w14:paraId="20DCA909">
      <w:pPr>
        <w:keepNext w:val="0"/>
        <w:keepLines w:val="0"/>
        <w:pageBreakBefore w:val="0"/>
        <w:widowControl w:val="0"/>
        <w:kinsoku/>
        <w:wordWrap/>
        <w:overflowPunct/>
        <w:topLinePunct w:val="0"/>
        <w:autoSpaceDE/>
        <w:autoSpaceDN/>
        <w:bidi w:val="0"/>
        <w:snapToGrid w:val="0"/>
        <w:spacing w:line="420" w:lineRule="exact"/>
        <w:ind w:left="0" w:leftChars="0" w:firstLine="643" w:firstLineChars="200"/>
        <w:jc w:val="left"/>
        <w:textAlignment w:val="auto"/>
        <w:rPr>
          <w:rFonts w:hint="eastAsia" w:ascii="宋体" w:hAnsi="宋体" w:eastAsia="宋体" w:cs="宋体"/>
          <w:b/>
          <w:bCs/>
          <w:color w:val="auto"/>
          <w:sz w:val="32"/>
          <w:szCs w:val="32"/>
          <w:highlight w:val="none"/>
        </w:rPr>
      </w:pPr>
      <w:bookmarkStart w:id="98" w:name="_Toc4139"/>
    </w:p>
    <w:p w14:paraId="2E0F769B">
      <w:pPr>
        <w:rPr>
          <w:rFonts w:hint="eastAsia" w:ascii="宋体" w:hAnsi="宋体" w:eastAsia="宋体" w:cs="宋体"/>
          <w:b/>
          <w:bCs/>
          <w:color w:val="auto"/>
          <w:sz w:val="32"/>
          <w:szCs w:val="32"/>
          <w:highlight w:val="none"/>
        </w:rPr>
      </w:pPr>
      <w:bookmarkStart w:id="99" w:name="_Toc14492"/>
      <w:r>
        <w:rPr>
          <w:rFonts w:hint="eastAsia" w:ascii="宋体" w:hAnsi="宋体" w:eastAsia="宋体" w:cs="宋体"/>
          <w:b/>
          <w:bCs/>
          <w:color w:val="auto"/>
          <w:sz w:val="32"/>
          <w:szCs w:val="32"/>
          <w:highlight w:val="none"/>
        </w:rPr>
        <w:br w:type="page"/>
      </w:r>
    </w:p>
    <w:p w14:paraId="54C856E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outlineLvl w:val="0"/>
        <w:rPr>
          <w:rFonts w:hint="eastAsia" w:ascii="宋体" w:hAnsi="宋体" w:eastAsia="宋体" w:cs="宋体"/>
          <w:b/>
          <w:bCs/>
          <w:color w:val="auto"/>
          <w:sz w:val="32"/>
          <w:szCs w:val="32"/>
          <w:highlight w:val="none"/>
        </w:rPr>
      </w:pPr>
      <w:bookmarkStart w:id="100" w:name="_Toc14515"/>
      <w:r>
        <w:rPr>
          <w:rFonts w:hint="eastAsia" w:ascii="宋体" w:hAnsi="宋体" w:eastAsia="宋体" w:cs="宋体"/>
          <w:b/>
          <w:bCs/>
          <w:color w:val="auto"/>
          <w:sz w:val="32"/>
          <w:szCs w:val="32"/>
          <w:highlight w:val="none"/>
        </w:rPr>
        <w:t>第三部分  专用条件</w:t>
      </w:r>
      <w:bookmarkEnd w:id="98"/>
      <w:bookmarkEnd w:id="99"/>
      <w:bookmarkEnd w:id="100"/>
    </w:p>
    <w:p w14:paraId="59B121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定义与解释</w:t>
      </w:r>
    </w:p>
    <w:p w14:paraId="0DD4281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解释</w:t>
      </w:r>
    </w:p>
    <w:p w14:paraId="53E6DB8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本合同文件除使用中文外，还可用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2011D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约定本合同文件的解释顺序为：</w:t>
      </w:r>
      <w:r>
        <w:rPr>
          <w:rFonts w:hint="eastAsia" w:ascii="宋体" w:hAnsi="宋体" w:eastAsia="宋体" w:cs="宋体"/>
          <w:color w:val="auto"/>
          <w:sz w:val="21"/>
          <w:szCs w:val="21"/>
          <w:highlight w:val="none"/>
          <w:u w:val="single"/>
        </w:rPr>
        <w:t>（1）协议书；（2）中标通知书（适用于招标工程）或委托书（适用于非招标工程）；</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招标文件</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）专用条件及附录A、附录B；（</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）通用条件；（</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）投标文件（适用于招标工程）或监理与相关服务建议书（适用于非招标工程）。</w:t>
      </w:r>
    </w:p>
    <w:p w14:paraId="5EBA7A85">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双方签订的补充协议与其他文件发生矛盾或歧义时，属于同一类内容的文件，应以最新签署的为准。</w:t>
      </w:r>
    </w:p>
    <w:p w14:paraId="2A4C74D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监理人义务</w:t>
      </w:r>
    </w:p>
    <w:p w14:paraId="1ECDEF1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监理的范围和</w:t>
      </w:r>
      <w:r>
        <w:rPr>
          <w:rFonts w:hint="eastAsia" w:ascii="宋体" w:hAnsi="宋体" w:eastAsia="宋体" w:cs="宋体"/>
          <w:bCs/>
          <w:color w:val="auto"/>
          <w:sz w:val="21"/>
          <w:szCs w:val="21"/>
          <w:highlight w:val="none"/>
        </w:rPr>
        <w:t>内容</w:t>
      </w:r>
    </w:p>
    <w:p w14:paraId="54BD47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2.1.1 监理范围包括但不限于：</w:t>
      </w:r>
      <w:r>
        <w:rPr>
          <w:rFonts w:hint="eastAsia" w:ascii="宋体" w:hAnsi="宋体" w:eastAsia="宋体" w:cs="宋体"/>
          <w:color w:val="auto"/>
          <w:sz w:val="21"/>
          <w:szCs w:val="21"/>
          <w:highlight w:val="none"/>
          <w:u w:val="single"/>
        </w:rPr>
        <w:t xml:space="preserve"> 接受</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委托开展项目前期工作，办理相关建设手续，参与本工程的施工准备阶段（包括项目的施工许可证等）、接受</w:t>
      </w:r>
      <w:r>
        <w:rPr>
          <w:rFonts w:hint="eastAsia" w:ascii="宋体" w:hAnsi="宋体" w:eastAsia="宋体" w:cs="宋体"/>
          <w:color w:val="auto"/>
          <w:sz w:val="21"/>
          <w:szCs w:val="21"/>
          <w:highlight w:val="none"/>
          <w:u w:val="single"/>
          <w:lang w:val="en-US" w:eastAsia="zh-CN"/>
        </w:rPr>
        <w:t>采购人</w:t>
      </w:r>
      <w:r>
        <w:rPr>
          <w:rFonts w:hint="eastAsia" w:ascii="宋体" w:hAnsi="宋体" w:eastAsia="宋体" w:cs="宋体"/>
          <w:color w:val="auto"/>
          <w:sz w:val="21"/>
          <w:szCs w:val="21"/>
          <w:highlight w:val="none"/>
          <w:u w:val="single"/>
        </w:rPr>
        <w:t>安排履行项目各项前期手续、施工阶段、工程收尾阶段（包括但不限于竣工验收、整改、工程移交、工程结算等）、工程质量保修阶段（缺陷责任期）的全过程监理服务，以及国家法律法规规定的其他监理服务，对工程进行进度、质量、投资、职业健康安全及环境监督管理、合同管理、信息管理、组织协调、安全生产监督及协调施工现场各方关系等。</w:t>
      </w:r>
      <w:r>
        <w:rPr>
          <w:rFonts w:hint="eastAsia" w:ascii="宋体" w:hAnsi="宋体" w:cs="宋体"/>
          <w:color w:val="auto"/>
          <w:sz w:val="21"/>
          <w:szCs w:val="21"/>
          <w:highlight w:val="none"/>
          <w:u w:val="single"/>
          <w:lang w:val="en-US" w:eastAsia="zh-CN"/>
        </w:rPr>
        <w:t xml:space="preserve"> </w:t>
      </w:r>
    </w:p>
    <w:p w14:paraId="4794883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2.1.2 监理工作内容还包括：</w:t>
      </w:r>
      <w:r>
        <w:rPr>
          <w:rFonts w:hint="eastAsia" w:ascii="宋体" w:hAnsi="宋体" w:eastAsia="宋体" w:cs="宋体"/>
          <w:color w:val="auto"/>
          <w:sz w:val="21"/>
          <w:szCs w:val="21"/>
          <w:highlight w:val="none"/>
          <w:u w:val="single"/>
        </w:rPr>
        <w:t>（1）收到工程设计文件后编制监理规划，并在第一次工地会议7天前报委托人。根据有关规定和监理工作需要，编制监理实施细则；（2）熟悉工程设计文件，并参加由委托人主持的图纸会审和设计交底会议；（3）参加由委托人主持的第一次工地会议；主持监理例会并根据工程需要主持或参加专题会议；（4）审查施工承包人提交的施工组织设计，重点审查其中的质量安全技术措施、专项施工方案与工程建设强制性标准的符合性；（5）检查施工承包人工程质量、安全生产管理制度及组织机构和人员资格； （6）检查施工承包人专职安全生产管理人员的配备情况；（7）审查施工承包人提交的施工进度计划，核查承包人对施工进度计划的调整；（9）审核施工分包人资质条件；（10）查验施工承包人的施工测量放线成果；（11）审查工程开工条件，对条件具备的签发开工令；（12）审查施工承包人报送的工程材料、构配件、设备质量证明文件的有效性和符合性，并按规定对用于工程的材料采取平行检验或见证取样方式进行抽检；（13）审核施工承包人提交的工程款支付申请，签发或出具工程款支付证书，并报委托人审核、批准；（14）在巡视、旁站和检验过程中，发现工程质量、施工安全存在事故隐患的，要求施工承包人整改并报委托人；（15）经委托人同意，签发工程暂停令和复工令；（16）审查施工承包人提交的采用新材料、新工艺、新技术、新设备的论证材料及相关验收标准；（17）验收隐蔽工程、分部分项工程；（18）审查施工承包人提交的工程变更申请，协调处理施工进度调整、费用索赔、合同争议等事项；（19）审查施工承包人提交的竣工验收申请，编写工程质量评估报告；（20）参加工程竣工验收，签署竣工验收意见；（21）审查施工承包人提交的竣工结算申请并报委托人；（22）编制、整理工程监理归档文件并报委托人。</w:t>
      </w:r>
    </w:p>
    <w:p w14:paraId="39CE24C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监理与相关服务依据</w:t>
      </w:r>
    </w:p>
    <w:p w14:paraId="1533D74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2.2.1 监理依据包括：</w:t>
      </w:r>
      <w:r>
        <w:rPr>
          <w:rFonts w:hint="eastAsia" w:ascii="宋体" w:hAnsi="宋体" w:eastAsia="宋体" w:cs="宋体"/>
          <w:color w:val="auto"/>
          <w:sz w:val="21"/>
          <w:szCs w:val="21"/>
          <w:highlight w:val="none"/>
          <w:u w:val="single"/>
        </w:rPr>
        <w:t>（1）适用的法律、行政法规及部门规章；（2）与工程有关的标准；（3）工程设计及有关文件；（4）本合同及委托人与第三方签订的与实施工程有关的其他合同。</w:t>
      </w:r>
    </w:p>
    <w:p w14:paraId="00E08F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2.2.2 相关服务依据包括：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B5B64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kern w:val="0"/>
          <w:sz w:val="21"/>
          <w:szCs w:val="21"/>
          <w:highlight w:val="none"/>
        </w:rPr>
        <w:t>项目监理机构和人员</w:t>
      </w:r>
    </w:p>
    <w:p w14:paraId="3E6D3012">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2.3.4 </w:t>
      </w:r>
      <w:r>
        <w:rPr>
          <w:rFonts w:hint="eastAsia" w:ascii="宋体" w:hAnsi="宋体" w:eastAsia="宋体" w:cs="宋体"/>
          <w:color w:val="auto"/>
          <w:kern w:val="0"/>
          <w:sz w:val="21"/>
          <w:szCs w:val="21"/>
          <w:highlight w:val="none"/>
        </w:rPr>
        <w:t>更换监理人员的其他情形：</w:t>
      </w:r>
      <w:r>
        <w:rPr>
          <w:rFonts w:hint="eastAsia" w:ascii="宋体" w:hAnsi="宋体" w:eastAsia="宋体" w:cs="宋体"/>
          <w:color w:val="auto"/>
          <w:kern w:val="0"/>
          <w:sz w:val="21"/>
          <w:szCs w:val="21"/>
          <w:highlight w:val="none"/>
          <w:u w:val="single"/>
          <w:lang w:eastAsia="zh-CN"/>
        </w:rPr>
        <w:t>（1）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w:t>
      </w:r>
      <w:r>
        <w:rPr>
          <w:rFonts w:hint="eastAsia" w:ascii="宋体" w:hAnsi="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eastAsia="zh-CN"/>
        </w:rPr>
        <w:t>0万元违约金，否则不得变更。变更后的项目负责人必须符合本项目</w:t>
      </w:r>
      <w:r>
        <w:rPr>
          <w:rFonts w:hint="eastAsia" w:ascii="宋体" w:hAnsi="宋体" w:eastAsia="宋体" w:cs="宋体"/>
          <w:color w:val="auto"/>
          <w:kern w:val="0"/>
          <w:sz w:val="21"/>
          <w:szCs w:val="21"/>
          <w:highlight w:val="none"/>
          <w:u w:val="single"/>
          <w:lang w:val="en-US" w:eastAsia="zh-CN"/>
        </w:rPr>
        <w:t>竞争性谈判</w:t>
      </w:r>
      <w:r>
        <w:rPr>
          <w:rFonts w:hint="eastAsia" w:ascii="宋体" w:hAnsi="宋体" w:eastAsia="宋体" w:cs="宋体"/>
          <w:color w:val="auto"/>
          <w:kern w:val="0"/>
          <w:sz w:val="21"/>
          <w:szCs w:val="21"/>
          <w:highlight w:val="none"/>
          <w:u w:val="single"/>
          <w:lang w:eastAsia="zh-CN"/>
        </w:rPr>
        <w:t>文件和</w:t>
      </w:r>
      <w:r>
        <w:rPr>
          <w:rFonts w:hint="eastAsia" w:ascii="宋体" w:hAnsi="宋体" w:eastAsia="宋体" w:cs="宋体"/>
          <w:color w:val="auto"/>
          <w:kern w:val="0"/>
          <w:sz w:val="21"/>
          <w:szCs w:val="21"/>
          <w:highlight w:val="none"/>
          <w:u w:val="single"/>
          <w:lang w:val="en-US" w:eastAsia="zh-CN"/>
        </w:rPr>
        <w:t>响应</w:t>
      </w:r>
      <w:r>
        <w:rPr>
          <w:rFonts w:hint="eastAsia" w:ascii="宋体" w:hAnsi="宋体" w:eastAsia="宋体" w:cs="宋体"/>
          <w:color w:val="auto"/>
          <w:kern w:val="0"/>
          <w:sz w:val="21"/>
          <w:szCs w:val="21"/>
          <w:highlight w:val="none"/>
          <w:u w:val="single"/>
          <w:lang w:eastAsia="zh-CN"/>
        </w:rPr>
        <w:t xml:space="preserve">承诺配备的同等条件人员，并按照滁州市有关规定履行变更审批程序。（2）总监代表、监理部等关键岗位人员变更必须经发包人批准，除亡故、重大疾病、出国、辞职等原因外，原则上不得变更。其中，亡故的需提供公安部门开具的死亡证明；重大疾病的需提供三甲及以上医院证明；出国、辞职等原因提出变更的，除需提供相关证明外，须缴纳50000元违约金，否则不得变更。变更后的总监代表、监理部等关键岗位人员必须符合本项目招标文件和投标承诺配备的同等条件人员。    </w:t>
      </w:r>
    </w:p>
    <w:p w14:paraId="7E5718BB">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2.4 </w:t>
      </w:r>
      <w:r>
        <w:rPr>
          <w:rFonts w:hint="eastAsia" w:ascii="宋体" w:hAnsi="宋体" w:eastAsia="宋体" w:cs="宋体"/>
          <w:color w:val="auto"/>
          <w:kern w:val="0"/>
          <w:sz w:val="21"/>
          <w:szCs w:val="21"/>
          <w:highlight w:val="none"/>
        </w:rPr>
        <w:t>履行职责</w:t>
      </w:r>
    </w:p>
    <w:p w14:paraId="46F5E27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对监理人的授权范围：</w:t>
      </w:r>
      <w:r>
        <w:rPr>
          <w:rFonts w:hint="eastAsia" w:ascii="宋体" w:hAnsi="宋体" w:eastAsia="宋体" w:cs="宋体"/>
          <w:color w:val="auto"/>
          <w:sz w:val="21"/>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32606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color w:val="auto"/>
          <w:sz w:val="21"/>
          <w:szCs w:val="21"/>
          <w:highlight w:val="none"/>
        </w:rPr>
      </w:pPr>
      <w:bookmarkStart w:id="101" w:name="_Toc32002"/>
      <w:bookmarkStart w:id="102" w:name="_Toc29908"/>
      <w:bookmarkStart w:id="103" w:name="_Toc23904"/>
      <w:bookmarkStart w:id="104" w:name="_Toc5124"/>
      <w:r>
        <w:rPr>
          <w:rFonts w:hint="eastAsia" w:ascii="宋体" w:hAnsi="宋体" w:eastAsia="宋体" w:cs="宋体"/>
          <w:color w:val="auto"/>
          <w:sz w:val="21"/>
          <w:szCs w:val="21"/>
          <w:highlight w:val="none"/>
        </w:rPr>
        <w:t>在涉及工程延期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天内和（或）金额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万元内的变更，监理人不需请示委托人即可向承包人发布变更通知。</w:t>
      </w:r>
      <w:bookmarkEnd w:id="101"/>
      <w:bookmarkEnd w:id="102"/>
      <w:bookmarkEnd w:id="103"/>
      <w:bookmarkEnd w:id="104"/>
    </w:p>
    <w:p w14:paraId="3E5466D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default" w:ascii="宋体" w:hAnsi="宋体" w:eastAsia="宋体" w:cs="宋体"/>
          <w:strike w:val="0"/>
          <w:dstrike w:val="0"/>
          <w:color w:val="auto"/>
          <w:sz w:val="21"/>
          <w:szCs w:val="21"/>
          <w:highlight w:val="none"/>
          <w:u w:val="single"/>
          <w:lang w:val="en-US"/>
        </w:rPr>
      </w:pPr>
      <w:r>
        <w:rPr>
          <w:rFonts w:hint="eastAsia" w:ascii="宋体" w:hAnsi="宋体" w:eastAsia="宋体" w:cs="宋体"/>
          <w:color w:val="auto"/>
          <w:kern w:val="0"/>
          <w:sz w:val="21"/>
          <w:szCs w:val="21"/>
          <w:highlight w:val="none"/>
        </w:rPr>
        <w:t>2.4.4 监理人有权要求承包人调换其人员</w:t>
      </w:r>
      <w:r>
        <w:rPr>
          <w:rFonts w:hint="eastAsia" w:ascii="宋体" w:hAnsi="宋体" w:eastAsia="宋体" w:cs="宋体"/>
          <w:color w:val="auto"/>
          <w:sz w:val="21"/>
          <w:szCs w:val="21"/>
          <w:highlight w:val="none"/>
        </w:rPr>
        <w:t>的限制条件：</w:t>
      </w:r>
      <w:r>
        <w:rPr>
          <w:rFonts w:hint="eastAsia" w:ascii="宋体" w:hAnsi="宋体" w:eastAsia="宋体" w:cs="宋体"/>
          <w:strike w:val="0"/>
          <w:dstrike w:val="0"/>
          <w:color w:val="auto"/>
          <w:sz w:val="21"/>
          <w:szCs w:val="21"/>
          <w:highlight w:val="none"/>
          <w:u w:val="single"/>
          <w:lang w:val="en-US" w:eastAsia="zh-CN"/>
        </w:rPr>
        <w:t xml:space="preserve">                           。      </w:t>
      </w:r>
    </w:p>
    <w:p w14:paraId="2FF668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2.5 </w:t>
      </w:r>
      <w:r>
        <w:rPr>
          <w:rFonts w:hint="eastAsia" w:ascii="宋体" w:hAnsi="宋体" w:eastAsia="宋体" w:cs="宋体"/>
          <w:color w:val="auto"/>
          <w:sz w:val="21"/>
          <w:szCs w:val="21"/>
          <w:highlight w:val="none"/>
        </w:rPr>
        <w:t>提交</w:t>
      </w:r>
      <w:r>
        <w:rPr>
          <w:rFonts w:hint="eastAsia" w:ascii="宋体" w:hAnsi="宋体" w:eastAsia="宋体" w:cs="宋体"/>
          <w:color w:val="auto"/>
          <w:kern w:val="0"/>
          <w:sz w:val="21"/>
          <w:szCs w:val="21"/>
          <w:highlight w:val="none"/>
        </w:rPr>
        <w:t>报告</w:t>
      </w:r>
    </w:p>
    <w:p w14:paraId="3184E8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监理人应提交报告的种类(</w:t>
      </w:r>
      <w:r>
        <w:rPr>
          <w:rFonts w:hint="eastAsia" w:ascii="宋体" w:hAnsi="宋体" w:eastAsia="宋体" w:cs="宋体"/>
          <w:color w:val="auto"/>
          <w:kern w:val="0"/>
          <w:sz w:val="21"/>
          <w:szCs w:val="21"/>
          <w:highlight w:val="none"/>
        </w:rPr>
        <w:t>包括监理规划、监理月报及约定的专项报告)</w:t>
      </w:r>
      <w:r>
        <w:rPr>
          <w:rFonts w:hint="eastAsia" w:ascii="宋体" w:hAnsi="宋体" w:eastAsia="宋体" w:cs="宋体"/>
          <w:color w:val="auto"/>
          <w:sz w:val="21"/>
          <w:szCs w:val="21"/>
          <w:highlight w:val="none"/>
        </w:rPr>
        <w:t>、时间和份数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4E1EC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 使用委托人的财产</w:t>
      </w:r>
    </w:p>
    <w:p w14:paraId="2D752DAC">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附录B中由委托人无偿提供的房屋、设备的所有权属于：</w:t>
      </w:r>
      <w:r>
        <w:rPr>
          <w:rFonts w:hint="eastAsia" w:ascii="宋体" w:hAnsi="宋体" w:eastAsia="宋体" w:cs="宋体"/>
          <w:color w:val="auto"/>
          <w:sz w:val="21"/>
          <w:szCs w:val="21"/>
          <w:highlight w:val="none"/>
          <w:u w:val="single"/>
        </w:rPr>
        <w:t xml:space="preserve"> 委托人的财产 </w:t>
      </w:r>
      <w:r>
        <w:rPr>
          <w:rFonts w:hint="eastAsia" w:ascii="宋体" w:hAnsi="宋体" w:eastAsia="宋体" w:cs="宋体"/>
          <w:color w:val="auto"/>
          <w:sz w:val="21"/>
          <w:szCs w:val="21"/>
          <w:highlight w:val="none"/>
        </w:rPr>
        <w:t>。</w:t>
      </w:r>
    </w:p>
    <w:p w14:paraId="07E34900">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监理人应在本合同终止后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天内移交委托人无偿提供的房屋、设备，移交的时间和方式为：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E98124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 xml:space="preserve">3. 委托人义务  </w:t>
      </w:r>
    </w:p>
    <w:p w14:paraId="097934B7">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3.4 委托人代表</w:t>
      </w:r>
    </w:p>
    <w:p w14:paraId="6DBD18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委托人代表为：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3DC0F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3.6 答复</w:t>
      </w:r>
    </w:p>
    <w:p w14:paraId="6E971EC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委托人同意在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天内，对监理人书面提交并要求做出决定的事宜给予书面答复。</w:t>
      </w:r>
    </w:p>
    <w:p w14:paraId="28B2D12B">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违约责任</w:t>
      </w:r>
    </w:p>
    <w:p w14:paraId="23B28ED4">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 监理人的违约责任</w:t>
      </w:r>
    </w:p>
    <w:p w14:paraId="7AC3A0B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4.1.1监理人赔偿金额按下列方法确定：</w:t>
      </w:r>
    </w:p>
    <w:p w14:paraId="3B06A0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赔偿金＝直接经济损失×正常工作酬金÷工程概算</w:t>
      </w:r>
      <w:r>
        <w:rPr>
          <w:rFonts w:hint="eastAsia" w:ascii="宋体" w:hAnsi="宋体" w:eastAsia="宋体" w:cs="宋体"/>
          <w:color w:val="auto"/>
          <w:kern w:val="0"/>
          <w:sz w:val="21"/>
          <w:szCs w:val="21"/>
          <w:highlight w:val="none"/>
        </w:rPr>
        <w:t>投资额（或建筑安装工程费）</w:t>
      </w:r>
    </w:p>
    <w:p w14:paraId="045BD92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 委托人的违约责任</w:t>
      </w:r>
    </w:p>
    <w:p w14:paraId="3A250A46">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4.2.3 委托人</w:t>
      </w:r>
      <w:r>
        <w:rPr>
          <w:rFonts w:hint="eastAsia" w:ascii="宋体" w:hAnsi="宋体" w:eastAsia="宋体" w:cs="宋体"/>
          <w:color w:val="auto"/>
          <w:kern w:val="0"/>
          <w:sz w:val="21"/>
          <w:szCs w:val="21"/>
          <w:highlight w:val="none"/>
        </w:rPr>
        <w:t>逾期付款利息按下列方法确定：</w:t>
      </w:r>
    </w:p>
    <w:p w14:paraId="171C8BB8">
      <w:pPr>
        <w:keepNext w:val="0"/>
        <w:keepLines w:val="0"/>
        <w:pageBreakBefore w:val="0"/>
        <w:widowControl w:val="0"/>
        <w:kinsoku/>
        <w:wordWrap/>
        <w:overflowPunct/>
        <w:topLinePunct w:val="0"/>
        <w:autoSpaceDE/>
        <w:autoSpaceDN/>
        <w:bidi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逾期付款利息＝当期应付款总额×银行同期贷款利率×拖延支付天数</w:t>
      </w:r>
    </w:p>
    <w:p w14:paraId="5A61F858">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5. 支付</w:t>
      </w:r>
    </w:p>
    <w:p w14:paraId="04C0B39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5.1 </w:t>
      </w:r>
      <w:r>
        <w:rPr>
          <w:rFonts w:hint="eastAsia" w:ascii="宋体" w:hAnsi="宋体" w:eastAsia="宋体" w:cs="宋体"/>
          <w:bCs/>
          <w:color w:val="auto"/>
          <w:sz w:val="21"/>
          <w:szCs w:val="21"/>
          <w:highlight w:val="none"/>
        </w:rPr>
        <w:t>支付货币</w:t>
      </w:r>
    </w:p>
    <w:p w14:paraId="78B45462">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币种为：</w:t>
      </w:r>
      <w:r>
        <w:rPr>
          <w:rFonts w:hint="eastAsia" w:ascii="宋体" w:hAnsi="宋体" w:eastAsia="宋体" w:cs="宋体"/>
          <w:color w:val="auto"/>
          <w:sz w:val="21"/>
          <w:szCs w:val="21"/>
          <w:highlight w:val="none"/>
          <w:u w:val="single"/>
        </w:rPr>
        <w:t xml:space="preserve"> 人民币  </w:t>
      </w:r>
      <w:r>
        <w:rPr>
          <w:rFonts w:hint="eastAsia" w:ascii="宋体" w:hAnsi="宋体" w:eastAsia="宋体" w:cs="宋体"/>
          <w:color w:val="auto"/>
          <w:sz w:val="21"/>
          <w:szCs w:val="21"/>
          <w:highlight w:val="none"/>
        </w:rPr>
        <w:t>，比例为：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，汇率为：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18F2230">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 支付酬金</w:t>
      </w:r>
    </w:p>
    <w:p w14:paraId="4C1490D2">
      <w:pPr>
        <w:keepNext w:val="0"/>
        <w:keepLines w:val="0"/>
        <w:pageBreakBefore w:val="0"/>
        <w:widowControl/>
        <w:kinsoku/>
        <w:wordWrap/>
        <w:overflowPunct/>
        <w:topLinePunct w:val="0"/>
        <w:autoSpaceDE/>
        <w:autoSpaceDN/>
        <w:bidi w:val="0"/>
        <w:adjustRightInd w:val="0"/>
        <w:spacing w:line="440" w:lineRule="exact"/>
        <w:ind w:firstLine="422" w:firstLineChars="200"/>
        <w:jc w:val="left"/>
        <w:textAlignment w:val="auto"/>
        <w:rPr>
          <w:rFonts w:hint="eastAsia" w:ascii="宋体" w:hAnsi="宋体" w:eastAsia="宋体" w:cs="宋体"/>
          <w:b/>
          <w:color w:val="auto"/>
          <w:sz w:val="21"/>
          <w:szCs w:val="21"/>
          <w:highlight w:val="none"/>
          <w:u w:val="single"/>
          <w:lang w:bidi="ar-SA"/>
        </w:rPr>
      </w:pPr>
      <w:r>
        <w:rPr>
          <w:rFonts w:hint="eastAsia" w:ascii="宋体" w:hAnsi="宋体" w:eastAsia="宋体" w:cs="宋体"/>
          <w:b/>
          <w:color w:val="auto"/>
          <w:szCs w:val="21"/>
          <w:highlight w:val="none"/>
          <w:lang w:bidi="ar-SA"/>
        </w:rPr>
        <w:t>支付方式：</w:t>
      </w:r>
      <w:r>
        <w:rPr>
          <w:rFonts w:hint="eastAsia" w:ascii="宋体" w:hAnsi="宋体" w:eastAsia="宋体" w:cs="宋体"/>
          <w:b/>
          <w:color w:val="auto"/>
          <w:szCs w:val="21"/>
          <w:highlight w:val="none"/>
          <w:lang w:val="en-US" w:eastAsia="zh-CN" w:bidi="ar-SA"/>
        </w:rPr>
        <w:t>合同签订且具备实施条件后，支付合同价的40%预付款（扣除暂列金额）（预付款支付前，中标人须提供同等金额的见索即付保函），根据施工请款资料，于次月按照完成合格工程量的60%支付监理费，累计支付至监理范围内全部合格工程量的60%停止拨付，竣工验收合格、资料归档付清余款。（注：发包人在政府资金调度会批准且发票送达后完成支付）</w:t>
      </w:r>
      <w:r>
        <w:rPr>
          <w:rFonts w:hint="eastAsia" w:ascii="宋体" w:hAnsi="宋体" w:eastAsia="宋体" w:cs="宋体"/>
          <w:b/>
          <w:color w:val="auto"/>
          <w:szCs w:val="21"/>
          <w:highlight w:val="none"/>
          <w:lang w:eastAsia="zh-CN" w:bidi="ar-SA"/>
        </w:rPr>
        <w:t>。</w:t>
      </w:r>
    </w:p>
    <w:p w14:paraId="79FC44D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b/>
          <w:bCs/>
          <w:color w:val="auto"/>
          <w:sz w:val="21"/>
          <w:szCs w:val="21"/>
          <w:highlight w:val="none"/>
        </w:rPr>
        <w:t>. 合同生效、变更、暂停、解除与终止</w:t>
      </w:r>
    </w:p>
    <w:p w14:paraId="4A6CA08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生效</w:t>
      </w:r>
    </w:p>
    <w:p w14:paraId="2A45FE0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本合同生效条件：</w:t>
      </w:r>
      <w:r>
        <w:rPr>
          <w:rFonts w:hint="eastAsia" w:ascii="宋体" w:hAnsi="宋体" w:eastAsia="宋体" w:cs="宋体"/>
          <w:color w:val="auto"/>
          <w:sz w:val="21"/>
          <w:szCs w:val="21"/>
          <w:highlight w:val="none"/>
          <w:u w:val="single"/>
        </w:rPr>
        <w:t xml:space="preserve">   委托人和监理人的法定代表人或其授权代理人在协议书上签字并盖单位章后本合同生效     </w:t>
      </w:r>
      <w:r>
        <w:rPr>
          <w:rFonts w:hint="eastAsia" w:ascii="宋体" w:hAnsi="宋体" w:eastAsia="宋体" w:cs="宋体"/>
          <w:color w:val="auto"/>
          <w:sz w:val="21"/>
          <w:szCs w:val="21"/>
          <w:highlight w:val="none"/>
        </w:rPr>
        <w:t>。</w:t>
      </w:r>
    </w:p>
    <w:p w14:paraId="4FA1B5A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变更</w:t>
      </w:r>
    </w:p>
    <w:p w14:paraId="6BC352C9">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 除不可抗力外， 因非监理人原因导致本合同期限延长时，附加工作酬金按下列方法确定：</w:t>
      </w:r>
    </w:p>
    <w:p w14:paraId="230733ED">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本合同期限延长</w:t>
      </w:r>
      <w:r>
        <w:rPr>
          <w:rFonts w:hint="eastAsia" w:ascii="宋体" w:hAnsi="宋体" w:eastAsia="宋体" w:cs="宋体"/>
          <w:color w:val="auto"/>
          <w:kern w:val="0"/>
          <w:sz w:val="21"/>
          <w:szCs w:val="21"/>
          <w:highlight w:val="none"/>
        </w:rPr>
        <w:t>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5AA388A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6.2.3附加工作酬金按下列方法确定：</w:t>
      </w:r>
    </w:p>
    <w:p w14:paraId="18900355">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附加工作</w:t>
      </w:r>
      <w:r>
        <w:rPr>
          <w:rFonts w:hint="eastAsia" w:ascii="宋体" w:hAnsi="宋体" w:eastAsia="宋体" w:cs="宋体"/>
          <w:color w:val="auto"/>
          <w:sz w:val="21"/>
          <w:szCs w:val="21"/>
          <w:highlight w:val="none"/>
        </w:rPr>
        <w:t>酬金</w:t>
      </w:r>
      <w:r>
        <w:rPr>
          <w:rFonts w:hint="eastAsia" w:ascii="宋体" w:hAnsi="宋体" w:eastAsia="宋体" w:cs="宋体"/>
          <w:color w:val="auto"/>
          <w:kern w:val="0"/>
          <w:sz w:val="21"/>
          <w:szCs w:val="21"/>
          <w:highlight w:val="none"/>
        </w:rPr>
        <w:t>=善后工作及恢复服务的准备工作时间（天）×正常工作酬金÷</w:t>
      </w:r>
      <w:r>
        <w:rPr>
          <w:rFonts w:hint="eastAsia" w:ascii="宋体" w:hAnsi="宋体" w:eastAsia="宋体" w:cs="宋体"/>
          <w:color w:val="auto"/>
          <w:sz w:val="21"/>
          <w:szCs w:val="21"/>
          <w:highlight w:val="none"/>
        </w:rPr>
        <w:t>协议书约定的监理与相关服务期限</w:t>
      </w:r>
      <w:r>
        <w:rPr>
          <w:rFonts w:hint="eastAsia" w:ascii="宋体" w:hAnsi="宋体" w:eastAsia="宋体" w:cs="宋体"/>
          <w:color w:val="auto"/>
          <w:kern w:val="0"/>
          <w:sz w:val="21"/>
          <w:szCs w:val="21"/>
          <w:highlight w:val="none"/>
        </w:rPr>
        <w:t>（天）</w:t>
      </w:r>
    </w:p>
    <w:p w14:paraId="19A987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6.2.5 正常工作酬金增加额按下列方法确定： </w:t>
      </w:r>
    </w:p>
    <w:p w14:paraId="3E5E009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正常工作酬金增加额</w:t>
      </w:r>
      <w:r>
        <w:rPr>
          <w:rFonts w:hint="eastAsia" w:ascii="宋体" w:hAnsi="宋体" w:eastAsia="宋体" w:cs="宋体"/>
          <w:color w:val="auto"/>
          <w:kern w:val="0"/>
          <w:sz w:val="21"/>
          <w:szCs w:val="21"/>
          <w:highlight w:val="none"/>
        </w:rPr>
        <w:t>=工程投资额</w:t>
      </w:r>
      <w:r>
        <w:rPr>
          <w:rFonts w:hint="eastAsia" w:ascii="宋体" w:hAnsi="宋体" w:eastAsia="宋体" w:cs="宋体"/>
          <w:color w:val="auto"/>
          <w:sz w:val="21"/>
          <w:szCs w:val="21"/>
          <w:highlight w:val="none"/>
        </w:rPr>
        <w:t>或建筑安装工程费</w:t>
      </w:r>
      <w:r>
        <w:rPr>
          <w:rFonts w:hint="eastAsia" w:ascii="宋体" w:hAnsi="宋体" w:eastAsia="宋体" w:cs="宋体"/>
          <w:color w:val="auto"/>
          <w:kern w:val="0"/>
          <w:sz w:val="21"/>
          <w:szCs w:val="21"/>
          <w:highlight w:val="none"/>
        </w:rPr>
        <w:t>增加额×正常工作酬金÷工程概算投资额（或建筑安装工程费）</w:t>
      </w:r>
    </w:p>
    <w:p w14:paraId="154DC2E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6.2.6 因工程规模、监理范围的变化导致监理人的正常工作量减少时，按减少工作量的比例从协议书约定的正常工作酬金中扣减相同比例的酬金。</w:t>
      </w:r>
    </w:p>
    <w:p w14:paraId="309011ED">
      <w:pPr>
        <w:keepNext w:val="0"/>
        <w:keepLines w:val="0"/>
        <w:pageBreakBefore w:val="0"/>
        <w:widowControl w:val="0"/>
        <w:kinsoku/>
        <w:wordWrap/>
        <w:overflowPunct/>
        <w:topLinePunct w:val="0"/>
        <w:autoSpaceDE/>
        <w:autoSpaceDN/>
        <w:bidi w:val="0"/>
        <w:snapToGrid w:val="0"/>
        <w:spacing w:line="440" w:lineRule="exact"/>
        <w:ind w:left="0" w:leftChars="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7. 争议解决</w:t>
      </w:r>
    </w:p>
    <w:p w14:paraId="0B6F1CB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 </w:t>
      </w:r>
      <w:r>
        <w:rPr>
          <w:rFonts w:hint="eastAsia" w:ascii="宋体" w:hAnsi="宋体" w:eastAsia="宋体" w:cs="宋体"/>
          <w:bCs/>
          <w:color w:val="auto"/>
          <w:sz w:val="21"/>
          <w:szCs w:val="21"/>
          <w:highlight w:val="none"/>
        </w:rPr>
        <w:t>调解</w:t>
      </w:r>
    </w:p>
    <w:p w14:paraId="0C70466F">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本合同争议进行调解时，可提交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进行调解。</w:t>
      </w:r>
    </w:p>
    <w:p w14:paraId="55F2802C">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 </w:t>
      </w:r>
      <w:r>
        <w:rPr>
          <w:rFonts w:hint="eastAsia" w:ascii="宋体" w:hAnsi="宋体" w:eastAsia="宋体" w:cs="宋体"/>
          <w:bCs/>
          <w:color w:val="auto"/>
          <w:sz w:val="21"/>
          <w:szCs w:val="21"/>
          <w:highlight w:val="none"/>
        </w:rPr>
        <w:t>仲裁或诉讼</w:t>
      </w:r>
    </w:p>
    <w:p w14:paraId="432677A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合同争议的最终解决方式为下列第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6AC3F7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滁州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仲裁委员会进行仲裁。</w:t>
      </w:r>
    </w:p>
    <w:p w14:paraId="58C7043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人民法院提起诉讼。</w:t>
      </w:r>
    </w:p>
    <w:p w14:paraId="0DFC091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其他</w:t>
      </w:r>
    </w:p>
    <w:p w14:paraId="440FEC9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 检测费用</w:t>
      </w:r>
    </w:p>
    <w:p w14:paraId="326EEAA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委托人应在检测工作完成后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天内支付检测费用。</w:t>
      </w:r>
    </w:p>
    <w:p w14:paraId="7FB77D3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8.3 咨询费用</w:t>
      </w:r>
    </w:p>
    <w:p w14:paraId="724440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委托人应在咨询工作完成后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天内支付咨询费用。</w:t>
      </w:r>
    </w:p>
    <w:p w14:paraId="0E292EF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奖励</w:t>
      </w:r>
    </w:p>
    <w:p w14:paraId="08549F1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合理化建议的奖励金额按下列方法确定为：</w:t>
      </w:r>
    </w:p>
    <w:p w14:paraId="323FE8D8">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奖励金额＝工程投资节省额×奖励金额的比率；</w:t>
      </w:r>
    </w:p>
    <w:p w14:paraId="6C5F6F9A">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奖励金额的比率为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AAAE4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8.6 保密</w:t>
      </w:r>
    </w:p>
    <w:p w14:paraId="0D6A033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委托人申明的保密事项和期限：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39F4B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监理人申明的保密事项和期限：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7A5C0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left"/>
        <w:textAlignment w:val="auto"/>
        <w:outlineLvl w:val="0"/>
        <w:rPr>
          <w:rFonts w:hint="eastAsia" w:ascii="宋体" w:hAnsi="宋体" w:eastAsia="宋体" w:cs="宋体"/>
          <w:color w:val="auto"/>
          <w:sz w:val="21"/>
          <w:szCs w:val="21"/>
          <w:highlight w:val="none"/>
          <w:u w:val="single"/>
        </w:rPr>
      </w:pPr>
      <w:bookmarkStart w:id="105" w:name="_Toc25154"/>
      <w:bookmarkStart w:id="106" w:name="_Toc32419"/>
      <w:bookmarkStart w:id="107" w:name="_Toc5493"/>
      <w:r>
        <w:rPr>
          <w:rFonts w:hint="eastAsia" w:ascii="宋体" w:hAnsi="宋体" w:eastAsia="宋体" w:cs="宋体"/>
          <w:color w:val="auto"/>
          <w:sz w:val="21"/>
          <w:szCs w:val="21"/>
          <w:highlight w:val="none"/>
        </w:rPr>
        <w:t>第三方申明的保密事项和期限：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05"/>
      <w:bookmarkEnd w:id="106"/>
      <w:bookmarkEnd w:id="107"/>
    </w:p>
    <w:p w14:paraId="0E175193">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outlineLvl w:val="0"/>
        <w:rPr>
          <w:rFonts w:hint="eastAsia" w:ascii="宋体" w:hAnsi="宋体" w:eastAsia="宋体" w:cs="宋体"/>
          <w:bCs/>
          <w:color w:val="auto"/>
          <w:sz w:val="21"/>
          <w:szCs w:val="21"/>
          <w:highlight w:val="none"/>
        </w:rPr>
      </w:pPr>
      <w:bookmarkStart w:id="108" w:name="_Toc15769"/>
      <w:bookmarkStart w:id="109" w:name="_Toc9556"/>
      <w:bookmarkStart w:id="110" w:name="_Toc25677"/>
      <w:r>
        <w:rPr>
          <w:rFonts w:hint="eastAsia" w:ascii="宋体" w:hAnsi="宋体" w:eastAsia="宋体" w:cs="宋体"/>
          <w:color w:val="auto"/>
          <w:sz w:val="21"/>
          <w:szCs w:val="21"/>
          <w:highlight w:val="none"/>
        </w:rPr>
        <w:t>8.8</w:t>
      </w:r>
      <w:r>
        <w:rPr>
          <w:rFonts w:hint="eastAsia" w:ascii="宋体" w:hAnsi="宋体" w:eastAsia="宋体" w:cs="宋体"/>
          <w:bCs/>
          <w:color w:val="auto"/>
          <w:sz w:val="21"/>
          <w:szCs w:val="21"/>
          <w:highlight w:val="none"/>
        </w:rPr>
        <w:t>著作权</w:t>
      </w:r>
      <w:bookmarkEnd w:id="108"/>
      <w:bookmarkEnd w:id="109"/>
      <w:bookmarkEnd w:id="110"/>
    </w:p>
    <w:p w14:paraId="79B6BDDE">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6A01BE">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bookmarkStart w:id="111" w:name="_Toc18787"/>
      <w:r>
        <w:rPr>
          <w:rFonts w:hint="eastAsia" w:ascii="宋体" w:hAnsi="宋体" w:eastAsia="宋体" w:cs="宋体"/>
          <w:b/>
          <w:bCs/>
          <w:color w:val="auto"/>
          <w:sz w:val="32"/>
          <w:szCs w:val="32"/>
          <w:highlight w:val="none"/>
        </w:rPr>
        <w:t>补充条款</w:t>
      </w:r>
      <w:bookmarkEnd w:id="111"/>
    </w:p>
    <w:p w14:paraId="5BCE1E62">
      <w:pPr>
        <w:pStyle w:val="78"/>
        <w:keepNext w:val="0"/>
        <w:keepLines w:val="0"/>
        <w:pageBreakBefore w:val="0"/>
        <w:widowControl/>
        <w:kinsoku/>
        <w:wordWrap/>
        <w:overflowPunct/>
        <w:topLinePunct w:val="0"/>
        <w:autoSpaceDE/>
        <w:autoSpaceDN/>
        <w:bidi w:val="0"/>
        <w:snapToGrid/>
        <w:spacing w:before="0" w:beforeLines="0" w:after="0" w:afterLines="0" w:line="440" w:lineRule="exact"/>
        <w:ind w:left="0" w:right="0" w:firstLine="422"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 xml:space="preserve">1、总监理工程师: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4245BF67">
      <w:pPr>
        <w:pStyle w:val="78"/>
        <w:keepNext w:val="0"/>
        <w:keepLines w:val="0"/>
        <w:pageBreakBefore w:val="0"/>
        <w:widowControl/>
        <w:kinsoku/>
        <w:wordWrap/>
        <w:overflowPunct/>
        <w:topLinePunct w:val="0"/>
        <w:autoSpaceDE/>
        <w:autoSpaceDN/>
        <w:bidi w:val="0"/>
        <w:snapToGrid/>
        <w:spacing w:before="0" w:beforeLines="0" w:after="0" w:afterLines="0" w:line="440" w:lineRule="exact"/>
        <w:ind w:left="0"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2、总监理工程师情况一览表</w:t>
      </w:r>
    </w:p>
    <w:tbl>
      <w:tblPr>
        <w:tblStyle w:val="25"/>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860"/>
        <w:gridCol w:w="664"/>
        <w:gridCol w:w="1159"/>
        <w:gridCol w:w="1540"/>
        <w:gridCol w:w="1735"/>
        <w:gridCol w:w="1890"/>
      </w:tblGrid>
      <w:tr w14:paraId="1DC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906" w:type="dxa"/>
            <w:noWrap w:val="0"/>
            <w:vAlign w:val="center"/>
          </w:tcPr>
          <w:p w14:paraId="6DC0E5E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姓  名</w:t>
            </w:r>
          </w:p>
        </w:tc>
        <w:tc>
          <w:tcPr>
            <w:tcW w:w="860" w:type="dxa"/>
            <w:noWrap w:val="0"/>
            <w:vAlign w:val="center"/>
          </w:tcPr>
          <w:p w14:paraId="2DBAA434">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年龄</w:t>
            </w:r>
          </w:p>
        </w:tc>
        <w:tc>
          <w:tcPr>
            <w:tcW w:w="664" w:type="dxa"/>
            <w:noWrap w:val="0"/>
            <w:vAlign w:val="center"/>
          </w:tcPr>
          <w:p w14:paraId="33B7F327">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性别</w:t>
            </w:r>
          </w:p>
        </w:tc>
        <w:tc>
          <w:tcPr>
            <w:tcW w:w="1159" w:type="dxa"/>
            <w:noWrap w:val="0"/>
            <w:vAlign w:val="center"/>
          </w:tcPr>
          <w:p w14:paraId="5A5B7850">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职称</w:t>
            </w:r>
          </w:p>
        </w:tc>
        <w:tc>
          <w:tcPr>
            <w:tcW w:w="1540" w:type="dxa"/>
            <w:noWrap w:val="0"/>
            <w:vAlign w:val="center"/>
          </w:tcPr>
          <w:p w14:paraId="15BD03D5">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拟任职务</w:t>
            </w:r>
          </w:p>
        </w:tc>
        <w:tc>
          <w:tcPr>
            <w:tcW w:w="1735" w:type="dxa"/>
            <w:noWrap w:val="0"/>
            <w:vAlign w:val="center"/>
          </w:tcPr>
          <w:p w14:paraId="072C746A">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持证名称</w:t>
            </w:r>
          </w:p>
        </w:tc>
        <w:tc>
          <w:tcPr>
            <w:tcW w:w="1890" w:type="dxa"/>
            <w:noWrap w:val="0"/>
            <w:vAlign w:val="center"/>
          </w:tcPr>
          <w:p w14:paraId="4139A765">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持证证号</w:t>
            </w:r>
          </w:p>
        </w:tc>
      </w:tr>
      <w:tr w14:paraId="7A7C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6" w:type="dxa"/>
            <w:noWrap w:val="0"/>
            <w:vAlign w:val="center"/>
          </w:tcPr>
          <w:p w14:paraId="7E90298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860" w:type="dxa"/>
            <w:noWrap w:val="0"/>
            <w:vAlign w:val="center"/>
          </w:tcPr>
          <w:p w14:paraId="5A570050">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664" w:type="dxa"/>
            <w:noWrap w:val="0"/>
            <w:vAlign w:val="center"/>
          </w:tcPr>
          <w:p w14:paraId="7271B4D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159" w:type="dxa"/>
            <w:noWrap w:val="0"/>
            <w:vAlign w:val="center"/>
          </w:tcPr>
          <w:p w14:paraId="1DA343BF">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540" w:type="dxa"/>
            <w:noWrap w:val="0"/>
            <w:vAlign w:val="center"/>
          </w:tcPr>
          <w:p w14:paraId="4EEDD52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735" w:type="dxa"/>
            <w:noWrap w:val="0"/>
            <w:vAlign w:val="center"/>
          </w:tcPr>
          <w:p w14:paraId="709322DD">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c>
          <w:tcPr>
            <w:tcW w:w="1890" w:type="dxa"/>
            <w:noWrap w:val="0"/>
            <w:vAlign w:val="center"/>
          </w:tcPr>
          <w:p w14:paraId="287F10DC">
            <w:pPr>
              <w:keepNext w:val="0"/>
              <w:keepLines w:val="0"/>
              <w:pageBreakBefore w:val="0"/>
              <w:kinsoku/>
              <w:wordWrap/>
              <w:overflowPunct/>
              <w:topLinePunct w:val="0"/>
              <w:autoSpaceDE/>
              <w:autoSpaceDN/>
              <w:bidi w:val="0"/>
              <w:snapToGrid/>
              <w:spacing w:line="440" w:lineRule="exact"/>
              <w:jc w:val="left"/>
              <w:textAlignment w:val="auto"/>
              <w:rPr>
                <w:rFonts w:hint="eastAsia" w:ascii="宋体" w:hAnsi="宋体" w:eastAsia="宋体" w:cs="宋体"/>
                <w:color w:val="auto"/>
                <w:sz w:val="21"/>
                <w:szCs w:val="21"/>
                <w:highlight w:val="none"/>
              </w:rPr>
            </w:pPr>
          </w:p>
        </w:tc>
      </w:tr>
    </w:tbl>
    <w:p w14:paraId="489D74A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3、标后约谈：</w:t>
      </w:r>
      <w:r>
        <w:rPr>
          <w:rFonts w:hint="eastAsia" w:ascii="宋体" w:hAnsi="宋体" w:eastAsia="宋体" w:cs="宋体"/>
          <w:color w:val="auto"/>
          <w:kern w:val="0"/>
          <w:sz w:val="21"/>
          <w:szCs w:val="21"/>
          <w:highlight w:val="none"/>
          <w:lang w:val="en-US" w:eastAsia="zh-CN" w:bidi="ar-SA"/>
        </w:rPr>
        <w:t>按照《重点工程建设约谈管理规定》执行。</w:t>
      </w:r>
      <w:r>
        <w:rPr>
          <w:rFonts w:hint="eastAsia" w:ascii="宋体" w:hAnsi="宋体" w:eastAsia="宋体" w:cs="宋体"/>
          <w:color w:val="auto"/>
          <w:sz w:val="21"/>
          <w:szCs w:val="21"/>
          <w:highlight w:val="none"/>
        </w:rPr>
        <w:t xml:space="preserve"> </w:t>
      </w:r>
    </w:p>
    <w:p w14:paraId="07D2F957">
      <w:pPr>
        <w:pStyle w:val="2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4、履约保证金：</w:t>
      </w:r>
      <w:r>
        <w:rPr>
          <w:rFonts w:hint="eastAsia" w:ascii="宋体" w:hAnsi="宋体" w:eastAsia="宋体" w:cs="宋体"/>
          <w:b/>
          <w:bCs/>
          <w:color w:val="auto"/>
          <w:sz w:val="21"/>
          <w:szCs w:val="21"/>
          <w:highlight w:val="none"/>
          <w:lang w:val="en-US" w:eastAsia="zh-CN"/>
        </w:rPr>
        <w:t>不收取</w:t>
      </w:r>
      <w:r>
        <w:rPr>
          <w:rFonts w:hint="eastAsia" w:ascii="宋体" w:hAnsi="宋体" w:eastAsia="宋体" w:cs="宋体"/>
          <w:color w:val="auto"/>
          <w:sz w:val="21"/>
          <w:szCs w:val="21"/>
          <w:highlight w:val="none"/>
        </w:rPr>
        <w:t>。</w:t>
      </w:r>
    </w:p>
    <w:p w14:paraId="5E8ECD2A">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5、合同签订：</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执行《市重点处合同管理办法》。</w:t>
      </w:r>
    </w:p>
    <w:p w14:paraId="2E5FFC0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6、前期手续办理：</w:t>
      </w:r>
      <w:r>
        <w:rPr>
          <w:rFonts w:hint="eastAsia" w:ascii="宋体" w:hAnsi="宋体" w:eastAsia="宋体" w:cs="宋体"/>
          <w:color w:val="auto"/>
          <w:sz w:val="21"/>
          <w:szCs w:val="21"/>
          <w:highlight w:val="none"/>
        </w:rPr>
        <w:t>合同签订后90日内配合发包人完成质量、安全报监和施工许可证办理，否则，每延期一天处罚承包人5000元/天的违约金（因发包人原因除外）。</w:t>
      </w:r>
    </w:p>
    <w:p w14:paraId="5F18B3E7">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7、监理人员费用考核：</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监理费总价最终结合投标人员到位数量来结算。即：投标总价/服务期（月）/投标人数=每个投标人员每月应得的费用，经现场考勤，少投入1人扣除1人应得费用（以委托人签字认可的考勤表为准）。</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后，如实际到岗人数不满足</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要求的，将按上述标准从监理费用中予以扣除。（各专业监理可结合项目的实施阶段经委托人签字认可后分期到岗）</w:t>
      </w:r>
    </w:p>
    <w:p w14:paraId="6FC5998E">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8、监理考核考勤：</w:t>
      </w:r>
    </w:p>
    <w:p w14:paraId="581232D4">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（1）人员考核：工程开工进场后，监理单位必须按</w:t>
      </w:r>
      <w:r>
        <w:rPr>
          <w:rFonts w:hint="eastAsia" w:ascii="宋体" w:hAnsi="宋体" w:eastAsia="宋体" w:cs="宋体"/>
          <w:color w:val="auto"/>
          <w:kern w:val="0"/>
          <w:sz w:val="21"/>
          <w:szCs w:val="21"/>
          <w:highlight w:val="none"/>
          <w:lang w:val="en-US" w:eastAsia="zh-CN" w:bidi="ar-SA"/>
        </w:rPr>
        <w:t>竞争性谈判文件和响应</w:t>
      </w:r>
      <w:r>
        <w:rPr>
          <w:rFonts w:hint="eastAsia" w:ascii="宋体" w:hAnsi="宋体" w:eastAsia="宋体" w:cs="宋体"/>
          <w:color w:val="auto"/>
          <w:kern w:val="0"/>
          <w:sz w:val="21"/>
          <w:szCs w:val="21"/>
          <w:highlight w:val="none"/>
          <w:lang w:bidi="ar-SA"/>
        </w:rPr>
        <w:t>承诺配备项目总监，总监代表、专业监理工程师、监理员等监理部关键岗位人员以监理单位任命文为准。未经发包人同意，不得更换上述人员。发包人将组织对上述人员进行业务能力考核，对未按</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文件配备或经考核不合格要求更换人员的，（从第一次监理例会进行计算时间）监理单位累计7日内必须整改调整到位。否则，对于总监和总监代表，按照2000元/人·天的违约金进行处罚，专业监理工程师、监理员按照1000元/人·天的违约金进行处罚。累计28日内未整改调整到位的，发包人有权终止合同，并提请相关行政主管部门进行</w:t>
      </w:r>
      <w:r>
        <w:rPr>
          <w:rFonts w:hint="eastAsia" w:ascii="宋体" w:hAnsi="宋体" w:eastAsia="宋体" w:cs="宋体"/>
          <w:color w:val="auto"/>
          <w:kern w:val="0"/>
          <w:sz w:val="21"/>
          <w:szCs w:val="21"/>
          <w:highlight w:val="none"/>
          <w:lang w:val="en-US" w:eastAsia="zh-CN" w:bidi="ar-SA"/>
        </w:rPr>
        <w:t>处理</w:t>
      </w:r>
      <w:r>
        <w:rPr>
          <w:rFonts w:hint="eastAsia" w:ascii="宋体" w:hAnsi="宋体" w:eastAsia="宋体" w:cs="宋体"/>
          <w:color w:val="auto"/>
          <w:kern w:val="0"/>
          <w:sz w:val="21"/>
          <w:szCs w:val="21"/>
          <w:highlight w:val="none"/>
          <w:lang w:bidi="ar-SA"/>
        </w:rPr>
        <w:t>。</w:t>
      </w:r>
    </w:p>
    <w:p w14:paraId="42120334">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（2）在第一次监理例会，监理单位针对</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承诺配备项目总监，监理单位为本项目配备的总监代表、专业监理工程师、监理员等监理部关键岗位人员必须全部到场参加，否则发包人有权终止合同，并提请相关行政主管部门</w:t>
      </w:r>
      <w:r>
        <w:rPr>
          <w:rFonts w:hint="eastAsia" w:ascii="宋体" w:hAnsi="宋体" w:eastAsia="宋体" w:cs="宋体"/>
          <w:color w:val="auto"/>
          <w:kern w:val="0"/>
          <w:sz w:val="21"/>
          <w:szCs w:val="21"/>
          <w:highlight w:val="none"/>
          <w:lang w:val="en-US" w:eastAsia="zh-CN" w:bidi="ar-SA"/>
        </w:rPr>
        <w:t>进行处理</w:t>
      </w:r>
      <w:r>
        <w:rPr>
          <w:rFonts w:hint="eastAsia" w:ascii="宋体" w:hAnsi="宋体" w:eastAsia="宋体" w:cs="宋体"/>
          <w:color w:val="auto"/>
          <w:kern w:val="0"/>
          <w:sz w:val="21"/>
          <w:szCs w:val="21"/>
          <w:highlight w:val="none"/>
          <w:lang w:bidi="ar-SA"/>
        </w:rPr>
        <w:t>。</w:t>
      </w:r>
    </w:p>
    <w:p w14:paraId="5518DFC9">
      <w:pPr>
        <w:keepNext w:val="0"/>
        <w:keepLines w:val="0"/>
        <w:pageBreakBefore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（3）在图纸交底会议，监理单位针对</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承诺配备项目总监，监理单位为本项目配备的总监代表、专业监理工程师、监理员等监理部关键岗位人员必须全部到场参加，否则发包人有权终止合同，并提请相关行政主管部门</w:t>
      </w:r>
      <w:r>
        <w:rPr>
          <w:rFonts w:hint="eastAsia" w:ascii="宋体" w:hAnsi="宋体" w:eastAsia="宋体" w:cs="宋体"/>
          <w:color w:val="auto"/>
          <w:kern w:val="0"/>
          <w:sz w:val="21"/>
          <w:szCs w:val="21"/>
          <w:highlight w:val="none"/>
          <w:lang w:val="en-US" w:eastAsia="zh-CN" w:bidi="ar-SA"/>
        </w:rPr>
        <w:t>进行处理</w:t>
      </w:r>
      <w:r>
        <w:rPr>
          <w:rFonts w:hint="eastAsia" w:ascii="宋体" w:hAnsi="宋体" w:eastAsia="宋体" w:cs="宋体"/>
          <w:color w:val="auto"/>
          <w:kern w:val="0"/>
          <w:sz w:val="21"/>
          <w:szCs w:val="21"/>
          <w:highlight w:val="none"/>
          <w:lang w:bidi="ar-SA"/>
        </w:rPr>
        <w:t>。</w:t>
      </w:r>
    </w:p>
    <w:p w14:paraId="2247723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color w:val="auto"/>
          <w:kern w:val="0"/>
          <w:sz w:val="21"/>
          <w:szCs w:val="21"/>
          <w:highlight w:val="none"/>
          <w:lang w:bidi="ar-SA"/>
        </w:rPr>
        <w:t>（4）人员考勤：①监理部所有管理人员上下班实行人脸识别电子考勤，人脸识别电子考勤系统设备必须与</w:t>
      </w:r>
      <w:r>
        <w:rPr>
          <w:rFonts w:hint="eastAsia" w:ascii="宋体" w:hAnsi="宋体" w:eastAsia="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bidi="ar-SA"/>
        </w:rPr>
        <w:t>现行使用的监管平台无缝对接。②监管平台设备及人脸识别电子考勤系统设备，监理人可以租赁或购买，但租赁或购买费用由监理人在</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报价时自行考虑，含在</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bidi="ar-SA"/>
        </w:rPr>
        <w:t>报价中，</w:t>
      </w:r>
      <w:r>
        <w:rPr>
          <w:rFonts w:hint="eastAsia" w:ascii="宋体" w:hAnsi="宋体" w:eastAsia="宋体" w:cs="宋体"/>
          <w:color w:val="auto"/>
          <w:kern w:val="0"/>
          <w:sz w:val="21"/>
          <w:szCs w:val="21"/>
          <w:highlight w:val="none"/>
          <w:lang w:val="en-US" w:eastAsia="zh-CN" w:bidi="ar-SA"/>
        </w:rPr>
        <w:t>采购人</w:t>
      </w:r>
      <w:r>
        <w:rPr>
          <w:rFonts w:hint="eastAsia" w:ascii="宋体" w:hAnsi="宋体" w:eastAsia="宋体" w:cs="宋体"/>
          <w:color w:val="auto"/>
          <w:kern w:val="0"/>
          <w:sz w:val="21"/>
          <w:szCs w:val="21"/>
          <w:highlight w:val="none"/>
          <w:lang w:bidi="ar-SA"/>
        </w:rPr>
        <w:t>将不再支付任何费用。③监管平台考勤范围为本项目监理部和项目部所有管理人员，监管平台信息及数据录入（包括质量、进度、安全、施工许可办理等）均由监理单位负责。</w:t>
      </w:r>
    </w:p>
    <w:p w14:paraId="3B76754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kern w:val="0"/>
          <w:sz w:val="21"/>
          <w:szCs w:val="21"/>
          <w:highlight w:val="none"/>
          <w:lang w:bidi="ar-SA"/>
        </w:rPr>
      </w:pPr>
      <w:r>
        <w:rPr>
          <w:rFonts w:hint="eastAsia" w:ascii="宋体" w:hAnsi="宋体" w:eastAsia="宋体" w:cs="宋体"/>
          <w:b/>
          <w:bCs/>
          <w:color w:val="auto"/>
          <w:kern w:val="0"/>
          <w:sz w:val="21"/>
          <w:szCs w:val="21"/>
          <w:highlight w:val="none"/>
          <w:lang w:val="en-US" w:eastAsia="zh-CN" w:bidi="ar-SA"/>
        </w:rPr>
        <w:t>根据施工实际需要安排，按照经批准的人员进场计划进行考勤。</w:t>
      </w:r>
      <w:r>
        <w:rPr>
          <w:rFonts w:hint="eastAsia" w:ascii="宋体" w:hAnsi="宋体" w:eastAsia="宋体" w:cs="宋体"/>
          <w:color w:val="auto"/>
          <w:kern w:val="0"/>
          <w:sz w:val="21"/>
          <w:szCs w:val="21"/>
          <w:highlight w:val="none"/>
          <w:lang w:bidi="ar-SA"/>
        </w:rPr>
        <w:t>总监及总监代表每月在岗时间不得少于20天，专业监理工程师、监理员每月均在岗。未按规定在岗履责的，对总监和总监代表处罚1000元/人·天的违约金，对专业监理工程师、监理员处罚1000元/人·天的违约金。监理部关键岗位人员离岗必须向发包人代表履行请假手续，若被相关部门日常检查和随机抽查中发现不在岗的，又未履行请假手续的，处罚5000元/人·次的违约金。</w:t>
      </w:r>
    </w:p>
    <w:p w14:paraId="0B9AF656">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9、日常履责管理</w:t>
      </w:r>
    </w:p>
    <w:p w14:paraId="2C2E6B9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、工作纪律</w:t>
      </w:r>
    </w:p>
    <w:p w14:paraId="24C5D71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工程项目开工后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应按时向建设单位提供监理规划、监理细则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总监、总监代表应常驻工程现场，根据施工内容可按投标承诺安排人员进退场，进退场人员报项目组备案纳入考勤。工作期间</w:t>
      </w:r>
      <w:r>
        <w:rPr>
          <w:rFonts w:hint="eastAsia" w:ascii="宋体" w:hAnsi="宋体" w:eastAsia="宋体" w:cs="宋体"/>
          <w:color w:val="auto"/>
          <w:sz w:val="21"/>
          <w:szCs w:val="21"/>
          <w:highlight w:val="none"/>
          <w:lang w:eastAsia="zh-CN"/>
        </w:rPr>
        <w:t>上下班应与施工单位同步，</w:t>
      </w:r>
      <w:r>
        <w:rPr>
          <w:rFonts w:hint="eastAsia" w:ascii="宋体" w:hAnsi="宋体" w:eastAsia="宋体" w:cs="宋体"/>
          <w:color w:val="auto"/>
          <w:sz w:val="21"/>
          <w:szCs w:val="21"/>
          <w:highlight w:val="none"/>
        </w:rPr>
        <w:t>不得无故离岗、迟到、早退、酗酒，检查中如有发现给予1000元/次处罚，工作期间酗酒的予以清退。</w:t>
      </w:r>
    </w:p>
    <w:p w14:paraId="2AF1374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应认真审核施工图，在施工图纸交底、会审时，提出图纸中各专业存在的错、漏、碰、缺等，并提出优化意见，及时协调图纸变更手续，不及时办理</w:t>
      </w:r>
      <w:r>
        <w:rPr>
          <w:rFonts w:hint="eastAsia" w:ascii="宋体" w:hAnsi="宋体" w:eastAsia="宋体" w:cs="宋体"/>
          <w:color w:val="auto"/>
          <w:sz w:val="21"/>
          <w:szCs w:val="21"/>
          <w:highlight w:val="none"/>
          <w:lang w:eastAsia="zh-CN"/>
        </w:rPr>
        <w:t>给予</w:t>
      </w:r>
      <w:r>
        <w:rPr>
          <w:rFonts w:hint="eastAsia" w:ascii="宋体" w:hAnsi="宋体" w:eastAsia="宋体" w:cs="宋体"/>
          <w:color w:val="auto"/>
          <w:sz w:val="21"/>
          <w:szCs w:val="21"/>
          <w:highlight w:val="none"/>
        </w:rPr>
        <w:t>2000元/次处罚。</w:t>
      </w:r>
    </w:p>
    <w:p w14:paraId="7FF0678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.现场配备必要的检测设备和仪器，</w:t>
      </w:r>
      <w:r>
        <w:rPr>
          <w:rFonts w:hint="eastAsia" w:ascii="宋体" w:hAnsi="宋体" w:eastAsia="宋体" w:cs="宋体"/>
          <w:color w:val="auto"/>
          <w:sz w:val="21"/>
          <w:szCs w:val="21"/>
          <w:highlight w:val="none"/>
        </w:rPr>
        <w:t>按职责做好见证取样、抽检工作；</w:t>
      </w:r>
      <w:r>
        <w:rPr>
          <w:rFonts w:hint="eastAsia" w:ascii="宋体" w:hAnsi="宋体" w:eastAsia="宋体" w:cs="宋体"/>
          <w:color w:val="auto"/>
          <w:sz w:val="21"/>
          <w:szCs w:val="21"/>
          <w:highlight w:val="none"/>
          <w:lang w:eastAsia="zh-CN"/>
        </w:rPr>
        <w:t>无设备和仪器处罚</w:t>
      </w:r>
      <w:r>
        <w:rPr>
          <w:rFonts w:hint="eastAsia" w:ascii="宋体" w:hAnsi="宋体" w:eastAsia="宋体" w:cs="宋体"/>
          <w:color w:val="auto"/>
          <w:sz w:val="21"/>
          <w:szCs w:val="21"/>
          <w:highlight w:val="none"/>
          <w:lang w:val="en-US" w:eastAsia="zh-CN"/>
        </w:rPr>
        <w:t>2000元，未做好见证取样或抽检处罚500元/次。</w:t>
      </w:r>
    </w:p>
    <w:p w14:paraId="0A729F5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审查第三方检测方案</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负责第三方检测过程中的协调</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报告运用</w:t>
      </w:r>
      <w:r>
        <w:rPr>
          <w:rFonts w:hint="eastAsia" w:ascii="宋体" w:hAnsi="宋体" w:eastAsia="宋体" w:cs="宋体"/>
          <w:color w:val="auto"/>
          <w:sz w:val="21"/>
          <w:szCs w:val="21"/>
          <w:highlight w:val="none"/>
          <w:lang w:eastAsia="zh-CN"/>
        </w:rPr>
        <w:t>，不审查或协调不力的处罚</w:t>
      </w:r>
      <w:r>
        <w:rPr>
          <w:rFonts w:hint="eastAsia" w:ascii="宋体" w:hAnsi="宋体" w:eastAsia="宋体" w:cs="宋体"/>
          <w:color w:val="auto"/>
          <w:sz w:val="21"/>
          <w:szCs w:val="21"/>
          <w:highlight w:val="none"/>
          <w:lang w:val="en-US" w:eastAsia="zh-CN"/>
        </w:rPr>
        <w:t>500元/次。</w:t>
      </w:r>
    </w:p>
    <w:p w14:paraId="33C12B0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定期召开监理例会，认真书写监理例会纪要并于监理例会后的24小时内下发例会纪要，不及时传发以上资料的一次处罚300元。监理日志填写内容齐全、真实、清晰、可追溯；监理月报应包括监理管理执行情况说明，质量、进度、安全控制情况评析等内容详实。每月3日前报上月监理月报至建设单位项目组审阅</w:t>
      </w:r>
      <w:r>
        <w:rPr>
          <w:rFonts w:hint="eastAsia" w:ascii="宋体" w:hAnsi="宋体" w:eastAsia="宋体" w:cs="宋体"/>
          <w:color w:val="auto"/>
          <w:sz w:val="21"/>
          <w:szCs w:val="21"/>
          <w:highlight w:val="none"/>
          <w:lang w:eastAsia="zh-CN"/>
        </w:rPr>
        <w:t>，日志、月报内容不详实或超期处罚</w:t>
      </w:r>
      <w:r>
        <w:rPr>
          <w:rFonts w:hint="eastAsia" w:ascii="宋体" w:hAnsi="宋体" w:eastAsia="宋体" w:cs="宋体"/>
          <w:color w:val="auto"/>
          <w:sz w:val="21"/>
          <w:szCs w:val="21"/>
          <w:highlight w:val="none"/>
          <w:lang w:val="en-US" w:eastAsia="zh-CN"/>
        </w:rPr>
        <w:t>500元/次。</w:t>
      </w:r>
    </w:p>
    <w:p w14:paraId="4D85ED9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应公正开展监理工作，不得故意刁难施工单位，现场验收不得拖延，工程资料应及时签认，一经发现违反规定，处罚</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00元</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w:t>
      </w:r>
    </w:p>
    <w:p w14:paraId="3C9DCB4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不得向施工单位推销材料、介绍队伍、索取钱物、报销费用，不得接受施工单位、供货商的吃请或接受回扣</w:t>
      </w:r>
      <w:r>
        <w:rPr>
          <w:rFonts w:hint="eastAsia" w:ascii="宋体" w:hAnsi="宋体" w:eastAsia="宋体" w:cs="宋体"/>
          <w:color w:val="auto"/>
          <w:sz w:val="21"/>
          <w:szCs w:val="21"/>
          <w:highlight w:val="none"/>
          <w:lang w:eastAsia="zh-CN"/>
        </w:rPr>
        <w:t>，一经发现处罚</w:t>
      </w:r>
      <w:r>
        <w:rPr>
          <w:rFonts w:hint="eastAsia" w:ascii="宋体" w:hAnsi="宋体" w:eastAsia="宋体" w:cs="宋体"/>
          <w:color w:val="auto"/>
          <w:sz w:val="21"/>
          <w:szCs w:val="21"/>
          <w:highlight w:val="none"/>
          <w:lang w:val="en-US" w:eastAsia="zh-CN"/>
        </w:rPr>
        <w:t>3000元，并记入“黑名单”。</w:t>
      </w:r>
    </w:p>
    <w:p w14:paraId="3444D9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监理人员在服务期内如果有重大失职，造成经济损失的</w:t>
      </w:r>
      <w:r>
        <w:rPr>
          <w:rFonts w:hint="eastAsia" w:ascii="宋体" w:hAnsi="宋体" w:eastAsia="宋体" w:cs="宋体"/>
          <w:color w:val="auto"/>
          <w:sz w:val="21"/>
          <w:szCs w:val="21"/>
          <w:highlight w:val="none"/>
          <w:lang w:eastAsia="zh-CN"/>
        </w:rPr>
        <w:t>监理公司</w:t>
      </w:r>
      <w:r>
        <w:rPr>
          <w:rFonts w:hint="eastAsia" w:ascii="宋体" w:hAnsi="宋体" w:eastAsia="宋体" w:cs="宋体"/>
          <w:color w:val="auto"/>
          <w:sz w:val="21"/>
          <w:szCs w:val="21"/>
          <w:highlight w:val="none"/>
        </w:rPr>
        <w:t>应予以赔偿损失。不准泄露与工程有关的技术和机密，对建设单位造成损失的按照合同有关规定执行</w:t>
      </w:r>
      <w:r>
        <w:rPr>
          <w:rFonts w:hint="eastAsia" w:ascii="宋体" w:hAnsi="宋体" w:eastAsia="宋体" w:cs="宋体"/>
          <w:color w:val="auto"/>
          <w:sz w:val="21"/>
          <w:szCs w:val="21"/>
          <w:highlight w:val="none"/>
          <w:lang w:eastAsia="zh-CN"/>
        </w:rPr>
        <w:t>，并记入黑名单。</w:t>
      </w:r>
    </w:p>
    <w:p w14:paraId="3458300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、质量控制</w:t>
      </w:r>
    </w:p>
    <w:p w14:paraId="21897E8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审核各专业施工方案，使之符合规范及标准强制性条文的规定，并监督施工单位按批准的方案施工，发现问题应及时解决。</w:t>
      </w:r>
      <w:r>
        <w:rPr>
          <w:rFonts w:hint="eastAsia" w:ascii="宋体" w:hAnsi="宋体" w:eastAsia="宋体" w:cs="宋体"/>
          <w:color w:val="auto"/>
          <w:sz w:val="21"/>
          <w:szCs w:val="21"/>
          <w:highlight w:val="none"/>
          <w:lang w:eastAsia="zh-CN"/>
        </w:rPr>
        <w:t>发现审核后的施工方案有</w:t>
      </w:r>
      <w:r>
        <w:rPr>
          <w:rFonts w:hint="eastAsia" w:ascii="宋体" w:hAnsi="宋体" w:eastAsia="宋体" w:cs="宋体"/>
          <w:color w:val="auto"/>
          <w:sz w:val="21"/>
          <w:szCs w:val="21"/>
          <w:highlight w:val="none"/>
        </w:rPr>
        <w:t>严重审查错误而不及时处理的，一次罚款1000元。</w:t>
      </w:r>
    </w:p>
    <w:p w14:paraId="289402C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基础放线及挖槽时监理部应按规划红线及甲方提供的坐标基准点、标高进行复核验线并做详细记录，发现偏差应及时纠正。如在竣工验收时发现放线偏差；上部结构轴线偏差在允许范围之外，造成损失的，对监理公司处以监理总费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0%的罚款</w:t>
      </w:r>
      <w:r>
        <w:rPr>
          <w:rFonts w:hint="eastAsia" w:ascii="宋体" w:hAnsi="宋体" w:eastAsia="宋体" w:cs="宋体"/>
          <w:color w:val="auto"/>
          <w:sz w:val="21"/>
          <w:szCs w:val="21"/>
          <w:highlight w:val="none"/>
          <w:lang w:eastAsia="zh-CN"/>
        </w:rPr>
        <w:t>，并记入“黑名单”。</w:t>
      </w:r>
    </w:p>
    <w:p w14:paraId="4D9F124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材料进场验收手续齐全，质量证明资料与实物核验符合设计及规范要求。由于发现不及时或发现未经批准的材料使用，监理不采取措施制止的，一次处罚1000元。</w:t>
      </w:r>
    </w:p>
    <w:p w14:paraId="28A4BD4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现场存在的质量问题、安全隐患应及时发现并及时发出整改通知单。施工中存在质量问题，能够及时发现并进行处理的，及时安排处理并复查，质量问题不得隐瞒并私自处理；否则发现一次处罚3000元。经验收合格的工程，</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不得再有质量问题。</w:t>
      </w:r>
    </w:p>
    <w:p w14:paraId="480E705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监理单位对各种质量检验报告单、中间交工证书符合要求的及时签认；对施工单位的报验的关键部位或工序要及时进行验收，凡未履行签字验收程序就进行下道施工的发现一次处罚2000元。</w:t>
      </w:r>
    </w:p>
    <w:p w14:paraId="35E701F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6.各级巡查检查中对现场管理混乱、观感质量差的处罚1000元/次；检查中发现</w:t>
      </w:r>
      <w:r>
        <w:rPr>
          <w:rFonts w:hint="eastAsia" w:ascii="宋体" w:hAnsi="宋体" w:eastAsia="宋体" w:cs="宋体"/>
          <w:color w:val="auto"/>
          <w:sz w:val="21"/>
          <w:szCs w:val="21"/>
          <w:highlight w:val="none"/>
          <w:lang w:eastAsia="zh-CN"/>
        </w:rPr>
        <w:t>未按图纸及《规范》施工，</w:t>
      </w:r>
      <w:r>
        <w:rPr>
          <w:rFonts w:hint="eastAsia" w:ascii="宋体" w:hAnsi="宋体" w:eastAsia="宋体" w:cs="宋体"/>
          <w:color w:val="auto"/>
          <w:sz w:val="21"/>
          <w:szCs w:val="21"/>
          <w:highlight w:val="none"/>
          <w:lang w:val="en-US" w:eastAsia="zh-CN"/>
        </w:rPr>
        <w:t>监理理应发现而未发现，视为监理失误，处罚违约金1000--10000元/次；上述行为虽被监理人员发现但未采取有效措施，听之任之的，处罚违约金2000--20000元。情节严重的记入“黑名单”。</w:t>
      </w:r>
    </w:p>
    <w:p w14:paraId="6E21E6F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人员在施工阶段对关键部位和关键工序的施工质量实施全过程跟班旁站，旁站时发现问题要及时予以纠正。当发现施工出现了安全隐患、工程质量出现的缺陷可能引发工程质量事故时，应口头要求暂停施工并采取录相、摄影等手段予以记录，立即向总监理工程师汇报，由总监理工程师签发《暂停施工令》，并将所发现问题及处理过程记入监理日志。建设单位抽查发现旁站不到位，一次处罚1000元。</w:t>
      </w:r>
    </w:p>
    <w:p w14:paraId="3BE4FDF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、进度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投资控制</w:t>
      </w:r>
    </w:p>
    <w:p w14:paraId="0773F140">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监理单位须配合施工进度,根据总进度计划,要求施工单位提出各分部、分项工程的季度、月度的具体计划安排,组织各专业监理工程师审查其可行性并提出意见，如不审查处罚1000元/次。</w:t>
      </w:r>
    </w:p>
    <w:p w14:paraId="36C04F6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为了配合施工单位按计划完成施工任务，在施工过程中，监理人员应加强过程检查，对违反施工规范、与图纸不符、有严重错误的问题敢于指出并要求整改，必要时签发监理通知，以减少工序验收时返工。</w:t>
      </w:r>
    </w:p>
    <w:p w14:paraId="2BAB592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监理工程师审核施工方提交的已完成工程量月报,对设计变更及工地洽商等造成的工程量增减变化情况进行审查,不符合质量要求不予签认，对</w:t>
      </w: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z w:val="21"/>
          <w:szCs w:val="21"/>
          <w:highlight w:val="none"/>
        </w:rPr>
        <w:t>滞后提出原因分析并督促采取补救措施，及时汇报业主方。</w:t>
      </w:r>
    </w:p>
    <w:p w14:paraId="17F02411">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行业主、监理、跟审和施工单位四方共同计量方式，严格控制工程量清单数量，做到及时、准确、不漏计、不重计。为保证请款资料的完整性、准确性，采取进度款支付联合会审逐级签认，若监理单位出现漏签、错签、代签的处罚2000元/次。</w:t>
      </w:r>
    </w:p>
    <w:p w14:paraId="53DDED92">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、安全文明生产、扬尘控制</w:t>
      </w:r>
    </w:p>
    <w:p w14:paraId="293AB5B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监理部应定期组织现场安全文明生产检查，对检查发现的问题应及时</w:t>
      </w:r>
      <w:r>
        <w:rPr>
          <w:rFonts w:hint="eastAsia" w:ascii="宋体" w:hAnsi="宋体" w:eastAsia="宋体" w:cs="宋体"/>
          <w:color w:val="auto"/>
          <w:sz w:val="21"/>
          <w:szCs w:val="21"/>
          <w:highlight w:val="none"/>
          <w:lang w:eastAsia="zh-CN"/>
        </w:rPr>
        <w:t>督促</w:t>
      </w:r>
      <w:r>
        <w:rPr>
          <w:rFonts w:hint="eastAsia" w:ascii="宋体" w:hAnsi="宋体" w:eastAsia="宋体" w:cs="宋体"/>
          <w:color w:val="auto"/>
          <w:sz w:val="21"/>
          <w:szCs w:val="21"/>
          <w:highlight w:val="none"/>
        </w:rPr>
        <w:t>施工单位整改，并将整改结果上报建设单位。</w:t>
      </w:r>
    </w:p>
    <w:p w14:paraId="4C82A937">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督促施工单位严格执行大气污染防治措施，做好台账，若出现防治措施不到位，被巡查、检查发现的，按重点处大气污染防治规定处罚。</w:t>
      </w:r>
    </w:p>
    <w:p w14:paraId="74E0235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做好日常安全监护及督促，对发现下述情况，监理单位不按照要求提出整改听之任之的，对监理单位处罚1000元/项。</w:t>
      </w:r>
    </w:p>
    <w:p w14:paraId="2349C550">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（1）工程标牌未设置，或设置位置不醒目，破损未及时修复的。</w:t>
      </w:r>
    </w:p>
    <w:p w14:paraId="0728D4A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（2）施工单位未建立安全生产责任制，未落实安全生产的组织保证体系，安全员缺岗或不到位；施工单位安全管理台帐未及时建立</w:t>
      </w:r>
      <w:r>
        <w:rPr>
          <w:rFonts w:hint="eastAsia" w:ascii="宋体" w:hAnsi="宋体" w:eastAsia="宋体" w:cs="宋体"/>
          <w:color w:val="auto"/>
          <w:sz w:val="21"/>
          <w:szCs w:val="21"/>
          <w:highlight w:val="none"/>
          <w:lang w:eastAsia="zh-CN"/>
        </w:rPr>
        <w:t>或不</w:t>
      </w:r>
      <w:r>
        <w:rPr>
          <w:rFonts w:hint="eastAsia" w:ascii="宋体" w:hAnsi="宋体" w:eastAsia="宋体" w:cs="宋体"/>
          <w:color w:val="auto"/>
          <w:sz w:val="21"/>
          <w:szCs w:val="21"/>
          <w:highlight w:val="none"/>
        </w:rPr>
        <w:t>完善，未对施工作业人员进行安全生产教育或分部分项工程</w:t>
      </w:r>
      <w:r>
        <w:rPr>
          <w:rFonts w:hint="eastAsia" w:ascii="宋体" w:hAnsi="宋体" w:eastAsia="宋体" w:cs="宋体"/>
          <w:color w:val="auto"/>
          <w:sz w:val="21"/>
          <w:szCs w:val="21"/>
          <w:highlight w:val="none"/>
          <w:lang w:eastAsia="zh-CN"/>
        </w:rPr>
        <w:t>未进行</w:t>
      </w:r>
      <w:r>
        <w:rPr>
          <w:rFonts w:hint="eastAsia" w:ascii="宋体" w:hAnsi="宋体" w:eastAsia="宋体" w:cs="宋体"/>
          <w:color w:val="auto"/>
          <w:sz w:val="21"/>
          <w:szCs w:val="21"/>
          <w:highlight w:val="none"/>
        </w:rPr>
        <w:t>安全技术交底，施工单位特种作业人员未持证上岗。</w:t>
      </w:r>
    </w:p>
    <w:p w14:paraId="3A19F6C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（3）施工现场消防设施未按要求配置，施工脚手架未按规范搭设、报验不及时及未能满足安全防护要求的，现场安全帽、安全网、安全带等未按要求佩带或配置的。</w:t>
      </w:r>
    </w:p>
    <w:p w14:paraId="09AC65D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（4）施工现场扬尘、高空抛物或从高处倾倒物体、随意倾倒垃圾、损坏设施不及时修复的。</w:t>
      </w:r>
    </w:p>
    <w:p w14:paraId="440BB7F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（5）外墙脚手架未保持整洁、美观，发生破损，钢管、扣件、栏杆颜色标识不清楚，围档及周边道路、工地出入口未保持清洁，绿化、广告、灯箱等发生破损未及时修复的。</w:t>
      </w:r>
    </w:p>
    <w:p w14:paraId="0559607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429B6CB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（7）施工现场成品、半成品及原材料未按规定堆放的。</w:t>
      </w:r>
    </w:p>
    <w:p w14:paraId="77E5473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3ABBC9C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（9）发现生活区、职工集体宿舍、食堂违规使用电器，电线私拉乱接及未配设防火设备的。</w:t>
      </w:r>
    </w:p>
    <w:p w14:paraId="53D6B6F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、监理合同</w:t>
      </w:r>
      <w:r>
        <w:rPr>
          <w:rFonts w:hint="eastAsia" w:ascii="宋体" w:hAnsi="宋体" w:eastAsia="宋体" w:cs="宋体"/>
          <w:color w:val="auto"/>
          <w:sz w:val="21"/>
          <w:szCs w:val="21"/>
          <w:highlight w:val="none"/>
          <w:lang w:eastAsia="zh-CN"/>
        </w:rPr>
        <w:t>补充</w:t>
      </w:r>
      <w:r>
        <w:rPr>
          <w:rFonts w:hint="eastAsia" w:ascii="宋体" w:hAnsi="宋体" w:eastAsia="宋体" w:cs="宋体"/>
          <w:color w:val="auto"/>
          <w:sz w:val="21"/>
          <w:szCs w:val="21"/>
          <w:highlight w:val="none"/>
        </w:rPr>
        <w:t>条款</w:t>
      </w:r>
    </w:p>
    <w:p w14:paraId="37B858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单位工程质量未达到施工合同约定质量标准，每出现一项扣减监理费用人民币10000元，依次类推。</w:t>
      </w:r>
    </w:p>
    <w:p w14:paraId="5DA130F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因监理服务不及时造成工期延误每天扣减监理费用人民币500元。</w:t>
      </w:r>
    </w:p>
    <w:p w14:paraId="5DEB017C">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因监理责任造成的工程质量返工，</w:t>
      </w:r>
      <w:r>
        <w:rPr>
          <w:rFonts w:hint="eastAsia" w:ascii="宋体" w:hAnsi="宋体" w:eastAsia="宋体" w:cs="宋体"/>
          <w:color w:val="auto"/>
          <w:sz w:val="21"/>
          <w:szCs w:val="21"/>
          <w:highlight w:val="none"/>
          <w:lang w:eastAsia="zh-CN"/>
        </w:rPr>
        <w:t>对监理单位</w:t>
      </w:r>
      <w:r>
        <w:rPr>
          <w:rFonts w:hint="eastAsia" w:ascii="宋体" w:hAnsi="宋体" w:eastAsia="宋体" w:cs="宋体"/>
          <w:color w:val="auto"/>
          <w:sz w:val="21"/>
          <w:szCs w:val="21"/>
          <w:highlight w:val="none"/>
        </w:rPr>
        <w:t>按返工损失</w:t>
      </w:r>
      <w:r>
        <w:rPr>
          <w:rFonts w:hint="eastAsia" w:ascii="宋体" w:hAnsi="宋体" w:eastAsia="宋体" w:cs="宋体"/>
          <w:color w:val="auto"/>
          <w:sz w:val="21"/>
          <w:szCs w:val="21"/>
          <w:highlight w:val="none"/>
          <w:lang w:eastAsia="zh-CN"/>
        </w:rPr>
        <w:t>总额</w:t>
      </w:r>
      <w:r>
        <w:rPr>
          <w:rFonts w:hint="eastAsia" w:ascii="宋体" w:hAnsi="宋体" w:eastAsia="宋体" w:cs="宋体"/>
          <w:color w:val="auto"/>
          <w:sz w:val="21"/>
          <w:szCs w:val="21"/>
          <w:highlight w:val="none"/>
        </w:rPr>
        <w:t>的10%</w:t>
      </w:r>
      <w:r>
        <w:rPr>
          <w:rFonts w:hint="eastAsia" w:ascii="宋体" w:hAnsi="宋体" w:eastAsia="宋体" w:cs="宋体"/>
          <w:color w:val="auto"/>
          <w:sz w:val="21"/>
          <w:szCs w:val="21"/>
          <w:highlight w:val="none"/>
          <w:lang w:eastAsia="zh-CN"/>
        </w:rPr>
        <w:t>给予处罚</w:t>
      </w:r>
      <w:r>
        <w:rPr>
          <w:rFonts w:hint="eastAsia" w:ascii="宋体" w:hAnsi="宋体" w:eastAsia="宋体" w:cs="宋体"/>
          <w:color w:val="auto"/>
          <w:sz w:val="21"/>
          <w:szCs w:val="21"/>
          <w:highlight w:val="none"/>
        </w:rPr>
        <w:t>。</w:t>
      </w:r>
    </w:p>
    <w:p w14:paraId="2ECA2CF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如监理人员与施工单位串通弄虚作假，降低工程质量，将不合格材料按照合格签字的，给委托人造成损失。视其情节轻重，扣减监理费用10000元—30000元</w:t>
      </w:r>
      <w:r>
        <w:rPr>
          <w:rFonts w:hint="eastAsia" w:ascii="宋体" w:hAnsi="宋体" w:eastAsia="宋体" w:cs="宋体"/>
          <w:color w:val="auto"/>
          <w:sz w:val="21"/>
          <w:szCs w:val="21"/>
          <w:highlight w:val="none"/>
          <w:lang w:eastAsia="zh-CN"/>
        </w:rPr>
        <w:t>，并追究经济法律责任。</w:t>
      </w:r>
    </w:p>
    <w:p w14:paraId="2702869B">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9.5.</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若是监理人员与施工单位串通弄虚作假，签发不实的经济和工期签证，给委托人造成损失。视其情节轻重，扣减监理费用10000元—20000元</w:t>
      </w:r>
      <w:r>
        <w:rPr>
          <w:rFonts w:hint="eastAsia" w:ascii="宋体" w:hAnsi="宋体" w:eastAsia="宋体" w:cs="宋体"/>
          <w:color w:val="auto"/>
          <w:sz w:val="21"/>
          <w:szCs w:val="21"/>
          <w:highlight w:val="none"/>
          <w:lang w:eastAsia="zh-CN"/>
        </w:rPr>
        <w:t>，并追究经济法律责任。</w:t>
      </w:r>
    </w:p>
    <w:p w14:paraId="733063A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9.6</w:t>
      </w:r>
      <w:r>
        <w:rPr>
          <w:rFonts w:hint="eastAsia" w:ascii="宋体" w:hAnsi="宋体" w:eastAsia="宋体" w:cs="宋体"/>
          <w:color w:val="auto"/>
          <w:sz w:val="21"/>
          <w:szCs w:val="21"/>
          <w:highlight w:val="none"/>
        </w:rPr>
        <w:t>、其他</w:t>
      </w:r>
    </w:p>
    <w:p w14:paraId="6BD5DD3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项目组</w:t>
      </w:r>
      <w:r>
        <w:rPr>
          <w:rFonts w:hint="eastAsia" w:ascii="宋体" w:hAnsi="宋体" w:eastAsia="宋体" w:cs="宋体"/>
          <w:color w:val="auto"/>
          <w:sz w:val="21"/>
          <w:szCs w:val="21"/>
          <w:highlight w:val="none"/>
          <w:lang w:eastAsia="zh-CN"/>
        </w:rPr>
        <w:t>、业主代表</w:t>
      </w:r>
      <w:r>
        <w:rPr>
          <w:rFonts w:hint="eastAsia" w:ascii="宋体" w:hAnsi="宋体" w:eastAsia="宋体" w:cs="宋体"/>
          <w:color w:val="auto"/>
          <w:sz w:val="21"/>
          <w:szCs w:val="21"/>
          <w:highlight w:val="none"/>
        </w:rPr>
        <w:t>将严格按此要求进行检查，并对监理单位进行考核。</w:t>
      </w:r>
      <w:r>
        <w:rPr>
          <w:rFonts w:hint="eastAsia" w:ascii="宋体" w:hAnsi="宋体" w:eastAsia="宋体" w:cs="宋体"/>
          <w:color w:val="auto"/>
          <w:sz w:val="21"/>
          <w:szCs w:val="21"/>
          <w:highlight w:val="none"/>
          <w:lang w:val="en-US" w:eastAsia="zh-CN"/>
        </w:rPr>
        <w:t>所有处罚均函告监理公司并在处网站公布。</w:t>
      </w:r>
    </w:p>
    <w:p w14:paraId="1A04ED2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w:t>
      </w:r>
      <w:r>
        <w:rPr>
          <w:rFonts w:hint="eastAsia" w:ascii="宋体" w:hAnsi="宋体" w:eastAsia="宋体" w:cs="宋体"/>
          <w:b/>
          <w:bCs/>
          <w:color w:val="auto"/>
          <w:sz w:val="21"/>
          <w:szCs w:val="21"/>
          <w:highlight w:val="none"/>
          <w:lang w:val="en-US" w:eastAsia="zh-CN"/>
        </w:rPr>
        <w:t>滁州市建设领域</w:t>
      </w:r>
      <w:r>
        <w:rPr>
          <w:rFonts w:hint="eastAsia" w:ascii="宋体" w:hAnsi="宋体" w:eastAsia="宋体" w:cs="宋体"/>
          <w:b/>
          <w:bCs/>
          <w:color w:val="auto"/>
          <w:sz w:val="21"/>
          <w:szCs w:val="21"/>
          <w:highlight w:val="none"/>
        </w:rPr>
        <w:t>农民工工资管理</w:t>
      </w:r>
    </w:p>
    <w:p w14:paraId="348A1576">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10.1 </w:t>
      </w:r>
      <w:r>
        <w:rPr>
          <w:rFonts w:hint="eastAsia" w:ascii="宋体" w:hAnsi="宋体" w:eastAsia="宋体" w:cs="宋体"/>
          <w:color w:val="auto"/>
          <w:sz w:val="21"/>
          <w:szCs w:val="21"/>
          <w:highlight w:val="none"/>
        </w:rPr>
        <w:t>未尽事宜，按《滁州市建设领域农民工工资管理暂行办法》（滁人社发〔2018〕215号）执行。</w:t>
      </w:r>
    </w:p>
    <w:p w14:paraId="726DD9F0">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11、禁止条款：</w:t>
      </w:r>
      <w:r>
        <w:rPr>
          <w:rFonts w:hint="eastAsia" w:ascii="宋体" w:hAnsi="宋体" w:eastAsia="宋体" w:cs="宋体"/>
          <w:color w:val="auto"/>
          <w:sz w:val="21"/>
          <w:szCs w:val="21"/>
          <w:highlight w:val="none"/>
        </w:rPr>
        <w:t>严格执行滁州市重点处《工程建设十六条禁令》；同时不得与施工单位同吃同住；不得将罚款、差旅费及相关费用转嫁给施工单位；不得代替施工单位整理相关施工资料及相关有偿服务；不得以监理费支付等为由拒绝履行监理服务，如有发现，委托人有权立即予以清退出场，终止合同，并另行委托同等资质的监理单位完善后续服务。</w:t>
      </w:r>
    </w:p>
    <w:p w14:paraId="192BD890">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12、农民工工资支付</w:t>
      </w:r>
    </w:p>
    <w:p w14:paraId="475323D8">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承包人应严格遵守《政府投资工程农民工工资信访管理办法（试行）》的相关规定。</w:t>
      </w:r>
    </w:p>
    <w:p w14:paraId="3BD2580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到市重点处上访，滞留时间半个工作日（不足半个工作日以半个工作日计算），工程款支付比例在30%-40%（含）的，按每人每半个工作日200元的标准给予处罚，每增加工程款支付比例10%，每人每半个工作日处罚标准增加100元，依此类推。</w:t>
      </w:r>
    </w:p>
    <w:p w14:paraId="52CACE3D">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赴市政府上访，滞留时间半个工作日（不足半个工作日以半个工作日计算），工程款支付比例在30%-40%（含）的，按每人每半个工作日400元的标准给予处罚，每增加工程款支付比例10%，每人每半个工作日处罚标准增加200元，依此类推。</w:t>
      </w:r>
    </w:p>
    <w:p w14:paraId="5575412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凡赴省政府上访，滞留时间半个工作日（不足半个工作日以半个工作日计算），工程款支付比例在30%-40%（含）的，按每人每半个工作日600元的标准给予处罚，每增加工程款支付比例10%，每人每半个工作日处罚标准增加300元，依此类推。</w:t>
      </w:r>
    </w:p>
    <w:p w14:paraId="7603E1D9">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13、工地围挡公益广告设置基本要求</w:t>
      </w:r>
    </w:p>
    <w:p w14:paraId="1689788F">
      <w:pPr>
        <w:pStyle w:val="2"/>
        <w:keepNext w:val="0"/>
        <w:keepLines w:val="0"/>
        <w:pageBreakBefore w:val="0"/>
        <w:kinsoku/>
        <w:wordWrap/>
        <w:overflowPunct/>
        <w:topLinePunct w:val="0"/>
        <w:autoSpaceDE/>
        <w:autoSpaceDN/>
        <w:bidi w:val="0"/>
        <w:adjustRightInd/>
        <w:snapToGrid/>
        <w:spacing w:after="0" w:afterLines="0" w:line="44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按照项目所在地现行规范执行</w:t>
      </w:r>
      <w:r>
        <w:rPr>
          <w:rFonts w:hint="eastAsia" w:ascii="宋体" w:hAnsi="宋体" w:eastAsia="宋体" w:cs="宋体"/>
          <w:color w:val="auto"/>
          <w:sz w:val="21"/>
          <w:szCs w:val="21"/>
          <w:highlight w:val="none"/>
        </w:rPr>
        <w:t>。</w:t>
      </w:r>
    </w:p>
    <w:p w14:paraId="06F09E3F">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、滁州市建设工程及储备用地围挡整治提升方案</w:t>
      </w:r>
    </w:p>
    <w:p w14:paraId="26FD233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执行《滁州市建筑工地围挡提档升级标准》的通知（建质﹝2022﹞34号文）</w:t>
      </w:r>
    </w:p>
    <w:p w14:paraId="00DD9A72">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、文明施工要求</w:t>
      </w:r>
    </w:p>
    <w:p w14:paraId="6510168F">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（1）公共环境</w:t>
      </w:r>
    </w:p>
    <w:p w14:paraId="00CAD12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①建筑工地采用砌体、钢结构或彩钢夹芯板等，不得使用彩钢板封闭管理，高度不低于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米；储备用地、路面施工应一律设置建筑围墙进行遮挡。环境卫生干净整洁，围墙内外无乱堆放现象，无生活垃圾；施工现场标识明显，四周设置围墙、围挡，并符合标准；施工车辆有硬化的进出通道和冲洗设备，无抛洒和污染路面现象。</w:t>
      </w:r>
    </w:p>
    <w:p w14:paraId="17DDF3D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场内设有不少于15米硬化面，车辆进出工地实行密闭运输，有车辆冲洗平台和冲洗设备、临时厕所、垃圾收集容器、污水处理排放系统、降尘设备等设施；场内干净整洁，机械设备、物料等摆放有序，安全施工措施到位，文明施工氛围浓厚。能够开展文明工地创建，施工噪音、粉尘等达到国家环保要求。</w:t>
      </w:r>
    </w:p>
    <w:p w14:paraId="594C4A39">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（2）公益宣传</w:t>
      </w:r>
    </w:p>
    <w:p w14:paraId="4B474DB3">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运用建筑围挡宣传展示社会主义核心价值观12个主题词、市民文明行为规范，及时更新中宣部、中央文明办发布的“讲文明树新风”、“图说我们的价值观”通稿作品以及本市自创的公益广告（建筑围挡无破墙开洞现象，公益广告无污染、破旧现象）。</w:t>
      </w:r>
    </w:p>
    <w:p w14:paraId="231C439C">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②公益广告展示面积占围挡总面积的比例不少于50%，且公益广告要与商业广告穿插展示（每3块广告中必须要有1块公益广告），且单面围挡墙体均能看到公益宣传。步行30米，达到50%面积比例。 </w:t>
      </w:r>
    </w:p>
    <w:p w14:paraId="1FBD7978">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、重要要求</w:t>
      </w:r>
    </w:p>
    <w:p w14:paraId="2790832B">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有下列情况之一的，</w:t>
      </w:r>
      <w:r>
        <w:rPr>
          <w:rFonts w:hint="eastAsia" w:ascii="宋体" w:hAnsi="宋体" w:eastAsia="宋体" w:cs="宋体"/>
          <w:b/>
          <w:bCs/>
          <w:color w:val="auto"/>
          <w:kern w:val="0"/>
          <w:sz w:val="21"/>
          <w:szCs w:val="21"/>
          <w:highlight w:val="none"/>
          <w:lang w:val="en-US" w:eastAsia="zh-CN"/>
        </w:rPr>
        <w:t>采购人</w:t>
      </w:r>
      <w:r>
        <w:rPr>
          <w:rFonts w:hint="eastAsia" w:ascii="宋体" w:hAnsi="宋体" w:eastAsia="宋体" w:cs="宋体"/>
          <w:b/>
          <w:bCs/>
          <w:color w:val="auto"/>
          <w:kern w:val="0"/>
          <w:sz w:val="21"/>
          <w:szCs w:val="21"/>
          <w:highlight w:val="none"/>
        </w:rPr>
        <w:t>有权终止合同：</w:t>
      </w:r>
    </w:p>
    <w:p w14:paraId="5B94D22C">
      <w:pPr>
        <w:keepNext w:val="0"/>
        <w:keepLines w:val="0"/>
        <w:pageBreakBefore w:val="0"/>
        <w:widowControl/>
        <w:tabs>
          <w:tab w:val="left" w:pos="0"/>
        </w:tabs>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（1）在第一次监理例会，监理单位针对投标承诺配备项目总监</w:t>
      </w:r>
      <w:r>
        <w:rPr>
          <w:rFonts w:hint="eastAsia" w:ascii="宋体" w:hAnsi="宋体" w:eastAsia="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以监理单位任命文为准</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总监代表、专业监理工程师、监理员等监理部关键岗位人员必须全部到场参加；</w:t>
      </w:r>
    </w:p>
    <w:p w14:paraId="3AF56418">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（2）在图纸交底会议，监理单位针对投标承诺配备项目总监和以监理单位任命文为准的总监代表、专业监理工程师、监理员等监理部关键岗位人员必须全部到场参加；</w:t>
      </w:r>
    </w:p>
    <w:p w14:paraId="66AAD6DA">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（3）发包人组织对总监进行业务能力考核，经考核不合格要求更换人员，且更换人员考核依然不合格的；</w:t>
      </w:r>
    </w:p>
    <w:p w14:paraId="4AD9AE0F">
      <w:pPr>
        <w:keepNext w:val="0"/>
        <w:keepLines w:val="0"/>
        <w:pageBreakBefore w:val="0"/>
        <w:widowControl/>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（4）各专业监理可结合项目的实施阶段经委托人签字认可后分期到岗，若实际到岗人数不满足</w:t>
      </w:r>
      <w:r>
        <w:rPr>
          <w:rFonts w:hint="eastAsia" w:ascii="宋体" w:hAnsi="宋体" w:eastAsia="宋体" w:cs="宋体"/>
          <w:b/>
          <w:bCs/>
          <w:color w:val="auto"/>
          <w:sz w:val="21"/>
          <w:szCs w:val="21"/>
          <w:highlight w:val="none"/>
          <w:lang w:eastAsia="zh-CN"/>
        </w:rPr>
        <w:t>招标文件</w:t>
      </w:r>
      <w:r>
        <w:rPr>
          <w:rFonts w:hint="eastAsia" w:ascii="宋体" w:hAnsi="宋体" w:eastAsia="宋体" w:cs="宋体"/>
          <w:b/>
          <w:bCs/>
          <w:color w:val="auto"/>
          <w:sz w:val="21"/>
          <w:szCs w:val="21"/>
          <w:highlight w:val="none"/>
        </w:rPr>
        <w:t>要求的；</w:t>
      </w:r>
    </w:p>
    <w:p w14:paraId="05A368E0">
      <w:pPr>
        <w:pStyle w:val="2"/>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（5）工程进度管理：执行滁州市重点处《重点工程进度管理办法》规定；情节严重的，委托人有权解除合同，并追究经济损失。</w:t>
      </w:r>
    </w:p>
    <w:p w14:paraId="653FF31A">
      <w:pPr>
        <w:pStyle w:val="2"/>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color w:val="auto"/>
          <w:sz w:val="21"/>
          <w:szCs w:val="21"/>
          <w:highlight w:val="none"/>
        </w:rPr>
      </w:pPr>
      <w:r>
        <w:rPr>
          <w:rFonts w:hint="eastAsia"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、监管平台</w:t>
      </w:r>
    </w:p>
    <w:p w14:paraId="5903F4AD">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监理单位须在监管平台录入以下（但不限于）内容：</w:t>
      </w:r>
    </w:p>
    <w:p w14:paraId="12941424">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1、在进度管理中，每周实际完成工作量、投入人员及机械使用情况；</w:t>
      </w:r>
    </w:p>
    <w:p w14:paraId="4DF5CB5E">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2、在安全管理中，现场存在的安全隐患等问题；</w:t>
      </w:r>
    </w:p>
    <w:p w14:paraId="2EAB4FAA">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3、在质量控制要点中的关键工序、验收资料及检测资料及存在的质量问题；</w:t>
      </w:r>
    </w:p>
    <w:p w14:paraId="19DB3367">
      <w:pPr>
        <w:keepNext w:val="0"/>
        <w:keepLines w:val="0"/>
        <w:pageBreakBefore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4、监理日志</w:t>
      </w:r>
    </w:p>
    <w:p w14:paraId="4CC27105">
      <w:pPr>
        <w:pStyle w:val="2"/>
        <w:keepNext w:val="0"/>
        <w:keepLines w:val="0"/>
        <w:pageBreakBefore w:val="0"/>
        <w:kinsoku/>
        <w:wordWrap/>
        <w:overflowPunct/>
        <w:topLinePunct w:val="0"/>
        <w:autoSpaceDE/>
        <w:autoSpaceDN/>
        <w:bidi w:val="0"/>
        <w:adjustRightInd/>
        <w:snapToGrid/>
        <w:spacing w:after="0" w:afterLines="0" w:line="440" w:lineRule="exact"/>
        <w:ind w:left="0" w:leftChars="0" w:firstLine="422" w:firstLineChars="200"/>
        <w:jc w:val="left"/>
        <w:textAlignment w:val="auto"/>
        <w:rPr>
          <w:rFonts w:hint="eastAsia" w:ascii="宋体" w:hAnsi="宋体" w:eastAsia="宋体" w:cs="宋体"/>
          <w:b/>
          <w:bCs/>
          <w:color w:val="auto"/>
          <w:sz w:val="21"/>
          <w:szCs w:val="21"/>
          <w:highlight w:val="none"/>
        </w:rPr>
      </w:pPr>
      <w:r>
        <w:rPr>
          <w:rFonts w:hint="eastAsia"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5、创城、创卫管理内容</w:t>
      </w:r>
    </w:p>
    <w:p w14:paraId="1ADF2969">
      <w:pPr>
        <w:pageBreakBefore/>
        <w:spacing w:line="440" w:lineRule="exact"/>
        <w:ind w:firstLine="422" w:firstLineChars="200"/>
        <w:jc w:val="center"/>
        <w:outlineLvl w:val="0"/>
        <w:rPr>
          <w:rFonts w:hint="eastAsia" w:ascii="宋体" w:hAnsi="宋体" w:eastAsia="宋体" w:cs="宋体"/>
          <w:b/>
          <w:bCs/>
          <w:color w:val="auto"/>
          <w:szCs w:val="21"/>
          <w:highlight w:val="none"/>
        </w:rPr>
      </w:pPr>
      <w:bookmarkStart w:id="112" w:name="_Toc27018"/>
      <w:bookmarkStart w:id="113" w:name="_Toc20311"/>
      <w:bookmarkStart w:id="114" w:name="_Toc10448"/>
      <w:r>
        <w:rPr>
          <w:rFonts w:hint="eastAsia" w:ascii="宋体" w:hAnsi="宋体" w:eastAsia="宋体" w:cs="宋体"/>
          <w:b/>
          <w:bCs/>
          <w:color w:val="auto"/>
          <w:szCs w:val="21"/>
          <w:highlight w:val="none"/>
        </w:rPr>
        <w:t>附录A  相关服务的范围和内容</w:t>
      </w:r>
      <w:bookmarkEnd w:id="112"/>
      <w:bookmarkEnd w:id="113"/>
      <w:bookmarkEnd w:id="114"/>
    </w:p>
    <w:p w14:paraId="16F2CC4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A-1 勘察阶段：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64B6C0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A-2 设计阶段：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5058B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A-3 保修阶段：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3545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A-4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bookmarkStart w:id="115" w:name="_Toc16232"/>
      <w:bookmarkStart w:id="116" w:name="_Toc24500"/>
    </w:p>
    <w:p w14:paraId="17D41E77">
      <w:pPr>
        <w:snapToGrid w:val="0"/>
        <w:spacing w:line="440" w:lineRule="exact"/>
        <w:ind w:firstLine="422" w:firstLineChars="20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附录B  委托人派遣的人员和提供的房屋、资料、设备</w:t>
      </w:r>
      <w:bookmarkEnd w:id="115"/>
      <w:bookmarkEnd w:id="116"/>
    </w:p>
    <w:p w14:paraId="74364175">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B-1  委托人派遣的人员</w:t>
      </w:r>
    </w:p>
    <w:tbl>
      <w:tblPr>
        <w:tblStyle w:val="25"/>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768"/>
        <w:gridCol w:w="2128"/>
        <w:gridCol w:w="1858"/>
      </w:tblGrid>
      <w:tr w14:paraId="6845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741E992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68" w:type="dxa"/>
            <w:noWrap w:val="0"/>
            <w:vAlign w:val="center"/>
          </w:tcPr>
          <w:p w14:paraId="6CB60F1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28" w:type="dxa"/>
            <w:noWrap w:val="0"/>
            <w:vAlign w:val="center"/>
          </w:tcPr>
          <w:p w14:paraId="618EAEA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58" w:type="dxa"/>
            <w:noWrap w:val="0"/>
            <w:vAlign w:val="center"/>
          </w:tcPr>
          <w:p w14:paraId="5BA2EAF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114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3B27D36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68" w:type="dxa"/>
            <w:noWrap w:val="0"/>
            <w:vAlign w:val="center"/>
          </w:tcPr>
          <w:p w14:paraId="4528FFE6">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4398F298">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1C717622">
            <w:pPr>
              <w:spacing w:line="440" w:lineRule="exact"/>
              <w:jc w:val="center"/>
              <w:rPr>
                <w:rFonts w:hint="eastAsia" w:ascii="宋体" w:hAnsi="宋体" w:eastAsia="宋体" w:cs="宋体"/>
                <w:color w:val="auto"/>
                <w:szCs w:val="21"/>
                <w:highlight w:val="none"/>
              </w:rPr>
            </w:pPr>
          </w:p>
        </w:tc>
      </w:tr>
      <w:tr w14:paraId="7E6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805" w:type="dxa"/>
            <w:noWrap w:val="0"/>
            <w:vAlign w:val="center"/>
          </w:tcPr>
          <w:p w14:paraId="4BAEEE6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68" w:type="dxa"/>
            <w:noWrap w:val="0"/>
            <w:vAlign w:val="center"/>
          </w:tcPr>
          <w:p w14:paraId="60CFCC23">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513DA6D6">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568C9D9D">
            <w:pPr>
              <w:spacing w:line="440" w:lineRule="exact"/>
              <w:jc w:val="center"/>
              <w:rPr>
                <w:rFonts w:hint="eastAsia" w:ascii="宋体" w:hAnsi="宋体" w:eastAsia="宋体" w:cs="宋体"/>
                <w:color w:val="auto"/>
                <w:szCs w:val="21"/>
                <w:highlight w:val="none"/>
              </w:rPr>
            </w:pPr>
          </w:p>
        </w:tc>
      </w:tr>
      <w:tr w14:paraId="2EF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805" w:type="dxa"/>
            <w:noWrap w:val="0"/>
            <w:vAlign w:val="center"/>
          </w:tcPr>
          <w:p w14:paraId="0096B66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68" w:type="dxa"/>
            <w:noWrap w:val="0"/>
            <w:vAlign w:val="center"/>
          </w:tcPr>
          <w:p w14:paraId="6C8A7117">
            <w:pPr>
              <w:spacing w:line="440" w:lineRule="exact"/>
              <w:jc w:val="center"/>
              <w:rPr>
                <w:rFonts w:hint="eastAsia" w:ascii="宋体" w:hAnsi="宋体" w:eastAsia="宋体" w:cs="宋体"/>
                <w:color w:val="auto"/>
                <w:szCs w:val="21"/>
                <w:highlight w:val="none"/>
              </w:rPr>
            </w:pPr>
          </w:p>
        </w:tc>
        <w:tc>
          <w:tcPr>
            <w:tcW w:w="2128" w:type="dxa"/>
            <w:noWrap w:val="0"/>
            <w:vAlign w:val="center"/>
          </w:tcPr>
          <w:p w14:paraId="0403BA5A">
            <w:pPr>
              <w:spacing w:line="440" w:lineRule="exact"/>
              <w:jc w:val="center"/>
              <w:rPr>
                <w:rFonts w:hint="eastAsia" w:ascii="宋体" w:hAnsi="宋体" w:eastAsia="宋体" w:cs="宋体"/>
                <w:color w:val="auto"/>
                <w:szCs w:val="21"/>
                <w:highlight w:val="none"/>
              </w:rPr>
            </w:pPr>
          </w:p>
        </w:tc>
        <w:tc>
          <w:tcPr>
            <w:tcW w:w="1858" w:type="dxa"/>
            <w:noWrap w:val="0"/>
            <w:vAlign w:val="center"/>
          </w:tcPr>
          <w:p w14:paraId="7F7BCBF8">
            <w:pPr>
              <w:spacing w:line="440" w:lineRule="exact"/>
              <w:jc w:val="center"/>
              <w:rPr>
                <w:rFonts w:hint="eastAsia" w:ascii="宋体" w:hAnsi="宋体" w:eastAsia="宋体" w:cs="宋体"/>
                <w:color w:val="auto"/>
                <w:szCs w:val="21"/>
                <w:highlight w:val="none"/>
              </w:rPr>
            </w:pPr>
          </w:p>
        </w:tc>
      </w:tr>
    </w:tbl>
    <w:p w14:paraId="122102EF">
      <w:pPr>
        <w:spacing w:line="440" w:lineRule="exact"/>
        <w:ind w:firstLine="422" w:firstLineChars="200"/>
        <w:outlineLvl w:val="0"/>
        <w:rPr>
          <w:rFonts w:hint="eastAsia" w:ascii="宋体" w:hAnsi="宋体" w:eastAsia="宋体" w:cs="宋体"/>
          <w:b/>
          <w:color w:val="auto"/>
          <w:kern w:val="0"/>
          <w:szCs w:val="21"/>
          <w:highlight w:val="none"/>
        </w:rPr>
      </w:pPr>
      <w:bookmarkStart w:id="117" w:name="_Toc10969"/>
      <w:bookmarkStart w:id="118" w:name="_Toc11231"/>
      <w:bookmarkStart w:id="119" w:name="_Toc15300912"/>
      <w:bookmarkStart w:id="120" w:name="_Toc13821"/>
      <w:bookmarkStart w:id="121" w:name="_Toc11615"/>
      <w:r>
        <w:rPr>
          <w:rFonts w:hint="eastAsia" w:ascii="宋体" w:hAnsi="宋体" w:eastAsia="宋体" w:cs="宋体"/>
          <w:b/>
          <w:color w:val="auto"/>
          <w:kern w:val="0"/>
          <w:szCs w:val="21"/>
          <w:highlight w:val="none"/>
        </w:rPr>
        <w:t>B-2  委托人提供的房屋</w:t>
      </w:r>
      <w:bookmarkEnd w:id="117"/>
      <w:bookmarkEnd w:id="118"/>
      <w:bookmarkEnd w:id="119"/>
      <w:bookmarkEnd w:id="120"/>
      <w:bookmarkEnd w:id="121"/>
    </w:p>
    <w:tbl>
      <w:tblPr>
        <w:tblStyle w:val="25"/>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2FE8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65C9D3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center"/>
          </w:tcPr>
          <w:p w14:paraId="1A0044D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5619CCF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center"/>
          </w:tcPr>
          <w:p w14:paraId="1B590C0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9F8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D80174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center"/>
          </w:tcPr>
          <w:p w14:paraId="1D78482F">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0A41C50">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78913EB9">
            <w:pPr>
              <w:spacing w:line="440" w:lineRule="exact"/>
              <w:jc w:val="center"/>
              <w:rPr>
                <w:rFonts w:hint="eastAsia" w:ascii="宋体" w:hAnsi="宋体" w:eastAsia="宋体" w:cs="宋体"/>
                <w:color w:val="auto"/>
                <w:szCs w:val="21"/>
                <w:highlight w:val="none"/>
              </w:rPr>
            </w:pPr>
          </w:p>
        </w:tc>
      </w:tr>
      <w:tr w14:paraId="4DBE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5B68644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center"/>
          </w:tcPr>
          <w:p w14:paraId="48A6C51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32EB46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6C48B229">
            <w:pPr>
              <w:spacing w:line="440" w:lineRule="exact"/>
              <w:jc w:val="center"/>
              <w:rPr>
                <w:rFonts w:hint="eastAsia" w:ascii="宋体" w:hAnsi="宋体" w:eastAsia="宋体" w:cs="宋体"/>
                <w:color w:val="auto"/>
                <w:szCs w:val="21"/>
                <w:highlight w:val="none"/>
              </w:rPr>
            </w:pPr>
          </w:p>
        </w:tc>
      </w:tr>
      <w:tr w14:paraId="5209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535317A7">
            <w:pPr>
              <w:spacing w:line="440" w:lineRule="exact"/>
              <w:jc w:val="center"/>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center"/>
          </w:tcPr>
          <w:p w14:paraId="2C54A43D">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265B8DF">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405FFF57">
            <w:pPr>
              <w:spacing w:line="440" w:lineRule="exact"/>
              <w:jc w:val="center"/>
              <w:rPr>
                <w:rFonts w:hint="eastAsia" w:ascii="宋体" w:hAnsi="宋体" w:eastAsia="宋体" w:cs="宋体"/>
                <w:color w:val="auto"/>
                <w:szCs w:val="21"/>
                <w:highlight w:val="none"/>
              </w:rPr>
            </w:pPr>
          </w:p>
        </w:tc>
      </w:tr>
      <w:tr w14:paraId="0138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3C5BF28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center"/>
          </w:tcPr>
          <w:p w14:paraId="0FE73D53">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556794B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544D5B4A">
            <w:pPr>
              <w:spacing w:line="440" w:lineRule="exact"/>
              <w:jc w:val="center"/>
              <w:rPr>
                <w:rFonts w:hint="eastAsia" w:ascii="宋体" w:hAnsi="宋体" w:eastAsia="宋体" w:cs="宋体"/>
                <w:color w:val="auto"/>
                <w:szCs w:val="21"/>
                <w:highlight w:val="none"/>
              </w:rPr>
            </w:pPr>
          </w:p>
        </w:tc>
      </w:tr>
      <w:tr w14:paraId="4F7B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center"/>
          </w:tcPr>
          <w:p w14:paraId="1BE783F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center"/>
          </w:tcPr>
          <w:p w14:paraId="3CB20C40">
            <w:pPr>
              <w:spacing w:line="440" w:lineRule="exact"/>
              <w:jc w:val="center"/>
              <w:rPr>
                <w:rFonts w:hint="eastAsia" w:ascii="宋体" w:hAnsi="宋体" w:eastAsia="宋体" w:cs="宋体"/>
                <w:color w:val="auto"/>
                <w:szCs w:val="21"/>
                <w:highlight w:val="none"/>
              </w:rPr>
            </w:pPr>
          </w:p>
        </w:tc>
      </w:tr>
    </w:tbl>
    <w:p w14:paraId="0AA8285E">
      <w:pPr>
        <w:spacing w:line="440" w:lineRule="exact"/>
        <w:ind w:firstLine="422" w:firstLineChars="200"/>
        <w:outlineLvl w:val="0"/>
        <w:rPr>
          <w:rFonts w:hint="eastAsia" w:ascii="宋体" w:hAnsi="宋体" w:eastAsia="宋体" w:cs="宋体"/>
          <w:b/>
          <w:color w:val="auto"/>
          <w:kern w:val="0"/>
          <w:szCs w:val="21"/>
          <w:highlight w:val="none"/>
        </w:rPr>
      </w:pPr>
      <w:bookmarkStart w:id="122" w:name="_Toc19084"/>
      <w:bookmarkStart w:id="123" w:name="_Toc23965"/>
      <w:bookmarkStart w:id="124" w:name="_Toc22478"/>
      <w:bookmarkStart w:id="125" w:name="_Toc12000"/>
      <w:bookmarkStart w:id="126" w:name="_Toc15300913"/>
      <w:r>
        <w:rPr>
          <w:rFonts w:hint="eastAsia" w:ascii="宋体" w:hAnsi="宋体" w:eastAsia="宋体" w:cs="宋体"/>
          <w:b/>
          <w:color w:val="auto"/>
          <w:kern w:val="0"/>
          <w:szCs w:val="21"/>
          <w:highlight w:val="none"/>
        </w:rPr>
        <w:t>B-3  委托人提供的资料</w:t>
      </w:r>
      <w:bookmarkEnd w:id="122"/>
      <w:bookmarkEnd w:id="123"/>
      <w:bookmarkEnd w:id="124"/>
      <w:bookmarkEnd w:id="125"/>
      <w:bookmarkEnd w:id="12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7"/>
        <w:gridCol w:w="996"/>
        <w:gridCol w:w="2147"/>
        <w:gridCol w:w="2082"/>
      </w:tblGrid>
      <w:tr w14:paraId="2C32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1BD95DF3">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996" w:type="dxa"/>
            <w:noWrap w:val="0"/>
            <w:vAlign w:val="center"/>
          </w:tcPr>
          <w:p w14:paraId="4A39696E">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0A985BCF">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30771E04">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A43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4862CB75">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996" w:type="dxa"/>
            <w:noWrap w:val="0"/>
            <w:vAlign w:val="center"/>
          </w:tcPr>
          <w:p w14:paraId="2158EE27">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872151D">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643AD03B">
            <w:pPr>
              <w:spacing w:line="440" w:lineRule="exact"/>
              <w:jc w:val="center"/>
              <w:rPr>
                <w:rFonts w:hint="eastAsia" w:ascii="宋体" w:hAnsi="宋体" w:eastAsia="宋体" w:cs="宋体"/>
                <w:color w:val="auto"/>
                <w:kern w:val="0"/>
                <w:szCs w:val="21"/>
                <w:highlight w:val="none"/>
              </w:rPr>
            </w:pPr>
          </w:p>
        </w:tc>
      </w:tr>
      <w:tr w14:paraId="0E7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3D60A9C9">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996" w:type="dxa"/>
            <w:noWrap w:val="0"/>
            <w:vAlign w:val="center"/>
          </w:tcPr>
          <w:p w14:paraId="26538668">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273C86BA">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3B983C55">
            <w:pPr>
              <w:spacing w:line="440" w:lineRule="exact"/>
              <w:jc w:val="center"/>
              <w:rPr>
                <w:rFonts w:hint="eastAsia" w:ascii="宋体" w:hAnsi="宋体" w:eastAsia="宋体" w:cs="宋体"/>
                <w:color w:val="auto"/>
                <w:kern w:val="0"/>
                <w:szCs w:val="21"/>
                <w:highlight w:val="none"/>
              </w:rPr>
            </w:pPr>
          </w:p>
        </w:tc>
      </w:tr>
      <w:tr w14:paraId="020B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569D9F4B">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996" w:type="dxa"/>
            <w:noWrap w:val="0"/>
            <w:vAlign w:val="center"/>
          </w:tcPr>
          <w:p w14:paraId="4E73CC8A">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7CD54A43">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7E8D1257">
            <w:pPr>
              <w:spacing w:line="440" w:lineRule="exact"/>
              <w:jc w:val="center"/>
              <w:rPr>
                <w:rFonts w:hint="eastAsia" w:ascii="宋体" w:hAnsi="宋体" w:eastAsia="宋体" w:cs="宋体"/>
                <w:color w:val="auto"/>
                <w:kern w:val="0"/>
                <w:szCs w:val="21"/>
                <w:highlight w:val="none"/>
              </w:rPr>
            </w:pPr>
          </w:p>
        </w:tc>
      </w:tr>
      <w:tr w14:paraId="576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4848D6F0">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996" w:type="dxa"/>
            <w:noWrap w:val="0"/>
            <w:vAlign w:val="center"/>
          </w:tcPr>
          <w:p w14:paraId="51DADEE2">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566F7573">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5ACEAC39">
            <w:pPr>
              <w:spacing w:line="440" w:lineRule="exact"/>
              <w:jc w:val="center"/>
              <w:rPr>
                <w:rFonts w:hint="eastAsia" w:ascii="宋体" w:hAnsi="宋体" w:eastAsia="宋体" w:cs="宋体"/>
                <w:color w:val="auto"/>
                <w:kern w:val="0"/>
                <w:szCs w:val="21"/>
                <w:highlight w:val="none"/>
              </w:rPr>
            </w:pPr>
          </w:p>
        </w:tc>
      </w:tr>
      <w:tr w14:paraId="154F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739964BB">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996" w:type="dxa"/>
            <w:noWrap w:val="0"/>
            <w:vAlign w:val="center"/>
          </w:tcPr>
          <w:p w14:paraId="3469557E">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53F0EF1">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4FB039F1">
            <w:pPr>
              <w:spacing w:line="440" w:lineRule="exact"/>
              <w:jc w:val="center"/>
              <w:rPr>
                <w:rFonts w:hint="eastAsia" w:ascii="宋体" w:hAnsi="宋体" w:eastAsia="宋体" w:cs="宋体"/>
                <w:color w:val="auto"/>
                <w:kern w:val="0"/>
                <w:szCs w:val="21"/>
                <w:highlight w:val="none"/>
              </w:rPr>
            </w:pPr>
          </w:p>
        </w:tc>
      </w:tr>
      <w:tr w14:paraId="60E2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7" w:type="dxa"/>
            <w:noWrap w:val="0"/>
            <w:vAlign w:val="center"/>
          </w:tcPr>
          <w:p w14:paraId="2C8CC0B4">
            <w:pPr>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996" w:type="dxa"/>
            <w:noWrap w:val="0"/>
            <w:vAlign w:val="center"/>
          </w:tcPr>
          <w:p w14:paraId="14C6EE84">
            <w:pPr>
              <w:spacing w:line="440" w:lineRule="exact"/>
              <w:jc w:val="center"/>
              <w:rPr>
                <w:rFonts w:hint="eastAsia" w:ascii="宋体" w:hAnsi="宋体" w:eastAsia="宋体" w:cs="宋体"/>
                <w:color w:val="auto"/>
                <w:kern w:val="0"/>
                <w:szCs w:val="21"/>
                <w:highlight w:val="none"/>
              </w:rPr>
            </w:pPr>
          </w:p>
        </w:tc>
        <w:tc>
          <w:tcPr>
            <w:tcW w:w="2147" w:type="dxa"/>
            <w:noWrap w:val="0"/>
            <w:vAlign w:val="center"/>
          </w:tcPr>
          <w:p w14:paraId="6286E7C6">
            <w:pPr>
              <w:spacing w:line="440" w:lineRule="exact"/>
              <w:jc w:val="center"/>
              <w:rPr>
                <w:rFonts w:hint="eastAsia" w:ascii="宋体" w:hAnsi="宋体" w:eastAsia="宋体" w:cs="宋体"/>
                <w:color w:val="auto"/>
                <w:kern w:val="0"/>
                <w:szCs w:val="21"/>
                <w:highlight w:val="none"/>
              </w:rPr>
            </w:pPr>
          </w:p>
        </w:tc>
        <w:tc>
          <w:tcPr>
            <w:tcW w:w="2082" w:type="dxa"/>
            <w:noWrap w:val="0"/>
            <w:vAlign w:val="center"/>
          </w:tcPr>
          <w:p w14:paraId="6683BF29">
            <w:pPr>
              <w:spacing w:line="440" w:lineRule="exact"/>
              <w:jc w:val="center"/>
              <w:rPr>
                <w:rFonts w:hint="eastAsia" w:ascii="宋体" w:hAnsi="宋体" w:eastAsia="宋体" w:cs="宋体"/>
                <w:color w:val="auto"/>
                <w:kern w:val="0"/>
                <w:szCs w:val="21"/>
                <w:highlight w:val="none"/>
              </w:rPr>
            </w:pPr>
          </w:p>
        </w:tc>
      </w:tr>
    </w:tbl>
    <w:p w14:paraId="4D6DCD47">
      <w:pPr>
        <w:spacing w:line="440" w:lineRule="exact"/>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B-4 委托人提供的设备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6772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5EBAF43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3ECA654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2DC9424C">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65EED81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04DC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2D22FB3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0DFDF3A1">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3A9DCC85">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0BA648DD">
            <w:pPr>
              <w:spacing w:line="440" w:lineRule="exact"/>
              <w:jc w:val="center"/>
              <w:rPr>
                <w:rFonts w:hint="eastAsia" w:ascii="宋体" w:hAnsi="宋体" w:eastAsia="宋体" w:cs="宋体"/>
                <w:color w:val="auto"/>
                <w:szCs w:val="21"/>
                <w:highlight w:val="none"/>
              </w:rPr>
            </w:pPr>
          </w:p>
        </w:tc>
      </w:tr>
      <w:tr w14:paraId="5DD7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2E710AD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60E744BB">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07F9BD14">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17A5EF5E">
            <w:pPr>
              <w:spacing w:line="440" w:lineRule="exact"/>
              <w:jc w:val="center"/>
              <w:rPr>
                <w:rFonts w:hint="eastAsia" w:ascii="宋体" w:hAnsi="宋体" w:eastAsia="宋体" w:cs="宋体"/>
                <w:color w:val="auto"/>
                <w:szCs w:val="21"/>
                <w:highlight w:val="none"/>
              </w:rPr>
            </w:pPr>
          </w:p>
        </w:tc>
      </w:tr>
      <w:tr w14:paraId="7A9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419F638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488490B4">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496BB911">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6B58CAEB">
            <w:pPr>
              <w:spacing w:line="440" w:lineRule="exact"/>
              <w:jc w:val="center"/>
              <w:rPr>
                <w:rFonts w:hint="eastAsia" w:ascii="宋体" w:hAnsi="宋体" w:eastAsia="宋体" w:cs="宋体"/>
                <w:color w:val="auto"/>
                <w:szCs w:val="21"/>
                <w:highlight w:val="none"/>
              </w:rPr>
            </w:pPr>
          </w:p>
        </w:tc>
      </w:tr>
      <w:tr w14:paraId="47F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center"/>
          </w:tcPr>
          <w:p w14:paraId="52CBAA4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44F23246">
            <w:pPr>
              <w:spacing w:line="440" w:lineRule="exact"/>
              <w:jc w:val="center"/>
              <w:rPr>
                <w:rFonts w:hint="eastAsia" w:ascii="宋体" w:hAnsi="宋体" w:eastAsia="宋体" w:cs="宋体"/>
                <w:color w:val="auto"/>
                <w:szCs w:val="21"/>
                <w:highlight w:val="none"/>
              </w:rPr>
            </w:pPr>
          </w:p>
        </w:tc>
        <w:tc>
          <w:tcPr>
            <w:tcW w:w="2130" w:type="dxa"/>
            <w:noWrap w:val="0"/>
            <w:vAlign w:val="center"/>
          </w:tcPr>
          <w:p w14:paraId="2F1613AA">
            <w:pPr>
              <w:spacing w:line="440" w:lineRule="exact"/>
              <w:jc w:val="center"/>
              <w:rPr>
                <w:rFonts w:hint="eastAsia" w:ascii="宋体" w:hAnsi="宋体" w:eastAsia="宋体" w:cs="宋体"/>
                <w:color w:val="auto"/>
                <w:szCs w:val="21"/>
                <w:highlight w:val="none"/>
              </w:rPr>
            </w:pPr>
          </w:p>
        </w:tc>
        <w:tc>
          <w:tcPr>
            <w:tcW w:w="1860" w:type="dxa"/>
            <w:noWrap w:val="0"/>
            <w:vAlign w:val="center"/>
          </w:tcPr>
          <w:p w14:paraId="41EC6339">
            <w:pPr>
              <w:spacing w:line="440" w:lineRule="exact"/>
              <w:jc w:val="center"/>
              <w:rPr>
                <w:rFonts w:hint="eastAsia" w:ascii="宋体" w:hAnsi="宋体" w:eastAsia="宋体" w:cs="宋体"/>
                <w:color w:val="auto"/>
                <w:szCs w:val="21"/>
                <w:highlight w:val="none"/>
              </w:rPr>
            </w:pPr>
          </w:p>
        </w:tc>
      </w:tr>
    </w:tbl>
    <w:p w14:paraId="5C6C9D23">
      <w:pPr>
        <w:spacing w:line="360" w:lineRule="auto"/>
        <w:jc w:val="center"/>
        <w:outlineLvl w:val="0"/>
        <w:rPr>
          <w:rFonts w:hint="eastAsia" w:asciiTheme="minorEastAsia" w:hAnsiTheme="minorEastAsia" w:eastAsiaTheme="minorEastAsia"/>
          <w:b/>
          <w:color w:val="auto"/>
          <w:sz w:val="28"/>
          <w:highlight w:val="none"/>
        </w:rPr>
      </w:pPr>
    </w:p>
    <w:p w14:paraId="4F1C669B">
      <w:pPr>
        <w:spacing w:line="360" w:lineRule="auto"/>
        <w:jc w:val="center"/>
        <w:outlineLvl w:val="0"/>
        <w:rPr>
          <w:rFonts w:asciiTheme="minorEastAsia" w:hAnsiTheme="minorEastAsia" w:eastAsiaTheme="minorEastAsia"/>
          <w:b/>
          <w:color w:val="auto"/>
          <w:sz w:val="28"/>
          <w:highlight w:val="none"/>
        </w:rPr>
      </w:pPr>
      <w:bookmarkStart w:id="127" w:name="_Toc11605"/>
      <w:r>
        <w:rPr>
          <w:rFonts w:hint="eastAsia" w:asciiTheme="minorEastAsia" w:hAnsiTheme="minorEastAsia" w:eastAsiaTheme="minorEastAsia"/>
          <w:b/>
          <w:color w:val="auto"/>
          <w:sz w:val="28"/>
          <w:highlight w:val="none"/>
        </w:rPr>
        <w:t>第六章  响应文件格式</w:t>
      </w:r>
      <w:bookmarkEnd w:id="53"/>
      <w:bookmarkEnd w:id="127"/>
    </w:p>
    <w:p w14:paraId="4DD8492A">
      <w:pPr>
        <w:spacing w:line="500" w:lineRule="exact"/>
        <w:jc w:val="center"/>
        <w:outlineLvl w:val="1"/>
        <w:rPr>
          <w:rFonts w:asciiTheme="minorEastAsia" w:hAnsiTheme="minorEastAsia" w:eastAsiaTheme="minorEastAsia"/>
          <w:b/>
          <w:color w:val="auto"/>
          <w:sz w:val="32"/>
          <w:highlight w:val="none"/>
        </w:rPr>
      </w:pPr>
    </w:p>
    <w:p w14:paraId="15E9FA63">
      <w:pPr>
        <w:spacing w:line="900" w:lineRule="exact"/>
        <w:jc w:val="center"/>
        <w:rPr>
          <w:rFonts w:asciiTheme="minorEastAsia" w:hAnsiTheme="minorEastAsia" w:eastAsiaTheme="minorEastAsia"/>
          <w:b/>
          <w:color w:val="auto"/>
          <w:sz w:val="72"/>
          <w:highlight w:val="none"/>
        </w:rPr>
      </w:pPr>
    </w:p>
    <w:p w14:paraId="7F422F4B">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D80E148">
      <w:pPr>
        <w:spacing w:line="900" w:lineRule="exact"/>
        <w:jc w:val="center"/>
        <w:rPr>
          <w:rFonts w:asciiTheme="minorEastAsia" w:hAnsiTheme="minorEastAsia" w:eastAsiaTheme="minorEastAsia"/>
          <w:b/>
          <w:color w:val="auto"/>
          <w:sz w:val="72"/>
          <w:highlight w:val="none"/>
        </w:rPr>
      </w:pPr>
    </w:p>
    <w:p w14:paraId="59822D75">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74618BE6">
      <w:pPr>
        <w:spacing w:line="900" w:lineRule="exact"/>
        <w:jc w:val="center"/>
        <w:rPr>
          <w:rFonts w:asciiTheme="minorEastAsia" w:hAnsiTheme="minorEastAsia" w:eastAsiaTheme="minorEastAsia"/>
          <w:b/>
          <w:color w:val="auto"/>
          <w:sz w:val="72"/>
          <w:highlight w:val="none"/>
        </w:rPr>
      </w:pPr>
    </w:p>
    <w:p w14:paraId="11CD3D1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DEE44D2">
      <w:pPr>
        <w:spacing w:line="900" w:lineRule="exact"/>
        <w:jc w:val="center"/>
        <w:rPr>
          <w:rFonts w:asciiTheme="minorEastAsia" w:hAnsiTheme="minorEastAsia" w:eastAsiaTheme="minorEastAsia"/>
          <w:b/>
          <w:color w:val="auto"/>
          <w:sz w:val="72"/>
          <w:highlight w:val="none"/>
        </w:rPr>
      </w:pPr>
    </w:p>
    <w:p w14:paraId="386A2716">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52F7FF6">
      <w:pPr>
        <w:spacing w:after="156" w:afterLines="50"/>
        <w:jc w:val="center"/>
        <w:rPr>
          <w:rFonts w:asciiTheme="minorEastAsia" w:hAnsiTheme="minorEastAsia" w:eastAsiaTheme="minorEastAsia"/>
          <w:b/>
          <w:color w:val="auto"/>
          <w:sz w:val="72"/>
          <w:highlight w:val="none"/>
        </w:rPr>
      </w:pPr>
    </w:p>
    <w:p w14:paraId="55AC6C56">
      <w:pPr>
        <w:spacing w:after="156" w:afterLines="50" w:line="500" w:lineRule="exact"/>
        <w:jc w:val="center"/>
        <w:rPr>
          <w:rFonts w:asciiTheme="minorEastAsia" w:hAnsiTheme="minorEastAsia" w:eastAsiaTheme="minorEastAsia"/>
          <w:b/>
          <w:color w:val="auto"/>
          <w:sz w:val="28"/>
          <w:szCs w:val="28"/>
          <w:highlight w:val="none"/>
        </w:rPr>
      </w:pPr>
    </w:p>
    <w:p w14:paraId="7B56F7A8">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B9C1B31">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0DBAE3E">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A7600E8">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28" w:name="_Toc3338"/>
      <w:bookmarkStart w:id="129" w:name="_Toc2557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28"/>
      <w:bookmarkEnd w:id="129"/>
    </w:p>
    <w:p w14:paraId="7C01E914">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4E8F10A">
      <w:pPr>
        <w:spacing w:line="360" w:lineRule="auto"/>
        <w:jc w:val="center"/>
        <w:outlineLvl w:val="1"/>
        <w:rPr>
          <w:rFonts w:asciiTheme="minorEastAsia" w:hAnsiTheme="minorEastAsia" w:eastAsiaTheme="minorEastAsia"/>
          <w:b/>
          <w:color w:val="auto"/>
          <w:sz w:val="24"/>
          <w:highlight w:val="none"/>
        </w:rPr>
      </w:pPr>
      <w:bookmarkStart w:id="130" w:name="_Toc17899"/>
      <w:bookmarkStart w:id="131" w:name="_Toc6837"/>
      <w:r>
        <w:rPr>
          <w:rFonts w:hint="eastAsia" w:asciiTheme="minorEastAsia" w:hAnsiTheme="minorEastAsia" w:eastAsiaTheme="minorEastAsia"/>
          <w:b/>
          <w:color w:val="auto"/>
          <w:sz w:val="24"/>
          <w:highlight w:val="none"/>
        </w:rPr>
        <w:t>一、报价表格式</w:t>
      </w:r>
      <w:bookmarkEnd w:id="130"/>
      <w:bookmarkEnd w:id="131"/>
    </w:p>
    <w:p w14:paraId="57F581B1">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4D628D22">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00B1F313">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4E5C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E924E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9910C53">
            <w:pPr>
              <w:spacing w:line="360" w:lineRule="auto"/>
              <w:rPr>
                <w:rFonts w:ascii="宋体" w:hAnsi="宋体" w:eastAsia="宋体"/>
                <w:b/>
                <w:color w:val="auto"/>
                <w:sz w:val="24"/>
                <w:highlight w:val="none"/>
              </w:rPr>
            </w:pPr>
          </w:p>
        </w:tc>
      </w:tr>
      <w:tr w14:paraId="424A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D031448">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733927A6">
            <w:pPr>
              <w:widowControl/>
              <w:spacing w:line="360" w:lineRule="exact"/>
              <w:rPr>
                <w:rFonts w:hint="default" w:ascii="宋体" w:hAnsi="宋体" w:eastAsia="宋体"/>
                <w:b/>
                <w:color w:val="auto"/>
                <w:sz w:val="24"/>
                <w:highlight w:val="none"/>
                <w:lang w:val="en-US" w:eastAsia="zh-CN"/>
              </w:rPr>
            </w:pPr>
            <w:r>
              <w:rPr>
                <w:rFonts w:hint="eastAsia" w:asciiTheme="minorEastAsia" w:hAnsiTheme="minorEastAsia" w:eastAsiaTheme="minorEastAsia"/>
                <w:color w:val="auto"/>
                <w:sz w:val="24"/>
                <w:szCs w:val="28"/>
                <w:highlight w:val="none"/>
                <w:u w:val="single"/>
                <w:lang w:val="en-US" w:eastAsia="zh-CN"/>
              </w:rPr>
              <w:t>全部</w:t>
            </w:r>
          </w:p>
        </w:tc>
      </w:tr>
      <w:tr w14:paraId="1F55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ED79AA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50D3E96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0A802BE">
            <w:pPr>
              <w:snapToGrid w:val="0"/>
              <w:spacing w:line="360" w:lineRule="auto"/>
              <w:rPr>
                <w:rFonts w:ascii="宋体" w:hAnsi="宋体" w:eastAsia="宋体"/>
                <w:color w:val="auto"/>
                <w:sz w:val="24"/>
                <w:szCs w:val="28"/>
                <w:highlight w:val="none"/>
              </w:rPr>
            </w:pPr>
          </w:p>
          <w:p w14:paraId="37A41E30">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15B0C5F6">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p>
          <w:p w14:paraId="75437F6A">
            <w:pPr>
              <w:snapToGrid w:val="0"/>
              <w:spacing w:line="360" w:lineRule="auto"/>
              <w:rPr>
                <w:rFonts w:ascii="宋体" w:hAnsi="宋体" w:eastAsia="宋体"/>
                <w:b/>
                <w:color w:val="auto"/>
                <w:sz w:val="24"/>
                <w:highlight w:val="none"/>
              </w:rPr>
            </w:pPr>
          </w:p>
        </w:tc>
      </w:tr>
      <w:tr w14:paraId="1438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56AA56D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44719243">
            <w:pPr>
              <w:spacing w:line="360" w:lineRule="auto"/>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小数点保留两位小数，不得报0和负数。</w:t>
            </w:r>
          </w:p>
        </w:tc>
      </w:tr>
    </w:tbl>
    <w:p w14:paraId="30A686A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753A948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75A4ECAB">
      <w:pPr>
        <w:snapToGrid w:val="0"/>
        <w:spacing w:line="360" w:lineRule="auto"/>
        <w:ind w:left="5550"/>
        <w:jc w:val="center"/>
        <w:rPr>
          <w:rFonts w:ascii="宋体" w:hAnsi="宋体" w:eastAsia="宋体"/>
          <w:color w:val="auto"/>
          <w:sz w:val="24"/>
          <w:highlight w:val="none"/>
        </w:rPr>
      </w:pPr>
      <w:r>
        <w:rPr>
          <w:rFonts w:hint="eastAsia" w:ascii="宋体" w:hAnsi="宋体" w:eastAsia="宋体"/>
          <w:color w:val="auto"/>
          <w:sz w:val="24"/>
          <w:highlight w:val="none"/>
        </w:rPr>
        <w:t xml:space="preserve"> </w:t>
      </w:r>
    </w:p>
    <w:p w14:paraId="3FEFAEE0">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1011925">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1.特殊事项在备注中注明。</w:t>
      </w:r>
    </w:p>
    <w:p w14:paraId="66455A78">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lang w:val="en-US" w:eastAsia="zh-CN"/>
        </w:rPr>
        <w:t>费率</w:t>
      </w:r>
      <w:r>
        <w:rPr>
          <w:rFonts w:hint="eastAsia" w:ascii="宋体" w:hAnsi="宋体" w:eastAsia="宋体"/>
          <w:b/>
          <w:bCs/>
          <w:color w:val="auto"/>
          <w:sz w:val="24"/>
          <w:szCs w:val="28"/>
          <w:highlight w:val="none"/>
          <w:lang w:eastAsia="zh-CN"/>
        </w:rPr>
        <w:t>）</w:t>
      </w:r>
      <w:r>
        <w:rPr>
          <w:rFonts w:hint="eastAsia" w:ascii="宋体" w:hAnsi="宋体" w:eastAsia="宋体"/>
          <w:b/>
          <w:bCs/>
          <w:color w:val="auto"/>
          <w:sz w:val="24"/>
          <w:szCs w:val="28"/>
          <w:highlight w:val="none"/>
        </w:rPr>
        <w:t>与小写金额（费率）不一致的，以大写金额（费率）为准。</w:t>
      </w:r>
    </w:p>
    <w:p w14:paraId="3D5E5D2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7153345">
      <w:pPr>
        <w:spacing w:line="360" w:lineRule="auto"/>
        <w:jc w:val="center"/>
        <w:outlineLvl w:val="1"/>
        <w:rPr>
          <w:rFonts w:asciiTheme="minorEastAsia" w:hAnsiTheme="minorEastAsia" w:eastAsiaTheme="minorEastAsia"/>
          <w:b/>
          <w:color w:val="auto"/>
          <w:sz w:val="24"/>
          <w:highlight w:val="none"/>
        </w:rPr>
      </w:pPr>
      <w:bookmarkStart w:id="132" w:name="_Toc30153"/>
      <w:bookmarkStart w:id="133" w:name="_Toc16379"/>
      <w:r>
        <w:rPr>
          <w:rFonts w:hint="eastAsia" w:asciiTheme="minorEastAsia" w:hAnsiTheme="minorEastAsia" w:eastAsiaTheme="minorEastAsia"/>
          <w:b/>
          <w:color w:val="auto"/>
          <w:sz w:val="24"/>
          <w:highlight w:val="none"/>
        </w:rPr>
        <w:t>二、最后承诺报价表</w:t>
      </w:r>
      <w:bookmarkEnd w:id="132"/>
      <w:bookmarkEnd w:id="133"/>
    </w:p>
    <w:p w14:paraId="4AAD1BEF">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6109720B">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p w14:paraId="7D52DA60">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CF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63E608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12FE5BF7">
            <w:pPr>
              <w:spacing w:line="360" w:lineRule="auto"/>
              <w:rPr>
                <w:rFonts w:ascii="宋体" w:hAnsi="宋体" w:eastAsia="宋体"/>
                <w:b/>
                <w:color w:val="auto"/>
                <w:sz w:val="24"/>
                <w:highlight w:val="none"/>
              </w:rPr>
            </w:pPr>
          </w:p>
        </w:tc>
      </w:tr>
      <w:tr w14:paraId="0AC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BC1EAB0">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5A39DDBF">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u w:val="single"/>
                <w:lang w:val="en-US" w:eastAsia="zh-CN"/>
              </w:rPr>
              <w:t>全部</w:t>
            </w:r>
          </w:p>
        </w:tc>
      </w:tr>
      <w:tr w14:paraId="70E9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80E930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1888DB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9D5A469">
            <w:pPr>
              <w:snapToGrid w:val="0"/>
              <w:spacing w:line="360" w:lineRule="auto"/>
              <w:rPr>
                <w:rFonts w:ascii="宋体" w:hAnsi="宋体" w:eastAsia="宋体"/>
                <w:color w:val="auto"/>
                <w:sz w:val="24"/>
                <w:szCs w:val="28"/>
                <w:highlight w:val="none"/>
              </w:rPr>
            </w:pPr>
          </w:p>
          <w:p w14:paraId="4FBCF2E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lang w:val="en-US" w:eastAsia="zh-CN"/>
              </w:rPr>
              <w:t>百分之</w:t>
            </w:r>
            <w:r>
              <w:rPr>
                <w:rFonts w:hint="eastAsia" w:ascii="宋体" w:hAnsi="宋体" w:eastAsia="宋体" w:cs="宋体"/>
                <w:bCs/>
                <w:color w:val="auto"/>
                <w:szCs w:val="21"/>
                <w:highlight w:val="none"/>
                <w:u w:val="single"/>
              </w:rPr>
              <w:t xml:space="preserve">                   </w:t>
            </w:r>
          </w:p>
          <w:p w14:paraId="3A77EE68">
            <w:pPr>
              <w:snapToGrid w:val="0"/>
              <w:spacing w:line="360" w:lineRule="auto"/>
              <w:rPr>
                <w:rFonts w:hint="eastAsia" w:ascii="宋体" w:hAnsi="宋体" w:eastAsia="宋体" w:cs="宋体"/>
                <w:bCs/>
                <w:color w:val="auto"/>
                <w:szCs w:val="21"/>
                <w:highlight w:val="none"/>
                <w:u w:val="single"/>
                <w:lang w:val="en-US" w:eastAsia="zh-CN"/>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w:t>
            </w:r>
          </w:p>
          <w:p w14:paraId="3AC98287">
            <w:pPr>
              <w:snapToGrid w:val="0"/>
              <w:spacing w:line="360" w:lineRule="auto"/>
              <w:rPr>
                <w:rFonts w:ascii="宋体" w:hAnsi="宋体" w:eastAsia="宋体"/>
                <w:b/>
                <w:color w:val="auto"/>
                <w:sz w:val="24"/>
                <w:highlight w:val="none"/>
              </w:rPr>
            </w:pPr>
          </w:p>
        </w:tc>
      </w:tr>
      <w:tr w14:paraId="5B79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C339BE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572C868">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50A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19F10C4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219CFE7D">
            <w:pPr>
              <w:spacing w:line="360" w:lineRule="auto"/>
              <w:rPr>
                <w:rFonts w:ascii="宋体" w:hAnsi="宋体" w:eastAsia="宋体"/>
                <w:b/>
                <w:color w:val="auto"/>
                <w:sz w:val="24"/>
                <w:highlight w:val="none"/>
              </w:rPr>
            </w:pPr>
          </w:p>
        </w:tc>
      </w:tr>
    </w:tbl>
    <w:p w14:paraId="456F6E1E">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40AC91FC">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4F19E">
      <w:pPr>
        <w:adjustRightInd w:val="0"/>
        <w:snapToGrid w:val="0"/>
        <w:spacing w:line="360" w:lineRule="auto"/>
        <w:ind w:firstLine="482" w:firstLineChars="200"/>
        <w:rPr>
          <w:rFonts w:ascii="宋体" w:hAnsi="宋体" w:eastAsia="宋体"/>
          <w:b/>
          <w:bCs/>
          <w:color w:val="auto"/>
          <w:sz w:val="24"/>
          <w:szCs w:val="28"/>
          <w:highlight w:val="none"/>
        </w:rPr>
      </w:pPr>
    </w:p>
    <w:p w14:paraId="30A0840D">
      <w:pPr>
        <w:adjustRightInd w:val="0"/>
        <w:snapToGrid w:val="0"/>
        <w:spacing w:line="360" w:lineRule="auto"/>
        <w:ind w:firstLine="482" w:firstLineChars="200"/>
        <w:rPr>
          <w:rFonts w:ascii="宋体" w:hAnsi="宋体" w:eastAsia="宋体"/>
          <w:bCs/>
          <w:color w:val="auto"/>
          <w:sz w:val="24"/>
          <w:szCs w:val="28"/>
          <w:highlight w:val="none"/>
        </w:rPr>
      </w:pPr>
      <w:r>
        <w:rPr>
          <w:rFonts w:hint="eastAsia" w:ascii="宋体" w:hAnsi="宋体" w:eastAsia="宋体"/>
          <w:b/>
          <w:bCs/>
          <w:color w:val="auto"/>
          <w:sz w:val="24"/>
          <w:szCs w:val="28"/>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r>
        <w:rPr>
          <w:rFonts w:hint="eastAsia" w:ascii="宋体" w:hAnsi="宋体" w:eastAsia="宋体"/>
          <w:bCs/>
          <w:color w:val="auto"/>
          <w:sz w:val="24"/>
          <w:szCs w:val="28"/>
          <w:highlight w:val="none"/>
        </w:rPr>
        <w:t>考虑谈判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1E3FC548">
      <w:pPr>
        <w:adjustRightInd w:val="0"/>
        <w:snapToGrid w:val="0"/>
        <w:spacing w:line="360" w:lineRule="auto"/>
        <w:ind w:firstLine="482" w:firstLineChars="200"/>
        <w:rPr>
          <w:rFonts w:ascii="宋体" w:hAnsi="宋体" w:eastAsia="宋体"/>
          <w:b/>
          <w:color w:val="auto"/>
          <w:sz w:val="24"/>
          <w:szCs w:val="28"/>
          <w:highlight w:val="none"/>
        </w:rPr>
      </w:pPr>
      <w:r>
        <w:rPr>
          <w:rFonts w:hint="eastAsia" w:ascii="宋体" w:hAnsi="宋体" w:eastAsia="宋体"/>
          <w:b/>
          <w:color w:val="auto"/>
          <w:sz w:val="24"/>
          <w:szCs w:val="28"/>
          <w:highlight w:val="none"/>
        </w:rPr>
        <w:t>2.表中大写金额（费率）与小写金额（费率）不一致的，以大写金额（费率）为准。</w:t>
      </w:r>
    </w:p>
    <w:p w14:paraId="21F12BF7">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DC7B7DE">
      <w:pPr>
        <w:spacing w:line="360" w:lineRule="auto"/>
        <w:jc w:val="center"/>
        <w:outlineLvl w:val="1"/>
        <w:rPr>
          <w:rFonts w:asciiTheme="minorEastAsia" w:hAnsiTheme="minorEastAsia" w:eastAsiaTheme="minorEastAsia"/>
          <w:b/>
          <w:color w:val="auto"/>
          <w:sz w:val="24"/>
          <w:highlight w:val="none"/>
        </w:rPr>
      </w:pPr>
      <w:bookmarkStart w:id="134" w:name="_Toc10325"/>
      <w:bookmarkStart w:id="135" w:name="_Toc9887"/>
      <w:r>
        <w:rPr>
          <w:rFonts w:hint="eastAsia" w:asciiTheme="minorEastAsia" w:hAnsiTheme="minorEastAsia" w:eastAsiaTheme="minorEastAsia"/>
          <w:b/>
          <w:color w:val="auto"/>
          <w:sz w:val="24"/>
          <w:highlight w:val="none"/>
        </w:rPr>
        <w:t>三、谈判响应函</w:t>
      </w:r>
      <w:bookmarkEnd w:id="134"/>
      <w:bookmarkEnd w:id="135"/>
    </w:p>
    <w:p w14:paraId="5071E5B1">
      <w:pPr>
        <w:pStyle w:val="14"/>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lang w:eastAsia="zh-CN"/>
        </w:rPr>
        <w:t>采购人</w:t>
      </w:r>
    </w:p>
    <w:p w14:paraId="53B231DA">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36" w:name="_Hlk44287576"/>
      <w:r>
        <w:rPr>
          <w:rFonts w:hint="eastAsia" w:ascii="宋体" w:hAnsi="宋体" w:eastAsia="宋体"/>
          <w:color w:val="auto"/>
          <w:sz w:val="24"/>
          <w:highlight w:val="none"/>
        </w:rPr>
        <w:t>竞争性谈判公告和谈判邀请</w:t>
      </w:r>
      <w:bookmarkEnd w:id="136"/>
      <w:r>
        <w:rPr>
          <w:rFonts w:hint="eastAsia" w:ascii="宋体" w:hAnsi="宋体" w:eastAsia="宋体"/>
          <w:color w:val="auto"/>
          <w:sz w:val="24"/>
          <w:highlight w:val="none"/>
        </w:rPr>
        <w:t>，我方兹宣布同意如下：</w:t>
      </w:r>
    </w:p>
    <w:p w14:paraId="249AE73B">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75BE663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.我方已详细审核本次谈判文件，包括谈判文件附件</w:t>
      </w:r>
      <w:r>
        <w:rPr>
          <w:rFonts w:hint="eastAsia" w:ascii="宋体" w:hAnsi="宋体" w:eastAsia="宋体"/>
          <w:color w:val="auto"/>
          <w:sz w:val="24"/>
          <w:highlight w:val="none"/>
          <w:lang w:val="en-US" w:eastAsia="zh-CN"/>
        </w:rPr>
        <w:t>及更正公告</w:t>
      </w:r>
      <w:r>
        <w:rPr>
          <w:rFonts w:hint="eastAsia" w:ascii="宋体" w:hAnsi="宋体" w:eastAsia="宋体"/>
          <w:color w:val="auto"/>
          <w:sz w:val="24"/>
          <w:highlight w:val="none"/>
        </w:rPr>
        <w:t>（如有），我方正式认可并遵守本次谈判文件，并对谈判文件各项条款、规定及要求均无异议。</w:t>
      </w:r>
    </w:p>
    <w:p w14:paraId="2019C6A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346B5485">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谈判</w:t>
      </w:r>
      <w:r>
        <w:rPr>
          <w:rFonts w:hint="eastAsia" w:asciiTheme="minorEastAsia" w:hAnsiTheme="minorEastAsia" w:eastAsiaTheme="minorEastAsia"/>
          <w:color w:val="auto"/>
          <w:sz w:val="24"/>
          <w:highlight w:val="none"/>
        </w:rPr>
        <w:t>有关的任何证据、数据或资料。</w:t>
      </w:r>
    </w:p>
    <w:p w14:paraId="47832D6C">
      <w:pPr>
        <w:spacing w:line="360" w:lineRule="auto"/>
        <w:ind w:firstLine="3600" w:firstLineChars="1500"/>
        <w:rPr>
          <w:rFonts w:ascii="宋体" w:hAnsi="宋体" w:eastAsia="宋体"/>
          <w:color w:val="auto"/>
          <w:sz w:val="24"/>
          <w:highlight w:val="none"/>
        </w:rPr>
      </w:pPr>
    </w:p>
    <w:p w14:paraId="735FEF9E">
      <w:pPr>
        <w:spacing w:line="360" w:lineRule="auto"/>
        <w:ind w:firstLine="3600" w:firstLineChars="15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5E3D1248">
      <w:pPr>
        <w:spacing w:line="360" w:lineRule="auto"/>
        <w:ind w:firstLine="3600" w:firstLineChars="15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FB007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14991F">
      <w:pPr>
        <w:spacing w:line="360" w:lineRule="auto"/>
        <w:jc w:val="center"/>
        <w:outlineLvl w:val="1"/>
        <w:rPr>
          <w:rFonts w:hint="eastAsia" w:asciiTheme="minorEastAsia" w:hAnsiTheme="minorEastAsia" w:eastAsiaTheme="minorEastAsia"/>
          <w:b/>
          <w:color w:val="auto"/>
          <w:sz w:val="24"/>
          <w:highlight w:val="none"/>
        </w:rPr>
      </w:pPr>
      <w:bookmarkStart w:id="137" w:name="_Toc15886"/>
      <w:bookmarkStart w:id="138" w:name="_Toc27496"/>
      <w:r>
        <w:rPr>
          <w:rFonts w:hint="eastAsia" w:asciiTheme="minorEastAsia" w:hAnsiTheme="minorEastAsia" w:eastAsiaTheme="minorEastAsia"/>
          <w:b/>
          <w:color w:val="auto"/>
          <w:sz w:val="24"/>
          <w:highlight w:val="none"/>
        </w:rPr>
        <w:t>四、</w:t>
      </w:r>
      <w:bookmarkEnd w:id="137"/>
      <w:r>
        <w:rPr>
          <w:rFonts w:hint="eastAsia" w:asciiTheme="minorEastAsia" w:hAnsiTheme="minorEastAsia" w:eastAsiaTheme="minorEastAsia"/>
          <w:b/>
          <w:color w:val="auto"/>
          <w:sz w:val="24"/>
          <w:highlight w:val="none"/>
          <w:lang w:val="en-US" w:eastAsia="zh-CN"/>
        </w:rPr>
        <w:t>供应商资格声明书</w:t>
      </w:r>
      <w:bookmarkEnd w:id="138"/>
      <w:r>
        <w:rPr>
          <w:rFonts w:hint="eastAsia" w:asciiTheme="minorEastAsia" w:hAnsiTheme="minorEastAsia" w:eastAsiaTheme="minorEastAsia"/>
          <w:b/>
          <w:color w:val="auto"/>
          <w:sz w:val="24"/>
          <w:highlight w:val="none"/>
          <w:lang w:val="en-US" w:eastAsia="zh-CN"/>
        </w:rPr>
        <w:t xml:space="preserve"> </w:t>
      </w:r>
    </w:p>
    <w:p w14:paraId="1B9CEB06">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eastAsia="zh-CN"/>
        </w:rPr>
        <w:t>采购人</w:t>
      </w:r>
    </w:p>
    <w:p w14:paraId="6D86D2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在参与本次项目谈判中，我单位承诺：</w:t>
      </w:r>
    </w:p>
    <w:p w14:paraId="31D7B9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33A771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23BE8C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26054C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461D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18E369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445"/>
        <w:gridCol w:w="2841"/>
      </w:tblGrid>
      <w:tr w14:paraId="0EF6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57E15F95">
            <w:pPr>
              <w:keepNext w:val="0"/>
              <w:keepLines w:val="0"/>
              <w:pageBreakBefore w:val="0"/>
              <w:widowControl/>
              <w:suppressLineNumbers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608" w:type="pct"/>
            <w:vAlign w:val="center"/>
          </w:tcPr>
          <w:p w14:paraId="03892C16">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1667" w:type="pct"/>
            <w:vAlign w:val="center"/>
          </w:tcPr>
          <w:p w14:paraId="187B8F90">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9AC7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3A6FD362">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608" w:type="pct"/>
            <w:vAlign w:val="center"/>
          </w:tcPr>
          <w:p w14:paraId="4EA2C11A">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1667" w:type="pct"/>
            <w:vAlign w:val="center"/>
          </w:tcPr>
          <w:p w14:paraId="1C89F7FD">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491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21F73847">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608" w:type="pct"/>
            <w:vAlign w:val="center"/>
          </w:tcPr>
          <w:p w14:paraId="4DA45946">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1667" w:type="pct"/>
            <w:vAlign w:val="center"/>
          </w:tcPr>
          <w:p w14:paraId="206AB086">
            <w:pPr>
              <w:pStyle w:val="11"/>
              <w:keepNext w:val="0"/>
              <w:keepLines w:val="0"/>
              <w:pageBreakBefore w:val="0"/>
              <w:kinsoku/>
              <w:wordWrap/>
              <w:overflowPunct/>
              <w:topLinePunct w:val="0"/>
              <w:autoSpaceDE/>
              <w:autoSpaceDN/>
              <w:bidi w:val="0"/>
              <w:adjustRightInd w:val="0"/>
              <w:snapToGrid w:val="0"/>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633353D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491389D6">
      <w:pPr>
        <w:spacing w:line="360" w:lineRule="auto"/>
        <w:ind w:firstLine="4800" w:firstLineChars="2000"/>
        <w:rPr>
          <w:rFonts w:hint="eastAsia" w:ascii="宋体" w:hAnsi="宋体" w:eastAsia="宋体"/>
          <w:color w:val="auto"/>
          <w:sz w:val="24"/>
          <w:highlight w:val="none"/>
          <w:lang w:val="en-US" w:eastAsia="zh-CN"/>
        </w:rPr>
      </w:pPr>
    </w:p>
    <w:p w14:paraId="0B16551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489A8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8EE360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38A7C03E">
      <w:pPr>
        <w:spacing w:line="360" w:lineRule="auto"/>
        <w:jc w:val="center"/>
        <w:outlineLvl w:val="1"/>
        <w:rPr>
          <w:rFonts w:asciiTheme="minorEastAsia" w:hAnsiTheme="minorEastAsia" w:eastAsiaTheme="minorEastAsia"/>
          <w:b/>
          <w:color w:val="auto"/>
          <w:sz w:val="24"/>
          <w:highlight w:val="none"/>
        </w:rPr>
      </w:pPr>
      <w:bookmarkStart w:id="139" w:name="_Toc3425"/>
      <w:bookmarkStart w:id="140" w:name="_Toc19132"/>
      <w:r>
        <w:rPr>
          <w:rFonts w:hint="eastAsia" w:asciiTheme="minorEastAsia" w:hAnsiTheme="minorEastAsia" w:eastAsiaTheme="minorEastAsia"/>
          <w:b/>
          <w:color w:val="auto"/>
          <w:sz w:val="24"/>
          <w:highlight w:val="none"/>
        </w:rPr>
        <w:t>五、授权书</w:t>
      </w:r>
      <w:bookmarkEnd w:id="139"/>
      <w:bookmarkEnd w:id="140"/>
    </w:p>
    <w:p w14:paraId="20AF3A0F">
      <w:pPr>
        <w:pStyle w:val="13"/>
        <w:snapToGrid w:val="0"/>
        <w:spacing w:line="360" w:lineRule="auto"/>
        <w:ind w:firstLine="480" w:firstLineChars="200"/>
        <w:jc w:val="left"/>
        <w:rPr>
          <w:rFonts w:hAnsi="宋体" w:eastAsia="宋体"/>
          <w:color w:val="auto"/>
          <w:sz w:val="24"/>
          <w:szCs w:val="28"/>
          <w:highlight w:val="none"/>
        </w:rPr>
      </w:pPr>
    </w:p>
    <w:p w14:paraId="6ECA2698">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210DEDE5">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7D9857D8">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2D750829">
      <w:pPr>
        <w:pStyle w:val="13"/>
        <w:snapToGrid w:val="0"/>
        <w:spacing w:line="360" w:lineRule="auto"/>
        <w:ind w:firstLine="480" w:firstLineChars="200"/>
        <w:jc w:val="left"/>
        <w:rPr>
          <w:rFonts w:hAnsi="宋体" w:eastAsia="宋体"/>
          <w:color w:val="auto"/>
          <w:sz w:val="24"/>
          <w:highlight w:val="none"/>
        </w:rPr>
      </w:pPr>
    </w:p>
    <w:p w14:paraId="5DED6EEA">
      <w:pPr>
        <w:pStyle w:val="13"/>
        <w:snapToGrid w:val="0"/>
        <w:spacing w:line="360" w:lineRule="auto"/>
        <w:ind w:firstLine="480" w:firstLineChars="200"/>
        <w:jc w:val="left"/>
        <w:rPr>
          <w:rFonts w:hAnsi="宋体" w:eastAsia="宋体"/>
          <w:color w:val="auto"/>
          <w:sz w:val="24"/>
          <w:highlight w:val="none"/>
        </w:rPr>
      </w:pPr>
    </w:p>
    <w:p w14:paraId="55F9C92E">
      <w:pPr>
        <w:pStyle w:val="13"/>
        <w:snapToGrid w:val="0"/>
        <w:spacing w:line="360" w:lineRule="auto"/>
        <w:ind w:firstLine="480" w:firstLineChars="200"/>
        <w:jc w:val="left"/>
        <w:rPr>
          <w:rFonts w:hAnsi="宋体" w:eastAsia="宋体"/>
          <w:color w:val="auto"/>
          <w:sz w:val="24"/>
          <w:highlight w:val="none"/>
        </w:rPr>
      </w:pPr>
    </w:p>
    <w:p w14:paraId="0D913859">
      <w:pPr>
        <w:pStyle w:val="13"/>
        <w:snapToGrid w:val="0"/>
        <w:spacing w:line="360" w:lineRule="auto"/>
        <w:ind w:firstLine="480" w:firstLineChars="200"/>
        <w:jc w:val="left"/>
        <w:rPr>
          <w:rFonts w:hAnsi="宋体" w:eastAsia="宋体"/>
          <w:color w:val="auto"/>
          <w:sz w:val="24"/>
          <w:highlight w:val="none"/>
        </w:rPr>
      </w:pPr>
    </w:p>
    <w:p w14:paraId="794FE19E">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222D906">
      <w:pPr>
        <w:pStyle w:val="13"/>
        <w:snapToGrid w:val="0"/>
        <w:spacing w:line="360" w:lineRule="auto"/>
        <w:ind w:firstLine="480" w:firstLineChars="200"/>
        <w:jc w:val="left"/>
        <w:rPr>
          <w:rFonts w:hAnsi="宋体" w:eastAsia="宋体"/>
          <w:color w:val="auto"/>
          <w:sz w:val="24"/>
          <w:szCs w:val="28"/>
          <w:highlight w:val="none"/>
        </w:rPr>
      </w:pPr>
    </w:p>
    <w:p w14:paraId="0E8EF6FD">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048F2A5B">
      <w:pPr>
        <w:spacing w:line="360" w:lineRule="auto"/>
        <w:rPr>
          <w:rFonts w:ascii="宋体" w:hAnsi="宋体" w:eastAsia="宋体"/>
          <w:color w:val="auto"/>
          <w:sz w:val="24"/>
          <w:szCs w:val="28"/>
          <w:highlight w:val="none"/>
        </w:rPr>
      </w:pPr>
    </w:p>
    <w:p w14:paraId="5EAAADC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44A4D6B">
      <w:pPr>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7DDC1E">
      <w:pPr>
        <w:spacing w:line="360" w:lineRule="auto"/>
        <w:rPr>
          <w:rFonts w:ascii="宋体" w:hAnsi="宋体" w:eastAsia="宋体"/>
          <w:color w:val="auto"/>
          <w:sz w:val="24"/>
          <w:szCs w:val="28"/>
          <w:highlight w:val="none"/>
        </w:rPr>
      </w:pPr>
    </w:p>
    <w:p w14:paraId="66CB1D94">
      <w:pPr>
        <w:spacing w:line="360" w:lineRule="auto"/>
        <w:rPr>
          <w:rFonts w:ascii="宋体" w:hAnsi="宋体" w:eastAsia="宋体"/>
          <w:color w:val="auto"/>
          <w:sz w:val="24"/>
          <w:szCs w:val="28"/>
          <w:highlight w:val="none"/>
        </w:rPr>
      </w:pPr>
    </w:p>
    <w:p w14:paraId="4A7973FB">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A6ADFE9">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02993164">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5953388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6FC59BAC">
      <w:pPr>
        <w:spacing w:line="360" w:lineRule="auto"/>
        <w:jc w:val="center"/>
        <w:outlineLvl w:val="1"/>
        <w:rPr>
          <w:rFonts w:asciiTheme="minorEastAsia" w:hAnsiTheme="minorEastAsia" w:eastAsiaTheme="minorEastAsia"/>
          <w:b/>
          <w:color w:val="auto"/>
          <w:sz w:val="24"/>
          <w:highlight w:val="none"/>
        </w:rPr>
      </w:pPr>
      <w:bookmarkStart w:id="141" w:name="_Toc31060"/>
      <w:bookmarkStart w:id="142" w:name="_Toc1834"/>
      <w:r>
        <w:rPr>
          <w:rFonts w:hint="eastAsia" w:asciiTheme="minorEastAsia" w:hAnsiTheme="minorEastAsia" w:eastAsiaTheme="minorEastAsia"/>
          <w:b/>
          <w:color w:val="auto"/>
          <w:sz w:val="24"/>
          <w:highlight w:val="none"/>
        </w:rPr>
        <w:t>六、</w:t>
      </w:r>
      <w:bookmarkEnd w:id="141"/>
      <w:bookmarkEnd w:id="142"/>
      <w:r>
        <w:rPr>
          <w:rFonts w:hint="eastAsia" w:asciiTheme="minorEastAsia" w:hAnsiTheme="minorEastAsia" w:eastAsiaTheme="minorEastAsia"/>
          <w:b/>
          <w:color w:val="auto"/>
          <w:sz w:val="24"/>
          <w:highlight w:val="none"/>
          <w:lang w:val="en-US" w:eastAsia="zh-CN"/>
        </w:rPr>
        <w:t>谈判</w:t>
      </w:r>
      <w:r>
        <w:rPr>
          <w:rFonts w:hint="eastAsia" w:asciiTheme="minorEastAsia" w:hAnsiTheme="minorEastAsia" w:eastAsiaTheme="minorEastAsia"/>
          <w:b/>
          <w:color w:val="auto"/>
          <w:sz w:val="24"/>
          <w:highlight w:val="none"/>
        </w:rPr>
        <w:t>响应表</w:t>
      </w:r>
    </w:p>
    <w:p w14:paraId="62B0B14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75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06AD6CC8">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7803CE11">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095A624C">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谈判文件</w:t>
            </w:r>
            <w:r>
              <w:rPr>
                <w:rFonts w:hint="eastAsia" w:cs="Wingdings" w:asciiTheme="minorEastAsia" w:hAnsiTheme="minorEastAsia"/>
                <w:b/>
                <w:color w:val="auto"/>
                <w:sz w:val="24"/>
                <w:highlight w:val="none"/>
              </w:rPr>
              <w:t>要求</w:t>
            </w:r>
          </w:p>
        </w:tc>
        <w:tc>
          <w:tcPr>
            <w:tcW w:w="1510" w:type="pct"/>
            <w:vAlign w:val="center"/>
          </w:tcPr>
          <w:p w14:paraId="14AB3F75">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475" w:type="pct"/>
            <w:vAlign w:val="center"/>
          </w:tcPr>
          <w:p w14:paraId="70407828">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C06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DA5BB83">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43A179F9">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6A4D055F">
            <w:pPr>
              <w:jc w:val="center"/>
              <w:rPr>
                <w:rFonts w:asciiTheme="minorEastAsia" w:hAnsiTheme="minorEastAsia" w:eastAsiaTheme="minorEastAsia"/>
                <w:color w:val="auto"/>
                <w:sz w:val="24"/>
                <w:highlight w:val="none"/>
              </w:rPr>
            </w:pPr>
          </w:p>
        </w:tc>
        <w:tc>
          <w:tcPr>
            <w:tcW w:w="1510" w:type="pct"/>
            <w:vAlign w:val="center"/>
          </w:tcPr>
          <w:p w14:paraId="0FBD20B7">
            <w:pPr>
              <w:jc w:val="center"/>
              <w:rPr>
                <w:rFonts w:asciiTheme="minorEastAsia" w:hAnsiTheme="minorEastAsia" w:eastAsiaTheme="minorEastAsia"/>
                <w:color w:val="auto"/>
                <w:sz w:val="24"/>
                <w:highlight w:val="none"/>
              </w:rPr>
            </w:pPr>
          </w:p>
        </w:tc>
        <w:tc>
          <w:tcPr>
            <w:tcW w:w="475" w:type="pct"/>
            <w:vAlign w:val="center"/>
          </w:tcPr>
          <w:p w14:paraId="34830BBA">
            <w:pPr>
              <w:jc w:val="center"/>
              <w:rPr>
                <w:rFonts w:asciiTheme="minorEastAsia" w:hAnsiTheme="minorEastAsia" w:eastAsiaTheme="minorEastAsia"/>
                <w:color w:val="auto"/>
                <w:sz w:val="24"/>
                <w:highlight w:val="none"/>
              </w:rPr>
            </w:pPr>
          </w:p>
        </w:tc>
      </w:tr>
      <w:tr w14:paraId="50B3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C9244B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403B5F02">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3C10013C">
            <w:pPr>
              <w:jc w:val="center"/>
              <w:rPr>
                <w:rFonts w:asciiTheme="minorEastAsia" w:hAnsiTheme="minorEastAsia" w:eastAsiaTheme="minorEastAsia"/>
                <w:color w:val="auto"/>
                <w:sz w:val="24"/>
                <w:highlight w:val="none"/>
              </w:rPr>
            </w:pPr>
          </w:p>
        </w:tc>
        <w:tc>
          <w:tcPr>
            <w:tcW w:w="1510" w:type="pct"/>
            <w:vAlign w:val="center"/>
          </w:tcPr>
          <w:p w14:paraId="71DF51CE">
            <w:pPr>
              <w:jc w:val="center"/>
              <w:rPr>
                <w:rFonts w:asciiTheme="minorEastAsia" w:hAnsiTheme="minorEastAsia" w:eastAsiaTheme="minorEastAsia"/>
                <w:color w:val="auto"/>
                <w:sz w:val="24"/>
                <w:highlight w:val="none"/>
              </w:rPr>
            </w:pPr>
          </w:p>
        </w:tc>
        <w:tc>
          <w:tcPr>
            <w:tcW w:w="475" w:type="pct"/>
            <w:vAlign w:val="center"/>
          </w:tcPr>
          <w:p w14:paraId="6621CD20">
            <w:pPr>
              <w:jc w:val="center"/>
              <w:rPr>
                <w:rFonts w:asciiTheme="minorEastAsia" w:hAnsiTheme="minorEastAsia" w:eastAsiaTheme="minorEastAsia"/>
                <w:color w:val="auto"/>
                <w:sz w:val="24"/>
                <w:highlight w:val="none"/>
              </w:rPr>
            </w:pPr>
          </w:p>
        </w:tc>
      </w:tr>
      <w:tr w14:paraId="0915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B92C57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67B55C8">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04FC7BA0">
            <w:pPr>
              <w:jc w:val="center"/>
              <w:rPr>
                <w:rFonts w:asciiTheme="minorEastAsia" w:hAnsiTheme="minorEastAsia" w:eastAsiaTheme="minorEastAsia"/>
                <w:color w:val="auto"/>
                <w:sz w:val="24"/>
                <w:highlight w:val="none"/>
              </w:rPr>
            </w:pPr>
          </w:p>
        </w:tc>
        <w:tc>
          <w:tcPr>
            <w:tcW w:w="1510" w:type="pct"/>
            <w:vAlign w:val="center"/>
          </w:tcPr>
          <w:p w14:paraId="0AD81D87">
            <w:pPr>
              <w:pStyle w:val="50"/>
              <w:jc w:val="center"/>
              <w:rPr>
                <w:rFonts w:asciiTheme="minorEastAsia" w:hAnsiTheme="minorEastAsia" w:eastAsiaTheme="minorEastAsia"/>
                <w:color w:val="auto"/>
                <w:highlight w:val="none"/>
              </w:rPr>
            </w:pPr>
          </w:p>
        </w:tc>
        <w:tc>
          <w:tcPr>
            <w:tcW w:w="475" w:type="pct"/>
            <w:vAlign w:val="center"/>
          </w:tcPr>
          <w:p w14:paraId="4B1DC8AE">
            <w:pPr>
              <w:jc w:val="center"/>
              <w:rPr>
                <w:rFonts w:asciiTheme="minorEastAsia" w:hAnsiTheme="minorEastAsia" w:eastAsiaTheme="minorEastAsia"/>
                <w:color w:val="auto"/>
                <w:sz w:val="24"/>
                <w:highlight w:val="none"/>
              </w:rPr>
            </w:pPr>
          </w:p>
        </w:tc>
      </w:tr>
      <w:tr w14:paraId="5297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0B8E9E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49A65C63">
            <w:pPr>
              <w:jc w:val="center"/>
              <w:rPr>
                <w:rFonts w:ascii="宋体" w:hAnsi="宋体" w:eastAsia="宋体"/>
                <w:color w:val="auto"/>
                <w:sz w:val="24"/>
                <w:highlight w:val="none"/>
              </w:rPr>
            </w:pPr>
          </w:p>
        </w:tc>
        <w:tc>
          <w:tcPr>
            <w:tcW w:w="1465" w:type="pct"/>
            <w:vAlign w:val="center"/>
          </w:tcPr>
          <w:p w14:paraId="26AEDEB3">
            <w:pPr>
              <w:jc w:val="center"/>
              <w:rPr>
                <w:rFonts w:asciiTheme="minorEastAsia" w:hAnsiTheme="minorEastAsia" w:eastAsiaTheme="minorEastAsia"/>
                <w:color w:val="auto"/>
                <w:sz w:val="24"/>
                <w:highlight w:val="none"/>
              </w:rPr>
            </w:pPr>
          </w:p>
        </w:tc>
        <w:tc>
          <w:tcPr>
            <w:tcW w:w="1510" w:type="pct"/>
            <w:vAlign w:val="center"/>
          </w:tcPr>
          <w:p w14:paraId="1A811D76">
            <w:pPr>
              <w:jc w:val="center"/>
              <w:rPr>
                <w:rFonts w:asciiTheme="minorEastAsia" w:hAnsiTheme="minorEastAsia" w:eastAsiaTheme="minorEastAsia"/>
                <w:color w:val="auto"/>
                <w:sz w:val="24"/>
                <w:highlight w:val="none"/>
              </w:rPr>
            </w:pPr>
          </w:p>
        </w:tc>
        <w:tc>
          <w:tcPr>
            <w:tcW w:w="475" w:type="pct"/>
            <w:vAlign w:val="center"/>
          </w:tcPr>
          <w:p w14:paraId="5F564D21">
            <w:pPr>
              <w:jc w:val="center"/>
              <w:rPr>
                <w:rFonts w:asciiTheme="minorEastAsia" w:hAnsiTheme="minorEastAsia" w:eastAsiaTheme="minorEastAsia"/>
                <w:color w:val="auto"/>
                <w:sz w:val="24"/>
                <w:highlight w:val="none"/>
              </w:rPr>
            </w:pPr>
          </w:p>
        </w:tc>
      </w:tr>
    </w:tbl>
    <w:p w14:paraId="45A067C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CC8A6BC">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4904C58">
      <w:pPr>
        <w:pStyle w:val="14"/>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79503BCC">
      <w:pPr>
        <w:spacing w:line="360" w:lineRule="auto"/>
        <w:jc w:val="center"/>
        <w:outlineLvl w:val="1"/>
        <w:rPr>
          <w:rFonts w:asciiTheme="minorEastAsia" w:hAnsiTheme="minorEastAsia" w:eastAsiaTheme="minorEastAsia"/>
          <w:b/>
          <w:color w:val="auto"/>
          <w:sz w:val="24"/>
          <w:highlight w:val="none"/>
        </w:rPr>
      </w:pPr>
      <w:bookmarkStart w:id="143" w:name="_Toc29240"/>
      <w:bookmarkStart w:id="144" w:name="_Toc24241"/>
      <w:bookmarkStart w:id="145" w:name="_Hlk6061284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143"/>
      <w:bookmarkEnd w:id="144"/>
    </w:p>
    <w:p w14:paraId="7967D72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2B2809B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9640D3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C7A890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FAB519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7D01155">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0C576A4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C770EC1">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45"/>
    <w:p w14:paraId="30F61231">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0295F8B">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008C8A1">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0B92EF2">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3A84634B">
      <w:pPr>
        <w:tabs>
          <w:tab w:val="left" w:pos="4620"/>
        </w:tabs>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48312111">
      <w:pPr>
        <w:widowControl/>
        <w:spacing w:line="360" w:lineRule="auto"/>
        <w:jc w:val="left"/>
        <w:rPr>
          <w:rFonts w:asciiTheme="minorEastAsia" w:hAnsiTheme="minorEastAsia" w:eastAsiaTheme="minorEastAsia"/>
          <w:color w:val="auto"/>
          <w:sz w:val="24"/>
          <w:highlight w:val="none"/>
        </w:rPr>
      </w:pPr>
      <w:r>
        <w:rPr>
          <w:rFonts w:hint="eastAsia" w:ascii="宋体" w:hAnsi="宋体" w:eastAsia="宋体" w:cs="宋体"/>
          <w:b/>
          <w:bCs/>
          <w:color w:val="auto"/>
          <w:szCs w:val="21"/>
          <w:highlight w:val="none"/>
        </w:rPr>
        <w:t>5. 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r>
        <w:rPr>
          <w:rFonts w:asciiTheme="minorEastAsia" w:hAnsiTheme="minorEastAsia" w:eastAsiaTheme="minorEastAsia"/>
          <w:color w:val="auto"/>
          <w:sz w:val="24"/>
          <w:highlight w:val="none"/>
        </w:rPr>
        <w:br w:type="page"/>
      </w:r>
    </w:p>
    <w:p w14:paraId="1B64DFD8">
      <w:pPr>
        <w:spacing w:line="360" w:lineRule="auto"/>
        <w:jc w:val="center"/>
        <w:outlineLvl w:val="1"/>
        <w:rPr>
          <w:rFonts w:asciiTheme="minorEastAsia" w:hAnsiTheme="minorEastAsia" w:eastAsiaTheme="minorEastAsia"/>
          <w:b/>
          <w:color w:val="auto"/>
          <w:sz w:val="24"/>
          <w:highlight w:val="none"/>
        </w:rPr>
      </w:pPr>
      <w:bookmarkStart w:id="146" w:name="_Toc11207"/>
      <w:bookmarkStart w:id="147" w:name="_Toc4733"/>
      <w:bookmarkStart w:id="148" w:name="_Hlk60613042"/>
      <w:r>
        <w:rPr>
          <w:rFonts w:hint="eastAsia" w:asciiTheme="minorEastAsia" w:hAnsiTheme="minorEastAsia" w:eastAsiaTheme="minorEastAsia"/>
          <w:b/>
          <w:color w:val="auto"/>
          <w:sz w:val="24"/>
          <w:highlight w:val="none"/>
          <w:lang w:eastAsia="zh-CN"/>
        </w:rPr>
        <w:t>八</w:t>
      </w:r>
      <w:r>
        <w:rPr>
          <w:rFonts w:hint="eastAsia" w:asciiTheme="minorEastAsia" w:hAnsiTheme="minorEastAsia" w:eastAsiaTheme="minorEastAsia"/>
          <w:b/>
          <w:color w:val="auto"/>
          <w:sz w:val="24"/>
          <w:highlight w:val="none"/>
        </w:rPr>
        <w:t>、残疾人福利性单位声明函</w:t>
      </w:r>
      <w:bookmarkEnd w:id="146"/>
      <w:bookmarkEnd w:id="147"/>
    </w:p>
    <w:p w14:paraId="03C9AE50">
      <w:pPr>
        <w:spacing w:line="360" w:lineRule="auto"/>
        <w:ind w:firstLine="435"/>
        <w:rPr>
          <w:rFonts w:asciiTheme="minorEastAsia" w:hAnsiTheme="minorEastAsia" w:eastAsiaTheme="minorEastAsia"/>
          <w:color w:val="auto"/>
          <w:spacing w:val="6"/>
          <w:sz w:val="24"/>
          <w:szCs w:val="24"/>
          <w:highlight w:val="none"/>
        </w:rPr>
      </w:pPr>
    </w:p>
    <w:p w14:paraId="4177365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257EE04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FA2D39B">
      <w:pPr>
        <w:spacing w:line="360" w:lineRule="auto"/>
        <w:ind w:firstLine="4228" w:firstLineChars="1762"/>
        <w:rPr>
          <w:rFonts w:asciiTheme="minorEastAsia" w:hAnsiTheme="minorEastAsia" w:eastAsiaTheme="minorEastAsia"/>
          <w:color w:val="auto"/>
          <w:sz w:val="24"/>
          <w:szCs w:val="24"/>
          <w:highlight w:val="none"/>
        </w:rPr>
      </w:pPr>
    </w:p>
    <w:p w14:paraId="673C4537">
      <w:pPr>
        <w:spacing w:line="360" w:lineRule="auto"/>
        <w:ind w:firstLine="4228" w:firstLineChars="1762"/>
        <w:rPr>
          <w:rFonts w:asciiTheme="minorEastAsia" w:hAnsiTheme="minorEastAsia" w:eastAsiaTheme="minorEastAsia"/>
          <w:color w:val="auto"/>
          <w:sz w:val="24"/>
          <w:szCs w:val="24"/>
          <w:highlight w:val="none"/>
        </w:rPr>
      </w:pPr>
    </w:p>
    <w:p w14:paraId="03D66AD8">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34AC51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48"/>
    <w:p w14:paraId="4C5B8CB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F86C322">
      <w:pPr>
        <w:spacing w:line="360" w:lineRule="auto"/>
        <w:jc w:val="center"/>
        <w:outlineLvl w:val="1"/>
        <w:rPr>
          <w:rFonts w:asciiTheme="minorEastAsia" w:hAnsiTheme="minorEastAsia" w:eastAsiaTheme="minorEastAsia"/>
          <w:b/>
          <w:color w:val="auto"/>
          <w:sz w:val="24"/>
          <w:highlight w:val="none"/>
        </w:rPr>
      </w:pPr>
      <w:bookmarkStart w:id="149" w:name="_Toc19745"/>
      <w:bookmarkStart w:id="150" w:name="_Toc25481"/>
      <w:r>
        <w:rPr>
          <w:rFonts w:hint="eastAsia" w:asciiTheme="minorEastAsia" w:hAnsiTheme="minorEastAsia" w:eastAsiaTheme="minorEastAsia"/>
          <w:b/>
          <w:color w:val="auto"/>
          <w:sz w:val="24"/>
          <w:highlight w:val="none"/>
          <w:lang w:eastAsia="zh-CN"/>
        </w:rPr>
        <w:t>九</w:t>
      </w:r>
      <w:r>
        <w:rPr>
          <w:rFonts w:hint="eastAsia" w:asciiTheme="minorEastAsia" w:hAnsiTheme="minorEastAsia" w:eastAsiaTheme="minorEastAsia"/>
          <w:b/>
          <w:color w:val="auto"/>
          <w:sz w:val="24"/>
          <w:highlight w:val="none"/>
        </w:rPr>
        <w:t>、诚信履约承诺函</w:t>
      </w:r>
      <w:bookmarkEnd w:id="149"/>
      <w:bookmarkEnd w:id="150"/>
    </w:p>
    <w:p w14:paraId="73B2D349">
      <w:pPr>
        <w:spacing w:line="360" w:lineRule="auto"/>
        <w:rPr>
          <w:rFonts w:asciiTheme="minorEastAsia" w:hAnsiTheme="minorEastAsia" w:eastAsiaTheme="minorEastAsia"/>
          <w:b/>
          <w:bCs/>
          <w:color w:val="auto"/>
          <w:sz w:val="24"/>
          <w:highlight w:val="none"/>
        </w:rPr>
      </w:pPr>
    </w:p>
    <w:p w14:paraId="0CBAE29E">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none"/>
          <w:lang w:eastAsia="zh-CN"/>
        </w:rPr>
        <w:t>采购人</w:t>
      </w:r>
    </w:p>
    <w:p w14:paraId="73AE550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97669A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8B816A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2D7F99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E6B86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C02CC8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AE539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329D812">
      <w:pPr>
        <w:spacing w:line="360" w:lineRule="auto"/>
        <w:rPr>
          <w:rFonts w:asciiTheme="minorEastAsia" w:hAnsiTheme="minorEastAsia" w:eastAsiaTheme="minorEastAsia"/>
          <w:bCs/>
          <w:color w:val="auto"/>
          <w:sz w:val="24"/>
          <w:highlight w:val="none"/>
        </w:rPr>
      </w:pPr>
    </w:p>
    <w:p w14:paraId="138CD5CF">
      <w:pPr>
        <w:spacing w:line="360" w:lineRule="auto"/>
        <w:rPr>
          <w:rFonts w:asciiTheme="minorEastAsia" w:hAnsiTheme="minorEastAsia" w:eastAsiaTheme="minorEastAsia"/>
          <w:bCs/>
          <w:color w:val="auto"/>
          <w:sz w:val="24"/>
          <w:highlight w:val="none"/>
        </w:rPr>
      </w:pPr>
    </w:p>
    <w:p w14:paraId="4B2F6AFE">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6BE7060">
      <w:pPr>
        <w:spacing w:line="360" w:lineRule="auto"/>
        <w:ind w:firstLine="4320" w:firstLineChars="1800"/>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28BE82F">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21889E0">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诚信响应承诺书</w:t>
      </w:r>
    </w:p>
    <w:p w14:paraId="1D901F68">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23D9F37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1E46A7F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618DC8E">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6D41A3C7">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0194D022">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30F1577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六、我公司没有下列情形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70C4BE61">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3F484C7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7CC6E23F">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1B9ADE4D">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2731CEE0">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B92507">
      <w:pPr>
        <w:spacing w:line="560" w:lineRule="exact"/>
        <w:ind w:firstLine="480" w:firstLineChars="200"/>
        <w:jc w:val="left"/>
        <w:rPr>
          <w:rFonts w:ascii="宋体" w:hAnsi="宋体" w:eastAsia="宋体" w:cs="宋体"/>
          <w:color w:val="auto"/>
          <w:sz w:val="24"/>
          <w:szCs w:val="24"/>
          <w:highlight w:val="none"/>
        </w:rPr>
      </w:pPr>
    </w:p>
    <w:p w14:paraId="0DF987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谈判或者中标（成交）资格、中标（成交）无效、记入不良行为记录等有关处理，愿意承担法律责任，给采购人造成损失的，依法承担赔偿责任。</w:t>
      </w:r>
    </w:p>
    <w:p w14:paraId="5F492B72">
      <w:pPr>
        <w:spacing w:line="560" w:lineRule="exact"/>
        <w:ind w:firstLine="480" w:firstLineChars="200"/>
        <w:jc w:val="left"/>
        <w:rPr>
          <w:rFonts w:ascii="宋体" w:hAnsi="宋体" w:eastAsia="宋体" w:cs="宋体"/>
          <w:color w:val="auto"/>
          <w:sz w:val="24"/>
          <w:szCs w:val="24"/>
          <w:highlight w:val="none"/>
        </w:rPr>
      </w:pPr>
    </w:p>
    <w:p w14:paraId="56F704F4">
      <w:pPr>
        <w:spacing w:line="520" w:lineRule="exact"/>
        <w:jc w:val="left"/>
        <w:rPr>
          <w:rFonts w:ascii="宋体" w:hAnsi="宋体" w:eastAsia="宋体" w:cs="宋体"/>
          <w:color w:val="auto"/>
          <w:sz w:val="24"/>
          <w:szCs w:val="24"/>
          <w:highlight w:val="none"/>
        </w:rPr>
      </w:pPr>
    </w:p>
    <w:p w14:paraId="173ADBD2">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6FF0B21D">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供应商（签章）：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法定代表人（签章）：</w:t>
      </w:r>
    </w:p>
    <w:p w14:paraId="42B2AC69">
      <w:pPr>
        <w:spacing w:line="600" w:lineRule="exact"/>
        <w:ind w:firstLine="4095" w:firstLineChars="1950"/>
        <w:rPr>
          <w:rFonts w:ascii="宋体" w:hAnsi="宋体"/>
          <w:color w:val="auto"/>
          <w:szCs w:val="21"/>
          <w:highlight w:val="none"/>
        </w:rPr>
      </w:pPr>
    </w:p>
    <w:p w14:paraId="7F7C3251">
      <w:pPr>
        <w:spacing w:line="600" w:lineRule="exact"/>
        <w:ind w:firstLine="4680" w:firstLineChars="19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 月 日</w:t>
      </w:r>
    </w:p>
    <w:p w14:paraId="3C0ABEDC">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3E15CB93">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5E717C">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6CBA8CD4">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0807480F">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327531CD">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79B6DD5F">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368EB6C7">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55140962">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52AB7026">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4AFFEE84">
      <w:pPr>
        <w:pStyle w:val="11"/>
        <w:spacing w:before="98" w:line="219" w:lineRule="auto"/>
        <w:jc w:val="center"/>
        <w:rPr>
          <w:rFonts w:hint="eastAsia" w:asciiTheme="minorEastAsia" w:hAnsiTheme="minorEastAsia" w:eastAsiaTheme="minorEastAsia"/>
          <w:b/>
          <w:color w:val="auto"/>
          <w:sz w:val="24"/>
          <w:highlight w:val="none"/>
          <w:lang w:val="en-US" w:eastAsia="zh-CN"/>
        </w:rPr>
      </w:pPr>
    </w:p>
    <w:p w14:paraId="2C9B24FA">
      <w:pPr>
        <w:pStyle w:val="11"/>
        <w:spacing w:before="98" w:line="219" w:lineRule="auto"/>
        <w:jc w:val="center"/>
        <w:rPr>
          <w:color w:val="auto"/>
          <w:highlight w:val="none"/>
        </w:rPr>
      </w:pPr>
      <w:r>
        <w:rPr>
          <w:rFonts w:hint="eastAsia" w:asciiTheme="minorEastAsia" w:hAnsiTheme="minorEastAsia" w:eastAsiaTheme="minorEastAsia"/>
          <w:b/>
          <w:bCs w:val="0"/>
          <w:color w:val="auto"/>
          <w:sz w:val="24"/>
          <w:highlight w:val="none"/>
          <w:lang w:val="en-US" w:eastAsia="zh-CN"/>
        </w:rPr>
        <w:t>十一、</w:t>
      </w:r>
      <w:r>
        <w:rPr>
          <w:rFonts w:hint="eastAsia" w:ascii="宋体" w:hAnsi="宋体" w:eastAsia="宋体" w:cs="宋体"/>
          <w:b/>
          <w:bCs w:val="0"/>
          <w:color w:val="auto"/>
          <w:kern w:val="2"/>
          <w:sz w:val="24"/>
          <w:szCs w:val="24"/>
          <w:highlight w:val="none"/>
          <w:lang w:val="en-US" w:eastAsia="zh-CN" w:bidi="ar-SA"/>
        </w:rPr>
        <w:t>承诺函</w:t>
      </w:r>
    </w:p>
    <w:p w14:paraId="71DEFB84">
      <w:pPr>
        <w:keepNext w:val="0"/>
        <w:keepLines w:val="0"/>
        <w:pageBreakBefore w:val="0"/>
        <w:kinsoku/>
        <w:wordWrap/>
        <w:overflowPunct/>
        <w:topLinePunct w:val="0"/>
        <w:autoSpaceDE/>
        <w:autoSpaceDN/>
        <w:bidi w:val="0"/>
        <w:adjustRightInd/>
        <w:snapToGrid/>
        <w:spacing w:before="156" w:beforeLines="50" w:after="156" w:afterLines="50" w:line="600" w:lineRule="exac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w:t>
      </w:r>
    </w:p>
    <w:p w14:paraId="0FEC86E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现承诺在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项目名称</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包</w:t>
      </w:r>
      <w:r>
        <w:rPr>
          <w:rFonts w:hint="eastAsia" w:ascii="宋体" w:hAnsi="宋体" w:eastAsia="宋体" w:cs="宋体"/>
          <w:color w:val="auto"/>
          <w:sz w:val="24"/>
          <w:szCs w:val="24"/>
          <w:highlight w:val="none"/>
        </w:rPr>
        <w:t>中拟派的</w:t>
      </w:r>
      <w:r>
        <w:rPr>
          <w:rFonts w:hint="eastAsia" w:ascii="宋体" w:hAnsi="宋体" w:eastAsia="宋体" w:cs="宋体"/>
          <w:b/>
          <w:bCs/>
          <w:color w:val="auto"/>
          <w:sz w:val="24"/>
          <w:szCs w:val="24"/>
          <w:highlight w:val="none"/>
        </w:rPr>
        <w:t>总监理工程师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（姓名） 在本项目所在市行政区域内有</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个在建工程，本项目所在市行政区域外无在建</w:t>
      </w:r>
      <w:r>
        <w:rPr>
          <w:rFonts w:hint="eastAsia" w:ascii="宋体" w:hAnsi="宋体" w:eastAsia="宋体" w:cs="宋体"/>
          <w:b/>
          <w:color w:val="auto"/>
          <w:sz w:val="24"/>
          <w:szCs w:val="24"/>
          <w:highlight w:val="none"/>
        </w:rPr>
        <w:t>。</w:t>
      </w:r>
    </w:p>
    <w:p w14:paraId="42725847">
      <w:pPr>
        <w:keepNext w:val="0"/>
        <w:keepLines w:val="0"/>
        <w:pageBreakBefore w:val="0"/>
        <w:kinsoku/>
        <w:wordWrap/>
        <w:overflowPunct/>
        <w:topLinePunct w:val="0"/>
        <w:autoSpaceDE/>
        <w:autoSpaceDN/>
        <w:bidi w:val="0"/>
        <w:adjustRightInd/>
        <w:snapToGrid/>
        <w:spacing w:line="60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特此承诺。</w:t>
      </w:r>
    </w:p>
    <w:p w14:paraId="4B46690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供应商（签章）：</w:t>
      </w:r>
    </w:p>
    <w:p w14:paraId="4D6459FA">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法定代表人（签章）：</w:t>
      </w:r>
    </w:p>
    <w:p w14:paraId="501EC33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lang w:val="en-US" w:eastAsia="zh-CN"/>
        </w:rPr>
        <w:t>日期：  年  月   日</w:t>
      </w:r>
    </w:p>
    <w:p w14:paraId="656C40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lang w:val="en-US" w:eastAsia="zh-CN"/>
        </w:rPr>
        <w:t>注：如有在建项目，需提供建设单位书面同意参与本项目总监投标履约</w:t>
      </w:r>
      <w:r>
        <w:rPr>
          <w:rFonts w:hint="eastAsia" w:ascii="宋体" w:hAnsi="宋体" w:eastAsia="宋体" w:cs="宋体"/>
          <w:color w:val="auto"/>
          <w:sz w:val="24"/>
          <w:szCs w:val="24"/>
          <w:highlight w:val="none"/>
        </w:rPr>
        <w:t>。</w:t>
      </w:r>
    </w:p>
    <w:p w14:paraId="0777DCD6">
      <w:pPr>
        <w:pStyle w:val="2"/>
        <w:rPr>
          <w:rFonts w:hint="eastAsia"/>
          <w:color w:val="auto"/>
          <w:highlight w:val="none"/>
          <w:lang w:val="en-US" w:eastAsia="zh-CN"/>
        </w:rPr>
      </w:pPr>
    </w:p>
    <w:p w14:paraId="730075D6">
      <w:pPr>
        <w:pStyle w:val="11"/>
        <w:spacing w:before="98" w:line="219" w:lineRule="auto"/>
        <w:jc w:val="center"/>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十二、拟组建的监理部人员情况一览表</w:t>
      </w:r>
    </w:p>
    <w:p w14:paraId="23B6A78B">
      <w:pPr>
        <w:rPr>
          <w:rFonts w:hint="eastAsia" w:ascii="宋体" w:hAnsi="宋体" w:eastAsia="宋体" w:cs="宋体"/>
          <w:color w:val="auto"/>
          <w:sz w:val="24"/>
          <w:highlight w:val="none"/>
        </w:rPr>
      </w:pPr>
    </w:p>
    <w:tbl>
      <w:tblPr>
        <w:tblStyle w:val="25"/>
        <w:tblW w:w="942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828"/>
        <w:gridCol w:w="901"/>
        <w:gridCol w:w="852"/>
        <w:gridCol w:w="729"/>
        <w:gridCol w:w="1284"/>
        <w:gridCol w:w="1309"/>
        <w:gridCol w:w="1186"/>
        <w:gridCol w:w="1275"/>
      </w:tblGrid>
      <w:tr w14:paraId="218B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1C9BF79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828" w:type="dxa"/>
            <w:noWrap w:val="0"/>
            <w:vAlign w:val="center"/>
          </w:tcPr>
          <w:p w14:paraId="08A26B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901" w:type="dxa"/>
            <w:noWrap w:val="0"/>
            <w:vAlign w:val="center"/>
          </w:tcPr>
          <w:p w14:paraId="3BE0226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852" w:type="dxa"/>
            <w:noWrap w:val="0"/>
            <w:vAlign w:val="center"/>
          </w:tcPr>
          <w:p w14:paraId="3EC880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729" w:type="dxa"/>
            <w:noWrap w:val="0"/>
            <w:vAlign w:val="center"/>
          </w:tcPr>
          <w:p w14:paraId="223AEC13">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专业</w:t>
            </w:r>
          </w:p>
        </w:tc>
        <w:tc>
          <w:tcPr>
            <w:tcW w:w="1284" w:type="dxa"/>
            <w:noWrap w:val="0"/>
            <w:vAlign w:val="center"/>
          </w:tcPr>
          <w:p w14:paraId="406C63B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拟任职务</w:t>
            </w:r>
          </w:p>
        </w:tc>
        <w:tc>
          <w:tcPr>
            <w:tcW w:w="1309" w:type="dxa"/>
            <w:noWrap w:val="0"/>
            <w:vAlign w:val="center"/>
          </w:tcPr>
          <w:p w14:paraId="5B41351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持证名称</w:t>
            </w:r>
          </w:p>
        </w:tc>
        <w:tc>
          <w:tcPr>
            <w:tcW w:w="1186" w:type="dxa"/>
            <w:noWrap w:val="0"/>
            <w:vAlign w:val="center"/>
          </w:tcPr>
          <w:p w14:paraId="75D93D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持证证号</w:t>
            </w:r>
          </w:p>
        </w:tc>
        <w:tc>
          <w:tcPr>
            <w:tcW w:w="1275" w:type="dxa"/>
            <w:noWrap w:val="0"/>
            <w:vAlign w:val="center"/>
          </w:tcPr>
          <w:p w14:paraId="608576BC">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w:t>
            </w:r>
          </w:p>
        </w:tc>
      </w:tr>
      <w:tr w14:paraId="7DE8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61EBEDB2">
            <w:pPr>
              <w:jc w:val="center"/>
              <w:rPr>
                <w:rFonts w:hint="eastAsia" w:ascii="宋体" w:hAnsi="宋体" w:eastAsia="宋体" w:cs="宋体"/>
                <w:color w:val="auto"/>
                <w:sz w:val="24"/>
                <w:highlight w:val="none"/>
              </w:rPr>
            </w:pPr>
          </w:p>
        </w:tc>
        <w:tc>
          <w:tcPr>
            <w:tcW w:w="828" w:type="dxa"/>
            <w:noWrap w:val="0"/>
            <w:vAlign w:val="center"/>
          </w:tcPr>
          <w:p w14:paraId="20CF84C2">
            <w:pPr>
              <w:jc w:val="center"/>
              <w:rPr>
                <w:rFonts w:hint="eastAsia" w:ascii="宋体" w:hAnsi="宋体" w:eastAsia="宋体" w:cs="宋体"/>
                <w:color w:val="auto"/>
                <w:sz w:val="24"/>
                <w:highlight w:val="none"/>
              </w:rPr>
            </w:pPr>
          </w:p>
        </w:tc>
        <w:tc>
          <w:tcPr>
            <w:tcW w:w="901" w:type="dxa"/>
            <w:noWrap w:val="0"/>
            <w:vAlign w:val="center"/>
          </w:tcPr>
          <w:p w14:paraId="56E655C9">
            <w:pPr>
              <w:jc w:val="center"/>
              <w:rPr>
                <w:rFonts w:hint="eastAsia" w:ascii="宋体" w:hAnsi="宋体" w:eastAsia="宋体" w:cs="宋体"/>
                <w:color w:val="auto"/>
                <w:sz w:val="24"/>
                <w:highlight w:val="none"/>
              </w:rPr>
            </w:pPr>
          </w:p>
        </w:tc>
        <w:tc>
          <w:tcPr>
            <w:tcW w:w="852" w:type="dxa"/>
            <w:noWrap w:val="0"/>
            <w:vAlign w:val="center"/>
          </w:tcPr>
          <w:p w14:paraId="3E8CBE95">
            <w:pPr>
              <w:jc w:val="center"/>
              <w:rPr>
                <w:rFonts w:hint="eastAsia" w:ascii="宋体" w:hAnsi="宋体" w:eastAsia="宋体" w:cs="宋体"/>
                <w:color w:val="auto"/>
                <w:sz w:val="24"/>
                <w:highlight w:val="none"/>
              </w:rPr>
            </w:pPr>
          </w:p>
        </w:tc>
        <w:tc>
          <w:tcPr>
            <w:tcW w:w="729" w:type="dxa"/>
            <w:noWrap w:val="0"/>
            <w:vAlign w:val="center"/>
          </w:tcPr>
          <w:p w14:paraId="4E0E69EA">
            <w:pPr>
              <w:jc w:val="center"/>
              <w:rPr>
                <w:rFonts w:hint="eastAsia" w:ascii="宋体" w:hAnsi="宋体" w:eastAsia="宋体" w:cs="宋体"/>
                <w:color w:val="auto"/>
                <w:sz w:val="24"/>
                <w:highlight w:val="none"/>
              </w:rPr>
            </w:pPr>
          </w:p>
        </w:tc>
        <w:tc>
          <w:tcPr>
            <w:tcW w:w="1284" w:type="dxa"/>
            <w:noWrap w:val="0"/>
            <w:vAlign w:val="center"/>
          </w:tcPr>
          <w:p w14:paraId="6064C8CD">
            <w:pPr>
              <w:jc w:val="center"/>
              <w:rPr>
                <w:rFonts w:hint="eastAsia" w:ascii="宋体" w:hAnsi="宋体" w:eastAsia="宋体" w:cs="宋体"/>
                <w:color w:val="auto"/>
                <w:sz w:val="24"/>
                <w:highlight w:val="none"/>
              </w:rPr>
            </w:pPr>
          </w:p>
        </w:tc>
        <w:tc>
          <w:tcPr>
            <w:tcW w:w="1309" w:type="dxa"/>
            <w:noWrap w:val="0"/>
            <w:vAlign w:val="center"/>
          </w:tcPr>
          <w:p w14:paraId="22D9103B">
            <w:pPr>
              <w:jc w:val="center"/>
              <w:rPr>
                <w:rFonts w:hint="eastAsia" w:ascii="宋体" w:hAnsi="宋体" w:eastAsia="宋体" w:cs="宋体"/>
                <w:color w:val="auto"/>
                <w:sz w:val="24"/>
                <w:highlight w:val="none"/>
              </w:rPr>
            </w:pPr>
          </w:p>
        </w:tc>
        <w:tc>
          <w:tcPr>
            <w:tcW w:w="1186" w:type="dxa"/>
            <w:noWrap w:val="0"/>
            <w:vAlign w:val="center"/>
          </w:tcPr>
          <w:p w14:paraId="1593A142">
            <w:pPr>
              <w:jc w:val="center"/>
              <w:rPr>
                <w:rFonts w:hint="eastAsia" w:ascii="宋体" w:hAnsi="宋体" w:eastAsia="宋体" w:cs="宋体"/>
                <w:color w:val="auto"/>
                <w:sz w:val="24"/>
                <w:highlight w:val="none"/>
              </w:rPr>
            </w:pPr>
          </w:p>
        </w:tc>
        <w:tc>
          <w:tcPr>
            <w:tcW w:w="1275" w:type="dxa"/>
            <w:noWrap w:val="0"/>
            <w:vAlign w:val="center"/>
          </w:tcPr>
          <w:p w14:paraId="25123912">
            <w:pPr>
              <w:jc w:val="center"/>
              <w:rPr>
                <w:rFonts w:hint="eastAsia" w:ascii="宋体" w:hAnsi="宋体" w:eastAsia="宋体" w:cs="宋体"/>
                <w:color w:val="auto"/>
                <w:sz w:val="24"/>
                <w:highlight w:val="none"/>
              </w:rPr>
            </w:pPr>
          </w:p>
        </w:tc>
      </w:tr>
      <w:tr w14:paraId="3321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41166742">
            <w:pPr>
              <w:jc w:val="center"/>
              <w:rPr>
                <w:rFonts w:hint="eastAsia" w:ascii="宋体" w:hAnsi="宋体" w:eastAsia="宋体" w:cs="宋体"/>
                <w:color w:val="auto"/>
                <w:sz w:val="24"/>
                <w:highlight w:val="none"/>
              </w:rPr>
            </w:pPr>
          </w:p>
        </w:tc>
        <w:tc>
          <w:tcPr>
            <w:tcW w:w="828" w:type="dxa"/>
            <w:noWrap w:val="0"/>
            <w:vAlign w:val="center"/>
          </w:tcPr>
          <w:p w14:paraId="27C38CCF">
            <w:pPr>
              <w:jc w:val="center"/>
              <w:rPr>
                <w:rFonts w:hint="eastAsia" w:ascii="宋体" w:hAnsi="宋体" w:eastAsia="宋体" w:cs="宋体"/>
                <w:color w:val="auto"/>
                <w:sz w:val="24"/>
                <w:highlight w:val="none"/>
              </w:rPr>
            </w:pPr>
          </w:p>
        </w:tc>
        <w:tc>
          <w:tcPr>
            <w:tcW w:w="901" w:type="dxa"/>
            <w:noWrap w:val="0"/>
            <w:vAlign w:val="center"/>
          </w:tcPr>
          <w:p w14:paraId="33B08FD2">
            <w:pPr>
              <w:jc w:val="center"/>
              <w:rPr>
                <w:rFonts w:hint="eastAsia" w:ascii="宋体" w:hAnsi="宋体" w:eastAsia="宋体" w:cs="宋体"/>
                <w:color w:val="auto"/>
                <w:sz w:val="24"/>
                <w:highlight w:val="none"/>
              </w:rPr>
            </w:pPr>
          </w:p>
        </w:tc>
        <w:tc>
          <w:tcPr>
            <w:tcW w:w="852" w:type="dxa"/>
            <w:noWrap w:val="0"/>
            <w:vAlign w:val="center"/>
          </w:tcPr>
          <w:p w14:paraId="61EFE041">
            <w:pPr>
              <w:jc w:val="center"/>
              <w:rPr>
                <w:rFonts w:hint="eastAsia" w:ascii="宋体" w:hAnsi="宋体" w:eastAsia="宋体" w:cs="宋体"/>
                <w:color w:val="auto"/>
                <w:sz w:val="24"/>
                <w:highlight w:val="none"/>
              </w:rPr>
            </w:pPr>
          </w:p>
        </w:tc>
        <w:tc>
          <w:tcPr>
            <w:tcW w:w="729" w:type="dxa"/>
            <w:noWrap w:val="0"/>
            <w:vAlign w:val="center"/>
          </w:tcPr>
          <w:p w14:paraId="740BE910">
            <w:pPr>
              <w:jc w:val="center"/>
              <w:rPr>
                <w:rFonts w:hint="eastAsia" w:ascii="宋体" w:hAnsi="宋体" w:eastAsia="宋体" w:cs="宋体"/>
                <w:color w:val="auto"/>
                <w:sz w:val="24"/>
                <w:highlight w:val="none"/>
              </w:rPr>
            </w:pPr>
          </w:p>
        </w:tc>
        <w:tc>
          <w:tcPr>
            <w:tcW w:w="1284" w:type="dxa"/>
            <w:noWrap w:val="0"/>
            <w:vAlign w:val="center"/>
          </w:tcPr>
          <w:p w14:paraId="2C781D68">
            <w:pPr>
              <w:jc w:val="center"/>
              <w:rPr>
                <w:rFonts w:hint="eastAsia" w:ascii="宋体" w:hAnsi="宋体" w:eastAsia="宋体" w:cs="宋体"/>
                <w:color w:val="auto"/>
                <w:sz w:val="24"/>
                <w:highlight w:val="none"/>
              </w:rPr>
            </w:pPr>
          </w:p>
        </w:tc>
        <w:tc>
          <w:tcPr>
            <w:tcW w:w="1309" w:type="dxa"/>
            <w:noWrap w:val="0"/>
            <w:vAlign w:val="center"/>
          </w:tcPr>
          <w:p w14:paraId="12DEE076">
            <w:pPr>
              <w:jc w:val="center"/>
              <w:rPr>
                <w:rFonts w:hint="eastAsia" w:ascii="宋体" w:hAnsi="宋体" w:eastAsia="宋体" w:cs="宋体"/>
                <w:color w:val="auto"/>
                <w:sz w:val="24"/>
                <w:highlight w:val="none"/>
              </w:rPr>
            </w:pPr>
          </w:p>
        </w:tc>
        <w:tc>
          <w:tcPr>
            <w:tcW w:w="1186" w:type="dxa"/>
            <w:noWrap w:val="0"/>
            <w:vAlign w:val="center"/>
          </w:tcPr>
          <w:p w14:paraId="7F2FB947">
            <w:pPr>
              <w:jc w:val="center"/>
              <w:rPr>
                <w:rFonts w:hint="eastAsia" w:ascii="宋体" w:hAnsi="宋体" w:eastAsia="宋体" w:cs="宋体"/>
                <w:color w:val="auto"/>
                <w:sz w:val="24"/>
                <w:highlight w:val="none"/>
              </w:rPr>
            </w:pPr>
          </w:p>
        </w:tc>
        <w:tc>
          <w:tcPr>
            <w:tcW w:w="1275" w:type="dxa"/>
            <w:noWrap w:val="0"/>
            <w:vAlign w:val="center"/>
          </w:tcPr>
          <w:p w14:paraId="5297F71F">
            <w:pPr>
              <w:jc w:val="center"/>
              <w:rPr>
                <w:rFonts w:hint="eastAsia" w:ascii="宋体" w:hAnsi="宋体" w:eastAsia="宋体" w:cs="宋体"/>
                <w:color w:val="auto"/>
                <w:sz w:val="24"/>
                <w:highlight w:val="none"/>
              </w:rPr>
            </w:pPr>
          </w:p>
        </w:tc>
      </w:tr>
      <w:tr w14:paraId="7E30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2953B505">
            <w:pPr>
              <w:jc w:val="center"/>
              <w:rPr>
                <w:rFonts w:hint="eastAsia" w:ascii="宋体" w:hAnsi="宋体" w:eastAsia="宋体" w:cs="宋体"/>
                <w:color w:val="auto"/>
                <w:sz w:val="24"/>
                <w:highlight w:val="none"/>
              </w:rPr>
            </w:pPr>
          </w:p>
        </w:tc>
        <w:tc>
          <w:tcPr>
            <w:tcW w:w="828" w:type="dxa"/>
            <w:noWrap w:val="0"/>
            <w:vAlign w:val="center"/>
          </w:tcPr>
          <w:p w14:paraId="75DC33B0">
            <w:pPr>
              <w:jc w:val="center"/>
              <w:rPr>
                <w:rFonts w:hint="eastAsia" w:ascii="宋体" w:hAnsi="宋体" w:eastAsia="宋体" w:cs="宋体"/>
                <w:color w:val="auto"/>
                <w:sz w:val="24"/>
                <w:highlight w:val="none"/>
              </w:rPr>
            </w:pPr>
          </w:p>
        </w:tc>
        <w:tc>
          <w:tcPr>
            <w:tcW w:w="901" w:type="dxa"/>
            <w:noWrap w:val="0"/>
            <w:vAlign w:val="center"/>
          </w:tcPr>
          <w:p w14:paraId="4C403777">
            <w:pPr>
              <w:jc w:val="center"/>
              <w:rPr>
                <w:rFonts w:hint="eastAsia" w:ascii="宋体" w:hAnsi="宋体" w:eastAsia="宋体" w:cs="宋体"/>
                <w:color w:val="auto"/>
                <w:sz w:val="24"/>
                <w:highlight w:val="none"/>
              </w:rPr>
            </w:pPr>
          </w:p>
        </w:tc>
        <w:tc>
          <w:tcPr>
            <w:tcW w:w="852" w:type="dxa"/>
            <w:noWrap w:val="0"/>
            <w:vAlign w:val="center"/>
          </w:tcPr>
          <w:p w14:paraId="58983E19">
            <w:pPr>
              <w:jc w:val="center"/>
              <w:rPr>
                <w:rFonts w:hint="eastAsia" w:ascii="宋体" w:hAnsi="宋体" w:eastAsia="宋体" w:cs="宋体"/>
                <w:color w:val="auto"/>
                <w:sz w:val="24"/>
                <w:highlight w:val="none"/>
              </w:rPr>
            </w:pPr>
          </w:p>
        </w:tc>
        <w:tc>
          <w:tcPr>
            <w:tcW w:w="729" w:type="dxa"/>
            <w:noWrap w:val="0"/>
            <w:vAlign w:val="center"/>
          </w:tcPr>
          <w:p w14:paraId="36E9B6BD">
            <w:pPr>
              <w:jc w:val="center"/>
              <w:rPr>
                <w:rFonts w:hint="eastAsia" w:ascii="宋体" w:hAnsi="宋体" w:eastAsia="宋体" w:cs="宋体"/>
                <w:color w:val="auto"/>
                <w:sz w:val="24"/>
                <w:highlight w:val="none"/>
              </w:rPr>
            </w:pPr>
          </w:p>
        </w:tc>
        <w:tc>
          <w:tcPr>
            <w:tcW w:w="1284" w:type="dxa"/>
            <w:noWrap w:val="0"/>
            <w:vAlign w:val="center"/>
          </w:tcPr>
          <w:p w14:paraId="3A59CE3D">
            <w:pPr>
              <w:jc w:val="center"/>
              <w:rPr>
                <w:rFonts w:hint="eastAsia" w:ascii="宋体" w:hAnsi="宋体" w:eastAsia="宋体" w:cs="宋体"/>
                <w:color w:val="auto"/>
                <w:sz w:val="24"/>
                <w:highlight w:val="none"/>
              </w:rPr>
            </w:pPr>
          </w:p>
        </w:tc>
        <w:tc>
          <w:tcPr>
            <w:tcW w:w="1309" w:type="dxa"/>
            <w:noWrap w:val="0"/>
            <w:vAlign w:val="center"/>
          </w:tcPr>
          <w:p w14:paraId="0DC1B812">
            <w:pPr>
              <w:jc w:val="center"/>
              <w:rPr>
                <w:rFonts w:hint="eastAsia" w:ascii="宋体" w:hAnsi="宋体" w:eastAsia="宋体" w:cs="宋体"/>
                <w:color w:val="auto"/>
                <w:sz w:val="24"/>
                <w:highlight w:val="none"/>
              </w:rPr>
            </w:pPr>
          </w:p>
        </w:tc>
        <w:tc>
          <w:tcPr>
            <w:tcW w:w="1186" w:type="dxa"/>
            <w:noWrap w:val="0"/>
            <w:vAlign w:val="center"/>
          </w:tcPr>
          <w:p w14:paraId="71A73105">
            <w:pPr>
              <w:jc w:val="center"/>
              <w:rPr>
                <w:rFonts w:hint="eastAsia" w:ascii="宋体" w:hAnsi="宋体" w:eastAsia="宋体" w:cs="宋体"/>
                <w:color w:val="auto"/>
                <w:sz w:val="24"/>
                <w:highlight w:val="none"/>
              </w:rPr>
            </w:pPr>
          </w:p>
        </w:tc>
        <w:tc>
          <w:tcPr>
            <w:tcW w:w="1275" w:type="dxa"/>
            <w:noWrap w:val="0"/>
            <w:vAlign w:val="center"/>
          </w:tcPr>
          <w:p w14:paraId="568AFB2E">
            <w:pPr>
              <w:jc w:val="center"/>
              <w:rPr>
                <w:rFonts w:hint="eastAsia" w:ascii="宋体" w:hAnsi="宋体" w:eastAsia="宋体" w:cs="宋体"/>
                <w:color w:val="auto"/>
                <w:sz w:val="24"/>
                <w:highlight w:val="none"/>
              </w:rPr>
            </w:pPr>
          </w:p>
        </w:tc>
      </w:tr>
      <w:tr w14:paraId="64AE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0FEB8BCB">
            <w:pPr>
              <w:jc w:val="center"/>
              <w:rPr>
                <w:rFonts w:hint="eastAsia" w:ascii="宋体" w:hAnsi="宋体" w:eastAsia="宋体" w:cs="宋体"/>
                <w:color w:val="auto"/>
                <w:sz w:val="24"/>
                <w:highlight w:val="none"/>
              </w:rPr>
            </w:pPr>
          </w:p>
        </w:tc>
        <w:tc>
          <w:tcPr>
            <w:tcW w:w="828" w:type="dxa"/>
            <w:noWrap w:val="0"/>
            <w:vAlign w:val="center"/>
          </w:tcPr>
          <w:p w14:paraId="4E831D6F">
            <w:pPr>
              <w:jc w:val="center"/>
              <w:rPr>
                <w:rFonts w:hint="eastAsia" w:ascii="宋体" w:hAnsi="宋体" w:eastAsia="宋体" w:cs="宋体"/>
                <w:color w:val="auto"/>
                <w:sz w:val="24"/>
                <w:highlight w:val="none"/>
              </w:rPr>
            </w:pPr>
          </w:p>
        </w:tc>
        <w:tc>
          <w:tcPr>
            <w:tcW w:w="901" w:type="dxa"/>
            <w:noWrap w:val="0"/>
            <w:vAlign w:val="center"/>
          </w:tcPr>
          <w:p w14:paraId="68CFA1DD">
            <w:pPr>
              <w:jc w:val="center"/>
              <w:rPr>
                <w:rFonts w:hint="eastAsia" w:ascii="宋体" w:hAnsi="宋体" w:eastAsia="宋体" w:cs="宋体"/>
                <w:color w:val="auto"/>
                <w:sz w:val="24"/>
                <w:highlight w:val="none"/>
              </w:rPr>
            </w:pPr>
          </w:p>
        </w:tc>
        <w:tc>
          <w:tcPr>
            <w:tcW w:w="852" w:type="dxa"/>
            <w:noWrap w:val="0"/>
            <w:vAlign w:val="center"/>
          </w:tcPr>
          <w:p w14:paraId="692BCC2E">
            <w:pPr>
              <w:jc w:val="center"/>
              <w:rPr>
                <w:rFonts w:hint="eastAsia" w:ascii="宋体" w:hAnsi="宋体" w:eastAsia="宋体" w:cs="宋体"/>
                <w:color w:val="auto"/>
                <w:sz w:val="24"/>
                <w:highlight w:val="none"/>
              </w:rPr>
            </w:pPr>
          </w:p>
        </w:tc>
        <w:tc>
          <w:tcPr>
            <w:tcW w:w="729" w:type="dxa"/>
            <w:noWrap w:val="0"/>
            <w:vAlign w:val="center"/>
          </w:tcPr>
          <w:p w14:paraId="5B21DCFE">
            <w:pPr>
              <w:jc w:val="center"/>
              <w:rPr>
                <w:rFonts w:hint="eastAsia" w:ascii="宋体" w:hAnsi="宋体" w:eastAsia="宋体" w:cs="宋体"/>
                <w:color w:val="auto"/>
                <w:sz w:val="24"/>
                <w:highlight w:val="none"/>
              </w:rPr>
            </w:pPr>
          </w:p>
        </w:tc>
        <w:tc>
          <w:tcPr>
            <w:tcW w:w="1284" w:type="dxa"/>
            <w:noWrap w:val="0"/>
            <w:vAlign w:val="center"/>
          </w:tcPr>
          <w:p w14:paraId="2E9B9949">
            <w:pPr>
              <w:jc w:val="center"/>
              <w:rPr>
                <w:rFonts w:hint="eastAsia" w:ascii="宋体" w:hAnsi="宋体" w:eastAsia="宋体" w:cs="宋体"/>
                <w:color w:val="auto"/>
                <w:sz w:val="24"/>
                <w:highlight w:val="none"/>
              </w:rPr>
            </w:pPr>
          </w:p>
        </w:tc>
        <w:tc>
          <w:tcPr>
            <w:tcW w:w="1309" w:type="dxa"/>
            <w:noWrap w:val="0"/>
            <w:vAlign w:val="center"/>
          </w:tcPr>
          <w:p w14:paraId="76129ABD">
            <w:pPr>
              <w:jc w:val="center"/>
              <w:rPr>
                <w:rFonts w:hint="eastAsia" w:ascii="宋体" w:hAnsi="宋体" w:eastAsia="宋体" w:cs="宋体"/>
                <w:color w:val="auto"/>
                <w:sz w:val="24"/>
                <w:highlight w:val="none"/>
              </w:rPr>
            </w:pPr>
          </w:p>
        </w:tc>
        <w:tc>
          <w:tcPr>
            <w:tcW w:w="1186" w:type="dxa"/>
            <w:noWrap w:val="0"/>
            <w:vAlign w:val="center"/>
          </w:tcPr>
          <w:p w14:paraId="2C858B8D">
            <w:pPr>
              <w:jc w:val="center"/>
              <w:rPr>
                <w:rFonts w:hint="eastAsia" w:ascii="宋体" w:hAnsi="宋体" w:eastAsia="宋体" w:cs="宋体"/>
                <w:color w:val="auto"/>
                <w:sz w:val="24"/>
                <w:highlight w:val="none"/>
              </w:rPr>
            </w:pPr>
          </w:p>
        </w:tc>
        <w:tc>
          <w:tcPr>
            <w:tcW w:w="1275" w:type="dxa"/>
            <w:noWrap w:val="0"/>
            <w:vAlign w:val="center"/>
          </w:tcPr>
          <w:p w14:paraId="50750F6C">
            <w:pPr>
              <w:jc w:val="center"/>
              <w:rPr>
                <w:rFonts w:hint="eastAsia" w:ascii="宋体" w:hAnsi="宋体" w:eastAsia="宋体" w:cs="宋体"/>
                <w:color w:val="auto"/>
                <w:sz w:val="24"/>
                <w:highlight w:val="none"/>
              </w:rPr>
            </w:pPr>
          </w:p>
        </w:tc>
      </w:tr>
      <w:tr w14:paraId="43E5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54A91E7A">
            <w:pPr>
              <w:jc w:val="center"/>
              <w:rPr>
                <w:rFonts w:hint="eastAsia" w:ascii="宋体" w:hAnsi="宋体" w:eastAsia="宋体" w:cs="宋体"/>
                <w:color w:val="auto"/>
                <w:sz w:val="24"/>
                <w:highlight w:val="none"/>
              </w:rPr>
            </w:pPr>
          </w:p>
        </w:tc>
        <w:tc>
          <w:tcPr>
            <w:tcW w:w="828" w:type="dxa"/>
            <w:noWrap w:val="0"/>
            <w:vAlign w:val="center"/>
          </w:tcPr>
          <w:p w14:paraId="07E45301">
            <w:pPr>
              <w:jc w:val="center"/>
              <w:rPr>
                <w:rFonts w:hint="eastAsia" w:ascii="宋体" w:hAnsi="宋体" w:eastAsia="宋体" w:cs="宋体"/>
                <w:color w:val="auto"/>
                <w:sz w:val="24"/>
                <w:highlight w:val="none"/>
              </w:rPr>
            </w:pPr>
          </w:p>
        </w:tc>
        <w:tc>
          <w:tcPr>
            <w:tcW w:w="901" w:type="dxa"/>
            <w:noWrap w:val="0"/>
            <w:vAlign w:val="center"/>
          </w:tcPr>
          <w:p w14:paraId="0F599084">
            <w:pPr>
              <w:jc w:val="center"/>
              <w:rPr>
                <w:rFonts w:hint="eastAsia" w:ascii="宋体" w:hAnsi="宋体" w:eastAsia="宋体" w:cs="宋体"/>
                <w:color w:val="auto"/>
                <w:sz w:val="24"/>
                <w:highlight w:val="none"/>
              </w:rPr>
            </w:pPr>
          </w:p>
        </w:tc>
        <w:tc>
          <w:tcPr>
            <w:tcW w:w="852" w:type="dxa"/>
            <w:noWrap w:val="0"/>
            <w:vAlign w:val="center"/>
          </w:tcPr>
          <w:p w14:paraId="633DD06C">
            <w:pPr>
              <w:jc w:val="center"/>
              <w:rPr>
                <w:rFonts w:hint="eastAsia" w:ascii="宋体" w:hAnsi="宋体" w:eastAsia="宋体" w:cs="宋体"/>
                <w:color w:val="auto"/>
                <w:sz w:val="24"/>
                <w:highlight w:val="none"/>
              </w:rPr>
            </w:pPr>
          </w:p>
        </w:tc>
        <w:tc>
          <w:tcPr>
            <w:tcW w:w="729" w:type="dxa"/>
            <w:noWrap w:val="0"/>
            <w:vAlign w:val="center"/>
          </w:tcPr>
          <w:p w14:paraId="10DB6E50">
            <w:pPr>
              <w:jc w:val="center"/>
              <w:rPr>
                <w:rFonts w:hint="eastAsia" w:ascii="宋体" w:hAnsi="宋体" w:eastAsia="宋体" w:cs="宋体"/>
                <w:color w:val="auto"/>
                <w:sz w:val="24"/>
                <w:highlight w:val="none"/>
              </w:rPr>
            </w:pPr>
          </w:p>
        </w:tc>
        <w:tc>
          <w:tcPr>
            <w:tcW w:w="1284" w:type="dxa"/>
            <w:noWrap w:val="0"/>
            <w:vAlign w:val="center"/>
          </w:tcPr>
          <w:p w14:paraId="13B9EDB4">
            <w:pPr>
              <w:jc w:val="center"/>
              <w:rPr>
                <w:rFonts w:hint="eastAsia" w:ascii="宋体" w:hAnsi="宋体" w:eastAsia="宋体" w:cs="宋体"/>
                <w:color w:val="auto"/>
                <w:sz w:val="24"/>
                <w:highlight w:val="none"/>
              </w:rPr>
            </w:pPr>
          </w:p>
        </w:tc>
        <w:tc>
          <w:tcPr>
            <w:tcW w:w="1309" w:type="dxa"/>
            <w:noWrap w:val="0"/>
            <w:vAlign w:val="center"/>
          </w:tcPr>
          <w:p w14:paraId="20CA4D8B">
            <w:pPr>
              <w:jc w:val="center"/>
              <w:rPr>
                <w:rFonts w:hint="eastAsia" w:ascii="宋体" w:hAnsi="宋体" w:eastAsia="宋体" w:cs="宋体"/>
                <w:color w:val="auto"/>
                <w:sz w:val="24"/>
                <w:highlight w:val="none"/>
              </w:rPr>
            </w:pPr>
          </w:p>
        </w:tc>
        <w:tc>
          <w:tcPr>
            <w:tcW w:w="1186" w:type="dxa"/>
            <w:noWrap w:val="0"/>
            <w:vAlign w:val="center"/>
          </w:tcPr>
          <w:p w14:paraId="4386CCCB">
            <w:pPr>
              <w:jc w:val="center"/>
              <w:rPr>
                <w:rFonts w:hint="eastAsia" w:ascii="宋体" w:hAnsi="宋体" w:eastAsia="宋体" w:cs="宋体"/>
                <w:color w:val="auto"/>
                <w:sz w:val="24"/>
                <w:highlight w:val="none"/>
              </w:rPr>
            </w:pPr>
          </w:p>
        </w:tc>
        <w:tc>
          <w:tcPr>
            <w:tcW w:w="1275" w:type="dxa"/>
            <w:noWrap w:val="0"/>
            <w:vAlign w:val="center"/>
          </w:tcPr>
          <w:p w14:paraId="2F2E67E5">
            <w:pPr>
              <w:jc w:val="center"/>
              <w:rPr>
                <w:rFonts w:hint="eastAsia" w:ascii="宋体" w:hAnsi="宋体" w:eastAsia="宋体" w:cs="宋体"/>
                <w:color w:val="auto"/>
                <w:sz w:val="24"/>
                <w:highlight w:val="none"/>
              </w:rPr>
            </w:pPr>
          </w:p>
        </w:tc>
      </w:tr>
      <w:tr w14:paraId="22B7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56" w:type="dxa"/>
            <w:noWrap w:val="0"/>
            <w:vAlign w:val="center"/>
          </w:tcPr>
          <w:p w14:paraId="01CC7CE3">
            <w:pPr>
              <w:jc w:val="center"/>
              <w:rPr>
                <w:rFonts w:hint="eastAsia" w:ascii="宋体" w:hAnsi="宋体" w:eastAsia="宋体" w:cs="宋体"/>
                <w:color w:val="auto"/>
                <w:sz w:val="24"/>
                <w:highlight w:val="none"/>
              </w:rPr>
            </w:pPr>
          </w:p>
        </w:tc>
        <w:tc>
          <w:tcPr>
            <w:tcW w:w="828" w:type="dxa"/>
            <w:noWrap w:val="0"/>
            <w:vAlign w:val="center"/>
          </w:tcPr>
          <w:p w14:paraId="33848D71">
            <w:pPr>
              <w:jc w:val="center"/>
              <w:rPr>
                <w:rFonts w:hint="eastAsia" w:ascii="宋体" w:hAnsi="宋体" w:eastAsia="宋体" w:cs="宋体"/>
                <w:color w:val="auto"/>
                <w:sz w:val="24"/>
                <w:highlight w:val="none"/>
              </w:rPr>
            </w:pPr>
          </w:p>
        </w:tc>
        <w:tc>
          <w:tcPr>
            <w:tcW w:w="901" w:type="dxa"/>
            <w:noWrap w:val="0"/>
            <w:vAlign w:val="center"/>
          </w:tcPr>
          <w:p w14:paraId="544A350D">
            <w:pPr>
              <w:jc w:val="center"/>
              <w:rPr>
                <w:rFonts w:hint="eastAsia" w:ascii="宋体" w:hAnsi="宋体" w:eastAsia="宋体" w:cs="宋体"/>
                <w:color w:val="auto"/>
                <w:sz w:val="24"/>
                <w:highlight w:val="none"/>
              </w:rPr>
            </w:pPr>
          </w:p>
        </w:tc>
        <w:tc>
          <w:tcPr>
            <w:tcW w:w="852" w:type="dxa"/>
            <w:noWrap w:val="0"/>
            <w:vAlign w:val="center"/>
          </w:tcPr>
          <w:p w14:paraId="1250965E">
            <w:pPr>
              <w:jc w:val="center"/>
              <w:rPr>
                <w:rFonts w:hint="eastAsia" w:ascii="宋体" w:hAnsi="宋体" w:eastAsia="宋体" w:cs="宋体"/>
                <w:color w:val="auto"/>
                <w:sz w:val="24"/>
                <w:highlight w:val="none"/>
              </w:rPr>
            </w:pPr>
          </w:p>
        </w:tc>
        <w:tc>
          <w:tcPr>
            <w:tcW w:w="729" w:type="dxa"/>
            <w:noWrap w:val="0"/>
            <w:vAlign w:val="center"/>
          </w:tcPr>
          <w:p w14:paraId="36E13E23">
            <w:pPr>
              <w:jc w:val="center"/>
              <w:rPr>
                <w:rFonts w:hint="eastAsia" w:ascii="宋体" w:hAnsi="宋体" w:eastAsia="宋体" w:cs="宋体"/>
                <w:color w:val="auto"/>
                <w:sz w:val="24"/>
                <w:highlight w:val="none"/>
              </w:rPr>
            </w:pPr>
          </w:p>
        </w:tc>
        <w:tc>
          <w:tcPr>
            <w:tcW w:w="1284" w:type="dxa"/>
            <w:noWrap w:val="0"/>
            <w:vAlign w:val="center"/>
          </w:tcPr>
          <w:p w14:paraId="71A50C3E">
            <w:pPr>
              <w:jc w:val="center"/>
              <w:rPr>
                <w:rFonts w:hint="eastAsia" w:ascii="宋体" w:hAnsi="宋体" w:eastAsia="宋体" w:cs="宋体"/>
                <w:color w:val="auto"/>
                <w:sz w:val="24"/>
                <w:highlight w:val="none"/>
              </w:rPr>
            </w:pPr>
          </w:p>
        </w:tc>
        <w:tc>
          <w:tcPr>
            <w:tcW w:w="1309" w:type="dxa"/>
            <w:noWrap w:val="0"/>
            <w:vAlign w:val="center"/>
          </w:tcPr>
          <w:p w14:paraId="4DC061F8">
            <w:pPr>
              <w:jc w:val="center"/>
              <w:rPr>
                <w:rFonts w:hint="eastAsia" w:ascii="宋体" w:hAnsi="宋体" w:eastAsia="宋体" w:cs="宋体"/>
                <w:color w:val="auto"/>
                <w:sz w:val="24"/>
                <w:highlight w:val="none"/>
              </w:rPr>
            </w:pPr>
          </w:p>
        </w:tc>
        <w:tc>
          <w:tcPr>
            <w:tcW w:w="1186" w:type="dxa"/>
            <w:noWrap w:val="0"/>
            <w:vAlign w:val="center"/>
          </w:tcPr>
          <w:p w14:paraId="33FBB050">
            <w:pPr>
              <w:jc w:val="center"/>
              <w:rPr>
                <w:rFonts w:hint="eastAsia" w:ascii="宋体" w:hAnsi="宋体" w:eastAsia="宋体" w:cs="宋体"/>
                <w:color w:val="auto"/>
                <w:sz w:val="24"/>
                <w:highlight w:val="none"/>
              </w:rPr>
            </w:pPr>
          </w:p>
        </w:tc>
        <w:tc>
          <w:tcPr>
            <w:tcW w:w="1275" w:type="dxa"/>
            <w:noWrap w:val="0"/>
            <w:vAlign w:val="center"/>
          </w:tcPr>
          <w:p w14:paraId="60B9C32F">
            <w:pPr>
              <w:jc w:val="center"/>
              <w:rPr>
                <w:rFonts w:hint="eastAsia" w:ascii="宋体" w:hAnsi="宋体" w:eastAsia="宋体" w:cs="宋体"/>
                <w:color w:val="auto"/>
                <w:sz w:val="24"/>
                <w:highlight w:val="none"/>
              </w:rPr>
            </w:pPr>
          </w:p>
        </w:tc>
      </w:tr>
    </w:tbl>
    <w:p w14:paraId="71CDE8C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供应商（签章）：</w:t>
      </w:r>
    </w:p>
    <w:p w14:paraId="0E866A5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法定代表人（签章）：</w:t>
      </w:r>
    </w:p>
    <w:p w14:paraId="084B627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日期：  年  月   日</w:t>
      </w:r>
    </w:p>
    <w:p w14:paraId="351C6F46">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十三、</w:t>
      </w:r>
      <w:r>
        <w:rPr>
          <w:rFonts w:hint="eastAsia" w:asciiTheme="minorEastAsia" w:hAnsiTheme="minorEastAsia" w:eastAsiaTheme="minorEastAsia"/>
          <w:b/>
          <w:color w:val="auto"/>
          <w:sz w:val="24"/>
          <w:highlight w:val="none"/>
        </w:rPr>
        <w:t>其他相关证明材料</w:t>
      </w:r>
    </w:p>
    <w:p w14:paraId="093B292A">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72323735">
      <w:pPr>
        <w:spacing w:line="360" w:lineRule="auto"/>
        <w:ind w:firstLine="435"/>
        <w:rPr>
          <w:rFonts w:asciiTheme="minorEastAsia" w:hAnsiTheme="minorEastAsia" w:eastAsiaTheme="minorEastAsia"/>
          <w:color w:val="auto"/>
          <w:sz w:val="24"/>
          <w:highlight w:val="none"/>
        </w:rPr>
      </w:pPr>
    </w:p>
    <w:p w14:paraId="4E2DE6F3">
      <w:pPr>
        <w:spacing w:line="360" w:lineRule="auto"/>
        <w:ind w:firstLine="480" w:firstLineChars="200"/>
        <w:rPr>
          <w:rFonts w:asciiTheme="minorEastAsia" w:hAnsiTheme="minorEastAsia" w:eastAsiaTheme="minorEastAsia"/>
          <w:color w:val="auto"/>
          <w:sz w:val="24"/>
          <w:highlight w:val="none"/>
        </w:rPr>
      </w:pPr>
    </w:p>
    <w:p w14:paraId="2160CC5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03113E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w:t>
      </w:r>
      <w:r>
        <w:rPr>
          <w:rFonts w:asciiTheme="minorEastAsia" w:hAnsiTheme="minorEastAsia" w:eastAsiaTheme="minorEastAsia"/>
          <w:color w:val="auto"/>
          <w:sz w:val="24"/>
          <w:highlight w:val="none"/>
        </w:rPr>
        <w:t>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5930CB5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E5BBEE6">
      <w:pPr>
        <w:spacing w:line="360" w:lineRule="auto"/>
        <w:jc w:val="center"/>
        <w:outlineLvl w:val="0"/>
        <w:rPr>
          <w:rFonts w:ascii="宋体" w:hAnsi="宋体" w:eastAsia="宋体"/>
          <w:b/>
          <w:bCs/>
          <w:color w:val="auto"/>
          <w:sz w:val="28"/>
          <w:highlight w:val="none"/>
        </w:rPr>
      </w:pPr>
      <w:bookmarkStart w:id="151" w:name="_Toc60608832"/>
      <w:bookmarkStart w:id="152" w:name="_Toc19945"/>
      <w:bookmarkStart w:id="153" w:name="_Toc3652"/>
      <w:bookmarkStart w:id="154" w:name="_Toc32294"/>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r>
        <w:rPr>
          <w:rFonts w:hint="eastAsia"/>
          <w:b/>
          <w:bCs/>
          <w:color w:val="auto"/>
          <w:sz w:val="28"/>
          <w:highlight w:val="none"/>
        </w:rPr>
        <w:t xml:space="preserve"> </w:t>
      </w:r>
      <w:bookmarkEnd w:id="151"/>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52"/>
      <w:bookmarkEnd w:id="153"/>
      <w:bookmarkEnd w:id="154"/>
    </w:p>
    <w:p w14:paraId="72B27C0E">
      <w:pPr>
        <w:spacing w:line="360" w:lineRule="auto"/>
        <w:jc w:val="center"/>
        <w:outlineLvl w:val="1"/>
        <w:rPr>
          <w:rFonts w:ascii="仿宋" w:hAnsi="仿宋" w:eastAsia="仿宋" w:cs="仿宋"/>
          <w:b/>
          <w:bCs/>
          <w:color w:val="auto"/>
          <w:sz w:val="32"/>
          <w:szCs w:val="44"/>
          <w:highlight w:val="none"/>
        </w:rPr>
      </w:pPr>
      <w:bookmarkStart w:id="155" w:name="_Toc15965"/>
      <w:bookmarkStart w:id="156" w:name="_Toc29598"/>
      <w:r>
        <w:rPr>
          <w:rFonts w:hint="eastAsia" w:ascii="仿宋" w:hAnsi="仿宋" w:eastAsia="仿宋" w:cs="仿宋"/>
          <w:b/>
          <w:bCs/>
          <w:color w:val="auto"/>
          <w:sz w:val="32"/>
          <w:szCs w:val="44"/>
          <w:highlight w:val="none"/>
        </w:rPr>
        <w:t>询问函范本</w:t>
      </w:r>
      <w:bookmarkEnd w:id="155"/>
      <w:bookmarkEnd w:id="156"/>
    </w:p>
    <w:p w14:paraId="2725A589">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ED4AFAF">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99EE45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i/>
          <w:iCs/>
          <w:color w:val="auto"/>
          <w:sz w:val="24"/>
          <w:szCs w:val="24"/>
          <w:highlight w:val="none"/>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2CA3CA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7" w:name="_Toc29988"/>
      <w:bookmarkStart w:id="158" w:name="_Toc11903"/>
      <w:r>
        <w:rPr>
          <w:rFonts w:hint="eastAsia" w:cs="仿宋" w:asciiTheme="minorEastAsia" w:hAnsiTheme="minorEastAsia" w:eastAsiaTheme="minorEastAsia"/>
          <w:color w:val="auto"/>
          <w:sz w:val="24"/>
          <w:szCs w:val="24"/>
          <w:highlight w:val="none"/>
        </w:rPr>
        <w:t>一、(事项一)</w:t>
      </w:r>
      <w:bookmarkEnd w:id="157"/>
      <w:bookmarkEnd w:id="158"/>
    </w:p>
    <w:p w14:paraId="37D128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3E67C0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F556A7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DB2B2E">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9" w:name="_Toc31894"/>
      <w:bookmarkStart w:id="160" w:name="_Toc2942"/>
      <w:r>
        <w:rPr>
          <w:rFonts w:hint="eastAsia" w:cs="仿宋" w:asciiTheme="minorEastAsia" w:hAnsiTheme="minorEastAsia" w:eastAsiaTheme="minorEastAsia"/>
          <w:color w:val="auto"/>
          <w:sz w:val="24"/>
          <w:szCs w:val="24"/>
          <w:highlight w:val="none"/>
        </w:rPr>
        <w:t>二、(事项二)</w:t>
      </w:r>
      <w:bookmarkEnd w:id="159"/>
      <w:bookmarkEnd w:id="160"/>
    </w:p>
    <w:p w14:paraId="5A21D35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A3C2DBA">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F61878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C906D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651CA5C">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D0F2DA">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09D0EDD">
      <w:pPr>
        <w:jc w:val="center"/>
        <w:outlineLvl w:val="1"/>
        <w:rPr>
          <w:rFonts w:ascii="仿宋" w:hAnsi="仿宋" w:eastAsia="仿宋" w:cs="仿宋"/>
          <w:b/>
          <w:bCs/>
          <w:color w:val="auto"/>
          <w:sz w:val="32"/>
          <w:szCs w:val="44"/>
          <w:highlight w:val="none"/>
        </w:rPr>
      </w:pPr>
      <w:bookmarkStart w:id="161" w:name="_Toc22109"/>
      <w:bookmarkStart w:id="162" w:name="_Toc26062"/>
      <w:r>
        <w:rPr>
          <w:rFonts w:hint="eastAsia" w:ascii="仿宋" w:hAnsi="仿宋" w:eastAsia="仿宋" w:cs="仿宋"/>
          <w:b/>
          <w:bCs/>
          <w:color w:val="auto"/>
          <w:sz w:val="32"/>
          <w:szCs w:val="44"/>
          <w:highlight w:val="none"/>
        </w:rPr>
        <w:t>质疑函范本</w:t>
      </w:r>
      <w:bookmarkEnd w:id="161"/>
      <w:bookmarkEnd w:id="162"/>
    </w:p>
    <w:p w14:paraId="081F683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63" w:name="_Toc29798"/>
      <w:bookmarkStart w:id="164" w:name="_Toc24159"/>
      <w:r>
        <w:rPr>
          <w:rFonts w:hint="eastAsia" w:cs="仿宋" w:asciiTheme="minorEastAsia" w:hAnsiTheme="minorEastAsia" w:eastAsiaTheme="minorEastAsia"/>
          <w:b/>
          <w:bCs/>
          <w:color w:val="auto"/>
          <w:sz w:val="24"/>
          <w:szCs w:val="24"/>
          <w:highlight w:val="none"/>
        </w:rPr>
        <w:t>一、质疑供应商基本信息</w:t>
      </w:r>
      <w:bookmarkEnd w:id="163"/>
      <w:bookmarkEnd w:id="164"/>
    </w:p>
    <w:p w14:paraId="30B1DFC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1867F19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F665A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A53B5C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C7C3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64E53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B96DC7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5" w:name="_Toc23479"/>
      <w:bookmarkStart w:id="166" w:name="_Toc5445"/>
      <w:r>
        <w:rPr>
          <w:rFonts w:hint="eastAsia" w:cs="仿宋" w:asciiTheme="minorEastAsia" w:hAnsiTheme="minorEastAsia" w:eastAsiaTheme="minorEastAsia"/>
          <w:b/>
          <w:bCs/>
          <w:color w:val="auto"/>
          <w:sz w:val="24"/>
          <w:szCs w:val="24"/>
          <w:highlight w:val="none"/>
        </w:rPr>
        <w:t>二、质疑项目基本情况</w:t>
      </w:r>
      <w:bookmarkEnd w:id="165"/>
      <w:bookmarkEnd w:id="166"/>
    </w:p>
    <w:p w14:paraId="1C694DE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6A353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945C5C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3C86BF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9C32F3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7" w:name="_Toc26982"/>
      <w:bookmarkStart w:id="168" w:name="_Toc5891"/>
      <w:r>
        <w:rPr>
          <w:rFonts w:hint="eastAsia" w:cs="仿宋" w:asciiTheme="minorEastAsia" w:hAnsiTheme="minorEastAsia" w:eastAsiaTheme="minorEastAsia"/>
          <w:b/>
          <w:bCs/>
          <w:color w:val="auto"/>
          <w:sz w:val="24"/>
          <w:szCs w:val="24"/>
          <w:highlight w:val="none"/>
        </w:rPr>
        <w:t>三、质疑事项具体内容</w:t>
      </w:r>
      <w:bookmarkEnd w:id="167"/>
      <w:bookmarkEnd w:id="168"/>
    </w:p>
    <w:p w14:paraId="712B19F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203171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A0FEA3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C2A87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1ED2C2F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CB62D0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28CF8A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17EEAE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9" w:name="_Toc16039"/>
      <w:bookmarkStart w:id="170" w:name="_Toc9453"/>
      <w:r>
        <w:rPr>
          <w:rFonts w:hint="eastAsia" w:cs="仿宋" w:asciiTheme="minorEastAsia" w:hAnsiTheme="minorEastAsia" w:eastAsiaTheme="minorEastAsia"/>
          <w:b/>
          <w:bCs/>
          <w:color w:val="auto"/>
          <w:sz w:val="24"/>
          <w:szCs w:val="24"/>
          <w:highlight w:val="none"/>
        </w:rPr>
        <w:t>四、与质疑事项相关的质疑请求</w:t>
      </w:r>
      <w:bookmarkEnd w:id="169"/>
      <w:bookmarkEnd w:id="170"/>
    </w:p>
    <w:p w14:paraId="070FCD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1BAFE4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6CEC2D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6510054">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F2D028F">
      <w:pPr>
        <w:outlineLvl w:val="0"/>
        <w:rPr>
          <w:rFonts w:asciiTheme="minorEastAsia" w:hAnsiTheme="minorEastAsia" w:eastAsiaTheme="minorEastAsia"/>
          <w:b/>
          <w:color w:val="auto"/>
          <w:sz w:val="28"/>
          <w:szCs w:val="32"/>
          <w:highlight w:val="none"/>
        </w:rPr>
      </w:pPr>
      <w:bookmarkStart w:id="171" w:name="_Toc28276"/>
      <w:bookmarkStart w:id="172" w:name="_Toc10345"/>
      <w:bookmarkStart w:id="173" w:name="_Toc15971"/>
      <w:r>
        <w:rPr>
          <w:rFonts w:hint="eastAsia" w:asciiTheme="minorEastAsia" w:hAnsiTheme="minorEastAsia" w:eastAsiaTheme="minorEastAsia"/>
          <w:b/>
          <w:color w:val="auto"/>
          <w:sz w:val="28"/>
          <w:szCs w:val="32"/>
          <w:highlight w:val="none"/>
        </w:rPr>
        <w:t>质疑函制作说明：</w:t>
      </w:r>
      <w:bookmarkEnd w:id="171"/>
      <w:bookmarkEnd w:id="172"/>
      <w:bookmarkEnd w:id="173"/>
    </w:p>
    <w:p w14:paraId="286150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0934D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A7A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CFA95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B25D2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EBE6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3778B5D">
      <w:pPr>
        <w:spacing w:line="360" w:lineRule="auto"/>
        <w:ind w:firstLine="435"/>
        <w:rPr>
          <w:rFonts w:hint="eastAsia" w:asciiTheme="minorEastAsia" w:hAnsiTheme="minorEastAsia" w:eastAsiaTheme="minorEastAsia"/>
          <w:color w:val="auto"/>
          <w:sz w:val="24"/>
          <w:highlight w:val="none"/>
        </w:rPr>
      </w:pPr>
    </w:p>
    <w:p w14:paraId="33F50078">
      <w:pPr>
        <w:spacing w:line="360" w:lineRule="auto"/>
        <w:ind w:firstLine="435"/>
        <w:rPr>
          <w:rFonts w:hint="eastAsia" w:asciiTheme="minorEastAsia" w:hAnsiTheme="minorEastAsia" w:eastAsiaTheme="minorEastAsia"/>
          <w:color w:val="auto"/>
          <w:sz w:val="24"/>
          <w:highlight w:val="none"/>
        </w:rPr>
      </w:pPr>
    </w:p>
    <w:p w14:paraId="5EFA33DA">
      <w:pPr>
        <w:spacing w:line="360" w:lineRule="auto"/>
        <w:ind w:firstLine="435"/>
        <w:rPr>
          <w:rFonts w:hint="eastAsia" w:asciiTheme="minorEastAsia" w:hAnsiTheme="minorEastAsia" w:eastAsiaTheme="minorEastAsia"/>
          <w:color w:val="auto"/>
          <w:sz w:val="24"/>
          <w:highlight w:val="none"/>
        </w:rPr>
      </w:pPr>
    </w:p>
    <w:p w14:paraId="22B4D7A7">
      <w:pPr>
        <w:spacing w:line="360" w:lineRule="auto"/>
        <w:ind w:firstLine="435"/>
        <w:rPr>
          <w:rFonts w:hint="eastAsia" w:asciiTheme="minorEastAsia" w:hAnsiTheme="minorEastAsia" w:eastAsiaTheme="minorEastAsia"/>
          <w:color w:val="auto"/>
          <w:sz w:val="24"/>
          <w:highlight w:val="none"/>
        </w:rPr>
      </w:pPr>
    </w:p>
    <w:p w14:paraId="0351A268">
      <w:pPr>
        <w:spacing w:line="360" w:lineRule="auto"/>
        <w:ind w:firstLine="435"/>
        <w:rPr>
          <w:rFonts w:hint="eastAsia" w:asciiTheme="minorEastAsia" w:hAnsiTheme="minorEastAsia" w:eastAsiaTheme="minorEastAsia"/>
          <w:color w:val="auto"/>
          <w:sz w:val="24"/>
          <w:highlight w:val="none"/>
        </w:rPr>
      </w:pPr>
    </w:p>
    <w:p w14:paraId="6423EE7B">
      <w:pPr>
        <w:spacing w:line="360" w:lineRule="auto"/>
        <w:ind w:firstLine="435"/>
        <w:rPr>
          <w:rFonts w:hint="eastAsia" w:asciiTheme="minorEastAsia" w:hAnsiTheme="minorEastAsia" w:eastAsiaTheme="minorEastAsia"/>
          <w:color w:val="auto"/>
          <w:sz w:val="24"/>
          <w:highlight w:val="none"/>
        </w:rPr>
      </w:pPr>
    </w:p>
    <w:p w14:paraId="79997D72">
      <w:pPr>
        <w:spacing w:line="360" w:lineRule="auto"/>
        <w:ind w:firstLine="435"/>
        <w:rPr>
          <w:rFonts w:hint="eastAsia" w:asciiTheme="minorEastAsia" w:hAnsiTheme="minorEastAsia" w:eastAsiaTheme="minorEastAsia"/>
          <w:color w:val="auto"/>
          <w:sz w:val="24"/>
          <w:highlight w:val="none"/>
        </w:rPr>
      </w:pPr>
    </w:p>
    <w:p w14:paraId="5FC0837E">
      <w:pPr>
        <w:spacing w:line="360" w:lineRule="auto"/>
        <w:ind w:firstLine="435"/>
        <w:rPr>
          <w:rFonts w:hint="eastAsia" w:asciiTheme="minorEastAsia" w:hAnsiTheme="minorEastAsia" w:eastAsiaTheme="minorEastAsia"/>
          <w:color w:val="auto"/>
          <w:sz w:val="24"/>
          <w:highlight w:val="none"/>
        </w:rPr>
      </w:pPr>
    </w:p>
    <w:p w14:paraId="52AA8BFB">
      <w:pPr>
        <w:spacing w:line="360" w:lineRule="auto"/>
        <w:ind w:firstLine="435"/>
        <w:rPr>
          <w:rFonts w:hint="eastAsia" w:asciiTheme="minorEastAsia" w:hAnsiTheme="minorEastAsia" w:eastAsiaTheme="minorEastAsia"/>
          <w:color w:val="auto"/>
          <w:sz w:val="24"/>
          <w:highlight w:val="none"/>
        </w:rPr>
      </w:pPr>
    </w:p>
    <w:p w14:paraId="2AF923CC">
      <w:pPr>
        <w:spacing w:line="360" w:lineRule="auto"/>
        <w:ind w:firstLine="435"/>
        <w:rPr>
          <w:rFonts w:hint="eastAsia" w:asciiTheme="minorEastAsia" w:hAnsiTheme="minorEastAsia" w:eastAsiaTheme="minorEastAsia"/>
          <w:color w:val="auto"/>
          <w:sz w:val="24"/>
          <w:highlight w:val="none"/>
        </w:rPr>
      </w:pPr>
    </w:p>
    <w:p w14:paraId="424CF0C1">
      <w:pPr>
        <w:spacing w:line="360" w:lineRule="auto"/>
        <w:ind w:firstLine="435"/>
        <w:rPr>
          <w:rFonts w:hint="eastAsia" w:asciiTheme="minorEastAsia" w:hAnsiTheme="minorEastAsia" w:eastAsiaTheme="minorEastAsia"/>
          <w:color w:val="auto"/>
          <w:sz w:val="24"/>
          <w:highlight w:val="none"/>
        </w:rPr>
      </w:pPr>
    </w:p>
    <w:p w14:paraId="5E533DAF">
      <w:pPr>
        <w:spacing w:line="360" w:lineRule="auto"/>
        <w:ind w:firstLine="435"/>
        <w:rPr>
          <w:rFonts w:hint="eastAsia" w:asciiTheme="minorEastAsia" w:hAnsiTheme="minorEastAsia" w:eastAsiaTheme="minorEastAsia"/>
          <w:color w:val="auto"/>
          <w:sz w:val="24"/>
          <w:highlight w:val="none"/>
        </w:rPr>
      </w:pPr>
    </w:p>
    <w:p w14:paraId="57B5618A">
      <w:pPr>
        <w:spacing w:line="360" w:lineRule="auto"/>
        <w:ind w:firstLine="435"/>
        <w:rPr>
          <w:rFonts w:hint="eastAsia" w:asciiTheme="minorEastAsia" w:hAnsiTheme="minorEastAsia" w:eastAsiaTheme="minorEastAsia"/>
          <w:color w:val="auto"/>
          <w:sz w:val="24"/>
          <w:highlight w:val="none"/>
        </w:rPr>
      </w:pPr>
    </w:p>
    <w:p w14:paraId="71D0D1B1">
      <w:pPr>
        <w:spacing w:line="360" w:lineRule="auto"/>
        <w:ind w:firstLine="435"/>
        <w:rPr>
          <w:rFonts w:hint="eastAsia" w:asciiTheme="minorEastAsia" w:hAnsiTheme="minorEastAsia" w:eastAsiaTheme="minorEastAsia"/>
          <w:color w:val="auto"/>
          <w:sz w:val="24"/>
          <w:highlight w:val="none"/>
        </w:rPr>
      </w:pPr>
    </w:p>
    <w:p w14:paraId="079BB64B">
      <w:pPr>
        <w:spacing w:line="360" w:lineRule="auto"/>
        <w:ind w:firstLine="435"/>
        <w:rPr>
          <w:rFonts w:hint="eastAsia" w:asciiTheme="minorEastAsia" w:hAnsiTheme="minorEastAsia" w:eastAsiaTheme="minorEastAsia"/>
          <w:color w:val="auto"/>
          <w:sz w:val="24"/>
          <w:highlight w:val="none"/>
        </w:rPr>
      </w:pPr>
    </w:p>
    <w:p w14:paraId="472D3083">
      <w:pPr>
        <w:spacing w:line="360" w:lineRule="auto"/>
        <w:ind w:firstLine="435"/>
        <w:rPr>
          <w:rFonts w:hint="eastAsia" w:asciiTheme="minorEastAsia" w:hAnsiTheme="minorEastAsia" w:eastAsiaTheme="minorEastAsia"/>
          <w:color w:val="auto"/>
          <w:sz w:val="24"/>
          <w:highlight w:val="none"/>
        </w:rPr>
      </w:pPr>
    </w:p>
    <w:p w14:paraId="23A39128">
      <w:pPr>
        <w:spacing w:line="360" w:lineRule="auto"/>
        <w:ind w:firstLine="435"/>
        <w:rPr>
          <w:rFonts w:hint="eastAsia" w:asciiTheme="minorEastAsia" w:hAnsiTheme="minorEastAsia" w:eastAsiaTheme="minorEastAsia"/>
          <w:color w:val="auto"/>
          <w:sz w:val="24"/>
          <w:highlight w:val="none"/>
        </w:rPr>
      </w:pPr>
    </w:p>
    <w:p w14:paraId="3A303209">
      <w:pPr>
        <w:spacing w:line="360" w:lineRule="auto"/>
        <w:ind w:firstLine="435"/>
        <w:rPr>
          <w:rFonts w:hint="eastAsia" w:asciiTheme="minorEastAsia" w:hAnsiTheme="minorEastAsia" w:eastAsiaTheme="minorEastAsia"/>
          <w:color w:val="auto"/>
          <w:sz w:val="24"/>
          <w:highlight w:val="none"/>
        </w:rPr>
      </w:pPr>
    </w:p>
    <w:p w14:paraId="605EE50E">
      <w:pPr>
        <w:spacing w:line="360" w:lineRule="auto"/>
        <w:ind w:firstLine="435"/>
        <w:rPr>
          <w:rFonts w:hint="eastAsia" w:asciiTheme="minorEastAsia" w:hAnsiTheme="minorEastAsia" w:eastAsiaTheme="minorEastAsia"/>
          <w:color w:val="auto"/>
          <w:sz w:val="24"/>
          <w:highlight w:val="none"/>
        </w:rPr>
      </w:pPr>
    </w:p>
    <w:p w14:paraId="47EAAAFC">
      <w:pP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ascii="Times New Roman" w:hAnsi="Times New Roman" w:eastAsia="宋体" w:cs="Times New Roman"/>
          <w:b/>
          <w:color w:val="auto"/>
          <w:sz w:val="28"/>
          <w:szCs w:val="28"/>
          <w:highlight w:val="none"/>
        </w:rPr>
        <w:t>1</w:t>
      </w:r>
    </w:p>
    <w:p w14:paraId="0D61CCA0">
      <w:pPr>
        <w:spacing w:line="440" w:lineRule="exact"/>
        <w:jc w:val="center"/>
        <w:rPr>
          <w:rFonts w:hint="eastAsia" w:ascii="黑体" w:hAnsi="宋体" w:eastAsia="黑体" w:cs="黑体"/>
          <w:b/>
          <w:color w:val="auto"/>
          <w:sz w:val="30"/>
          <w:szCs w:val="30"/>
          <w:highlight w:val="none"/>
        </w:rPr>
      </w:pPr>
      <w:r>
        <w:rPr>
          <w:rFonts w:hint="eastAsia" w:ascii="黑体" w:hAnsi="宋体" w:eastAsia="黑体" w:cs="黑体"/>
          <w:b/>
          <w:color w:val="auto"/>
          <w:sz w:val="30"/>
          <w:szCs w:val="30"/>
          <w:highlight w:val="none"/>
        </w:rPr>
        <w:t>关于联合惩戒失信行为 加强信用查询管理的通知</w:t>
      </w:r>
    </w:p>
    <w:p w14:paraId="31B60A0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一、失信行为联合惩戒的范围和查询渠道</w:t>
      </w:r>
    </w:p>
    <w:p w14:paraId="2B77769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48E1DC7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（一）工程建设项目</w:t>
      </w:r>
    </w:p>
    <w:p w14:paraId="5C37AD0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1、“信用中国”网站（www.creditchina.gov.cn）查询投标人、法定代表人及其项目经理(建造师)以下失信行为：</w:t>
      </w:r>
    </w:p>
    <w:p w14:paraId="3CE158B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5982AAF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2F37902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③被列入“拖欠农民工工资失信联合惩戒对象名单”的；</w:t>
      </w:r>
    </w:p>
    <w:p w14:paraId="0905B8C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④被列入 “严重失信主体名单”的；</w:t>
      </w:r>
    </w:p>
    <w:p w14:paraId="14239A4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⑤在“信用中国”网站上披露的仍在公示期的严重失信行为(具体行为类别及判定依据见附件2)的。</w:t>
      </w:r>
    </w:p>
    <w:p w14:paraId="32BF628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查询投标人以下失信行为：</w:t>
      </w:r>
    </w:p>
    <w:p w14:paraId="475AD8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2CE3CA8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7ED3DC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2EFC2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786869A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2E139D8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7DD54CA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E810DF3">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1A01626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1、“信用中国”网站（www.creditchina.gov.cn）查询供应商、法定代表人及其项目负责人以下失信行为：</w:t>
      </w:r>
    </w:p>
    <w:p w14:paraId="6BE0B6F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799BFA7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1F49FF9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985BEC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020E96B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05768BD3">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DCCDA9">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6F2D7B1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5DB92C5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4FF27BB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EF89A6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二、在开评标活动中的查询程序</w:t>
      </w:r>
    </w:p>
    <w:p w14:paraId="764ADD0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0C2F99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9DDEEC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3、项目单位及其委托的代理机构应当做好信用查询结果截图和记录留存。</w:t>
      </w:r>
    </w:p>
    <w:p w14:paraId="2815A61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三、相关要求</w:t>
      </w:r>
    </w:p>
    <w:p w14:paraId="50BCC71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630C38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D1B8889">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F39A905">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2、“信用中国”查询的严重失信行为判定依据为各行业主管部门下发的联合惩戒文件中规定的行为（按附件2执行）。</w:t>
      </w:r>
    </w:p>
    <w:p w14:paraId="2CE6B53F">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03567057">
      <w:pPr>
        <w:pStyle w:val="20"/>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color w:val="auto"/>
          <w:kern w:val="2"/>
          <w:sz w:val="21"/>
          <w:szCs w:val="21"/>
          <w:highlight w:val="none"/>
        </w:rPr>
      </w:pPr>
      <w:r>
        <w:rPr>
          <w:rFonts w:hint="eastAsia" w:ascii="宋体" w:hAnsi="Calibri" w:eastAsia="宋体" w:cs="Times New Roman"/>
          <w:color w:val="auto"/>
          <w:kern w:val="2"/>
          <w:sz w:val="21"/>
          <w:szCs w:val="21"/>
          <w:highlight w:val="none"/>
          <w:lang w:val="en-US" w:eastAsia="zh-CN" w:bidi="ar"/>
        </w:rPr>
        <w:t xml:space="preserve"> </w:t>
      </w:r>
    </w:p>
    <w:p w14:paraId="735C20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br w:type="page"/>
      </w:r>
      <w:r>
        <w:rPr>
          <w:rFonts w:hint="eastAsia" w:ascii="宋体" w:hAnsi="宋体" w:eastAsia="宋体" w:cs="宋体"/>
          <w:b/>
          <w:bCs w:val="0"/>
          <w:color w:val="auto"/>
          <w:kern w:val="0"/>
          <w:sz w:val="24"/>
          <w:szCs w:val="24"/>
          <w:highlight w:val="none"/>
          <w:lang w:val="en-US" w:eastAsia="zh-CN" w:bidi="ar"/>
        </w:rPr>
        <w:t>附件</w:t>
      </w:r>
      <w:r>
        <w:rPr>
          <w:rFonts w:hint="default" w:ascii="Times New Roman" w:hAnsi="Times New Roman" w:eastAsia="宋体" w:cs="Times New Roman"/>
          <w:b/>
          <w:bCs w:val="0"/>
          <w:color w:val="auto"/>
          <w:kern w:val="0"/>
          <w:sz w:val="24"/>
          <w:szCs w:val="24"/>
          <w:highlight w:val="none"/>
          <w:lang w:val="en-US" w:eastAsia="zh-CN" w:bidi="ar"/>
        </w:rPr>
        <w:t>2</w:t>
      </w:r>
    </w:p>
    <w:p w14:paraId="5DDD843C">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“信用中国”查询的严重失信行为类别及判定依据</w:t>
      </w:r>
    </w:p>
    <w:p w14:paraId="0621617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0254276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一、安全生产领域严重失信行为：</w:t>
      </w:r>
    </w:p>
    <w:p w14:paraId="7B80227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（一）下列发生生产安全事故的生产经营单位及其有关人员应当列入严重失信主体名单：</w:t>
      </w:r>
    </w:p>
    <w:p w14:paraId="75F38B2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0FAD9AC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2、12个月内累计发生2起以上较大生产安全事故的生产经营单位及其主要负责人；</w:t>
      </w:r>
    </w:p>
    <w:p w14:paraId="032D9D5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2CDBD5A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4、瞒报、谎报生产安全事故的生产经营单位及其有关责任人员；</w:t>
      </w:r>
    </w:p>
    <w:p w14:paraId="07313BD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5、发生生产安全事故后，不立即组织抢救或者在事故调查处理期间擅离职守或者逃匿的生产经营单位主要负责人。</w:t>
      </w:r>
    </w:p>
    <w:p w14:paraId="58CBBDE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4FB2B24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1、未依法取得安全生产相关许可或者许可被暂扣、吊销期间从事相关生产经营活动的生产经营单位及其主要负责人；</w:t>
      </w:r>
    </w:p>
    <w:p w14:paraId="7412B5F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2、承担安全评价、认证、检测、检验职责的机构及其直接责任人员租借资质、挂靠、出具虚假报告或者证书的；</w:t>
      </w:r>
    </w:p>
    <w:p w14:paraId="655DD3F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3、在应急管理部门作出行政处罚后，有执行能力拒不执行或者逃避执行的生产经营单位及其主要负责人；</w:t>
      </w:r>
    </w:p>
    <w:p w14:paraId="5C8051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4、其他违反安全生产法律法规受到行政处罚，且性质恶劣、情节严重的。</w:t>
      </w:r>
    </w:p>
    <w:p w14:paraId="7B4A9A7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依据：《安全生产严重失信主体名单管理办法》（2023年8月8日应急管理部令第11号）</w:t>
      </w:r>
    </w:p>
    <w:p w14:paraId="594DCD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二、环境保护领域严重失信行为：</w:t>
      </w:r>
    </w:p>
    <w:p w14:paraId="59273A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（一）因为环境违法构成环境犯罪的；</w:t>
      </w:r>
    </w:p>
    <w:p w14:paraId="0EAB539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（二）建设项目环境影响评价文件未按规定通过审批，擅自开工建设的；</w:t>
      </w:r>
    </w:p>
    <w:p w14:paraId="069BA9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（三）建设项目环保设施未建成、环保措施未落实、未通过竣工环保验收或者验收不合格，主体工程正式投入生产或者使用的；</w:t>
      </w:r>
    </w:p>
    <w:p w14:paraId="2155E86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5436F4B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（五）主要污染物排放总量超过控制指标的；</w:t>
      </w:r>
    </w:p>
    <w:p w14:paraId="612F94D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（六）私设暗管或者利用渗井、渗坑、裂隙、溶洞等排放、倾倒、处置水污染物，或者通过私设旁路排放大气污染物的；</w:t>
      </w:r>
    </w:p>
    <w:p w14:paraId="7545D72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0009E9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（八）环境违法行为造成集中式生活饮用水水源取水中断的；</w:t>
      </w:r>
    </w:p>
    <w:p w14:paraId="1D04FCB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4EDF09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（十）违法从事自然资源开发、交通基础设施建设，以及其他开发建设活动，造成严重生态破坏的；</w:t>
      </w:r>
    </w:p>
    <w:p w14:paraId="4202CA3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（十一）发生较大及以上突发环境事件的；</w:t>
      </w:r>
    </w:p>
    <w:p w14:paraId="701962D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（十二）被环保部门挂牌督办，整改逾期未完成的；</w:t>
      </w:r>
    </w:p>
    <w:p w14:paraId="722394A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（十三）以暴力、威胁等方式拒绝、阻挠环保部门工作人员现场检查的；</w:t>
      </w:r>
    </w:p>
    <w:p w14:paraId="469BD14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（十四）违反重污染天气应急预案有关规定，对重污染天气响应不力的。</w:t>
      </w:r>
    </w:p>
    <w:p w14:paraId="0355669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22A80C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三、</w:t>
      </w:r>
      <w:r>
        <w:rPr>
          <w:rFonts w:hint="eastAsia" w:ascii="宋体" w:hAnsi="宋体" w:eastAsia="宋体" w:cs="宋体"/>
          <w:b/>
          <w:bCs/>
          <w:color w:val="auto"/>
          <w:kern w:val="0"/>
          <w:sz w:val="24"/>
          <w:szCs w:val="24"/>
          <w:highlight w:val="none"/>
          <w:lang w:val="en-US" w:eastAsia="zh-CN" w:bidi="ar"/>
        </w:rPr>
        <w:t>公共资源交易领域严重失信行为</w:t>
      </w:r>
    </w:p>
    <w:p w14:paraId="013FFCF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1B32C13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75F74B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8391CC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F9D442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6BC2CD8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（六）投标人以他人名义投标或者以其他方式弄虚作假，骗取中标的；</w:t>
      </w:r>
    </w:p>
    <w:p w14:paraId="63CC867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（七）依法必须进行招标的项目，招标人违反法律规定，与投标人就投标价格、投标方案等实质性内容进行谈判的；</w:t>
      </w:r>
    </w:p>
    <w:p w14:paraId="5B0175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B46AF3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26D9BE5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F76F7F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6D632A1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（十二）中标人不按照与招标人订立的合同履行义务，情节严重的； </w:t>
      </w:r>
    </w:p>
    <w:p w14:paraId="6097436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6C4FA6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692A2D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（十五）采购人对应当实行集中采购的政府采购项目，不委托集中采购机构实行集中采购的； </w:t>
      </w:r>
    </w:p>
    <w:p w14:paraId="7A1F1FC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（十六）采购人、采购代理机构违反法律规定隐匿、销毁应当保存的采购文件或者伪造、变造采购文件的； </w:t>
      </w:r>
    </w:p>
    <w:p w14:paraId="5C4100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234E4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（十八）疫苗生产企业向县级疾病预防控制机构以外的单位或者个人销售第二类疫苗的； </w:t>
      </w:r>
    </w:p>
    <w:p w14:paraId="3A90FBB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（十九）存在其他违反公共资源交易法律法规行为的。</w:t>
      </w:r>
    </w:p>
    <w:p w14:paraId="65A6950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依据：《关于对公共资源交易领域严重失信主体开展联合惩戒的备忘录》（发改法规〔2018〕457号）</w:t>
      </w:r>
    </w:p>
    <w:p w14:paraId="563FB62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四、</w:t>
      </w:r>
      <w:r>
        <w:rPr>
          <w:rFonts w:hint="eastAsia" w:ascii="宋体" w:hAnsi="宋体" w:eastAsia="宋体" w:cs="宋体"/>
          <w:b/>
          <w:bCs/>
          <w:color w:val="auto"/>
          <w:kern w:val="0"/>
          <w:sz w:val="24"/>
          <w:szCs w:val="24"/>
          <w:highlight w:val="none"/>
          <w:lang w:val="en-US" w:eastAsia="zh-CN" w:bidi="ar"/>
        </w:rPr>
        <w:t>社会保险领域严重失信行为</w:t>
      </w:r>
    </w:p>
    <w:p w14:paraId="5696098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（一）用人单位未按相关规定参加社会保险且拒不整改的； </w:t>
      </w:r>
    </w:p>
    <w:p w14:paraId="44B1656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（二）用人单位未如实申报社会保险缴费基数且拒不整改的； </w:t>
      </w:r>
    </w:p>
    <w:p w14:paraId="2DF3EDF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（三）应缴纳社会保险费却拒不缴纳的； </w:t>
      </w:r>
    </w:p>
    <w:p w14:paraId="5879E1C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（四）隐匿、转移、侵占、挪用社会保险费款、基金或者违规投资运营的；</w:t>
      </w:r>
    </w:p>
    <w:p w14:paraId="5621FB9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（五）以欺诈、伪造证明材料或者其他手段参加、申报社会保险和骗取社会保险基金支出或社会保险待遇的； </w:t>
      </w:r>
    </w:p>
    <w:p w14:paraId="4309F9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（六）非法获取、出售或变相交易社会保险个人权益数据的； </w:t>
      </w:r>
    </w:p>
    <w:p w14:paraId="7418F9D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（七）社会保险服务机构违反服务协议或相关规定的； </w:t>
      </w:r>
    </w:p>
    <w:p w14:paraId="6770DF4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7298CC0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（九）其他违反法律法规规定的。</w:t>
      </w:r>
    </w:p>
    <w:p w14:paraId="73AFAD0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依据：《关于对社会保险领域严重失信企业及其有关人员实施联合惩戒的合作备忘录》（发改财金〔2018〕1704号）</w:t>
      </w:r>
    </w:p>
    <w:p w14:paraId="23BCD9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五、建筑市场领域</w:t>
      </w:r>
      <w:r>
        <w:rPr>
          <w:rFonts w:hint="eastAsia" w:ascii="宋体" w:hAnsi="宋体" w:eastAsia="宋体" w:cs="宋体"/>
          <w:b/>
          <w:bCs/>
          <w:color w:val="auto"/>
          <w:kern w:val="0"/>
          <w:sz w:val="24"/>
          <w:szCs w:val="24"/>
          <w:highlight w:val="none"/>
          <w:lang w:val="en-US" w:eastAsia="zh-CN" w:bidi="ar"/>
        </w:rPr>
        <w:t>严重失信行为</w:t>
      </w:r>
    </w:p>
    <w:p w14:paraId="0C26481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（一）利用虚假材料、以欺骗手段取得企业资质的；</w:t>
      </w:r>
    </w:p>
    <w:p w14:paraId="06B39FC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（二）发生转包、出借资质，受到行政处罚的；</w:t>
      </w:r>
    </w:p>
    <w:p w14:paraId="745AE12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3370309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（四）经法院判决或仲裁机构裁决，认定为拖欠工程款,且拒不履行生效法律文书确定的义务的。</w:t>
      </w:r>
    </w:p>
    <w:p w14:paraId="69566B3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132071A6">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依据：《建筑市场信用管理暂行办法》（建市〔2017〕241号）</w:t>
      </w:r>
    </w:p>
    <w:p w14:paraId="708DC1F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六、政府采购严重失信行为</w:t>
      </w:r>
    </w:p>
    <w:p w14:paraId="1380BCB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（一）三万元以上罚款；</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（二）在一至三年内禁止参加政府采购活动（处罚期限届满的除外）；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（三）在一至三年内禁止代理政府采购业务（处罚期限届满的除外）；</w:t>
      </w:r>
      <w:r>
        <w:rPr>
          <w:rFonts w:hint="eastAsia" w:ascii="宋体" w:hAnsi="宋体" w:eastAsia="宋体" w:cs="宋体"/>
          <w:color w:val="auto"/>
          <w:kern w:val="0"/>
          <w:sz w:val="24"/>
          <w:szCs w:val="24"/>
          <w:highlight w:val="none"/>
          <w:lang w:val="en-US" w:eastAsia="zh-CN" w:bidi="ar"/>
        </w:rPr>
        <w:br w:type="textWrapping"/>
      </w:r>
      <w:r>
        <w:rPr>
          <w:rFonts w:hint="eastAsia" w:ascii="宋体" w:hAnsi="宋体" w:eastAsia="宋体" w:cs="宋体"/>
          <w:color w:val="auto"/>
          <w:kern w:val="0"/>
          <w:sz w:val="24"/>
          <w:szCs w:val="24"/>
          <w:highlight w:val="none"/>
          <w:lang w:val="en-US" w:eastAsia="zh-CN" w:bidi="ar"/>
        </w:rPr>
        <w:t>（四）撤销政府采购代理机构资格（仅针对《政府采购法》第78条修改前作出的处罚决定）。</w:t>
      </w:r>
    </w:p>
    <w:p w14:paraId="0E9BF8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依据：《关于报送政府采购严重违法失信行为信息记录的通知》（财办库〔2014〕526号）</w:t>
      </w:r>
    </w:p>
    <w:p w14:paraId="794850C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bidi="ar"/>
        </w:rPr>
        <w:t>未列出的其他类别严重失信行为，由招标人（代理机构）根据各类别行业主管部门下发的联合惩戒文件进行判断。</w:t>
      </w:r>
    </w:p>
    <w:p w14:paraId="58BFC11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color w:val="auto"/>
          <w:kern w:val="0"/>
          <w:sz w:val="24"/>
          <w:szCs w:val="24"/>
          <w:highlight w:val="none"/>
        </w:rPr>
      </w:pPr>
    </w:p>
    <w:p w14:paraId="23150FCF">
      <w:pPr>
        <w:spacing w:line="360" w:lineRule="auto"/>
        <w:ind w:firstLine="435"/>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270" w:right="1800" w:bottom="127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9E6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0B02">
    <w:pPr>
      <w:spacing w:line="189" w:lineRule="auto"/>
      <w:ind w:left="4430"/>
      <w:rPr>
        <w:rFonts w:hint="eastAsia" w:cs="@仿宋_GB2312" w:asciiTheme="minorEastAsia" w:hAnsiTheme="minorEastAsia" w:eastAsiaTheme="minorEastAsia"/>
        <w:kern w:val="2"/>
        <w:sz w:val="21"/>
        <w:szCs w:val="21"/>
        <w:lang w:val="en-US" w:eastAsia="zh-CN" w:bidi="ar-S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BB9F">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BFBB9F">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B993">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81F">
    <w:pPr>
      <w:pStyle w:val="17"/>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E1DBC"/>
    <w:rsid w:val="00BF2BD0"/>
    <w:rsid w:val="00BF376F"/>
    <w:rsid w:val="00BF3E44"/>
    <w:rsid w:val="00BF3F05"/>
    <w:rsid w:val="00BF436A"/>
    <w:rsid w:val="00BF46A6"/>
    <w:rsid w:val="00BF48F0"/>
    <w:rsid w:val="00BF53E1"/>
    <w:rsid w:val="00BF56F8"/>
    <w:rsid w:val="00BF5FD3"/>
    <w:rsid w:val="00BF71FB"/>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234CA9"/>
    <w:rsid w:val="01A94010"/>
    <w:rsid w:val="01DF6F92"/>
    <w:rsid w:val="05BF1420"/>
    <w:rsid w:val="067761F6"/>
    <w:rsid w:val="078220FB"/>
    <w:rsid w:val="09C30F57"/>
    <w:rsid w:val="0A3B3C8B"/>
    <w:rsid w:val="0B45552B"/>
    <w:rsid w:val="0BF263F6"/>
    <w:rsid w:val="0BF91683"/>
    <w:rsid w:val="0CF629FC"/>
    <w:rsid w:val="0D596940"/>
    <w:rsid w:val="0D7E0499"/>
    <w:rsid w:val="0D981BB8"/>
    <w:rsid w:val="0E2A3904"/>
    <w:rsid w:val="0F3932BC"/>
    <w:rsid w:val="105E794E"/>
    <w:rsid w:val="106B05B6"/>
    <w:rsid w:val="119360D6"/>
    <w:rsid w:val="11EB3D39"/>
    <w:rsid w:val="1354798A"/>
    <w:rsid w:val="135B70C7"/>
    <w:rsid w:val="137B35AF"/>
    <w:rsid w:val="14782AA2"/>
    <w:rsid w:val="149A64B1"/>
    <w:rsid w:val="1505027F"/>
    <w:rsid w:val="15134287"/>
    <w:rsid w:val="15B12FCF"/>
    <w:rsid w:val="16CE15A3"/>
    <w:rsid w:val="177B0705"/>
    <w:rsid w:val="17A4173D"/>
    <w:rsid w:val="18610CDC"/>
    <w:rsid w:val="19940F5A"/>
    <w:rsid w:val="1A324115"/>
    <w:rsid w:val="1A540717"/>
    <w:rsid w:val="1D814AA5"/>
    <w:rsid w:val="1DB84F1E"/>
    <w:rsid w:val="1DD73BCF"/>
    <w:rsid w:val="1EB6048B"/>
    <w:rsid w:val="1EF65EF6"/>
    <w:rsid w:val="1F234C0C"/>
    <w:rsid w:val="210755B4"/>
    <w:rsid w:val="226F2247"/>
    <w:rsid w:val="22AC04B1"/>
    <w:rsid w:val="22FB276D"/>
    <w:rsid w:val="237B596D"/>
    <w:rsid w:val="2446477A"/>
    <w:rsid w:val="249D2C56"/>
    <w:rsid w:val="25566745"/>
    <w:rsid w:val="25D16D75"/>
    <w:rsid w:val="261F6D61"/>
    <w:rsid w:val="27DB3EDB"/>
    <w:rsid w:val="28386F2E"/>
    <w:rsid w:val="28EA52FA"/>
    <w:rsid w:val="29107F53"/>
    <w:rsid w:val="2AF730C2"/>
    <w:rsid w:val="2BA57BBC"/>
    <w:rsid w:val="2BEE4B94"/>
    <w:rsid w:val="2D113502"/>
    <w:rsid w:val="2DE86E74"/>
    <w:rsid w:val="2F2470D2"/>
    <w:rsid w:val="2F5B716B"/>
    <w:rsid w:val="307A0C5E"/>
    <w:rsid w:val="30F77FD8"/>
    <w:rsid w:val="31A751BC"/>
    <w:rsid w:val="3252638A"/>
    <w:rsid w:val="33057DFC"/>
    <w:rsid w:val="337203AE"/>
    <w:rsid w:val="343B3DBB"/>
    <w:rsid w:val="355E6877"/>
    <w:rsid w:val="36000CFE"/>
    <w:rsid w:val="36C2526A"/>
    <w:rsid w:val="376641A4"/>
    <w:rsid w:val="3811168E"/>
    <w:rsid w:val="38D41769"/>
    <w:rsid w:val="394B7113"/>
    <w:rsid w:val="39A42568"/>
    <w:rsid w:val="3A022862"/>
    <w:rsid w:val="3B3A3330"/>
    <w:rsid w:val="3B537311"/>
    <w:rsid w:val="3BBF0A71"/>
    <w:rsid w:val="3D1E454A"/>
    <w:rsid w:val="3F2324C1"/>
    <w:rsid w:val="401C35B7"/>
    <w:rsid w:val="41221750"/>
    <w:rsid w:val="42124D27"/>
    <w:rsid w:val="422549D8"/>
    <w:rsid w:val="4260483A"/>
    <w:rsid w:val="4367484E"/>
    <w:rsid w:val="43885228"/>
    <w:rsid w:val="44AA183B"/>
    <w:rsid w:val="44DD67C7"/>
    <w:rsid w:val="45690CD5"/>
    <w:rsid w:val="45952195"/>
    <w:rsid w:val="488302E7"/>
    <w:rsid w:val="49B139D1"/>
    <w:rsid w:val="4BD97CE6"/>
    <w:rsid w:val="4BDD4185"/>
    <w:rsid w:val="4C6729B1"/>
    <w:rsid w:val="4D2D3004"/>
    <w:rsid w:val="4D424C15"/>
    <w:rsid w:val="4DBF2D2F"/>
    <w:rsid w:val="4F0831A5"/>
    <w:rsid w:val="4F6B3C13"/>
    <w:rsid w:val="4F771487"/>
    <w:rsid w:val="517B52CE"/>
    <w:rsid w:val="52124A2A"/>
    <w:rsid w:val="522E0650"/>
    <w:rsid w:val="5260237F"/>
    <w:rsid w:val="55346855"/>
    <w:rsid w:val="56866803"/>
    <w:rsid w:val="56F1196D"/>
    <w:rsid w:val="59282FEE"/>
    <w:rsid w:val="5AFA409D"/>
    <w:rsid w:val="5AFE591D"/>
    <w:rsid w:val="5CFE3670"/>
    <w:rsid w:val="5D7B027C"/>
    <w:rsid w:val="5E131117"/>
    <w:rsid w:val="5E4E4E2C"/>
    <w:rsid w:val="5FE91B00"/>
    <w:rsid w:val="60297620"/>
    <w:rsid w:val="60956786"/>
    <w:rsid w:val="61876A50"/>
    <w:rsid w:val="62EA5F8F"/>
    <w:rsid w:val="633352E7"/>
    <w:rsid w:val="63576604"/>
    <w:rsid w:val="642B3B2B"/>
    <w:rsid w:val="64732901"/>
    <w:rsid w:val="68682E9A"/>
    <w:rsid w:val="696E0130"/>
    <w:rsid w:val="69B52012"/>
    <w:rsid w:val="6A942F72"/>
    <w:rsid w:val="6B146AB5"/>
    <w:rsid w:val="6C43379D"/>
    <w:rsid w:val="6DE035C6"/>
    <w:rsid w:val="6E292BB9"/>
    <w:rsid w:val="6E873A42"/>
    <w:rsid w:val="70142E12"/>
    <w:rsid w:val="705C5240"/>
    <w:rsid w:val="71F66F14"/>
    <w:rsid w:val="72633030"/>
    <w:rsid w:val="72E12639"/>
    <w:rsid w:val="731A4031"/>
    <w:rsid w:val="736D475F"/>
    <w:rsid w:val="74162BD4"/>
    <w:rsid w:val="743E2DF5"/>
    <w:rsid w:val="749156AA"/>
    <w:rsid w:val="755F0D14"/>
    <w:rsid w:val="757177C2"/>
    <w:rsid w:val="76940F17"/>
    <w:rsid w:val="77577866"/>
    <w:rsid w:val="78E41947"/>
    <w:rsid w:val="79312F71"/>
    <w:rsid w:val="794A3C60"/>
    <w:rsid w:val="797E3D39"/>
    <w:rsid w:val="79D9001D"/>
    <w:rsid w:val="7A020A57"/>
    <w:rsid w:val="7A3A0E26"/>
    <w:rsid w:val="7A4A3CF9"/>
    <w:rsid w:val="7BAB6A04"/>
    <w:rsid w:val="7D776DF5"/>
    <w:rsid w:val="7F0569E9"/>
    <w:rsid w:val="7F5D4FE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7">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cs="Times New Roman"/>
      <w:szCs w:val="21"/>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7"/>
    <w:autoRedefine/>
    <w:qFormat/>
    <w:uiPriority w:val="0"/>
    <w:pPr>
      <w:jc w:val="left"/>
    </w:pPr>
    <w:rPr>
      <w:rFonts w:ascii="Arial" w:hAnsi="Arial" w:eastAsia="黑体" w:cs="Arial"/>
    </w:rPr>
  </w:style>
  <w:style w:type="paragraph" w:styleId="11">
    <w:name w:val="Body Text"/>
    <w:basedOn w:val="1"/>
    <w:link w:val="66"/>
    <w:autoRedefine/>
    <w:qFormat/>
    <w:uiPriority w:val="0"/>
    <w:pPr>
      <w:spacing w:after="120"/>
    </w:pPr>
    <w:rPr>
      <w:rFonts w:ascii="@微软简标宋" w:hAnsi="@微软简标宋" w:eastAsia="@微软简标宋" w:cs="@微软简标宋"/>
      <w:szCs w:val="24"/>
      <w:lang w:val="zh-CN"/>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next w:val="1"/>
    <w:link w:val="46"/>
    <w:autoRedefine/>
    <w:qFormat/>
    <w:uiPriority w:val="99"/>
    <w:rPr>
      <w:rFonts w:ascii="宋体" w:hAnsi="Courier New" w:eastAsiaTheme="minorEastAsia" w:cstheme="minorBidi"/>
      <w:szCs w:val="22"/>
    </w:rPr>
  </w:style>
  <w:style w:type="paragraph" w:styleId="14">
    <w:name w:val="Date"/>
    <w:basedOn w:val="1"/>
    <w:next w:val="1"/>
    <w:link w:val="53"/>
    <w:autoRedefine/>
    <w:qFormat/>
    <w:uiPriority w:val="0"/>
    <w:rPr>
      <w:rFonts w:ascii="Arial" w:hAnsi="Arial" w:eastAsia="宋体" w:cs="Arial"/>
      <w:b/>
      <w:sz w:val="28"/>
    </w:rPr>
  </w:style>
  <w:style w:type="paragraph" w:styleId="15">
    <w:name w:val="Balloon Text"/>
    <w:basedOn w:val="1"/>
    <w:link w:val="40"/>
    <w:autoRedefine/>
    <w:semiHidden/>
    <w:unhideWhenUsed/>
    <w:qFormat/>
    <w:uiPriority w:val="99"/>
    <w:rPr>
      <w:sz w:val="18"/>
      <w:szCs w:val="18"/>
    </w:rPr>
  </w:style>
  <w:style w:type="paragraph" w:styleId="16">
    <w:name w:val="footer"/>
    <w:basedOn w:val="1"/>
    <w:link w:val="45"/>
    <w:autoRedefine/>
    <w:unhideWhenUsed/>
    <w:qFormat/>
    <w:uiPriority w:val="99"/>
    <w:pPr>
      <w:tabs>
        <w:tab w:val="center" w:pos="4153"/>
        <w:tab w:val="right" w:pos="8306"/>
      </w:tabs>
      <w:snapToGrid w:val="0"/>
      <w:jc w:val="left"/>
    </w:pPr>
    <w:rPr>
      <w:sz w:val="18"/>
      <w:szCs w:val="18"/>
    </w:rPr>
  </w:style>
  <w:style w:type="paragraph" w:styleId="17">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next w:val="21"/>
    <w:autoRedefine/>
    <w:qFormat/>
    <w:uiPriority w:val="0"/>
    <w:pPr>
      <w:spacing w:before="100" w:beforeAutospacing="1" w:after="100" w:afterAutospacing="1"/>
      <w:jc w:val="left"/>
    </w:pPr>
    <w:rPr>
      <w:rFonts w:cs="Times New Roman"/>
      <w:kern w:val="0"/>
      <w:sz w:val="24"/>
    </w:rPr>
  </w:style>
  <w:style w:type="paragraph" w:customStyle="1" w:styleId="21">
    <w:name w:val="正文文字 8"/>
    <w:basedOn w:val="1"/>
    <w:next w:val="1"/>
    <w:autoRedefine/>
    <w:qFormat/>
    <w:uiPriority w:val="0"/>
    <w:pPr>
      <w:ind w:left="240"/>
    </w:pPr>
    <w:rPr>
      <w:sz w:val="16"/>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4">
    <w:name w:val="Body Text First Indent"/>
    <w:basedOn w:val="11"/>
    <w:autoRedefine/>
    <w:semiHidden/>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color w:val="D6D6D6"/>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ascii="monospace" w:hAnsi="monospace" w:eastAsia="monospace" w:cs="monospace"/>
    </w:rPr>
  </w:style>
  <w:style w:type="character" w:customStyle="1" w:styleId="40">
    <w:name w:val="批注框文本 Char"/>
    <w:basedOn w:val="27"/>
    <w:link w:val="15"/>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7"/>
    <w:link w:val="17"/>
    <w:autoRedefine/>
    <w:qFormat/>
    <w:uiPriority w:val="0"/>
    <w:rPr>
      <w:rFonts w:ascii="@仿宋_GB2312" w:hAnsi="@仿宋_GB2312" w:eastAsia="@仿宋_GB2312" w:cs="@仿宋_GB2312"/>
      <w:sz w:val="18"/>
      <w:szCs w:val="18"/>
    </w:rPr>
  </w:style>
  <w:style w:type="character" w:customStyle="1" w:styleId="45">
    <w:name w:val="页脚 Char"/>
    <w:basedOn w:val="27"/>
    <w:link w:val="16"/>
    <w:autoRedefine/>
    <w:qFormat/>
    <w:uiPriority w:val="99"/>
    <w:rPr>
      <w:rFonts w:ascii="@仿宋_GB2312" w:hAnsi="@仿宋_GB2312" w:eastAsia="@仿宋_GB2312" w:cs="@仿宋_GB2312"/>
      <w:sz w:val="18"/>
      <w:szCs w:val="18"/>
    </w:rPr>
  </w:style>
  <w:style w:type="character" w:customStyle="1" w:styleId="46">
    <w:name w:val="纯文本 Char"/>
    <w:link w:val="13"/>
    <w:autoRedefine/>
    <w:qFormat/>
    <w:uiPriority w:val="0"/>
    <w:rPr>
      <w:rFonts w:ascii="宋体" w:hAnsi="Courier New"/>
    </w:rPr>
  </w:style>
  <w:style w:type="character" w:customStyle="1" w:styleId="47">
    <w:name w:val="纯文本 字符1"/>
    <w:basedOn w:val="27"/>
    <w:autoRedefine/>
    <w:semiHidden/>
    <w:qFormat/>
    <w:uiPriority w:val="99"/>
    <w:rPr>
      <w:rFonts w:hAnsi="Courier New" w:cs="Courier New" w:asciiTheme="minorEastAsia"/>
      <w:szCs w:val="20"/>
    </w:rPr>
  </w:style>
  <w:style w:type="character" w:customStyle="1" w:styleId="48">
    <w:name w:val="未处理的提及1"/>
    <w:basedOn w:val="27"/>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7"/>
    <w:autoRedefine/>
    <w:semiHidden/>
    <w:qFormat/>
    <w:uiPriority w:val="99"/>
    <w:rPr>
      <w:rFonts w:ascii="@仿宋_GB2312" w:hAnsi="@仿宋_GB2312" w:eastAsia="@仿宋_GB2312" w:cs="@仿宋_GB2312"/>
      <w:szCs w:val="20"/>
    </w:rPr>
  </w:style>
  <w:style w:type="character" w:customStyle="1" w:styleId="53">
    <w:name w:val="日期 Char"/>
    <w:link w:val="14"/>
    <w:autoRedefine/>
    <w:qFormat/>
    <w:uiPriority w:val="0"/>
    <w:rPr>
      <w:rFonts w:ascii="Arial" w:hAnsi="Arial" w:eastAsia="宋体" w:cs="Arial"/>
      <w:b/>
      <w:sz w:val="28"/>
      <w:szCs w:val="20"/>
    </w:rPr>
  </w:style>
  <w:style w:type="character" w:customStyle="1" w:styleId="54">
    <w:name w:val="纯文本 Char1"/>
    <w:link w:val="55"/>
    <w:autoRedefine/>
    <w:qFormat/>
    <w:locked/>
    <w:uiPriority w:val="0"/>
    <w:rPr>
      <w:rFonts w:ascii="Arial" w:hAnsi="Arial" w:eastAsia="Arial"/>
      <w:kern w:val="2"/>
      <w:sz w:val="21"/>
      <w:lang w:val="en-US" w:eastAsia="zh-CN" w:bidi="ar-SA"/>
    </w:rPr>
  </w:style>
  <w:style w:type="paragraph" w:customStyle="1" w:styleId="55">
    <w:name w:val="纯文本1"/>
    <w:basedOn w:val="1"/>
    <w:link w:val="54"/>
    <w:autoRedefine/>
    <w:qFormat/>
    <w:uiPriority w:val="0"/>
    <w:rPr>
      <w:rFonts w:ascii="Arial" w:hAnsi="Arial" w:eastAsia="Arial" w:cstheme="minorBidi"/>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10"/>
    <w:autoRedefine/>
    <w:qFormat/>
    <w:uiPriority w:val="0"/>
    <w:rPr>
      <w:rFonts w:ascii="Arial" w:hAnsi="Arial" w:eastAsia="黑体" w:cs="Arial"/>
      <w:szCs w:val="20"/>
    </w:rPr>
  </w:style>
  <w:style w:type="character" w:customStyle="1" w:styleId="58">
    <w:name w:val="标题 1 Char"/>
    <w:basedOn w:val="27"/>
    <w:link w:val="6"/>
    <w:autoRedefine/>
    <w:qFormat/>
    <w:uiPriority w:val="9"/>
    <w:rPr>
      <w:rFonts w:ascii="@仿宋_GB2312" w:hAnsi="@仿宋_GB2312" w:eastAsia="@仿宋_GB2312" w:cs="@仿宋_GB2312"/>
      <w:b/>
      <w:bCs/>
      <w:kern w:val="44"/>
      <w:sz w:val="44"/>
      <w:szCs w:val="44"/>
    </w:rPr>
  </w:style>
  <w:style w:type="paragraph" w:customStyle="1" w:styleId="59">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7"/>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
    <w:link w:val="8"/>
    <w:autoRedefine/>
    <w:qFormat/>
    <w:uiPriority w:val="0"/>
    <w:rPr>
      <w:rFonts w:ascii="@仿宋_GB2312" w:hAnsi="@仿宋_GB2312" w:eastAsia="@仿宋_GB2312" w:cs="@仿宋_GB2312"/>
      <w:b/>
      <w:bCs/>
      <w:sz w:val="28"/>
      <w:szCs w:val="28"/>
    </w:rPr>
  </w:style>
  <w:style w:type="character" w:customStyle="1" w:styleId="66">
    <w:name w:val="正文文本 Char"/>
    <w:basedOn w:val="27"/>
    <w:link w:val="11"/>
    <w:autoRedefine/>
    <w:qFormat/>
    <w:uiPriority w:val="0"/>
    <w:rPr>
      <w:rFonts w:ascii="@微软简标宋" w:hAnsi="@微软简标宋" w:eastAsia="@微软简标宋" w:cs="@微软简标宋"/>
      <w:szCs w:val="24"/>
      <w:lang w:val="zh-CN" w:eastAsia="zh-CN"/>
    </w:rPr>
  </w:style>
  <w:style w:type="table" w:customStyle="1" w:styleId="67">
    <w:name w:val="网格型1"/>
    <w:basedOn w:val="25"/>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character" w:customStyle="1" w:styleId="70">
    <w:name w:val="hover"/>
    <w:basedOn w:val="27"/>
    <w:qFormat/>
    <w:uiPriority w:val="0"/>
    <w:rPr>
      <w:color w:val="2590EB"/>
    </w:rPr>
  </w:style>
  <w:style w:type="character" w:customStyle="1" w:styleId="71">
    <w:name w:val="hover1"/>
    <w:basedOn w:val="27"/>
    <w:qFormat/>
    <w:uiPriority w:val="0"/>
    <w:rPr>
      <w:color w:val="2590EB"/>
    </w:rPr>
  </w:style>
  <w:style w:type="character" w:customStyle="1" w:styleId="72">
    <w:name w:val="hover2"/>
    <w:basedOn w:val="27"/>
    <w:qFormat/>
    <w:uiPriority w:val="0"/>
  </w:style>
  <w:style w:type="character" w:customStyle="1" w:styleId="73">
    <w:name w:val="hover3"/>
    <w:basedOn w:val="27"/>
    <w:qFormat/>
    <w:uiPriority w:val="0"/>
    <w:rPr>
      <w:color w:val="2590EB"/>
      <w:shd w:val="clear" w:fill="E9F4FD"/>
    </w:rPr>
  </w:style>
  <w:style w:type="character" w:customStyle="1" w:styleId="74">
    <w:name w:val="first-child"/>
    <w:basedOn w:val="27"/>
    <w:qFormat/>
    <w:uiPriority w:val="0"/>
  </w:style>
  <w:style w:type="character" w:customStyle="1" w:styleId="75">
    <w:name w:val="layui-this"/>
    <w:basedOn w:val="27"/>
    <w:qFormat/>
    <w:uiPriority w:val="0"/>
    <w:rPr>
      <w:bdr w:val="single" w:color="EEEEEE" w:sz="6" w:space="0"/>
      <w:shd w:val="clear" w:fill="FFFFFF"/>
    </w:rPr>
  </w:style>
  <w:style w:type="character" w:customStyle="1" w:styleId="76">
    <w:name w:val="hover4"/>
    <w:basedOn w:val="27"/>
    <w:qFormat/>
    <w:uiPriority w:val="0"/>
    <w:rPr>
      <w:color w:val="2590EB"/>
      <w:shd w:val="clear" w:fill="E9F4FD"/>
    </w:rPr>
  </w:style>
  <w:style w:type="character" w:customStyle="1" w:styleId="77">
    <w:name w:val="mini-outputtext1"/>
    <w:basedOn w:val="27"/>
    <w:qFormat/>
    <w:uiPriority w:val="0"/>
  </w:style>
  <w:style w:type="paragraph" w:customStyle="1" w:styleId="78">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9">
    <w:name w:val="card-title"/>
    <w:basedOn w:val="1"/>
    <w:qFormat/>
    <w:uiPriority w:val="0"/>
    <w:pPr>
      <w:spacing w:line="543" w:lineRule="atLeast"/>
      <w:ind w:right="679"/>
      <w:jc w:val="left"/>
    </w:pPr>
    <w:rPr>
      <w:color w:val="666666"/>
      <w:kern w:val="0"/>
      <w:lang w:val="en-US" w:eastAsia="zh-CN" w:bidi="ar"/>
    </w:rPr>
  </w:style>
  <w:style w:type="character" w:customStyle="1" w:styleId="80">
    <w:name w:val="15"/>
    <w:basedOn w:val="27"/>
    <w:qFormat/>
    <w:uiPriority w:val="0"/>
    <w:rPr>
      <w:rFonts w:hint="default" w:ascii="Times New Roman" w:hAnsi="Times New Roman" w:cs="Times New Roman"/>
      <w:color w:val="0000FF"/>
      <w:u w:val="single"/>
    </w:rPr>
  </w:style>
  <w:style w:type="character" w:customStyle="1" w:styleId="81">
    <w:name w:val="16"/>
    <w:basedOn w:val="27"/>
    <w:qFormat/>
    <w:uiPriority w:val="0"/>
    <w:rPr>
      <w:rFonts w:hint="default" w:ascii="Times New Roman" w:hAnsi="Times New Roman" w:cs="Times New Roman"/>
      <w:color w:val="0000FF"/>
      <w:u w:val="single"/>
    </w:rPr>
  </w:style>
  <w:style w:type="character" w:customStyle="1" w:styleId="82">
    <w:name w:val="10"/>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87</Pages>
  <Words>45776</Words>
  <Characters>48377</Characters>
  <Lines>1</Lines>
  <Paragraphs>1</Paragraphs>
  <TotalTime>1</TotalTime>
  <ScaleCrop>false</ScaleCrop>
  <LinksUpToDate>false</LinksUpToDate>
  <CharactersWithSpaces>52264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2026-01-15T00:49:00Z</cp:lastPrinted>
  <dcterms:modified xsi:type="dcterms:W3CDTF">2026-01-20T05:45:00Z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12F03B23A4FF42E686059FA3406EB0B1_13</vt:lpwstr>
  </property>
  <property fmtid="{D5CDD505-2E9C-101B-9397-08002B2CF9AE}" pid="4" name="KSOTemplateDocerSaveRecord">
    <vt:lpwstr>eyJoZGlkIjoiOTc5MDNjMmIyODczM2YwMGZkZTNjYWY1NjIxZTY5YjciLCJ1c2VySWQiOiI1MDM3MjkwOTMifQ==</vt:lpwstr>
  </property>
</Properties>
</file>