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E6112D8">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079EE63">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70BA8AB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77738FD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1F71056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0079A0B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DFEB20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E6C5A7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BD2A7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C8F831B">
      <w:pPr>
        <w:tabs>
          <w:tab w:val="left" w:pos="2410"/>
        </w:tabs>
        <w:autoSpaceDE w:val="0"/>
        <w:autoSpaceDN w:val="0"/>
        <w:adjustRightInd w:val="0"/>
        <w:snapToGrid w:val="0"/>
        <w:spacing w:line="360" w:lineRule="auto"/>
        <w:rPr>
          <w:rFonts w:hint="default"/>
          <w:b/>
          <w:color w:val="auto"/>
          <w:spacing w:val="20"/>
          <w:sz w:val="32"/>
          <w:szCs w:val="32"/>
          <w:highlight w:val="none"/>
          <w:u w:val="singl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明湖公园园路应急工程</w:t>
      </w:r>
    </w:p>
    <w:p w14:paraId="60987956">
      <w:pPr>
        <w:tabs>
          <w:tab w:val="left" w:pos="2410"/>
        </w:tabs>
        <w:autoSpaceDE w:val="0"/>
        <w:autoSpaceDN w:val="0"/>
        <w:adjustRightInd w:val="0"/>
        <w:snapToGrid w:val="0"/>
        <w:spacing w:line="360" w:lineRule="auto"/>
        <w:rPr>
          <w:rFonts w:hint="default" w:eastAsia="宋体"/>
          <w:b/>
          <w:color w:val="auto"/>
          <w:spacing w:val="20"/>
          <w:sz w:val="32"/>
          <w:szCs w:val="32"/>
          <w:highlight w:val="none"/>
          <w:u w:val="single"/>
          <w:lang w:val="en-US"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rPr>
        <w:t>czsjcg202606-030</w:t>
      </w:r>
    </w:p>
    <w:p w14:paraId="0D138822">
      <w:pPr>
        <w:tabs>
          <w:tab w:val="left" w:pos="2410"/>
        </w:tabs>
        <w:autoSpaceDE w:val="0"/>
        <w:autoSpaceDN w:val="0"/>
        <w:adjustRightInd w:val="0"/>
        <w:snapToGrid w:val="0"/>
        <w:spacing w:line="360" w:lineRule="auto"/>
        <w:rPr>
          <w:rFonts w:hint="eastAsia"/>
          <w:b/>
          <w:color w:val="auto"/>
          <w:spacing w:val="20"/>
          <w:sz w:val="32"/>
          <w:szCs w:val="32"/>
          <w:highlight w:val="none"/>
          <w:u w:val="single"/>
          <w:lang w:val="en-US" w:eastAsia="zh-CN"/>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滁州市明湖建设管理服务中心</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ascii="宋体" w:hAnsi="宋体" w:cs="宋体"/>
          <w:b/>
          <w:color w:val="auto"/>
          <w:sz w:val="32"/>
          <w:szCs w:val="32"/>
          <w:highlight w:val="none"/>
          <w:u w:val="single"/>
        </w:rPr>
        <w:t>滁州市城投工程咨询管理有限公司</w:t>
      </w:r>
    </w:p>
    <w:p w14:paraId="5E80583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89E1684">
      <w:pPr>
        <w:tabs>
          <w:tab w:val="left" w:pos="2410"/>
        </w:tabs>
        <w:autoSpaceDE w:val="0"/>
        <w:autoSpaceDN w:val="0"/>
        <w:adjustRightInd w:val="0"/>
        <w:snapToGrid w:val="0"/>
        <w:spacing w:line="360" w:lineRule="auto"/>
        <w:jc w:val="center"/>
        <w:rPr>
          <w:b/>
          <w:color w:val="auto"/>
          <w:sz w:val="36"/>
          <w:highlight w:val="none"/>
        </w:rPr>
      </w:pPr>
    </w:p>
    <w:p w14:paraId="6ADDE832">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2026年6月</w:t>
      </w: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5"/>
        <w:tabs>
          <w:tab w:val="right" w:leader="dot" w:pos="8279"/>
        </w:tabs>
        <w:rPr>
          <w:rFonts w:hint="eastAsia"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_Toc11403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磋商邀请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79442B6">
      <w:pPr>
        <w:pStyle w:val="35"/>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_Toc28080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第二章  供应商须知</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val="en-US" w:eastAsia="zh-CN"/>
        </w:rPr>
        <w:fldChar w:fldCharType="end"/>
      </w:r>
    </w:p>
    <w:p w14:paraId="54835936">
      <w:pPr>
        <w:pStyle w:val="35"/>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_Toc30873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第三章  采购需求</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7</w:t>
      </w:r>
    </w:p>
    <w:p w14:paraId="625AC819">
      <w:pPr>
        <w:pStyle w:val="35"/>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_Toc11353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第四章  评审方法和标准</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9</w:t>
      </w:r>
    </w:p>
    <w:p w14:paraId="6B39CC35">
      <w:pPr>
        <w:pStyle w:val="35"/>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_Toc31277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4</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0</w:t>
      </w:r>
    </w:p>
    <w:p w14:paraId="5EC0F1D2">
      <w:pPr>
        <w:pStyle w:val="35"/>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_Toc22734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第六章  响应文件格式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9</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0</w:t>
      </w:r>
    </w:p>
    <w:p w14:paraId="17C68126">
      <w:pPr>
        <w:pStyle w:val="35"/>
        <w:tabs>
          <w:tab w:val="right" w:leader="dot" w:pos="8279"/>
        </w:tabs>
        <w:rPr>
          <w:rFonts w:hint="default"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_Toc24879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val="en-US" w:eastAsia="zh-CN"/>
        </w:rPr>
        <w:t>七</w:t>
      </w:r>
      <w:r>
        <w:rPr>
          <w:rFonts w:hint="eastAsia" w:ascii="宋体" w:hAnsi="宋体" w:eastAsia="宋体" w:cs="宋体"/>
          <w:bCs/>
          <w:color w:val="auto"/>
          <w:highlight w:val="none"/>
        </w:rPr>
        <w:t>章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16</w:t>
      </w:r>
    </w:p>
    <w:p w14:paraId="1317E34F">
      <w:pPr>
        <w:pStyle w:val="45"/>
        <w:tabs>
          <w:tab w:val="right" w:leader="dot" w:pos="8296"/>
        </w:tabs>
        <w:rPr>
          <w:rFonts w:asciiTheme="minorEastAsia" w:hAnsiTheme="minorEastAsia"/>
          <w:b/>
          <w:color w:val="auto"/>
          <w:szCs w:val="24"/>
          <w:highlight w:val="none"/>
        </w:rPr>
      </w:pPr>
      <w:r>
        <w:rPr>
          <w:rFonts w:hint="eastAsia" w:ascii="宋体" w:hAnsi="宋体" w:eastAsia="宋体" w:cs="宋体"/>
          <w:color w:val="auto"/>
          <w:szCs w:val="24"/>
          <w:highlight w:val="none"/>
        </w:rPr>
        <w:fldChar w:fldCharType="end"/>
      </w:r>
    </w:p>
    <w:p w14:paraId="0A7C1527">
      <w:pPr>
        <w:pStyle w:val="4"/>
        <w:rPr>
          <w:color w:val="auto"/>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17997859">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color w:val="auto"/>
          <w:sz w:val="24"/>
          <w:szCs w:val="24"/>
          <w:highlight w:val="none"/>
        </w:rPr>
      </w:pPr>
      <w:bookmarkStart w:id="2" w:name="_Toc18492"/>
      <w:bookmarkStart w:id="3" w:name="_Toc8770"/>
      <w:bookmarkStart w:id="4" w:name="_Toc13220"/>
      <w:r>
        <w:rPr>
          <w:rFonts w:hint="eastAsia" w:ascii="宋体" w:hAnsi="宋体" w:eastAsia="宋体" w:cs="宋体"/>
          <w:b w:val="0"/>
          <w:color w:val="auto"/>
          <w:sz w:val="24"/>
          <w:szCs w:val="24"/>
          <w:highlight w:val="none"/>
        </w:rPr>
        <w:t>项目概况</w:t>
      </w:r>
    </w:p>
    <w:p w14:paraId="314B0C2B">
      <w:pPr>
        <w:keepNext/>
        <w:keepLines/>
        <w:pageBreakBefore w:val="0"/>
        <w:widowControl w:val="0"/>
        <w:kinsoku/>
        <w:wordWrap w:val="0"/>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color w:val="auto"/>
          <w:sz w:val="24"/>
          <w:szCs w:val="24"/>
          <w:highlight w:val="none"/>
        </w:rPr>
      </w:pPr>
      <w:r>
        <w:rPr>
          <w:rFonts w:hint="eastAsia" w:cs="宋体"/>
          <w:b w:val="0"/>
          <w:color w:val="auto"/>
          <w:sz w:val="24"/>
          <w:szCs w:val="24"/>
          <w:highlight w:val="none"/>
          <w:u w:val="single"/>
          <w:lang w:val="en-US" w:eastAsia="zh-CN"/>
        </w:rPr>
        <w:t>明湖公园园路应急工程</w:t>
      </w:r>
      <w:r>
        <w:rPr>
          <w:rFonts w:hint="eastAsia" w:ascii="宋体" w:hAnsi="宋体" w:eastAsia="宋体" w:cs="宋体"/>
          <w:b w:val="0"/>
          <w:color w:val="auto"/>
          <w:sz w:val="24"/>
          <w:szCs w:val="24"/>
          <w:highlight w:val="none"/>
        </w:rPr>
        <w:t>的潜在</w:t>
      </w:r>
      <w:r>
        <w:rPr>
          <w:rFonts w:hint="eastAsia" w:ascii="宋体" w:hAnsi="宋体" w:eastAsia="宋体" w:cs="宋体"/>
          <w:b w:val="0"/>
          <w:color w:val="auto"/>
          <w:sz w:val="24"/>
          <w:szCs w:val="24"/>
          <w:highlight w:val="none"/>
          <w:lang w:eastAsia="zh-CN"/>
        </w:rPr>
        <w:t>供应商</w:t>
      </w:r>
      <w:r>
        <w:rPr>
          <w:rFonts w:hint="eastAsia" w:ascii="宋体" w:hAnsi="宋体" w:eastAsia="宋体" w:cs="宋体"/>
          <w:b w:val="0"/>
          <w:color w:val="auto"/>
          <w:sz w:val="24"/>
          <w:szCs w:val="24"/>
          <w:highlight w:val="none"/>
        </w:rPr>
        <w:t>应在</w:t>
      </w:r>
      <w:r>
        <w:rPr>
          <w:rFonts w:hint="eastAsia" w:ascii="宋体" w:hAnsi="宋体" w:eastAsia="宋体" w:cs="宋体"/>
          <w:b w:val="0"/>
          <w:color w:val="auto"/>
          <w:sz w:val="24"/>
          <w:szCs w:val="24"/>
          <w:highlight w:val="none"/>
          <w:u w:val="single"/>
        </w:rPr>
        <w:t>滁州市公共资源交易中心网（http：//ggzy.chuzhou.gov.cn/）</w:t>
      </w:r>
      <w:r>
        <w:rPr>
          <w:rFonts w:hint="eastAsia" w:ascii="宋体" w:hAnsi="宋体" w:eastAsia="宋体" w:cs="宋体"/>
          <w:b w:val="0"/>
          <w:color w:val="auto"/>
          <w:sz w:val="24"/>
          <w:szCs w:val="24"/>
          <w:highlight w:val="none"/>
        </w:rPr>
        <w:t>获取</w:t>
      </w:r>
      <w:r>
        <w:rPr>
          <w:rFonts w:hint="eastAsia" w:ascii="宋体" w:hAnsi="宋体" w:eastAsia="宋体" w:cs="宋体"/>
          <w:b w:val="0"/>
          <w:color w:val="auto"/>
          <w:sz w:val="24"/>
          <w:szCs w:val="24"/>
          <w:highlight w:val="none"/>
          <w:lang w:val="en-US" w:eastAsia="zh-CN"/>
        </w:rPr>
        <w:t>采购</w:t>
      </w:r>
      <w:r>
        <w:rPr>
          <w:rFonts w:hint="eastAsia" w:ascii="宋体" w:hAnsi="宋体" w:eastAsia="宋体" w:cs="宋体"/>
          <w:b w:val="0"/>
          <w:color w:val="auto"/>
          <w:sz w:val="24"/>
          <w:szCs w:val="24"/>
          <w:highlight w:val="none"/>
        </w:rPr>
        <w:t>文件，并于</w:t>
      </w:r>
      <w:r>
        <w:rPr>
          <w:rFonts w:hint="eastAsia" w:cs="宋体"/>
          <w:b w:val="0"/>
          <w:color w:val="auto"/>
          <w:sz w:val="24"/>
          <w:szCs w:val="24"/>
          <w:highlight w:val="none"/>
          <w:u w:val="single"/>
          <w:lang w:val="en-US" w:eastAsia="zh-CN"/>
        </w:rPr>
        <w:t>2026年7月6</w:t>
      </w:r>
      <w:r>
        <w:rPr>
          <w:rFonts w:hint="eastAsia" w:ascii="宋体" w:hAnsi="宋体" w:eastAsia="宋体" w:cs="宋体"/>
          <w:b w:val="0"/>
          <w:color w:val="auto"/>
          <w:sz w:val="24"/>
          <w:szCs w:val="24"/>
          <w:highlight w:val="none"/>
          <w:u w:val="single"/>
        </w:rPr>
        <w:t>日</w:t>
      </w:r>
      <w:r>
        <w:rPr>
          <w:rFonts w:hint="eastAsia" w:ascii="宋体" w:hAnsi="宋体" w:eastAsia="宋体" w:cs="宋体"/>
          <w:b w:val="0"/>
          <w:color w:val="auto"/>
          <w:sz w:val="24"/>
          <w:szCs w:val="24"/>
          <w:highlight w:val="none"/>
          <w:u w:val="single"/>
          <w:lang w:val="en-US" w:eastAsia="zh-CN"/>
        </w:rPr>
        <w:t>8</w:t>
      </w:r>
      <w:r>
        <w:rPr>
          <w:rFonts w:hint="eastAsia" w:ascii="宋体" w:hAnsi="宋体" w:eastAsia="宋体" w:cs="宋体"/>
          <w:b w:val="0"/>
          <w:color w:val="auto"/>
          <w:sz w:val="24"/>
          <w:szCs w:val="24"/>
          <w:highlight w:val="none"/>
          <w:u w:val="single"/>
        </w:rPr>
        <w:t>点</w:t>
      </w:r>
      <w:r>
        <w:rPr>
          <w:rFonts w:hint="eastAsia" w:cs="宋体"/>
          <w:b w:val="0"/>
          <w:color w:val="auto"/>
          <w:sz w:val="24"/>
          <w:szCs w:val="24"/>
          <w:highlight w:val="none"/>
          <w:u w:val="single"/>
          <w:lang w:val="en-US" w:eastAsia="zh-CN"/>
        </w:rPr>
        <w:t>5</w:t>
      </w:r>
      <w:r>
        <w:rPr>
          <w:rFonts w:hint="eastAsia" w:ascii="宋体" w:hAnsi="宋体" w:eastAsia="宋体" w:cs="宋体"/>
          <w:b w:val="0"/>
          <w:color w:val="auto"/>
          <w:sz w:val="24"/>
          <w:szCs w:val="24"/>
          <w:highlight w:val="none"/>
          <w:u w:val="single"/>
          <w:lang w:val="en-US" w:eastAsia="zh-CN"/>
        </w:rPr>
        <w:t>0</w:t>
      </w:r>
      <w:r>
        <w:rPr>
          <w:rFonts w:hint="eastAsia" w:ascii="宋体" w:hAnsi="宋体" w:eastAsia="宋体" w:cs="宋体"/>
          <w:b w:val="0"/>
          <w:color w:val="auto"/>
          <w:sz w:val="24"/>
          <w:szCs w:val="24"/>
          <w:highlight w:val="none"/>
          <w:u w:val="single"/>
        </w:rPr>
        <w:t>分</w:t>
      </w:r>
      <w:r>
        <w:rPr>
          <w:rFonts w:hint="eastAsia" w:ascii="宋体" w:hAnsi="宋体" w:eastAsia="宋体" w:cs="宋体"/>
          <w:b w:val="0"/>
          <w:color w:val="auto"/>
          <w:sz w:val="24"/>
          <w:szCs w:val="24"/>
          <w:highlight w:val="none"/>
        </w:rPr>
        <w:t>（北京时间）前递交</w:t>
      </w:r>
      <w:r>
        <w:rPr>
          <w:rFonts w:hint="eastAsia" w:ascii="宋体" w:hAnsi="宋体" w:eastAsia="宋体" w:cs="宋体"/>
          <w:b w:val="0"/>
          <w:color w:val="auto"/>
          <w:sz w:val="24"/>
          <w:szCs w:val="24"/>
          <w:highlight w:val="none"/>
          <w:lang w:eastAsia="zh-CN"/>
        </w:rPr>
        <w:t>响应</w:t>
      </w:r>
      <w:r>
        <w:rPr>
          <w:rFonts w:hint="eastAsia" w:ascii="宋体" w:hAnsi="宋体" w:eastAsia="宋体" w:cs="宋体"/>
          <w:b w:val="0"/>
          <w:color w:val="auto"/>
          <w:sz w:val="24"/>
          <w:szCs w:val="24"/>
          <w:highlight w:val="none"/>
        </w:rPr>
        <w:t>文件。</w:t>
      </w:r>
    </w:p>
    <w:p w14:paraId="015BDE6B">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一、项目基本情况</w:t>
      </w:r>
    </w:p>
    <w:p w14:paraId="00EBA47D">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项目编号：czsjcg202606-030</w:t>
      </w:r>
    </w:p>
    <w:p w14:paraId="45DEE8F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项目名称：</w:t>
      </w:r>
      <w:r>
        <w:rPr>
          <w:rFonts w:hint="eastAsia"/>
          <w:color w:val="auto"/>
          <w:sz w:val="24"/>
          <w:szCs w:val="24"/>
          <w:highlight w:val="none"/>
          <w:lang w:val="en-US" w:eastAsia="zh-CN"/>
        </w:rPr>
        <w:t>明湖公园园路应急工程</w:t>
      </w:r>
    </w:p>
    <w:p w14:paraId="6FDFD8E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采购方式：竞争性磋商</w:t>
      </w:r>
    </w:p>
    <w:p w14:paraId="74AF0428">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预算金额：</w:t>
      </w:r>
      <w:r>
        <w:rPr>
          <w:rFonts w:hint="eastAsia"/>
          <w:color w:val="auto"/>
          <w:sz w:val="24"/>
          <w:szCs w:val="24"/>
          <w:highlight w:val="none"/>
          <w:lang w:val="en-US" w:eastAsia="zh-CN"/>
        </w:rPr>
        <w:t>1328000.00元</w:t>
      </w:r>
    </w:p>
    <w:p w14:paraId="1E02FBE8">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最高限价：1327987.29元，响应报价高于最高限价的，其响应文件按无效响应处理。</w:t>
      </w:r>
    </w:p>
    <w:p w14:paraId="02CA0B8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采购需求：主要内容包括桥头搭板、部分桥台侧墙拆除重新浇筑和台背换填；约80米园路维修改造，对现状园路路基进行换填等；新建桥头防护等。具体详见《采购需求》</w:t>
      </w:r>
    </w:p>
    <w:p w14:paraId="7C8CF80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合同履行期限：</w:t>
      </w:r>
      <w:r>
        <w:rPr>
          <w:rFonts w:hint="eastAsia"/>
          <w:color w:val="auto"/>
          <w:sz w:val="24"/>
          <w:szCs w:val="24"/>
          <w:highlight w:val="none"/>
          <w:lang w:val="en-US" w:eastAsia="zh-CN"/>
        </w:rPr>
        <w:t>自合同签订之日起不高于60个日历天完工。供应商自报的承诺工期为考核标准。因供应商原因造成的工期延误，每推迟一天，按合同价款（扣除暂估价和暂列金）万分之二处以违约金。</w:t>
      </w:r>
    </w:p>
    <w:p w14:paraId="46DB86E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本项目不接受联合体参与。</w:t>
      </w:r>
    </w:p>
    <w:p w14:paraId="477E1B7B">
      <w:pPr>
        <w:spacing w:line="360" w:lineRule="auto"/>
        <w:ind w:firstLine="437"/>
        <w:outlineLvl w:val="1"/>
        <w:rPr>
          <w:rFonts w:hint="eastAsia" w:ascii="宋体" w:hAnsi="宋体" w:eastAsia="宋体"/>
          <w:b/>
          <w:color w:val="auto"/>
          <w:sz w:val="24"/>
          <w:highlight w:val="none"/>
          <w:lang w:val="en-US" w:eastAsia="zh-CN"/>
        </w:rPr>
      </w:pPr>
      <w:bookmarkStart w:id="5" w:name="_Toc35393630"/>
      <w:bookmarkStart w:id="6" w:name="_Toc28359013"/>
      <w:bookmarkStart w:id="7" w:name="_Toc35393799"/>
      <w:bookmarkStart w:id="8" w:name="_Toc28359090"/>
      <w:r>
        <w:rPr>
          <w:rFonts w:hint="eastAsia" w:ascii="宋体" w:hAnsi="宋体" w:eastAsia="宋体"/>
          <w:b/>
          <w:color w:val="auto"/>
          <w:sz w:val="24"/>
          <w:highlight w:val="none"/>
          <w:lang w:val="en-US" w:eastAsia="zh-CN"/>
        </w:rPr>
        <w:t>二、申请人的资格要求：</w:t>
      </w:r>
      <w:bookmarkEnd w:id="5"/>
      <w:bookmarkEnd w:id="6"/>
      <w:bookmarkEnd w:id="7"/>
      <w:bookmarkEnd w:id="8"/>
    </w:p>
    <w:p w14:paraId="0B09C63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1.满足《中华人民共和国政府采购法》第二十二条规定；</w:t>
      </w:r>
    </w:p>
    <w:p w14:paraId="68E6208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bookmarkStart w:id="9" w:name="_Toc28359091"/>
      <w:bookmarkStart w:id="10" w:name="_Toc28359014"/>
      <w:r>
        <w:rPr>
          <w:rFonts w:hint="eastAsia" w:ascii="宋体" w:hAnsi="宋体" w:eastAsia="宋体"/>
          <w:color w:val="auto"/>
          <w:sz w:val="24"/>
          <w:szCs w:val="24"/>
          <w:highlight w:val="none"/>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宋体" w:hAnsi="宋体" w:eastAsia="宋体"/>
          <w:color w:val="auto"/>
          <w:sz w:val="24"/>
          <w:szCs w:val="24"/>
          <w:highlight w:val="none"/>
          <w:lang w:eastAsia="zh-CN"/>
        </w:rPr>
        <w:t>。</w:t>
      </w:r>
    </w:p>
    <w:p w14:paraId="1454EBB4">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3.本项目的特定资格要求：</w:t>
      </w:r>
      <w:bookmarkStart w:id="11" w:name="_Toc35393631"/>
      <w:bookmarkStart w:id="12" w:name="_Toc35393800"/>
    </w:p>
    <w:p w14:paraId="1371C45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w:t>
      </w:r>
      <w:r>
        <w:rPr>
          <w:rFonts w:hint="eastAsia"/>
          <w:color w:val="auto"/>
          <w:sz w:val="24"/>
          <w:szCs w:val="24"/>
          <w:highlight w:val="none"/>
          <w:lang w:val="en-US" w:eastAsia="zh-CN"/>
        </w:rPr>
        <w:t>市政公用工程施工总承包三</w:t>
      </w:r>
      <w:r>
        <w:rPr>
          <w:rFonts w:hint="eastAsia" w:ascii="宋体" w:hAnsi="宋体" w:eastAsia="宋体"/>
          <w:color w:val="auto"/>
          <w:sz w:val="24"/>
          <w:szCs w:val="24"/>
          <w:highlight w:val="none"/>
        </w:rPr>
        <w:t>级</w:t>
      </w:r>
      <w:r>
        <w:rPr>
          <w:rFonts w:hint="eastAsia"/>
          <w:color w:val="auto"/>
          <w:sz w:val="24"/>
          <w:szCs w:val="24"/>
          <w:highlight w:val="none"/>
          <w:lang w:eastAsia="zh-CN"/>
        </w:rPr>
        <w:t>（</w:t>
      </w:r>
      <w:r>
        <w:rPr>
          <w:rFonts w:hint="eastAsia"/>
          <w:color w:val="auto"/>
          <w:sz w:val="24"/>
          <w:szCs w:val="24"/>
          <w:highlight w:val="none"/>
          <w:lang w:val="en-US" w:eastAsia="zh-CN"/>
        </w:rPr>
        <w:t>或以上</w:t>
      </w:r>
      <w:r>
        <w:rPr>
          <w:rFonts w:hint="eastAsia"/>
          <w:color w:val="auto"/>
          <w:sz w:val="24"/>
          <w:szCs w:val="24"/>
          <w:highlight w:val="none"/>
          <w:lang w:eastAsia="zh-CN"/>
        </w:rPr>
        <w:t>）</w:t>
      </w:r>
      <w:r>
        <w:rPr>
          <w:rFonts w:hint="eastAsia" w:ascii="宋体" w:hAnsi="宋体" w:eastAsia="宋体"/>
          <w:color w:val="auto"/>
          <w:sz w:val="24"/>
          <w:szCs w:val="24"/>
          <w:highlight w:val="none"/>
        </w:rPr>
        <w:t>，</w:t>
      </w:r>
      <w:r>
        <w:rPr>
          <w:rFonts w:hint="eastAsia"/>
          <w:color w:val="auto"/>
          <w:sz w:val="24"/>
          <w:szCs w:val="24"/>
          <w:highlight w:val="none"/>
          <w:lang w:val="en-US" w:eastAsia="zh-CN"/>
        </w:rPr>
        <w:t>且</w:t>
      </w:r>
      <w:r>
        <w:rPr>
          <w:rFonts w:hint="eastAsia" w:ascii="宋体" w:hAnsi="宋体" w:eastAsia="宋体"/>
          <w:color w:val="auto"/>
          <w:sz w:val="24"/>
          <w:szCs w:val="24"/>
          <w:highlight w:val="none"/>
        </w:rPr>
        <w:t>具有有效的安全生产许可证；</w:t>
      </w:r>
    </w:p>
    <w:p w14:paraId="439945B4">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②项目负责人须具备</w:t>
      </w:r>
      <w:r>
        <w:rPr>
          <w:rFonts w:hint="eastAsia"/>
          <w:color w:val="auto"/>
          <w:sz w:val="24"/>
          <w:szCs w:val="24"/>
          <w:highlight w:val="none"/>
          <w:lang w:val="en-US" w:eastAsia="zh-CN"/>
        </w:rPr>
        <w:t>市政公用工程</w:t>
      </w:r>
      <w:r>
        <w:rPr>
          <w:rFonts w:hint="eastAsia" w:ascii="宋体" w:hAnsi="宋体" w:eastAsia="宋体"/>
          <w:color w:val="auto"/>
          <w:sz w:val="24"/>
          <w:szCs w:val="24"/>
          <w:highlight w:val="none"/>
        </w:rPr>
        <w:t>专业二级（或以上）注册建造师，提供其有效身份证和注册证书以及安全生产考核合格证书（B证）</w:t>
      </w:r>
      <w:r>
        <w:rPr>
          <w:rFonts w:hint="eastAsia" w:ascii="宋体" w:hAnsi="宋体" w:eastAsia="宋体"/>
          <w:color w:val="auto"/>
          <w:sz w:val="24"/>
          <w:szCs w:val="24"/>
          <w:highlight w:val="none"/>
          <w:lang w:eastAsia="zh-CN"/>
        </w:rPr>
        <w:t>；</w:t>
      </w:r>
    </w:p>
    <w:p w14:paraId="6CEDA7E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.信誉要求：</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不得存在以下情形：</w:t>
      </w:r>
    </w:p>
    <w:p w14:paraId="2683DD5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①被列入“信用中国”网站“失信被执行人”的；</w:t>
      </w:r>
    </w:p>
    <w:p w14:paraId="092C6E1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②被列入“信用中国”网站“重大税收违法失信主体”的；</w:t>
      </w:r>
    </w:p>
    <w:p w14:paraId="438763A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③被列入“信用中国”网站 “严重失信主体名单”的；</w:t>
      </w:r>
    </w:p>
    <w:p w14:paraId="15D6754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④在“信用中国”网站上披露的仍在公示期的严重失信行为(具体行为类别及判定依据见“信用中国”查询的严重失信行为类别及判定依据)的。</w:t>
      </w:r>
    </w:p>
    <w:p w14:paraId="4A16420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⑤被列入国家企业信用信息公示系统网站“经营异常名录”或者“严重违法失信名单”的。</w:t>
      </w:r>
    </w:p>
    <w:p w14:paraId="4E25819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⑥被列入中国政府采购网站“政府采购严重违法失信行为信息记录”的。</w:t>
      </w:r>
    </w:p>
    <w:p w14:paraId="3C93817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⑦前三年有行贿犯罪行为的单位和个人</w:t>
      </w:r>
      <w:r>
        <w:rPr>
          <w:rFonts w:hint="eastAsia" w:ascii="宋体" w:hAnsi="宋体" w:eastAsia="宋体"/>
          <w:color w:val="auto"/>
          <w:sz w:val="24"/>
          <w:szCs w:val="24"/>
          <w:highlight w:val="none"/>
          <w:lang w:eastAsia="zh-CN"/>
        </w:rPr>
        <w:t>。</w:t>
      </w:r>
    </w:p>
    <w:p w14:paraId="635DBD2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.供应商所属分公司、办事处等分支机构存在第4条信誉要求①-⑦项情形之一的，接受供应商</w:t>
      </w:r>
      <w:r>
        <w:rPr>
          <w:rFonts w:hint="eastAsia" w:ascii="宋体" w:hAnsi="宋体" w:eastAsia="宋体"/>
          <w:color w:val="auto"/>
          <w:sz w:val="24"/>
          <w:szCs w:val="24"/>
          <w:highlight w:val="none"/>
          <w:lang w:val="en-US" w:eastAsia="zh-CN"/>
        </w:rPr>
        <w:t>参加本项目</w:t>
      </w:r>
      <w:r>
        <w:rPr>
          <w:rFonts w:hint="eastAsia" w:ascii="宋体" w:hAnsi="宋体" w:eastAsia="宋体"/>
          <w:color w:val="auto"/>
          <w:sz w:val="24"/>
          <w:szCs w:val="24"/>
          <w:highlight w:val="none"/>
        </w:rPr>
        <w:t>。</w:t>
      </w:r>
    </w:p>
    <w:p w14:paraId="6BC67A7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备注：第4、5条按照“关于联合惩戒失信行为加强信用查询管理的通知”查询或承诺</w:t>
      </w:r>
      <w:r>
        <w:rPr>
          <w:rFonts w:hint="eastAsia" w:ascii="宋体" w:hAnsi="宋体" w:eastAsia="宋体"/>
          <w:color w:val="auto"/>
          <w:sz w:val="24"/>
          <w:szCs w:val="24"/>
          <w:highlight w:val="none"/>
          <w:lang w:eastAsia="zh-CN"/>
        </w:rPr>
        <w:t>。</w:t>
      </w:r>
    </w:p>
    <w:p w14:paraId="400C0406">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三、获取采购文件</w:t>
      </w:r>
      <w:bookmarkEnd w:id="9"/>
      <w:bookmarkEnd w:id="10"/>
      <w:bookmarkEnd w:id="11"/>
      <w:bookmarkEnd w:id="12"/>
    </w:p>
    <w:p w14:paraId="3D9DC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color w:val="auto"/>
          <w:sz w:val="24"/>
          <w:szCs w:val="24"/>
          <w:highlight w:val="none"/>
          <w:u w:val="single"/>
        </w:rPr>
      </w:pPr>
      <w:r>
        <w:rPr>
          <w:rFonts w:hint="eastAsia" w:ascii="宋体" w:hAnsi="宋体" w:eastAsia="宋体" w:cs="宋体"/>
          <w:color w:val="auto"/>
          <w:sz w:val="24"/>
          <w:szCs w:val="24"/>
          <w:highlight w:val="none"/>
        </w:rPr>
        <w:t>时间：</w:t>
      </w:r>
      <w:r>
        <w:rPr>
          <w:rFonts w:hint="eastAsia" w:cs="宋体"/>
          <w:color w:val="auto"/>
          <w:sz w:val="24"/>
          <w:szCs w:val="24"/>
          <w:highlight w:val="none"/>
          <w:u w:val="single"/>
          <w:lang w:val="en-US" w:eastAsia="zh-CN"/>
        </w:rPr>
        <w:t>2026年6月25</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cs="宋体"/>
          <w:color w:val="auto"/>
          <w:sz w:val="24"/>
          <w:szCs w:val="24"/>
          <w:highlight w:val="none"/>
          <w:u w:val="single"/>
          <w:lang w:val="en-US" w:eastAsia="zh-CN"/>
        </w:rPr>
        <w:t>2026年7月6</w:t>
      </w:r>
      <w:r>
        <w:rPr>
          <w:rFonts w:hint="eastAsia" w:ascii="宋体" w:hAnsi="宋体" w:eastAsia="宋体" w:cs="宋体"/>
          <w:color w:val="auto"/>
          <w:sz w:val="24"/>
          <w:szCs w:val="24"/>
          <w:highlight w:val="none"/>
          <w:u w:val="single"/>
        </w:rPr>
        <w:t>日</w:t>
      </w:r>
      <w:r>
        <w:rPr>
          <w:rFonts w:hint="eastAsia" w:ascii="宋体" w:hAnsi="宋体" w:eastAsia="宋体" w:cs="宋体"/>
          <w:i w:val="0"/>
          <w:iCs/>
          <w:color w:val="auto"/>
          <w:sz w:val="24"/>
          <w:szCs w:val="24"/>
          <w:highlight w:val="none"/>
          <w:u w:val="single"/>
        </w:rPr>
        <w:t>（磋商文件的发售期限自开始之日起不得少于5个工作日）</w:t>
      </w:r>
    </w:p>
    <w:p w14:paraId="127DF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75AFD9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网上下载</w:t>
      </w:r>
    </w:p>
    <w:p w14:paraId="60262E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0元</w:t>
      </w:r>
    </w:p>
    <w:p w14:paraId="5C713176">
      <w:pPr>
        <w:spacing w:line="360" w:lineRule="auto"/>
        <w:ind w:firstLine="437"/>
        <w:outlineLvl w:val="1"/>
        <w:rPr>
          <w:rFonts w:hint="eastAsia" w:ascii="宋体" w:hAnsi="宋体" w:eastAsia="宋体"/>
          <w:b/>
          <w:color w:val="auto"/>
          <w:sz w:val="24"/>
          <w:highlight w:val="none"/>
          <w:lang w:val="en-US" w:eastAsia="zh-CN"/>
        </w:rPr>
      </w:pPr>
      <w:bookmarkStart w:id="13" w:name="_Toc28359092"/>
      <w:bookmarkStart w:id="14" w:name="_Toc35393632"/>
      <w:bookmarkStart w:id="15" w:name="_Toc28359015"/>
      <w:bookmarkStart w:id="16" w:name="_Toc35393801"/>
      <w:r>
        <w:rPr>
          <w:rFonts w:hint="eastAsia" w:ascii="宋体" w:hAnsi="宋体" w:eastAsia="宋体"/>
          <w:b/>
          <w:color w:val="auto"/>
          <w:sz w:val="24"/>
          <w:highlight w:val="none"/>
          <w:lang w:val="en-US" w:eastAsia="zh-CN"/>
        </w:rPr>
        <w:t>四、响应文件提交</w:t>
      </w:r>
      <w:bookmarkEnd w:id="13"/>
      <w:bookmarkEnd w:id="14"/>
      <w:bookmarkEnd w:id="15"/>
      <w:bookmarkEnd w:id="16"/>
    </w:p>
    <w:p w14:paraId="1C55D769">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cs="宋体"/>
          <w:color w:val="auto"/>
          <w:sz w:val="24"/>
          <w:szCs w:val="24"/>
          <w:highlight w:val="none"/>
          <w:u w:val="single"/>
          <w:lang w:val="en-US" w:eastAsia="zh-CN"/>
        </w:rPr>
        <w:t>2026年7月6</w:t>
      </w:r>
      <w:r>
        <w:rPr>
          <w:rFonts w:hint="eastAsia" w:ascii="宋体" w:hAnsi="宋体" w:eastAsia="宋体" w:cs="宋体"/>
          <w:bCs/>
          <w:color w:val="auto"/>
          <w:sz w:val="24"/>
          <w:szCs w:val="24"/>
          <w:highlight w:val="none"/>
          <w:u w:val="single"/>
        </w:rPr>
        <w:t>日</w:t>
      </w:r>
      <w:r>
        <w:rPr>
          <w:rFonts w:hint="eastAsia"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点</w:t>
      </w:r>
      <w:r>
        <w:rPr>
          <w:rFonts w:hint="eastAsia"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r>
        <w:rPr>
          <w:rFonts w:hint="eastAsia" w:ascii="宋体" w:hAnsi="宋体" w:eastAsia="宋体" w:cs="宋体"/>
          <w:color w:val="auto"/>
          <w:sz w:val="24"/>
          <w:szCs w:val="24"/>
          <w:highlight w:val="none"/>
          <w:u w:val="single"/>
          <w:lang w:val="en-US" w:eastAsia="zh-CN"/>
        </w:rPr>
        <w:t>（从磋商文件开始发出之日起至供应商提交首次响应文件截止之日止不得少于10日）</w:t>
      </w:r>
    </w:p>
    <w:p w14:paraId="71524577">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地点：滁州市公共资源交易平台电子交易系统。</w:t>
      </w:r>
    </w:p>
    <w:p w14:paraId="0FC047F1">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五、开启</w:t>
      </w:r>
    </w:p>
    <w:p w14:paraId="1F331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cs="宋体"/>
          <w:color w:val="auto"/>
          <w:sz w:val="24"/>
          <w:szCs w:val="24"/>
          <w:highlight w:val="none"/>
          <w:u w:val="single"/>
          <w:lang w:val="en-US" w:eastAsia="zh-CN"/>
        </w:rPr>
        <w:t>2026年7月6</w:t>
      </w:r>
      <w:r>
        <w:rPr>
          <w:rFonts w:hint="eastAsia" w:ascii="宋体" w:hAnsi="宋体" w:eastAsia="宋体" w:cs="宋体"/>
          <w:bCs/>
          <w:color w:val="auto"/>
          <w:sz w:val="24"/>
          <w:szCs w:val="24"/>
          <w:highlight w:val="none"/>
          <w:u w:val="single"/>
        </w:rPr>
        <w:t>日</w:t>
      </w:r>
      <w:r>
        <w:rPr>
          <w:rFonts w:hint="eastAsia"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点</w:t>
      </w:r>
      <w:r>
        <w:rPr>
          <w:rFonts w:hint="eastAsia"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14:paraId="50B376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地点：滁州市公共资源交易平台电子交易系统。</w:t>
      </w:r>
    </w:p>
    <w:p w14:paraId="004C4EC7">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六、公告期限</w:t>
      </w:r>
    </w:p>
    <w:p w14:paraId="531245C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自本公告发布之日起</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个工作日。</w:t>
      </w:r>
    </w:p>
    <w:p w14:paraId="3A9E1BC4">
      <w:pPr>
        <w:spacing w:line="360" w:lineRule="auto"/>
        <w:ind w:firstLine="437"/>
        <w:outlineLvl w:val="1"/>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七、其他补充事宜</w:t>
      </w:r>
    </w:p>
    <w:p w14:paraId="3164300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1.本项目只接受在安徽省公共资源交易市场主体库（http://ggzy.ah.gov.cn/ahggfwpt-zhutiku/dengludenglu）登记并进行信息确认提交的</w:t>
      </w:r>
      <w:r>
        <w:rPr>
          <w:rFonts w:hint="eastAsia"/>
          <w:color w:val="auto"/>
          <w:sz w:val="24"/>
          <w:szCs w:val="24"/>
          <w:highlight w:val="none"/>
          <w:lang w:val="en-US" w:eastAsia="zh-CN"/>
        </w:rPr>
        <w:t>供应商参与</w:t>
      </w:r>
      <w:r>
        <w:rPr>
          <w:rFonts w:hint="eastAsia" w:ascii="宋体" w:hAnsi="宋体" w:eastAsia="宋体"/>
          <w:color w:val="auto"/>
          <w:sz w:val="24"/>
          <w:szCs w:val="24"/>
          <w:highlight w:val="none"/>
        </w:rPr>
        <w:t>，未登记的</w:t>
      </w:r>
      <w:r>
        <w:rPr>
          <w:rFonts w:hint="eastAsia"/>
          <w:color w:val="auto"/>
          <w:sz w:val="24"/>
          <w:szCs w:val="24"/>
          <w:highlight w:val="none"/>
          <w:lang w:val="en-US" w:eastAsia="zh-CN"/>
        </w:rPr>
        <w:t>供应商</w:t>
      </w:r>
      <w:r>
        <w:rPr>
          <w:rFonts w:hint="eastAsia" w:ascii="宋体" w:hAnsi="宋体" w:eastAsia="宋体"/>
          <w:color w:val="auto"/>
          <w:sz w:val="24"/>
          <w:szCs w:val="24"/>
          <w:highlight w:val="none"/>
        </w:rPr>
        <w:t>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w:t>
      </w:r>
      <w:r>
        <w:rPr>
          <w:rFonts w:hint="eastAsia"/>
          <w:color w:val="auto"/>
          <w:sz w:val="24"/>
          <w:szCs w:val="24"/>
          <w:highlight w:val="none"/>
          <w:lang w:val="en-US" w:eastAsia="zh-CN"/>
        </w:rPr>
        <w:t>参与</w:t>
      </w:r>
      <w:r>
        <w:rPr>
          <w:rFonts w:hint="eastAsia" w:ascii="宋体" w:hAnsi="宋体" w:eastAsia="宋体"/>
          <w:color w:val="auto"/>
          <w:sz w:val="24"/>
          <w:szCs w:val="24"/>
          <w:highlight w:val="none"/>
        </w:rPr>
        <w:t>的，责任自负。为保证系统使用过程中产生的问题能够及时得到解决，请各主体在工作时间进行主体信息登记、更新、</w:t>
      </w:r>
      <w:r>
        <w:rPr>
          <w:rFonts w:hint="eastAsia"/>
          <w:color w:val="auto"/>
          <w:sz w:val="24"/>
          <w:szCs w:val="24"/>
          <w:highlight w:val="none"/>
          <w:lang w:val="en-US" w:eastAsia="zh-CN"/>
        </w:rPr>
        <w:t>响应</w:t>
      </w:r>
      <w:r>
        <w:rPr>
          <w:rFonts w:hint="eastAsia" w:ascii="宋体" w:hAnsi="宋体" w:eastAsia="宋体"/>
          <w:color w:val="auto"/>
          <w:sz w:val="24"/>
          <w:szCs w:val="24"/>
          <w:highlight w:val="none"/>
        </w:rPr>
        <w:t>文件制作等相关操作。</w:t>
      </w:r>
    </w:p>
    <w:p w14:paraId="64FDC30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2.请供应商登录滁州市公共资源交易中心网站查看参加本项目的程序。（具体操作步骤和程序请参见服务指南&gt;交易须知&gt;投标人填写投标信息、下载文件及网上提问操作手册）。</w:t>
      </w:r>
    </w:p>
    <w:p w14:paraId="4107F6A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0025ED6B">
      <w:pPr>
        <w:spacing w:line="360" w:lineRule="auto"/>
        <w:ind w:firstLine="435"/>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r>
        <w:rPr>
          <w:rFonts w:hint="eastAsia" w:ascii="宋体" w:hAnsi="宋体" w:eastAsia="宋体"/>
          <w:color w:val="auto"/>
          <w:sz w:val="24"/>
          <w:szCs w:val="24"/>
          <w:highlight w:val="none"/>
          <w:lang w:val="en-US" w:eastAsia="zh-CN"/>
        </w:rPr>
        <w:t>。</w:t>
      </w:r>
    </w:p>
    <w:p w14:paraId="18D1E069">
      <w:pPr>
        <w:spacing w:line="360" w:lineRule="auto"/>
        <w:ind w:firstLine="437"/>
        <w:outlineLvl w:val="1"/>
        <w:rPr>
          <w:b/>
          <w:bCs/>
          <w:color w:val="auto"/>
          <w:sz w:val="24"/>
          <w:szCs w:val="18"/>
          <w:highlight w:val="none"/>
        </w:rPr>
      </w:pPr>
      <w:r>
        <w:rPr>
          <w:rFonts w:hint="eastAsia"/>
          <w:b/>
          <w:color w:val="auto"/>
          <w:sz w:val="24"/>
          <w:highlight w:val="none"/>
          <w:lang w:val="en-US" w:eastAsia="zh-CN"/>
        </w:rPr>
        <w:t>八</w:t>
      </w:r>
      <w:r>
        <w:rPr>
          <w:rFonts w:hint="eastAsia" w:ascii="宋体" w:hAnsi="宋体" w:eastAsia="宋体"/>
          <w:b/>
          <w:color w:val="auto"/>
          <w:sz w:val="24"/>
          <w:highlight w:val="none"/>
        </w:rPr>
        <w:t>、</w:t>
      </w:r>
      <w:r>
        <w:rPr>
          <w:rFonts w:hint="eastAsia" w:ascii="宋体" w:hAnsi="宋体" w:eastAsia="宋体"/>
          <w:b/>
          <w:bCs/>
          <w:color w:val="auto"/>
          <w:sz w:val="24"/>
          <w:szCs w:val="18"/>
          <w:highlight w:val="none"/>
        </w:rPr>
        <w:t>对本次</w:t>
      </w:r>
      <w:r>
        <w:rPr>
          <w:rFonts w:hint="eastAsia"/>
          <w:b/>
          <w:bCs/>
          <w:color w:val="auto"/>
          <w:sz w:val="24"/>
          <w:szCs w:val="18"/>
          <w:highlight w:val="none"/>
          <w:lang w:val="en-US" w:eastAsia="zh-CN"/>
        </w:rPr>
        <w:t>采购</w:t>
      </w:r>
      <w:r>
        <w:rPr>
          <w:rFonts w:hint="eastAsia" w:ascii="宋体" w:hAnsi="宋体" w:eastAsia="宋体"/>
          <w:b/>
          <w:bCs/>
          <w:color w:val="auto"/>
          <w:sz w:val="24"/>
          <w:szCs w:val="18"/>
          <w:highlight w:val="none"/>
        </w:rPr>
        <w:t>提出询问，请按以下方式联系</w:t>
      </w:r>
    </w:p>
    <w:bookmarkEnd w:id="2"/>
    <w:bookmarkEnd w:id="3"/>
    <w:p w14:paraId="3F71EB18">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7DF06B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val="en-US" w:eastAsia="zh-CN"/>
        </w:rPr>
      </w:pPr>
      <w:r>
        <w:rPr>
          <w:rFonts w:hint="eastAsia" w:ascii="宋体" w:hAnsi="宋体" w:eastAsia="宋体" w:cs="宋体"/>
          <w:color w:val="auto"/>
          <w:sz w:val="24"/>
          <w:szCs w:val="24"/>
          <w:highlight w:val="none"/>
          <w:u w:val="none"/>
          <w:lang w:val="en-US" w:eastAsia="zh-CN"/>
        </w:rPr>
        <w:t>名称</w:t>
      </w:r>
      <w:r>
        <w:rPr>
          <w:rFonts w:hint="eastAsia" w:ascii="宋体" w:hAnsi="宋体" w:eastAsia="宋体"/>
          <w:color w:val="auto"/>
          <w:sz w:val="24"/>
          <w:szCs w:val="18"/>
          <w:highlight w:val="none"/>
          <w:u w:val="none"/>
        </w:rPr>
        <w:t>：</w:t>
      </w:r>
      <w:r>
        <w:rPr>
          <w:rFonts w:hint="eastAsia"/>
          <w:color w:val="auto"/>
          <w:sz w:val="24"/>
          <w:szCs w:val="18"/>
          <w:highlight w:val="none"/>
          <w:u w:val="none"/>
          <w:lang w:eastAsia="zh-CN"/>
        </w:rPr>
        <w:t>滁州市明湖建设管理服务中心</w:t>
      </w:r>
    </w:p>
    <w:p w14:paraId="5180461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rPr>
        <w:t>地址：</w:t>
      </w:r>
      <w:r>
        <w:rPr>
          <w:rFonts w:hint="eastAsia"/>
          <w:color w:val="auto"/>
          <w:sz w:val="24"/>
          <w:szCs w:val="18"/>
          <w:highlight w:val="none"/>
          <w:u w:val="none"/>
          <w:lang w:eastAsia="zh-CN"/>
        </w:rPr>
        <w:t>滁州市明湖公园内</w:t>
      </w:r>
    </w:p>
    <w:p w14:paraId="0997BFD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w:t>
      </w:r>
      <w:r>
        <w:rPr>
          <w:rFonts w:hint="eastAsia"/>
          <w:color w:val="auto"/>
          <w:sz w:val="24"/>
          <w:szCs w:val="18"/>
          <w:highlight w:val="none"/>
          <w:u w:val="none"/>
          <w:lang w:val="en-US" w:eastAsia="zh-CN"/>
        </w:rPr>
        <w:t>钟兰翔</w:t>
      </w:r>
    </w:p>
    <w:p w14:paraId="365567D5">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color w:val="auto"/>
          <w:sz w:val="24"/>
          <w:szCs w:val="18"/>
          <w:highlight w:val="none"/>
          <w:u w:val="none"/>
          <w:lang w:eastAsia="zh-CN"/>
        </w:rPr>
        <w:t>15155005346</w:t>
      </w:r>
    </w:p>
    <w:p w14:paraId="1638E407">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7F90D2A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名称</w:t>
      </w:r>
      <w:r>
        <w:rPr>
          <w:rFonts w:hint="eastAsia" w:ascii="宋体" w:hAnsi="宋体" w:eastAsia="宋体"/>
          <w:color w:val="auto"/>
          <w:sz w:val="24"/>
          <w:szCs w:val="18"/>
          <w:highlight w:val="none"/>
          <w:u w:val="none"/>
        </w:rPr>
        <w:t>：滁州市城投工程咨询管理有限公司</w:t>
      </w:r>
    </w:p>
    <w:p w14:paraId="308BFFD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rPr>
        <w:t>地</w:t>
      </w:r>
      <w:r>
        <w:rPr>
          <w:rFonts w:ascii="宋体" w:hAnsi="宋体" w:eastAsia="宋体"/>
          <w:color w:val="auto"/>
          <w:sz w:val="24"/>
          <w:szCs w:val="18"/>
          <w:highlight w:val="none"/>
          <w:u w:val="none"/>
        </w:rPr>
        <w:t>址：</w:t>
      </w:r>
      <w:r>
        <w:rPr>
          <w:rFonts w:hint="eastAsia"/>
          <w:color w:val="auto"/>
          <w:sz w:val="24"/>
          <w:szCs w:val="18"/>
          <w:highlight w:val="none"/>
          <w:u w:val="none"/>
          <w:lang w:eastAsia="zh-CN"/>
        </w:rPr>
        <w:t>滁州市龙蟠大道109号房产商务大厦6楼</w:t>
      </w:r>
    </w:p>
    <w:p w14:paraId="6289BC3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eastAsia="宋体"/>
          <w:color w:val="auto"/>
          <w:highlight w:val="none"/>
          <w:u w:val="none"/>
          <w:lang w:val="en-US" w:eastAsia="zh-CN"/>
        </w:rPr>
      </w:pPr>
      <w:r>
        <w:rPr>
          <w:rFonts w:hint="eastAsia" w:ascii="宋体" w:hAnsi="宋体" w:eastAsia="宋体"/>
          <w:color w:val="auto"/>
          <w:sz w:val="24"/>
          <w:szCs w:val="18"/>
          <w:highlight w:val="none"/>
          <w:u w:val="none"/>
          <w:lang w:val="en-US" w:eastAsia="zh-CN"/>
        </w:rPr>
        <w:t>联</w:t>
      </w:r>
      <w:r>
        <w:rPr>
          <w:rFonts w:hint="eastAsia"/>
          <w:color w:val="auto"/>
          <w:sz w:val="24"/>
          <w:szCs w:val="18"/>
          <w:highlight w:val="none"/>
          <w:u w:val="none"/>
          <w:lang w:val="en-US" w:eastAsia="zh-CN"/>
        </w:rPr>
        <w:t xml:space="preserve"> </w:t>
      </w:r>
      <w:r>
        <w:rPr>
          <w:rFonts w:hint="eastAsia" w:ascii="宋体" w:hAnsi="宋体" w:eastAsia="宋体"/>
          <w:color w:val="auto"/>
          <w:sz w:val="24"/>
          <w:szCs w:val="18"/>
          <w:highlight w:val="none"/>
          <w:u w:val="none"/>
          <w:lang w:val="en-US" w:eastAsia="zh-CN"/>
        </w:rPr>
        <w:t>系</w:t>
      </w:r>
      <w:r>
        <w:rPr>
          <w:rFonts w:hint="eastAsia"/>
          <w:color w:val="auto"/>
          <w:sz w:val="24"/>
          <w:szCs w:val="18"/>
          <w:highlight w:val="none"/>
          <w:u w:val="none"/>
          <w:lang w:val="en-US" w:eastAsia="zh-CN"/>
        </w:rPr>
        <w:t xml:space="preserve"> </w:t>
      </w:r>
      <w:r>
        <w:rPr>
          <w:rFonts w:hint="eastAsia" w:ascii="宋体" w:hAnsi="宋体" w:eastAsia="宋体"/>
          <w:color w:val="auto"/>
          <w:sz w:val="24"/>
          <w:szCs w:val="18"/>
          <w:highlight w:val="none"/>
          <w:u w:val="none"/>
          <w:lang w:val="en-US" w:eastAsia="zh-CN"/>
        </w:rPr>
        <w:t>人：</w:t>
      </w:r>
      <w:r>
        <w:rPr>
          <w:rFonts w:hint="eastAsia"/>
          <w:color w:val="auto"/>
          <w:sz w:val="24"/>
          <w:szCs w:val="18"/>
          <w:highlight w:val="none"/>
          <w:u w:val="none"/>
          <w:lang w:val="en-US" w:eastAsia="zh-CN"/>
        </w:rPr>
        <w:t>周晓培</w:t>
      </w:r>
    </w:p>
    <w:p w14:paraId="040DF88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w:t>
      </w:r>
      <w:r>
        <w:rPr>
          <w:rFonts w:hint="eastAsia" w:cs="宋体"/>
          <w:color w:val="auto"/>
          <w:sz w:val="24"/>
          <w:szCs w:val="24"/>
          <w:highlight w:val="none"/>
          <w:u w:val="none"/>
          <w:lang w:val="en-US" w:eastAsia="zh-CN"/>
        </w:rPr>
        <w:t>0550-3519512、18255055896</w:t>
      </w:r>
    </w:p>
    <w:p w14:paraId="26E273D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3.政府采购监督管理部门信息</w:t>
      </w:r>
    </w:p>
    <w:p w14:paraId="2172701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名称：滁州市公共资源交易监督管理局</w:t>
      </w:r>
    </w:p>
    <w:p w14:paraId="47EC9A6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地址：滁州市龙蟠大道109号房产商务大厦3楼</w:t>
      </w:r>
    </w:p>
    <w:p w14:paraId="564DE35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联系方式：0550-38016</w:t>
      </w:r>
      <w:r>
        <w:rPr>
          <w:rFonts w:hint="eastAsia" w:cs="宋体"/>
          <w:color w:val="auto"/>
          <w:sz w:val="24"/>
          <w:szCs w:val="24"/>
          <w:highlight w:val="none"/>
          <w:u w:val="none"/>
          <w:lang w:val="en-US" w:eastAsia="zh-CN"/>
        </w:rPr>
        <w:t>01</w:t>
      </w:r>
    </w:p>
    <w:bookmarkEnd w:id="4"/>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17"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7"/>
    </w:p>
    <w:p w14:paraId="370FE04A">
      <w:pPr>
        <w:spacing w:line="360" w:lineRule="auto"/>
        <w:jc w:val="center"/>
        <w:outlineLvl w:val="1"/>
        <w:rPr>
          <w:rFonts w:asciiTheme="minorEastAsia" w:hAnsiTheme="minorEastAsia" w:eastAsiaTheme="minorEastAsia"/>
          <w:b/>
          <w:color w:val="auto"/>
          <w:sz w:val="24"/>
          <w:highlight w:val="none"/>
        </w:rPr>
      </w:pPr>
      <w:bookmarkStart w:id="18" w:name="_Toc12027"/>
      <w:bookmarkStart w:id="19"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8"/>
      <w:bookmarkEnd w:id="19"/>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8ADB11">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06ABCD9">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64A1A7FA">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3016A6">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7" w:type="pct"/>
            <w:vAlign w:val="center"/>
          </w:tcPr>
          <w:p w14:paraId="186EF350">
            <w:pPr>
              <w:pStyle w:val="76"/>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6" w:type="pct"/>
            <w:vAlign w:val="center"/>
          </w:tcPr>
          <w:p w14:paraId="3AFE9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02CE4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771579F3">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589C52CA">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360BD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47A89B4F">
            <w:pPr>
              <w:pStyle w:val="7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116C3C4">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1FAF766">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7961FE2">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2026年6月30</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00</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576AC7EA">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026D976">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7D762E5">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w:t>
            </w:r>
            <w:r>
              <w:rPr>
                <w:rFonts w:hint="eastAsia"/>
                <w:b w:val="0"/>
                <w:color w:val="auto"/>
                <w:sz w:val="24"/>
                <w:highlight w:val="none"/>
                <w:lang w:val="en-US" w:eastAsia="zh-CN"/>
              </w:rPr>
              <w:t>/</w:t>
            </w:r>
            <w:r>
              <w:rPr>
                <w:b w:val="0"/>
                <w:color w:val="auto"/>
                <w:sz w:val="24"/>
                <w:highlight w:val="none"/>
              </w:rPr>
              <w:t>个包</w:t>
            </w:r>
          </w:p>
          <w:p w14:paraId="19006EF2">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18640B59">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CF7A031">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0AB614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6DDB7C">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B95BD20">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30296D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6D2A6C5">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ADB9331">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209EDC1">
            <w:pPr>
              <w:pStyle w:val="76"/>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60 </w:t>
            </w:r>
            <w:r>
              <w:rPr>
                <w:rFonts w:hint="eastAsia"/>
                <w:b w:val="0"/>
                <w:color w:val="auto"/>
                <w:sz w:val="24"/>
                <w:highlight w:val="none"/>
                <w:u w:val="none"/>
              </w:rPr>
              <w:t>分钟内</w:t>
            </w:r>
            <w:r>
              <w:rPr>
                <w:rFonts w:hint="eastAsia" w:ascii="宋体" w:hAnsi="宋体" w:eastAsia="宋体" w:cs="宋体"/>
                <w:b w:val="0"/>
                <w:color w:val="auto"/>
                <w:sz w:val="24"/>
                <w:highlight w:val="none"/>
                <w:u w:val="none"/>
              </w:rPr>
              <w:t>（以本项目网上招投标系统解密倒计时为准）</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76CA974">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24CC240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35A7040F">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327A479">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BE0F5A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76"/>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56" w:type="pct"/>
            <w:vAlign w:val="center"/>
          </w:tcPr>
          <w:p w14:paraId="0B988EFD">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 xml:space="preserve">  </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AE2312">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 xml:space="preserve">    </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51C34DB0">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622C21A0">
            <w:pPr>
              <w:pStyle w:val="76"/>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76178504">
            <w:pPr>
              <w:pStyle w:val="7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29C179CC">
            <w:pPr>
              <w:pStyle w:val="76"/>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745B143">
            <w:pPr>
              <w:pStyle w:val="77"/>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31DE47F">
            <w:pPr>
              <w:pStyle w:val="76"/>
              <w:widowControl w:val="0"/>
              <w:spacing w:before="0" w:beforeAutospacing="0" w:after="0" w:afterAutospacing="0" w:line="360" w:lineRule="auto"/>
              <w:jc w:val="both"/>
              <w:rPr>
                <w:b w:val="0"/>
                <w:color w:val="auto"/>
                <w:sz w:val="24"/>
                <w:highlight w:val="none"/>
              </w:rPr>
            </w:pPr>
          </w:p>
        </w:tc>
        <w:tc>
          <w:tcPr>
            <w:tcW w:w="3556" w:type="pct"/>
            <w:vAlign w:val="center"/>
          </w:tcPr>
          <w:p w14:paraId="3E2A567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76"/>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847A9E">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A9A0D52">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27EEF26C">
            <w:pPr>
              <w:pStyle w:val="76"/>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b w:val="0"/>
                <w:color w:val="auto"/>
                <w:sz w:val="24"/>
                <w:highlight w:val="none"/>
                <w:u w:val="none"/>
                <w:lang w:eastAsia="zh-CN"/>
              </w:rPr>
              <w:t>（</w:t>
            </w:r>
            <w:r>
              <w:rPr>
                <w:rFonts w:hint="eastAsia"/>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610897A6">
            <w:pPr>
              <w:pStyle w:val="76"/>
              <w:widowControl w:val="0"/>
              <w:numPr>
                <w:ilvl w:val="0"/>
                <w:numId w:val="0"/>
              </w:numPr>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E336721">
            <w:pPr>
              <w:pStyle w:val="76"/>
              <w:widowControl w:val="0"/>
              <w:spacing w:before="0" w:beforeAutospacing="0" w:after="0" w:afterAutospacing="0" w:line="360" w:lineRule="auto"/>
              <w:jc w:val="both"/>
              <w:rPr>
                <w:rFonts w:hint="eastAsia" w:eastAsia="宋体"/>
                <w:b w:val="0"/>
                <w:bCs w:val="0"/>
                <w:color w:val="auto"/>
                <w:sz w:val="24"/>
                <w:szCs w:val="24"/>
                <w:highlight w:val="none"/>
                <w:lang w:eastAsia="zh-CN"/>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b w:val="0"/>
                <w:color w:val="auto"/>
                <w:sz w:val="24"/>
                <w:highlight w:val="none"/>
                <w:u w:val="none"/>
                <w:lang w:eastAsia="zh-CN"/>
              </w:rPr>
              <w:t>。</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060E769">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E289BA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3C6189A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D8EA391">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FE416F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550D0936">
            <w:pPr>
              <w:pStyle w:val="76"/>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76"/>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024883">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288C87E">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7111A7A9">
            <w:pPr>
              <w:spacing w:line="360" w:lineRule="auto"/>
              <w:rPr>
                <w:bCs/>
                <w:color w:val="auto"/>
                <w:sz w:val="24"/>
                <w:szCs w:val="28"/>
                <w:highlight w:val="none"/>
              </w:rPr>
            </w:pPr>
            <w:r>
              <w:rPr>
                <w:rFonts w:hint="eastAsia"/>
                <w:bCs/>
                <w:color w:val="auto"/>
                <w:sz w:val="24"/>
                <w:szCs w:val="28"/>
                <w:highlight w:val="none"/>
              </w:rPr>
              <w:t>（1）金额：</w:t>
            </w:r>
          </w:p>
          <w:p w14:paraId="6C0CE609">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7EC7D754">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w:t>
            </w:r>
            <w:r>
              <w:rPr>
                <w:bCs/>
                <w:color w:val="auto"/>
                <w:sz w:val="24"/>
                <w:szCs w:val="28"/>
                <w:highlight w:val="none"/>
              </w:rPr>
              <w:t>%</w:t>
            </w:r>
          </w:p>
          <w:p w14:paraId="3177661E">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u w:val="single"/>
                <w:lang w:val="en-US" w:eastAsia="zh-CN"/>
              </w:rPr>
              <w:t>/</w:t>
            </w:r>
            <w:r>
              <w:rPr>
                <w:rFonts w:hint="eastAsia"/>
                <w:bCs/>
                <w:color w:val="auto"/>
                <w:sz w:val="24"/>
                <w:szCs w:val="28"/>
                <w:highlight w:val="none"/>
                <w:u w:val="single"/>
              </w:rPr>
              <w:t xml:space="preserve">     </w:t>
            </w:r>
            <w:r>
              <w:rPr>
                <w:rFonts w:hint="eastAsia"/>
                <w:bCs/>
                <w:color w:val="auto"/>
                <w:sz w:val="24"/>
                <w:szCs w:val="28"/>
                <w:highlight w:val="none"/>
              </w:rPr>
              <w:t>元</w:t>
            </w:r>
          </w:p>
          <w:p w14:paraId="73F3B94F">
            <w:pPr>
              <w:spacing w:line="360" w:lineRule="auto"/>
              <w:rPr>
                <w:bCs/>
                <w:color w:val="auto"/>
                <w:sz w:val="24"/>
                <w:szCs w:val="28"/>
                <w:highlight w:val="none"/>
              </w:rPr>
            </w:pPr>
            <w:r>
              <w:rPr>
                <w:rFonts w:hint="eastAsia"/>
                <w:bCs/>
                <w:color w:val="auto"/>
                <w:sz w:val="24"/>
                <w:szCs w:val="28"/>
                <w:highlight w:val="none"/>
              </w:rPr>
              <w:t>（2）支付方式：</w:t>
            </w:r>
          </w:p>
          <w:p w14:paraId="2FCAB721">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0690B5BD">
            <w:pPr>
              <w:keepNext w:val="0"/>
              <w:keepLines w:val="0"/>
              <w:pageBreakBefore w:val="0"/>
              <w:numPr>
                <w:ilvl w:val="0"/>
                <w:numId w:val="0"/>
              </w:numPr>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收取单位：</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另行通知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kern w:val="0"/>
                <w:sz w:val="24"/>
                <w:szCs w:val="24"/>
                <w:highlight w:val="none"/>
              </w:rPr>
              <w:t xml:space="preserve">              </w:t>
            </w:r>
          </w:p>
          <w:p w14:paraId="04487469">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（4）收取账号：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另行通知</w:t>
            </w:r>
            <w:r>
              <w:rPr>
                <w:rFonts w:hint="eastAsia" w:ascii="宋体" w:hAnsi="宋体" w:eastAsia="宋体" w:cs="宋体"/>
                <w:bCs/>
                <w:color w:val="auto"/>
                <w:sz w:val="24"/>
                <w:szCs w:val="24"/>
                <w:highlight w:val="none"/>
                <w:u w:val="single"/>
              </w:rPr>
              <w:t xml:space="preserve"> </w:t>
            </w:r>
          </w:p>
          <w:p w14:paraId="7F524EB3">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color w:val="auto"/>
                <w:sz w:val="24"/>
                <w:szCs w:val="24"/>
                <w:highlight w:val="none"/>
                <w:u w:val="single" w:color="auto"/>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退还时间：</w:t>
            </w:r>
            <w:r>
              <w:rPr>
                <w:rFonts w:hint="eastAsia" w:ascii="宋体" w:hAnsi="宋体" w:eastAsia="宋体" w:cs="宋体"/>
                <w:bCs/>
                <w:color w:val="auto"/>
                <w:sz w:val="24"/>
                <w:szCs w:val="24"/>
                <w:highlight w:val="none"/>
                <w:u w:val="single"/>
                <w:lang w:val="en-US" w:eastAsia="zh-CN"/>
              </w:rPr>
              <w:t xml:space="preserve"> 履约保证金有效期满7日内。</w:t>
            </w:r>
          </w:p>
          <w:p w14:paraId="64C27A0E">
            <w:pPr>
              <w:spacing w:line="360" w:lineRule="auto"/>
              <w:rPr>
                <w:b/>
                <w:bCs/>
                <w:color w:val="auto"/>
                <w:sz w:val="24"/>
                <w:szCs w:val="24"/>
                <w:highlight w:val="none"/>
              </w:rPr>
            </w:pPr>
            <w:r>
              <w:rPr>
                <w:rFonts w:hint="eastAsia"/>
                <w:b/>
                <w:bCs/>
                <w:color w:val="auto"/>
                <w:sz w:val="24"/>
                <w:szCs w:val="24"/>
                <w:highlight w:val="none"/>
              </w:rPr>
              <w:t>注意事项：</w:t>
            </w:r>
          </w:p>
          <w:p w14:paraId="5FF0F573">
            <w:pPr>
              <w:spacing w:line="360" w:lineRule="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（1）以上各类机构出具的以担保函、保证保险承担责任的方式均须满足无条件见索即付条件。</w:t>
            </w:r>
          </w:p>
          <w:p w14:paraId="154C0BB1">
            <w:pPr>
              <w:pStyle w:val="76"/>
              <w:widowControl w:val="0"/>
              <w:spacing w:before="0" w:beforeAutospacing="0" w:after="0" w:afterAutospacing="0" w:line="360" w:lineRule="auto"/>
              <w:jc w:val="both"/>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AE815A7">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8835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代理费用</w:t>
            </w:r>
          </w:p>
        </w:tc>
        <w:tc>
          <w:tcPr>
            <w:tcW w:w="3556" w:type="pct"/>
            <w:vAlign w:val="center"/>
          </w:tcPr>
          <w:p w14:paraId="6B171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w:t>
            </w:r>
            <w:r>
              <w:rPr>
                <w:rFonts w:hint="default" w:ascii="宋体" w:hAnsi="宋体" w:eastAsia="宋体" w:cs="宋体"/>
                <w:color w:val="auto"/>
                <w:sz w:val="24"/>
                <w:szCs w:val="24"/>
                <w:highlight w:val="none"/>
                <w:u w:val="single"/>
                <w:lang w:val="en-US" w:eastAsia="zh-CN"/>
              </w:rPr>
              <w:t>收费对象</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sym w:font="Wingdings" w:char="00A8"/>
            </w:r>
            <w:r>
              <w:rPr>
                <w:rFonts w:hint="eastAsia" w:ascii="宋体" w:hAnsi="宋体" w:eastAsia="宋体" w:cs="宋体"/>
                <w:color w:val="auto"/>
                <w:sz w:val="24"/>
                <w:szCs w:val="24"/>
                <w:highlight w:val="none"/>
                <w:u w:val="single"/>
                <w:lang w:val="en-US" w:eastAsia="zh-CN"/>
              </w:rPr>
              <w:t xml:space="preserve">采购人   </w:t>
            </w:r>
            <w:r>
              <w:rPr>
                <w:rFonts w:hint="eastAsia" w:ascii="宋体" w:hAnsi="宋体" w:eastAsia="宋体" w:cs="宋体"/>
                <w:color w:val="auto"/>
                <w:sz w:val="24"/>
                <w:szCs w:val="24"/>
                <w:highlight w:val="none"/>
                <w:u w:val="single"/>
                <w:lang w:val="en-US" w:eastAsia="zh-CN"/>
              </w:rPr>
              <w:sym w:font="Wingdings" w:char="00FE"/>
            </w:r>
            <w:r>
              <w:rPr>
                <w:rFonts w:hint="eastAsia" w:ascii="宋体" w:hAnsi="宋体" w:eastAsia="宋体" w:cs="宋体"/>
                <w:color w:val="auto"/>
                <w:sz w:val="24"/>
                <w:szCs w:val="24"/>
                <w:highlight w:val="none"/>
                <w:u w:val="single"/>
                <w:lang w:val="en-US" w:eastAsia="zh-CN"/>
              </w:rPr>
              <w:t>成交供应商</w:t>
            </w:r>
          </w:p>
          <w:p w14:paraId="7EA5A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（2）收取方式：成交供应商在获取成交通知书时一次性支付给代理机构</w:t>
            </w:r>
          </w:p>
          <w:p w14:paraId="49EBB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（3）收费标准：代理费</w:t>
            </w:r>
            <w:r>
              <w:rPr>
                <w:rFonts w:hint="eastAsia" w:cs="宋体"/>
                <w:color w:val="auto"/>
                <w:sz w:val="24"/>
                <w:szCs w:val="24"/>
                <w:highlight w:val="none"/>
                <w:u w:val="single"/>
                <w:lang w:val="en-US" w:eastAsia="zh-CN"/>
              </w:rPr>
              <w:t>6140</w:t>
            </w:r>
            <w:r>
              <w:rPr>
                <w:rFonts w:hint="eastAsia" w:ascii="宋体" w:hAnsi="宋体" w:eastAsia="宋体" w:cs="宋体"/>
                <w:color w:val="auto"/>
                <w:sz w:val="24"/>
                <w:szCs w:val="24"/>
                <w:highlight w:val="none"/>
                <w:u w:val="single"/>
                <w:lang w:val="en-US" w:eastAsia="zh-CN"/>
              </w:rPr>
              <w:t>元，参考《滁州市公共资源交易代理机构及从业人员管理暂行办法》滁公管〔2022〕5号标准。</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F65D464">
            <w:pPr>
              <w:pStyle w:val="77"/>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8F413C0">
            <w:pPr>
              <w:pStyle w:val="7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45FF6AF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7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1548F1">
            <w:pPr>
              <w:pStyle w:val="77"/>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4E5FD3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7BD76FE2">
            <w:pPr>
              <w:pStyle w:val="76"/>
              <w:keepNext w:val="0"/>
              <w:keepLines w:val="0"/>
              <w:widowControl w:val="0"/>
              <w:suppressLineNumbers w:val="0"/>
              <w:spacing w:before="0" w:beforeAutospacing="0" w:after="0" w:afterAutospacing="0" w:line="360" w:lineRule="auto"/>
              <w:ind w:left="0" w:right="0"/>
              <w:jc w:val="both"/>
              <w:rPr>
                <w:rFonts w:hint="eastAsia" w:ascii="宋体" w:hAnsi="宋体" w:eastAsia="宋体"/>
                <w:b/>
                <w:bCs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bCs w:val="0"/>
                <w:color w:val="auto"/>
                <w:sz w:val="24"/>
                <w:highlight w:val="none"/>
                <w:u w:val="single"/>
                <w:lang w:val="en-US" w:eastAsia="zh-CN"/>
              </w:rPr>
              <w:t>如供应商对磋商文件有质疑，依据中华人民共和国财政部令第94号《政府采购质疑和投诉办法》规定提出质疑</w:t>
            </w:r>
            <w:r>
              <w:rPr>
                <w:rFonts w:hint="eastAsia"/>
                <w:b/>
                <w:bCs w:val="0"/>
                <w:color w:val="auto"/>
                <w:sz w:val="24"/>
                <w:highlight w:val="none"/>
                <w:u w:val="single"/>
                <w:lang w:val="en-US" w:eastAsia="zh-CN"/>
              </w:rPr>
              <w:t>；</w:t>
            </w:r>
          </w:p>
          <w:p w14:paraId="38331EF4">
            <w:pPr>
              <w:pStyle w:val="76"/>
              <w:keepNext w:val="0"/>
              <w:keepLines w:val="0"/>
              <w:widowControl w:val="0"/>
              <w:suppressLineNumbers w:val="0"/>
              <w:spacing w:before="0" w:beforeAutospacing="0" w:after="0" w:afterAutospacing="0" w:line="360" w:lineRule="auto"/>
              <w:ind w:left="0" w:right="0"/>
              <w:jc w:val="both"/>
              <w:rPr>
                <w:rFonts w:hint="default" w:ascii="宋体" w:hAnsi="宋体" w:eastAsia="宋体"/>
                <w:b/>
                <w:bCs w:val="0"/>
                <w:color w:val="auto"/>
                <w:sz w:val="24"/>
                <w:highlight w:val="none"/>
                <w:u w:val="single"/>
              </w:rPr>
            </w:pPr>
            <w:r>
              <w:rPr>
                <w:rFonts w:hint="eastAsia" w:ascii="宋体" w:hAnsi="宋体" w:eastAsia="宋体"/>
                <w:b/>
                <w:bCs w:val="0"/>
                <w:color w:val="auto"/>
                <w:sz w:val="24"/>
                <w:highlight w:val="none"/>
                <w:u w:val="single"/>
                <w:lang w:val="en-US" w:eastAsia="zh-CN"/>
              </w:rPr>
              <w:t>供应商</w:t>
            </w:r>
            <w:r>
              <w:rPr>
                <w:rFonts w:hint="eastAsia" w:ascii="宋体" w:hAnsi="宋体" w:eastAsia="宋体"/>
                <w:b/>
                <w:bCs w:val="0"/>
                <w:color w:val="auto"/>
                <w:sz w:val="24"/>
                <w:highlight w:val="none"/>
                <w:u w:val="single"/>
              </w:rPr>
              <w:t>可以通过书面形式提出，也可以通过线上提出质疑</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通过线上向滁州市公共资源交易中心网电子交易系统提出质疑(具体操作步骤和程序请参见服务指南&gt;交易须知&gt;在线异议、质疑和投诉操作手册)</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。一份质疑函只能针对一个项目提出质疑，且针对同一采购程序环节的质疑应当</w:t>
            </w:r>
            <w:r>
              <w:rPr>
                <w:rFonts w:hint="eastAsia" w:ascii="宋体" w:hAnsi="宋体" w:eastAsia="宋体"/>
                <w:b/>
                <w:bCs w:val="0"/>
                <w:color w:val="auto"/>
                <w:sz w:val="24"/>
                <w:highlight w:val="none"/>
                <w:u w:val="single"/>
                <w:lang w:val="en-US" w:eastAsia="zh-CN"/>
              </w:rPr>
              <w:t>一</w:t>
            </w:r>
            <w:r>
              <w:rPr>
                <w:rFonts w:hint="eastAsia" w:ascii="宋体" w:hAnsi="宋体" w:eastAsia="宋体"/>
                <w:b/>
                <w:bCs w:val="0"/>
                <w:color w:val="auto"/>
                <w:sz w:val="24"/>
                <w:highlight w:val="none"/>
                <w:u w:val="single"/>
              </w:rPr>
              <w:t>次性提出</w:t>
            </w:r>
          </w:p>
          <w:p w14:paraId="37FC2A55">
            <w:pPr>
              <w:pStyle w:val="76"/>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bCs/>
                <w:color w:val="auto"/>
                <w:kern w:val="0"/>
                <w:sz w:val="24"/>
                <w:szCs w:val="28"/>
                <w:highlight w:val="none"/>
                <w:u w:val="single"/>
                <w:lang w:eastAsia="zh-CN"/>
              </w:rPr>
              <w:t>滁州市明湖建设管理服务中心</w:t>
            </w:r>
            <w:r>
              <w:rPr>
                <w:rFonts w:hint="eastAsia" w:ascii="宋体" w:hAnsi="宋体" w:eastAsia="宋体"/>
                <w:bCs/>
                <w:color w:val="auto"/>
                <w:kern w:val="0"/>
                <w:sz w:val="24"/>
                <w:szCs w:val="28"/>
                <w:highlight w:val="none"/>
                <w:u w:val="single"/>
                <w:lang w:val="en-US" w:eastAsia="zh-CN"/>
              </w:rPr>
              <w:t>或滁州市城投工程咨询管理有限公司</w:t>
            </w:r>
          </w:p>
          <w:p w14:paraId="2F66C476">
            <w:pPr>
              <w:pStyle w:val="76"/>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lang w:val="en-US" w:eastAsia="zh-CN"/>
              </w:rPr>
            </w:pPr>
            <w:r>
              <w:rPr>
                <w:rFonts w:hint="default" w:ascii="宋体" w:hAnsi="宋体" w:eastAsia="宋体"/>
                <w:b w:val="0"/>
                <w:color w:val="auto"/>
                <w:sz w:val="24"/>
                <w:highlight w:val="none"/>
              </w:rPr>
              <w:t>联系电话：</w:t>
            </w:r>
            <w:r>
              <w:rPr>
                <w:rFonts w:hint="eastAsia"/>
                <w:bCs/>
                <w:color w:val="auto"/>
                <w:kern w:val="0"/>
                <w:sz w:val="24"/>
                <w:szCs w:val="28"/>
                <w:highlight w:val="none"/>
                <w:u w:val="single"/>
                <w:lang w:eastAsia="zh-CN"/>
              </w:rPr>
              <w:t>15155005346、0550-3519512、18255055896</w:t>
            </w:r>
          </w:p>
          <w:p w14:paraId="68ED590E">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w:t>
            </w:r>
            <w:r>
              <w:rPr>
                <w:rFonts w:hint="eastAsia"/>
                <w:bCs/>
                <w:color w:val="auto"/>
                <w:kern w:val="0"/>
                <w:sz w:val="24"/>
                <w:szCs w:val="28"/>
                <w:highlight w:val="none"/>
                <w:u w:val="single"/>
                <w:lang w:eastAsia="zh-CN"/>
              </w:rPr>
              <w:t>滁州市明湖公园内</w:t>
            </w:r>
            <w:r>
              <w:rPr>
                <w:rFonts w:hint="eastAsia" w:ascii="宋体" w:hAnsi="宋体" w:eastAsia="宋体"/>
                <w:bCs/>
                <w:color w:val="auto"/>
                <w:kern w:val="0"/>
                <w:sz w:val="24"/>
                <w:szCs w:val="28"/>
                <w:highlight w:val="none"/>
                <w:u w:val="single"/>
                <w:lang w:val="en-US" w:eastAsia="zh-CN"/>
              </w:rPr>
              <w:t>、</w:t>
            </w:r>
            <w:r>
              <w:rPr>
                <w:rFonts w:hint="eastAsia"/>
                <w:bCs/>
                <w:color w:val="auto"/>
                <w:kern w:val="0"/>
                <w:sz w:val="24"/>
                <w:szCs w:val="28"/>
                <w:highlight w:val="none"/>
                <w:u w:val="single"/>
                <w:lang w:eastAsia="zh-CN"/>
              </w:rPr>
              <w:t>滁州市龙蟠大道109号房产商务大厦6楼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51567F">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7397BED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283B4135">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1.特别提示：</w:t>
            </w:r>
          </w:p>
          <w:p w14:paraId="7D67FADE">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（1）供应商应填写投标信息并下载采购文件，否则无法上传响应文件。</w:t>
            </w:r>
          </w:p>
          <w:p w14:paraId="6A5F4774">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注：供应商如为联合体的，牵头人必须完善供应商信息，并在上传响应文件环节添加联合体参与信息。</w:t>
            </w:r>
          </w:p>
          <w:p w14:paraId="6048D496">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2）本项目采用电子招标投标，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磋商小组否决其磋商资格，责任自负。如有技术问题请联系0550-3801701，0512-58188516。</w:t>
            </w:r>
          </w:p>
          <w:p w14:paraId="79FF3F87">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（3）如果过程中出现采购文件更改，应以最后发布的招标答疑澄清文件中的模板制作本项目最新响应文件。</w:t>
            </w:r>
          </w:p>
          <w:p w14:paraId="7877FA3C">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 xml:space="preserve">（4）供应商应当用本单位CA数字证书制作响应文件，制作成功后进行响应文件上传。联合体参加磋商的，磋商文件下载、响应文件编制、电子签章、网上递交标书、解密等工作均由其牵头人负责办理，其他联合体成员方按磋商文件要求提供相关材料即可。 </w:t>
            </w:r>
          </w:p>
          <w:p w14:paraId="3A9B481C">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5DB23F97">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（6）请供应商注意加密响应文件CA数字证书的有效期，不在有效期的CA数字证书无法解密响应文件。</w:t>
            </w:r>
          </w:p>
          <w:p w14:paraId="7F61C257">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（7）供应商投标MAC地址一致，由磋商小组否决其磋商资格。</w:t>
            </w:r>
          </w:p>
          <w:p w14:paraId="298AD91D">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（8）供应商单方面出现其他供应商材料的，由磋商小组否决其响应资格。</w:t>
            </w:r>
          </w:p>
          <w:p w14:paraId="629C7D5B">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9）评标时查询响应文件制作机器码、文件创建标识码及造价软件加密锁号。若存在响应文件制作机器码或创建标识码或造价软件加密锁号信息与其他供应商雷同的，由磋商小组否决其磋商资格，保证金不予退还，依法依规予以处理。</w:t>
            </w:r>
          </w:p>
          <w:p w14:paraId="6BA9BA6A">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（10）供应商联系人或联系电话相同的，由磋商小组否决其响应资格，并报告监管部门作不良行为处理和进一步调查。</w:t>
            </w:r>
          </w:p>
          <w:p w14:paraId="145E713C">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（11）供应商以联合体名义参与磋商的，其质疑投诉应当由联合体全体成员共同提出。联合体成员单独进行质疑投诉的，应当书面征得联合体其他成员同意，联合体成员之间投诉的除外。</w:t>
            </w:r>
          </w:p>
          <w:p w14:paraId="0124F256">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12）电子加密响应文件上传到系统后，需要供应商和采购代理公司到截止时间后共同解锁，不存在商务报价等投标信息通过系统泄密的风险；截止时间前，已上传的响应文件也可以撤回修改。集中到开标截止时间前上传电子加密响应文件，可能出现由于投标企业制作电子响应文件不熟练、网络拥堵等不可预知的情况而且无法及时解决，丧失投标机会，请各投标企业提前制作、上传电子加密响应文件，否则由于无法及时上传电子加密响应文件而无效响应的情况，责任自负！</w:t>
            </w:r>
          </w:p>
          <w:p w14:paraId="4DF6057B">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2.评审过程中的澄清、说明或补正：</w:t>
            </w:r>
          </w:p>
          <w:p w14:paraId="2AAF3B56">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（1）磋商小组通过网上招投标系统将需要澄清、说明或补正的内容以询标函的形式发送给供应商，供应商应安排专人登录网上招投标系统并保持在线状态，以便及时接收磋商小组可能发出的询标函。</w:t>
            </w:r>
          </w:p>
          <w:p w14:paraId="7404B555">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p w14:paraId="393ACA80">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3.同义词语：</w:t>
            </w:r>
          </w:p>
          <w:p w14:paraId="4ECE2FFC">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磋商文件第六章  响应文件格式、附件1“关于联合惩戒失信行为 加强信用查询管理的通知”等章节中 “招标人”、“投标人”，等同于“采购人”、“供应商”。</w:t>
            </w:r>
          </w:p>
          <w:p w14:paraId="0933E01E">
            <w:pPr>
              <w:pStyle w:val="76"/>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4.落实政府采购支持节能产品、环境标志产品政策。</w:t>
            </w:r>
          </w:p>
          <w:p w14:paraId="3E51E8E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val="en-US" w:eastAsia="zh-CN"/>
              </w:rPr>
              <w:t>5.系统中提供的表格与采购文件中不一致时，以采购文件中提供的表格格式为准。</w:t>
            </w: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3A336F">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AFFEAEB">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232E9704">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55F86">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96AD061">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B83370A">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2BAB9C1B">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D344F3">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4DE0687A">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2EA85FC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rPr>
              <w:t>自合同签订之日起，不高于</w:t>
            </w:r>
            <w:r>
              <w:rPr>
                <w:rFonts w:hint="eastAsia"/>
                <w:b w:val="0"/>
                <w:color w:val="auto"/>
                <w:sz w:val="24"/>
                <w:highlight w:val="none"/>
                <w:u w:val="single"/>
                <w:lang w:val="en-US" w:eastAsia="zh-CN"/>
              </w:rPr>
              <w:t>6</w:t>
            </w:r>
            <w:r>
              <w:rPr>
                <w:rFonts w:hint="eastAsia"/>
                <w:b w:val="0"/>
                <w:color w:val="auto"/>
                <w:sz w:val="24"/>
                <w:highlight w:val="none"/>
                <w:u w:val="single"/>
              </w:rPr>
              <w:t>0</w:t>
            </w:r>
            <w:r>
              <w:rPr>
                <w:rFonts w:hint="eastAsia"/>
                <w:b w:val="0"/>
                <w:color w:val="auto"/>
                <w:sz w:val="24"/>
                <w:highlight w:val="none"/>
              </w:rPr>
              <w:t>个日历天完工</w:t>
            </w:r>
          </w:p>
          <w:p w14:paraId="1102753E">
            <w:pPr>
              <w:pStyle w:val="76"/>
              <w:widowControl w:val="0"/>
              <w:spacing w:before="0" w:beforeAutospacing="0" w:after="0" w:afterAutospacing="0" w:line="360" w:lineRule="auto"/>
              <w:jc w:val="both"/>
              <w:rPr>
                <w:rFonts w:hint="eastAsia"/>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20" w:name="EB2a2e1a22d449405a860670c095486ab8"/>
            <w:r>
              <w:rPr>
                <w:rFonts w:hint="eastAsia"/>
                <w:b w:val="0"/>
                <w:color w:val="auto"/>
                <w:sz w:val="24"/>
                <w:highlight w:val="none"/>
              </w:rPr>
              <w:t>具体开工时间以开工令为准。</w:t>
            </w:r>
            <w:bookmarkEnd w:id="20"/>
          </w:p>
          <w:p w14:paraId="1EC2F4A0">
            <w:pPr>
              <w:pStyle w:val="76"/>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供应商自报的承诺工期为考核标准。因供应商原因造成的工期延误，每推迟一天，按合同价款（扣除暂估价和暂列金）万分之二处以违约金。</w:t>
            </w:r>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3E6637">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2C25BF6E">
            <w:pPr>
              <w:pStyle w:val="7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质量标准要求</w:t>
            </w:r>
          </w:p>
        </w:tc>
        <w:tc>
          <w:tcPr>
            <w:tcW w:w="3556" w:type="pct"/>
            <w:vAlign w:val="center"/>
          </w:tcPr>
          <w:p w14:paraId="5BE5AF26">
            <w:pPr>
              <w:pStyle w:val="7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质量标准：整体工程必须达到国家工程施工质量验收合格标准。  </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B95E801">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FFC3E9C">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8C69C41">
            <w:pPr>
              <w:pStyle w:val="76"/>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746626">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3364FFF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76"/>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7BC5DAE">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3B4C9F6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5B30E58">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41BFB29">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5E6C73C3">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76"/>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805B5C">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1506C3DA">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2C847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2"/>
                <w:sz w:val="24"/>
                <w:szCs w:val="24"/>
                <w:highlight w:val="none"/>
                <w:u w:val="single"/>
                <w:lang w:val="en-US" w:eastAsia="zh-CN"/>
              </w:rPr>
              <w:t>采购人</w:t>
            </w:r>
          </w:p>
          <w:p w14:paraId="06609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b w:val="0"/>
                <w:bCs/>
                <w:color w:val="auto"/>
                <w:kern w:val="0"/>
                <w:sz w:val="24"/>
                <w:szCs w:val="24"/>
                <w:highlight w:val="none"/>
                <w:u w:val="single"/>
                <w:lang w:val="en-US" w:eastAsia="zh-CN" w:bidi="ar-SA"/>
              </w:rPr>
              <w:t>双方约定为准</w:t>
            </w:r>
          </w:p>
          <w:p w14:paraId="038F21A9">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color w:val="auto"/>
                <w:kern w:val="0"/>
                <w:sz w:val="24"/>
                <w:szCs w:val="24"/>
                <w:highlight w:val="none"/>
                <w:lang w:val="en-US" w:eastAsia="zh-CN" w:bidi="ar-SA"/>
              </w:rPr>
              <w:t>收费标准：</w:t>
            </w:r>
            <w:r>
              <w:rPr>
                <w:rFonts w:hint="eastAsia" w:ascii="宋体" w:hAnsi="宋体" w:eastAsia="宋体" w:cs="宋体"/>
                <w:b w:val="0"/>
                <w:bCs/>
                <w:color w:val="auto"/>
                <w:kern w:val="0"/>
                <w:sz w:val="24"/>
                <w:szCs w:val="24"/>
                <w:highlight w:val="none"/>
                <w:u w:val="single"/>
                <w:lang w:val="en-US" w:eastAsia="zh-CN" w:bidi="ar-SA"/>
              </w:rPr>
              <w:t>双方约定为准</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E6B2BA6">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096AB9F9">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76"/>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p w14:paraId="75FB31B5">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4、部分可提供线下政采贷的金融机构</w:t>
            </w:r>
          </w:p>
          <w:p w14:paraId="248EB71E">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市本级</w:t>
            </w:r>
          </w:p>
          <w:p w14:paraId="77D1E7C2">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金融机构名称：兴业银行滁州分行</w:t>
            </w:r>
          </w:p>
          <w:p w14:paraId="702F0636">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安徽省滁州市琅琊区丰乐大道1090号</w:t>
            </w:r>
          </w:p>
          <w:p w14:paraId="5195E028">
            <w:pPr>
              <w:pStyle w:val="76"/>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伏庚：17755080811</w:t>
            </w:r>
          </w:p>
        </w:tc>
      </w:tr>
      <w:tr w14:paraId="7CA6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3AC7D36">
            <w:pPr>
              <w:pStyle w:val="77"/>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30.11</w:t>
            </w:r>
          </w:p>
        </w:tc>
        <w:tc>
          <w:tcPr>
            <w:tcW w:w="977" w:type="pct"/>
            <w:vAlign w:val="center"/>
          </w:tcPr>
          <w:p w14:paraId="67F3A401">
            <w:pPr>
              <w:pStyle w:val="76"/>
              <w:widowControl w:val="0"/>
              <w:spacing w:before="0" w:beforeAutospacing="0" w:after="0" w:afterAutospacing="0" w:line="360" w:lineRule="auto"/>
              <w:jc w:val="center"/>
              <w:rPr>
                <w:rFonts w:hint="default" w:eastAsia="宋体"/>
                <w:b w:val="0"/>
                <w:color w:val="auto"/>
                <w:sz w:val="24"/>
                <w:szCs w:val="24"/>
                <w:highlight w:val="none"/>
                <w:lang w:val="en-US" w:eastAsia="zh-CN"/>
              </w:rPr>
            </w:pPr>
            <w:r>
              <w:rPr>
                <w:rFonts w:hint="eastAsia"/>
                <w:b w:val="0"/>
                <w:color w:val="auto"/>
                <w:sz w:val="24"/>
                <w:szCs w:val="24"/>
                <w:highlight w:val="none"/>
                <w:lang w:val="en-US" w:eastAsia="zh-CN"/>
              </w:rPr>
              <w:t>重要说明</w:t>
            </w:r>
          </w:p>
        </w:tc>
        <w:tc>
          <w:tcPr>
            <w:tcW w:w="3556" w:type="pct"/>
            <w:vAlign w:val="center"/>
          </w:tcPr>
          <w:p w14:paraId="4B642A3F">
            <w:pPr>
              <w:pStyle w:val="76"/>
              <w:widowControl w:val="0"/>
              <w:spacing w:before="0" w:beforeAutospacing="0" w:after="0" w:afterAutospacing="0" w:line="360" w:lineRule="auto"/>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bCs w:val="0"/>
                <w:color w:val="auto"/>
                <w:sz w:val="24"/>
                <w:szCs w:val="24"/>
                <w:highlight w:val="none"/>
                <w:lang w:val="en-US" w:eastAsia="zh-CN" w:bidi="ar-SA"/>
              </w:rPr>
              <w:t>本项目为面向中小企业预留份额的采购包，专门面向中小企业采购。专门面向中小企业采购的项目或者采购包，不再执行价格评审优惠的扶持政策。</w:t>
            </w:r>
          </w:p>
        </w:tc>
      </w:tr>
      <w:tr w14:paraId="051C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C8C7C7D">
            <w:pPr>
              <w:pStyle w:val="77"/>
              <w:pBdr>
                <w:bottom w:val="none" w:color="auto" w:sz="0" w:space="0"/>
              </w:pBdr>
              <w:tabs>
                <w:tab w:val="clear" w:pos="4153"/>
                <w:tab w:val="clear" w:pos="8306"/>
              </w:tabs>
              <w:adjustRightInd/>
              <w:spacing w:line="360" w:lineRule="auto"/>
              <w:textAlignment w:val="auto"/>
              <w:rPr>
                <w:rFonts w:hint="eastAsia"/>
                <w:bCs/>
                <w:color w:val="auto"/>
                <w:kern w:val="2"/>
                <w:highlight w:val="none"/>
                <w:lang w:val="en-US" w:eastAsia="zh-CN"/>
              </w:rPr>
            </w:pPr>
            <w:r>
              <w:rPr>
                <w:rFonts w:hint="eastAsia"/>
                <w:bCs/>
                <w:color w:val="auto"/>
                <w:kern w:val="2"/>
                <w:highlight w:val="none"/>
                <w:lang w:val="en-US" w:eastAsia="zh-CN"/>
              </w:rPr>
              <w:t>30.12</w:t>
            </w:r>
          </w:p>
        </w:tc>
        <w:tc>
          <w:tcPr>
            <w:tcW w:w="977" w:type="pct"/>
            <w:vAlign w:val="center"/>
          </w:tcPr>
          <w:p w14:paraId="72397ED7">
            <w:pPr>
              <w:pStyle w:val="76"/>
              <w:keepNext w:val="0"/>
              <w:keepLines w:val="0"/>
              <w:widowControl w:val="0"/>
              <w:suppressLineNumbers w:val="0"/>
              <w:spacing w:before="0" w:beforeAutospacing="0" w:after="0" w:afterAutospacing="0" w:line="360" w:lineRule="auto"/>
              <w:ind w:left="0" w:leftChars="0" w:right="0" w:rightChars="0"/>
              <w:jc w:val="center"/>
              <w:rPr>
                <w:rFonts w:hint="eastAsia"/>
                <w:b w:val="0"/>
                <w:color w:val="auto"/>
                <w:sz w:val="24"/>
                <w:szCs w:val="24"/>
                <w:highlight w:val="none"/>
                <w:lang w:val="en-US" w:eastAsia="zh-CN"/>
              </w:rPr>
            </w:pPr>
            <w:r>
              <w:rPr>
                <w:rFonts w:hint="eastAsia"/>
                <w:b w:val="0"/>
                <w:color w:val="auto"/>
                <w:sz w:val="24"/>
                <w:szCs w:val="24"/>
                <w:highlight w:val="none"/>
              </w:rPr>
              <w:t>现场管理</w:t>
            </w:r>
          </w:p>
        </w:tc>
        <w:tc>
          <w:tcPr>
            <w:tcW w:w="3556" w:type="pct"/>
            <w:vAlign w:val="center"/>
          </w:tcPr>
          <w:p w14:paraId="6386078D">
            <w:pPr>
              <w:pStyle w:val="76"/>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1、施工过程中，项目管理及施工人员以外的无关人员一律不得留宿施工现场，项目负责人负责管理及清理出场；</w:t>
            </w:r>
          </w:p>
          <w:p w14:paraId="63274FDD">
            <w:pPr>
              <w:pStyle w:val="76"/>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2、施工过程中，严格执行国家及地方针对环保、禁噪、防尘、防护等措施，必须满足当地行政主管部门相关规定及要求。</w:t>
            </w:r>
          </w:p>
          <w:p w14:paraId="3E43DAE6">
            <w:pPr>
              <w:pStyle w:val="76"/>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3、施工场地及周边场地、道路、绿化、管线、围墙等，若被施工方损坏，施工方必须无偿按照原貌恢复。</w:t>
            </w:r>
          </w:p>
          <w:p w14:paraId="1392DCDB">
            <w:pPr>
              <w:pStyle w:val="76"/>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4、供应商自行勘察施工现场情况，因供应商未踏勘现场而造成的损失由供应商承担。</w:t>
            </w:r>
          </w:p>
          <w:p w14:paraId="0F0F5D37">
            <w:pPr>
              <w:pStyle w:val="76"/>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5、在工程建设过程中，出现质量、安全、进度、文明施工、扬尘污染、人员不在岗履职等违约行为的，发包人将给予违约处罚；如承包人拒不缴纳违约金的，发包人有权从履约保证金中直接扣除。</w:t>
            </w:r>
          </w:p>
          <w:p w14:paraId="127C1CAA">
            <w:pPr>
              <w:pStyle w:val="76"/>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6、项目经理部需在醒目位置公示经监理、业主审定批准的月进度计划表，否则，当月不支付当月工程进度款。</w:t>
            </w:r>
          </w:p>
          <w:p w14:paraId="351175AD">
            <w:pPr>
              <w:pStyle w:val="76"/>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Times New Roman"/>
                <w:b/>
                <w:bCs w:val="0"/>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7、施工现场和取、弃土场内的施工便道、机械整平以及协调渣土、环保等相关部门办理相关手续、缴纳保证金及费用等由供应商自行承担，此部分费用包含在响应报价中。施工渣土、淤泥、建筑垃圾等弃置点需经相关部门批准，并报发包人备案后，方可施工，严禁违规倾倒堆存。否则，责任自负</w:t>
            </w:r>
            <w:r>
              <w:rPr>
                <w:rFonts w:hint="eastAsia" w:cs="Times New Roman"/>
                <w:b w:val="0"/>
                <w:bCs/>
                <w:color w:val="auto"/>
                <w:sz w:val="24"/>
                <w:szCs w:val="24"/>
                <w:highlight w:val="none"/>
                <w:lang w:val="en-US" w:eastAsia="zh-CN" w:bidi="ar-SA"/>
              </w:rPr>
              <w:t>。</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26858"/>
      <w:bookmarkStart w:id="22"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1"/>
      <w:bookmarkEnd w:id="22"/>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color w:val="auto"/>
          <w:sz w:val="24"/>
          <w:highlight w:val="none"/>
        </w:rPr>
        <w:t>联合体参加磋商的，</w:t>
      </w:r>
      <w:r>
        <w:rPr>
          <w:rFonts w:hint="eastAsia"/>
          <w:b w:val="0"/>
          <w:color w:val="auto"/>
          <w:sz w:val="24"/>
          <w:highlight w:val="none"/>
        </w:rPr>
        <w:t>磋商文件获取</w:t>
      </w:r>
      <w:r>
        <w:rPr>
          <w:b w:val="0"/>
          <w:color w:val="auto"/>
          <w:sz w:val="24"/>
          <w:highlight w:val="none"/>
        </w:rPr>
        <w:t>手续由联合体</w:t>
      </w:r>
      <w:r>
        <w:rPr>
          <w:rFonts w:hint="eastAsia"/>
          <w:b w:val="0"/>
          <w:color w:val="auto"/>
          <w:sz w:val="24"/>
          <w:highlight w:val="none"/>
        </w:rPr>
        <w:t>中</w:t>
      </w:r>
      <w:r>
        <w:rPr>
          <w:b w:val="0"/>
          <w:color w:val="auto"/>
          <w:sz w:val="24"/>
          <w:highlight w:val="none"/>
        </w:rPr>
        <w:t>任一</w:t>
      </w:r>
      <w:r>
        <w:rPr>
          <w:rFonts w:hint="eastAsia"/>
          <w:b w:val="0"/>
          <w:color w:val="auto"/>
          <w:sz w:val="24"/>
          <w:highlight w:val="none"/>
        </w:rPr>
        <w:t>成员单位</w:t>
      </w:r>
      <w:r>
        <w:rPr>
          <w:b w:val="0"/>
          <w:color w:val="auto"/>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3" w:name="_Hlk16458572"/>
      <w:r>
        <w:rPr>
          <w:rFonts w:hint="eastAsia"/>
          <w:color w:val="auto"/>
          <w:sz w:val="24"/>
          <w:szCs w:val="18"/>
          <w:highlight w:val="none"/>
        </w:rPr>
        <w:t>安徽省政府采购网</w:t>
      </w:r>
      <w:bookmarkEnd w:id="23"/>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rPr>
        <w:t>。</w:t>
      </w:r>
      <w:bookmarkEnd w:id="24"/>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5A043B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.1响应文件的提交</w:t>
      </w:r>
    </w:p>
    <w:p w14:paraId="21556D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滁州市公共资源交易中心网，利用用户名或CA锁登录下载磋商文件(.czzf格式)后，在下载“响应文件制作工具”安装后，在线制作响应文件，制作好的响应文件格式有2种:第一种.cztf格式加密响应文件；第二种.ncztf格式是非加密响应文件。请供应商将第一种响应文件通过系统“上传响应文件”上传到系统中。</w:t>
      </w:r>
    </w:p>
    <w:p w14:paraId="08F68BE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（2）如果一个项目有多个标段，则需按标段下载对应标段磋商文件分别生成对应的响应文件，通过系统“上传响应文件”按标段分别上传到系统中。</w:t>
      </w:r>
    </w:p>
    <w:p w14:paraId="4841318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（3）请供应商通过系统下载“响应文件制作工具”制作响应文件，并利用CA锁进行上传响应文件，上传已加密的响应文件，务必通过此方式上传响应文件。</w:t>
      </w:r>
    </w:p>
    <w:p w14:paraId="0F1874B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（4）供应商在响应文件编制、签章、上传过程中如有任何操作的疑问请及时联系技术支持，电话：0550-3801701。</w:t>
      </w:r>
    </w:p>
    <w:p w14:paraId="5BDAAE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如果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 xml:space="preserve">14.3.4 </w:t>
      </w:r>
      <w:r>
        <w:rPr>
          <w:rFonts w:hint="eastAsia" w:asciiTheme="minorEastAsia" w:hAnsiTheme="minorEastAsia" w:eastAsiaTheme="minorEastAsia"/>
          <w:b/>
          <w:bCs/>
          <w:color w:val="auto"/>
          <w:sz w:val="24"/>
          <w:highlight w:val="none"/>
          <w:lang w:val="en-US" w:eastAsia="zh-CN"/>
        </w:rPr>
        <w:t>异常低价响应审查。</w:t>
      </w: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rFonts w:hint="eastAsia"/>
          <w:b/>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E9017B3">
      <w:pPr>
        <w:spacing w:line="360" w:lineRule="auto"/>
        <w:ind w:firstLine="437"/>
        <w:outlineLvl w:val="2"/>
        <w:rPr>
          <w:rFonts w:hint="eastAsia"/>
          <w:b/>
          <w:color w:val="auto"/>
          <w:sz w:val="24"/>
          <w:highlight w:val="none"/>
        </w:rPr>
      </w:pPr>
      <w:r>
        <w:rPr>
          <w:rFonts w:hint="eastAsia" w:ascii="宋体" w:hAnsi="宋体" w:eastAsia="宋体"/>
          <w:b/>
          <w:color w:val="auto"/>
          <w:sz w:val="24"/>
          <w:highlight w:val="none"/>
        </w:rPr>
        <w:t>本项目采用远程开标，具体操作方法详见服务指南&gt;交易须知&gt;开标大厅远程解密、质疑(异议)及回复以及评标过程中询标流程操作手册。</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hint="eastAsia" w:ascii="宋体" w:hAnsi="宋体" w:eastAsia="宋体" w:cs="宋体"/>
          <w:color w:val="auto"/>
          <w:sz w:val="24"/>
          <w:highlight w:val="none"/>
          <w:lang w:eastAsia="zh-CN"/>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本项目约定为两次报价</w:t>
      </w:r>
      <w:r>
        <w:rPr>
          <w:rFonts w:hint="eastAsia" w:ascii="宋体" w:hAnsi="宋体" w:eastAsia="宋体" w:cs="宋体"/>
          <w:color w:val="auto"/>
          <w:sz w:val="24"/>
          <w:highlight w:val="none"/>
          <w:lang w:eastAsia="zh-CN"/>
        </w:rPr>
        <w:t>）</w:t>
      </w:r>
    </w:p>
    <w:p w14:paraId="26F7F99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lang w:eastAsia="zh-CN"/>
        </w:rPr>
      </w:pPr>
      <w:r>
        <w:rPr>
          <w:rFonts w:hint="eastAsia" w:ascii="宋体" w:hAnsi="宋体" w:eastAsia="宋体" w:cs="Times New Roman"/>
          <w:b/>
          <w:color w:val="auto"/>
          <w:kern w:val="0"/>
          <w:sz w:val="24"/>
          <w:szCs w:val="20"/>
          <w:highlight w:val="none"/>
          <w:lang w:val="en-US" w:eastAsia="zh-CN" w:bidi="ar-SA"/>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供应商最后报价均不得高于磋商文件（公告）列明的项目预算、最高投标限价，否则其响应文件将被认定为响应无效。望各供应商务必全程在线，及时进行回复，否则，因此给其造成相关后果，自行承担。采用分项报价的项目，最后报价的各分项结合一次报价中的各项单价按总价同比例下浮，价款结算时按成交下浮比率进行调整。</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25"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5"/>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w:t>
      </w:r>
      <w:r>
        <w:rPr>
          <w:rFonts w:hint="eastAsia" w:asciiTheme="minorEastAsia" w:hAnsiTheme="minorEastAsia" w:eastAsiaTheme="minorEastAsia"/>
          <w:color w:val="auto"/>
          <w:sz w:val="24"/>
          <w:highlight w:val="none"/>
        </w:rPr>
        <w:t>主要成交标的的名称、施工范围、施工工期、项目经理、执业证书信息</w:t>
      </w:r>
      <w:r>
        <w:rPr>
          <w:rFonts w:asciiTheme="minorEastAsia" w:hAnsiTheme="minorEastAsia" w:eastAsiaTheme="minorEastAsia"/>
          <w:color w:val="auto"/>
          <w:sz w:val="24"/>
          <w:highlight w:val="none"/>
        </w:rPr>
        <w:t>，成交结果公告期限、评审专家名单以及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26"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26"/>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3EA12BB">
      <w:pPr>
        <w:spacing w:line="360" w:lineRule="auto"/>
        <w:ind w:firstLine="437"/>
        <w:outlineLvl w:val="2"/>
        <w:rPr>
          <w:rFonts w:hint="eastAsia"/>
          <w:b/>
          <w:color w:val="auto"/>
          <w:sz w:val="24"/>
          <w:highlight w:val="none"/>
        </w:rPr>
      </w:pPr>
      <w:r>
        <w:rPr>
          <w:rFonts w:hint="eastAsia"/>
          <w:b/>
          <w:color w:val="auto"/>
          <w:sz w:val="24"/>
          <w:highlight w:val="none"/>
        </w:rPr>
        <w:t>3</w:t>
      </w:r>
      <w:r>
        <w:rPr>
          <w:rFonts w:hint="eastAsia"/>
          <w:b/>
          <w:color w:val="auto"/>
          <w:sz w:val="24"/>
          <w:highlight w:val="none"/>
          <w:lang w:val="en-US" w:eastAsia="zh-CN"/>
        </w:rPr>
        <w:t>0</w:t>
      </w:r>
      <w:r>
        <w:rPr>
          <w:rFonts w:hint="eastAsia"/>
          <w:b/>
          <w:color w:val="auto"/>
          <w:sz w:val="24"/>
          <w:highlight w:val="none"/>
        </w:rPr>
        <w:t>.投诉</w:t>
      </w:r>
    </w:p>
    <w:p w14:paraId="6452016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olor w:val="auto"/>
          <w:sz w:val="24"/>
          <w:highlight w:val="none"/>
        </w:rPr>
      </w:pPr>
      <w:r>
        <w:rPr>
          <w:rFonts w:hint="eastAsia"/>
          <w:color w:val="auto"/>
          <w:sz w:val="24"/>
          <w:highlight w:val="none"/>
        </w:rPr>
        <w:t>30.1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1C7652FF">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olor w:val="auto"/>
          <w:sz w:val="24"/>
          <w:highlight w:val="none"/>
        </w:rPr>
      </w:pPr>
      <w:r>
        <w:rPr>
          <w:rFonts w:hint="eastAsia"/>
          <w:color w:val="auto"/>
          <w:sz w:val="24"/>
          <w:highlight w:val="none"/>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1B62FEF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olor w:val="auto"/>
          <w:sz w:val="24"/>
          <w:highlight w:val="none"/>
        </w:rPr>
      </w:pPr>
      <w:r>
        <w:rPr>
          <w:rFonts w:hint="eastAsia"/>
          <w:color w:val="auto"/>
          <w:sz w:val="24"/>
          <w:highlight w:val="none"/>
        </w:rPr>
        <w:t>30.3政府采购监督管理部门在处理投诉事项期间，可以视具体情况书面通知采购人暂停采购活动，但暂停时间最长不得超过30日</w:t>
      </w:r>
      <w:r>
        <w:rPr>
          <w:rFonts w:hint="eastAsia"/>
          <w:color w:val="auto"/>
          <w:sz w:val="24"/>
          <w:highlight w:val="none"/>
          <w:lang w:eastAsia="zh-CN"/>
        </w:rPr>
        <w:t>。</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1</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27" w:name="_Toc30873"/>
      <w:r>
        <w:rPr>
          <w:rFonts w:hint="eastAsia" w:asciiTheme="minorEastAsia" w:hAnsiTheme="minorEastAsia" w:eastAsiaTheme="minorEastAsia"/>
          <w:b/>
          <w:color w:val="auto"/>
          <w:sz w:val="28"/>
          <w:highlight w:val="none"/>
        </w:rPr>
        <w:t>第三章  采购需求</w:t>
      </w:r>
      <w:bookmarkEnd w:id="27"/>
    </w:p>
    <w:tbl>
      <w:tblPr>
        <w:tblStyle w:val="1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43749930">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rPr>
              <w:t>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6B5B62BB">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rPr>
              <w:t>时所报项目经理及项目部主要管理人员。确需更换时，须报采购人同意，更换后人员不得低于成交供应商谈判时所报人员资质和技术水平。采购人如认为有必要，可要求对上述人员中的部分人员作出更好的调整。</w:t>
            </w:r>
          </w:p>
          <w:p w14:paraId="08392B0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r>
              <w:rPr>
                <w:rFonts w:hint="eastAsia" w:cs="@仿宋_GB2312" w:asciiTheme="minorEastAsia" w:hAnsiTheme="minorEastAsia" w:eastAsiaTheme="minorEastAsia"/>
                <w:color w:val="auto"/>
                <w:kern w:val="2"/>
                <w:sz w:val="24"/>
                <w:szCs w:val="22"/>
                <w:highlight w:val="none"/>
                <w:lang w:eastAsia="zh-CN"/>
              </w:rPr>
              <w:t>。</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3AE84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所有进场材料必须符合国家质量标准、环保标准；所有货物（包括零部件）须为全新的、未使用过的原装正品，并完全符合国家质量标准，提供厂家出具的合格证书、有国家强制性认证要求的产品须提供相应证书。承包人采购的所有设备及主要材料进场报监理单位审核，经发包人认可后方可进场</w:t>
            </w:r>
            <w:r>
              <w:rPr>
                <w:rFonts w:hint="eastAsia" w:cs="@仿宋_GB2312" w:asciiTheme="minorEastAsia" w:hAnsiTheme="minorEastAsia" w:eastAsiaTheme="minorEastAsia"/>
                <w:color w:val="auto"/>
                <w:kern w:val="2"/>
                <w:sz w:val="24"/>
                <w:szCs w:val="22"/>
                <w:highlight w:val="none"/>
                <w:lang w:eastAsia="zh-CN"/>
              </w:rPr>
              <w:t>。</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7B2AA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供应商结合图纸和现场情况自行考虑</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717948F">
            <w:pPr>
              <w:numPr>
                <w:ilvl w:val="0"/>
                <w:numId w:val="0"/>
              </w:numPr>
              <w:spacing w:line="360" w:lineRule="auto"/>
              <w:rPr>
                <w:rFonts w:hint="eastAsia" w:eastAsia="@微软简标宋"/>
                <w:color w:val="auto"/>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5BD8340D">
            <w:pPr>
              <w:spacing w:line="360" w:lineRule="auto"/>
              <w:rPr>
                <w:rFonts w:hint="eastAsia" w:ascii="宋体" w:hAnsi="宋体" w:eastAsia="宋体"/>
                <w:color w:val="auto"/>
                <w:kern w:val="2"/>
                <w:sz w:val="24"/>
                <w:szCs w:val="18"/>
                <w:highlight w:val="none"/>
              </w:rPr>
            </w:pPr>
            <w:r>
              <w:rPr>
                <w:rFonts w:hint="eastAsia" w:cs="宋体"/>
                <w:color w:val="auto"/>
                <w:kern w:val="2"/>
                <w:sz w:val="24"/>
                <w:szCs w:val="24"/>
                <w:highlight w:val="none"/>
                <w:lang w:val="en-US" w:eastAsia="zh-CN"/>
              </w:rPr>
              <w:t>1、</w:t>
            </w:r>
            <w:r>
              <w:rPr>
                <w:rFonts w:ascii="宋体" w:hAnsi="宋体" w:eastAsia="宋体" w:cs="宋体"/>
                <w:color w:val="auto"/>
                <w:kern w:val="2"/>
                <w:sz w:val="24"/>
                <w:szCs w:val="24"/>
                <w:highlight w:val="none"/>
              </w:rPr>
              <w:t>政府采购政策（包括但不限于下列具体政策要求</w:t>
            </w:r>
            <w:r>
              <w:rPr>
                <w:rFonts w:hint="eastAsia" w:ascii="宋体" w:hAnsi="宋体" w:eastAsia="宋体" w:cs="宋体"/>
                <w:color w:val="auto"/>
                <w:kern w:val="2"/>
                <w:sz w:val="24"/>
                <w:szCs w:val="24"/>
                <w:highlight w:val="none"/>
                <w:lang w:eastAsia="zh-CN"/>
              </w:rPr>
              <w:t>）</w:t>
            </w:r>
            <w:r>
              <w:rPr>
                <w:rFonts w:hint="eastAsia" w:ascii="宋体" w:hAnsi="宋体" w:eastAsia="宋体"/>
                <w:color w:val="auto"/>
                <w:kern w:val="2"/>
                <w:sz w:val="24"/>
                <w:szCs w:val="18"/>
                <w:highlight w:val="none"/>
              </w:rPr>
              <w:t>：</w:t>
            </w:r>
          </w:p>
          <w:p w14:paraId="1C86B261">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7C6E060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0E6460F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见第一章《</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rPr>
              <w:t>邀请》</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CBC270C">
            <w:pPr>
              <w:pStyle w:val="76"/>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17BF0A28">
            <w:pPr>
              <w:spacing w:line="360" w:lineRule="auto"/>
              <w:jc w:val="left"/>
              <w:rPr>
                <w:rFonts w:hint="eastAsia" w:asciiTheme="minorEastAsia" w:hAnsiTheme="minorEastAsia" w:eastAsiaTheme="minorEastAsia"/>
                <w:b/>
                <w:bCs/>
                <w:color w:val="auto"/>
                <w:kern w:val="2"/>
                <w:sz w:val="24"/>
                <w:szCs w:val="22"/>
                <w:highlight w:val="none"/>
              </w:rPr>
            </w:pPr>
            <w:r>
              <w:rPr>
                <w:rFonts w:hint="eastAsia" w:asciiTheme="minorEastAsia" w:hAnsiTheme="minorEastAsia" w:eastAsiaTheme="minorEastAsia"/>
                <w:b/>
                <w:bCs/>
                <w:color w:val="auto"/>
                <w:kern w:val="2"/>
                <w:sz w:val="24"/>
                <w:szCs w:val="22"/>
                <w:highlight w:val="none"/>
              </w:rPr>
              <w:t>标的名称：</w:t>
            </w:r>
            <w:r>
              <w:rPr>
                <w:rFonts w:hint="eastAsia" w:asciiTheme="minorEastAsia" w:hAnsiTheme="minorEastAsia" w:eastAsiaTheme="minorEastAsia"/>
                <w:b/>
                <w:bCs/>
                <w:color w:val="auto"/>
                <w:kern w:val="2"/>
                <w:sz w:val="24"/>
                <w:szCs w:val="22"/>
                <w:highlight w:val="none"/>
                <w:lang w:val="en-US" w:eastAsia="zh-CN"/>
              </w:rPr>
              <w:t>明湖公园园路应急工程</w:t>
            </w:r>
          </w:p>
          <w:p w14:paraId="511999CE">
            <w:pPr>
              <w:spacing w:line="360" w:lineRule="auto"/>
              <w:jc w:val="left"/>
              <w:rPr>
                <w:rFonts w:asciiTheme="minorHAnsi" w:hAnsiTheme="minorHAnsi" w:eastAsiaTheme="minorEastAsia"/>
                <w:color w:val="auto"/>
                <w:kern w:val="2"/>
                <w:sz w:val="24"/>
                <w:szCs w:val="22"/>
                <w:highlight w:val="none"/>
              </w:rPr>
            </w:pPr>
            <w:r>
              <w:rPr>
                <w:rFonts w:hint="eastAsia" w:asciiTheme="minorEastAsia" w:hAnsiTheme="minorEastAsia" w:eastAsiaTheme="minorEastAsia"/>
                <w:b/>
                <w:bCs/>
                <w:color w:val="auto"/>
                <w:kern w:val="2"/>
                <w:sz w:val="24"/>
                <w:szCs w:val="22"/>
                <w:highlight w:val="none"/>
              </w:rPr>
              <w:t>所属行业：</w:t>
            </w:r>
            <w:r>
              <w:rPr>
                <w:rFonts w:hint="eastAsia" w:asciiTheme="minorEastAsia" w:hAnsiTheme="minorEastAsia" w:eastAsiaTheme="minorEastAsia"/>
                <w:b/>
                <w:bCs/>
                <w:color w:val="auto"/>
                <w:kern w:val="2"/>
                <w:sz w:val="24"/>
                <w:szCs w:val="22"/>
                <w:highlight w:val="none"/>
                <w:lang w:val="en-US" w:eastAsia="zh-CN"/>
              </w:rPr>
              <w:t>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C8A1C23">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749" w:type="pct"/>
            <w:vAlign w:val="center"/>
          </w:tcPr>
          <w:p w14:paraId="4448E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lang w:val="en-US" w:eastAsia="zh-CN"/>
              </w:rPr>
              <w:t>项目概况</w:t>
            </w:r>
          </w:p>
        </w:tc>
        <w:tc>
          <w:tcPr>
            <w:tcW w:w="3688" w:type="pct"/>
            <w:vAlign w:val="center"/>
          </w:tcPr>
          <w:p w14:paraId="12DC8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Theme="minorEastAsia" w:hAnsiTheme="minorEastAsia" w:eastAsiaTheme="minorEastAsia"/>
                <w:color w:val="auto"/>
                <w:kern w:val="2"/>
                <w:sz w:val="24"/>
                <w:szCs w:val="22"/>
                <w:highlight w:val="none"/>
              </w:rPr>
            </w:pPr>
            <w:r>
              <w:rPr>
                <w:rFonts w:hint="eastAsia" w:ascii="宋体" w:hAnsi="宋体" w:eastAsia="宋体"/>
                <w:color w:val="auto"/>
                <w:kern w:val="2"/>
                <w:sz w:val="24"/>
                <w:szCs w:val="24"/>
                <w:highlight w:val="none"/>
                <w:lang w:val="en-US" w:eastAsia="zh-CN"/>
              </w:rPr>
              <w:t>主要内容包括桥头搭板、部分桥台侧墙拆除重新浇筑和台背换填；约80米园路维修改造，对现状园路路基进行换填等；新建桥头防护等。</w:t>
            </w:r>
            <w:r>
              <w:rPr>
                <w:rFonts w:hint="eastAsia" w:asciiTheme="minorEastAsia" w:hAnsiTheme="minorEastAsia" w:eastAsiaTheme="minorEastAsia"/>
                <w:color w:val="auto"/>
                <w:kern w:val="2"/>
                <w:sz w:val="24"/>
                <w:szCs w:val="22"/>
                <w:highlight w:val="none"/>
              </w:rPr>
              <w:t>详见</w:t>
            </w:r>
            <w:r>
              <w:rPr>
                <w:rFonts w:hint="eastAsia" w:asciiTheme="minorEastAsia" w:hAnsiTheme="minorEastAsia" w:eastAsiaTheme="minorEastAsia"/>
                <w:color w:val="auto"/>
                <w:kern w:val="2"/>
                <w:sz w:val="24"/>
                <w:szCs w:val="22"/>
                <w:highlight w:val="none"/>
                <w:lang w:val="en-US" w:eastAsia="zh-CN"/>
              </w:rPr>
              <w:t>施工</w:t>
            </w:r>
            <w:r>
              <w:rPr>
                <w:rFonts w:hint="eastAsia" w:asciiTheme="minorEastAsia" w:hAnsiTheme="minorEastAsia" w:eastAsiaTheme="minorEastAsia"/>
                <w:color w:val="auto"/>
                <w:kern w:val="2"/>
                <w:sz w:val="24"/>
                <w:szCs w:val="22"/>
                <w:highlight w:val="none"/>
              </w:rPr>
              <w:t>图纸及工程量清单。</w:t>
            </w:r>
          </w:p>
        </w:tc>
      </w:tr>
    </w:tbl>
    <w:p w14:paraId="02D7BCED">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28" w:name="_Toc11353"/>
      <w:r>
        <w:rPr>
          <w:rFonts w:hint="eastAsia" w:asciiTheme="minorEastAsia" w:hAnsiTheme="minorEastAsia" w:eastAsiaTheme="minorEastAsia"/>
          <w:b/>
          <w:color w:val="auto"/>
          <w:sz w:val="28"/>
          <w:highlight w:val="none"/>
        </w:rPr>
        <w:t>第四章  评审方法和标准</w:t>
      </w:r>
      <w:bookmarkEnd w:id="28"/>
    </w:p>
    <w:p w14:paraId="405AFB19">
      <w:pPr>
        <w:spacing w:line="360" w:lineRule="auto"/>
        <w:ind w:firstLine="437"/>
        <w:outlineLvl w:val="1"/>
        <w:rPr>
          <w:rFonts w:asciiTheme="minorEastAsia" w:hAnsiTheme="minorEastAsia" w:eastAsiaTheme="minorEastAsia"/>
          <w:b/>
          <w:color w:val="auto"/>
          <w:sz w:val="24"/>
          <w:highlight w:val="none"/>
        </w:rPr>
      </w:pPr>
      <w:bookmarkStart w:id="29" w:name="_Toc3679"/>
      <w:bookmarkStart w:id="30" w:name="_Toc31533"/>
      <w:r>
        <w:rPr>
          <w:rFonts w:hint="eastAsia" w:asciiTheme="minorEastAsia" w:hAnsiTheme="minorEastAsia" w:eastAsiaTheme="minorEastAsia"/>
          <w:b/>
          <w:color w:val="auto"/>
          <w:sz w:val="24"/>
          <w:highlight w:val="none"/>
        </w:rPr>
        <w:t>一、总则</w:t>
      </w:r>
      <w:bookmarkEnd w:id="29"/>
      <w:bookmarkEnd w:id="30"/>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31" w:name="_Toc16232"/>
      <w:bookmarkStart w:id="32" w:name="_Toc13405"/>
      <w:r>
        <w:rPr>
          <w:rFonts w:hint="eastAsia" w:asciiTheme="minorEastAsia" w:hAnsiTheme="minorEastAsia" w:eastAsiaTheme="minorEastAsia"/>
          <w:b/>
          <w:color w:val="auto"/>
          <w:sz w:val="24"/>
          <w:highlight w:val="none"/>
        </w:rPr>
        <w:t>二、评审方法</w:t>
      </w:r>
      <w:bookmarkEnd w:id="31"/>
      <w:bookmarkEnd w:id="32"/>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77"/>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268" w:type="pct"/>
            <w:tcBorders>
              <w:bottom w:val="single" w:color="auto" w:sz="4" w:space="0"/>
            </w:tcBorders>
            <w:vAlign w:val="center"/>
          </w:tcPr>
          <w:p w14:paraId="2B4144DE">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42E28D8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6474E787">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43E3C9B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5BDC6DC5">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center"/>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524" w:type="pct"/>
            <w:vAlign w:val="center"/>
          </w:tcPr>
          <w:p w14:paraId="4B2B2C47">
            <w:pPr>
              <w:spacing w:line="360" w:lineRule="auto"/>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磋商邀请</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中信誉要求和</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center"/>
              <w:rPr>
                <w:rFonts w:hint="eastAsia" w:cs="Times New Roman"/>
                <w:color w:val="auto"/>
                <w:kern w:val="2"/>
                <w:sz w:val="24"/>
                <w:szCs w:val="22"/>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524B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DFC071D">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color w:val="auto"/>
                <w:sz w:val="24"/>
                <w:highlight w:val="none"/>
                <w:lang w:val="en-US" w:eastAsia="zh-CN"/>
              </w:rPr>
              <w:t>4</w:t>
            </w:r>
          </w:p>
        </w:tc>
        <w:tc>
          <w:tcPr>
            <w:tcW w:w="1357" w:type="dxa"/>
            <w:vAlign w:val="center"/>
          </w:tcPr>
          <w:p w14:paraId="3AA298AA">
            <w:pPr>
              <w:spacing w:after="50" w:line="360" w:lineRule="auto"/>
              <w:ind w:right="-10" w:rightChars="0"/>
              <w:jc w:val="center"/>
              <w:rPr>
                <w:rFonts w:hint="eastAsia"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rPr>
              <w:t>中小企业证明文件</w:t>
            </w:r>
          </w:p>
        </w:tc>
        <w:tc>
          <w:tcPr>
            <w:tcW w:w="3867" w:type="dxa"/>
            <w:vAlign w:val="top"/>
          </w:tcPr>
          <w:p w14:paraId="17694E6E">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2B46ADE8">
            <w:pPr>
              <w:spacing w:after="50" w:line="360" w:lineRule="auto"/>
              <w:ind w:right="-1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tc>
        <w:tc>
          <w:tcPr>
            <w:tcW w:w="2599" w:type="dxa"/>
            <w:vAlign w:val="center"/>
          </w:tcPr>
          <w:p w14:paraId="71E406BA">
            <w:pPr>
              <w:spacing w:after="50"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508169DD">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pacing w:val="10"/>
                <w:sz w:val="24"/>
                <w:szCs w:val="24"/>
                <w:highlight w:val="none"/>
                <w:lang w:eastAsia="zh-CN"/>
              </w:rPr>
              <w:t>本项目的</w:t>
            </w:r>
            <w:r>
              <w:rPr>
                <w:rFonts w:ascii="宋体" w:hAnsi="宋体" w:eastAsia="宋体" w:cs="宋体"/>
                <w:color w:val="auto"/>
                <w:spacing w:val="10"/>
                <w:sz w:val="24"/>
                <w:szCs w:val="24"/>
                <w:highlight w:val="none"/>
              </w:rPr>
              <w:t>特定资格要求</w:t>
            </w:r>
          </w:p>
        </w:tc>
        <w:tc>
          <w:tcPr>
            <w:tcW w:w="2268" w:type="pct"/>
            <w:vAlign w:val="center"/>
          </w:tcPr>
          <w:p w14:paraId="0128CE7C">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color w:val="auto"/>
                <w:spacing w:val="10"/>
                <w:sz w:val="24"/>
                <w:szCs w:val="24"/>
                <w:highlight w:val="none"/>
              </w:rPr>
              <w:t>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524" w:type="pct"/>
            <w:vAlign w:val="center"/>
          </w:tcPr>
          <w:p w14:paraId="389442EA">
            <w:pPr>
              <w:spacing w:after="50" w:line="360" w:lineRule="auto"/>
              <w:ind w:right="-10" w:rightChars="0"/>
              <w:jc w:val="center"/>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eastAsia="宋体" w:cs="Times New Roman"/>
                <w:color w:val="auto"/>
                <w:kern w:val="2"/>
                <w:sz w:val="24"/>
                <w:szCs w:val="22"/>
                <w:highlight w:val="none"/>
                <w:lang w:eastAsia="zh-CN"/>
              </w:rPr>
            </w:pPr>
            <w:r>
              <w:rPr>
                <w:rFonts w:hint="eastAsia" w:cs="宋体"/>
                <w:color w:val="auto"/>
                <w:kern w:val="2"/>
                <w:sz w:val="24"/>
                <w:szCs w:val="24"/>
                <w:highlight w:val="none"/>
                <w:lang w:val="en-US" w:eastAsia="zh-CN"/>
              </w:rPr>
              <w:t>6</w:t>
            </w:r>
          </w:p>
        </w:tc>
        <w:tc>
          <w:tcPr>
            <w:tcW w:w="796" w:type="pct"/>
            <w:vAlign w:val="center"/>
          </w:tcPr>
          <w:p w14:paraId="0B0D1B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ascii="Calibri" w:hAnsi="Calibri" w:cs="Times New Roman"/>
                <w:color w:val="auto"/>
                <w:kern w:val="2"/>
                <w:sz w:val="24"/>
                <w:szCs w:val="24"/>
                <w:highlight w:val="none"/>
              </w:rPr>
            </w:pPr>
            <w:r>
              <w:rPr>
                <w:rFonts w:hint="eastAsia" w:ascii="宋体" w:hAnsi="宋体" w:eastAsia="宋体" w:cs="宋体"/>
                <w:color w:val="auto"/>
                <w:kern w:val="2"/>
                <w:sz w:val="24"/>
                <w:szCs w:val="24"/>
                <w:highlight w:val="none"/>
              </w:rPr>
              <w:t>授权书</w:t>
            </w:r>
          </w:p>
        </w:tc>
        <w:tc>
          <w:tcPr>
            <w:tcW w:w="2268" w:type="pct"/>
            <w:vAlign w:val="center"/>
          </w:tcPr>
          <w:p w14:paraId="08F70821">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both"/>
              <w:rPr>
                <w:rFonts w:ascii="Calibri" w:hAnsi="Calibri"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格式、填写要求符合磋商文件规定并加盖供应商电子签章</w:t>
            </w:r>
          </w:p>
        </w:tc>
        <w:tc>
          <w:tcPr>
            <w:tcW w:w="1524" w:type="pct"/>
            <w:vAlign w:val="center"/>
          </w:tcPr>
          <w:p w14:paraId="323B8D59">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center"/>
              <w:rPr>
                <w:rFonts w:hint="eastAsia"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法定代表人参加磋商的无需此件，提供身份证明即可。详见第六章响应文件格式。</w:t>
            </w: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eastAsia="宋体" w:cs="Times New Roman"/>
                <w:color w:val="auto"/>
                <w:kern w:val="2"/>
                <w:sz w:val="24"/>
                <w:szCs w:val="22"/>
                <w:highlight w:val="none"/>
                <w:lang w:eastAsia="zh-CN"/>
              </w:rPr>
            </w:pPr>
            <w:r>
              <w:rPr>
                <w:rFonts w:hint="eastAsia" w:cs="宋体"/>
                <w:color w:val="auto"/>
                <w:kern w:val="2"/>
                <w:sz w:val="24"/>
                <w:szCs w:val="24"/>
                <w:highlight w:val="none"/>
                <w:lang w:val="en-US" w:eastAsia="zh-CN"/>
              </w:rPr>
              <w:t>7</w:t>
            </w:r>
          </w:p>
        </w:tc>
        <w:tc>
          <w:tcPr>
            <w:tcW w:w="796" w:type="pct"/>
            <w:vAlign w:val="center"/>
          </w:tcPr>
          <w:p w14:paraId="626403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ascii="Calibri" w:hAnsi="Calibri"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响应函</w:t>
            </w:r>
          </w:p>
        </w:tc>
        <w:tc>
          <w:tcPr>
            <w:tcW w:w="2268" w:type="pct"/>
            <w:vAlign w:val="center"/>
          </w:tcPr>
          <w:p w14:paraId="793FCFF1">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both"/>
              <w:rPr>
                <w:rFonts w:ascii="Calibri" w:hAnsi="Calibri"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符合磋商文件要求。</w:t>
            </w:r>
          </w:p>
        </w:tc>
        <w:tc>
          <w:tcPr>
            <w:tcW w:w="1524" w:type="pct"/>
            <w:vAlign w:val="center"/>
          </w:tcPr>
          <w:p w14:paraId="7F9D6E43">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center"/>
              <w:rPr>
                <w:rFonts w:hint="eastAsia"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详见第六章响应文件格式</w:t>
            </w: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eastAsia="宋体" w:cs="Times New Roman"/>
                <w:color w:val="auto"/>
                <w:kern w:val="2"/>
                <w:sz w:val="24"/>
                <w:szCs w:val="22"/>
                <w:highlight w:val="none"/>
                <w:lang w:eastAsia="zh-CN"/>
              </w:rPr>
            </w:pPr>
            <w:r>
              <w:rPr>
                <w:rFonts w:hint="eastAsia" w:cs="宋体"/>
                <w:color w:val="auto"/>
                <w:sz w:val="24"/>
                <w:szCs w:val="24"/>
                <w:highlight w:val="none"/>
                <w:lang w:val="en-US" w:eastAsia="zh-CN"/>
              </w:rPr>
              <w:t>8</w:t>
            </w:r>
          </w:p>
        </w:tc>
        <w:tc>
          <w:tcPr>
            <w:tcW w:w="796" w:type="pct"/>
            <w:vAlign w:val="center"/>
          </w:tcPr>
          <w:p w14:paraId="318E1CD7">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tc>
        <w:tc>
          <w:tcPr>
            <w:tcW w:w="2268" w:type="pct"/>
            <w:vAlign w:val="center"/>
          </w:tcPr>
          <w:p w14:paraId="5B337567">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both"/>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1524" w:type="pct"/>
            <w:vAlign w:val="center"/>
          </w:tcPr>
          <w:p w14:paraId="11A49F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详见第六章响应文件格式。</w:t>
            </w:r>
          </w:p>
        </w:tc>
      </w:tr>
      <w:tr w14:paraId="5B36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C231E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9</w:t>
            </w:r>
          </w:p>
        </w:tc>
        <w:tc>
          <w:tcPr>
            <w:tcW w:w="796" w:type="pct"/>
            <w:vAlign w:val="center"/>
          </w:tcPr>
          <w:p w14:paraId="0E4AA98C">
            <w:pPr>
              <w:spacing w:after="50"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olor w:val="auto"/>
                <w:sz w:val="24"/>
                <w:szCs w:val="28"/>
                <w:highlight w:val="none"/>
              </w:rPr>
              <w:t>诚信响应承诺书</w:t>
            </w:r>
          </w:p>
        </w:tc>
        <w:tc>
          <w:tcPr>
            <w:tcW w:w="2268" w:type="pct"/>
            <w:vAlign w:val="center"/>
          </w:tcPr>
          <w:p w14:paraId="67BD5669">
            <w:pPr>
              <w:spacing w:after="50" w:line="360" w:lineRule="auto"/>
              <w:ind w:right="-10" w:rightChars="0"/>
              <w:jc w:val="left"/>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szCs w:val="28"/>
                <w:highlight w:val="none"/>
              </w:rPr>
              <w:t>格式、填写要求符合磋商文件规定并加盖供应商电子签章</w:t>
            </w:r>
          </w:p>
        </w:tc>
        <w:tc>
          <w:tcPr>
            <w:tcW w:w="1524" w:type="pct"/>
            <w:vAlign w:val="center"/>
          </w:tcPr>
          <w:p w14:paraId="5038C25F">
            <w:pPr>
              <w:spacing w:after="50" w:line="360" w:lineRule="auto"/>
              <w:ind w:right="-10" w:rightChars="0"/>
              <w:jc w:val="center"/>
              <w:rPr>
                <w:rFonts w:hint="eastAsia" w:cs="Times New Roman"/>
                <w:color w:val="auto"/>
                <w:kern w:val="2"/>
                <w:sz w:val="24"/>
                <w:szCs w:val="22"/>
                <w:highlight w:val="none"/>
              </w:rPr>
            </w:pPr>
            <w:r>
              <w:rPr>
                <w:rFonts w:hint="eastAsia" w:asciiTheme="minorEastAsia" w:hAnsiTheme="minorEastAsia" w:eastAsiaTheme="minorEastAsia"/>
                <w:color w:val="auto"/>
                <w:sz w:val="24"/>
                <w:szCs w:val="28"/>
                <w:highlight w:val="none"/>
              </w:rPr>
              <w:t>详见第六章响应文件格式。</w:t>
            </w:r>
          </w:p>
        </w:tc>
      </w:tr>
      <w:tr w14:paraId="787E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15F18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10</w:t>
            </w:r>
          </w:p>
        </w:tc>
        <w:tc>
          <w:tcPr>
            <w:tcW w:w="796" w:type="pct"/>
            <w:vAlign w:val="center"/>
          </w:tcPr>
          <w:p w14:paraId="3200B64B">
            <w:pPr>
              <w:spacing w:after="50"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olor w:val="auto"/>
                <w:sz w:val="24"/>
                <w:szCs w:val="28"/>
                <w:highlight w:val="none"/>
              </w:rPr>
              <w:t>诚信履约承诺函</w:t>
            </w:r>
          </w:p>
        </w:tc>
        <w:tc>
          <w:tcPr>
            <w:tcW w:w="2268" w:type="pct"/>
            <w:vAlign w:val="center"/>
          </w:tcPr>
          <w:p w14:paraId="1BFA3A63">
            <w:pPr>
              <w:spacing w:after="50" w:line="360" w:lineRule="auto"/>
              <w:ind w:right="-10" w:rightChars="0"/>
              <w:jc w:val="left"/>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szCs w:val="28"/>
                <w:highlight w:val="none"/>
              </w:rPr>
              <w:t>格式、填写要求符合磋商文件规定并加盖供应商电子签章</w:t>
            </w:r>
          </w:p>
        </w:tc>
        <w:tc>
          <w:tcPr>
            <w:tcW w:w="1524" w:type="pct"/>
            <w:vAlign w:val="center"/>
          </w:tcPr>
          <w:p w14:paraId="729BFA58">
            <w:pPr>
              <w:spacing w:after="50" w:line="360" w:lineRule="auto"/>
              <w:ind w:right="-10" w:rightChars="0"/>
              <w:jc w:val="center"/>
              <w:rPr>
                <w:rFonts w:hint="eastAsia" w:cs="Times New Roman"/>
                <w:color w:val="auto"/>
                <w:kern w:val="2"/>
                <w:sz w:val="24"/>
                <w:szCs w:val="22"/>
                <w:highlight w:val="none"/>
              </w:rPr>
            </w:pPr>
            <w:r>
              <w:rPr>
                <w:rFonts w:hint="eastAsia" w:asciiTheme="minorEastAsia" w:hAnsiTheme="minorEastAsia" w:eastAsiaTheme="minorEastAsia"/>
                <w:color w:val="auto"/>
                <w:sz w:val="24"/>
                <w:szCs w:val="28"/>
                <w:highlight w:val="none"/>
              </w:rPr>
              <w:t>详见第六章响应文件格式。</w:t>
            </w: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center"/>
              <w:rPr>
                <w:rFonts w:hint="eastAsia" w:ascii="Calibri" w:hAnsi="Calibri" w:cs="Times New Roman"/>
                <w:color w:val="auto"/>
                <w:kern w:val="2"/>
                <w:sz w:val="24"/>
                <w:szCs w:val="22"/>
                <w:highlight w:val="none"/>
              </w:rPr>
            </w:pPr>
          </w:p>
        </w:tc>
      </w:tr>
    </w:tbl>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74B57C9B">
      <w:pPr>
        <w:spacing w:line="360" w:lineRule="auto"/>
        <w:ind w:firstLine="435"/>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注：</w:t>
      </w:r>
      <w:r>
        <w:rPr>
          <w:rFonts w:hint="eastAsia" w:asciiTheme="minorEastAsia" w:hAnsiTheme="minorEastAsia" w:eastAsiaTheme="minorEastAsia"/>
          <w:b/>
          <w:bCs/>
          <w:color w:val="auto"/>
          <w:sz w:val="24"/>
          <w:highlight w:val="none"/>
        </w:rPr>
        <w:t>供应商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220DA5E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rPr>
        <w:t>供应商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（4）磋商小组基于专业判断，认为供应商报价过低，有可能影响产品质量或者不能诚信履约的其他情形。</w:t>
            </w:r>
          </w:p>
          <w:p w14:paraId="1F1C5BD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（2）上述报价均为供应商最后报价。</w:t>
            </w:r>
          </w:p>
        </w:tc>
        <w:tc>
          <w:tcPr>
            <w:tcW w:w="2260" w:type="dxa"/>
            <w:vAlign w:val="center"/>
          </w:tcPr>
          <w:p w14:paraId="4F4E35C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326F5DD3">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60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40</w:t>
      </w:r>
      <w:r>
        <w:rPr>
          <w:rFonts w:asciiTheme="minorEastAsia" w:hAnsiTheme="minorEastAsia" w:eastAsiaTheme="minorEastAsia"/>
          <w:color w:val="auto"/>
          <w:sz w:val="24"/>
          <w:highlight w:val="none"/>
        </w:rPr>
        <w:t>%。具体评分细则如下：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720"/>
        <w:gridCol w:w="4005"/>
        <w:gridCol w:w="1326"/>
      </w:tblGrid>
      <w:tr w14:paraId="4E68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vAlign w:val="center"/>
          </w:tcPr>
          <w:p w14:paraId="1A67C7F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BB1A74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349" w:type="pct"/>
            <w:tcBorders>
              <w:top w:val="single" w:color="auto" w:sz="4" w:space="0"/>
              <w:left w:val="single" w:color="auto" w:sz="4" w:space="0"/>
              <w:bottom w:val="single" w:color="auto" w:sz="4" w:space="0"/>
              <w:right w:val="single" w:color="auto" w:sz="4" w:space="0"/>
            </w:tcBorders>
            <w:vAlign w:val="center"/>
          </w:tcPr>
          <w:p w14:paraId="52EACF7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77" w:type="pct"/>
            <w:tcBorders>
              <w:top w:val="single" w:color="auto" w:sz="4" w:space="0"/>
              <w:left w:val="single" w:color="auto" w:sz="4" w:space="0"/>
              <w:bottom w:val="single" w:color="auto" w:sz="4" w:space="0"/>
              <w:right w:val="single" w:color="auto" w:sz="4" w:space="0"/>
            </w:tcBorders>
            <w:vAlign w:val="center"/>
          </w:tcPr>
          <w:p w14:paraId="190488F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5E8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top w:val="single" w:color="auto" w:sz="4" w:space="0"/>
              <w:left w:val="single" w:color="auto" w:sz="4" w:space="0"/>
              <w:right w:val="single" w:color="auto" w:sz="4" w:space="0"/>
            </w:tcBorders>
            <w:vAlign w:val="center"/>
          </w:tcPr>
          <w:p w14:paraId="0A95DAD4">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AB63F7E">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60</w:t>
            </w:r>
            <w:r>
              <w:rPr>
                <w:rFonts w:hint="eastAsia" w:asciiTheme="minorEastAsia" w:hAnsiTheme="minorEastAsia" w:eastAsiaTheme="minorEastAsia"/>
                <w:color w:val="auto"/>
                <w:sz w:val="24"/>
                <w:highlight w:val="none"/>
              </w:rPr>
              <w:t>分）</w:t>
            </w: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36B9FE15">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技术部分</w:t>
            </w:r>
          </w:p>
        </w:tc>
      </w:tr>
      <w:tr w14:paraId="715F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0815A4E">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DE27A65">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1.总体筹划与总平面布置</w:t>
            </w:r>
          </w:p>
        </w:tc>
        <w:tc>
          <w:tcPr>
            <w:tcW w:w="2349" w:type="pct"/>
            <w:tcBorders>
              <w:top w:val="single" w:color="auto" w:sz="4" w:space="0"/>
              <w:left w:val="single" w:color="auto" w:sz="4" w:space="0"/>
              <w:bottom w:val="single" w:color="auto" w:sz="4" w:space="0"/>
              <w:right w:val="single" w:color="auto" w:sz="4" w:space="0"/>
            </w:tcBorders>
            <w:vAlign w:val="center"/>
          </w:tcPr>
          <w:p w14:paraId="49C843C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结合项目实际施工需求及现场工况，总体筹划科学系统、总平面布置合理优化，施工分区、材料堆放、临时设施、施工通道等规划周全且贴合现场，能最大程度提升施工效率、减少施工干扰得</w:t>
            </w:r>
            <w:r>
              <w:rPr>
                <w:rFonts w:hint="eastAsia" w:cs="宋体"/>
                <w:color w:val="auto"/>
                <w:sz w:val="21"/>
                <w:szCs w:val="22"/>
                <w:highlight w:val="none"/>
                <w:lang w:val="en-US" w:eastAsia="zh-CN"/>
              </w:rPr>
              <w:t>5</w:t>
            </w:r>
            <w:r>
              <w:rPr>
                <w:rFonts w:hint="eastAsia" w:ascii="宋体" w:hAnsi="宋体" w:cs="宋体"/>
                <w:color w:val="auto"/>
                <w:sz w:val="21"/>
                <w:szCs w:val="22"/>
                <w:highlight w:val="none"/>
              </w:rPr>
              <w:t>分；</w:t>
            </w:r>
          </w:p>
          <w:p w14:paraId="2DB060A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总体筹划完整可行、总平面布置符合项目实际，施工分区、临时设施等规划清晰，可满足正常施工开展需求得</w:t>
            </w:r>
            <w:r>
              <w:rPr>
                <w:rFonts w:hint="eastAsia" w:cs="宋体"/>
                <w:color w:val="auto"/>
                <w:sz w:val="21"/>
                <w:szCs w:val="22"/>
                <w:highlight w:val="none"/>
                <w:lang w:val="en-US" w:eastAsia="zh-CN"/>
              </w:rPr>
              <w:t>4</w:t>
            </w:r>
            <w:r>
              <w:rPr>
                <w:rFonts w:hint="eastAsia" w:ascii="宋体" w:hAnsi="宋体" w:cs="宋体"/>
                <w:color w:val="auto"/>
                <w:sz w:val="21"/>
                <w:szCs w:val="22"/>
                <w:highlight w:val="none"/>
              </w:rPr>
              <w:t>分；</w:t>
            </w:r>
          </w:p>
          <w:p w14:paraId="4AF9AFF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总体筹划和总平面布置基本符合项目要求，但部分规划内容存在不足，对施工效率有一定影响，有待优化完善得</w:t>
            </w:r>
            <w:r>
              <w:rPr>
                <w:rFonts w:hint="eastAsia" w:cs="宋体"/>
                <w:color w:val="auto"/>
                <w:sz w:val="21"/>
                <w:szCs w:val="22"/>
                <w:highlight w:val="none"/>
                <w:lang w:val="en-US" w:eastAsia="zh-CN"/>
              </w:rPr>
              <w:t>3</w:t>
            </w:r>
            <w:r>
              <w:rPr>
                <w:rFonts w:hint="eastAsia" w:ascii="宋体" w:hAnsi="宋体" w:cs="宋体"/>
                <w:color w:val="auto"/>
                <w:sz w:val="21"/>
                <w:szCs w:val="22"/>
                <w:highlight w:val="none"/>
              </w:rPr>
              <w:t>分；</w:t>
            </w:r>
          </w:p>
          <w:p w14:paraId="6BEBFD5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7FEA221C">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0-5分</w:t>
            </w:r>
          </w:p>
        </w:tc>
      </w:tr>
      <w:tr w14:paraId="78E4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8F3BE67">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FEDADB4">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2.主要施工方法</w:t>
            </w:r>
          </w:p>
        </w:tc>
        <w:tc>
          <w:tcPr>
            <w:tcW w:w="2349" w:type="pct"/>
            <w:tcBorders>
              <w:top w:val="single" w:color="auto" w:sz="4" w:space="0"/>
              <w:left w:val="single" w:color="auto" w:sz="4" w:space="0"/>
              <w:bottom w:val="single" w:color="auto" w:sz="4" w:space="0"/>
              <w:right w:val="single" w:color="auto" w:sz="4" w:space="0"/>
            </w:tcBorders>
            <w:vAlign w:val="center"/>
          </w:tcPr>
          <w:p w14:paraId="5F4162A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各主要分部施工方法</w:t>
            </w:r>
            <w:r>
              <w:rPr>
                <w:rFonts w:hint="eastAsia" w:ascii="宋体" w:hAnsi="宋体" w:cs="宋体"/>
                <w:color w:val="auto"/>
                <w:sz w:val="21"/>
                <w:szCs w:val="22"/>
                <w:highlight w:val="none"/>
                <w:lang w:val="en-US" w:eastAsia="zh-CN"/>
              </w:rPr>
              <w:t>优于</w:t>
            </w:r>
            <w:r>
              <w:rPr>
                <w:rFonts w:hint="eastAsia" w:ascii="宋体" w:hAnsi="宋体" w:cs="宋体"/>
                <w:color w:val="auto"/>
                <w:sz w:val="21"/>
                <w:szCs w:val="22"/>
                <w:highlight w:val="none"/>
              </w:rPr>
              <w:t>项目实际，有详尽的施工技术方案，工艺先进、方法科学合理、可行，</w:t>
            </w:r>
            <w:r>
              <w:rPr>
                <w:rFonts w:hint="eastAsia" w:ascii="宋体" w:hAnsi="宋体" w:cs="宋体"/>
                <w:color w:val="auto"/>
                <w:sz w:val="21"/>
                <w:szCs w:val="22"/>
                <w:highlight w:val="none"/>
                <w:lang w:val="en-US" w:eastAsia="zh-CN"/>
              </w:rPr>
              <w:t>能够高质高效的</w:t>
            </w:r>
            <w:r>
              <w:rPr>
                <w:rFonts w:hint="eastAsia" w:ascii="宋体" w:hAnsi="宋体" w:cs="宋体"/>
                <w:color w:val="auto"/>
                <w:sz w:val="21"/>
                <w:szCs w:val="22"/>
                <w:highlight w:val="none"/>
              </w:rPr>
              <w:t>施工并确保安全</w:t>
            </w:r>
            <w:r>
              <w:rPr>
                <w:rFonts w:hint="eastAsia" w:ascii="宋体" w:hAnsi="宋体" w:cs="宋体"/>
                <w:color w:val="auto"/>
                <w:sz w:val="21"/>
                <w:szCs w:val="22"/>
                <w:highlight w:val="none"/>
                <w:lang w:val="en-US" w:eastAsia="zh-CN"/>
              </w:rPr>
              <w:t>得5分；</w:t>
            </w:r>
          </w:p>
          <w:p w14:paraId="39E58E0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各主要分部施工方法符合项目实际，施工技术方案</w:t>
            </w:r>
            <w:r>
              <w:rPr>
                <w:rFonts w:hint="eastAsia" w:ascii="宋体" w:hAnsi="宋体" w:cs="宋体"/>
                <w:color w:val="auto"/>
                <w:sz w:val="21"/>
                <w:szCs w:val="22"/>
                <w:highlight w:val="none"/>
                <w:lang w:val="en-US" w:eastAsia="zh-CN"/>
              </w:rPr>
              <w:t>完整</w:t>
            </w:r>
            <w:r>
              <w:rPr>
                <w:rFonts w:hint="eastAsia" w:ascii="宋体" w:hAnsi="宋体" w:cs="宋体"/>
                <w:color w:val="auto"/>
                <w:sz w:val="21"/>
                <w:szCs w:val="22"/>
                <w:highlight w:val="none"/>
              </w:rPr>
              <w:t>，工艺</w:t>
            </w:r>
            <w:r>
              <w:rPr>
                <w:rFonts w:hint="eastAsia" w:ascii="宋体" w:hAnsi="宋体" w:cs="宋体"/>
                <w:color w:val="auto"/>
                <w:sz w:val="21"/>
                <w:szCs w:val="22"/>
                <w:highlight w:val="none"/>
                <w:lang w:val="en-US" w:eastAsia="zh-CN"/>
              </w:rPr>
              <w:t>符合施工需求</w:t>
            </w:r>
            <w:r>
              <w:rPr>
                <w:rFonts w:hint="eastAsia" w:ascii="宋体" w:hAnsi="宋体" w:cs="宋体"/>
                <w:color w:val="auto"/>
                <w:sz w:val="21"/>
                <w:szCs w:val="22"/>
                <w:highlight w:val="none"/>
              </w:rPr>
              <w:t>、能指导具体施工</w:t>
            </w:r>
            <w:r>
              <w:rPr>
                <w:rFonts w:hint="eastAsia" w:ascii="宋体" w:hAnsi="宋体" w:cs="宋体"/>
                <w:color w:val="auto"/>
                <w:sz w:val="21"/>
                <w:szCs w:val="22"/>
                <w:highlight w:val="none"/>
                <w:lang w:val="en-US" w:eastAsia="zh-CN"/>
              </w:rPr>
              <w:t>得4分；</w:t>
            </w:r>
          </w:p>
          <w:p w14:paraId="026B9DA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各主要分部施工方法符合项目实际，施工技术方案</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工艺</w:t>
            </w:r>
            <w:r>
              <w:rPr>
                <w:rFonts w:hint="eastAsia" w:ascii="宋体" w:hAnsi="宋体" w:cs="宋体"/>
                <w:color w:val="auto"/>
                <w:sz w:val="21"/>
                <w:szCs w:val="22"/>
                <w:highlight w:val="none"/>
                <w:lang w:val="en-US" w:eastAsia="zh-CN"/>
              </w:rPr>
              <w:t>部分存在不足，有待提升得3分。</w:t>
            </w:r>
          </w:p>
          <w:p w14:paraId="186CDBE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val="en-US" w:eastAsia="zh-CN"/>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00B8F144">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0-5分</w:t>
            </w:r>
          </w:p>
        </w:tc>
      </w:tr>
      <w:tr w14:paraId="0F17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18787C0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65B5EB0">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3.拟投入的主要施工机械、设备计划</w:t>
            </w:r>
          </w:p>
        </w:tc>
        <w:tc>
          <w:tcPr>
            <w:tcW w:w="2349" w:type="pct"/>
            <w:tcBorders>
              <w:top w:val="single" w:color="auto" w:sz="4" w:space="0"/>
              <w:left w:val="single" w:color="auto" w:sz="4" w:space="0"/>
              <w:bottom w:val="single" w:color="auto" w:sz="4" w:space="0"/>
              <w:right w:val="single" w:color="auto" w:sz="4" w:space="0"/>
            </w:tcBorders>
            <w:vAlign w:val="center"/>
          </w:tcPr>
          <w:p w14:paraId="797702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投入的施工机械、设备、机具有详细计划且计划周密，设备数量</w:t>
            </w:r>
            <w:r>
              <w:rPr>
                <w:rFonts w:hint="eastAsia" w:ascii="宋体" w:hAnsi="宋体" w:eastAsia="宋体" w:cs="宋体"/>
                <w:color w:val="auto"/>
                <w:sz w:val="21"/>
                <w:szCs w:val="22"/>
                <w:highlight w:val="none"/>
                <w:lang w:val="en-US" w:eastAsia="zh-CN"/>
              </w:rPr>
              <w:t>充足</w:t>
            </w:r>
            <w:r>
              <w:rPr>
                <w:rFonts w:hint="eastAsia" w:ascii="宋体" w:hAnsi="宋体" w:cs="宋体"/>
                <w:color w:val="auto"/>
                <w:sz w:val="21"/>
                <w:szCs w:val="22"/>
                <w:highlight w:val="none"/>
              </w:rPr>
              <w:t>、选型配置、进场数量、时间合理、</w:t>
            </w:r>
            <w:r>
              <w:rPr>
                <w:rFonts w:hint="eastAsia" w:ascii="宋体" w:hAnsi="宋体" w:cs="宋体"/>
                <w:color w:val="auto"/>
                <w:sz w:val="21"/>
                <w:szCs w:val="22"/>
                <w:highlight w:val="none"/>
                <w:lang w:val="en-US" w:eastAsia="zh-CN"/>
              </w:rPr>
              <w:t>优于</w:t>
            </w:r>
            <w:r>
              <w:rPr>
                <w:rFonts w:hint="eastAsia" w:ascii="宋体" w:hAnsi="宋体" w:cs="宋体"/>
                <w:color w:val="auto"/>
                <w:sz w:val="21"/>
                <w:szCs w:val="22"/>
                <w:highlight w:val="none"/>
              </w:rPr>
              <w:t>施工需要</w:t>
            </w:r>
            <w:r>
              <w:rPr>
                <w:rFonts w:hint="eastAsia" w:ascii="宋体" w:hAnsi="宋体" w:cs="宋体"/>
                <w:color w:val="auto"/>
                <w:sz w:val="21"/>
                <w:szCs w:val="22"/>
                <w:highlight w:val="none"/>
                <w:lang w:val="en-US" w:eastAsia="zh-CN"/>
              </w:rPr>
              <w:t>得5分；</w:t>
            </w:r>
          </w:p>
          <w:p w14:paraId="792C79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投入的施工机械、设备、机具有计划且计划</w:t>
            </w:r>
            <w:r>
              <w:rPr>
                <w:rFonts w:hint="eastAsia" w:ascii="宋体" w:hAnsi="宋体" w:cs="宋体"/>
                <w:color w:val="auto"/>
                <w:sz w:val="21"/>
                <w:szCs w:val="22"/>
                <w:highlight w:val="none"/>
                <w:lang w:val="en-US" w:eastAsia="zh-CN"/>
              </w:rPr>
              <w:t>完整</w:t>
            </w:r>
            <w:r>
              <w:rPr>
                <w:rFonts w:hint="eastAsia" w:ascii="宋体" w:hAnsi="宋体" w:cs="宋体"/>
                <w:color w:val="auto"/>
                <w:sz w:val="21"/>
                <w:szCs w:val="22"/>
                <w:highlight w:val="none"/>
              </w:rPr>
              <w:t>，设备数量</w:t>
            </w:r>
            <w:r>
              <w:rPr>
                <w:rFonts w:hint="eastAsia" w:ascii="宋体" w:hAnsi="宋体" w:eastAsia="宋体" w:cs="宋体"/>
                <w:color w:val="auto"/>
                <w:sz w:val="21"/>
                <w:szCs w:val="22"/>
                <w:highlight w:val="none"/>
                <w:lang w:val="en-US" w:eastAsia="zh-CN"/>
              </w:rPr>
              <w:t>适中</w:t>
            </w:r>
            <w:r>
              <w:rPr>
                <w:rFonts w:hint="eastAsia" w:ascii="宋体" w:hAnsi="宋体" w:cs="宋体"/>
                <w:color w:val="auto"/>
                <w:sz w:val="21"/>
                <w:szCs w:val="22"/>
                <w:highlight w:val="none"/>
              </w:rPr>
              <w:t>、选型配置、进场数量、时间</w:t>
            </w:r>
            <w:r>
              <w:rPr>
                <w:rFonts w:hint="eastAsia" w:ascii="宋体" w:hAnsi="宋体" w:cs="宋体"/>
                <w:color w:val="auto"/>
                <w:sz w:val="21"/>
                <w:szCs w:val="22"/>
                <w:highlight w:val="none"/>
                <w:lang w:val="en-US" w:eastAsia="zh-CN"/>
              </w:rPr>
              <w:t>安排合理</w:t>
            </w:r>
            <w:r>
              <w:rPr>
                <w:rFonts w:hint="eastAsia" w:ascii="宋体" w:hAnsi="宋体" w:cs="宋体"/>
                <w:color w:val="auto"/>
                <w:sz w:val="21"/>
                <w:szCs w:val="22"/>
                <w:highlight w:val="none"/>
              </w:rPr>
              <w:t>、</w:t>
            </w:r>
            <w:r>
              <w:rPr>
                <w:rFonts w:hint="eastAsia" w:ascii="宋体" w:hAnsi="宋体" w:cs="宋体"/>
                <w:color w:val="auto"/>
                <w:sz w:val="21"/>
                <w:szCs w:val="22"/>
                <w:highlight w:val="none"/>
                <w:lang w:val="en-US" w:eastAsia="zh-CN"/>
              </w:rPr>
              <w:t>能够</w:t>
            </w:r>
            <w:r>
              <w:rPr>
                <w:rFonts w:hint="eastAsia" w:ascii="宋体" w:hAnsi="宋体" w:cs="宋体"/>
                <w:color w:val="auto"/>
                <w:sz w:val="21"/>
                <w:szCs w:val="22"/>
                <w:highlight w:val="none"/>
              </w:rPr>
              <w:t>满足施工需要</w:t>
            </w:r>
            <w:r>
              <w:rPr>
                <w:rFonts w:hint="eastAsia" w:ascii="宋体" w:hAnsi="宋体" w:cs="宋体"/>
                <w:color w:val="auto"/>
                <w:sz w:val="21"/>
                <w:szCs w:val="22"/>
                <w:highlight w:val="none"/>
                <w:lang w:val="en-US" w:eastAsia="zh-CN"/>
              </w:rPr>
              <w:t>得4分；</w:t>
            </w:r>
          </w:p>
          <w:p w14:paraId="645B02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投入的施工机械、设备、机具、选型配置、进场数量、时间</w:t>
            </w:r>
            <w:r>
              <w:rPr>
                <w:rFonts w:hint="eastAsia" w:ascii="宋体" w:hAnsi="宋体" w:cs="宋体"/>
                <w:color w:val="auto"/>
                <w:sz w:val="21"/>
                <w:szCs w:val="22"/>
                <w:highlight w:val="none"/>
                <w:lang w:val="en-US" w:eastAsia="zh-CN"/>
              </w:rPr>
              <w:t>部分存在缺失，有待完善得3分。</w:t>
            </w:r>
          </w:p>
          <w:p w14:paraId="0C1C563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val="en-US" w:eastAsia="zh-CN"/>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38D2D193">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0-5分</w:t>
            </w:r>
          </w:p>
        </w:tc>
      </w:tr>
      <w:tr w14:paraId="205B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0B0E9482">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E121553">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4.劳动力安排计划</w:t>
            </w:r>
          </w:p>
        </w:tc>
        <w:tc>
          <w:tcPr>
            <w:tcW w:w="2349" w:type="pct"/>
            <w:tcBorders>
              <w:top w:val="single" w:color="auto" w:sz="4" w:space="0"/>
              <w:left w:val="single" w:color="auto" w:sz="4" w:space="0"/>
              <w:bottom w:val="single" w:color="auto" w:sz="4" w:space="0"/>
              <w:right w:val="single" w:color="auto" w:sz="4" w:space="0"/>
            </w:tcBorders>
            <w:vAlign w:val="center"/>
          </w:tcPr>
          <w:p w14:paraId="40423D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各主要施工工序应有详细周密的劳动力安排计划明细，有各工种劳动力安排计划</w:t>
            </w:r>
            <w:r>
              <w:rPr>
                <w:rFonts w:hint="eastAsia" w:ascii="宋体" w:hAnsi="宋体" w:eastAsia="宋体" w:cs="宋体"/>
                <w:color w:val="auto"/>
                <w:sz w:val="21"/>
                <w:szCs w:val="22"/>
                <w:highlight w:val="none"/>
                <w:lang w:eastAsia="zh-CN"/>
              </w:rPr>
              <w:t>，</w:t>
            </w:r>
            <w:r>
              <w:rPr>
                <w:rFonts w:hint="eastAsia" w:ascii="宋体" w:hAnsi="宋体" w:cs="宋体"/>
                <w:color w:val="auto"/>
                <w:sz w:val="21"/>
                <w:szCs w:val="22"/>
                <w:highlight w:val="none"/>
                <w:lang w:val="en-US" w:eastAsia="zh-CN"/>
              </w:rPr>
              <w:t>计划完整周密</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劳动力投入经济</w:t>
            </w:r>
            <w:r>
              <w:rPr>
                <w:rFonts w:hint="eastAsia" w:ascii="宋体" w:hAnsi="宋体" w:cs="宋体"/>
                <w:color w:val="auto"/>
                <w:sz w:val="21"/>
                <w:szCs w:val="22"/>
                <w:highlight w:val="none"/>
                <w:lang w:val="en-US" w:eastAsia="zh-CN"/>
              </w:rPr>
              <w:t>高效</w:t>
            </w:r>
            <w:r>
              <w:rPr>
                <w:rFonts w:hint="eastAsia" w:ascii="宋体" w:hAnsi="宋体" w:cs="宋体"/>
                <w:color w:val="auto"/>
                <w:sz w:val="21"/>
                <w:szCs w:val="22"/>
                <w:highlight w:val="none"/>
              </w:rPr>
              <w:t>，</w:t>
            </w:r>
            <w:r>
              <w:rPr>
                <w:rFonts w:hint="eastAsia" w:ascii="宋体" w:hAnsi="宋体" w:eastAsia="宋体" w:cs="宋体"/>
                <w:color w:val="auto"/>
                <w:sz w:val="21"/>
                <w:szCs w:val="22"/>
                <w:highlight w:val="none"/>
                <w:lang w:val="en-US" w:eastAsia="zh-CN"/>
              </w:rPr>
              <w:t>优于</w:t>
            </w:r>
            <w:r>
              <w:rPr>
                <w:rFonts w:hint="eastAsia" w:ascii="宋体" w:hAnsi="宋体" w:cs="宋体"/>
                <w:color w:val="auto"/>
                <w:sz w:val="21"/>
                <w:szCs w:val="22"/>
                <w:highlight w:val="none"/>
              </w:rPr>
              <w:t>施工需要</w:t>
            </w:r>
            <w:r>
              <w:rPr>
                <w:rFonts w:hint="eastAsia" w:ascii="宋体" w:hAnsi="宋体" w:cs="宋体"/>
                <w:color w:val="auto"/>
                <w:sz w:val="21"/>
                <w:szCs w:val="22"/>
                <w:highlight w:val="none"/>
                <w:lang w:val="en-US" w:eastAsia="zh-CN"/>
              </w:rPr>
              <w:t>得5分；</w:t>
            </w:r>
          </w:p>
          <w:p w14:paraId="20F6FC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各主要施工工序有劳动力安排计划</w:t>
            </w:r>
            <w:r>
              <w:rPr>
                <w:rFonts w:hint="eastAsia" w:ascii="宋体" w:hAnsi="宋体" w:cs="宋体"/>
                <w:color w:val="auto"/>
                <w:sz w:val="21"/>
                <w:szCs w:val="22"/>
                <w:highlight w:val="none"/>
                <w:lang w:val="en-US" w:eastAsia="zh-CN"/>
              </w:rPr>
              <w:t>且计划完整</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劳动力投入合理，</w:t>
            </w:r>
            <w:r>
              <w:rPr>
                <w:rFonts w:hint="eastAsia" w:ascii="宋体" w:hAnsi="宋体" w:cs="宋体"/>
                <w:color w:val="auto"/>
                <w:sz w:val="21"/>
                <w:szCs w:val="22"/>
                <w:highlight w:val="none"/>
                <w:lang w:val="en-US" w:eastAsia="zh-CN"/>
              </w:rPr>
              <w:t>能够</w:t>
            </w:r>
            <w:r>
              <w:rPr>
                <w:rFonts w:hint="eastAsia" w:ascii="宋体" w:hAnsi="宋体" w:cs="宋体"/>
                <w:color w:val="auto"/>
                <w:sz w:val="21"/>
                <w:szCs w:val="22"/>
                <w:highlight w:val="none"/>
              </w:rPr>
              <w:t>满足施工需要</w:t>
            </w:r>
            <w:r>
              <w:rPr>
                <w:rFonts w:hint="eastAsia" w:ascii="宋体" w:hAnsi="宋体" w:cs="宋体"/>
                <w:color w:val="auto"/>
                <w:sz w:val="21"/>
                <w:szCs w:val="22"/>
                <w:highlight w:val="none"/>
                <w:lang w:val="en-US" w:eastAsia="zh-CN"/>
              </w:rPr>
              <w:t>得4分；</w:t>
            </w:r>
          </w:p>
          <w:p w14:paraId="6F25A6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各主要施工工序</w:t>
            </w:r>
            <w:r>
              <w:rPr>
                <w:rFonts w:hint="eastAsia" w:ascii="宋体" w:hAnsi="宋体" w:cs="宋体"/>
                <w:color w:val="auto"/>
                <w:sz w:val="21"/>
                <w:szCs w:val="22"/>
                <w:highlight w:val="none"/>
                <w:lang w:val="en-US" w:eastAsia="zh-CN"/>
              </w:rPr>
              <w:t>有基础的</w:t>
            </w:r>
            <w:r>
              <w:rPr>
                <w:rFonts w:hint="eastAsia" w:ascii="宋体" w:hAnsi="宋体" w:cs="宋体"/>
                <w:color w:val="auto"/>
                <w:sz w:val="21"/>
                <w:szCs w:val="22"/>
                <w:highlight w:val="none"/>
              </w:rPr>
              <w:t>劳动力安排计划，</w:t>
            </w:r>
            <w:r>
              <w:rPr>
                <w:rFonts w:hint="eastAsia" w:ascii="宋体" w:hAnsi="宋体" w:cs="宋体"/>
                <w:color w:val="auto"/>
                <w:sz w:val="21"/>
                <w:szCs w:val="22"/>
                <w:highlight w:val="none"/>
                <w:lang w:val="en-US" w:eastAsia="zh-CN"/>
              </w:rPr>
              <w:t>但部分存在不足，有待提升的得3分。</w:t>
            </w:r>
          </w:p>
          <w:p w14:paraId="4B645A4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val="en-US" w:eastAsia="zh-CN"/>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31EE91AC">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0-5分</w:t>
            </w:r>
          </w:p>
        </w:tc>
      </w:tr>
      <w:tr w14:paraId="2CDD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16A72E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449F3CD">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5.确保工程质量的技术组织措施</w:t>
            </w:r>
          </w:p>
        </w:tc>
        <w:tc>
          <w:tcPr>
            <w:tcW w:w="2349" w:type="pct"/>
            <w:tcBorders>
              <w:top w:val="single" w:color="auto" w:sz="4" w:space="0"/>
              <w:left w:val="single" w:color="auto" w:sz="4" w:space="0"/>
              <w:bottom w:val="single" w:color="auto" w:sz="4" w:space="0"/>
              <w:right w:val="single" w:color="auto" w:sz="4" w:space="0"/>
            </w:tcBorders>
            <w:vAlign w:val="center"/>
          </w:tcPr>
          <w:p w14:paraId="697942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施工项目有专门的质量技术管理班子和制度，且人员配备合理，制度健全，主要工序应有质量技术保证措施和手段，自控体系</w:t>
            </w:r>
            <w:r>
              <w:rPr>
                <w:rFonts w:hint="eastAsia" w:ascii="宋体" w:hAnsi="宋体" w:eastAsia="宋体" w:cs="宋体"/>
                <w:color w:val="auto"/>
                <w:sz w:val="21"/>
                <w:szCs w:val="22"/>
                <w:highlight w:val="none"/>
                <w:lang w:val="en-US" w:eastAsia="zh-CN"/>
              </w:rPr>
              <w:t>完善</w:t>
            </w:r>
            <w:r>
              <w:rPr>
                <w:rFonts w:hint="eastAsia" w:ascii="宋体" w:hAnsi="宋体" w:cs="宋体"/>
                <w:color w:val="auto"/>
                <w:sz w:val="21"/>
                <w:szCs w:val="22"/>
                <w:highlight w:val="none"/>
              </w:rPr>
              <w:t>，能有效的保证技术质量，</w:t>
            </w:r>
            <w:r>
              <w:rPr>
                <w:rFonts w:hint="eastAsia" w:ascii="宋体" w:hAnsi="宋体" w:eastAsia="宋体" w:cs="宋体"/>
                <w:color w:val="auto"/>
                <w:sz w:val="21"/>
                <w:szCs w:val="22"/>
                <w:highlight w:val="none"/>
                <w:lang w:val="en-US" w:eastAsia="zh-CN"/>
              </w:rPr>
              <w:t>优于</w:t>
            </w:r>
            <w:r>
              <w:rPr>
                <w:rFonts w:hint="eastAsia" w:ascii="宋体" w:hAnsi="宋体" w:cs="宋体"/>
                <w:color w:val="auto"/>
                <w:sz w:val="21"/>
                <w:szCs w:val="22"/>
                <w:highlight w:val="none"/>
              </w:rPr>
              <w:t>质量标准</w:t>
            </w:r>
            <w:r>
              <w:rPr>
                <w:rFonts w:hint="eastAsia" w:ascii="宋体" w:hAnsi="宋体" w:cs="宋体"/>
                <w:color w:val="auto"/>
                <w:sz w:val="21"/>
                <w:szCs w:val="22"/>
                <w:highlight w:val="none"/>
                <w:lang w:val="en-US" w:eastAsia="zh-CN"/>
              </w:rPr>
              <w:t>得5分；</w:t>
            </w:r>
          </w:p>
          <w:p w14:paraId="22BFEB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施工项目</w:t>
            </w:r>
            <w:r>
              <w:rPr>
                <w:rFonts w:hint="eastAsia" w:ascii="宋体" w:hAnsi="宋体" w:eastAsia="宋体" w:cs="宋体"/>
                <w:color w:val="auto"/>
                <w:sz w:val="21"/>
                <w:szCs w:val="22"/>
                <w:highlight w:val="none"/>
                <w:lang w:val="en-US" w:eastAsia="zh-CN"/>
              </w:rPr>
              <w:t>有</w:t>
            </w:r>
            <w:r>
              <w:rPr>
                <w:rFonts w:hint="eastAsia" w:ascii="宋体" w:hAnsi="宋体" w:cs="宋体"/>
                <w:color w:val="auto"/>
                <w:sz w:val="21"/>
                <w:szCs w:val="22"/>
                <w:highlight w:val="none"/>
              </w:rPr>
              <w:t>专门的质量技术管理班子和制度，且人员配备</w:t>
            </w:r>
            <w:r>
              <w:rPr>
                <w:rFonts w:hint="eastAsia" w:ascii="宋体" w:hAnsi="宋体" w:cs="宋体"/>
                <w:color w:val="auto"/>
                <w:sz w:val="21"/>
                <w:szCs w:val="22"/>
                <w:highlight w:val="none"/>
                <w:lang w:val="en-US" w:eastAsia="zh-CN"/>
              </w:rPr>
              <w:t>适中</w:t>
            </w:r>
            <w:r>
              <w:rPr>
                <w:rFonts w:hint="eastAsia" w:ascii="宋体" w:hAnsi="宋体" w:cs="宋体"/>
                <w:color w:val="auto"/>
                <w:sz w:val="21"/>
                <w:szCs w:val="22"/>
                <w:highlight w:val="none"/>
              </w:rPr>
              <w:t>，制度</w:t>
            </w:r>
            <w:r>
              <w:rPr>
                <w:rFonts w:hint="eastAsia" w:ascii="宋体" w:hAnsi="宋体" w:cs="宋体"/>
                <w:color w:val="auto"/>
                <w:sz w:val="21"/>
                <w:szCs w:val="22"/>
                <w:highlight w:val="none"/>
                <w:lang w:val="en-US" w:eastAsia="zh-CN"/>
              </w:rPr>
              <w:t>完整</w:t>
            </w:r>
            <w:r>
              <w:rPr>
                <w:rFonts w:hint="eastAsia" w:ascii="宋体" w:hAnsi="宋体" w:cs="宋体"/>
                <w:color w:val="auto"/>
                <w:sz w:val="21"/>
                <w:szCs w:val="22"/>
                <w:highlight w:val="none"/>
              </w:rPr>
              <w:t>，主要工序应有质量技术保证措施和手段，能</w:t>
            </w:r>
            <w:r>
              <w:rPr>
                <w:rFonts w:hint="eastAsia" w:ascii="宋体" w:hAnsi="宋体" w:cs="宋体"/>
                <w:color w:val="auto"/>
                <w:sz w:val="21"/>
                <w:szCs w:val="22"/>
                <w:highlight w:val="none"/>
                <w:lang w:val="en-US" w:eastAsia="zh-CN"/>
              </w:rPr>
              <w:t>够</w:t>
            </w:r>
            <w:r>
              <w:rPr>
                <w:rFonts w:hint="eastAsia" w:ascii="宋体" w:hAnsi="宋体" w:cs="宋体"/>
                <w:color w:val="auto"/>
                <w:sz w:val="21"/>
                <w:szCs w:val="22"/>
                <w:highlight w:val="none"/>
              </w:rPr>
              <w:t>保证技术质量，</w:t>
            </w:r>
            <w:r>
              <w:rPr>
                <w:rFonts w:hint="eastAsia" w:ascii="宋体" w:hAnsi="宋体" w:cs="宋体"/>
                <w:color w:val="auto"/>
                <w:sz w:val="21"/>
                <w:szCs w:val="22"/>
                <w:highlight w:val="none"/>
                <w:lang w:val="en-US" w:eastAsia="zh-CN"/>
              </w:rPr>
              <w:t>能够</w:t>
            </w:r>
            <w:r>
              <w:rPr>
                <w:rFonts w:hint="eastAsia" w:ascii="宋体" w:hAnsi="宋体" w:cs="宋体"/>
                <w:color w:val="auto"/>
                <w:sz w:val="21"/>
                <w:szCs w:val="22"/>
                <w:highlight w:val="none"/>
              </w:rPr>
              <w:t>达到承诺的质量标准</w:t>
            </w:r>
            <w:r>
              <w:rPr>
                <w:rFonts w:hint="eastAsia" w:ascii="宋体" w:hAnsi="宋体" w:cs="宋体"/>
                <w:color w:val="auto"/>
                <w:sz w:val="21"/>
                <w:szCs w:val="22"/>
                <w:highlight w:val="none"/>
                <w:lang w:val="en-US" w:eastAsia="zh-CN"/>
              </w:rPr>
              <w:t>得4分；</w:t>
            </w:r>
          </w:p>
          <w:p w14:paraId="06EC83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施工项目专门的质量技术管理班子和制度，</w:t>
            </w:r>
            <w:r>
              <w:rPr>
                <w:rFonts w:hint="eastAsia" w:ascii="宋体" w:hAnsi="宋体" w:cs="宋体"/>
                <w:color w:val="auto"/>
                <w:sz w:val="21"/>
                <w:szCs w:val="22"/>
                <w:highlight w:val="none"/>
                <w:lang w:val="en-US" w:eastAsia="zh-CN"/>
              </w:rPr>
              <w:t>有</w:t>
            </w:r>
            <w:r>
              <w:rPr>
                <w:rFonts w:hint="eastAsia" w:ascii="宋体" w:hAnsi="宋体" w:cs="宋体"/>
                <w:color w:val="auto"/>
                <w:sz w:val="21"/>
                <w:szCs w:val="22"/>
                <w:highlight w:val="none"/>
              </w:rPr>
              <w:t>人员配备，</w:t>
            </w:r>
            <w:r>
              <w:rPr>
                <w:rFonts w:hint="eastAsia" w:ascii="宋体" w:hAnsi="宋体" w:cs="宋体"/>
                <w:color w:val="auto"/>
                <w:sz w:val="21"/>
                <w:szCs w:val="22"/>
                <w:highlight w:val="none"/>
                <w:lang w:val="en-US" w:eastAsia="zh-CN"/>
              </w:rPr>
              <w:t>有</w:t>
            </w:r>
            <w:r>
              <w:rPr>
                <w:rFonts w:hint="eastAsia" w:ascii="宋体" w:hAnsi="宋体" w:cs="宋体"/>
                <w:color w:val="auto"/>
                <w:sz w:val="21"/>
                <w:szCs w:val="22"/>
                <w:highlight w:val="none"/>
              </w:rPr>
              <w:t>制度，</w:t>
            </w:r>
            <w:r>
              <w:rPr>
                <w:rFonts w:hint="eastAsia" w:ascii="宋体" w:hAnsi="宋体" w:cs="宋体"/>
                <w:color w:val="auto"/>
                <w:sz w:val="21"/>
                <w:szCs w:val="22"/>
                <w:highlight w:val="none"/>
                <w:lang w:val="en-US" w:eastAsia="zh-CN"/>
              </w:rPr>
              <w:t>部分存在不足，有待完善的得3分；</w:t>
            </w:r>
          </w:p>
          <w:p w14:paraId="171091A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val="en-US" w:eastAsia="zh-CN"/>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1C2A82D5">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0-5分</w:t>
            </w:r>
          </w:p>
        </w:tc>
      </w:tr>
      <w:tr w14:paraId="4015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FB410BC">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1228D5E">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6.确保安全生产的技术组织措施</w:t>
            </w:r>
          </w:p>
        </w:tc>
        <w:tc>
          <w:tcPr>
            <w:tcW w:w="2349" w:type="pct"/>
            <w:tcBorders>
              <w:top w:val="single" w:color="auto" w:sz="4" w:space="0"/>
              <w:left w:val="single" w:color="auto" w:sz="4" w:space="0"/>
              <w:bottom w:val="single" w:color="auto" w:sz="4" w:space="0"/>
              <w:right w:val="single" w:color="auto" w:sz="4" w:space="0"/>
            </w:tcBorders>
            <w:vAlign w:val="center"/>
          </w:tcPr>
          <w:p w14:paraId="1BE535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施工项目有专门的安全管理人员和制度，且人员配备</w:t>
            </w:r>
            <w:r>
              <w:rPr>
                <w:rFonts w:hint="eastAsia" w:ascii="宋体" w:hAnsi="宋体" w:eastAsia="宋体" w:cs="宋体"/>
                <w:color w:val="auto"/>
                <w:sz w:val="21"/>
                <w:szCs w:val="22"/>
                <w:highlight w:val="none"/>
                <w:lang w:val="en-US" w:eastAsia="zh-CN"/>
              </w:rPr>
              <w:t>充足</w:t>
            </w:r>
            <w:r>
              <w:rPr>
                <w:rFonts w:hint="eastAsia" w:ascii="宋体" w:hAnsi="宋体" w:cs="宋体"/>
                <w:color w:val="auto"/>
                <w:sz w:val="21"/>
                <w:szCs w:val="22"/>
                <w:highlight w:val="none"/>
              </w:rPr>
              <w:t>，制度健全，各道工序安全技术措施针对性强，符合实际且满足有关安全技术标准要求。现场防火、社会治安安全措施得力</w:t>
            </w:r>
            <w:r>
              <w:rPr>
                <w:rFonts w:hint="eastAsia" w:ascii="宋体" w:hAnsi="宋体" w:cs="宋体"/>
                <w:color w:val="auto"/>
                <w:sz w:val="21"/>
                <w:szCs w:val="22"/>
                <w:highlight w:val="none"/>
                <w:lang w:val="en-US" w:eastAsia="zh-CN"/>
              </w:rPr>
              <w:t>得5分；</w:t>
            </w:r>
          </w:p>
          <w:p w14:paraId="422CD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施工项目有专门的安全管理人员和制度，且人员配备</w:t>
            </w:r>
            <w:r>
              <w:rPr>
                <w:rFonts w:hint="eastAsia" w:ascii="宋体" w:hAnsi="宋体" w:cs="宋体"/>
                <w:color w:val="auto"/>
                <w:sz w:val="21"/>
                <w:szCs w:val="22"/>
                <w:highlight w:val="none"/>
                <w:lang w:val="en-US" w:eastAsia="zh-CN"/>
              </w:rPr>
              <w:t>适中</w:t>
            </w:r>
            <w:r>
              <w:rPr>
                <w:rFonts w:hint="eastAsia" w:ascii="宋体" w:hAnsi="宋体" w:cs="宋体"/>
                <w:color w:val="auto"/>
                <w:sz w:val="21"/>
                <w:szCs w:val="22"/>
                <w:highlight w:val="none"/>
              </w:rPr>
              <w:t>，制度</w:t>
            </w:r>
            <w:r>
              <w:rPr>
                <w:rFonts w:hint="eastAsia" w:ascii="宋体" w:hAnsi="宋体" w:cs="宋体"/>
                <w:color w:val="auto"/>
                <w:sz w:val="21"/>
                <w:szCs w:val="22"/>
                <w:highlight w:val="none"/>
                <w:lang w:val="en-US" w:eastAsia="zh-CN"/>
              </w:rPr>
              <w:t>完整</w:t>
            </w:r>
            <w:r>
              <w:rPr>
                <w:rFonts w:hint="eastAsia" w:ascii="宋体" w:hAnsi="宋体" w:cs="宋体"/>
                <w:color w:val="auto"/>
                <w:sz w:val="21"/>
                <w:szCs w:val="22"/>
                <w:highlight w:val="none"/>
              </w:rPr>
              <w:t>，各道工序安全技术措施</w:t>
            </w:r>
            <w:r>
              <w:rPr>
                <w:rFonts w:hint="eastAsia" w:ascii="宋体" w:hAnsi="宋体" w:cs="宋体"/>
                <w:color w:val="auto"/>
                <w:sz w:val="21"/>
                <w:szCs w:val="22"/>
                <w:highlight w:val="none"/>
                <w:lang w:val="en-US" w:eastAsia="zh-CN"/>
              </w:rPr>
              <w:t>完善</w:t>
            </w:r>
            <w:r>
              <w:rPr>
                <w:rFonts w:hint="eastAsia" w:ascii="宋体" w:hAnsi="宋体" w:cs="宋体"/>
                <w:color w:val="auto"/>
                <w:sz w:val="21"/>
                <w:szCs w:val="22"/>
                <w:highlight w:val="none"/>
              </w:rPr>
              <w:t>，</w:t>
            </w:r>
            <w:r>
              <w:rPr>
                <w:rFonts w:hint="eastAsia" w:ascii="宋体" w:hAnsi="宋体" w:cs="宋体"/>
                <w:color w:val="auto"/>
                <w:sz w:val="21"/>
                <w:szCs w:val="22"/>
                <w:highlight w:val="none"/>
                <w:lang w:val="en-US" w:eastAsia="zh-CN"/>
              </w:rPr>
              <w:t>能够</w:t>
            </w:r>
            <w:r>
              <w:rPr>
                <w:rFonts w:hint="eastAsia" w:ascii="宋体" w:hAnsi="宋体" w:eastAsia="宋体" w:cs="宋体"/>
                <w:color w:val="auto"/>
                <w:sz w:val="21"/>
                <w:szCs w:val="22"/>
                <w:highlight w:val="none"/>
                <w:lang w:val="en-US" w:eastAsia="zh-CN"/>
              </w:rPr>
              <w:t>满足项目需求</w:t>
            </w:r>
            <w:r>
              <w:rPr>
                <w:rFonts w:hint="eastAsia" w:ascii="宋体" w:hAnsi="宋体" w:cs="宋体"/>
                <w:color w:val="auto"/>
                <w:sz w:val="21"/>
                <w:szCs w:val="22"/>
                <w:highlight w:val="none"/>
                <w:lang w:val="en-US" w:eastAsia="zh-CN"/>
              </w:rPr>
              <w:t>得4分；</w:t>
            </w:r>
          </w:p>
          <w:p w14:paraId="22CEFE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施工项目有专门的安全管理人员和制度，人员配备</w:t>
            </w:r>
            <w:r>
              <w:rPr>
                <w:rFonts w:hint="eastAsia" w:ascii="宋体" w:hAnsi="宋体" w:cs="宋体"/>
                <w:color w:val="auto"/>
                <w:sz w:val="21"/>
                <w:szCs w:val="22"/>
                <w:highlight w:val="none"/>
                <w:lang w:val="en-US" w:eastAsia="zh-CN"/>
              </w:rPr>
              <w:t>少</w:t>
            </w:r>
            <w:r>
              <w:rPr>
                <w:rFonts w:hint="eastAsia" w:ascii="宋体" w:hAnsi="宋体" w:cs="宋体"/>
                <w:color w:val="auto"/>
                <w:sz w:val="21"/>
                <w:szCs w:val="22"/>
                <w:highlight w:val="none"/>
              </w:rPr>
              <w:t>，制度</w:t>
            </w:r>
            <w:r>
              <w:rPr>
                <w:rFonts w:hint="eastAsia" w:ascii="宋体" w:hAnsi="宋体" w:cs="宋体"/>
                <w:color w:val="auto"/>
                <w:sz w:val="21"/>
                <w:szCs w:val="22"/>
                <w:highlight w:val="none"/>
                <w:lang w:val="en-US" w:eastAsia="zh-CN"/>
              </w:rPr>
              <w:t>欠缺，部分存在不足，有待完善的得3分；</w:t>
            </w:r>
          </w:p>
          <w:p w14:paraId="65B14D7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val="en-US" w:eastAsia="zh-CN"/>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2F2863AD">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0-5分</w:t>
            </w:r>
          </w:p>
        </w:tc>
      </w:tr>
      <w:tr w14:paraId="6033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14D7B33">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A9268B4">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7.确保工期的技术组织措施</w:t>
            </w:r>
          </w:p>
        </w:tc>
        <w:tc>
          <w:tcPr>
            <w:tcW w:w="2349" w:type="pct"/>
            <w:tcBorders>
              <w:top w:val="single" w:color="auto" w:sz="4" w:space="0"/>
              <w:left w:val="single" w:color="auto" w:sz="4" w:space="0"/>
              <w:bottom w:val="single" w:color="auto" w:sz="4" w:space="0"/>
              <w:right w:val="single" w:color="auto" w:sz="4" w:space="0"/>
            </w:tcBorders>
            <w:vAlign w:val="center"/>
          </w:tcPr>
          <w:p w14:paraId="35599E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在施工工艺、施工方法、材料选用、劳动力安排、技术等方面有保证工期的具体措施且措施得当。有控制工期的施工进度计划。有施工总进度表或施工网络图，各项计划图表编制完善，</w:t>
            </w:r>
            <w:r>
              <w:rPr>
                <w:rFonts w:hint="eastAsia" w:ascii="宋体" w:hAnsi="宋体" w:cs="宋体"/>
                <w:color w:val="auto"/>
                <w:sz w:val="21"/>
                <w:szCs w:val="22"/>
                <w:highlight w:val="none"/>
                <w:lang w:val="en-US" w:eastAsia="zh-CN"/>
              </w:rPr>
              <w:t>优于</w:t>
            </w:r>
            <w:r>
              <w:rPr>
                <w:rFonts w:hint="eastAsia" w:ascii="宋体" w:hAnsi="宋体" w:cs="宋体"/>
                <w:color w:val="auto"/>
                <w:sz w:val="21"/>
                <w:szCs w:val="22"/>
                <w:highlight w:val="none"/>
              </w:rPr>
              <w:t>本项目施工实际要求</w:t>
            </w:r>
            <w:r>
              <w:rPr>
                <w:rFonts w:hint="eastAsia" w:ascii="宋体" w:hAnsi="宋体" w:cs="宋体"/>
                <w:color w:val="auto"/>
                <w:sz w:val="21"/>
                <w:szCs w:val="22"/>
                <w:highlight w:val="none"/>
                <w:lang w:val="en-US" w:eastAsia="zh-CN"/>
              </w:rPr>
              <w:t>的，得5分；</w:t>
            </w:r>
          </w:p>
          <w:p w14:paraId="4381E1C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在施工工艺、施工方法、材料选用、劳动力安排、技术等方面有保证工期的措施。有控制工期的施工进度计划。有施工总进度表或施工网络图，各项计划图表编制</w:t>
            </w:r>
            <w:r>
              <w:rPr>
                <w:rFonts w:hint="eastAsia" w:ascii="宋体" w:hAnsi="宋体" w:cs="宋体"/>
                <w:color w:val="auto"/>
                <w:sz w:val="21"/>
                <w:szCs w:val="22"/>
                <w:highlight w:val="none"/>
                <w:lang w:val="en-US" w:eastAsia="zh-CN"/>
              </w:rPr>
              <w:t>完善</w:t>
            </w:r>
            <w:r>
              <w:rPr>
                <w:rFonts w:hint="eastAsia" w:ascii="宋体" w:hAnsi="宋体" w:cs="宋体"/>
                <w:color w:val="auto"/>
                <w:sz w:val="21"/>
                <w:szCs w:val="22"/>
                <w:highlight w:val="none"/>
              </w:rPr>
              <w:t>，</w:t>
            </w:r>
            <w:r>
              <w:rPr>
                <w:rFonts w:hint="eastAsia" w:ascii="宋体" w:hAnsi="宋体" w:cs="宋体"/>
                <w:color w:val="auto"/>
                <w:sz w:val="21"/>
                <w:szCs w:val="22"/>
                <w:highlight w:val="none"/>
                <w:lang w:val="en-US" w:eastAsia="zh-CN"/>
              </w:rPr>
              <w:t>能够满足</w:t>
            </w:r>
            <w:r>
              <w:rPr>
                <w:rFonts w:hint="eastAsia" w:ascii="宋体" w:hAnsi="宋体" w:cs="宋体"/>
                <w:color w:val="auto"/>
                <w:sz w:val="21"/>
                <w:szCs w:val="22"/>
                <w:highlight w:val="none"/>
              </w:rPr>
              <w:t>本项目施工</w:t>
            </w:r>
            <w:r>
              <w:rPr>
                <w:rFonts w:hint="eastAsia" w:ascii="宋体" w:hAnsi="宋体" w:cs="宋体"/>
                <w:color w:val="auto"/>
                <w:sz w:val="21"/>
                <w:szCs w:val="22"/>
                <w:highlight w:val="none"/>
                <w:lang w:val="en-US" w:eastAsia="zh-CN"/>
              </w:rPr>
              <w:t>部分需求得4分；</w:t>
            </w:r>
          </w:p>
          <w:p w14:paraId="5A4A023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在施工工艺、施工方法、材料选用、劳动力安排、技术等方面有保证工期的措施。有控制工期的施工进度计划</w:t>
            </w:r>
            <w:r>
              <w:rPr>
                <w:rFonts w:hint="eastAsia" w:ascii="宋体" w:hAnsi="宋体" w:cs="宋体"/>
                <w:color w:val="auto"/>
                <w:sz w:val="21"/>
                <w:szCs w:val="22"/>
                <w:highlight w:val="none"/>
                <w:lang w:val="en-US" w:eastAsia="zh-CN"/>
              </w:rPr>
              <w:t>，但部分存在不足，有待提升得3分；</w:t>
            </w:r>
          </w:p>
          <w:p w14:paraId="212C70C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val="en-US" w:eastAsia="zh-CN"/>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18713000">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0-5分</w:t>
            </w:r>
          </w:p>
        </w:tc>
      </w:tr>
      <w:tr w14:paraId="1AB1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0ED06F3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0C91361">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8.确保文明施工的技术组织措施</w:t>
            </w:r>
          </w:p>
        </w:tc>
        <w:tc>
          <w:tcPr>
            <w:tcW w:w="2349" w:type="pct"/>
            <w:tcBorders>
              <w:top w:val="single" w:color="auto" w:sz="4" w:space="0"/>
              <w:left w:val="single" w:color="auto" w:sz="4" w:space="0"/>
              <w:bottom w:val="single" w:color="auto" w:sz="4" w:space="0"/>
              <w:right w:val="single" w:color="auto" w:sz="4" w:space="0"/>
            </w:tcBorders>
            <w:vAlign w:val="center"/>
          </w:tcPr>
          <w:p w14:paraId="1E00FF7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针对本工程特点，有现场文明施工计划，环境保护措施。各项措施周全、具体、有效。有具体实现现场文明施工目标的承诺</w:t>
            </w:r>
            <w:r>
              <w:rPr>
                <w:rFonts w:hint="eastAsia" w:ascii="宋体" w:hAnsi="宋体" w:cs="宋体"/>
                <w:color w:val="auto"/>
                <w:sz w:val="21"/>
                <w:szCs w:val="22"/>
                <w:highlight w:val="none"/>
                <w:lang w:val="en-US" w:eastAsia="zh-CN"/>
              </w:rPr>
              <w:t>得5分；</w:t>
            </w:r>
          </w:p>
          <w:p w14:paraId="3B66A2E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rPr>
              <w:t>针对本工程特点，有现场文明施工计划，环境保护措施的</w:t>
            </w:r>
            <w:r>
              <w:rPr>
                <w:rFonts w:hint="eastAsia" w:ascii="宋体" w:hAnsi="宋体" w:cs="宋体"/>
                <w:color w:val="auto"/>
                <w:sz w:val="21"/>
                <w:szCs w:val="22"/>
                <w:highlight w:val="none"/>
                <w:lang w:val="en-US" w:eastAsia="zh-CN"/>
              </w:rPr>
              <w:t>得4分；</w:t>
            </w:r>
          </w:p>
          <w:p w14:paraId="152EDDE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color w:val="auto"/>
                <w:sz w:val="21"/>
                <w:szCs w:val="21"/>
                <w:highlight w:val="none"/>
                <w:lang w:val="en-US" w:eastAsia="zh-CN"/>
              </w:rPr>
            </w:pPr>
            <w:r>
              <w:rPr>
                <w:rFonts w:hint="eastAsia" w:ascii="宋体" w:hAnsi="宋体" w:cs="宋体"/>
                <w:color w:val="auto"/>
                <w:sz w:val="21"/>
                <w:szCs w:val="22"/>
                <w:highlight w:val="none"/>
              </w:rPr>
              <w:t>针对本工程特点，有现场文明施工计划，环境保护措施</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但部分存在不足的得3分；</w:t>
            </w:r>
          </w:p>
          <w:p w14:paraId="2520A1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val="en-US" w:eastAsia="zh-CN"/>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08CFED3A">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0-5分</w:t>
            </w:r>
          </w:p>
        </w:tc>
      </w:tr>
      <w:tr w14:paraId="1AEC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0E3CD00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7CA1A2D">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9.重点及保证措施</w:t>
            </w:r>
          </w:p>
        </w:tc>
        <w:tc>
          <w:tcPr>
            <w:tcW w:w="2349" w:type="pct"/>
            <w:tcBorders>
              <w:top w:val="single" w:color="auto" w:sz="4" w:space="0"/>
              <w:left w:val="single" w:color="auto" w:sz="4" w:space="0"/>
              <w:bottom w:val="single" w:color="auto" w:sz="4" w:space="0"/>
              <w:right w:val="single" w:color="auto" w:sz="4" w:space="0"/>
            </w:tcBorders>
            <w:vAlign w:val="center"/>
          </w:tcPr>
          <w:p w14:paraId="67471DA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针对本工程特点，列出本工程的重点，并且有具体的保证措施。各项措施周全、具体、有效，有针对性的得5分；</w:t>
            </w:r>
          </w:p>
          <w:p w14:paraId="5E50D4A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针对本工程特点，列出本工程的重点，并且有具体的保证措施。各项措施内容清晰、完善的得4分；</w:t>
            </w:r>
          </w:p>
          <w:p w14:paraId="2C3BAB8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针对本工程特点，列出本工程的重点，并且有具体的保证措施。但缺项或关键点缺失或出现非专门针对本项目特性内容的得3分；</w:t>
            </w:r>
          </w:p>
          <w:p w14:paraId="18475CF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val="en-US" w:eastAsia="zh-CN"/>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01E985C3">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0-5分</w:t>
            </w:r>
          </w:p>
        </w:tc>
      </w:tr>
      <w:tr w14:paraId="051D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237282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A707B36">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10.新技术、新工艺、新方法</w:t>
            </w:r>
          </w:p>
        </w:tc>
        <w:tc>
          <w:tcPr>
            <w:tcW w:w="2349" w:type="pct"/>
            <w:tcBorders>
              <w:top w:val="single" w:color="auto" w:sz="4" w:space="0"/>
              <w:left w:val="single" w:color="auto" w:sz="4" w:space="0"/>
              <w:bottom w:val="single" w:color="auto" w:sz="4" w:space="0"/>
              <w:right w:val="single" w:color="auto" w:sz="4" w:space="0"/>
            </w:tcBorders>
            <w:vAlign w:val="center"/>
          </w:tcPr>
          <w:p w14:paraId="52BBABB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针对本工程特点，能提出新技术、新工艺、新方法且合理有效、能节省资金且保证项目质量的得5分；</w:t>
            </w:r>
          </w:p>
          <w:p w14:paraId="1711E8B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针对本工程特点，能提出新技术、新工艺、新方法，内容清晰、完善的得4分；</w:t>
            </w:r>
          </w:p>
          <w:p w14:paraId="475AEC6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针对本工程特点，有一定的新技术、新工艺、新方法但缺项或关键点缺失或出现非专门针对本项目特性内容的得3分；</w:t>
            </w:r>
          </w:p>
          <w:p w14:paraId="075B59F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val="en-US" w:eastAsia="zh-CN"/>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43B224EF">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0-5分</w:t>
            </w:r>
          </w:p>
        </w:tc>
      </w:tr>
      <w:tr w14:paraId="62F2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AD73F7C">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0B44B47">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11.合理化建议</w:t>
            </w:r>
          </w:p>
        </w:tc>
        <w:tc>
          <w:tcPr>
            <w:tcW w:w="2349" w:type="pct"/>
            <w:tcBorders>
              <w:top w:val="single" w:color="auto" w:sz="4" w:space="0"/>
              <w:left w:val="single" w:color="auto" w:sz="4" w:space="0"/>
              <w:bottom w:val="single" w:color="auto" w:sz="4" w:space="0"/>
              <w:right w:val="single" w:color="auto" w:sz="4" w:space="0"/>
            </w:tcBorders>
            <w:vAlign w:val="center"/>
          </w:tcPr>
          <w:p w14:paraId="6240A7B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针对本工程特点，列出对本工程的建议，建议科学合理并且有具体的保证措施。各项措施周全、具体、有效，有针对性的得</w:t>
            </w:r>
            <w:r>
              <w:rPr>
                <w:rFonts w:hint="eastAsia" w:cs="宋体"/>
                <w:color w:val="auto"/>
                <w:sz w:val="21"/>
                <w:szCs w:val="22"/>
                <w:highlight w:val="none"/>
                <w:lang w:val="en-US" w:eastAsia="zh-CN"/>
              </w:rPr>
              <w:t>3</w:t>
            </w:r>
            <w:r>
              <w:rPr>
                <w:rFonts w:hint="eastAsia" w:ascii="宋体" w:hAnsi="宋体" w:cs="宋体"/>
                <w:color w:val="auto"/>
                <w:sz w:val="21"/>
                <w:szCs w:val="22"/>
                <w:highlight w:val="none"/>
                <w:lang w:val="en-US" w:eastAsia="zh-CN"/>
              </w:rPr>
              <w:t>分；</w:t>
            </w:r>
          </w:p>
          <w:p w14:paraId="77CFF92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针对本工程特点，列出本工程的建议，建议合理并且有具体的保证措施。各项措施内容清晰、完善的得</w:t>
            </w:r>
            <w:r>
              <w:rPr>
                <w:rFonts w:hint="eastAsia" w:cs="宋体"/>
                <w:color w:val="auto"/>
                <w:sz w:val="21"/>
                <w:szCs w:val="22"/>
                <w:highlight w:val="none"/>
                <w:lang w:val="en-US" w:eastAsia="zh-CN"/>
              </w:rPr>
              <w:t>2</w:t>
            </w:r>
            <w:r>
              <w:rPr>
                <w:rFonts w:hint="eastAsia" w:ascii="宋体" w:hAnsi="宋体" w:cs="宋体"/>
                <w:color w:val="auto"/>
                <w:sz w:val="21"/>
                <w:szCs w:val="22"/>
                <w:highlight w:val="none"/>
                <w:lang w:val="en-US" w:eastAsia="zh-CN"/>
              </w:rPr>
              <w:t>分；</w:t>
            </w:r>
          </w:p>
          <w:p w14:paraId="2DE2F2F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针对本工程特点，列出本工程的建议及保证措施，但关键点缺失有待完善的得</w:t>
            </w:r>
            <w:r>
              <w:rPr>
                <w:rFonts w:hint="eastAsia" w:cs="宋体"/>
                <w:color w:val="auto"/>
                <w:sz w:val="21"/>
                <w:szCs w:val="22"/>
                <w:highlight w:val="none"/>
                <w:lang w:val="en-US" w:eastAsia="zh-CN"/>
              </w:rPr>
              <w:t>1</w:t>
            </w:r>
            <w:r>
              <w:rPr>
                <w:rFonts w:hint="eastAsia" w:ascii="宋体" w:hAnsi="宋体" w:cs="宋体"/>
                <w:color w:val="auto"/>
                <w:sz w:val="21"/>
                <w:szCs w:val="22"/>
                <w:highlight w:val="none"/>
                <w:lang w:val="en-US" w:eastAsia="zh-CN"/>
              </w:rPr>
              <w:t>分；</w:t>
            </w:r>
          </w:p>
          <w:p w14:paraId="6064FE7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val="en-US" w:eastAsia="zh-CN"/>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56578F1B">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0-3分</w:t>
            </w:r>
          </w:p>
        </w:tc>
      </w:tr>
      <w:tr w14:paraId="68BC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863" w:type="pct"/>
            <w:vMerge w:val="continue"/>
            <w:tcBorders>
              <w:left w:val="single" w:color="auto" w:sz="4" w:space="0"/>
              <w:right w:val="single" w:color="auto" w:sz="4" w:space="0"/>
            </w:tcBorders>
            <w:vAlign w:val="center"/>
          </w:tcPr>
          <w:p w14:paraId="2833B942">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right w:val="single" w:color="auto" w:sz="4" w:space="0"/>
            </w:tcBorders>
            <w:vAlign w:val="center"/>
          </w:tcPr>
          <w:p w14:paraId="49735F85">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12.缺陷期服务</w:t>
            </w:r>
          </w:p>
        </w:tc>
        <w:tc>
          <w:tcPr>
            <w:tcW w:w="2349" w:type="pct"/>
            <w:tcBorders>
              <w:top w:val="single" w:color="auto" w:sz="4" w:space="0"/>
              <w:left w:val="single" w:color="auto" w:sz="4" w:space="0"/>
              <w:right w:val="single" w:color="auto" w:sz="4" w:space="0"/>
            </w:tcBorders>
            <w:vAlign w:val="center"/>
          </w:tcPr>
          <w:p w14:paraId="28116C8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有详细的施工缺陷责任期服务计划，包括但不限于维修、响应时间、人员安排等。各项服务周全、具体、有效，有针对性的得</w:t>
            </w:r>
            <w:r>
              <w:rPr>
                <w:rFonts w:hint="eastAsia" w:cs="宋体"/>
                <w:color w:val="auto"/>
                <w:sz w:val="21"/>
                <w:szCs w:val="22"/>
                <w:highlight w:val="none"/>
                <w:lang w:val="en-US" w:eastAsia="zh-CN"/>
              </w:rPr>
              <w:t>3</w:t>
            </w:r>
            <w:r>
              <w:rPr>
                <w:rFonts w:hint="eastAsia" w:ascii="宋体" w:hAnsi="宋体" w:cs="宋体"/>
                <w:color w:val="auto"/>
                <w:sz w:val="21"/>
                <w:szCs w:val="22"/>
                <w:highlight w:val="none"/>
                <w:lang w:val="en-US" w:eastAsia="zh-CN"/>
              </w:rPr>
              <w:t>分；</w:t>
            </w:r>
          </w:p>
          <w:p w14:paraId="3A49BC9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有详细的施工缺陷责任期服务计划，</w:t>
            </w:r>
            <w:r>
              <w:rPr>
                <w:rFonts w:hint="eastAsia" w:cs="宋体"/>
                <w:color w:val="auto"/>
                <w:sz w:val="21"/>
                <w:szCs w:val="22"/>
                <w:highlight w:val="none"/>
                <w:lang w:val="en-US" w:eastAsia="zh-CN"/>
              </w:rPr>
              <w:t>提供保障措施</w:t>
            </w:r>
            <w:r>
              <w:rPr>
                <w:rFonts w:hint="eastAsia" w:ascii="宋体" w:hAnsi="宋体" w:cs="宋体"/>
                <w:color w:val="auto"/>
                <w:sz w:val="21"/>
                <w:szCs w:val="22"/>
                <w:highlight w:val="none"/>
                <w:lang w:val="en-US" w:eastAsia="zh-CN"/>
              </w:rPr>
              <w:t>的得</w:t>
            </w:r>
            <w:r>
              <w:rPr>
                <w:rFonts w:hint="eastAsia" w:cs="宋体"/>
                <w:color w:val="auto"/>
                <w:sz w:val="21"/>
                <w:szCs w:val="22"/>
                <w:highlight w:val="none"/>
                <w:lang w:val="en-US" w:eastAsia="zh-CN"/>
              </w:rPr>
              <w:t>2</w:t>
            </w:r>
            <w:r>
              <w:rPr>
                <w:rFonts w:hint="eastAsia" w:ascii="宋体" w:hAnsi="宋体" w:cs="宋体"/>
                <w:color w:val="auto"/>
                <w:sz w:val="21"/>
                <w:szCs w:val="22"/>
                <w:highlight w:val="none"/>
                <w:lang w:val="en-US" w:eastAsia="zh-CN"/>
              </w:rPr>
              <w:t>分；</w:t>
            </w:r>
          </w:p>
          <w:p w14:paraId="19F314B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有详细的施工缺陷责任期服务计划，但缺项或关键点缺失，有待提升的得</w:t>
            </w:r>
            <w:r>
              <w:rPr>
                <w:rFonts w:hint="eastAsia" w:cs="宋体"/>
                <w:color w:val="auto"/>
                <w:sz w:val="21"/>
                <w:szCs w:val="22"/>
                <w:highlight w:val="none"/>
                <w:lang w:val="en-US" w:eastAsia="zh-CN"/>
              </w:rPr>
              <w:t>1</w:t>
            </w:r>
            <w:r>
              <w:rPr>
                <w:rFonts w:hint="eastAsia" w:ascii="宋体" w:hAnsi="宋体" w:cs="宋体"/>
                <w:color w:val="auto"/>
                <w:sz w:val="21"/>
                <w:szCs w:val="22"/>
                <w:highlight w:val="none"/>
                <w:lang w:val="en-US" w:eastAsia="zh-CN"/>
              </w:rPr>
              <w:t>分；</w:t>
            </w:r>
          </w:p>
          <w:p w14:paraId="1979FCE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val="en-US" w:eastAsia="zh-CN"/>
              </w:rPr>
              <w:t>不合格的或未提供的不得分。</w:t>
            </w:r>
          </w:p>
        </w:tc>
        <w:tc>
          <w:tcPr>
            <w:tcW w:w="777" w:type="pct"/>
            <w:tcBorders>
              <w:top w:val="single" w:color="auto" w:sz="4" w:space="0"/>
              <w:left w:val="single" w:color="auto" w:sz="4" w:space="0"/>
              <w:bottom w:val="single" w:color="auto" w:sz="4" w:space="0"/>
              <w:right w:val="single" w:color="auto" w:sz="4" w:space="0"/>
            </w:tcBorders>
            <w:vAlign w:val="center"/>
          </w:tcPr>
          <w:p w14:paraId="39492099">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0-3分</w:t>
            </w:r>
          </w:p>
        </w:tc>
      </w:tr>
      <w:tr w14:paraId="2287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8044FCB">
            <w:pPr>
              <w:spacing w:line="360" w:lineRule="auto"/>
              <w:ind w:firstLine="435"/>
              <w:jc w:val="center"/>
              <w:rPr>
                <w:rFonts w:asciiTheme="minorEastAsia" w:hAnsiTheme="minorEastAsia" w:eastAsiaTheme="minorEastAsia"/>
                <w:b/>
                <w:bCs/>
                <w:color w:val="auto"/>
                <w:sz w:val="24"/>
                <w:highlight w:val="none"/>
              </w:rPr>
            </w:pP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1D0D789B">
            <w:pPr>
              <w:spacing w:line="360" w:lineRule="auto"/>
              <w:jc w:val="center"/>
              <w:rPr>
                <w:rFonts w:asciiTheme="minorEastAsia" w:hAnsiTheme="minorEastAsia" w:eastAsiaTheme="minorEastAsia"/>
                <w:b/>
                <w:bCs/>
                <w:color w:val="auto"/>
                <w:sz w:val="28"/>
                <w:szCs w:val="21"/>
                <w:highlight w:val="none"/>
              </w:rPr>
            </w:pPr>
            <w:r>
              <w:rPr>
                <w:rFonts w:hint="eastAsia" w:asciiTheme="minorEastAsia" w:hAnsiTheme="minorEastAsia" w:eastAsiaTheme="minorEastAsia"/>
                <w:b/>
                <w:bCs/>
                <w:color w:val="auto"/>
                <w:sz w:val="28"/>
                <w:szCs w:val="21"/>
                <w:highlight w:val="none"/>
                <w:lang w:val="en-US" w:eastAsia="zh-CN"/>
              </w:rPr>
              <w:t>资信部分</w:t>
            </w:r>
          </w:p>
        </w:tc>
      </w:tr>
      <w:tr w14:paraId="4F60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63" w:type="pct"/>
            <w:vMerge w:val="continue"/>
            <w:tcBorders>
              <w:left w:val="single" w:color="auto" w:sz="4" w:space="0"/>
              <w:right w:val="single" w:color="auto" w:sz="4" w:space="0"/>
            </w:tcBorders>
            <w:vAlign w:val="center"/>
          </w:tcPr>
          <w:p w14:paraId="18B2F33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right w:val="single" w:color="auto" w:sz="4" w:space="0"/>
            </w:tcBorders>
            <w:vAlign w:val="center"/>
          </w:tcPr>
          <w:p w14:paraId="1B5B176D">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业绩</w:t>
            </w:r>
          </w:p>
        </w:tc>
        <w:tc>
          <w:tcPr>
            <w:tcW w:w="2349" w:type="pct"/>
            <w:tcBorders>
              <w:top w:val="single" w:color="auto" w:sz="4" w:space="0"/>
              <w:left w:val="single" w:color="auto" w:sz="4" w:space="0"/>
              <w:right w:val="single" w:color="auto" w:sz="4" w:space="0"/>
            </w:tcBorders>
            <w:vAlign w:val="center"/>
          </w:tcPr>
          <w:p w14:paraId="79A54D6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自202</w:t>
            </w:r>
            <w:r>
              <w:rPr>
                <w:rFonts w:hint="eastAsia" w:cs="宋体"/>
                <w:color w:val="auto"/>
                <w:sz w:val="21"/>
                <w:szCs w:val="22"/>
                <w:highlight w:val="none"/>
                <w:lang w:val="en-US" w:eastAsia="zh-CN"/>
              </w:rPr>
              <w:t>2</w:t>
            </w:r>
            <w:r>
              <w:rPr>
                <w:rFonts w:hint="eastAsia" w:ascii="宋体" w:hAnsi="宋体" w:cs="宋体"/>
                <w:color w:val="auto"/>
                <w:sz w:val="21"/>
                <w:szCs w:val="22"/>
                <w:highlight w:val="none"/>
              </w:rPr>
              <w:t>年</w:t>
            </w:r>
            <w:r>
              <w:rPr>
                <w:rFonts w:hint="eastAsia" w:cs="宋体"/>
                <w:color w:val="auto"/>
                <w:sz w:val="21"/>
                <w:szCs w:val="22"/>
                <w:highlight w:val="none"/>
                <w:lang w:val="en-US" w:eastAsia="zh-CN"/>
              </w:rPr>
              <w:t>1</w:t>
            </w:r>
            <w:r>
              <w:rPr>
                <w:rFonts w:hint="eastAsia" w:ascii="宋体" w:hAnsi="宋体" w:cs="宋体"/>
                <w:color w:val="auto"/>
                <w:sz w:val="21"/>
                <w:szCs w:val="22"/>
                <w:highlight w:val="none"/>
              </w:rPr>
              <w:t>月1日至投标截止时间止，</w:t>
            </w:r>
            <w:r>
              <w:rPr>
                <w:rFonts w:hint="eastAsia" w:ascii="宋体" w:hAnsi="宋体" w:cs="宋体"/>
                <w:color w:val="auto"/>
                <w:sz w:val="21"/>
                <w:szCs w:val="22"/>
                <w:highlight w:val="none"/>
                <w:lang w:val="en-US" w:eastAsia="zh-CN"/>
              </w:rPr>
              <w:t>每提供1个道路改造工程</w:t>
            </w:r>
            <w:r>
              <w:rPr>
                <w:rFonts w:hint="eastAsia" w:ascii="宋体" w:hAnsi="宋体" w:cs="宋体"/>
                <w:color w:val="auto"/>
                <w:sz w:val="21"/>
                <w:szCs w:val="22"/>
                <w:highlight w:val="none"/>
              </w:rPr>
              <w:t>施工业绩得2分</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本条最高得4分。</w:t>
            </w:r>
          </w:p>
          <w:p w14:paraId="014EE82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1"/>
                <w:szCs w:val="22"/>
                <w:highlight w:val="none"/>
                <w:lang w:eastAsia="zh-CN"/>
              </w:rPr>
            </w:pPr>
            <w:r>
              <w:rPr>
                <w:rFonts w:hint="eastAsia" w:ascii="宋体" w:hAnsi="宋体" w:cs="宋体"/>
                <w:color w:val="auto"/>
                <w:sz w:val="21"/>
                <w:szCs w:val="22"/>
                <w:highlight w:val="none"/>
                <w:lang w:val="en-US" w:eastAsia="zh-CN"/>
              </w:rPr>
              <w:t>注：</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1</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提供以下证明材料扫描件：合同关键页（包括但不限于封面页、内容页</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如合同中无法体现项目类型等内容</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须另外提供</w:t>
            </w:r>
            <w:r>
              <w:rPr>
                <w:rFonts w:hint="eastAsia" w:ascii="宋体" w:hAnsi="宋体" w:cs="宋体"/>
                <w:color w:val="auto"/>
                <w:sz w:val="21"/>
                <w:szCs w:val="22"/>
                <w:highlight w:val="none"/>
              </w:rPr>
              <w:t>加盖业主单位公章的证明材料</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业绩时间以</w:t>
            </w:r>
            <w:r>
              <w:rPr>
                <w:rFonts w:hint="eastAsia" w:ascii="宋体" w:hAnsi="宋体" w:cs="宋体"/>
                <w:color w:val="auto"/>
                <w:sz w:val="21"/>
                <w:szCs w:val="22"/>
                <w:highlight w:val="none"/>
                <w:lang w:eastAsia="zh-CN"/>
              </w:rPr>
              <w:t>合同签订时间为准。</w:t>
            </w:r>
          </w:p>
          <w:p w14:paraId="1436136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olor w:val="auto"/>
                <w:sz w:val="28"/>
                <w:szCs w:val="21"/>
                <w:highlight w:val="none"/>
              </w:rPr>
            </w:pP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2</w:t>
            </w:r>
            <w:r>
              <w:rPr>
                <w:rFonts w:hint="eastAsia" w:ascii="宋体" w:hAnsi="宋体" w:cs="宋体"/>
                <w:color w:val="auto"/>
                <w:sz w:val="21"/>
                <w:szCs w:val="22"/>
                <w:highlight w:val="none"/>
                <w:lang w:eastAsia="zh-CN"/>
              </w:rPr>
              <w:t>）提供的项目业绩只计算评标分值对应的项目数量（</w:t>
            </w:r>
            <w:r>
              <w:rPr>
                <w:rFonts w:hint="eastAsia" w:ascii="宋体" w:hAnsi="宋体" w:cs="宋体"/>
                <w:color w:val="auto"/>
                <w:sz w:val="21"/>
                <w:szCs w:val="22"/>
                <w:highlight w:val="none"/>
                <w:lang w:val="en-US" w:eastAsia="zh-CN"/>
              </w:rPr>
              <w:t>2个</w:t>
            </w:r>
            <w:r>
              <w:rPr>
                <w:rFonts w:hint="eastAsia" w:ascii="宋体" w:hAnsi="宋体" w:cs="宋体"/>
                <w:color w:val="auto"/>
                <w:sz w:val="21"/>
                <w:szCs w:val="22"/>
                <w:highlight w:val="none"/>
                <w:lang w:eastAsia="zh-CN"/>
              </w:rPr>
              <w:t>），按照排列顺序从首个业绩开始评审至对应数量（2个），超出部分不进行评审。对应数量（2个</w:t>
            </w:r>
            <w:bookmarkStart w:id="719" w:name="_GoBack"/>
            <w:bookmarkEnd w:id="719"/>
            <w:r>
              <w:rPr>
                <w:rFonts w:hint="eastAsia" w:ascii="宋体" w:hAnsi="宋体" w:cs="宋体"/>
                <w:color w:val="auto"/>
                <w:sz w:val="21"/>
                <w:szCs w:val="22"/>
                <w:highlight w:val="none"/>
                <w:lang w:eastAsia="zh-CN"/>
              </w:rPr>
              <w:t>）内业绩不符合磋商文件要求不得分的，不再补充评审超出部分业绩。如：提供</w:t>
            </w:r>
            <w:r>
              <w:rPr>
                <w:rFonts w:hint="eastAsia" w:ascii="宋体" w:hAnsi="宋体" w:cs="宋体"/>
                <w:color w:val="auto"/>
                <w:sz w:val="21"/>
                <w:szCs w:val="22"/>
                <w:highlight w:val="none"/>
                <w:lang w:val="en-US" w:eastAsia="zh-CN"/>
              </w:rPr>
              <w:t>2</w:t>
            </w:r>
            <w:r>
              <w:rPr>
                <w:rFonts w:hint="eastAsia" w:ascii="宋体" w:hAnsi="宋体" w:cs="宋体"/>
                <w:color w:val="auto"/>
                <w:sz w:val="21"/>
                <w:szCs w:val="22"/>
                <w:highlight w:val="none"/>
                <w:lang w:eastAsia="zh-CN"/>
              </w:rPr>
              <w:t>个业绩即得满分的，按照响应文件排序评审第一、</w:t>
            </w:r>
            <w:r>
              <w:rPr>
                <w:rFonts w:hint="eastAsia" w:ascii="宋体" w:hAnsi="宋体" w:cs="宋体"/>
                <w:color w:val="auto"/>
                <w:sz w:val="21"/>
                <w:szCs w:val="22"/>
                <w:highlight w:val="none"/>
                <w:lang w:val="en-US" w:eastAsia="zh-CN"/>
              </w:rPr>
              <w:t>二</w:t>
            </w:r>
            <w:r>
              <w:rPr>
                <w:rFonts w:hint="eastAsia" w:ascii="宋体" w:hAnsi="宋体" w:cs="宋体"/>
                <w:color w:val="auto"/>
                <w:sz w:val="21"/>
                <w:szCs w:val="22"/>
                <w:highlight w:val="none"/>
                <w:lang w:eastAsia="zh-CN"/>
              </w:rPr>
              <w:t>项业绩，其余超出部分不再评审。</w:t>
            </w:r>
          </w:p>
        </w:tc>
        <w:tc>
          <w:tcPr>
            <w:tcW w:w="777" w:type="pct"/>
            <w:tcBorders>
              <w:top w:val="single" w:color="auto" w:sz="4" w:space="0"/>
              <w:left w:val="single" w:color="auto" w:sz="4" w:space="0"/>
              <w:bottom w:val="single" w:color="auto" w:sz="4" w:space="0"/>
              <w:right w:val="single" w:color="auto" w:sz="4" w:space="0"/>
            </w:tcBorders>
            <w:vAlign w:val="center"/>
          </w:tcPr>
          <w:p w14:paraId="38B1214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分</w:t>
            </w:r>
          </w:p>
        </w:tc>
      </w:tr>
      <w:tr w14:paraId="4DAD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tcBorders>
              <w:left w:val="single" w:color="auto" w:sz="4" w:space="0"/>
              <w:right w:val="single" w:color="auto" w:sz="4" w:space="0"/>
            </w:tcBorders>
            <w:vAlign w:val="center"/>
          </w:tcPr>
          <w:p w14:paraId="11BA9999">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5B44E0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40</w:t>
            </w:r>
            <w:r>
              <w:rPr>
                <w:rFonts w:hint="eastAsia" w:asciiTheme="minorEastAsia" w:hAnsiTheme="minorEastAsia" w:eastAsiaTheme="minorEastAsia"/>
                <w:color w:val="auto"/>
                <w:sz w:val="24"/>
                <w:highlight w:val="none"/>
              </w:rPr>
              <w:t>分）</w:t>
            </w: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00615FF4">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40</w:t>
            </w:r>
            <w:r>
              <w:rPr>
                <w:rFonts w:hint="eastAsia" w:asciiTheme="minorEastAsia" w:hAnsiTheme="minorEastAsia" w:eastAsiaTheme="minorEastAsia"/>
                <w:color w:val="auto"/>
                <w:sz w:val="24"/>
                <w:highlight w:val="none"/>
              </w:rPr>
              <w:t>分。其他供应商的价格分统一按照下列公式计算：</w:t>
            </w:r>
          </w:p>
          <w:p w14:paraId="25BEE02F">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40</w:t>
            </w:r>
            <w:r>
              <w:rPr>
                <w:rFonts w:hint="eastAsia" w:asciiTheme="minorEastAsia" w:hAnsiTheme="minorEastAsia" w:eastAsiaTheme="minorEastAsia"/>
                <w:color w:val="auto"/>
                <w:sz w:val="24"/>
                <w:highlight w:val="none"/>
              </w:rPr>
              <w:t>％×100</w:t>
            </w:r>
          </w:p>
        </w:tc>
      </w:tr>
    </w:tbl>
    <w:p w14:paraId="37ADDFC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D3116F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r>
        <w:rPr>
          <w:rFonts w:hint="eastAsia" w:asciiTheme="minorEastAsia" w:hAnsiTheme="minorEastAsia" w:eastAsiaTheme="minorEastAsia"/>
          <w:color w:val="auto"/>
          <w:sz w:val="24"/>
          <w:highlight w:val="none"/>
          <w:lang w:eastAsia="zh-CN"/>
        </w:rPr>
        <w:t>。</w:t>
      </w:r>
    </w:p>
    <w:p w14:paraId="03F70957">
      <w:pPr>
        <w:spacing w:line="360" w:lineRule="auto"/>
        <w:ind w:firstLine="435"/>
        <w:rPr>
          <w:rFonts w:hint="eastAsia" w:ascii="宋体" w:hAnsi="宋体" w:eastAsia="宋体" w:cs="Times New Roman"/>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三、无效响应条款</w:t>
      </w:r>
    </w:p>
    <w:p w14:paraId="59671F6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3.1响应文件有下列情形之一的,其响应文件拒收:</w:t>
      </w:r>
    </w:p>
    <w:p w14:paraId="3845958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(1)未在响应文件递交截止时间前通过网上招标投标系统递交有效电子响应文件的，系统不予接收，其将被拒绝。</w:t>
      </w:r>
    </w:p>
    <w:p w14:paraId="6C17D14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3687B91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3.2供应商有下列情形之一的,资格审查后其作无效响应处理：</w:t>
      </w:r>
    </w:p>
    <w:p w14:paraId="2286D83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（1）供应商为本项目提供采购代理服务的；</w:t>
      </w:r>
    </w:p>
    <w:p w14:paraId="4B078FA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（2）供应商与在本项目代理机构存在相互任职或工作的；</w:t>
      </w:r>
    </w:p>
    <w:p w14:paraId="3024EA4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（3）与采购人存在利害关系可能影响采购公正性的法人、其他组织或者个人；</w:t>
      </w:r>
    </w:p>
    <w:p w14:paraId="5964A4E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（4）竞争性谈判公告写明专门面向中小企业采购，供应商提供的货物非中小企业制造的；</w:t>
      </w:r>
    </w:p>
    <w:p w14:paraId="1856EDF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（5）要求供应商以联合体形式参加采购活动，供应商非联合体或者联合协议中中小企业合同金额未达到应当达到的比例；</w:t>
      </w:r>
    </w:p>
    <w:p w14:paraId="1F8C990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（6）要求获得采购合同的供应商向中小企业分包，供应商未提供分包意向协议或者分包意向协议中中小企业合同金额未达到应当达到的比例；</w:t>
      </w:r>
    </w:p>
    <w:p w14:paraId="187A873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（7）无法查看并检验电子响应文件中相关资料的；</w:t>
      </w:r>
    </w:p>
    <w:p w14:paraId="261AE39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（8）联合体参与未提交联合体协议的；</w:t>
      </w:r>
    </w:p>
    <w:p w14:paraId="1CBF62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（9）责令停产停业的；</w:t>
      </w:r>
    </w:p>
    <w:p w14:paraId="16039E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（10）暂停或者取消参与政府采购项目资格的；</w:t>
      </w:r>
    </w:p>
    <w:p w14:paraId="46CC8AB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（11）单位负责人为同一人或者存在直接控股、管理关系的不同单位的；</w:t>
      </w:r>
    </w:p>
    <w:p w14:paraId="7B1479D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（12）供应商基本资格条件和特定资格条件中有一项及以上不符合要求的；</w:t>
      </w:r>
    </w:p>
    <w:p w14:paraId="4D6D5B2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13）谈判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02F6A0D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（14）其它情形按无效响应处理，并经公共资源交易监督部门核准的；</w:t>
      </w:r>
    </w:p>
    <w:p w14:paraId="7FABEE4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（15）供应商响应MAC地址</w:t>
      </w:r>
      <w:r>
        <w:rPr>
          <w:rFonts w:hint="eastAsia" w:cs="宋体"/>
          <w:color w:val="auto"/>
          <w:kern w:val="0"/>
          <w:sz w:val="24"/>
          <w:szCs w:val="24"/>
          <w:highlight w:val="none"/>
          <w:lang w:val="en-US" w:eastAsia="zh-CN" w:bidi="ar"/>
        </w:rPr>
        <w:t>一致，</w:t>
      </w:r>
      <w:r>
        <w:rPr>
          <w:rFonts w:hint="eastAsia" w:ascii="宋体" w:hAnsi="宋体" w:eastAsia="宋体" w:cs="宋体"/>
          <w:color w:val="auto"/>
          <w:kern w:val="0"/>
          <w:sz w:val="24"/>
          <w:szCs w:val="24"/>
          <w:highlight w:val="none"/>
          <w:lang w:val="en-US" w:eastAsia="zh-CN" w:bidi="ar"/>
        </w:rPr>
        <w:t>由磋商小组否决其响应</w:t>
      </w:r>
      <w:r>
        <w:rPr>
          <w:rFonts w:hint="eastAsia" w:cs="宋体"/>
          <w:color w:val="auto"/>
          <w:kern w:val="0"/>
          <w:sz w:val="24"/>
          <w:szCs w:val="24"/>
          <w:highlight w:val="none"/>
          <w:lang w:val="en-US" w:eastAsia="zh-CN" w:bidi="ar"/>
        </w:rPr>
        <w:t>资格</w:t>
      </w:r>
      <w:r>
        <w:rPr>
          <w:rFonts w:hint="eastAsia" w:ascii="宋体" w:hAnsi="宋体" w:eastAsia="宋体" w:cs="宋体"/>
          <w:color w:val="auto"/>
          <w:kern w:val="0"/>
          <w:sz w:val="24"/>
          <w:szCs w:val="24"/>
          <w:highlight w:val="none"/>
          <w:lang w:val="en-US" w:eastAsia="zh-CN" w:bidi="ar"/>
        </w:rPr>
        <w:t>；</w:t>
      </w:r>
    </w:p>
    <w:p w14:paraId="090B811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（16）供应商单方面出现其他供应商材料的</w:t>
      </w:r>
      <w:r>
        <w:rPr>
          <w:rFonts w:hint="eastAsia" w:ascii="宋体" w:hAnsi="宋体" w:eastAsia="宋体" w:cs="宋体"/>
          <w:b w:val="0"/>
          <w:bCs/>
          <w:color w:val="auto"/>
          <w:kern w:val="2"/>
          <w:sz w:val="24"/>
          <w:szCs w:val="24"/>
          <w:highlight w:val="none"/>
          <w:lang w:val="en-US" w:eastAsia="zh-CN" w:bidi="ar"/>
        </w:rPr>
        <w:t>（组成联合体响应的除外）</w:t>
      </w:r>
      <w:r>
        <w:rPr>
          <w:rFonts w:hint="eastAsia" w:ascii="宋体" w:hAnsi="宋体" w:eastAsia="宋体" w:cs="宋体"/>
          <w:color w:val="auto"/>
          <w:kern w:val="0"/>
          <w:sz w:val="24"/>
          <w:szCs w:val="24"/>
          <w:highlight w:val="none"/>
          <w:lang w:val="en-US" w:eastAsia="zh-CN" w:bidi="ar"/>
        </w:rPr>
        <w:t>；</w:t>
      </w:r>
    </w:p>
    <w:p w14:paraId="74DDFB6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w:t>
      </w:r>
      <w:r>
        <w:rPr>
          <w:rFonts w:hint="eastAsia"/>
          <w:b w:val="0"/>
          <w:color w:val="auto"/>
          <w:sz w:val="24"/>
          <w:highlight w:val="none"/>
          <w:lang w:val="en-US" w:eastAsia="zh-CN"/>
        </w:rPr>
        <w:t>供应商联系人或联系电话相同的，由磋商小组否决其响应资格，并报告监管部门作不良行为处理和进一步调查；</w:t>
      </w:r>
    </w:p>
    <w:p w14:paraId="138FA3C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（18）竞争性</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公告未写明允许采购进口产品，供应商所投产品为进口产品的；</w:t>
      </w:r>
    </w:p>
    <w:p w14:paraId="2937F86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）磋商文件规定的其它无效情形。</w:t>
      </w:r>
    </w:p>
    <w:p w14:paraId="5AF49B5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3.3 供应商有下列情形之一的,符合性审查后其按无效响应处理：</w:t>
      </w:r>
    </w:p>
    <w:p w14:paraId="51DCC7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（1）响应文件签章不全，经磋商小组一致认定对响应内容有实质性影响并经公共资源交易监督部门核准的；</w:t>
      </w:r>
    </w:p>
    <w:p w14:paraId="0DDC93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（2）未按规定的格式填写导致实质性内容不全以及实质上不响应，或者关键字迹模糊、无法辨认；经公共资源交易监督部门核准的；</w:t>
      </w:r>
    </w:p>
    <w:p w14:paraId="15AE1A0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（3）同一供应商提交两个或以上不同的响应文件或者报价，但磋商文件规定提交备选方案的除外；</w:t>
      </w:r>
    </w:p>
    <w:p w14:paraId="287F057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（4）响应文件没有对磋商文件的实质性要求和条件作出响应；</w:t>
      </w:r>
    </w:p>
    <w:p w14:paraId="5F0CF64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（5）报价超出规定的最高限价或公布的采购预算的或供应商的报价各项单价高于磋商文件给定的单价最高限价；</w:t>
      </w:r>
    </w:p>
    <w:p w14:paraId="29FC50E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（6）不按磋商小组要求澄清、说明或补正的，或者磋商小组根据磋商文件的规定对响应文件的计算错误进行修正后，供应商不接受修正的报价的。</w:t>
      </w:r>
    </w:p>
    <w:p w14:paraId="5A34820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（7）其它情形，经磋商小组提出按无效响应处理，并经公共资源交易监督部门核准的；</w:t>
      </w:r>
    </w:p>
    <w:p w14:paraId="6D9AA3B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（8）响应文件含有采购人不能接受的附加条件的；</w:t>
      </w:r>
    </w:p>
    <w:p w14:paraId="75660A8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（9）磋商文件规定的其它无效响应情形。</w:t>
      </w:r>
    </w:p>
    <w:p w14:paraId="6F37D2E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3.4 供应商有下列情形之一的, 详细评审后其按无效响应处理：</w:t>
      </w:r>
    </w:p>
    <w:p w14:paraId="3EE63A4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（1）产品不符合必须强制执行的国家标准的；</w:t>
      </w:r>
    </w:p>
    <w:p w14:paraId="21FAB8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（2）供应商有串通、弄虚作假、行贿等违法行为；</w:t>
      </w:r>
    </w:p>
    <w:p w14:paraId="64FAA66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（3）响应文件含有违反国家法律、法规的内容，或附有采购人不能接受的条件的；</w:t>
      </w:r>
    </w:p>
    <w:p w14:paraId="13E4AD1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）拒不确认磋商小组评审修正的响应无效；</w:t>
      </w:r>
    </w:p>
    <w:p w14:paraId="283C09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）其它情形，经磋商小组提出按无效响应处理，并经公共资源交易监督部门核准的；</w:t>
      </w:r>
    </w:p>
    <w:p w14:paraId="27619A9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磋商文件</w:t>
      </w:r>
      <w:r>
        <w:rPr>
          <w:rFonts w:hint="eastAsia" w:ascii="宋体" w:hAnsi="宋体" w:eastAsia="宋体" w:cs="宋体"/>
          <w:color w:val="auto"/>
          <w:kern w:val="0"/>
          <w:sz w:val="24"/>
          <w:szCs w:val="24"/>
          <w:highlight w:val="none"/>
          <w:lang w:val="en-US" w:eastAsia="zh-CN" w:bidi="ar"/>
        </w:rPr>
        <w:t>规定的其它无效响应情形。</w:t>
      </w:r>
    </w:p>
    <w:p w14:paraId="276597EF">
      <w:pPr>
        <w:widowControl/>
        <w:jc w:val="left"/>
        <w:rPr>
          <w:rFonts w:asciiTheme="minorEastAsia" w:hAnsiTheme="minorEastAsia" w:eastAsiaTheme="minorEastAsia"/>
          <w:color w:val="auto"/>
          <w:sz w:val="24"/>
          <w:highlight w:val="none"/>
        </w:rPr>
      </w:pPr>
    </w:p>
    <w:p w14:paraId="662F48F4">
      <w:pPr>
        <w:rPr>
          <w:rFonts w:hint="eastAsia" w:asciiTheme="minorEastAsia" w:hAnsiTheme="minorEastAsia" w:eastAsiaTheme="minorEastAsia"/>
          <w:b/>
          <w:color w:val="auto"/>
          <w:sz w:val="28"/>
          <w:highlight w:val="none"/>
        </w:rPr>
      </w:pPr>
      <w:bookmarkStart w:id="33" w:name="_Toc31277"/>
      <w:r>
        <w:rPr>
          <w:rFonts w:hint="eastAsia" w:asciiTheme="minorEastAsia" w:hAnsiTheme="minorEastAsia" w:eastAsiaTheme="minorEastAsia"/>
          <w:b/>
          <w:color w:val="auto"/>
          <w:sz w:val="28"/>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3"/>
    </w:p>
    <w:p w14:paraId="49F3A8B4">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34" w:name="_Toc9907"/>
      <w:bookmarkStart w:id="35" w:name="_Toc28799376"/>
      <w:bookmarkStart w:id="36" w:name="_Toc130919120"/>
      <w:r>
        <w:rPr>
          <w:rFonts w:hint="eastAsia" w:cs="宋体"/>
          <w:b/>
          <w:bCs/>
          <w:color w:val="auto"/>
          <w:sz w:val="21"/>
          <w:szCs w:val="21"/>
          <w:highlight w:val="none"/>
        </w:rPr>
        <w:t>第一节  合同协议书</w:t>
      </w:r>
      <w:bookmarkEnd w:id="34"/>
      <w:bookmarkEnd w:id="35"/>
      <w:bookmarkEnd w:id="36"/>
    </w:p>
    <w:p w14:paraId="5E320625">
      <w:pPr>
        <w:spacing w:line="360" w:lineRule="auto"/>
        <w:rPr>
          <w:rFonts w:hint="default" w:eastAsia="宋体" w:cs="宋体"/>
          <w:b/>
          <w:color w:val="auto"/>
          <w:sz w:val="24"/>
          <w:szCs w:val="24"/>
          <w:highlight w:val="none"/>
          <w:u w:val="single"/>
          <w:lang w:val="en-US" w:eastAsia="zh-CN"/>
        </w:rPr>
      </w:pPr>
      <w:r>
        <w:rPr>
          <w:rFonts w:hint="eastAsia" w:cs="宋体"/>
          <w:b/>
          <w:color w:val="auto"/>
          <w:sz w:val="24"/>
          <w:szCs w:val="24"/>
          <w:highlight w:val="none"/>
        </w:rPr>
        <w:t>发包人（全称）：</w:t>
      </w:r>
      <w:r>
        <w:rPr>
          <w:rFonts w:hint="eastAsia" w:cs="宋体"/>
          <w:b/>
          <w:color w:val="auto"/>
          <w:sz w:val="24"/>
          <w:szCs w:val="24"/>
          <w:highlight w:val="none"/>
          <w:u w:val="single"/>
          <w:lang w:val="en-US" w:eastAsia="zh-CN"/>
        </w:rPr>
        <w:t>滁州市明湖建设管理服务中心</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lang w:val="en-US" w:eastAsia="zh-CN"/>
        </w:rPr>
        <w:t>明湖公园园路应急工程</w:t>
      </w:r>
      <w:r>
        <w:rPr>
          <w:rFonts w:hint="eastAsia" w:cs="宋体"/>
          <w:color w:val="auto"/>
          <w:sz w:val="21"/>
          <w:szCs w:val="21"/>
          <w:highlight w:val="none"/>
        </w:rPr>
        <w:t>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lang w:val="en-US" w:eastAsia="zh-CN"/>
        </w:rPr>
        <w:t>明湖公园园路应急工程</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lang w:val="en-US" w:eastAsia="zh-CN"/>
        </w:rPr>
        <w:t>滁州市内，采购人指定地点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bCs/>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lang w:val="en-US" w:eastAsia="zh-CN"/>
        </w:rPr>
        <w:t>财政资金</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w:t>
      </w:r>
      <w:r>
        <w:rPr>
          <w:rFonts w:hint="eastAsia" w:ascii="宋体" w:cs="宋体"/>
          <w:color w:val="auto"/>
          <w:sz w:val="21"/>
          <w:szCs w:val="21"/>
          <w:highlight w:val="none"/>
          <w:u w:val="single"/>
        </w:rPr>
        <w:t>以施工图纸及工程量清单内容为准</w:t>
      </w:r>
      <w:r>
        <w:rPr>
          <w:rFonts w:hint="eastAsia" w:cs="宋体"/>
          <w:color w:val="auto"/>
          <w:sz w:val="21"/>
          <w:szCs w:val="21"/>
          <w:highlight w:val="none"/>
          <w:u w:val="single"/>
        </w:rPr>
        <w:t xml:space="preserve"> </w:t>
      </w:r>
      <w:r>
        <w:rPr>
          <w:rFonts w:hint="eastAsia" w:cs="宋体"/>
          <w:bCs/>
          <w:color w:val="auto"/>
          <w:sz w:val="21"/>
          <w:szCs w:val="21"/>
          <w:highlight w:val="none"/>
        </w:rPr>
        <w:t>。</w:t>
      </w:r>
    </w:p>
    <w:p w14:paraId="2BA699E4">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0068FF6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32C3B2CC">
      <w:pPr>
        <w:snapToGrid w:val="0"/>
        <w:spacing w:line="360" w:lineRule="auto"/>
        <w:ind w:firstLine="407" w:firstLineChars="193"/>
        <w:rPr>
          <w:rFonts w:cs="宋体"/>
          <w:color w:val="auto"/>
          <w:sz w:val="21"/>
          <w:szCs w:val="21"/>
          <w:highlight w:val="none"/>
        </w:rPr>
      </w:pPr>
      <w:r>
        <w:rPr>
          <w:rFonts w:hint="eastAsia" w:ascii="宋体" w:hAnsi="宋体" w:cs="宋体"/>
          <w:b/>
          <w:bCs/>
          <w:color w:val="auto"/>
          <w:sz w:val="21"/>
          <w:szCs w:val="21"/>
          <w:highlight w:val="none"/>
          <w:u w:val="single"/>
        </w:rPr>
        <w:t>施工图纸和工程量清单载明的施工内容及施工过程中的变更调整内容（如施工图纸和工程量清单不一致，由</w:t>
      </w:r>
      <w:r>
        <w:rPr>
          <w:rFonts w:hint="eastAsia" w:ascii="宋体" w:hAnsi="宋体" w:cs="宋体"/>
          <w:b/>
          <w:bCs/>
          <w:color w:val="auto"/>
          <w:sz w:val="21"/>
          <w:szCs w:val="21"/>
          <w:highlight w:val="none"/>
          <w:u w:val="single"/>
          <w:lang w:eastAsia="zh-CN"/>
        </w:rPr>
        <w:t>采购人</w:t>
      </w:r>
      <w:r>
        <w:rPr>
          <w:rFonts w:hint="eastAsia" w:ascii="宋体" w:hAnsi="宋体" w:cs="宋体"/>
          <w:b/>
          <w:bCs/>
          <w:color w:val="auto"/>
          <w:sz w:val="21"/>
          <w:szCs w:val="21"/>
          <w:highlight w:val="none"/>
          <w:u w:val="single"/>
        </w:rPr>
        <w:t>负责解释</w:t>
      </w:r>
      <w:r>
        <w:rPr>
          <w:rFonts w:hint="eastAsia" w:ascii="宋体" w:hAnsi="宋体" w:cs="宋体"/>
          <w:color w:val="auto"/>
          <w:sz w:val="21"/>
          <w:szCs w:val="21"/>
          <w:highlight w:val="none"/>
          <w:u w:val="single"/>
        </w:rPr>
        <w:t>）</w:t>
      </w:r>
      <w:r>
        <w:rPr>
          <w:rFonts w:hint="eastAsia" w:cs="宋体"/>
          <w:color w:val="auto"/>
          <w:sz w:val="21"/>
          <w:szCs w:val="21"/>
          <w:highlight w:val="none"/>
          <w:u w:val="single"/>
        </w:rPr>
        <w:t></w:t>
      </w:r>
      <w:r>
        <w:rPr>
          <w:rFonts w:hint="eastAsia" w:cs="宋体"/>
          <w:color w:val="auto"/>
          <w:sz w:val="21"/>
          <w:szCs w:val="21"/>
          <w:highlight w:val="none"/>
        </w:rPr>
        <w:t>。</w:t>
      </w:r>
    </w:p>
    <w:p w14:paraId="53E3F618">
      <w:pPr>
        <w:snapToGrid w:val="0"/>
        <w:spacing w:line="360" w:lineRule="auto"/>
        <w:ind w:firstLine="422" w:firstLineChars="200"/>
        <w:rPr>
          <w:rFonts w:cs="宋体"/>
          <w:b/>
          <w:color w:val="auto"/>
          <w:sz w:val="21"/>
          <w:szCs w:val="21"/>
          <w:highlight w:val="none"/>
        </w:rPr>
      </w:pPr>
      <w:bookmarkStart w:id="37" w:name="_Toc351203482"/>
      <w:r>
        <w:rPr>
          <w:rFonts w:hint="eastAsia" w:cs="宋体"/>
          <w:b/>
          <w:color w:val="auto"/>
          <w:sz w:val="21"/>
          <w:szCs w:val="21"/>
          <w:highlight w:val="none"/>
        </w:rPr>
        <w:t>二、合同工期</w:t>
      </w:r>
      <w:bookmarkEnd w:id="37"/>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38" w:name="_Toc351203483"/>
      <w:r>
        <w:rPr>
          <w:rFonts w:hint="eastAsia" w:cs="宋体"/>
          <w:b/>
          <w:color w:val="auto"/>
          <w:sz w:val="21"/>
          <w:szCs w:val="21"/>
          <w:highlight w:val="none"/>
        </w:rPr>
        <w:t>三、质量标准</w:t>
      </w:r>
      <w:bookmarkEnd w:id="38"/>
    </w:p>
    <w:p w14:paraId="4FEA0B68">
      <w:pPr>
        <w:snapToGrid w:val="0"/>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整体工程必须达到国家工程施工质量验收合格标准。</w:t>
      </w:r>
    </w:p>
    <w:p w14:paraId="0C75C531">
      <w:pPr>
        <w:snapToGrid w:val="0"/>
        <w:spacing w:line="360" w:lineRule="auto"/>
        <w:ind w:firstLine="422" w:firstLineChars="200"/>
        <w:rPr>
          <w:rFonts w:cs="宋体"/>
          <w:b/>
          <w:color w:val="auto"/>
          <w:sz w:val="21"/>
          <w:szCs w:val="21"/>
          <w:highlight w:val="none"/>
        </w:rPr>
      </w:pPr>
      <w:bookmarkStart w:id="39" w:name="_Toc351203484"/>
      <w:r>
        <w:rPr>
          <w:rFonts w:hint="eastAsia" w:cs="宋体"/>
          <w:b/>
          <w:color w:val="auto"/>
          <w:sz w:val="21"/>
          <w:szCs w:val="21"/>
          <w:highlight w:val="none"/>
        </w:rPr>
        <w:t>四、签约合同价与合同价格形式</w:t>
      </w:r>
      <w:bookmarkEnd w:id="39"/>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5E0595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6A1C6D5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（1）安全文明施工费：</w:t>
      </w:r>
    </w:p>
    <w:p w14:paraId="097C8F65">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10434C5">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（2）材料和工程设备暂估价金额：</w:t>
      </w:r>
    </w:p>
    <w:p w14:paraId="274819E3">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157C4F6">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（3）专业工程暂估价金额：</w:t>
      </w:r>
    </w:p>
    <w:p w14:paraId="4BCBC09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1330170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（4）暂列金额：</w:t>
      </w:r>
    </w:p>
    <w:p w14:paraId="5E4F407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rPr>
        <w:t>。</w:t>
      </w:r>
    </w:p>
    <w:p w14:paraId="77D9B6F7">
      <w:pPr>
        <w:snapToGrid w:val="0"/>
        <w:spacing w:line="360" w:lineRule="auto"/>
        <w:ind w:firstLine="422" w:firstLineChars="200"/>
        <w:rPr>
          <w:rFonts w:cs="宋体"/>
          <w:b/>
          <w:color w:val="auto"/>
          <w:sz w:val="21"/>
          <w:szCs w:val="21"/>
          <w:highlight w:val="none"/>
        </w:rPr>
      </w:pPr>
      <w:bookmarkStart w:id="40" w:name="_Toc351203485"/>
      <w:r>
        <w:rPr>
          <w:rFonts w:hint="eastAsia" w:cs="宋体"/>
          <w:b/>
          <w:color w:val="auto"/>
          <w:sz w:val="21"/>
          <w:szCs w:val="21"/>
          <w:highlight w:val="none"/>
        </w:rPr>
        <w:t>五、</w:t>
      </w:r>
      <w:bookmarkEnd w:id="40"/>
      <w:r>
        <w:rPr>
          <w:rFonts w:hint="eastAsia" w:cs="宋体"/>
          <w:b/>
          <w:color w:val="auto"/>
          <w:sz w:val="21"/>
          <w:szCs w:val="21"/>
          <w:highlight w:val="none"/>
        </w:rPr>
        <w:t>项目经理</w:t>
      </w:r>
    </w:p>
    <w:p w14:paraId="2A709A0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2B30C429">
      <w:pPr>
        <w:snapToGrid w:val="0"/>
        <w:spacing w:line="360" w:lineRule="auto"/>
        <w:ind w:firstLine="422" w:firstLineChars="200"/>
        <w:rPr>
          <w:rFonts w:cs="宋体"/>
          <w:b/>
          <w:color w:val="auto"/>
          <w:sz w:val="21"/>
          <w:szCs w:val="21"/>
          <w:highlight w:val="none"/>
        </w:rPr>
      </w:pPr>
      <w:bookmarkStart w:id="41" w:name="_Toc351203486"/>
      <w:r>
        <w:rPr>
          <w:rFonts w:hint="eastAsia" w:cs="宋体"/>
          <w:b/>
          <w:color w:val="auto"/>
          <w:sz w:val="21"/>
          <w:szCs w:val="21"/>
          <w:highlight w:val="none"/>
        </w:rPr>
        <w:t>六、合同文件构成</w:t>
      </w:r>
      <w:bookmarkEnd w:id="41"/>
    </w:p>
    <w:p w14:paraId="38F8F55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6893480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63599AB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68DB866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1C29D6C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1D2C807D">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3286428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06A70FB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5CA2903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22" w:firstLineChars="200"/>
        <w:rPr>
          <w:rFonts w:cs="宋体"/>
          <w:b/>
          <w:color w:val="auto"/>
          <w:sz w:val="21"/>
          <w:szCs w:val="21"/>
          <w:highlight w:val="none"/>
        </w:rPr>
      </w:pPr>
      <w:bookmarkStart w:id="42" w:name="_Toc351203487"/>
      <w:r>
        <w:rPr>
          <w:rFonts w:hint="eastAsia" w:cs="宋体"/>
          <w:b/>
          <w:color w:val="auto"/>
          <w:sz w:val="21"/>
          <w:szCs w:val="21"/>
          <w:highlight w:val="none"/>
        </w:rPr>
        <w:t>七、承诺</w:t>
      </w:r>
      <w:bookmarkEnd w:id="42"/>
    </w:p>
    <w:p w14:paraId="3C0684C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2D79D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36089B8A">
      <w:pPr>
        <w:snapToGrid w:val="0"/>
        <w:spacing w:line="360" w:lineRule="auto"/>
        <w:ind w:firstLine="422" w:firstLineChars="200"/>
        <w:rPr>
          <w:rFonts w:cs="宋体"/>
          <w:b/>
          <w:color w:val="auto"/>
          <w:sz w:val="21"/>
          <w:szCs w:val="21"/>
          <w:highlight w:val="none"/>
        </w:rPr>
      </w:pPr>
      <w:bookmarkStart w:id="43" w:name="_Toc351203488"/>
      <w:r>
        <w:rPr>
          <w:rFonts w:hint="eastAsia" w:cs="宋体"/>
          <w:b/>
          <w:color w:val="auto"/>
          <w:sz w:val="21"/>
          <w:szCs w:val="21"/>
          <w:highlight w:val="none"/>
        </w:rPr>
        <w:t>八、词语含义</w:t>
      </w:r>
      <w:bookmarkEnd w:id="43"/>
    </w:p>
    <w:p w14:paraId="078D4EE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4BA85040">
      <w:pPr>
        <w:snapToGrid w:val="0"/>
        <w:spacing w:line="360" w:lineRule="auto"/>
        <w:ind w:firstLine="422" w:firstLineChars="200"/>
        <w:rPr>
          <w:rFonts w:cs="宋体"/>
          <w:b/>
          <w:color w:val="auto"/>
          <w:sz w:val="21"/>
          <w:szCs w:val="21"/>
          <w:highlight w:val="none"/>
        </w:rPr>
      </w:pPr>
      <w:bookmarkStart w:id="44" w:name="_Toc351203489"/>
      <w:r>
        <w:rPr>
          <w:rFonts w:hint="eastAsia" w:cs="宋体"/>
          <w:b/>
          <w:color w:val="auto"/>
          <w:sz w:val="21"/>
          <w:szCs w:val="21"/>
          <w:highlight w:val="none"/>
        </w:rPr>
        <w:t>九、签订时间</w:t>
      </w:r>
      <w:bookmarkEnd w:id="44"/>
    </w:p>
    <w:p w14:paraId="1BBA3B2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FA9ECD4">
      <w:pPr>
        <w:snapToGrid w:val="0"/>
        <w:spacing w:line="360" w:lineRule="auto"/>
        <w:ind w:firstLine="422" w:firstLineChars="200"/>
        <w:rPr>
          <w:rFonts w:cs="宋体"/>
          <w:b/>
          <w:color w:val="auto"/>
          <w:sz w:val="21"/>
          <w:szCs w:val="21"/>
          <w:highlight w:val="none"/>
        </w:rPr>
      </w:pPr>
      <w:bookmarkStart w:id="45" w:name="_Toc351203490"/>
      <w:r>
        <w:rPr>
          <w:rFonts w:hint="eastAsia" w:cs="宋体"/>
          <w:b/>
          <w:color w:val="auto"/>
          <w:sz w:val="21"/>
          <w:szCs w:val="21"/>
          <w:highlight w:val="none"/>
        </w:rPr>
        <w:t>十、签订地点</w:t>
      </w:r>
      <w:bookmarkEnd w:id="45"/>
    </w:p>
    <w:p w14:paraId="78484F9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滁州市明湖建设管理服务中心</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080D867E">
      <w:pPr>
        <w:snapToGrid w:val="0"/>
        <w:spacing w:line="360" w:lineRule="auto"/>
        <w:ind w:firstLine="422" w:firstLineChars="200"/>
        <w:rPr>
          <w:rFonts w:cs="宋体"/>
          <w:b/>
          <w:color w:val="auto"/>
          <w:sz w:val="21"/>
          <w:szCs w:val="21"/>
          <w:highlight w:val="none"/>
        </w:rPr>
      </w:pPr>
      <w:bookmarkStart w:id="46" w:name="_Toc351203491"/>
      <w:r>
        <w:rPr>
          <w:rFonts w:hint="eastAsia" w:cs="宋体"/>
          <w:b/>
          <w:color w:val="auto"/>
          <w:sz w:val="21"/>
          <w:szCs w:val="21"/>
          <w:highlight w:val="none"/>
        </w:rPr>
        <w:t>十一、补充协议</w:t>
      </w:r>
      <w:bookmarkEnd w:id="46"/>
    </w:p>
    <w:p w14:paraId="369C62EE">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1D1D0E9C">
      <w:pPr>
        <w:snapToGrid w:val="0"/>
        <w:spacing w:line="360" w:lineRule="auto"/>
        <w:ind w:firstLine="422" w:firstLineChars="200"/>
        <w:rPr>
          <w:rFonts w:cs="宋体"/>
          <w:b/>
          <w:color w:val="auto"/>
          <w:sz w:val="21"/>
          <w:szCs w:val="21"/>
          <w:highlight w:val="none"/>
        </w:rPr>
      </w:pPr>
      <w:bookmarkStart w:id="47" w:name="_Toc351203492"/>
      <w:r>
        <w:rPr>
          <w:rFonts w:hint="eastAsia" w:cs="宋体"/>
          <w:b/>
          <w:color w:val="auto"/>
          <w:sz w:val="21"/>
          <w:szCs w:val="21"/>
          <w:highlight w:val="none"/>
        </w:rPr>
        <w:t>十二、合同生效</w:t>
      </w:r>
      <w:bookmarkEnd w:id="47"/>
    </w:p>
    <w:p w14:paraId="703C1B8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ascii="宋体" w:cs="宋体"/>
          <w:color w:val="auto"/>
          <w:sz w:val="21"/>
          <w:szCs w:val="21"/>
          <w:highlight w:val="none"/>
          <w:u w:val="single"/>
        </w:rPr>
        <w:t>双方签字盖章后</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6AE152EB">
      <w:pPr>
        <w:snapToGrid w:val="0"/>
        <w:spacing w:line="360" w:lineRule="auto"/>
        <w:ind w:firstLine="422" w:firstLineChars="200"/>
        <w:rPr>
          <w:rFonts w:cs="宋体"/>
          <w:b/>
          <w:color w:val="auto"/>
          <w:sz w:val="21"/>
          <w:szCs w:val="21"/>
          <w:highlight w:val="none"/>
        </w:rPr>
      </w:pPr>
      <w:bookmarkStart w:id="48" w:name="_Toc351203493"/>
      <w:r>
        <w:rPr>
          <w:rFonts w:hint="eastAsia" w:cs="宋体"/>
          <w:b/>
          <w:color w:val="auto"/>
          <w:sz w:val="21"/>
          <w:szCs w:val="21"/>
          <w:highlight w:val="none"/>
        </w:rPr>
        <w:t>十三、合同份数</w:t>
      </w:r>
      <w:bookmarkEnd w:id="48"/>
    </w:p>
    <w:p w14:paraId="15ACB66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lang w:val="en-US" w:eastAsia="zh-CN"/>
        </w:rPr>
        <w:t>捌</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lang w:val="en-US" w:eastAsia="zh-CN"/>
        </w:rPr>
        <w:t>肆</w:t>
      </w:r>
      <w:r>
        <w:rPr>
          <w:rFonts w:hint="eastAsia" w:cs="宋体"/>
          <w:bCs/>
          <w:color w:val="auto"/>
          <w:sz w:val="21"/>
          <w:szCs w:val="21"/>
          <w:highlight w:val="none"/>
        </w:rPr>
        <w:t>份，承包人执</w:t>
      </w:r>
      <w:r>
        <w:rPr>
          <w:rFonts w:hint="eastAsia" w:cs="宋体"/>
          <w:bCs/>
          <w:color w:val="auto"/>
          <w:sz w:val="21"/>
          <w:szCs w:val="21"/>
          <w:highlight w:val="none"/>
          <w:u w:val="single"/>
          <w:lang w:val="en-US" w:eastAsia="zh-CN"/>
        </w:rPr>
        <w:t>肆</w:t>
      </w:r>
      <w:r>
        <w:rPr>
          <w:rFonts w:hint="eastAsia" w:cs="宋体"/>
          <w:bCs/>
          <w:color w:val="auto"/>
          <w:sz w:val="21"/>
          <w:szCs w:val="21"/>
          <w:highlight w:val="none"/>
        </w:rPr>
        <w:t>份。</w:t>
      </w:r>
    </w:p>
    <w:p w14:paraId="04D1839C">
      <w:pPr>
        <w:snapToGrid w:val="0"/>
        <w:spacing w:line="360" w:lineRule="auto"/>
        <w:rPr>
          <w:rFonts w:cs="宋体"/>
          <w:bCs/>
          <w:color w:val="auto"/>
          <w:sz w:val="21"/>
          <w:szCs w:val="21"/>
          <w:highlight w:val="none"/>
        </w:rPr>
      </w:pPr>
    </w:p>
    <w:p w14:paraId="54BD6FD6">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738047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92CDDF">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2FBE54">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A62067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6192EF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45639F9">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4F50E9E">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7183DE9">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213C51D">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E7DE15C">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455CFD0F">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2D646DB5">
      <w:pPr>
        <w:snapToGrid w:val="0"/>
        <w:spacing w:line="360" w:lineRule="auto"/>
        <w:rPr>
          <w:rFonts w:hint="eastAsia" w:cs="宋体"/>
          <w:color w:val="auto"/>
          <w:sz w:val="21"/>
          <w:szCs w:val="21"/>
          <w:highlight w:val="none"/>
          <w:u w:val="singl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snapToGrid w:val="0"/>
        <w:spacing w:line="360" w:lineRule="auto"/>
        <w:jc w:val="both"/>
        <w:rPr>
          <w:rFonts w:cs="宋体"/>
          <w:bCs/>
          <w:color w:val="auto"/>
          <w:sz w:val="21"/>
          <w:szCs w:val="21"/>
          <w:highlight w:val="none"/>
        </w:rPr>
      </w:pPr>
      <w:r>
        <w:rPr>
          <w:rFonts w:hint="eastAsia" w:ascii="宋体" w:hAnsi="宋体" w:eastAsia="宋体" w:cs="宋体"/>
          <w:color w:val="auto"/>
          <w:sz w:val="21"/>
          <w:szCs w:val="21"/>
          <w:highlight w:val="none"/>
          <w:lang w:val="en-US" w:eastAsia="zh-CN"/>
        </w:rPr>
        <w:t>签订日期：                                 签订日期：</w:t>
      </w:r>
      <w:r>
        <w:rPr>
          <w:rFonts w:hint="eastAsia" w:cs="宋体"/>
          <w:b/>
          <w:bCs/>
          <w:color w:val="auto"/>
          <w:sz w:val="21"/>
          <w:szCs w:val="21"/>
          <w:highlight w:val="none"/>
        </w:rPr>
        <w:br w:type="page"/>
      </w:r>
      <w:bookmarkStart w:id="49" w:name="_Toc130919121"/>
      <w:bookmarkStart w:id="50" w:name="_Toc30550"/>
      <w:bookmarkStart w:id="51" w:name="_Toc28799377"/>
      <w:r>
        <w:rPr>
          <w:rFonts w:hint="eastAsia" w:ascii="等线" w:hAnsi="等线" w:eastAsia="等线" w:cs="@仿宋_GB2312"/>
          <w:b/>
          <w:color w:val="auto"/>
          <w:kern w:val="2"/>
          <w:sz w:val="24"/>
          <w:highlight w:val="none"/>
        </w:rPr>
        <w:t>第二节  通用合同条款</w:t>
      </w:r>
      <w:bookmarkEnd w:id="49"/>
      <w:bookmarkEnd w:id="50"/>
      <w:bookmarkEnd w:id="51"/>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2" w:name="_Toc28799378"/>
      <w:bookmarkStart w:id="53" w:name="_Toc130919122"/>
      <w:bookmarkStart w:id="54" w:name="_Toc31931"/>
      <w:r>
        <w:rPr>
          <w:rFonts w:hint="eastAsia" w:ascii="等线" w:hAnsi="等线" w:eastAsia="等线" w:cs="@仿宋_GB2312"/>
          <w:b/>
          <w:color w:val="auto"/>
          <w:kern w:val="2"/>
          <w:sz w:val="24"/>
          <w:highlight w:val="none"/>
        </w:rPr>
        <w:t>第三节  专用合同条款</w:t>
      </w:r>
      <w:bookmarkEnd w:id="52"/>
      <w:bookmarkEnd w:id="53"/>
      <w:bookmarkEnd w:id="54"/>
    </w:p>
    <w:p w14:paraId="0971EF87">
      <w:pPr>
        <w:snapToGrid w:val="0"/>
        <w:spacing w:before="312" w:beforeLines="100" w:after="312" w:afterLines="100" w:line="360" w:lineRule="auto"/>
        <w:jc w:val="center"/>
        <w:outlineLvl w:val="2"/>
        <w:rPr>
          <w:rFonts w:cs="宋体"/>
          <w:color w:val="auto"/>
          <w:sz w:val="21"/>
          <w:szCs w:val="21"/>
          <w:highlight w:val="none"/>
        </w:rPr>
      </w:pPr>
      <w:bookmarkStart w:id="55" w:name="_Toc351203633"/>
      <w:r>
        <w:rPr>
          <w:rFonts w:hint="eastAsia" w:cs="宋体"/>
          <w:color w:val="auto"/>
          <w:sz w:val="21"/>
          <w:szCs w:val="21"/>
          <w:highlight w:val="none"/>
        </w:rPr>
        <w:t>专用合同条款数据表</w:t>
      </w:r>
    </w:p>
    <w:p w14:paraId="7A3B92A1">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5E9E63D">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F9112B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1012FD7F">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u w:val="single"/>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rPr>
              <w:t xml:space="preserve"> </w:t>
            </w:r>
            <w:r>
              <w:rPr>
                <w:rFonts w:hint="eastAsia" w:ascii="宋体" w:cs="宋体"/>
                <w:color w:val="auto"/>
                <w:sz w:val="20"/>
                <w:szCs w:val="21"/>
                <w:highlight w:val="none"/>
                <w:u w:val="single"/>
              </w:rPr>
              <w:t>财政资金，不需提供</w:t>
            </w:r>
            <w:r>
              <w:rPr>
                <w:rFonts w:hint="eastAsia" w:cs="宋体"/>
                <w:bCs/>
                <w:color w:val="auto"/>
                <w:sz w:val="21"/>
                <w:szCs w:val="21"/>
                <w:highlight w:val="none"/>
                <w:u w:val="single"/>
              </w:rPr>
              <w:t xml:space="preserve">  </w:t>
            </w:r>
          </w:p>
          <w:p w14:paraId="77C60AF3">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r>
              <w:rPr>
                <w:rFonts w:hint="eastAsia" w:ascii="宋体" w:cs="宋体"/>
                <w:color w:val="auto"/>
                <w:sz w:val="20"/>
                <w:szCs w:val="21"/>
                <w:highlight w:val="none"/>
                <w:u w:val="single"/>
              </w:rPr>
              <w:t>财政资金，不需提供</w:t>
            </w:r>
            <w:r>
              <w:rPr>
                <w:rFonts w:hint="eastAsia" w:cs="宋体"/>
                <w:bCs/>
                <w:color w:val="auto"/>
                <w:sz w:val="21"/>
                <w:szCs w:val="21"/>
                <w:highlight w:val="none"/>
                <w:u w:val="single"/>
              </w:rPr>
              <w:t xml:space="preserve"> </w:t>
            </w:r>
          </w:p>
          <w:p w14:paraId="03B7943F">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rFonts w:hint="eastAsia" w:ascii="宋体" w:cs="宋体"/>
                <w:color w:val="auto"/>
                <w:sz w:val="20"/>
                <w:szCs w:val="21"/>
                <w:highlight w:val="none"/>
                <w:u w:val="single"/>
              </w:rPr>
              <w:t>财政资金，不需提供</w:t>
            </w:r>
            <w:r>
              <w:rPr>
                <w:rFonts w:hint="eastAsia" w:cs="宋体"/>
                <w:bCs/>
                <w:color w:val="auto"/>
                <w:sz w:val="21"/>
                <w:szCs w:val="21"/>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2B9E80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475D6D37">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4A2022C">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36EFB139">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F991DB0">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77CE71F5">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9766E2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4541F85">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20</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5FE07B1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0DE36AE4">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是</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670FF49">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E6BD334">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2</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7541A5D">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履约保证金提交期限的要求：签订合同前。</w:t>
            </w:r>
          </w:p>
          <w:p w14:paraId="497622F6">
            <w:pPr>
              <w:snapToGrid w:val="0"/>
              <w:spacing w:line="360" w:lineRule="auto"/>
              <w:rPr>
                <w:rFonts w:cs="宋体"/>
                <w:bCs/>
                <w:color w:val="auto"/>
                <w:kern w:val="2"/>
                <w:sz w:val="21"/>
                <w:szCs w:val="21"/>
                <w:highlight w:val="non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 xml:space="preserve"> 履约保证金有效期满7日内  </w:t>
            </w:r>
            <w:r>
              <w:rPr>
                <w:rFonts w:hint="eastAsia" w:cs="宋体"/>
                <w:bCs/>
                <w:color w:val="auto"/>
                <w:sz w:val="21"/>
                <w:szCs w:val="21"/>
                <w:highlight w:val="none"/>
              </w:rPr>
              <w:t>。</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2"/>
              </w:numPr>
              <w:snapToGrid w:val="0"/>
              <w:spacing w:line="360" w:lineRule="auto"/>
              <w:jc w:val="center"/>
              <w:rPr>
                <w:rFonts w:cs="宋体"/>
                <w:bCs/>
                <w:color w:val="auto"/>
                <w:sz w:val="21"/>
                <w:szCs w:val="21"/>
                <w:highlight w:val="none"/>
              </w:rPr>
            </w:pPr>
          </w:p>
        </w:tc>
        <w:tc>
          <w:tcPr>
            <w:tcW w:w="1111" w:type="dxa"/>
            <w:vAlign w:val="center"/>
          </w:tcPr>
          <w:p w14:paraId="1BCF6ED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5C0F339D">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lang w:val="en-US" w:eastAsia="zh-CN"/>
              </w:rPr>
              <w:t>整体工程必须达到国家工程施工质量验收合格标准</w:t>
            </w:r>
            <w:r>
              <w:rPr>
                <w:rFonts w:hint="eastAsia" w:cs="宋体"/>
                <w:bCs/>
                <w:color w:val="auto"/>
                <w:sz w:val="21"/>
                <w:szCs w:val="21"/>
                <w:highlight w:val="none"/>
              </w:rPr>
              <w:t>。</w:t>
            </w:r>
          </w:p>
          <w:p w14:paraId="1D29CB07">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227072B">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42F846BA">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57D0AF9">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D37B22E">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90B6EA0">
            <w:pPr>
              <w:snapToGrid w:val="0"/>
              <w:spacing w:line="360" w:lineRule="auto"/>
              <w:rPr>
                <w:rFonts w:hint="eastAsia" w:eastAsia="宋体" w:cs="宋体"/>
                <w:bCs/>
                <w:color w:val="auto"/>
                <w:sz w:val="21"/>
                <w:szCs w:val="21"/>
                <w:highlight w:val="none"/>
                <w:lang w:val="en-US" w:eastAsia="zh-CN"/>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u w:val="none"/>
                <w:lang w:eastAsia="zh-CN"/>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0049A58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6A47EE31">
            <w:pPr>
              <w:keepNext w:val="0"/>
              <w:keepLines w:val="0"/>
              <w:suppressLineNumbers w:val="0"/>
              <w:snapToGrid w:val="0"/>
              <w:spacing w:before="0" w:beforeAutospacing="0" w:after="0" w:afterAutospacing="0" w:line="360" w:lineRule="auto"/>
              <w:ind w:left="0" w:right="0"/>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因承包人原因造成工期延误，逾期竣工违约金的计算方法为：</w:t>
            </w:r>
            <w:r>
              <w:rPr>
                <w:rFonts w:hint="eastAsia"/>
                <w:color w:val="auto"/>
                <w:sz w:val="21"/>
                <w:szCs w:val="21"/>
                <w:highlight w:val="none"/>
                <w:u w:val="single"/>
                <w:shd w:val="clear" w:color="auto" w:fill="auto"/>
                <w:lang w:val="en-US" w:eastAsia="zh-CN"/>
              </w:rPr>
              <w:t>每推迟一天，按合同价款（扣除暂估价和暂列金）万分之二处以违约金；</w:t>
            </w:r>
            <w:r>
              <w:rPr>
                <w:rFonts w:hint="eastAsia" w:cs="宋体"/>
                <w:color w:val="auto"/>
                <w:sz w:val="21"/>
                <w:szCs w:val="21"/>
                <w:highlight w:val="none"/>
                <w:u w:val="single"/>
                <w:lang w:val="en-US" w:eastAsia="zh-CN"/>
              </w:rPr>
              <w:t>月工程量未完成的当期不得请款，当月未完成的工程量纳入下月一并完成，完不成的仍不予请款，依此类推</w:t>
            </w:r>
            <w:r>
              <w:rPr>
                <w:rFonts w:hint="eastAsia" w:cs="宋体"/>
                <w:bCs/>
                <w:color w:val="auto"/>
                <w:kern w:val="2"/>
                <w:sz w:val="21"/>
                <w:szCs w:val="21"/>
                <w:highlight w:val="none"/>
              </w:rPr>
              <w:t>。</w:t>
            </w:r>
          </w:p>
          <w:p w14:paraId="12E39C25">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因承包人原因造成工期延误，逾期竣工违约金的上限：</w:t>
            </w:r>
            <w:r>
              <w:rPr>
                <w:rFonts w:hint="eastAsia" w:cs="宋体"/>
                <w:bCs/>
                <w:color w:val="auto"/>
                <w:kern w:val="2"/>
                <w:sz w:val="21"/>
                <w:szCs w:val="21"/>
                <w:highlight w:val="none"/>
                <w:u w:val="single"/>
                <w:lang w:val="en-US" w:eastAsia="zh-CN"/>
              </w:rPr>
              <w:t>合同价的2%</w:t>
            </w:r>
            <w:r>
              <w:rPr>
                <w:rFonts w:hint="eastAsia" w:cs="宋体"/>
                <w:bCs/>
                <w:color w:val="auto"/>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2E6D1CF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21553DC4">
            <w:pPr>
              <w:snapToGrid w:val="0"/>
              <w:spacing w:line="360" w:lineRule="auto"/>
              <w:rPr>
                <w:rFonts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D7B3E1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1B3A1E9E">
            <w:pPr>
              <w:pStyle w:val="33"/>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u w:val="single"/>
                <w:lang w:val="en-US" w:eastAsia="zh-CN"/>
              </w:rPr>
              <w:t>不调整</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2"/>
              </w:numPr>
              <w:snapToGrid w:val="0"/>
              <w:spacing w:line="360" w:lineRule="auto"/>
              <w:jc w:val="center"/>
              <w:rPr>
                <w:rFonts w:cs="宋体"/>
                <w:bCs/>
                <w:color w:val="auto"/>
                <w:sz w:val="21"/>
                <w:szCs w:val="21"/>
                <w:highlight w:val="none"/>
              </w:rPr>
            </w:pPr>
          </w:p>
        </w:tc>
        <w:tc>
          <w:tcPr>
            <w:tcW w:w="1111" w:type="dxa"/>
            <w:vAlign w:val="center"/>
          </w:tcPr>
          <w:p w14:paraId="06DF458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392C4112">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合同价格形式</w:t>
            </w:r>
          </w:p>
          <w:p w14:paraId="4AF89F39">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(1)单价合同。</w:t>
            </w:r>
          </w:p>
          <w:p w14:paraId="3DC9B560">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综合单价包含的风险范围：</w:t>
            </w:r>
            <w:r>
              <w:rPr>
                <w:rFonts w:hint="eastAsia" w:cs="宋体"/>
                <w:color w:val="auto"/>
                <w:sz w:val="21"/>
                <w:szCs w:val="21"/>
                <w:highlight w:val="none"/>
                <w:u w:val="single"/>
                <w:lang w:val="en-US" w:eastAsia="zh-CN"/>
              </w:rPr>
              <w:t>各种因素引起的不属于本合同调价范围的市场材料价格、人工、机械使用费以及管理费、利润的变化等</w:t>
            </w:r>
            <w:r>
              <w:rPr>
                <w:rFonts w:hint="eastAsia" w:cs="宋体"/>
                <w:bCs/>
                <w:color w:val="auto"/>
                <w:sz w:val="21"/>
                <w:szCs w:val="21"/>
                <w:highlight w:val="none"/>
                <w:u w:val="single"/>
              </w:rPr>
              <w:t>。</w:t>
            </w:r>
          </w:p>
          <w:p w14:paraId="31619DC3">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不考虑</w:t>
            </w:r>
            <w:r>
              <w:rPr>
                <w:rFonts w:hint="eastAsia" w:cs="宋体"/>
                <w:bCs/>
                <w:color w:val="auto"/>
                <w:sz w:val="21"/>
                <w:szCs w:val="21"/>
                <w:highlight w:val="none"/>
              </w:rPr>
              <w:t>。</w:t>
            </w:r>
          </w:p>
          <w:p w14:paraId="6A1F3097">
            <w:pPr>
              <w:pStyle w:val="33"/>
              <w:keepNext w:val="0"/>
              <w:keepLines w:val="0"/>
              <w:suppressLineNumbers w:val="0"/>
              <w:tabs>
                <w:tab w:val="clear" w:pos="4153"/>
                <w:tab w:val="clear" w:pos="8306"/>
              </w:tabs>
              <w:spacing w:before="0" w:beforeAutospacing="0" w:after="0" w:afterAutospacing="0" w:line="360" w:lineRule="auto"/>
              <w:ind w:left="0" w:right="0"/>
              <w:rPr>
                <w:rFonts w:hint="eastAsia"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ascii="宋体" w:hAnsi="宋体" w:cs="宋体"/>
                <w:bCs/>
                <w:color w:val="auto"/>
                <w:sz w:val="21"/>
                <w:szCs w:val="21"/>
                <w:highlight w:val="none"/>
                <w:u w:val="single"/>
              </w:rPr>
              <w:t>结算价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合同价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工程变更造价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分部分项工程量清单工程量误差造价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政策性调整造价±措施项目调整造价－暂列金额</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1.09</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合理工程索赔</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F1092AF">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国家法律、法规、规章和政策发生变化及由政府定价或政府指导价管理的原材料等价格风险由发包人承担。</w:t>
            </w:r>
          </w:p>
          <w:p w14:paraId="11F87078">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(2)总价合同。</w:t>
            </w:r>
          </w:p>
          <w:p w14:paraId="1F0CFE83">
            <w:pPr>
              <w:pStyle w:val="33"/>
              <w:keepNext w:val="0"/>
              <w:keepLines w:val="0"/>
              <w:suppressLineNumbers w:val="0"/>
              <w:tabs>
                <w:tab w:val="clear" w:pos="4153"/>
                <w:tab w:val="clear" w:pos="8306"/>
              </w:tabs>
              <w:spacing w:before="0" w:beforeAutospacing="0" w:after="0" w:afterAutospacing="0" w:line="360" w:lineRule="auto"/>
              <w:ind w:left="0" w:right="0"/>
              <w:rPr>
                <w:rFonts w:hint="eastAsia" w:cs="宋体"/>
                <w:bCs/>
                <w:color w:val="auto"/>
                <w:sz w:val="21"/>
                <w:szCs w:val="21"/>
                <w:highlight w:val="none"/>
                <w:u w:val="single"/>
                <w:lang w:val="en-US" w:eastAsia="zh-CN"/>
              </w:rPr>
            </w:pPr>
            <w:r>
              <w:rPr>
                <w:rFonts w:hint="eastAsia" w:cs="宋体"/>
                <w:bCs/>
                <w:color w:val="auto"/>
                <w:sz w:val="21"/>
                <w:szCs w:val="21"/>
                <w:highlight w:val="none"/>
              </w:rPr>
              <w:t>总价包含的风险范围：</w:t>
            </w:r>
            <w:r>
              <w:rPr>
                <w:rFonts w:hint="eastAsia" w:cs="宋体"/>
                <w:bCs/>
                <w:color w:val="auto"/>
                <w:sz w:val="21"/>
                <w:szCs w:val="21"/>
                <w:highlight w:val="none"/>
                <w:u w:val="single"/>
                <w:lang w:val="en-US" w:eastAsia="zh-CN"/>
              </w:rPr>
              <w:t>/。</w:t>
            </w:r>
          </w:p>
          <w:p w14:paraId="4C07C789">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不考虑 </w:t>
            </w:r>
            <w:r>
              <w:rPr>
                <w:rFonts w:hint="eastAsia" w:cs="宋体"/>
                <w:bCs/>
                <w:color w:val="auto"/>
                <w:sz w:val="21"/>
                <w:szCs w:val="21"/>
                <w:highlight w:val="none"/>
              </w:rPr>
              <w:t>。</w:t>
            </w:r>
          </w:p>
          <w:p w14:paraId="1B7E0379">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F6AFF3D">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7958559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596FF81B">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预付款的支付</w:t>
            </w:r>
          </w:p>
          <w:p w14:paraId="7C547DFF">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预付款支付比例或金额：</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40% </w:t>
            </w:r>
            <w:r>
              <w:rPr>
                <w:rFonts w:hint="eastAsia" w:cs="宋体"/>
                <w:bCs/>
                <w:color w:val="auto"/>
                <w:sz w:val="21"/>
                <w:szCs w:val="21"/>
                <w:highlight w:val="none"/>
                <w:u w:val="single"/>
              </w:rPr>
              <w:t xml:space="preserve"> </w:t>
            </w:r>
          </w:p>
          <w:p w14:paraId="74C9B043">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lang w:val="en-US"/>
              </w:rPr>
            </w:pPr>
            <w:r>
              <w:rPr>
                <w:rFonts w:hint="eastAsia" w:cs="宋体"/>
                <w:bCs/>
                <w:color w:val="auto"/>
                <w:sz w:val="21"/>
                <w:szCs w:val="21"/>
                <w:highlight w:val="none"/>
              </w:rPr>
              <w:t>预付款支付期限：</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合同签订具备实施条件后支付合同价的40%预付款 </w:t>
            </w:r>
          </w:p>
          <w:p w14:paraId="50C85867">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预付款扣回的方式：</w:t>
            </w:r>
            <w:r>
              <w:rPr>
                <w:rFonts w:hint="eastAsia" w:cs="宋体"/>
                <w:bCs/>
                <w:color w:val="auto"/>
                <w:sz w:val="21"/>
                <w:szCs w:val="21"/>
                <w:highlight w:val="none"/>
                <w:u w:val="single"/>
                <w:lang w:val="en-US" w:eastAsia="zh-CN"/>
              </w:rPr>
              <w:t>付款时扣除</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C27AF3A">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31625DDD">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32DF92E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预付款支付前</w:t>
            </w:r>
            <w:r>
              <w:rPr>
                <w:rFonts w:hint="eastAsia" w:cs="宋体"/>
                <w:bCs/>
                <w:color w:val="auto"/>
                <w:sz w:val="21"/>
                <w:szCs w:val="21"/>
                <w:highlight w:val="none"/>
                <w:u w:val="single"/>
              </w:rPr>
              <w:t xml:space="preserve"> </w:t>
            </w:r>
          </w:p>
          <w:p w14:paraId="1DF866BA">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预付款担保的形式为：</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保函（见索即付）</w:t>
            </w:r>
            <w:r>
              <w:rPr>
                <w:rFonts w:hint="eastAsia" w:cs="宋体"/>
                <w:bCs/>
                <w:color w:val="auto"/>
                <w:sz w:val="21"/>
                <w:szCs w:val="21"/>
                <w:highlight w:val="none"/>
                <w:u w:val="single"/>
              </w:rPr>
              <w:t xml:space="preserve">  </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2BB10B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4FA26CCC">
            <w:pPr>
              <w:adjustRightInd w:val="0"/>
              <w:snapToGrid w:val="0"/>
              <w:spacing w:line="360" w:lineRule="auto"/>
              <w:rPr>
                <w:rFonts w:hint="eastAsia" w:cs="宋体"/>
                <w:bCs/>
                <w:color w:val="auto"/>
                <w:sz w:val="21"/>
                <w:szCs w:val="21"/>
                <w:highlight w:val="none"/>
              </w:rPr>
            </w:pPr>
            <w:r>
              <w:rPr>
                <w:rFonts w:hint="eastAsia" w:cs="宋体"/>
                <w:bCs/>
                <w:color w:val="auto"/>
                <w:sz w:val="21"/>
                <w:szCs w:val="21"/>
                <w:highlight w:val="none"/>
              </w:rPr>
              <w:t>付款周期</w:t>
            </w:r>
          </w:p>
          <w:p w14:paraId="45C9B61D">
            <w:pPr>
              <w:adjustRightInd w:val="0"/>
              <w:snapToGrid w:val="0"/>
              <w:spacing w:line="360" w:lineRule="auto"/>
              <w:rPr>
                <w:rFonts w:hint="eastAsia" w:cs="宋体"/>
                <w:bCs/>
                <w:color w:val="auto"/>
                <w:sz w:val="21"/>
                <w:szCs w:val="21"/>
                <w:highlight w:val="none"/>
                <w:u w:val="single"/>
                <w:lang w:val="en-US" w:eastAsia="zh-CN"/>
              </w:rPr>
            </w:pPr>
            <w:r>
              <w:rPr>
                <w:rFonts w:hint="eastAsia" w:cs="宋体"/>
                <w:bCs/>
                <w:color w:val="auto"/>
                <w:sz w:val="21"/>
                <w:szCs w:val="21"/>
                <w:highlight w:val="none"/>
              </w:rPr>
              <w:t>关于付款周期的约定：</w:t>
            </w:r>
            <w:r>
              <w:rPr>
                <w:rFonts w:hint="eastAsia" w:cs="宋体"/>
                <w:b/>
                <w:bCs w:val="0"/>
                <w:color w:val="auto"/>
                <w:sz w:val="21"/>
                <w:szCs w:val="21"/>
                <w:highlight w:val="none"/>
                <w:u w:val="single"/>
                <w:lang w:val="en-US" w:eastAsia="zh-CN"/>
              </w:rPr>
              <w:t>合同签订具备实施条件后支付合同价的40%预付款（预付款支付前，中标人须提供同等金额预付款等额保函（见索即付））；按已完成进度计划合格工程量的85%支付进度款；工程完工后付至合格工程量价款的90%；竣工验收合格取得验收报告后，付至合格工程量价款的95%；完成竣工结算审计后付至结算总造价的98%，剩余2%作为工程质量保证金。质量保证金支持保函（银行保函、担保机构担保、保证保险）使用。采用保函方式的不再从工程进度款中扣留质量保证金，保函有效期须与工程缺陷责任期截止时间保持一致</w:t>
            </w:r>
            <w:r>
              <w:rPr>
                <w:rFonts w:hint="eastAsia" w:cs="宋体"/>
                <w:bCs/>
                <w:color w:val="auto"/>
                <w:sz w:val="21"/>
                <w:szCs w:val="21"/>
                <w:highlight w:val="none"/>
                <w:u w:val="single"/>
                <w:lang w:eastAsia="zh-CN"/>
              </w:rPr>
              <w:t>。</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6A9BDD6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60DAD093">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 xml:space="preserve">  </w:t>
            </w:r>
            <w:r>
              <w:rPr>
                <w:rFonts w:hint="eastAsia" w:ascii="宋体" w:hAnsi="宋体" w:cs="宋体"/>
                <w:b/>
                <w:bCs/>
                <w:color w:val="auto"/>
                <w:sz w:val="21"/>
                <w:szCs w:val="21"/>
                <w:highlight w:val="none"/>
                <w:u w:val="single"/>
              </w:rPr>
              <w:t>两年，从验收合格之日起计算</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339900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550CAAA9">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质量保证金可采用以下任意一种方式：</w:t>
            </w:r>
          </w:p>
          <w:p w14:paraId="06CD5EB2">
            <w:pPr>
              <w:adjustRightInd w:val="0"/>
              <w:snapToGrid w:val="0"/>
              <w:spacing w:line="360" w:lineRule="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p>
          <w:p w14:paraId="5F81EFF8">
            <w:pPr>
              <w:adjustRightInd w:val="0"/>
              <w:snapToGrid w:val="0"/>
              <w:spacing w:line="360" w:lineRule="auto"/>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p>
          <w:p w14:paraId="586FCD85">
            <w:pPr>
              <w:adjustRightInd w:val="0"/>
              <w:snapToGrid w:val="0"/>
              <w:spacing w:line="360" w:lineRule="auto"/>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lang w:val="en-US" w:eastAsia="zh-CN"/>
              </w:rPr>
              <w:t>详见工程款</w:t>
            </w:r>
            <w:r>
              <w:rPr>
                <w:rFonts w:hint="eastAsia" w:ascii="宋体" w:cs="宋体"/>
                <w:color w:val="auto"/>
                <w:kern w:val="0"/>
                <w:sz w:val="21"/>
                <w:szCs w:val="21"/>
                <w:highlight w:val="none"/>
                <w:u w:val="single"/>
                <w:shd w:val="clear" w:color="auto" w:fill="auto"/>
              </w:rPr>
              <w:t>支付方式</w:t>
            </w:r>
            <w:r>
              <w:rPr>
                <w:rFonts w:hint="eastAsia" w:cs="宋体"/>
                <w:color w:val="auto"/>
                <w:sz w:val="21"/>
                <w:szCs w:val="21"/>
                <w:highlight w:val="none"/>
                <w:u w:val="single"/>
              </w:rPr>
              <w:t>。</w:t>
            </w:r>
          </w:p>
          <w:p w14:paraId="5A880F90">
            <w:pPr>
              <w:pStyle w:val="4"/>
              <w:snapToGrid w:val="0"/>
              <w:spacing w:line="360" w:lineRule="auto"/>
              <w:rPr>
                <w:rFonts w:cs="宋体"/>
                <w:bCs w:val="0"/>
                <w:color w:val="auto"/>
                <w:kern w:val="2"/>
                <w:sz w:val="21"/>
                <w:szCs w:val="21"/>
                <w:highlight w:val="none"/>
              </w:rPr>
            </w:pPr>
            <w:r>
              <w:rPr>
                <w:rFonts w:hint="eastAsia" w:cs="宋体"/>
                <w:bCs w:val="0"/>
                <w:color w:val="auto"/>
                <w:sz w:val="21"/>
                <w:szCs w:val="21"/>
                <w:highlight w:val="none"/>
              </w:rPr>
              <w:t>注：以现金形式提交质量保证金的（含从工程款中以扣留方式提交的），同时退还银行同期活期存款利息。</w:t>
            </w:r>
          </w:p>
        </w:tc>
      </w:tr>
    </w:tbl>
    <w:p w14:paraId="37F7689A">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56" w:name="_Toc292559361"/>
      <w:bookmarkStart w:id="57" w:name="_Toc296347155"/>
      <w:bookmarkStart w:id="58" w:name="_Toc297048342"/>
      <w:bookmarkStart w:id="59" w:name="_Toc296944495"/>
      <w:bookmarkStart w:id="60" w:name="_Toc296891196"/>
      <w:bookmarkStart w:id="61" w:name="_Toc292559866"/>
      <w:bookmarkStart w:id="62" w:name="_Toc296346657"/>
      <w:bookmarkStart w:id="63" w:name="_Toc297120456"/>
      <w:bookmarkStart w:id="64" w:name="_Toc296503156"/>
      <w:bookmarkStart w:id="65" w:name="_Toc296890984"/>
      <w:r>
        <w:rPr>
          <w:rFonts w:hint="eastAsia" w:cs="宋体"/>
          <w:color w:val="auto"/>
          <w:sz w:val="21"/>
          <w:szCs w:val="21"/>
          <w:highlight w:val="none"/>
        </w:rPr>
        <w:t>. 一般约定</w:t>
      </w:r>
    </w:p>
    <w:bookmarkEnd w:id="56"/>
    <w:bookmarkEnd w:id="57"/>
    <w:bookmarkEnd w:id="58"/>
    <w:bookmarkEnd w:id="59"/>
    <w:bookmarkEnd w:id="60"/>
    <w:bookmarkEnd w:id="61"/>
    <w:bookmarkEnd w:id="62"/>
    <w:bookmarkEnd w:id="63"/>
    <w:bookmarkEnd w:id="64"/>
    <w:bookmarkEnd w:id="65"/>
    <w:p w14:paraId="51BB6936">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1.1 词语定义与解释</w:t>
      </w:r>
    </w:p>
    <w:p w14:paraId="0CC7848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1.1.1 合同</w:t>
      </w:r>
    </w:p>
    <w:p w14:paraId="67BCFF1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本项目</w:t>
      </w:r>
      <w:r>
        <w:rPr>
          <w:rFonts w:hint="eastAsia" w:cs="宋体"/>
          <w:color w:val="auto"/>
          <w:sz w:val="21"/>
          <w:szCs w:val="21"/>
          <w:highlight w:val="none"/>
          <w:u w:val="single"/>
          <w:lang w:val="en-US" w:eastAsia="zh-CN"/>
        </w:rPr>
        <w:t>磋商</w:t>
      </w:r>
      <w:r>
        <w:rPr>
          <w:rFonts w:hint="eastAsia" w:ascii="宋体" w:hAnsi="宋体" w:eastAsia="宋体" w:cs="宋体"/>
          <w:color w:val="auto"/>
          <w:sz w:val="21"/>
          <w:szCs w:val="21"/>
          <w:highlight w:val="none"/>
          <w:u w:val="single"/>
        </w:rPr>
        <w:t>文件、在合同订立及履行过程中形成的与合同有关的文件均构成合同文件组成部分</w:t>
      </w:r>
      <w:r>
        <w:rPr>
          <w:rFonts w:hint="eastAsia" w:cs="宋体"/>
          <w:color w:val="auto"/>
          <w:sz w:val="21"/>
          <w:szCs w:val="21"/>
          <w:highlight w:val="none"/>
          <w:u w:val="single"/>
          <w:lang w:eastAsia="zh-CN"/>
        </w:rPr>
        <w:t>。</w:t>
      </w:r>
      <w:r>
        <w:rPr>
          <w:rFonts w:hint="eastAsia" w:cs="宋体"/>
          <w:color w:val="auto"/>
          <w:sz w:val="21"/>
          <w:szCs w:val="21"/>
          <w:highlight w:val="none"/>
          <w:u w:val="single"/>
        </w:rPr>
        <w:t></w:t>
      </w:r>
    </w:p>
    <w:p w14:paraId="7331E02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1.1.2 合同当事人及其他相关方</w:t>
      </w:r>
    </w:p>
    <w:p w14:paraId="5140E64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1.1.2.4 监理人：</w:t>
      </w:r>
    </w:p>
    <w:p w14:paraId="3390DE7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ADE3A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87C63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A223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F5A7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ED44C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1.1.2.5 设计人：</w:t>
      </w:r>
    </w:p>
    <w:p w14:paraId="6D6C353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w:t>
      </w:r>
      <w:r>
        <w:rPr>
          <w:rFonts w:hint="eastAsia"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rPr>
        <w:t>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E7829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w:t>
      </w:r>
      <w:r>
        <w:rPr>
          <w:rFonts w:hint="eastAsia"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rPr>
        <w:t>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0F02D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w:t>
      </w:r>
      <w:r>
        <w:rPr>
          <w:rFonts w:hint="eastAsia"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rPr>
        <w:t>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4F7D8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详见</w:t>
      </w:r>
      <w:r>
        <w:rPr>
          <w:rFonts w:hint="eastAsia"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rPr>
        <w:t>合同</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w:t>
      </w:r>
      <w:r>
        <w:rPr>
          <w:rFonts w:hint="eastAsia" w:cs="宋体"/>
          <w:color w:val="auto"/>
          <w:sz w:val="21"/>
          <w:szCs w:val="21"/>
          <w:highlight w:val="none"/>
        </w:rPr>
        <w:t>；</w:t>
      </w:r>
    </w:p>
    <w:p w14:paraId="389EDE8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w:t>
      </w:r>
      <w:r>
        <w:rPr>
          <w:rFonts w:hint="eastAsia"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rPr>
        <w:t>合同</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w:t>
      </w:r>
    </w:p>
    <w:p w14:paraId="262D345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 工程和设备</w:t>
      </w:r>
    </w:p>
    <w:p w14:paraId="6C99020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见施工图纸并现场确定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DFD24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见施工图纸</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A5278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现场确定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11B266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 xml:space="preserve">1.3 法律 </w:t>
      </w:r>
    </w:p>
    <w:p w14:paraId="56E9760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457C2DC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1.4 标准和规范</w:t>
      </w:r>
    </w:p>
    <w:p w14:paraId="0FC25CF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中华人民共和国住房和城乡建设部等部门及省、市发布的有关文件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8DF97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承包人自备国内现行适用的标准、规范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15A6D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7030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084B0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按现行规范执行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4F683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634A820A">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ascii="宋体" w:cs="宋体"/>
          <w:color w:val="auto"/>
          <w:sz w:val="21"/>
          <w:szCs w:val="21"/>
          <w:highlight w:val="none"/>
          <w:u w:val="single"/>
        </w:rPr>
        <w:t>（1）合同协议书；（2）</w:t>
      </w:r>
      <w:r>
        <w:rPr>
          <w:rFonts w:hint="eastAsia" w:ascii="宋体" w:cs="宋体"/>
          <w:color w:val="auto"/>
          <w:sz w:val="21"/>
          <w:szCs w:val="21"/>
          <w:highlight w:val="none"/>
          <w:u w:val="single"/>
          <w:lang w:val="en-US" w:eastAsia="zh-CN"/>
        </w:rPr>
        <w:t>成交</w:t>
      </w:r>
      <w:r>
        <w:rPr>
          <w:rFonts w:hint="eastAsia" w:ascii="宋体" w:cs="宋体"/>
          <w:color w:val="auto"/>
          <w:sz w:val="21"/>
          <w:szCs w:val="21"/>
          <w:highlight w:val="none"/>
          <w:u w:val="single"/>
        </w:rPr>
        <w:t>通知书；（3）确认函及其附录；（4）</w:t>
      </w:r>
      <w:r>
        <w:rPr>
          <w:rFonts w:hint="eastAsia" w:ascii="宋体" w:cs="宋体"/>
          <w:color w:val="auto"/>
          <w:sz w:val="21"/>
          <w:szCs w:val="21"/>
          <w:highlight w:val="none"/>
          <w:u w:val="single"/>
          <w:lang w:val="en-US" w:eastAsia="zh-CN"/>
        </w:rPr>
        <w:t>磋商</w:t>
      </w:r>
      <w:r>
        <w:rPr>
          <w:rFonts w:hint="eastAsia" w:ascii="宋体" w:cs="宋体"/>
          <w:color w:val="auto"/>
          <w:sz w:val="21"/>
          <w:szCs w:val="21"/>
          <w:highlight w:val="none"/>
          <w:u w:val="single"/>
          <w:lang w:eastAsia="zh-CN"/>
        </w:rPr>
        <w:t>文件</w:t>
      </w:r>
      <w:r>
        <w:rPr>
          <w:rFonts w:hint="eastAsia" w:ascii="宋体" w:cs="宋体"/>
          <w:color w:val="auto"/>
          <w:sz w:val="21"/>
          <w:szCs w:val="21"/>
          <w:highlight w:val="none"/>
          <w:u w:val="single"/>
        </w:rPr>
        <w:t>；（5）专用合同条款及其附件；（6）通用合同条款；（7）技术标准和要求；（8）图纸；（9）已标价工程量清单或预算书；（10）其他合同文件</w:t>
      </w:r>
      <w:r>
        <w:rPr>
          <w:rFonts w:hint="eastAsia" w:ascii="宋体" w:cs="宋体"/>
          <w:color w:val="auto"/>
          <w:sz w:val="21"/>
          <w:szCs w:val="21"/>
          <w:highlight w:val="none"/>
          <w:u w:val="single"/>
          <w:lang w:eastAsia="zh-CN"/>
        </w:rPr>
        <w:t>。</w:t>
      </w:r>
      <w:r>
        <w:rPr>
          <w:rFonts w:hint="eastAsia" w:cs="宋体"/>
          <w:color w:val="auto"/>
          <w:sz w:val="21"/>
          <w:szCs w:val="21"/>
          <w:highlight w:val="none"/>
          <w:u w:val="single"/>
        </w:rPr>
        <w:t xml:space="preserve"> </w:t>
      </w:r>
    </w:p>
    <w:p w14:paraId="04743C76">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130B84A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1.6.1 图纸的提供和交底</w:t>
      </w:r>
    </w:p>
    <w:p w14:paraId="085A233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开工前14天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C24A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w:t>
      </w:r>
      <w:r>
        <w:rPr>
          <w:rFonts w:hint="eastAsia" w:cs="宋体"/>
          <w:color w:val="auto"/>
          <w:sz w:val="21"/>
          <w:szCs w:val="21"/>
          <w:highlight w:val="none"/>
          <w:u w:val="single"/>
          <w:lang w:val="en-US" w:eastAsia="zh-CN"/>
        </w:rPr>
        <w:t>3</w:t>
      </w:r>
      <w:r>
        <w:rPr>
          <w:rFonts w:hint="eastAsia" w:cs="宋体"/>
          <w:color w:val="auto"/>
          <w:sz w:val="21"/>
          <w:szCs w:val="21"/>
          <w:highlight w:val="none"/>
          <w:u w:val="single"/>
        </w:rPr>
        <w:t>套</w:t>
      </w:r>
      <w:r>
        <w:rPr>
          <w:rFonts w:hint="eastAsia" w:cs="宋体"/>
          <w:color w:val="auto"/>
          <w:sz w:val="21"/>
          <w:szCs w:val="21"/>
          <w:highlight w:val="none"/>
          <w:u w:val="single"/>
          <w:lang w:eastAsia="zh-CN"/>
        </w:rPr>
        <w:t>，</w:t>
      </w:r>
      <w:r>
        <w:rPr>
          <w:rFonts w:hint="eastAsia" w:cs="宋体"/>
          <w:color w:val="auto"/>
          <w:sz w:val="21"/>
          <w:szCs w:val="21"/>
          <w:highlight w:val="none"/>
          <w:u w:val="single"/>
        </w:rPr>
        <w:t>不足的由承包人自行复制，费用自理</w:t>
      </w:r>
      <w:r>
        <w:rPr>
          <w:rFonts w:hint="eastAsia" w:cs="宋体"/>
          <w:color w:val="auto"/>
          <w:sz w:val="21"/>
          <w:szCs w:val="21"/>
          <w:highlight w:val="none"/>
          <w:u w:val="single"/>
          <w:lang w:eastAsia="zh-CN"/>
        </w:rPr>
        <w:t>，所有设计图纸和设计变更文件须经设计单位和发包人盖章确认方有效</w:t>
      </w:r>
      <w:r>
        <w:rPr>
          <w:rFonts w:hint="eastAsia" w:cs="宋体"/>
          <w:color w:val="auto"/>
          <w:sz w:val="21"/>
          <w:szCs w:val="21"/>
          <w:highlight w:val="none"/>
          <w:u w:val="single"/>
        </w:rPr>
        <w:t>；</w:t>
      </w:r>
    </w:p>
    <w:p w14:paraId="4CF582B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全套施工图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7226D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1.6.4 承包人文件</w:t>
      </w:r>
    </w:p>
    <w:p w14:paraId="677428D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按监理要求执行，包括但不限于项目部人员证书（在领取</w:t>
      </w:r>
      <w:r>
        <w:rPr>
          <w:rFonts w:hint="eastAsia" w:ascii="宋体" w:cs="宋体"/>
          <w:color w:val="auto"/>
          <w:sz w:val="21"/>
          <w:szCs w:val="21"/>
          <w:highlight w:val="none"/>
          <w:u w:val="single"/>
          <w:lang w:val="en-US" w:eastAsia="zh-CN"/>
        </w:rPr>
        <w:t>成交</w:t>
      </w:r>
      <w:r>
        <w:rPr>
          <w:rFonts w:hint="eastAsia" w:ascii="宋体" w:cs="宋体"/>
          <w:color w:val="auto"/>
          <w:sz w:val="21"/>
          <w:szCs w:val="21"/>
          <w:highlight w:val="none"/>
          <w:u w:val="single"/>
        </w:rPr>
        <w:t>通知书前）、项目部任命文、实施性施工组织设计等</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A98D7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按监理要求执行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0A67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按监理要求执行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C1187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按监理要求执行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6EF87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7天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D31F4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1.6.5 图纸和承包人文件的保管</w:t>
      </w:r>
    </w:p>
    <w:p w14:paraId="6418F48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ascii="宋体" w:cs="宋体"/>
          <w:color w:val="auto"/>
          <w:sz w:val="21"/>
          <w:szCs w:val="21"/>
          <w:highlight w:val="none"/>
          <w:u w:val="single"/>
        </w:rPr>
        <w:t>除专用合同条款另有约定外，承包人应在施工现场另外保存一套完整的图纸和承包人文件，供发包人、监理人及有关人员进行工程检查时使用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4C820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1.7 联络</w:t>
      </w:r>
    </w:p>
    <w:p w14:paraId="19CE72A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24CF971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滁州市明湖建设管理服务中心</w:t>
      </w:r>
      <w:r>
        <w:rPr>
          <w:rFonts w:hint="eastAsia" w:ascii="宋体" w:cs="宋体"/>
          <w:color w:val="auto"/>
          <w:sz w:val="21"/>
          <w:szCs w:val="21"/>
          <w:highlight w:val="none"/>
          <w:u w:val="single"/>
          <w:lang w:val="en-US" w:eastAsia="zh-CN"/>
        </w:rPr>
        <w:t>或项目部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CCD56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发包人代表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14AC9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滁州市明湖建设管理服务中心</w:t>
      </w:r>
      <w:r>
        <w:rPr>
          <w:rFonts w:hint="eastAsia" w:ascii="宋体" w:cs="宋体"/>
          <w:color w:val="auto"/>
          <w:sz w:val="21"/>
          <w:szCs w:val="21"/>
          <w:highlight w:val="none"/>
          <w:u w:val="single"/>
          <w:lang w:val="en-US" w:eastAsia="zh-CN"/>
        </w:rPr>
        <w:t>或项目部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729DC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项目负责人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F9556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滁州市明湖建设管理服务中心</w:t>
      </w:r>
      <w:r>
        <w:rPr>
          <w:rFonts w:hint="eastAsia" w:ascii="宋体" w:cs="宋体"/>
          <w:color w:val="auto"/>
          <w:sz w:val="21"/>
          <w:szCs w:val="21"/>
          <w:highlight w:val="none"/>
          <w:u w:val="single"/>
          <w:lang w:val="en-US" w:eastAsia="zh-CN"/>
        </w:rPr>
        <w:t>或项目部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7345B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总监理工程师或总监代表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0815E">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1.10 交通运输</w:t>
      </w:r>
    </w:p>
    <w:p w14:paraId="6B27C58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bookmarkStart w:id="66" w:name="_Toc304295521"/>
      <w:bookmarkStart w:id="67" w:name="_Toc312677986"/>
      <w:bookmarkStart w:id="68" w:name="_Toc318581155"/>
      <w:bookmarkStart w:id="69" w:name="_Toc300934943"/>
      <w:bookmarkStart w:id="70" w:name="_Toc303539100"/>
      <w:r>
        <w:rPr>
          <w:rFonts w:hint="eastAsia" w:cs="宋体"/>
          <w:color w:val="auto"/>
          <w:sz w:val="21"/>
          <w:szCs w:val="21"/>
          <w:highlight w:val="none"/>
        </w:rPr>
        <w:t>.10.1 出入现场的权利</w:t>
      </w:r>
    </w:p>
    <w:p w14:paraId="44B746DD">
      <w:pPr>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u w:val="single"/>
        </w:rPr>
      </w:pPr>
      <w:r>
        <w:rPr>
          <w:rFonts w:hint="eastAsia" w:cs="宋体"/>
          <w:color w:val="auto"/>
          <w:sz w:val="21"/>
          <w:szCs w:val="21"/>
          <w:highlight w:val="none"/>
        </w:rPr>
        <w:t>关于出入现场的权利的约定：</w:t>
      </w:r>
      <w:r>
        <w:rPr>
          <w:rFonts w:hint="eastAsia" w:ascii="宋体" w:cs="宋体"/>
          <w:color w:val="auto"/>
          <w:sz w:val="21"/>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75CE313B">
      <w:pPr>
        <w:pageBreakBefore w:val="0"/>
        <w:widowControl w:val="0"/>
        <w:kinsoku/>
        <w:wordWrap/>
        <w:overflowPunct/>
        <w:topLinePunct w:val="0"/>
        <w:autoSpaceDE/>
        <w:autoSpaceDN/>
        <w:bidi w:val="0"/>
        <w:snapToGrid w:val="0"/>
        <w:spacing w:line="400" w:lineRule="exact"/>
        <w:ind w:firstLine="420" w:firstLineChars="200"/>
        <w:textAlignment w:val="auto"/>
        <w:rPr>
          <w:rFonts w:cs="宋体"/>
          <w:color w:val="auto"/>
          <w:sz w:val="21"/>
          <w:szCs w:val="21"/>
          <w:highlight w:val="none"/>
          <w:u w:val="single"/>
        </w:rPr>
      </w:pPr>
      <w:r>
        <w:rPr>
          <w:rFonts w:hint="eastAsia" w:ascii="宋体" w:cs="宋体"/>
          <w:color w:val="auto"/>
          <w:sz w:val="21"/>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bookmarkEnd w:id="66"/>
    <w:bookmarkEnd w:id="67"/>
    <w:bookmarkEnd w:id="68"/>
    <w:bookmarkEnd w:id="69"/>
    <w:bookmarkEnd w:id="70"/>
    <w:p w14:paraId="046BB85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bookmarkStart w:id="71" w:name="_Toc300934944"/>
      <w:bookmarkStart w:id="72" w:name="_Toc303539101"/>
      <w:bookmarkStart w:id="73" w:name="_Toc318581156"/>
      <w:bookmarkStart w:id="74" w:name="_Toc304295522"/>
      <w:bookmarkStart w:id="75" w:name="_Toc312677987"/>
      <w:r>
        <w:rPr>
          <w:rFonts w:hint="eastAsia" w:cs="宋体"/>
          <w:color w:val="auto"/>
          <w:sz w:val="21"/>
          <w:szCs w:val="21"/>
          <w:highlight w:val="none"/>
        </w:rPr>
        <w:t>.10.3 场内交通</w:t>
      </w:r>
    </w:p>
    <w:p w14:paraId="36FD3F4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ascii="宋体" w:cs="宋体"/>
          <w:color w:val="auto"/>
          <w:sz w:val="21"/>
          <w:szCs w:val="21"/>
          <w:highlight w:val="none"/>
          <w:u w:val="single"/>
        </w:rPr>
        <w:t>场内交通设施和道路由承包人负责建设，发包人不另支付费用，场内交通边界现场确定</w:t>
      </w:r>
      <w:r>
        <w:rPr>
          <w:rFonts w:hint="eastAsia" w:cs="宋体"/>
          <w:color w:val="auto"/>
          <w:sz w:val="21"/>
          <w:szCs w:val="21"/>
          <w:highlight w:val="none"/>
        </w:rPr>
        <w:t>。</w:t>
      </w:r>
    </w:p>
    <w:p w14:paraId="7214669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ascii="宋体" w:cs="宋体"/>
          <w:color w:val="auto"/>
          <w:sz w:val="21"/>
          <w:szCs w:val="21"/>
          <w:highlight w:val="none"/>
          <w:u w:val="single"/>
        </w:rPr>
        <w:t>自行踏勘，自行解决</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71"/>
      <w:bookmarkEnd w:id="72"/>
      <w:bookmarkEnd w:id="73"/>
      <w:bookmarkEnd w:id="74"/>
      <w:bookmarkEnd w:id="75"/>
      <w:bookmarkStart w:id="76" w:name="_Toc318581157"/>
    </w:p>
    <w:p w14:paraId="4300F04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1.10.4 超大件和超重件的运输</w:t>
      </w:r>
    </w:p>
    <w:p w14:paraId="496A384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承包方</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76"/>
    <w:p w14:paraId="1C93AFA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1.11 知识产权</w:t>
      </w:r>
    </w:p>
    <w:p w14:paraId="1EA20AF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发包人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6184E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289315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发包人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95C62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ascii="宋体" w:cs="宋体"/>
          <w:color w:val="auto"/>
          <w:sz w:val="21"/>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cs="宋体"/>
          <w:color w:val="auto"/>
          <w:sz w:val="21"/>
          <w:szCs w:val="21"/>
          <w:highlight w:val="none"/>
        </w:rPr>
        <w:t>。</w:t>
      </w:r>
    </w:p>
    <w:p w14:paraId="58B3316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ascii="宋体" w:cs="宋体"/>
          <w:color w:val="auto"/>
          <w:sz w:val="21"/>
          <w:szCs w:val="21"/>
          <w:highlight w:val="none"/>
          <w:u w:val="single"/>
        </w:rPr>
        <w:t>该费用已包含在签约合同价中</w:t>
      </w:r>
      <w:r>
        <w:rPr>
          <w:rFonts w:hint="eastAsia" w:cs="宋体"/>
          <w:color w:val="auto"/>
          <w:sz w:val="21"/>
          <w:szCs w:val="21"/>
          <w:highlight w:val="none"/>
        </w:rPr>
        <w:t>。</w:t>
      </w:r>
    </w:p>
    <w:p w14:paraId="7A1DDE9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8E52AF4">
      <w:pPr>
        <w:pageBreakBefore w:val="0"/>
        <w:widowControl w:val="0"/>
        <w:kinsoku/>
        <w:wordWrap/>
        <w:overflowPunct/>
        <w:topLinePunct w:val="0"/>
        <w:bidi w:val="0"/>
        <w:adjustRightInd w:val="0"/>
        <w:snapToGrid w:val="0"/>
        <w:spacing w:line="400" w:lineRule="exact"/>
        <w:ind w:firstLine="420" w:firstLineChars="200"/>
        <w:textAlignment w:val="auto"/>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ascii="宋体" w:hAnsi="宋体" w:cs="宋体"/>
          <w:color w:val="auto"/>
          <w:sz w:val="21"/>
          <w:szCs w:val="21"/>
          <w:highlight w:val="none"/>
          <w:u w:val="single"/>
        </w:rPr>
        <w:t>是，具体调整方式见下款</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w:t>
      </w:r>
    </w:p>
    <w:p w14:paraId="2E24B83C">
      <w:pPr>
        <w:pageBreakBefore w:val="0"/>
        <w:widowControl w:val="0"/>
        <w:kinsoku/>
        <w:wordWrap/>
        <w:overflowPunct/>
        <w:topLinePunct w:val="0"/>
        <w:autoSpaceDE/>
        <w:autoSpaceDN/>
        <w:bidi w:val="0"/>
        <w:snapToGrid w:val="0"/>
        <w:spacing w:line="400" w:lineRule="exact"/>
        <w:ind w:firstLine="420" w:firstLineChars="200"/>
        <w:textAlignment w:val="auto"/>
        <w:rPr>
          <w:rFonts w:hint="eastAsia" w:cs="宋体"/>
          <w:b/>
          <w:bCs/>
          <w:color w:val="auto"/>
          <w:sz w:val="21"/>
          <w:szCs w:val="21"/>
          <w:highlight w:val="none"/>
          <w:u w:val="single"/>
          <w:lang w:eastAsia="zh-CN"/>
        </w:rPr>
      </w:pPr>
      <w:r>
        <w:rPr>
          <w:rFonts w:hint="eastAsia" w:cs="宋体"/>
          <w:color w:val="auto"/>
          <w:sz w:val="21"/>
          <w:szCs w:val="21"/>
          <w:highlight w:val="none"/>
        </w:rPr>
        <w:t>允许调整合同价格的工程量偏差范围：</w:t>
      </w:r>
      <w:r>
        <w:rPr>
          <w:rFonts w:hint="eastAsia" w:ascii="宋体" w:hAnsi="宋体" w:eastAsia="宋体" w:cs="宋体"/>
          <w:b/>
          <w:bCs/>
          <w:color w:val="auto"/>
          <w:sz w:val="21"/>
          <w:szCs w:val="21"/>
          <w:highlight w:val="none"/>
          <w:u w:val="single"/>
        </w:rPr>
        <w:t>承包人拒绝实施因</w:t>
      </w:r>
      <w:r>
        <w:rPr>
          <w:rFonts w:hint="eastAsia" w:ascii="宋体" w:hAnsi="宋体" w:eastAsia="宋体" w:cs="宋体"/>
          <w:b/>
          <w:bCs/>
          <w:color w:val="auto"/>
          <w:spacing w:val="-6"/>
          <w:kern w:val="0"/>
          <w:sz w:val="21"/>
          <w:szCs w:val="21"/>
          <w:highlight w:val="none"/>
          <w:u w:val="single"/>
        </w:rPr>
        <w:t>此产生变化的施工内容或范围</w:t>
      </w:r>
      <w:r>
        <w:rPr>
          <w:rFonts w:hint="eastAsia" w:ascii="宋体" w:hAnsi="宋体" w:eastAsia="宋体" w:cs="宋体"/>
          <w:b/>
          <w:bCs/>
          <w:color w:val="auto"/>
          <w:sz w:val="21"/>
          <w:szCs w:val="21"/>
          <w:highlight w:val="none"/>
          <w:u w:val="single"/>
        </w:rPr>
        <w:t>，将被视为违约，发包人视情节轻重给予违约处罚。结算时，工程量按实计算。结算工程量减少0-100%或增加15%以内部分，执行中标单价；超出15%以外部分，结算单价按最高投标限价单价×投标让利幅度计算且结算单价不得高于中标单价；</w:t>
      </w:r>
      <w:r>
        <w:rPr>
          <w:rFonts w:hint="eastAsia" w:ascii="宋体" w:hAnsi="宋体" w:eastAsia="宋体" w:cs="宋体"/>
          <w:b/>
          <w:bCs/>
          <w:color w:val="auto"/>
          <w:spacing w:val="-6"/>
          <w:kern w:val="0"/>
          <w:sz w:val="21"/>
          <w:szCs w:val="21"/>
          <w:highlight w:val="none"/>
          <w:u w:val="single"/>
        </w:rPr>
        <w:t>缺漏</w:t>
      </w:r>
      <w:r>
        <w:rPr>
          <w:rFonts w:hint="eastAsia" w:ascii="宋体" w:hAnsi="宋体" w:eastAsia="宋体" w:cs="宋体"/>
          <w:b/>
          <w:bCs/>
          <w:color w:val="auto"/>
          <w:sz w:val="21"/>
          <w:szCs w:val="21"/>
          <w:highlight w:val="none"/>
          <w:u w:val="single"/>
        </w:rPr>
        <w:t>项目单价按照最高投标限价的编制原则重新组价×投标让利幅度（上述投标让利幅度为中标价/最高投标限价，其中中标价和最高投标限价均扣除暂列金额、暂估价及相应税金）</w:t>
      </w:r>
      <w:r>
        <w:rPr>
          <w:rFonts w:hint="eastAsia" w:cs="宋体"/>
          <w:b/>
          <w:bCs/>
          <w:color w:val="auto"/>
          <w:sz w:val="21"/>
          <w:szCs w:val="21"/>
          <w:highlight w:val="none"/>
          <w:u w:val="single"/>
          <w:lang w:eastAsia="zh-CN"/>
        </w:rPr>
        <w:t>。</w:t>
      </w:r>
    </w:p>
    <w:p w14:paraId="519D0F2B">
      <w:pPr>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b/>
          <w:color w:val="auto"/>
          <w:sz w:val="21"/>
          <w:szCs w:val="21"/>
          <w:highlight w:val="none"/>
          <w:u w:val="single"/>
        </w:rPr>
      </w:pPr>
      <w:r>
        <w:rPr>
          <w:rFonts w:hint="eastAsia" w:ascii="宋体" w:hAnsi="宋体" w:cs="宋体"/>
          <w:color w:val="auto"/>
          <w:sz w:val="21"/>
          <w:szCs w:val="21"/>
          <w:highlight w:val="none"/>
        </w:rPr>
        <w:t>技术措施费调整：</w:t>
      </w:r>
      <w:r>
        <w:rPr>
          <w:rFonts w:hint="eastAsia" w:ascii="宋体" w:hAnsi="宋体" w:cs="宋体"/>
          <w:b/>
          <w:color w:val="auto"/>
          <w:sz w:val="21"/>
          <w:szCs w:val="21"/>
          <w:highlight w:val="none"/>
          <w:u w:val="single"/>
        </w:rPr>
        <w:t>因承包人改变施工技术措施，造成的价格变动，措施费不予调整。因工程量清单错误必须改变原来施工技术措施，造成价格变动的，按实调整，变更组价原则同上。</w:t>
      </w:r>
    </w:p>
    <w:p w14:paraId="112CD06B">
      <w:pPr>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b/>
          <w:color w:val="auto"/>
          <w:sz w:val="21"/>
          <w:szCs w:val="21"/>
          <w:highlight w:val="none"/>
          <w:u w:val="single"/>
          <w:lang w:eastAsia="zh-CN"/>
        </w:rPr>
      </w:pPr>
      <w:r>
        <w:rPr>
          <w:rFonts w:hint="eastAsia" w:ascii="宋体" w:hAnsi="宋体" w:cs="宋体"/>
          <w:color w:val="auto"/>
          <w:sz w:val="21"/>
          <w:szCs w:val="21"/>
          <w:highlight w:val="none"/>
        </w:rPr>
        <w:t>组织措施费调整：</w:t>
      </w:r>
      <w:r>
        <w:rPr>
          <w:rFonts w:hint="eastAsia" w:ascii="宋体" w:hAnsi="宋体" w:cs="宋体"/>
          <w:b/>
          <w:color w:val="auto"/>
          <w:sz w:val="21"/>
          <w:szCs w:val="21"/>
          <w:highlight w:val="none"/>
          <w:u w:val="single"/>
        </w:rPr>
        <w:t>按实调整。</w:t>
      </w:r>
    </w:p>
    <w:p w14:paraId="4EDD4BF1">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77" w:name="_Toc351203634"/>
      <w:r>
        <w:rPr>
          <w:rFonts w:hint="eastAsia" w:cs="宋体"/>
          <w:color w:val="auto"/>
          <w:sz w:val="21"/>
          <w:szCs w:val="21"/>
          <w:highlight w:val="none"/>
        </w:rPr>
        <w:t>2</w:t>
      </w:r>
      <w:bookmarkStart w:id="78" w:name="_Toc292559362"/>
      <w:bookmarkStart w:id="79" w:name="_Toc296503157"/>
      <w:bookmarkStart w:id="80" w:name="_Toc296346658"/>
      <w:bookmarkStart w:id="81" w:name="_Toc296944496"/>
      <w:bookmarkStart w:id="82" w:name="_Toc297120457"/>
      <w:bookmarkStart w:id="83" w:name="_Toc296347156"/>
      <w:bookmarkStart w:id="84" w:name="_Toc297048343"/>
      <w:bookmarkStart w:id="85" w:name="_Toc296891197"/>
      <w:bookmarkStart w:id="86" w:name="_Toc292559867"/>
      <w:bookmarkStart w:id="87" w:name="_Toc296890985"/>
      <w:r>
        <w:rPr>
          <w:rFonts w:hint="eastAsia" w:cs="宋体"/>
          <w:color w:val="auto"/>
          <w:sz w:val="21"/>
          <w:szCs w:val="21"/>
          <w:highlight w:val="none"/>
        </w:rPr>
        <w:t>. 发包人</w:t>
      </w:r>
      <w:bookmarkEnd w:id="77"/>
    </w:p>
    <w:bookmarkEnd w:id="78"/>
    <w:bookmarkEnd w:id="79"/>
    <w:bookmarkEnd w:id="80"/>
    <w:bookmarkEnd w:id="81"/>
    <w:bookmarkEnd w:id="82"/>
    <w:bookmarkEnd w:id="83"/>
    <w:bookmarkEnd w:id="84"/>
    <w:bookmarkEnd w:id="85"/>
    <w:bookmarkEnd w:id="86"/>
    <w:bookmarkEnd w:id="87"/>
    <w:p w14:paraId="2BF858B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2.2 发包人代表</w:t>
      </w:r>
    </w:p>
    <w:p w14:paraId="3C1147D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发包人代表：</w:t>
      </w:r>
    </w:p>
    <w:p w14:paraId="64BC8C6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E6EB6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0302E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ED6BE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DE92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C3189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00665">
      <w:pPr>
        <w:pageBreakBefore w:val="0"/>
        <w:widowControl w:val="0"/>
        <w:kinsoku/>
        <w:wordWrap/>
        <w:overflowPunct/>
        <w:topLinePunct w:val="0"/>
        <w:bidi w:val="0"/>
        <w:adjustRightInd w:val="0"/>
        <w:snapToGrid w:val="0"/>
        <w:spacing w:line="400" w:lineRule="exact"/>
        <w:ind w:firstLine="420" w:firstLineChars="200"/>
        <w:textAlignment w:val="auto"/>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ascii="宋体" w:cs="宋体"/>
          <w:color w:val="auto"/>
          <w:sz w:val="21"/>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r>
        <w:rPr>
          <w:rFonts w:hint="eastAsia" w:cs="宋体"/>
          <w:color w:val="auto"/>
          <w:sz w:val="21"/>
          <w:szCs w:val="21"/>
          <w:highlight w:val="none"/>
        </w:rPr>
        <w:t>。</w:t>
      </w:r>
    </w:p>
    <w:p w14:paraId="4103099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27F7FA2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2.4.1 提供施工现场</w:t>
      </w:r>
    </w:p>
    <w:p w14:paraId="598B839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发包人应最迟于开工日期7天前向承包人移交施工现场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54504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2.4.2 提供施工条件</w:t>
      </w:r>
    </w:p>
    <w:p w14:paraId="41FAE8F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DAF0A7">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1BDF31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E4C49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0F73CC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A0BBAE2">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88" w:name="_Toc351203635"/>
      <w:r>
        <w:rPr>
          <w:rFonts w:hint="eastAsia" w:cs="宋体"/>
          <w:color w:val="auto"/>
          <w:sz w:val="21"/>
          <w:szCs w:val="21"/>
          <w:highlight w:val="none"/>
        </w:rPr>
        <w:t>3</w:t>
      </w:r>
      <w:bookmarkStart w:id="89" w:name="_Toc296891198"/>
      <w:bookmarkStart w:id="90" w:name="_Toc296503158"/>
      <w:bookmarkStart w:id="91" w:name="_Toc296890986"/>
      <w:bookmarkStart w:id="92" w:name="_Toc297048344"/>
      <w:bookmarkStart w:id="93" w:name="_Toc296347157"/>
      <w:bookmarkStart w:id="94" w:name="_Toc292559868"/>
      <w:bookmarkStart w:id="95" w:name="_Toc292559363"/>
      <w:bookmarkStart w:id="96" w:name="_Toc296346659"/>
      <w:bookmarkStart w:id="97" w:name="_Toc296944497"/>
      <w:bookmarkStart w:id="98" w:name="_Toc297120458"/>
      <w:r>
        <w:rPr>
          <w:rFonts w:hint="eastAsia" w:cs="宋体"/>
          <w:color w:val="auto"/>
          <w:sz w:val="21"/>
          <w:szCs w:val="21"/>
          <w:highlight w:val="none"/>
        </w:rPr>
        <w:t>. 承包人</w:t>
      </w:r>
      <w:bookmarkEnd w:id="88"/>
    </w:p>
    <w:bookmarkEnd w:id="89"/>
    <w:bookmarkEnd w:id="90"/>
    <w:bookmarkEnd w:id="91"/>
    <w:bookmarkEnd w:id="92"/>
    <w:bookmarkEnd w:id="93"/>
    <w:bookmarkEnd w:id="94"/>
    <w:bookmarkEnd w:id="95"/>
    <w:bookmarkEnd w:id="96"/>
    <w:bookmarkEnd w:id="97"/>
    <w:bookmarkEnd w:id="98"/>
    <w:p w14:paraId="7EE7EAE4">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3.1 承包人的一般义务</w:t>
      </w:r>
    </w:p>
    <w:p w14:paraId="42F5C0C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（9）承包人提交的竣工资料的内容：</w:t>
      </w:r>
      <w:r>
        <w:rPr>
          <w:rFonts w:hint="eastAsia" w:ascii="宋体" w:cs="宋体"/>
          <w:color w:val="auto"/>
          <w:sz w:val="21"/>
          <w:szCs w:val="21"/>
          <w:highlight w:val="none"/>
          <w:u w:val="single"/>
        </w:rPr>
        <w:t>按相关要求执行，包括但不限于竣工图、竣工报告、项目质检资料、结算资料等</w:t>
      </w:r>
      <w:r>
        <w:rPr>
          <w:rFonts w:hint="eastAsia" w:cs="宋体"/>
          <w:color w:val="auto"/>
          <w:sz w:val="21"/>
          <w:szCs w:val="21"/>
          <w:highlight w:val="none"/>
        </w:rPr>
        <w:t>。</w:t>
      </w:r>
    </w:p>
    <w:p w14:paraId="13BD3C6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按相关要求执行，且不少于3套</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DDC1E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2393F3C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竣工验收合格后15日内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DCC85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纸质及电子形式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07E0B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遵守滁重[2020]53号《关于限制不良建筑市场主体投标的规定》的；⑥月工程量进度及时完成；⑦按规定提供工程资料并及时归档的</w:t>
      </w:r>
      <w:r>
        <w:rPr>
          <w:rFonts w:hint="eastAsia" w:cs="宋体"/>
          <w:color w:val="auto"/>
          <w:sz w:val="21"/>
          <w:szCs w:val="21"/>
          <w:highlight w:val="none"/>
        </w:rPr>
        <w:t>。</w:t>
      </w:r>
    </w:p>
    <w:p w14:paraId="504D6C1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3.2 项目经理</w:t>
      </w:r>
    </w:p>
    <w:p w14:paraId="54957DF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3.2.1 项目经理：</w:t>
      </w:r>
    </w:p>
    <w:p w14:paraId="4E663AA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D840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327DE1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405C2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07D2D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E76BB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2C33B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D4EA6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75587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0F03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30379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ascii="宋体" w:cs="宋体"/>
          <w:color w:val="auto"/>
          <w:sz w:val="21"/>
          <w:szCs w:val="21"/>
          <w:highlight w:val="none"/>
          <w:u w:val="single"/>
          <w:shd w:val="clear" w:color="auto" w:fill="auto"/>
        </w:rPr>
        <w:t>项目经理每月在岗时间不得少于20天，施工现场其他管理人员每月在岗时间不得少于22天</w:t>
      </w:r>
      <w:r>
        <w:rPr>
          <w:rFonts w:hint="eastAsia" w:cs="宋体"/>
          <w:color w:val="auto"/>
          <w:sz w:val="21"/>
          <w:szCs w:val="21"/>
          <w:highlight w:val="none"/>
          <w:u w:val="single"/>
        </w:rPr>
        <w:t>。</w:t>
      </w:r>
    </w:p>
    <w:p w14:paraId="6472E89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签订本合同前提供，资格审查时已提供的，不再重复提供</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33873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lang w:val="en-US" w:eastAsia="zh-CN"/>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r>
        <w:rPr>
          <w:rFonts w:hint="eastAsia" w:cs="宋体"/>
          <w:color w:val="auto"/>
          <w:sz w:val="21"/>
          <w:szCs w:val="21"/>
          <w:highlight w:val="none"/>
          <w:u w:val="single"/>
        </w:rPr>
        <w:t>。</w:t>
      </w:r>
    </w:p>
    <w:p w14:paraId="4AABDFA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3.2.3 承包人擅自更换项目经理的违约责任：</w:t>
      </w:r>
    </w:p>
    <w:p w14:paraId="5B92B4C1">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u w:val="singl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2503AA9">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u w:val="single"/>
        </w:rPr>
      </w:pPr>
      <w:r>
        <w:rPr>
          <w:rFonts w:hint="eastAsia" w:cs="宋体"/>
          <w:color w:val="auto"/>
          <w:sz w:val="21"/>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采购文件和响应承诺配备的同等条件人员，并按照滁州市有关规定履行变更审批程序。</w:t>
      </w:r>
    </w:p>
    <w:p w14:paraId="5E162E4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将组织对项目经理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r>
        <w:rPr>
          <w:rFonts w:hint="eastAsia" w:cs="宋体"/>
          <w:color w:val="auto"/>
          <w:sz w:val="21"/>
          <w:szCs w:val="21"/>
          <w:highlight w:val="none"/>
        </w:rPr>
        <w:t>。</w:t>
      </w:r>
    </w:p>
    <w:p w14:paraId="03DADAC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3.3 承包人人员</w:t>
      </w:r>
    </w:p>
    <w:p w14:paraId="0000BE1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shd w:val="clear" w:color="auto" w:fill="auto"/>
          <w:lang w:val="en-US" w:eastAsia="zh-CN"/>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r>
        <w:rPr>
          <w:rFonts w:hint="eastAsia" w:cs="宋体"/>
          <w:color w:val="auto"/>
          <w:sz w:val="21"/>
          <w:szCs w:val="21"/>
          <w:highlight w:val="none"/>
        </w:rPr>
        <w:t>。</w:t>
      </w:r>
    </w:p>
    <w:p w14:paraId="50F51C8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lang w:val="en-US" w:eastAsia="zh-CN"/>
        </w:rPr>
        <w:t>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r>
        <w:rPr>
          <w:rFonts w:hint="eastAsia" w:cs="宋体"/>
          <w:color w:val="auto"/>
          <w:sz w:val="21"/>
          <w:szCs w:val="21"/>
          <w:highlight w:val="none"/>
        </w:rPr>
        <w:t>。</w:t>
      </w:r>
    </w:p>
    <w:p w14:paraId="1CAD399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05F10">
      <w:pPr>
        <w:pageBreakBefore w:val="0"/>
        <w:widowControl w:val="0"/>
        <w:kinsoku/>
        <w:wordWrap/>
        <w:overflowPunct/>
        <w:topLinePunct w:val="0"/>
        <w:bidi w:val="0"/>
        <w:adjustRightInd w:val="0"/>
        <w:snapToGrid w:val="0"/>
        <w:spacing w:line="400" w:lineRule="exact"/>
        <w:ind w:firstLine="424" w:firstLineChars="202"/>
        <w:textAlignment w:val="auto"/>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8F95F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按照未按规定在岗履责进行处罚 </w:t>
      </w:r>
      <w:r>
        <w:rPr>
          <w:rFonts w:hint="eastAsia" w:cs="宋体"/>
          <w:color w:val="auto"/>
          <w:sz w:val="21"/>
          <w:szCs w:val="21"/>
          <w:highlight w:val="none"/>
        </w:rPr>
        <w:t>。</w:t>
      </w:r>
    </w:p>
    <w:p w14:paraId="62650FA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w:t>
      </w:r>
      <w:bookmarkStart w:id="99" w:name="_Toc297120459"/>
      <w:bookmarkStart w:id="100" w:name="_Toc297123492"/>
      <w:bookmarkStart w:id="101" w:name="_Toc296346660"/>
      <w:bookmarkStart w:id="102" w:name="_Toc297048345"/>
      <w:bookmarkStart w:id="103" w:name="_Toc292559869"/>
      <w:bookmarkStart w:id="104" w:name="_Toc297216151"/>
      <w:bookmarkStart w:id="105" w:name="_Toc296503159"/>
      <w:bookmarkStart w:id="106" w:name="_Toc312677988"/>
      <w:bookmarkStart w:id="107" w:name="_Toc296890987"/>
      <w:bookmarkStart w:id="108" w:name="_Toc296347158"/>
      <w:bookmarkStart w:id="109" w:name="_Toc304295523"/>
      <w:bookmarkStart w:id="110" w:name="_Toc292559364"/>
      <w:bookmarkStart w:id="111" w:name="_Toc303539102"/>
      <w:bookmarkStart w:id="112" w:name="_Toc296944498"/>
      <w:bookmarkStart w:id="113" w:name="_Toc296891199"/>
      <w:bookmarkStart w:id="114" w:name="_Toc300934945"/>
      <w:r>
        <w:rPr>
          <w:rFonts w:hint="eastAsia" w:cs="宋体"/>
          <w:bCs/>
          <w:color w:val="auto"/>
          <w:sz w:val="21"/>
          <w:szCs w:val="21"/>
          <w:highlight w:val="none"/>
        </w:rPr>
        <w:t>.5 分包</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1EC75ED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w:t>
      </w:r>
      <w:bookmarkStart w:id="115" w:name="_Toc296347159"/>
      <w:bookmarkStart w:id="116" w:name="_Toc296890988"/>
      <w:bookmarkStart w:id="117" w:name="_Toc303539103"/>
      <w:bookmarkStart w:id="118" w:name="_Toc296503160"/>
      <w:bookmarkStart w:id="119" w:name="_Toc296346661"/>
      <w:bookmarkStart w:id="120" w:name="_Toc300934946"/>
      <w:bookmarkStart w:id="121" w:name="_Toc296944499"/>
      <w:bookmarkStart w:id="122" w:name="_Toc292559365"/>
      <w:bookmarkStart w:id="123" w:name="_Toc297123493"/>
      <w:bookmarkStart w:id="124" w:name="_Toc297120460"/>
      <w:bookmarkStart w:id="125" w:name="_Toc296891200"/>
      <w:bookmarkStart w:id="126" w:name="_Toc297048346"/>
      <w:bookmarkStart w:id="127" w:name="_Toc292559870"/>
      <w:bookmarkStart w:id="128" w:name="_Toc304295524"/>
      <w:bookmarkStart w:id="129" w:name="_Toc297216152"/>
      <w:bookmarkStart w:id="130" w:name="_Toc312677989"/>
      <w:bookmarkStart w:id="131" w:name="_Toc318581158"/>
      <w:r>
        <w:rPr>
          <w:rFonts w:hint="eastAsia" w:cs="宋体"/>
          <w:color w:val="auto"/>
          <w:sz w:val="21"/>
          <w:szCs w:val="21"/>
          <w:highlight w:val="none"/>
        </w:rPr>
        <w:t>.5.1 分包的一般约定</w:t>
      </w:r>
    </w:p>
    <w:p w14:paraId="5781725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color w:val="auto"/>
          <w:spacing w:val="-7"/>
          <w:sz w:val="21"/>
          <w:szCs w:val="21"/>
          <w:highlight w:val="none"/>
          <w:u w:val="single" w:color="auto"/>
        </w:rPr>
        <w:t>按照发包人及相关国家规范要求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77DF2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主体结构、关键性工作的范围：</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Start w:id="132" w:name="_Toc296503161"/>
      <w:bookmarkStart w:id="133" w:name="_Toc300934947"/>
      <w:bookmarkStart w:id="134" w:name="_Toc297120461"/>
      <w:bookmarkStart w:id="135" w:name="_Toc297123494"/>
      <w:bookmarkStart w:id="136" w:name="_Toc296891201"/>
      <w:bookmarkStart w:id="137" w:name="_Toc296347160"/>
      <w:bookmarkStart w:id="138" w:name="_Toc296944500"/>
      <w:bookmarkStart w:id="139" w:name="_Toc296346662"/>
      <w:bookmarkStart w:id="140" w:name="_Toc297216153"/>
      <w:bookmarkStart w:id="141" w:name="_Toc297048347"/>
      <w:bookmarkStart w:id="142" w:name="_Toc304295525"/>
      <w:bookmarkStart w:id="143" w:name="_Toc296890989"/>
      <w:bookmarkStart w:id="144" w:name="_Toc303539104"/>
      <w:r>
        <w:rPr>
          <w:rFonts w:hint="eastAsia" w:cs="宋体"/>
          <w:color w:val="auto"/>
          <w:sz w:val="21"/>
          <w:szCs w:val="21"/>
          <w:highlight w:val="none"/>
          <w:u w:val="single"/>
        </w:rPr>
        <w:t xml:space="preserve"> 房建、水利工程为主体结构；市政工程为道路基层、面层；桥梁为主体结构；园林景观工程为绿化采购、栽植、养护；等等 </w:t>
      </w:r>
      <w:r>
        <w:rPr>
          <w:rFonts w:hint="eastAsia" w:cs="宋体"/>
          <w:color w:val="auto"/>
          <w:sz w:val="21"/>
          <w:szCs w:val="21"/>
          <w:highlight w:val="none"/>
        </w:rPr>
        <w:t>。</w:t>
      </w:r>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14:paraId="2B4A037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w:t>
      </w:r>
      <w:bookmarkStart w:id="145" w:name="_Toc312677990"/>
      <w:bookmarkStart w:id="146" w:name="_Toc318581159"/>
      <w:r>
        <w:rPr>
          <w:rFonts w:hint="eastAsia" w:cs="宋体"/>
          <w:color w:val="auto"/>
          <w:sz w:val="21"/>
          <w:szCs w:val="21"/>
          <w:highlight w:val="none"/>
        </w:rPr>
        <w:t>.5.2 分包的确定</w:t>
      </w:r>
    </w:p>
    <w:p w14:paraId="210D557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u w:val="single"/>
          <w:shd w:val="clear" w:color="auto" w:fill="auto"/>
          <w:lang w:val="en-US" w:eastAsia="zh-CN"/>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121E2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shd w:val="clear" w:color="auto" w:fill="auto"/>
          <w:lang w:val="en-US" w:eastAsia="zh-CN"/>
        </w:rPr>
        <w:t>承包人不得以劳务分包的名义转包或违法分包工程。</w:t>
      </w:r>
      <w:r>
        <w:rPr>
          <w:rFonts w:hint="eastAsia" w:cs="宋体"/>
          <w:b/>
          <w:bCs/>
          <w:color w:val="auto"/>
          <w:sz w:val="21"/>
          <w:szCs w:val="21"/>
          <w:highlight w:val="none"/>
          <w:u w:val="single"/>
          <w:shd w:val="clear" w:color="auto" w:fill="auto"/>
          <w:lang w:val="en-US" w:eastAsia="zh-CN"/>
        </w:rPr>
        <w:t>发包人在施工进场第一个月或施工过程中发现承包人转包、挂靠等行为的，发包人立即解除合同，清退出场，承包人已完合格工程量按合同价款70%进行结算</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609C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3.5.4 分包合同价款</w:t>
      </w:r>
    </w:p>
    <w:p w14:paraId="4799AFE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lang w:val="en-US" w:eastAsia="zh-CN"/>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cs="宋体"/>
          <w:color w:val="auto"/>
          <w:sz w:val="21"/>
          <w:szCs w:val="21"/>
          <w:highlight w:val="none"/>
        </w:rPr>
        <w:t>。</w:t>
      </w:r>
    </w:p>
    <w:bookmarkEnd w:id="145"/>
    <w:bookmarkEnd w:id="146"/>
    <w:p w14:paraId="14D44BF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3441F09E">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u w:val="single"/>
          <w:lang w:val="en-US" w:eastAsia="zh-CN"/>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lang w:val="en-US" w:eastAsia="zh-CN"/>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0FE6AE4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3.7 履约保证金</w:t>
      </w:r>
    </w:p>
    <w:p w14:paraId="63B64E6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承包人是否提供履约保证金：</w:t>
      </w:r>
      <w:r>
        <w:rPr>
          <w:rFonts w:hint="eastAsia" w:ascii="宋体" w:hAnsi="宋体" w:eastAsia="宋体" w:cs="宋体"/>
          <w:color w:val="auto"/>
          <w:sz w:val="21"/>
          <w:szCs w:val="21"/>
          <w:highlight w:val="none"/>
          <w:u w:val="single"/>
        </w:rPr>
        <w:t>提供</w:t>
      </w:r>
      <w:r>
        <w:rPr>
          <w:rFonts w:hint="eastAsia" w:cs="宋体"/>
          <w:color w:val="auto"/>
          <w:sz w:val="21"/>
          <w:szCs w:val="21"/>
          <w:highlight w:val="none"/>
        </w:rPr>
        <w:t>。</w:t>
      </w:r>
    </w:p>
    <w:p w14:paraId="668844B4">
      <w:pPr>
        <w:pageBreakBefore w:val="0"/>
        <w:widowControl w:val="0"/>
        <w:kinsoku/>
        <w:wordWrap/>
        <w:overflowPunct/>
        <w:topLinePunct w:val="0"/>
        <w:bidi w:val="0"/>
        <w:adjustRightInd w:val="0"/>
        <w:snapToGrid w:val="0"/>
        <w:spacing w:line="400" w:lineRule="exact"/>
        <w:ind w:left="-70" w:leftChars="-35" w:firstLine="497" w:firstLineChars="237"/>
        <w:textAlignment w:val="auto"/>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41ECD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BCC53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AD9C7B1">
      <w:pPr>
        <w:pageBreakBefore w:val="0"/>
        <w:widowControl w:val="0"/>
        <w:kinsoku/>
        <w:wordWrap/>
        <w:overflowPunct/>
        <w:topLinePunct w:val="0"/>
        <w:bidi w:val="0"/>
        <w:adjustRightInd w:val="0"/>
        <w:snapToGrid w:val="0"/>
        <w:spacing w:line="400" w:lineRule="exact"/>
        <w:ind w:firstLine="420" w:firstLineChars="200"/>
        <w:textAlignment w:val="auto"/>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85F4656">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147" w:name="_Toc351203636"/>
      <w:r>
        <w:rPr>
          <w:rFonts w:hint="eastAsia" w:cs="宋体"/>
          <w:color w:val="auto"/>
          <w:sz w:val="21"/>
          <w:szCs w:val="21"/>
          <w:highlight w:val="none"/>
        </w:rPr>
        <w:t>4</w:t>
      </w:r>
      <w:bookmarkStart w:id="148" w:name="_Toc296346663"/>
      <w:bookmarkStart w:id="149" w:name="_Toc296891202"/>
      <w:bookmarkStart w:id="150" w:name="_Toc296944501"/>
      <w:bookmarkStart w:id="151" w:name="_Toc292559366"/>
      <w:bookmarkStart w:id="152" w:name="_Toc296347161"/>
      <w:bookmarkStart w:id="153" w:name="_Toc296503162"/>
      <w:bookmarkStart w:id="154" w:name="_Toc267251413"/>
      <w:bookmarkStart w:id="155" w:name="_Toc292559871"/>
      <w:bookmarkStart w:id="156" w:name="_Toc297048348"/>
      <w:bookmarkStart w:id="157" w:name="_Toc297120462"/>
      <w:bookmarkStart w:id="158" w:name="_Toc296890990"/>
      <w:r>
        <w:rPr>
          <w:rFonts w:hint="eastAsia" w:cs="宋体"/>
          <w:color w:val="auto"/>
          <w:sz w:val="21"/>
          <w:szCs w:val="21"/>
          <w:highlight w:val="none"/>
        </w:rPr>
        <w:t>. 监</w:t>
      </w:r>
      <w:bookmarkEnd w:id="148"/>
      <w:bookmarkEnd w:id="149"/>
      <w:bookmarkEnd w:id="150"/>
      <w:bookmarkEnd w:id="151"/>
      <w:bookmarkEnd w:id="152"/>
      <w:bookmarkEnd w:id="153"/>
      <w:bookmarkEnd w:id="154"/>
      <w:bookmarkEnd w:id="155"/>
      <w:bookmarkEnd w:id="156"/>
      <w:bookmarkEnd w:id="157"/>
      <w:bookmarkEnd w:id="158"/>
      <w:r>
        <w:rPr>
          <w:rFonts w:hint="eastAsia" w:cs="宋体"/>
          <w:color w:val="auto"/>
          <w:sz w:val="21"/>
          <w:szCs w:val="21"/>
          <w:highlight w:val="none"/>
        </w:rPr>
        <w:t>理人</w:t>
      </w:r>
      <w:bookmarkEnd w:id="147"/>
    </w:p>
    <w:p w14:paraId="3B25AA38">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4.1 监理人的一般规定</w:t>
      </w:r>
    </w:p>
    <w:p w14:paraId="5C613B7B">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ascii="宋体" w:cs="宋体"/>
          <w:color w:val="auto"/>
          <w:sz w:val="21"/>
          <w:szCs w:val="21"/>
          <w:highlight w:val="none"/>
          <w:u w:val="single"/>
          <w:shd w:val="clear" w:color="auto" w:fill="auto"/>
        </w:rPr>
        <w:t>详见监理合同</w:t>
      </w:r>
      <w:r>
        <w:rPr>
          <w:rFonts w:hint="eastAsia" w:cs="宋体"/>
          <w:color w:val="auto"/>
          <w:sz w:val="21"/>
          <w:szCs w:val="21"/>
          <w:highlight w:val="none"/>
        </w:rPr>
        <w:t>。</w:t>
      </w:r>
    </w:p>
    <w:p w14:paraId="0EA03A7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关于监理人的监理权限：</w:t>
      </w:r>
      <w:r>
        <w:rPr>
          <w:rFonts w:hint="eastAsia" w:ascii="宋体" w:cs="宋体"/>
          <w:color w:val="auto"/>
          <w:sz w:val="21"/>
          <w:szCs w:val="21"/>
          <w:highlight w:val="none"/>
          <w:u w:val="single"/>
          <w:shd w:val="clear" w:color="auto" w:fill="auto"/>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w:t>
      </w:r>
      <w:r>
        <w:rPr>
          <w:rFonts w:hint="eastAsia" w:cs="宋体"/>
          <w:color w:val="auto"/>
          <w:sz w:val="21"/>
          <w:szCs w:val="21"/>
          <w:highlight w:val="none"/>
        </w:rPr>
        <w:t>。</w:t>
      </w:r>
    </w:p>
    <w:p w14:paraId="6EFAC7A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ascii="宋体" w:cs="宋体"/>
          <w:color w:val="auto"/>
          <w:sz w:val="21"/>
          <w:szCs w:val="21"/>
          <w:highlight w:val="none"/>
          <w:u w:val="single"/>
          <w:shd w:val="clear" w:color="auto" w:fill="auto"/>
        </w:rPr>
        <w:t>办公场所由承包人提供和承担，生活场所由监理人自行解决和承担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FDB34B">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4.2 监理人员</w:t>
      </w:r>
    </w:p>
    <w:p w14:paraId="79AA925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总监理工程师：</w:t>
      </w:r>
    </w:p>
    <w:p w14:paraId="43DCF04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C9406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BCE26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31A4A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FDC35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5BA98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BD1A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8A20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4.4 商定或确定</w:t>
      </w:r>
    </w:p>
    <w:p w14:paraId="44B1A20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bookmarkStart w:id="159" w:name="_Toc267251418"/>
      <w:r>
        <w:rPr>
          <w:rFonts w:hint="eastAsia" w:cs="宋体"/>
          <w:color w:val="auto"/>
          <w:sz w:val="21"/>
          <w:szCs w:val="21"/>
          <w:highlight w:val="none"/>
        </w:rPr>
        <w:t>在发包人和承包人不能通过协商达成一致意见时，发包人授权监理人对以下事项进行确定：</w:t>
      </w:r>
    </w:p>
    <w:p w14:paraId="2D7F948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施工方案</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3CA00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索赔事项等</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4421C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5490E4">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160" w:name="_Toc351203637"/>
      <w:r>
        <w:rPr>
          <w:rFonts w:hint="eastAsia" w:cs="宋体"/>
          <w:color w:val="auto"/>
          <w:sz w:val="21"/>
          <w:szCs w:val="21"/>
          <w:highlight w:val="none"/>
        </w:rPr>
        <w:t>5</w:t>
      </w:r>
      <w:bookmarkEnd w:id="159"/>
      <w:bookmarkStart w:id="161" w:name="_Toc292559872"/>
      <w:bookmarkStart w:id="162" w:name="_Toc292559367"/>
      <w:bookmarkStart w:id="163" w:name="_Toc296347162"/>
      <w:bookmarkStart w:id="164" w:name="_Toc296890991"/>
      <w:bookmarkStart w:id="165" w:name="_Toc297120463"/>
      <w:bookmarkStart w:id="166" w:name="_Toc296891203"/>
      <w:bookmarkStart w:id="167" w:name="_Toc297048349"/>
      <w:bookmarkStart w:id="168" w:name="_Toc296944502"/>
      <w:bookmarkStart w:id="169" w:name="_Toc296346664"/>
      <w:bookmarkStart w:id="170" w:name="_Toc296503163"/>
      <w:r>
        <w:rPr>
          <w:rFonts w:hint="eastAsia" w:cs="宋体"/>
          <w:color w:val="auto"/>
          <w:sz w:val="21"/>
          <w:szCs w:val="21"/>
          <w:highlight w:val="none"/>
        </w:rPr>
        <w:t>. 工程质量</w:t>
      </w:r>
      <w:bookmarkEnd w:id="160"/>
    </w:p>
    <w:p w14:paraId="7184F254">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5.1 质量要求</w:t>
      </w:r>
    </w:p>
    <w:p w14:paraId="7E16412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5</w:t>
      </w:r>
      <w:bookmarkStart w:id="171" w:name="_Toc312677997"/>
      <w:bookmarkStart w:id="172" w:name="_Toc304295527"/>
      <w:bookmarkStart w:id="173" w:name="_Toc297216155"/>
      <w:bookmarkStart w:id="174" w:name="_Toc318581164"/>
      <w:bookmarkStart w:id="175" w:name="_Toc303539106"/>
      <w:bookmarkStart w:id="176" w:name="_Toc300934949"/>
      <w:bookmarkStart w:id="177" w:name="_Toc297123496"/>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BB0BD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2FE67C">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bookmarkStart w:id="178" w:name="_Toc351203638"/>
      <w:r>
        <w:rPr>
          <w:rFonts w:hint="eastAsia" w:cs="宋体"/>
          <w:color w:val="auto"/>
          <w:sz w:val="21"/>
          <w:szCs w:val="21"/>
          <w:highlight w:val="none"/>
        </w:rPr>
        <w:t>关于建造要求：</w:t>
      </w:r>
    </w:p>
    <w:p w14:paraId="277D56E6">
      <w:pPr>
        <w:pStyle w:val="13"/>
        <w:pageBreakBefore w:val="0"/>
        <w:widowControl w:val="0"/>
        <w:kinsoku/>
        <w:wordWrap/>
        <w:overflowPunct/>
        <w:topLinePunct w:val="0"/>
        <w:bidi w:val="0"/>
        <w:snapToGrid w:val="0"/>
        <w:spacing w:line="400" w:lineRule="exact"/>
        <w:ind w:firstLine="480"/>
        <w:textAlignment w:val="auto"/>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3F0A21">
      <w:pPr>
        <w:pStyle w:val="13"/>
        <w:pageBreakBefore w:val="0"/>
        <w:widowControl w:val="0"/>
        <w:kinsoku/>
        <w:wordWrap/>
        <w:overflowPunct/>
        <w:topLinePunct w:val="0"/>
        <w:bidi w:val="0"/>
        <w:snapToGrid w:val="0"/>
        <w:spacing w:line="400" w:lineRule="exact"/>
        <w:ind w:firstLine="480"/>
        <w:textAlignment w:val="auto"/>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5D0720">
      <w:pPr>
        <w:pStyle w:val="13"/>
        <w:pageBreakBefore w:val="0"/>
        <w:widowControl w:val="0"/>
        <w:kinsoku/>
        <w:wordWrap/>
        <w:overflowPunct/>
        <w:topLinePunct w:val="0"/>
        <w:bidi w:val="0"/>
        <w:snapToGrid w:val="0"/>
        <w:spacing w:line="400" w:lineRule="exact"/>
        <w:ind w:firstLine="480"/>
        <w:textAlignment w:val="auto"/>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DB87896">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171127">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0D758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5.3 隐蔽工程检查</w:t>
      </w:r>
    </w:p>
    <w:p w14:paraId="497E6C46">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5.3.1隐蔽工程隐蔽前，承包人应当对工程隐蔽部位进行自检，并经自检确认是否具备覆盖条件。</w:t>
      </w:r>
    </w:p>
    <w:p w14:paraId="75209A5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7DF77F2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D8BAFE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1A28D9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监理人不能按时进行检查时，应提前</w:t>
      </w:r>
      <w:r>
        <w:rPr>
          <w:rFonts w:hint="eastAsia" w:ascii="宋体" w:cs="宋体"/>
          <w:color w:val="auto"/>
          <w:sz w:val="21"/>
          <w:szCs w:val="21"/>
          <w:highlight w:val="none"/>
          <w:u w:val="single"/>
          <w:shd w:val="clear" w:color="auto" w:fill="auto"/>
        </w:rPr>
        <w:t xml:space="preserve">  3  </w:t>
      </w:r>
      <w:r>
        <w:rPr>
          <w:rFonts w:hint="eastAsia" w:ascii="宋体" w:cs="宋体"/>
          <w:color w:val="auto"/>
          <w:sz w:val="21"/>
          <w:szCs w:val="21"/>
          <w:highlight w:val="none"/>
          <w:shd w:val="clear" w:color="auto" w:fill="auto"/>
        </w:rPr>
        <w:t>小时提交书面延期要求。</w:t>
      </w:r>
    </w:p>
    <w:p w14:paraId="2516C88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ascii="宋体" w:cs="宋体"/>
          <w:color w:val="auto"/>
          <w:sz w:val="21"/>
          <w:szCs w:val="21"/>
          <w:highlight w:val="none"/>
          <w:shd w:val="clear" w:color="auto" w:fill="auto"/>
        </w:rPr>
        <w:t>关于延期最长不得超过：</w:t>
      </w:r>
      <w:r>
        <w:rPr>
          <w:rFonts w:hint="eastAsia" w:ascii="宋体" w:cs="宋体"/>
          <w:color w:val="auto"/>
          <w:sz w:val="21"/>
          <w:szCs w:val="21"/>
          <w:highlight w:val="none"/>
          <w:u w:val="single"/>
          <w:shd w:val="clear" w:color="auto" w:fill="auto"/>
        </w:rPr>
        <w:t xml:space="preserve">  6  </w:t>
      </w:r>
      <w:r>
        <w:rPr>
          <w:rFonts w:hint="eastAsia" w:ascii="宋体" w:cs="宋体"/>
          <w:color w:val="auto"/>
          <w:sz w:val="21"/>
          <w:szCs w:val="21"/>
          <w:highlight w:val="none"/>
          <w:shd w:val="clear" w:color="auto" w:fill="auto"/>
        </w:rPr>
        <w:t>小时</w:t>
      </w:r>
      <w:r>
        <w:rPr>
          <w:rFonts w:hint="eastAsia" w:cs="宋体"/>
          <w:color w:val="auto"/>
          <w:sz w:val="21"/>
          <w:szCs w:val="21"/>
          <w:highlight w:val="none"/>
        </w:rPr>
        <w:t>。</w:t>
      </w:r>
    </w:p>
    <w:p w14:paraId="7AEB1AA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5</w:t>
      </w:r>
      <w:bookmarkStart w:id="179" w:name="_Toc337558762"/>
      <w:r>
        <w:rPr>
          <w:rFonts w:hint="eastAsia" w:cs="宋体"/>
          <w:bCs/>
          <w:color w:val="auto"/>
          <w:sz w:val="21"/>
          <w:szCs w:val="21"/>
          <w:highlight w:val="none"/>
        </w:rPr>
        <w:t>.4 不合格工程的处理</w:t>
      </w:r>
    </w:p>
    <w:bookmarkEnd w:id="179"/>
    <w:p w14:paraId="4E289058">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本款补充5.4.3项：</w:t>
      </w:r>
    </w:p>
    <w:p w14:paraId="54718DA8">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32F15EF">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本条补充5.6款：</w:t>
      </w:r>
    </w:p>
    <w:p w14:paraId="33049C28">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bookmarkStart w:id="180" w:name="_Toc532377348"/>
      <w:r>
        <w:rPr>
          <w:rFonts w:hint="eastAsia" w:cs="宋体"/>
          <w:bCs/>
          <w:color w:val="auto"/>
          <w:sz w:val="21"/>
          <w:szCs w:val="21"/>
          <w:highlight w:val="none"/>
        </w:rPr>
        <w:t>5.6 质量事故的处理</w:t>
      </w:r>
      <w:bookmarkEnd w:id="180"/>
    </w:p>
    <w:p w14:paraId="116D573E">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DE199C4">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BDDC724">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78"/>
    </w:p>
    <w:p w14:paraId="0A71D13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6.1 安全文明施工</w:t>
      </w:r>
    </w:p>
    <w:bookmarkEnd w:id="171"/>
    <w:bookmarkEnd w:id="172"/>
    <w:bookmarkEnd w:id="173"/>
    <w:bookmarkEnd w:id="174"/>
    <w:bookmarkEnd w:id="175"/>
    <w:bookmarkEnd w:id="176"/>
    <w:bookmarkEnd w:id="177"/>
    <w:p w14:paraId="5C3E22E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bookmarkStart w:id="181" w:name="_Toc351203639"/>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DFFAE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ascii="宋体" w:cs="宋体"/>
          <w:color w:val="auto"/>
          <w:sz w:val="21"/>
          <w:szCs w:val="21"/>
          <w:highlight w:val="none"/>
          <w:u w:val="single"/>
          <w:shd w:val="clear" w:color="auto" w:fill="auto"/>
        </w:rPr>
        <w:t>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rFonts w:hint="eastAsia" w:cs="宋体"/>
          <w:color w:val="auto"/>
          <w:sz w:val="21"/>
          <w:szCs w:val="21"/>
          <w:highlight w:val="none"/>
        </w:rPr>
        <w:t>。</w:t>
      </w:r>
    </w:p>
    <w:p w14:paraId="282F746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由承包人负责</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6EFDD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6.1.5 文明施工</w:t>
      </w:r>
    </w:p>
    <w:p w14:paraId="4C10607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D6968A">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w:t>
      </w:r>
      <w:r>
        <w:rPr>
          <w:rFonts w:hint="eastAsia" w:ascii="宋体" w:hAnsi="宋体" w:cs="宋体"/>
          <w:bCs/>
          <w:color w:val="auto"/>
          <w:sz w:val="21"/>
          <w:szCs w:val="21"/>
          <w:highlight w:val="none"/>
          <w:u w:val="single"/>
          <w:shd w:val="clear" w:color="auto" w:fill="auto"/>
        </w:rPr>
        <w:t>按照《关于落实&lt;市规建委关于规范建设工程安全防护和文明施工措施费使用管理的通知&gt;的意见》，支付方式为：房建工程基础验收合格后支付40%，主体结构施工封</w:t>
      </w:r>
      <w:r>
        <w:rPr>
          <w:rFonts w:hint="eastAsia" w:ascii="宋体" w:hAnsi="宋体" w:cs="宋体"/>
          <w:bCs/>
          <w:color w:val="auto"/>
          <w:sz w:val="21"/>
          <w:szCs w:val="21"/>
          <w:highlight w:val="none"/>
          <w:u w:val="single"/>
          <w:shd w:val="clear" w:color="auto" w:fill="auto"/>
          <w:lang w:val="en-US" w:eastAsia="zh-CN"/>
        </w:rPr>
        <w:t>顶</w:t>
      </w:r>
      <w:r>
        <w:rPr>
          <w:rFonts w:hint="eastAsia" w:ascii="宋体" w:hAnsi="宋体" w:cs="宋体"/>
          <w:bCs/>
          <w:color w:val="auto"/>
          <w:sz w:val="21"/>
          <w:szCs w:val="21"/>
          <w:highlight w:val="none"/>
          <w:u w:val="single"/>
          <w:shd w:val="clear" w:color="auto" w:fill="auto"/>
        </w:rPr>
        <w:t>支付40%，工程初验合格支付剩余20%；市政基础设施工程正常开工并达到第一期工程请款条件时支付50%，工程初验合格后支付剩余50%。该费用付至施工企业在银行开立的专户。施工企业应当确保安全防护、文明施工措施费专款专用，在财务管理中单独列出安全防护、文明施工措施项目费用清单备查</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52F9140">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r>
        <w:rPr>
          <w:rFonts w:hint="eastAsia" w:cs="宋体"/>
          <w:color w:val="auto"/>
          <w:sz w:val="21"/>
          <w:szCs w:val="21"/>
          <w:highlight w:val="none"/>
        </w:rPr>
        <w:t>7. 工期和进度</w:t>
      </w:r>
      <w:bookmarkEnd w:id="181"/>
    </w:p>
    <w:p w14:paraId="02DD7C4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7.1 施工组织设计</w:t>
      </w:r>
    </w:p>
    <w:p w14:paraId="6FC5297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lang w:val="en-US" w:eastAsia="zh-CN"/>
        </w:rPr>
        <w:t>本工程需按照总进度计划编制每月施工进度计划，经监理、发包人审批后作为进度考核和进度款支付的依据。</w:t>
      </w:r>
    </w:p>
    <w:p w14:paraId="7A50F64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7.1.2 施工组织设计的提交和修改</w:t>
      </w:r>
    </w:p>
    <w:p w14:paraId="182F94E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lang w:val="en-US" w:eastAsia="zh-CN"/>
        </w:rPr>
        <w:t>图纸会审及设计交底后一周内提供标后实施性施工组织设计</w:t>
      </w:r>
      <w:r>
        <w:rPr>
          <w:rFonts w:hint="eastAsia" w:cs="宋体"/>
          <w:color w:val="auto"/>
          <w:sz w:val="21"/>
          <w:szCs w:val="21"/>
          <w:highlight w:val="none"/>
        </w:rPr>
        <w:t>。</w:t>
      </w:r>
    </w:p>
    <w:p w14:paraId="3EB2BE8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lang w:val="en-US" w:eastAsia="zh-CN"/>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C1632F">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182" w:name="_Toc304295541"/>
      <w:bookmarkStart w:id="183" w:name="_Toc312678005"/>
      <w:bookmarkStart w:id="184" w:name="_Toc297123514"/>
      <w:bookmarkStart w:id="185" w:name="_Toc297216173"/>
      <w:bookmarkStart w:id="186" w:name="_Toc303539123"/>
      <w:bookmarkStart w:id="187" w:name="_Toc312677479"/>
      <w:bookmarkStart w:id="188" w:name="_Toc300934966"/>
      <w:r>
        <w:rPr>
          <w:rFonts w:hint="eastAsia" w:cs="宋体"/>
          <w:bCs/>
          <w:color w:val="auto"/>
          <w:sz w:val="21"/>
          <w:szCs w:val="21"/>
          <w:highlight w:val="none"/>
        </w:rPr>
        <w:t>.2 施工进度计划</w:t>
      </w:r>
    </w:p>
    <w:p w14:paraId="19A1A32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7.2.2 施工进度计划的修订</w:t>
      </w:r>
    </w:p>
    <w:p w14:paraId="10261D9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lang w:val="en-US" w:eastAsia="zh-CN"/>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r>
        <w:rPr>
          <w:rFonts w:hint="eastAsia" w:cs="宋体"/>
          <w:color w:val="auto"/>
          <w:sz w:val="21"/>
          <w:szCs w:val="21"/>
          <w:highlight w:val="none"/>
        </w:rPr>
        <w:t>。</w:t>
      </w:r>
    </w:p>
    <w:p w14:paraId="392E549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7.3 开工</w:t>
      </w:r>
    </w:p>
    <w:p w14:paraId="22B493B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7.3.1 开工准备</w:t>
      </w:r>
    </w:p>
    <w:p w14:paraId="382747F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lang w:val="en-US" w:eastAsia="zh-CN"/>
        </w:rPr>
        <w:t>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r>
        <w:rPr>
          <w:rFonts w:hint="eastAsia" w:cs="宋体"/>
          <w:color w:val="auto"/>
          <w:sz w:val="21"/>
          <w:szCs w:val="21"/>
          <w:highlight w:val="none"/>
        </w:rPr>
        <w:t>。</w:t>
      </w:r>
    </w:p>
    <w:p w14:paraId="4380A56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lang w:val="en-US" w:eastAsia="zh-CN"/>
        </w:rPr>
        <w:t>合同当事人应按约定完成开工准备工作</w:t>
      </w:r>
      <w:r>
        <w:rPr>
          <w:rFonts w:hint="eastAsia" w:cs="宋体"/>
          <w:color w:val="auto"/>
          <w:sz w:val="21"/>
          <w:szCs w:val="21"/>
          <w:highlight w:val="none"/>
        </w:rPr>
        <w:t>。</w:t>
      </w:r>
    </w:p>
    <w:p w14:paraId="6943DFA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lang w:val="en-US" w:eastAsia="zh-CN"/>
        </w:rPr>
        <w:t>合同当事人应按约定完成开工准备工作</w:t>
      </w:r>
      <w:r>
        <w:rPr>
          <w:rFonts w:hint="eastAsia" w:cs="宋体"/>
          <w:color w:val="auto"/>
          <w:sz w:val="21"/>
          <w:szCs w:val="21"/>
          <w:highlight w:val="none"/>
        </w:rPr>
        <w:t>。</w:t>
      </w:r>
    </w:p>
    <w:p w14:paraId="0AC9A9C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7.3.2 开工通知</w:t>
      </w:r>
    </w:p>
    <w:p w14:paraId="1B2DE37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90</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2"/>
    <w:bookmarkEnd w:id="183"/>
    <w:bookmarkEnd w:id="184"/>
    <w:bookmarkEnd w:id="185"/>
    <w:bookmarkEnd w:id="186"/>
    <w:bookmarkEnd w:id="187"/>
    <w:bookmarkEnd w:id="188"/>
    <w:p w14:paraId="2464084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7.4 测量放线</w:t>
      </w:r>
    </w:p>
    <w:p w14:paraId="0EE2A44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 </w:t>
      </w:r>
      <w:r>
        <w:rPr>
          <w:rFonts w:hint="eastAsia" w:cs="宋体"/>
          <w:color w:val="auto"/>
          <w:sz w:val="21"/>
          <w:szCs w:val="21"/>
          <w:highlight w:val="none"/>
        </w:rPr>
        <w:t>。</w:t>
      </w:r>
    </w:p>
    <w:p w14:paraId="2D52F01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189" w:name="_Toc312678010"/>
      <w:bookmarkStart w:id="190" w:name="_Toc297216175"/>
      <w:bookmarkStart w:id="191" w:name="_Toc300934968"/>
      <w:bookmarkStart w:id="192" w:name="_Toc312677484"/>
      <w:bookmarkStart w:id="193" w:name="_Toc304295546"/>
      <w:bookmarkStart w:id="194" w:name="_Toc303539125"/>
      <w:bookmarkStart w:id="195" w:name="_Toc297123516"/>
      <w:r>
        <w:rPr>
          <w:rFonts w:hint="eastAsia" w:cs="宋体"/>
          <w:bCs/>
          <w:color w:val="auto"/>
          <w:sz w:val="21"/>
          <w:szCs w:val="21"/>
          <w:highlight w:val="none"/>
        </w:rPr>
        <w:t>.5 工期延误</w:t>
      </w:r>
    </w:p>
    <w:bookmarkEnd w:id="189"/>
    <w:bookmarkEnd w:id="190"/>
    <w:bookmarkEnd w:id="191"/>
    <w:bookmarkEnd w:id="192"/>
    <w:bookmarkEnd w:id="193"/>
    <w:bookmarkEnd w:id="194"/>
    <w:bookmarkEnd w:id="195"/>
    <w:p w14:paraId="06EB59D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7.5.1 因发包人原因导致工期延误</w:t>
      </w:r>
    </w:p>
    <w:p w14:paraId="16E740D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27AE3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w:t>
      </w:r>
      <w:bookmarkStart w:id="196" w:name="_Toc312678012"/>
      <w:bookmarkStart w:id="197" w:name="_Toc318581169"/>
      <w:bookmarkStart w:id="198" w:name="_Toc312677486"/>
      <w:bookmarkStart w:id="199" w:name="_Toc297216177"/>
      <w:bookmarkStart w:id="200" w:name="_Toc304295548"/>
      <w:bookmarkStart w:id="201" w:name="_Toc300934970"/>
      <w:bookmarkStart w:id="202" w:name="_Toc297123518"/>
      <w:bookmarkStart w:id="203" w:name="_Toc303539127"/>
      <w:r>
        <w:rPr>
          <w:rFonts w:hint="eastAsia" w:cs="宋体"/>
          <w:color w:val="auto"/>
          <w:sz w:val="21"/>
          <w:szCs w:val="21"/>
          <w:highlight w:val="none"/>
        </w:rPr>
        <w:t>.5.2 因承包人原因导致工期延误</w:t>
      </w:r>
    </w:p>
    <w:bookmarkEnd w:id="196"/>
    <w:bookmarkEnd w:id="197"/>
    <w:bookmarkEnd w:id="198"/>
    <w:p w14:paraId="56BB168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因</w:t>
      </w:r>
      <w:bookmarkStart w:id="204" w:name="_Toc312677487"/>
      <w:bookmarkStart w:id="205" w:name="_Toc312678013"/>
      <w:bookmarkStart w:id="206"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199"/>
      <w:bookmarkEnd w:id="200"/>
      <w:bookmarkEnd w:id="201"/>
      <w:bookmarkEnd w:id="202"/>
      <w:bookmarkEnd w:id="203"/>
      <w:bookmarkEnd w:id="204"/>
      <w:bookmarkEnd w:id="205"/>
    </w:p>
    <w:bookmarkEnd w:id="206"/>
    <w:p w14:paraId="42688FF9">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因承包人原因造成工期延误，逾</w:t>
      </w:r>
      <w:bookmarkStart w:id="207" w:name="_Toc318581171"/>
      <w:bookmarkStart w:id="208" w:name="_Toc312678014"/>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D8E1C31">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u w:val="single"/>
        </w:rPr>
      </w:pPr>
      <w:r>
        <w:rPr>
          <w:rFonts w:hint="eastAsia" w:cs="宋体"/>
          <w:color w:val="auto"/>
          <w:sz w:val="21"/>
          <w:szCs w:val="21"/>
          <w:highlight w:val="none"/>
          <w:u w:val="single"/>
        </w:rPr>
        <w:t>（1）督促承包人采取有效的赶工措施（费用自理）；</w:t>
      </w:r>
    </w:p>
    <w:p w14:paraId="1D8A2851">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u w:val="single"/>
        </w:rPr>
      </w:pPr>
      <w:r>
        <w:rPr>
          <w:rFonts w:hint="eastAsia" w:cs="宋体"/>
          <w:color w:val="auto"/>
          <w:sz w:val="21"/>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14:paraId="3FA362C2">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u w:val="single"/>
        </w:rPr>
        <w:t>（3）对严重拖延工期，经发包人多次督促，承包人拒不执行的，发包人可中止施工合同，并和承包人进行清算。同时按原</w:t>
      </w:r>
      <w:r>
        <w:rPr>
          <w:rFonts w:hint="eastAsia" w:cs="宋体"/>
          <w:color w:val="auto"/>
          <w:sz w:val="21"/>
          <w:szCs w:val="21"/>
          <w:highlight w:val="none"/>
          <w:u w:val="single"/>
          <w:lang w:val="en-US" w:eastAsia="zh-CN"/>
        </w:rPr>
        <w:t>成交</w:t>
      </w:r>
      <w:r>
        <w:rPr>
          <w:rFonts w:hint="eastAsia" w:cs="宋体"/>
          <w:color w:val="auto"/>
          <w:sz w:val="21"/>
          <w:szCs w:val="21"/>
          <w:highlight w:val="none"/>
          <w:u w:val="single"/>
        </w:rPr>
        <w:t xml:space="preserve">价格另选同样资质的施工队伍进场施工，原承包人须无条件配合，不得以任何借口阻挠另选的施工队伍施工，不得向发包人提出任何索赔要求，详见补充条款。  </w:t>
      </w:r>
    </w:p>
    <w:bookmarkEnd w:id="207"/>
    <w:bookmarkEnd w:id="208"/>
    <w:p w14:paraId="35EE880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209" w:name="_Toc297216178"/>
      <w:bookmarkStart w:id="210" w:name="_Toc297123519"/>
      <w:bookmarkStart w:id="211" w:name="_Toc303539128"/>
      <w:bookmarkStart w:id="212" w:name="_Toc304295549"/>
      <w:bookmarkStart w:id="213" w:name="_Toc300934971"/>
      <w:bookmarkStart w:id="214" w:name="_Toc312678015"/>
      <w:r>
        <w:rPr>
          <w:rFonts w:hint="eastAsia" w:cs="宋体"/>
          <w:bCs/>
          <w:color w:val="auto"/>
          <w:sz w:val="21"/>
          <w:szCs w:val="21"/>
          <w:highlight w:val="none"/>
        </w:rPr>
        <w:t>.6 不</w:t>
      </w:r>
      <w:bookmarkEnd w:id="209"/>
      <w:bookmarkEnd w:id="210"/>
      <w:bookmarkEnd w:id="211"/>
      <w:bookmarkEnd w:id="212"/>
      <w:bookmarkEnd w:id="213"/>
      <w:bookmarkEnd w:id="214"/>
      <w:r>
        <w:rPr>
          <w:rFonts w:hint="eastAsia" w:cs="宋体"/>
          <w:bCs/>
          <w:color w:val="auto"/>
          <w:sz w:val="21"/>
          <w:szCs w:val="21"/>
          <w:highlight w:val="none"/>
        </w:rPr>
        <w:t>利物质条件</w:t>
      </w:r>
    </w:p>
    <w:p w14:paraId="55BA368D">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bookmarkStart w:id="215" w:name="_Toc300934972"/>
      <w:bookmarkStart w:id="216" w:name="_Toc297216179"/>
      <w:bookmarkStart w:id="217" w:name="_Toc303539129"/>
      <w:bookmarkStart w:id="218" w:name="_Toc312678016"/>
      <w:bookmarkStart w:id="219" w:name="_Toc297123520"/>
      <w:bookmarkStart w:id="220" w:name="_Toc304295550"/>
      <w:bookmarkStart w:id="221" w:name="_Toc318581172"/>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15"/>
    <w:bookmarkEnd w:id="216"/>
    <w:bookmarkEnd w:id="217"/>
    <w:bookmarkEnd w:id="218"/>
    <w:bookmarkEnd w:id="219"/>
    <w:bookmarkEnd w:id="220"/>
    <w:bookmarkEnd w:id="221"/>
    <w:p w14:paraId="4E43F5B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222" w:name="_Toc303539130"/>
      <w:bookmarkStart w:id="223" w:name="_Toc297216180"/>
      <w:bookmarkStart w:id="224" w:name="_Toc312678017"/>
      <w:bookmarkStart w:id="225" w:name="_Toc297123521"/>
      <w:bookmarkStart w:id="226" w:name="_Toc300934973"/>
      <w:bookmarkStart w:id="227" w:name="_Toc304295551"/>
      <w:r>
        <w:rPr>
          <w:rFonts w:hint="eastAsia" w:cs="宋体"/>
          <w:bCs/>
          <w:color w:val="auto"/>
          <w:sz w:val="21"/>
          <w:szCs w:val="21"/>
          <w:highlight w:val="none"/>
        </w:rPr>
        <w:t>.7 异常恶劣的气候条件</w:t>
      </w:r>
    </w:p>
    <w:bookmarkEnd w:id="222"/>
    <w:bookmarkEnd w:id="223"/>
    <w:bookmarkEnd w:id="224"/>
    <w:bookmarkEnd w:id="225"/>
    <w:bookmarkEnd w:id="226"/>
    <w:bookmarkEnd w:id="227"/>
    <w:p w14:paraId="0CB840B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74A8493F">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403E1B">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6E6D89">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无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C6759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7.9 提前竣工</w:t>
      </w:r>
    </w:p>
    <w:p w14:paraId="61BCB64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238E138">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228" w:name="_Toc351203640"/>
      <w:r>
        <w:rPr>
          <w:rFonts w:hint="eastAsia" w:cs="宋体"/>
          <w:color w:val="auto"/>
          <w:sz w:val="21"/>
          <w:szCs w:val="21"/>
          <w:highlight w:val="none"/>
        </w:rPr>
        <w:t>8. 材料与设备</w:t>
      </w:r>
      <w:bookmarkEnd w:id="228"/>
    </w:p>
    <w:bookmarkEnd w:id="161"/>
    <w:bookmarkEnd w:id="162"/>
    <w:bookmarkEnd w:id="163"/>
    <w:bookmarkEnd w:id="164"/>
    <w:bookmarkEnd w:id="165"/>
    <w:bookmarkEnd w:id="166"/>
    <w:bookmarkEnd w:id="167"/>
    <w:bookmarkEnd w:id="168"/>
    <w:bookmarkEnd w:id="169"/>
    <w:bookmarkEnd w:id="170"/>
    <w:p w14:paraId="7D52BD8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8</w:t>
      </w:r>
      <w:bookmarkStart w:id="229" w:name="_Toc312678019"/>
      <w:bookmarkStart w:id="230" w:name="_Toc280868654"/>
      <w:bookmarkStart w:id="231" w:name="_Toc297216186"/>
      <w:bookmarkStart w:id="232" w:name="_Toc296890995"/>
      <w:bookmarkStart w:id="233" w:name="_Toc304295556"/>
      <w:bookmarkStart w:id="234" w:name="_Toc303539136"/>
      <w:bookmarkStart w:id="235" w:name="_Toc296944506"/>
      <w:bookmarkStart w:id="236" w:name="_Toc292559877"/>
      <w:bookmarkStart w:id="237" w:name="_Toc297120467"/>
      <w:bookmarkStart w:id="238" w:name="_Toc296503167"/>
      <w:bookmarkStart w:id="239" w:name="_Toc297123527"/>
      <w:bookmarkStart w:id="240" w:name="_Toc296347166"/>
      <w:bookmarkStart w:id="241" w:name="_Toc300934979"/>
      <w:bookmarkStart w:id="242" w:name="_Toc296346668"/>
      <w:bookmarkStart w:id="243" w:name="_Toc312677493"/>
      <w:bookmarkStart w:id="244" w:name="_Toc292559372"/>
      <w:bookmarkStart w:id="245" w:name="_Toc297048353"/>
      <w:bookmarkStart w:id="246" w:name="_Toc296891207"/>
      <w:bookmarkStart w:id="247" w:name="_Toc280868656"/>
      <w:bookmarkStart w:id="248" w:name="_Toc280868655"/>
      <w:bookmarkStart w:id="249" w:name="_Toc267251424"/>
      <w:r>
        <w:rPr>
          <w:rFonts w:hint="eastAsia" w:cs="宋体"/>
          <w:color w:val="auto"/>
          <w:sz w:val="21"/>
          <w:szCs w:val="21"/>
          <w:highlight w:val="none"/>
        </w:rPr>
        <w:t>.4 材料与工程设备的保管与使用</w:t>
      </w: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7E6E510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8</w:t>
      </w:r>
      <w:bookmarkStart w:id="250" w:name="_Toc292559878"/>
      <w:bookmarkStart w:id="251" w:name="_Toc292559373"/>
      <w:bookmarkStart w:id="252" w:name="_Toc296503168"/>
      <w:bookmarkStart w:id="253" w:name="_Toc312677494"/>
      <w:bookmarkStart w:id="254" w:name="_Toc303539137"/>
      <w:bookmarkStart w:id="255" w:name="_Toc297120468"/>
      <w:bookmarkStart w:id="256" w:name="_Toc318581173"/>
      <w:bookmarkStart w:id="257" w:name="_Toc296944507"/>
      <w:bookmarkStart w:id="258" w:name="_Toc296347167"/>
      <w:bookmarkStart w:id="259" w:name="_Toc296346669"/>
      <w:bookmarkStart w:id="260" w:name="_Toc312678020"/>
      <w:bookmarkStart w:id="261" w:name="_Toc300934980"/>
      <w:bookmarkStart w:id="262" w:name="_Toc297216187"/>
      <w:bookmarkStart w:id="263" w:name="_Toc296890996"/>
      <w:bookmarkStart w:id="264" w:name="_Toc297123528"/>
      <w:bookmarkStart w:id="265" w:name="_Toc296891208"/>
      <w:bookmarkStart w:id="266" w:name="_Toc297048354"/>
      <w:bookmarkStart w:id="267" w:name="_Toc304295557"/>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0"/>
      <w:bookmarkEnd w:id="251"/>
    </w:p>
    <w:p w14:paraId="2D1531E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8.6 样品</w:t>
      </w:r>
    </w:p>
    <w:p w14:paraId="710FFCB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8.6.1 样品的报送与封存</w:t>
      </w:r>
    </w:p>
    <w:p w14:paraId="74BB4C4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2D6C0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8.8 施工设备和临时设施</w:t>
      </w:r>
    </w:p>
    <w:p w14:paraId="5826692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8.8.1 承包人提供的施工设备和临时设施</w:t>
      </w:r>
    </w:p>
    <w:p w14:paraId="0D7B077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由承包人自行承担费用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59347D2">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268" w:name="_Toc351203641"/>
      <w:r>
        <w:rPr>
          <w:rFonts w:hint="eastAsia" w:cs="宋体"/>
          <w:color w:val="auto"/>
          <w:sz w:val="21"/>
          <w:szCs w:val="21"/>
          <w:highlight w:val="none"/>
        </w:rPr>
        <w:t>9</w:t>
      </w:r>
      <w:bookmarkEnd w:id="247"/>
      <w:bookmarkEnd w:id="248"/>
      <w:bookmarkEnd w:id="249"/>
      <w:bookmarkStart w:id="269" w:name="_Toc303539139"/>
      <w:bookmarkStart w:id="270" w:name="_Toc297123533"/>
      <w:bookmarkStart w:id="271" w:name="_Toc300934982"/>
      <w:bookmarkStart w:id="272" w:name="_Toc297216192"/>
      <w:bookmarkStart w:id="273" w:name="_Toc312677495"/>
      <w:bookmarkStart w:id="274" w:name="_Toc312678021"/>
      <w:bookmarkStart w:id="275" w:name="_Toc304295559"/>
      <w:bookmarkStart w:id="276" w:name="_Toc297048359"/>
      <w:bookmarkStart w:id="277" w:name="_Toc296891213"/>
      <w:bookmarkStart w:id="278" w:name="_Toc267251427"/>
      <w:bookmarkStart w:id="279" w:name="_Toc296503173"/>
      <w:bookmarkStart w:id="280" w:name="_Toc296347172"/>
      <w:bookmarkStart w:id="281" w:name="_Toc296891001"/>
      <w:bookmarkStart w:id="282" w:name="_Toc292559378"/>
      <w:bookmarkStart w:id="283" w:name="_Toc267251428"/>
      <w:bookmarkStart w:id="284" w:name="_Toc297120473"/>
      <w:bookmarkStart w:id="285" w:name="_Toc296346674"/>
      <w:bookmarkStart w:id="286" w:name="_Toc292559883"/>
      <w:bookmarkStart w:id="287" w:name="_Toc296944512"/>
      <w:r>
        <w:rPr>
          <w:rFonts w:hint="eastAsia" w:cs="宋体"/>
          <w:color w:val="auto"/>
          <w:sz w:val="21"/>
          <w:szCs w:val="21"/>
          <w:highlight w:val="none"/>
        </w:rPr>
        <w:t>. 试验与检验</w:t>
      </w:r>
      <w:bookmarkEnd w:id="268"/>
    </w:p>
    <w:bookmarkEnd w:id="269"/>
    <w:bookmarkEnd w:id="270"/>
    <w:bookmarkEnd w:id="271"/>
    <w:bookmarkEnd w:id="272"/>
    <w:bookmarkEnd w:id="273"/>
    <w:bookmarkEnd w:id="274"/>
    <w:bookmarkEnd w:id="275"/>
    <w:p w14:paraId="13E65E4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9</w:t>
      </w:r>
      <w:bookmarkStart w:id="288" w:name="_Toc304295560"/>
      <w:bookmarkStart w:id="289" w:name="_Toc312678022"/>
      <w:bookmarkStart w:id="290" w:name="_Toc312677496"/>
      <w:bookmarkStart w:id="291" w:name="_Toc297216193"/>
      <w:bookmarkStart w:id="292" w:name="_Toc300934983"/>
      <w:bookmarkStart w:id="293" w:name="_Toc303539140"/>
      <w:bookmarkStart w:id="294" w:name="_Toc297123534"/>
      <w:r>
        <w:rPr>
          <w:rFonts w:hint="eastAsia" w:cs="宋体"/>
          <w:bCs/>
          <w:color w:val="auto"/>
          <w:sz w:val="21"/>
          <w:szCs w:val="21"/>
          <w:highlight w:val="none"/>
        </w:rPr>
        <w:t>.1 试验设备与试验人员</w:t>
      </w:r>
    </w:p>
    <w:bookmarkEnd w:id="288"/>
    <w:bookmarkEnd w:id="289"/>
    <w:bookmarkEnd w:id="290"/>
    <w:bookmarkEnd w:id="291"/>
    <w:bookmarkEnd w:id="292"/>
    <w:bookmarkEnd w:id="293"/>
    <w:bookmarkEnd w:id="294"/>
    <w:p w14:paraId="3B0F642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9</w:t>
      </w:r>
      <w:bookmarkStart w:id="295" w:name="_Toc303539141"/>
      <w:bookmarkStart w:id="296" w:name="_Toc297123535"/>
      <w:bookmarkStart w:id="297" w:name="_Toc300934984"/>
      <w:bookmarkStart w:id="298" w:name="_Toc312678023"/>
      <w:bookmarkStart w:id="299" w:name="_Toc304295561"/>
      <w:bookmarkStart w:id="300" w:name="_Toc297216194"/>
      <w:bookmarkStart w:id="301" w:name="_Toc312677497"/>
      <w:bookmarkStart w:id="302" w:name="_Toc318581174"/>
      <w:r>
        <w:rPr>
          <w:rFonts w:hint="eastAsia" w:cs="宋体"/>
          <w:color w:val="auto"/>
          <w:sz w:val="21"/>
          <w:szCs w:val="21"/>
          <w:highlight w:val="none"/>
        </w:rPr>
        <w:t>.1.2 试验设备</w:t>
      </w:r>
    </w:p>
    <w:p w14:paraId="24131AA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施工现场需要配置的试验场所</w:t>
      </w:r>
      <w:bookmarkEnd w:id="295"/>
      <w:bookmarkEnd w:id="296"/>
      <w:bookmarkEnd w:id="297"/>
      <w:bookmarkEnd w:id="298"/>
      <w:bookmarkEnd w:id="299"/>
      <w:bookmarkEnd w:id="300"/>
      <w:bookmarkEnd w:id="301"/>
      <w:bookmarkStart w:id="303" w:name="_Toc312677498"/>
      <w:bookmarkStart w:id="304" w:name="_Toc304295562"/>
      <w:bookmarkStart w:id="305" w:name="_Toc297216195"/>
      <w:bookmarkStart w:id="306" w:name="_Toc303539142"/>
      <w:bookmarkStart w:id="307" w:name="_Toc312678024"/>
      <w:bookmarkStart w:id="308" w:name="_Toc300934985"/>
      <w:bookmarkStart w:id="309" w:name="_Toc297123536"/>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7D81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59F21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4BABA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4ECC7C9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按监理人指示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02"/>
    <w:bookmarkEnd w:id="303"/>
    <w:bookmarkEnd w:id="304"/>
    <w:bookmarkEnd w:id="305"/>
    <w:bookmarkEnd w:id="306"/>
    <w:bookmarkEnd w:id="307"/>
    <w:bookmarkEnd w:id="308"/>
    <w:bookmarkEnd w:id="309"/>
    <w:p w14:paraId="44661E63">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310" w:name="_Toc351203642"/>
      <w:r>
        <w:rPr>
          <w:rFonts w:hint="eastAsia" w:cs="宋体"/>
          <w:color w:val="auto"/>
          <w:sz w:val="21"/>
          <w:szCs w:val="21"/>
          <w:highlight w:val="none"/>
        </w:rPr>
        <w:t>1</w:t>
      </w:r>
      <w:bookmarkEnd w:id="276"/>
      <w:bookmarkEnd w:id="277"/>
      <w:bookmarkEnd w:id="278"/>
      <w:bookmarkEnd w:id="279"/>
      <w:bookmarkEnd w:id="280"/>
      <w:bookmarkEnd w:id="281"/>
      <w:bookmarkEnd w:id="282"/>
      <w:bookmarkEnd w:id="283"/>
      <w:bookmarkEnd w:id="284"/>
      <w:bookmarkEnd w:id="285"/>
      <w:bookmarkEnd w:id="286"/>
      <w:bookmarkEnd w:id="287"/>
      <w:bookmarkStart w:id="311" w:name="_Toc297216199"/>
      <w:bookmarkStart w:id="312" w:name="_Toc297048379"/>
      <w:bookmarkStart w:id="313" w:name="_Toc303539146"/>
      <w:bookmarkStart w:id="314" w:name="_Toc292559903"/>
      <w:bookmarkStart w:id="315" w:name="_Toc296503193"/>
      <w:bookmarkStart w:id="316" w:name="_Toc292559398"/>
      <w:bookmarkStart w:id="317" w:name="_Toc296944532"/>
      <w:bookmarkStart w:id="318" w:name="_Toc304295566"/>
      <w:bookmarkStart w:id="319" w:name="_Toc300934989"/>
      <w:bookmarkStart w:id="320" w:name="_Toc296347192"/>
      <w:bookmarkStart w:id="321" w:name="_Toc296891021"/>
      <w:bookmarkStart w:id="322" w:name="_Toc297123540"/>
      <w:bookmarkStart w:id="323" w:name="_Toc297120493"/>
      <w:bookmarkStart w:id="324" w:name="_Toc296891233"/>
      <w:bookmarkStart w:id="325" w:name="_Toc296346694"/>
      <w:bookmarkStart w:id="326" w:name="_Toc312678025"/>
      <w:bookmarkStart w:id="327" w:name="_Toc312677499"/>
      <w:bookmarkStart w:id="328" w:name="_Toc267251437"/>
      <w:bookmarkStart w:id="329" w:name="_Toc267251439"/>
      <w:bookmarkStart w:id="330" w:name="_Toc267251441"/>
      <w:bookmarkStart w:id="331" w:name="_Toc267251440"/>
      <w:bookmarkStart w:id="332" w:name="_Toc267251435"/>
      <w:bookmarkStart w:id="333" w:name="_Toc267251433"/>
      <w:bookmarkStart w:id="334" w:name="_Toc267251442"/>
      <w:r>
        <w:rPr>
          <w:rFonts w:hint="eastAsia" w:cs="宋体"/>
          <w:color w:val="auto"/>
          <w:sz w:val="21"/>
          <w:szCs w:val="21"/>
          <w:highlight w:val="none"/>
        </w:rPr>
        <w:t>0. 变更</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bookmarkEnd w:id="326"/>
    <w:bookmarkEnd w:id="327"/>
    <w:p w14:paraId="1420C5F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w:t>
      </w:r>
      <w:bookmarkStart w:id="335" w:name="_Toc297216200"/>
      <w:bookmarkStart w:id="336" w:name="_Toc296944533"/>
      <w:bookmarkStart w:id="337" w:name="_Toc297048380"/>
      <w:bookmarkStart w:id="338" w:name="_Toc296347193"/>
      <w:bookmarkStart w:id="339" w:name="_Toc296346695"/>
      <w:bookmarkStart w:id="340" w:name="_Toc297123541"/>
      <w:bookmarkStart w:id="341" w:name="_Toc296891022"/>
      <w:bookmarkStart w:id="342" w:name="_Toc296503194"/>
      <w:bookmarkStart w:id="343" w:name="_Toc300934990"/>
      <w:bookmarkStart w:id="344" w:name="_Toc312678026"/>
      <w:bookmarkStart w:id="345" w:name="_Toc312677500"/>
      <w:bookmarkStart w:id="346" w:name="_Toc303539147"/>
      <w:bookmarkStart w:id="347" w:name="_Toc304295567"/>
      <w:bookmarkStart w:id="348" w:name="_Toc292559399"/>
      <w:bookmarkStart w:id="349" w:name="_Toc292559904"/>
      <w:bookmarkStart w:id="350" w:name="_Toc297120494"/>
      <w:bookmarkStart w:id="351" w:name="_Toc296891234"/>
      <w:r>
        <w:rPr>
          <w:rFonts w:hint="eastAsia" w:cs="宋体"/>
          <w:bCs/>
          <w:color w:val="auto"/>
          <w:sz w:val="21"/>
          <w:szCs w:val="21"/>
          <w:highlight w:val="none"/>
        </w:rPr>
        <w:t>0.1 变更的范围</w:t>
      </w:r>
    </w:p>
    <w:p w14:paraId="6A71AB2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cs="宋体"/>
          <w:color w:val="auto"/>
          <w:sz w:val="21"/>
          <w:szCs w:val="21"/>
          <w:highlight w:val="none"/>
          <w:u w:val="single"/>
        </w:rPr>
        <w:t xml:space="preserve">  </w:t>
      </w:r>
      <w:r>
        <w:rPr>
          <w:rFonts w:hint="eastAsia" w:ascii="宋体" w:hAnsi="宋体" w:cs="宋体"/>
          <w:b/>
          <w:color w:val="auto"/>
          <w:sz w:val="21"/>
          <w:szCs w:val="21"/>
          <w:highlight w:val="none"/>
          <w:u w:val="single"/>
          <w:shd w:val="clear" w:color="auto" w:fill="auto"/>
        </w:rPr>
        <w:t>执行合同通用条款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6A822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10.4 变更估价</w:t>
      </w:r>
    </w:p>
    <w:p w14:paraId="0434A5A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10.4.1 变更估价原则</w:t>
      </w:r>
    </w:p>
    <w:p w14:paraId="0760446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关于变更估价的约定：</w:t>
      </w:r>
    </w:p>
    <w:p w14:paraId="0865130F">
      <w:pPr>
        <w:keepNext w:val="0"/>
        <w:keepLines w:val="0"/>
        <w:pageBreakBefore w:val="0"/>
        <w:widowControl w:val="0"/>
        <w:kinsoku/>
        <w:wordWrap/>
        <w:overflowPunct/>
        <w:topLinePunct w:val="0"/>
        <w:autoSpaceDE/>
        <w:autoSpaceDN/>
        <w:bidi w:val="0"/>
        <w:snapToGrid w:val="0"/>
        <w:spacing w:beforeAutospacing="0" w:line="400" w:lineRule="exact"/>
        <w:ind w:firstLine="422" w:firstLineChars="200"/>
        <w:textAlignment w:val="auto"/>
        <w:rPr>
          <w:rFonts w:hint="eastAsia" w:cs="宋体"/>
          <w:b/>
          <w:bCs w:val="0"/>
          <w:color w:val="auto"/>
          <w:sz w:val="21"/>
          <w:szCs w:val="21"/>
          <w:highlight w:val="none"/>
          <w:u w:val="single"/>
        </w:rPr>
      </w:pPr>
      <w:r>
        <w:rPr>
          <w:rFonts w:hint="eastAsia" w:cs="宋体"/>
          <w:b/>
          <w:bCs w:val="0"/>
          <w:color w:val="auto"/>
          <w:sz w:val="21"/>
          <w:szCs w:val="21"/>
          <w:highlight w:val="none"/>
          <w:u w:val="single"/>
        </w:rPr>
        <w:t>变更导致结算工程量（含1.13清单工程量错误产生的工程量）减少0-100%或增加15%以内部分，执行下列第（1）款或第（2）款确定的单价；但超出15%以外部分，结算单价按第（1）款或第（2）款对应的最高投标限价单价×投标让利幅度计算，组价明显错误的予以纠正；已标价工程量清单或预算书中无相同项目及类似项目单价的新增项目单价按照最高投标限价的编制原则重新组价×投标让利幅度（上述投标让利幅度为成交价/最高投标限价，其中成交价和最高投标限价均扣除暂列金额、暂估价及相应税金），结算价格最终以相关部门审核价为准；</w:t>
      </w:r>
    </w:p>
    <w:p w14:paraId="4B956118">
      <w:pPr>
        <w:keepNext w:val="0"/>
        <w:keepLines w:val="0"/>
        <w:pageBreakBefore w:val="0"/>
        <w:widowControl w:val="0"/>
        <w:kinsoku/>
        <w:wordWrap/>
        <w:overflowPunct/>
        <w:topLinePunct w:val="0"/>
        <w:autoSpaceDE/>
        <w:autoSpaceDN/>
        <w:bidi w:val="0"/>
        <w:snapToGrid w:val="0"/>
        <w:spacing w:beforeAutospacing="0" w:line="400" w:lineRule="exact"/>
        <w:ind w:firstLine="422" w:firstLineChars="200"/>
        <w:textAlignment w:val="auto"/>
        <w:rPr>
          <w:rFonts w:hint="eastAsia" w:cs="宋体"/>
          <w:b/>
          <w:bCs w:val="0"/>
          <w:color w:val="auto"/>
          <w:sz w:val="21"/>
          <w:szCs w:val="21"/>
          <w:highlight w:val="none"/>
          <w:u w:val="single"/>
        </w:rPr>
      </w:pPr>
      <w:r>
        <w:rPr>
          <w:rFonts w:hint="eastAsia" w:cs="宋体"/>
          <w:b/>
          <w:bCs w:val="0"/>
          <w:color w:val="auto"/>
          <w:sz w:val="21"/>
          <w:szCs w:val="21"/>
          <w:highlight w:val="none"/>
          <w:u w:val="single"/>
        </w:rPr>
        <w:t>（1）已标价工程量清单或预算书有相同项目的，按照相同项目单价认定；</w:t>
      </w:r>
    </w:p>
    <w:p w14:paraId="1B28AE97">
      <w:pPr>
        <w:keepNext w:val="0"/>
        <w:keepLines w:val="0"/>
        <w:pageBreakBefore w:val="0"/>
        <w:widowControl w:val="0"/>
        <w:kinsoku/>
        <w:wordWrap/>
        <w:overflowPunct/>
        <w:topLinePunct w:val="0"/>
        <w:autoSpaceDE/>
        <w:autoSpaceDN/>
        <w:bidi w:val="0"/>
        <w:snapToGrid w:val="0"/>
        <w:spacing w:beforeAutospacing="0" w:line="400" w:lineRule="exact"/>
        <w:ind w:firstLine="422" w:firstLineChars="200"/>
        <w:textAlignment w:val="auto"/>
        <w:rPr>
          <w:rFonts w:hint="eastAsia" w:cs="宋体"/>
          <w:b/>
          <w:bCs w:val="0"/>
          <w:color w:val="auto"/>
          <w:sz w:val="21"/>
          <w:szCs w:val="21"/>
          <w:highlight w:val="none"/>
          <w:u w:val="single"/>
        </w:rPr>
      </w:pPr>
      <w:r>
        <w:rPr>
          <w:rFonts w:hint="eastAsia" w:cs="宋体"/>
          <w:b/>
          <w:bCs w:val="0"/>
          <w:color w:val="auto"/>
          <w:sz w:val="21"/>
          <w:szCs w:val="21"/>
          <w:highlight w:val="none"/>
          <w:u w:val="single"/>
        </w:rPr>
        <w:t>（2）已标价工程量清单或预算书中无相同项目，但有类似项目的，参照类似项目的单价认定。</w:t>
      </w:r>
    </w:p>
    <w:p w14:paraId="0F7809BB">
      <w:pPr>
        <w:keepNext w:val="0"/>
        <w:keepLines w:val="0"/>
        <w:pageBreakBefore w:val="0"/>
        <w:widowControl w:val="0"/>
        <w:kinsoku/>
        <w:wordWrap/>
        <w:overflowPunct/>
        <w:topLinePunct w:val="0"/>
        <w:autoSpaceDE/>
        <w:autoSpaceDN/>
        <w:bidi w:val="0"/>
        <w:snapToGrid w:val="0"/>
        <w:spacing w:beforeAutospacing="0" w:line="400" w:lineRule="exact"/>
        <w:ind w:firstLine="420" w:firstLineChars="200"/>
        <w:textAlignment w:val="auto"/>
        <w:rPr>
          <w:rFonts w:hint="eastAsia" w:cs="宋体"/>
          <w:b/>
          <w:bCs w:val="0"/>
          <w:color w:val="auto"/>
          <w:sz w:val="21"/>
          <w:szCs w:val="21"/>
          <w:highlight w:val="none"/>
          <w:u w:val="single"/>
        </w:rPr>
      </w:pPr>
      <w:r>
        <w:rPr>
          <w:rFonts w:hint="eastAsia" w:cs="宋体"/>
          <w:b w:val="0"/>
          <w:bCs/>
          <w:color w:val="auto"/>
          <w:sz w:val="21"/>
          <w:szCs w:val="21"/>
          <w:highlight w:val="none"/>
          <w:u w:val="none"/>
        </w:rPr>
        <w:t>技术措施费调整：</w:t>
      </w:r>
      <w:r>
        <w:rPr>
          <w:rFonts w:hint="eastAsia" w:cs="宋体"/>
          <w:b/>
          <w:bCs w:val="0"/>
          <w:color w:val="auto"/>
          <w:sz w:val="21"/>
          <w:szCs w:val="21"/>
          <w:highlight w:val="none"/>
          <w:u w:val="single"/>
        </w:rPr>
        <w:t>因承包人改变施工技术措施，造成的价格变动，措施费不予调整。因工程变更必须改变原来施工技术措施，造成价格变动的，按实调整，变更组价原则同上。</w:t>
      </w:r>
    </w:p>
    <w:p w14:paraId="1599912C">
      <w:pPr>
        <w:keepNext w:val="0"/>
        <w:keepLines w:val="0"/>
        <w:pageBreakBefore w:val="0"/>
        <w:widowControl w:val="0"/>
        <w:kinsoku/>
        <w:wordWrap/>
        <w:overflowPunct/>
        <w:topLinePunct w:val="0"/>
        <w:autoSpaceDE/>
        <w:autoSpaceDN/>
        <w:bidi w:val="0"/>
        <w:snapToGrid w:val="0"/>
        <w:spacing w:beforeAutospacing="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cs="宋体"/>
          <w:b w:val="0"/>
          <w:bCs/>
          <w:color w:val="auto"/>
          <w:sz w:val="21"/>
          <w:szCs w:val="21"/>
          <w:highlight w:val="none"/>
          <w:u w:val="none"/>
        </w:rPr>
        <w:t>组织措施费调整：</w:t>
      </w:r>
      <w:r>
        <w:rPr>
          <w:rFonts w:hint="eastAsia" w:cs="宋体"/>
          <w:b/>
          <w:bCs w:val="0"/>
          <w:color w:val="auto"/>
          <w:sz w:val="21"/>
          <w:szCs w:val="21"/>
          <w:highlight w:val="none"/>
          <w:u w:val="single"/>
        </w:rPr>
        <w:t>按实调整。</w:t>
      </w:r>
    </w:p>
    <w:p w14:paraId="250D9885">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Start w:id="352" w:name="_Toc296944536"/>
      <w:bookmarkStart w:id="353" w:name="_Toc296503197"/>
      <w:bookmarkStart w:id="354" w:name="_Toc297123544"/>
      <w:bookmarkStart w:id="355" w:name="_Toc296891025"/>
      <w:bookmarkStart w:id="356" w:name="_Toc297216203"/>
      <w:bookmarkStart w:id="357" w:name="_Toc297048383"/>
      <w:bookmarkStart w:id="358" w:name="_Toc296891237"/>
      <w:bookmarkStart w:id="359" w:name="_Toc297120497"/>
      <w:bookmarkStart w:id="360" w:name="_Toc296346698"/>
      <w:bookmarkStart w:id="361" w:name="_Toc292559907"/>
      <w:bookmarkStart w:id="362" w:name="_Toc296347196"/>
      <w:bookmarkStart w:id="363" w:name="_Toc300934993"/>
      <w:bookmarkStart w:id="364" w:name="_Toc292559402"/>
      <w:bookmarkStart w:id="365" w:name="_Toc303539150"/>
      <w:bookmarkStart w:id="366" w:name="_Toc312677503"/>
      <w:bookmarkStart w:id="367" w:name="_Toc312678029"/>
      <w:bookmarkStart w:id="368" w:name="_Toc304295570"/>
      <w:r>
        <w:rPr>
          <w:rFonts w:hint="eastAsia" w:cs="宋体"/>
          <w:bCs/>
          <w:color w:val="auto"/>
          <w:sz w:val="21"/>
          <w:szCs w:val="21"/>
          <w:highlight w:val="none"/>
        </w:rPr>
        <w:t>0.5 承</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Start w:id="369" w:name="_Toc292559408"/>
      <w:bookmarkStart w:id="370" w:name="_Toc296503203"/>
      <w:bookmarkStart w:id="371" w:name="_Toc296944542"/>
      <w:bookmarkStart w:id="372" w:name="_Toc297120503"/>
      <w:bookmarkStart w:id="373" w:name="_Toc297048389"/>
      <w:bookmarkStart w:id="374" w:name="_Toc303539151"/>
      <w:bookmarkStart w:id="375" w:name="_Toc296891031"/>
      <w:bookmarkStart w:id="376" w:name="_Toc297216204"/>
      <w:bookmarkStart w:id="377" w:name="_Toc292559913"/>
      <w:bookmarkStart w:id="378" w:name="_Toc296347202"/>
      <w:bookmarkStart w:id="379" w:name="_Toc297123545"/>
      <w:bookmarkStart w:id="380" w:name="_Toc296346704"/>
      <w:bookmarkStart w:id="381" w:name="_Toc300934994"/>
      <w:bookmarkStart w:id="382" w:name="_Toc296891243"/>
      <w:r>
        <w:rPr>
          <w:rFonts w:hint="eastAsia" w:cs="宋体"/>
          <w:bCs/>
          <w:color w:val="auto"/>
          <w:sz w:val="21"/>
          <w:szCs w:val="21"/>
          <w:highlight w:val="none"/>
        </w:rPr>
        <w:t>包人的合理化建议</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14:paraId="0D4D3104">
      <w:pPr>
        <w:pageBreakBefore w:val="0"/>
        <w:widowControl w:val="0"/>
        <w:kinsoku/>
        <w:wordWrap/>
        <w:overflowPunct/>
        <w:topLinePunct w:val="0"/>
        <w:bidi w:val="0"/>
        <w:snapToGrid w:val="0"/>
        <w:spacing w:beforeAutospacing="0"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监理人应在收到承包人提交的合理化建议后7天内审查完毕并报送发包人，发现其中存在技术上的缺陷，应通知承包人修改。</w:t>
      </w:r>
    </w:p>
    <w:p w14:paraId="13F57C55">
      <w:pPr>
        <w:pageBreakBefore w:val="0"/>
        <w:widowControl w:val="0"/>
        <w:kinsoku/>
        <w:wordWrap/>
        <w:overflowPunct/>
        <w:topLinePunct w:val="0"/>
        <w:bidi w:val="0"/>
        <w:snapToGrid w:val="0"/>
        <w:spacing w:beforeAutospacing="0"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CE72581">
      <w:pPr>
        <w:pageBreakBefore w:val="0"/>
        <w:widowControl w:val="0"/>
        <w:kinsoku/>
        <w:wordWrap/>
        <w:overflowPunct/>
        <w:topLinePunct w:val="0"/>
        <w:bidi w:val="0"/>
        <w:snapToGrid w:val="0"/>
        <w:spacing w:beforeAutospacing="0" w:line="40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承包人提出的合理化建议降低了合同价格或者提高了工程经济效益的奖励的方法和金额为：</w:t>
      </w:r>
      <w:r>
        <w:rPr>
          <w:rFonts w:hint="eastAsia" w:cs="宋体"/>
          <w:color w:val="auto"/>
          <w:sz w:val="21"/>
          <w:szCs w:val="21"/>
          <w:highlight w:val="none"/>
          <w:u w:val="single"/>
          <w:lang w:val="en-US" w:eastAsia="zh-CN"/>
        </w:rPr>
        <w:t xml:space="preserve"> 由发包人根据合同价格降低额或工程经济效益提高承担，结合项目考勤、质量、安全、进度等实际情况综合考虑</w:t>
      </w:r>
      <w:r>
        <w:rPr>
          <w:rFonts w:hint="eastAsia" w:ascii="宋体" w:hAnsi="宋体" w:eastAsia="宋体" w:cs="宋体"/>
          <w:color w:val="auto"/>
          <w:sz w:val="21"/>
          <w:szCs w:val="21"/>
          <w:highlight w:val="none"/>
        </w:rPr>
        <w:t>。</w:t>
      </w:r>
    </w:p>
    <w:p w14:paraId="16C1849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w:t>
      </w:r>
      <w:bookmarkStart w:id="383" w:name="_Toc296346700"/>
      <w:bookmarkStart w:id="384" w:name="_Toc297048385"/>
      <w:bookmarkStart w:id="385" w:name="_Toc296891027"/>
      <w:bookmarkStart w:id="386" w:name="_Toc296503199"/>
      <w:bookmarkStart w:id="387" w:name="_Toc312677507"/>
      <w:bookmarkStart w:id="388" w:name="_Toc296891239"/>
      <w:bookmarkStart w:id="389" w:name="_Toc297216207"/>
      <w:bookmarkStart w:id="390" w:name="_Toc297120499"/>
      <w:bookmarkStart w:id="391" w:name="_Toc303539154"/>
      <w:bookmarkStart w:id="392" w:name="_Toc312678033"/>
      <w:bookmarkStart w:id="393" w:name="_Toc296944538"/>
      <w:bookmarkStart w:id="394" w:name="_Toc304295574"/>
      <w:bookmarkStart w:id="395" w:name="_Toc292559909"/>
      <w:bookmarkStart w:id="396" w:name="_Toc292559404"/>
      <w:bookmarkStart w:id="397" w:name="_Toc297123548"/>
      <w:bookmarkStart w:id="398" w:name="_Toc300934997"/>
      <w:bookmarkStart w:id="399" w:name="_Toc296347198"/>
      <w:r>
        <w:rPr>
          <w:rFonts w:hint="eastAsia" w:cs="宋体"/>
          <w:bCs/>
          <w:color w:val="auto"/>
          <w:sz w:val="21"/>
          <w:szCs w:val="21"/>
          <w:highlight w:val="none"/>
        </w:rPr>
        <w:t>0.7 暂估价</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2BE44D9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暂</w:t>
      </w:r>
      <w:bookmarkStart w:id="400" w:name="_Toc312678034"/>
      <w:bookmarkStart w:id="401" w:name="_Toc312677508"/>
      <w:bookmarkStart w:id="402" w:name="_Toc318581176"/>
      <w:r>
        <w:rPr>
          <w:rFonts w:hint="eastAsia" w:cs="宋体"/>
          <w:color w:val="auto"/>
          <w:sz w:val="21"/>
          <w:szCs w:val="21"/>
          <w:highlight w:val="none"/>
        </w:rPr>
        <w:t>估价材料和工程设备的明细见附件12：《暂估价一览表》。</w:t>
      </w:r>
    </w:p>
    <w:bookmarkEnd w:id="400"/>
    <w:bookmarkEnd w:id="401"/>
    <w:bookmarkEnd w:id="402"/>
    <w:p w14:paraId="5472836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bookmarkStart w:id="403" w:name="_Toc312678035"/>
      <w:bookmarkStart w:id="404" w:name="_Toc318581177"/>
      <w:bookmarkStart w:id="405" w:name="_Toc312677509"/>
      <w:r>
        <w:rPr>
          <w:rFonts w:hint="eastAsia" w:cs="宋体"/>
          <w:color w:val="auto"/>
          <w:sz w:val="21"/>
          <w:szCs w:val="21"/>
          <w:highlight w:val="none"/>
        </w:rPr>
        <w:t>0.7.1 依法必须招标的暂估价项目</w:t>
      </w:r>
    </w:p>
    <w:bookmarkEnd w:id="403"/>
    <w:bookmarkEnd w:id="404"/>
    <w:bookmarkEnd w:id="405"/>
    <w:p w14:paraId="0701D08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641C932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10.7.2 不属于依法必须招标的暂估价项目</w:t>
      </w:r>
    </w:p>
    <w:p w14:paraId="0E7B6E0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3DCEF3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第3种方式：承包人直接实施的暂估价项目</w:t>
      </w:r>
    </w:p>
    <w:p w14:paraId="376ABE3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1F1087">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10.8 暂列金额</w:t>
      </w:r>
    </w:p>
    <w:p w14:paraId="035285C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ascii="宋体" w:cs="宋体"/>
          <w:color w:val="auto"/>
          <w:sz w:val="21"/>
          <w:szCs w:val="21"/>
          <w:highlight w:val="none"/>
          <w:u w:val="single"/>
          <w:shd w:val="clear" w:color="auto" w:fill="auto"/>
        </w:rPr>
        <w:t>暂列金额应按照发包人的要求使用</w:t>
      </w:r>
      <w:r>
        <w:rPr>
          <w:rFonts w:hint="eastAsia" w:cs="宋体"/>
          <w:color w:val="auto"/>
          <w:sz w:val="21"/>
          <w:szCs w:val="21"/>
          <w:highlight w:val="none"/>
        </w:rPr>
        <w:t>。</w:t>
      </w:r>
    </w:p>
    <w:p w14:paraId="251E63AA">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406" w:name="_Toc351203643"/>
      <w:r>
        <w:rPr>
          <w:rFonts w:hint="eastAsia" w:cs="宋体"/>
          <w:color w:val="auto"/>
          <w:sz w:val="21"/>
          <w:szCs w:val="21"/>
          <w:highlight w:val="none"/>
        </w:rPr>
        <w:t>11. 价格调整</w:t>
      </w:r>
      <w:bookmarkEnd w:id="406"/>
    </w:p>
    <w:p w14:paraId="577B4BC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bookmarkStart w:id="407" w:name="_Toc303539157"/>
      <w:bookmarkStart w:id="408" w:name="_Toc297123550"/>
      <w:bookmarkStart w:id="409" w:name="_Toc292559406"/>
      <w:bookmarkStart w:id="410" w:name="_Toc296347200"/>
      <w:bookmarkStart w:id="411" w:name="_Toc296944540"/>
      <w:bookmarkStart w:id="412" w:name="_Toc296891029"/>
      <w:bookmarkStart w:id="413" w:name="_Toc296503201"/>
      <w:bookmarkStart w:id="414" w:name="_Toc292559911"/>
      <w:bookmarkStart w:id="415" w:name="_Toc297216209"/>
      <w:bookmarkStart w:id="416" w:name="_Toc304295577"/>
      <w:bookmarkStart w:id="417" w:name="_Toc297048387"/>
      <w:bookmarkStart w:id="418" w:name="_Toc296891241"/>
      <w:bookmarkStart w:id="419" w:name="_Toc297120501"/>
      <w:bookmarkStart w:id="420" w:name="_Toc296346702"/>
      <w:bookmarkStart w:id="421" w:name="_Toc312678039"/>
      <w:bookmarkStart w:id="422" w:name="_Toc300935000"/>
      <w:r>
        <w:rPr>
          <w:rFonts w:hint="eastAsia" w:cs="宋体"/>
          <w:bCs/>
          <w:color w:val="auto"/>
          <w:sz w:val="21"/>
          <w:szCs w:val="21"/>
          <w:highlight w:val="none"/>
        </w:rPr>
        <w:t>11.1 市场价格波动引起的调整</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14:paraId="3D2F151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328"/>
    <w:bookmarkEnd w:id="329"/>
    <w:bookmarkEnd w:id="330"/>
    <w:bookmarkEnd w:id="331"/>
    <w:bookmarkEnd w:id="332"/>
    <w:bookmarkEnd w:id="333"/>
    <w:p w14:paraId="7A4B8F24">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423" w:name="_Toc296346706"/>
      <w:bookmarkStart w:id="424" w:name="_Toc292559915"/>
      <w:bookmarkStart w:id="425" w:name="_Toc292559410"/>
      <w:bookmarkStart w:id="426" w:name="_Toc296891033"/>
      <w:bookmarkStart w:id="427" w:name="_Toc297120505"/>
      <w:bookmarkStart w:id="428" w:name="_Toc297048391"/>
      <w:bookmarkStart w:id="429" w:name="_Toc296944544"/>
      <w:bookmarkStart w:id="430" w:name="_Toc296347204"/>
      <w:bookmarkStart w:id="431" w:name="_Toc296891245"/>
      <w:bookmarkStart w:id="432" w:name="_Toc296503205"/>
      <w:bookmarkStart w:id="433" w:name="_Toc351203644"/>
      <w:bookmarkStart w:id="434" w:name="_Toc297216211"/>
      <w:bookmarkStart w:id="435" w:name="_Toc300935002"/>
      <w:bookmarkStart w:id="436" w:name="_Toc312678040"/>
      <w:bookmarkStart w:id="437" w:name="_Toc303539159"/>
      <w:bookmarkStart w:id="438" w:name="_Toc297123552"/>
      <w:bookmarkStart w:id="439" w:name="_Toc304295579"/>
      <w:r>
        <w:rPr>
          <w:rFonts w:hint="eastAsia" w:cs="宋体"/>
          <w:color w:val="auto"/>
          <w:sz w:val="21"/>
          <w:szCs w:val="21"/>
          <w:highlight w:val="none"/>
        </w:rPr>
        <w:t xml:space="preserve">12. </w:t>
      </w:r>
      <w:bookmarkEnd w:id="423"/>
      <w:bookmarkEnd w:id="424"/>
      <w:bookmarkEnd w:id="425"/>
      <w:bookmarkEnd w:id="426"/>
      <w:bookmarkEnd w:id="427"/>
      <w:bookmarkEnd w:id="428"/>
      <w:bookmarkEnd w:id="429"/>
      <w:bookmarkEnd w:id="430"/>
      <w:bookmarkEnd w:id="431"/>
      <w:bookmarkEnd w:id="432"/>
      <w:r>
        <w:rPr>
          <w:rFonts w:hint="eastAsia" w:cs="宋体"/>
          <w:color w:val="auto"/>
          <w:sz w:val="21"/>
          <w:szCs w:val="21"/>
          <w:highlight w:val="none"/>
        </w:rPr>
        <w:t>合同价格、计量与支付</w:t>
      </w:r>
      <w:bookmarkEnd w:id="433"/>
    </w:p>
    <w:bookmarkEnd w:id="434"/>
    <w:bookmarkEnd w:id="435"/>
    <w:bookmarkEnd w:id="436"/>
    <w:bookmarkEnd w:id="437"/>
    <w:bookmarkEnd w:id="438"/>
    <w:bookmarkEnd w:id="439"/>
    <w:p w14:paraId="0D498EA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bookmarkStart w:id="440" w:name="_Toc292559411"/>
      <w:bookmarkStart w:id="441" w:name="_Toc267251461"/>
      <w:bookmarkStart w:id="442" w:name="_Toc292559916"/>
      <w:bookmarkStart w:id="443" w:name="_Toc296891034"/>
      <w:bookmarkStart w:id="444" w:name="_Toc297048392"/>
      <w:bookmarkStart w:id="445" w:name="_Toc297120506"/>
      <w:bookmarkStart w:id="446" w:name="_Toc296944545"/>
      <w:bookmarkStart w:id="447" w:name="_Toc296346707"/>
      <w:bookmarkStart w:id="448" w:name="_Toc296891246"/>
      <w:bookmarkStart w:id="449" w:name="_Toc296347205"/>
      <w:bookmarkStart w:id="450" w:name="_Toc296503206"/>
      <w:bookmarkStart w:id="451" w:name="_Toc312678041"/>
      <w:bookmarkStart w:id="452" w:name="_Toc297123553"/>
      <w:bookmarkStart w:id="453" w:name="_Toc300935003"/>
      <w:bookmarkStart w:id="454" w:name="_Toc304295580"/>
      <w:bookmarkStart w:id="455" w:name="_Toc303539160"/>
      <w:bookmarkStart w:id="456" w:name="_Toc297216212"/>
      <w:r>
        <w:rPr>
          <w:rFonts w:hint="eastAsia" w:cs="宋体"/>
          <w:bCs/>
          <w:color w:val="auto"/>
          <w:sz w:val="21"/>
          <w:szCs w:val="21"/>
          <w:highlight w:val="none"/>
        </w:rPr>
        <w:t>12.1 合</w:t>
      </w:r>
      <w:bookmarkEnd w:id="440"/>
      <w:bookmarkEnd w:id="441"/>
      <w:bookmarkEnd w:id="442"/>
      <w:r>
        <w:rPr>
          <w:rFonts w:hint="eastAsia" w:cs="宋体"/>
          <w:bCs/>
          <w:color w:val="auto"/>
          <w:sz w:val="21"/>
          <w:szCs w:val="21"/>
          <w:highlight w:val="none"/>
        </w:rPr>
        <w:t>同价</w:t>
      </w:r>
      <w:bookmarkEnd w:id="443"/>
      <w:bookmarkEnd w:id="444"/>
      <w:bookmarkEnd w:id="445"/>
      <w:bookmarkEnd w:id="446"/>
      <w:bookmarkEnd w:id="447"/>
      <w:bookmarkEnd w:id="448"/>
      <w:bookmarkEnd w:id="449"/>
      <w:bookmarkEnd w:id="450"/>
      <w:r>
        <w:rPr>
          <w:rFonts w:hint="eastAsia" w:cs="宋体"/>
          <w:bCs/>
          <w:color w:val="auto"/>
          <w:sz w:val="21"/>
          <w:szCs w:val="21"/>
          <w:highlight w:val="none"/>
        </w:rPr>
        <w:t>格形式</w:t>
      </w:r>
    </w:p>
    <w:bookmarkEnd w:id="451"/>
    <w:bookmarkEnd w:id="452"/>
    <w:bookmarkEnd w:id="453"/>
    <w:bookmarkEnd w:id="454"/>
    <w:bookmarkEnd w:id="455"/>
    <w:bookmarkEnd w:id="456"/>
    <w:p w14:paraId="44164F7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（1）单价合同。</w:t>
      </w:r>
    </w:p>
    <w:p w14:paraId="2BFBC30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5306D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E6DBC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B0EC0E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（2）总价合同。</w:t>
      </w:r>
    </w:p>
    <w:p w14:paraId="3D84682A">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E02D9A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FD333B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EA5EA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CEB934">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bookmarkStart w:id="457" w:name="_Toc303539161"/>
      <w:bookmarkStart w:id="458" w:name="_Toc304295581"/>
      <w:bookmarkStart w:id="459" w:name="_Toc297123554"/>
      <w:bookmarkStart w:id="460" w:name="_Toc300935004"/>
      <w:bookmarkStart w:id="461" w:name="_Toc297216213"/>
      <w:bookmarkStart w:id="462" w:name="_Toc312678042"/>
      <w:bookmarkStart w:id="463" w:name="_Toc297048393"/>
      <w:bookmarkStart w:id="464" w:name="_Toc296891247"/>
      <w:bookmarkStart w:id="465" w:name="_Toc296347206"/>
      <w:bookmarkStart w:id="466" w:name="_Toc296503207"/>
      <w:bookmarkStart w:id="467" w:name="_Toc297120507"/>
      <w:bookmarkStart w:id="468" w:name="_Toc292559917"/>
      <w:bookmarkStart w:id="469" w:name="_Toc296944546"/>
      <w:bookmarkStart w:id="470" w:name="_Toc296891035"/>
      <w:bookmarkStart w:id="471" w:name="_Toc296346708"/>
      <w:bookmarkStart w:id="472" w:name="_Toc292559412"/>
      <w:r>
        <w:rPr>
          <w:rFonts w:hint="eastAsia" w:cs="宋体"/>
          <w:bCs/>
          <w:color w:val="auto"/>
          <w:sz w:val="21"/>
          <w:szCs w:val="21"/>
          <w:highlight w:val="none"/>
        </w:rPr>
        <w:t>12.2 预付款</w:t>
      </w:r>
    </w:p>
    <w:bookmarkEnd w:id="457"/>
    <w:bookmarkEnd w:id="458"/>
    <w:bookmarkEnd w:id="459"/>
    <w:bookmarkEnd w:id="460"/>
    <w:bookmarkEnd w:id="461"/>
    <w:bookmarkEnd w:id="462"/>
    <w:p w14:paraId="02817F0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12.2.1 预付款的支付</w:t>
      </w:r>
    </w:p>
    <w:p w14:paraId="3E0057F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DF191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9B101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E2A2E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12.2.2 预付款担保</w:t>
      </w:r>
    </w:p>
    <w:p w14:paraId="22F5DBE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A3D7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63"/>
    <w:bookmarkEnd w:id="464"/>
    <w:bookmarkEnd w:id="465"/>
    <w:bookmarkEnd w:id="466"/>
    <w:bookmarkEnd w:id="467"/>
    <w:bookmarkEnd w:id="468"/>
    <w:bookmarkEnd w:id="469"/>
    <w:bookmarkEnd w:id="470"/>
    <w:bookmarkEnd w:id="471"/>
    <w:bookmarkEnd w:id="472"/>
    <w:p w14:paraId="46F00E3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12.3 计量</w:t>
      </w:r>
    </w:p>
    <w:p w14:paraId="7878C04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12.3.1 计量原则</w:t>
      </w:r>
    </w:p>
    <w:p w14:paraId="068E3655">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按招标工程量清单及最高投标限价所采用的工程量清单计价规范及配套文件等</w:t>
      </w:r>
      <w:r>
        <w:rPr>
          <w:rFonts w:hint="eastAsia" w:cs="宋体"/>
          <w:b/>
          <w:color w:val="auto"/>
          <w:sz w:val="21"/>
          <w:szCs w:val="21"/>
          <w:highlight w:val="none"/>
        </w:rPr>
        <w:t>。</w:t>
      </w:r>
    </w:p>
    <w:p w14:paraId="77F164F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12.3.2 计量周期</w:t>
      </w:r>
    </w:p>
    <w:p w14:paraId="23A6AAF3">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按月计量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75F16EE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12.3.3 单价合同的计量</w:t>
      </w:r>
    </w:p>
    <w:p w14:paraId="1BC5916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1）承包人应于每月25日向监理人报送上月20日至当月19日已完成的工程量报告，并附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20E70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12.3.4 总价合同的计量</w:t>
      </w:r>
    </w:p>
    <w:p w14:paraId="72B4054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不采用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0F29A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不采用</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46FC49E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12.3.6 其他价格形式合同的计量</w:t>
      </w:r>
    </w:p>
    <w:p w14:paraId="1E995D7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不采用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338262">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12.4 工程进度款支付</w:t>
      </w:r>
    </w:p>
    <w:p w14:paraId="6474DA9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bookmarkStart w:id="473" w:name="_Toc296346712"/>
      <w:bookmarkStart w:id="474" w:name="_Toc297048397"/>
      <w:bookmarkStart w:id="475" w:name="_Toc297216215"/>
      <w:bookmarkStart w:id="476" w:name="_Toc292559416"/>
      <w:bookmarkStart w:id="477" w:name="_Toc297120511"/>
      <w:bookmarkStart w:id="478" w:name="_Toc297123556"/>
      <w:bookmarkStart w:id="479" w:name="_Toc300935006"/>
      <w:bookmarkStart w:id="480" w:name="_Toc296503211"/>
      <w:bookmarkStart w:id="481" w:name="_Toc296891039"/>
      <w:bookmarkStart w:id="482" w:name="_Toc296347210"/>
      <w:bookmarkStart w:id="483" w:name="_Toc303539163"/>
      <w:bookmarkStart w:id="484" w:name="_Toc292559921"/>
      <w:bookmarkStart w:id="485" w:name="_Toc296944550"/>
      <w:bookmarkStart w:id="486" w:name="_Toc296891251"/>
      <w:r>
        <w:rPr>
          <w:rFonts w:hint="eastAsia" w:cs="宋体"/>
          <w:color w:val="auto"/>
          <w:sz w:val="21"/>
          <w:szCs w:val="21"/>
          <w:highlight w:val="none"/>
        </w:rPr>
        <w:t>12.4.1 付款周期</w:t>
      </w:r>
    </w:p>
    <w:p w14:paraId="6316DF8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8DD508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12.4.2 进度付款申请单的编制</w:t>
      </w:r>
    </w:p>
    <w:p w14:paraId="0917A3D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olor w:val="auto"/>
          <w:spacing w:val="-7"/>
          <w:sz w:val="21"/>
          <w:szCs w:val="21"/>
          <w:highlight w:val="none"/>
          <w:u w:val="single" w:color="auto"/>
        </w:rPr>
        <w:t>执行发包人统一内容格式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DAF58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cs="宋体"/>
          <w:color w:val="auto"/>
          <w:sz w:val="21"/>
          <w:szCs w:val="21"/>
          <w:highlight w:val="none"/>
        </w:rPr>
        <w:t>2.4.3 进度付款申请单的提交</w:t>
      </w:r>
    </w:p>
    <w:p w14:paraId="1786983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w:t>
      </w:r>
      <w:r>
        <w:rPr>
          <w:rFonts w:hint="eastAsia"/>
          <w:color w:val="auto"/>
          <w:spacing w:val="-7"/>
          <w:sz w:val="21"/>
          <w:szCs w:val="21"/>
          <w:highlight w:val="none"/>
          <w:u w:val="single" w:color="auto"/>
        </w:rPr>
        <w:t>按工程进度付款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D5196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09688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A39D70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12.4.4 进度款审核和支付</w:t>
      </w:r>
    </w:p>
    <w:p w14:paraId="26B29CF1">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监理人应在收到承包人进度付款申请单以及相关资料后7天内完成审查并报送发包人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8563E">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发包人应在收到后7天内完成审批并签发进度款支付证书，跟踪审计人员审核时间除外 </w:t>
      </w:r>
      <w:r>
        <w:rPr>
          <w:rFonts w:hint="eastAsia" w:cs="宋体"/>
          <w:color w:val="auto"/>
          <w:sz w:val="21"/>
          <w:szCs w:val="21"/>
          <w:highlight w:val="none"/>
        </w:rPr>
        <w:t>。</w:t>
      </w:r>
    </w:p>
    <w:p w14:paraId="2FAC15C3">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bCs/>
          <w:color w:val="auto"/>
          <w:sz w:val="21"/>
          <w:szCs w:val="21"/>
          <w:highlight w:val="none"/>
          <w:u w:val="single"/>
          <w:lang w:val="en-US" w:eastAsia="zh-CN"/>
        </w:rPr>
        <w:t>发包人在政府资金调度会批准且发票送达一周内完成支付</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0D5FBD">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1F5D6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rPr>
        <w:t>支付方式：</w:t>
      </w:r>
      <w:r>
        <w:rPr>
          <w:rFonts w:hint="eastAsia" w:cs="宋体"/>
          <w:b/>
          <w:bCs w:val="0"/>
          <w:color w:val="auto"/>
          <w:sz w:val="21"/>
          <w:szCs w:val="21"/>
          <w:highlight w:val="none"/>
          <w:u w:val="single"/>
          <w:lang w:val="en-US" w:eastAsia="zh-CN"/>
        </w:rPr>
        <w:t>合同签订具备实施条件后支付合同价的40%预付款（预付款支付前，中标人须提供同等金额预付款等额保函（见索即付））；按已完成进度计划合格工程量的85%支付进度款；工程完工后付至合格工程量价款的90%；竣工验收合格取得验收报告后，付至合格工程量价款的95%；完成竣工结算审计后付至结算总造价的98%，剩余2%作为工程质量保证金。质量保证金支持保函（银行保函、担保机构担保、保证保险）使用。采用保函方式的不再从工程进度款中扣留质量保证金，保函有效期须与工程缺陷责任期截止时间保持一致</w:t>
      </w:r>
      <w:r>
        <w:rPr>
          <w:rFonts w:hint="eastAsia" w:cs="宋体"/>
          <w:bCs/>
          <w:color w:val="auto"/>
          <w:sz w:val="21"/>
          <w:szCs w:val="21"/>
          <w:highlight w:val="none"/>
          <w:u w:val="single"/>
          <w:lang w:eastAsia="zh-CN"/>
        </w:rPr>
        <w:t>。</w:t>
      </w:r>
    </w:p>
    <w:p w14:paraId="42331531">
      <w:pPr>
        <w:pageBreakBefore w:val="0"/>
        <w:kinsoku/>
        <w:wordWrap/>
        <w:overflowPunct/>
        <w:topLinePunct w:val="0"/>
        <w:bidi w:val="0"/>
        <w:snapToGrid w:val="0"/>
        <w:spacing w:line="400" w:lineRule="exact"/>
        <w:ind w:left="0" w:leftChars="0" w:right="0" w:rightChars="0" w:firstLine="420" w:firstLineChars="200"/>
        <w:jc w:val="left"/>
        <w:textAlignment w:val="auto"/>
        <w:rPr>
          <w:rFonts w:hint="eastAsia" w:asci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（3）承包人必须与指定银行签订委托支付协议。总承包企业（专业承包企业）应及时确认劳务</w:t>
      </w:r>
      <w:r>
        <w:rPr>
          <w:rFonts w:hint="eastAsia" w:ascii="宋体" w:cs="宋体"/>
          <w:color w:val="auto"/>
          <w:sz w:val="21"/>
          <w:szCs w:val="21"/>
          <w:highlight w:val="none"/>
          <w:shd w:val="clear" w:color="auto" w:fill="auto"/>
        </w:rPr>
        <w:t>分包企业按月提供的农民工工资详单。保证在签订施工合同前严格按照</w:t>
      </w:r>
      <w:r>
        <w:rPr>
          <w:rFonts w:hint="eastAsia" w:ascii="宋体" w:cs="宋体"/>
          <w:color w:val="auto"/>
          <w:sz w:val="21"/>
          <w:szCs w:val="21"/>
          <w:highlight w:val="none"/>
          <w:shd w:val="clear" w:color="auto" w:fill="auto"/>
          <w:lang w:eastAsia="zh-CN"/>
        </w:rPr>
        <w:t>“</w:t>
      </w:r>
      <w:r>
        <w:rPr>
          <w:rFonts w:hint="eastAsia" w:ascii="宋体" w:cs="宋体"/>
          <w:color w:val="auto"/>
          <w:sz w:val="21"/>
          <w:szCs w:val="21"/>
          <w:highlight w:val="none"/>
          <w:shd w:val="clear" w:color="auto" w:fill="auto"/>
        </w:rPr>
        <w:t>滁州市建设领域农民工工资管理暂行办法{滁人社发【2018】215 号文件}</w:t>
      </w:r>
      <w:r>
        <w:rPr>
          <w:rFonts w:hint="eastAsia" w:ascii="宋体" w:cs="宋体"/>
          <w:color w:val="auto"/>
          <w:sz w:val="21"/>
          <w:szCs w:val="21"/>
          <w:highlight w:val="none"/>
          <w:shd w:val="clear" w:color="auto" w:fill="auto"/>
          <w:lang w:eastAsia="zh-CN"/>
        </w:rPr>
        <w:t>”</w:t>
      </w:r>
      <w:r>
        <w:rPr>
          <w:rFonts w:hint="eastAsia" w:ascii="宋体" w:cs="宋体"/>
          <w:color w:val="auto"/>
          <w:sz w:val="21"/>
          <w:szCs w:val="21"/>
          <w:highlight w:val="none"/>
          <w:shd w:val="clear" w:color="auto" w:fill="auto"/>
          <w:lang w:val="en-US" w:eastAsia="zh-CN"/>
        </w:rPr>
        <w:t>和“关于进一步完善工程建设领域农民工工资保证金和农民工工资（劳务费）专户管理制度的实施意见”</w:t>
      </w:r>
      <w:r>
        <w:rPr>
          <w:rFonts w:hint="eastAsia" w:ascii="宋体" w:cs="宋体"/>
          <w:color w:val="auto"/>
          <w:sz w:val="21"/>
          <w:szCs w:val="21"/>
          <w:highlight w:val="none"/>
          <w:shd w:val="clear" w:color="auto" w:fill="auto"/>
        </w:rPr>
        <w:t>要求办理“农民工工资专用账户”手续。</w:t>
      </w:r>
    </w:p>
    <w:p w14:paraId="207B47DA">
      <w:pPr>
        <w:pStyle w:val="54"/>
        <w:pageBreakBefore w:val="0"/>
        <w:kinsoku/>
        <w:wordWrap/>
        <w:overflowPunct/>
        <w:topLinePunct w:val="0"/>
        <w:bidi w:val="0"/>
        <w:spacing w:after="0" w:afterLines="0" w:line="400" w:lineRule="exact"/>
        <w:ind w:left="0" w:leftChars="0" w:right="0" w:rightChars="0"/>
        <w:textAlignment w:val="auto"/>
        <w:rPr>
          <w:rFonts w:hint="eastAsia" w:hAnsi="宋体" w:cs="宋体"/>
          <w:bCs/>
          <w:color w:val="auto"/>
          <w:sz w:val="21"/>
          <w:szCs w:val="21"/>
          <w:highlight w:val="none"/>
          <w:u w:val="single"/>
          <w:shd w:val="clear" w:color="auto" w:fill="auto"/>
        </w:rPr>
      </w:pPr>
      <w:r>
        <w:rPr>
          <w:rFonts w:hint="eastAsia" w:hAnsi="宋体" w:cs="宋体"/>
          <w:bCs/>
          <w:color w:val="auto"/>
          <w:sz w:val="21"/>
          <w:szCs w:val="21"/>
          <w:highlight w:val="none"/>
          <w:shd w:val="clear" w:color="auto" w:fill="auto"/>
        </w:rPr>
        <w:t>开户名称：</w:t>
      </w:r>
      <w:r>
        <w:rPr>
          <w:rFonts w:hint="eastAsia" w:hAnsi="宋体" w:cs="宋体"/>
          <w:bCs/>
          <w:color w:val="auto"/>
          <w:sz w:val="21"/>
          <w:szCs w:val="21"/>
          <w:highlight w:val="none"/>
          <w:u w:val="single"/>
          <w:shd w:val="clear" w:color="auto" w:fill="auto"/>
        </w:rPr>
        <w:t xml:space="preserve">                              ；</w:t>
      </w:r>
    </w:p>
    <w:p w14:paraId="651CA701">
      <w:pPr>
        <w:pStyle w:val="54"/>
        <w:pageBreakBefore w:val="0"/>
        <w:kinsoku/>
        <w:wordWrap/>
        <w:overflowPunct/>
        <w:topLinePunct w:val="0"/>
        <w:bidi w:val="0"/>
        <w:spacing w:after="0" w:afterLines="0" w:line="400" w:lineRule="exact"/>
        <w:ind w:left="0" w:leftChars="0" w:right="0" w:rightChars="0"/>
        <w:textAlignment w:val="auto"/>
        <w:rPr>
          <w:rFonts w:hint="eastAsia" w:hAnsi="宋体" w:cs="宋体"/>
          <w:bCs/>
          <w:color w:val="auto"/>
          <w:sz w:val="21"/>
          <w:szCs w:val="21"/>
          <w:highlight w:val="none"/>
          <w:u w:val="single"/>
          <w:shd w:val="clear" w:color="auto" w:fill="auto"/>
        </w:rPr>
      </w:pPr>
      <w:r>
        <w:rPr>
          <w:rFonts w:hint="eastAsia" w:hAnsi="宋体" w:cs="宋体"/>
          <w:bCs/>
          <w:color w:val="auto"/>
          <w:sz w:val="21"/>
          <w:szCs w:val="21"/>
          <w:highlight w:val="none"/>
          <w:shd w:val="clear" w:color="auto" w:fill="auto"/>
        </w:rPr>
        <w:t>开 户 行：</w:t>
      </w:r>
      <w:r>
        <w:rPr>
          <w:rFonts w:hint="eastAsia" w:hAnsi="宋体" w:cs="宋体"/>
          <w:bCs/>
          <w:color w:val="auto"/>
          <w:sz w:val="21"/>
          <w:szCs w:val="21"/>
          <w:highlight w:val="none"/>
          <w:u w:val="single"/>
          <w:shd w:val="clear" w:color="auto" w:fill="auto"/>
        </w:rPr>
        <w:t xml:space="preserve">                              ；</w:t>
      </w:r>
    </w:p>
    <w:p w14:paraId="311E967B">
      <w:pPr>
        <w:pageBreakBefore w:val="0"/>
        <w:kinsoku/>
        <w:wordWrap/>
        <w:overflowPunct/>
        <w:topLinePunct w:val="0"/>
        <w:bidi w:val="0"/>
        <w:snapToGrid w:val="0"/>
        <w:spacing w:line="400" w:lineRule="exact"/>
        <w:ind w:right="0" w:rightChars="0" w:firstLine="210" w:firstLineChars="100"/>
        <w:textAlignment w:val="auto"/>
        <w:rPr>
          <w:rFonts w:hint="eastAsia" w:ascii="宋体" w:hAnsi="宋体" w:eastAsia="宋体" w:cs="宋体"/>
          <w:b/>
          <w:bCs/>
          <w:color w:val="auto"/>
          <w:sz w:val="21"/>
          <w:szCs w:val="21"/>
          <w:highlight w:val="none"/>
        </w:rPr>
      </w:pPr>
      <w:r>
        <w:rPr>
          <w:rFonts w:hint="eastAsia" w:hAnsi="宋体" w:cs="宋体"/>
          <w:bCs/>
          <w:color w:val="auto"/>
          <w:sz w:val="21"/>
          <w:szCs w:val="21"/>
          <w:highlight w:val="none"/>
          <w:shd w:val="clear" w:color="auto" w:fill="auto"/>
        </w:rPr>
        <w:t>账    号：</w:t>
      </w:r>
      <w:r>
        <w:rPr>
          <w:rFonts w:hint="eastAsia" w:hAnsi="宋体" w:cs="宋体"/>
          <w:bCs/>
          <w:color w:val="auto"/>
          <w:sz w:val="21"/>
          <w:szCs w:val="21"/>
          <w:highlight w:val="none"/>
          <w:u w:val="single"/>
          <w:shd w:val="clear" w:color="auto" w:fill="auto"/>
        </w:rPr>
        <w:t xml:space="preserve">                              </w:t>
      </w:r>
      <w:r>
        <w:rPr>
          <w:rFonts w:hint="eastAsia" w:cs="宋体"/>
          <w:bCs/>
          <w:color w:val="auto"/>
          <w:sz w:val="21"/>
          <w:szCs w:val="21"/>
          <w:highlight w:val="none"/>
          <w:u w:val="single"/>
          <w:shd w:val="clear" w:color="auto" w:fill="auto"/>
          <w:lang w:eastAsia="zh-CN"/>
        </w:rPr>
        <w:t>。</w:t>
      </w:r>
    </w:p>
    <w:p w14:paraId="343979E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12.4.6 支付分解表的编制</w:t>
      </w:r>
    </w:p>
    <w:p w14:paraId="35E1A2C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82387C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447170E">
      <w:pPr>
        <w:pageBreakBefore w:val="0"/>
        <w:widowControl w:val="0"/>
        <w:kinsoku/>
        <w:wordWrap/>
        <w:overflowPunct/>
        <w:topLinePunct w:val="0"/>
        <w:bidi w:val="0"/>
        <w:adjustRightInd w:val="0"/>
        <w:snapToGrid w:val="0"/>
        <w:spacing w:line="400" w:lineRule="exact"/>
        <w:ind w:firstLine="420" w:firstLineChars="200"/>
        <w:textAlignment w:val="auto"/>
        <w:rPr>
          <w:rFonts w:cs="宋体"/>
          <w:bCs/>
          <w:color w:val="auto"/>
          <w:sz w:val="21"/>
          <w:szCs w:val="21"/>
          <w:highlight w:val="none"/>
        </w:rPr>
      </w:pPr>
      <w:r>
        <w:rPr>
          <w:rFonts w:hint="eastAsia" w:cs="宋体"/>
          <w:bCs/>
          <w:color w:val="auto"/>
          <w:sz w:val="21"/>
          <w:szCs w:val="21"/>
          <w:highlight w:val="none"/>
        </w:rPr>
        <w:t>12.4.7 农民工工资管理</w:t>
      </w:r>
    </w:p>
    <w:p w14:paraId="31959E45">
      <w:pPr>
        <w:pageBreakBefore w:val="0"/>
        <w:widowControl w:val="0"/>
        <w:kinsoku/>
        <w:wordWrap/>
        <w:overflowPunct/>
        <w:topLinePunct w:val="0"/>
        <w:bidi w:val="0"/>
        <w:adjustRightInd w:val="0"/>
        <w:snapToGrid w:val="0"/>
        <w:spacing w:line="400" w:lineRule="exact"/>
        <w:ind w:firstLine="420" w:firstLineChars="200"/>
        <w:textAlignment w:val="auto"/>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BF7E29F">
      <w:pPr>
        <w:pageBreakBefore w:val="0"/>
        <w:widowControl w:val="0"/>
        <w:kinsoku/>
        <w:wordWrap/>
        <w:overflowPunct/>
        <w:topLinePunct w:val="0"/>
        <w:bidi w:val="0"/>
        <w:adjustRightInd w:val="0"/>
        <w:snapToGrid w:val="0"/>
        <w:spacing w:line="400" w:lineRule="exact"/>
        <w:ind w:firstLine="420" w:firstLineChars="200"/>
        <w:textAlignment w:val="auto"/>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374E13D9">
      <w:pPr>
        <w:pageBreakBefore w:val="0"/>
        <w:widowControl w:val="0"/>
        <w:kinsoku/>
        <w:wordWrap/>
        <w:overflowPunct/>
        <w:topLinePunct w:val="0"/>
        <w:bidi w:val="0"/>
        <w:adjustRightInd w:val="0"/>
        <w:snapToGrid w:val="0"/>
        <w:spacing w:line="400" w:lineRule="exact"/>
        <w:ind w:firstLine="420" w:firstLineChars="200"/>
        <w:textAlignment w:val="auto"/>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发包人于每月25日前将工资性工程进度款转入农民工工资专用账户。</w:t>
      </w:r>
    </w:p>
    <w:p w14:paraId="38083303">
      <w:pPr>
        <w:pageBreakBefore w:val="0"/>
        <w:widowControl w:val="0"/>
        <w:kinsoku/>
        <w:wordWrap/>
        <w:overflowPunct/>
        <w:topLinePunct w:val="0"/>
        <w:bidi w:val="0"/>
        <w:adjustRightInd w:val="0"/>
        <w:snapToGrid w:val="0"/>
        <w:spacing w:line="400" w:lineRule="exact"/>
        <w:ind w:firstLine="420" w:firstLineChars="200"/>
        <w:textAlignment w:val="auto"/>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承包人每月25日前上报本工程农民工工资清单，每月10日前委托开设农民工工资专用账户的银行支付农民工工资。</w:t>
      </w:r>
    </w:p>
    <w:p w14:paraId="007FD833">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34"/>
    <w:p w14:paraId="78E6AF75">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487" w:name="_Toc351203645"/>
      <w:bookmarkStart w:id="488" w:name="_Toc304295593"/>
      <w:bookmarkStart w:id="489" w:name="_Toc312678053"/>
      <w:bookmarkStart w:id="490" w:name="_Toc296891047"/>
      <w:bookmarkStart w:id="491" w:name="_Toc296944558"/>
      <w:bookmarkStart w:id="492" w:name="_Toc297048405"/>
      <w:bookmarkStart w:id="493" w:name="_Toc292559424"/>
      <w:bookmarkStart w:id="494" w:name="_Toc296347218"/>
      <w:bookmarkStart w:id="495" w:name="_Toc296503219"/>
      <w:bookmarkStart w:id="496" w:name="_Toc297123564"/>
      <w:bookmarkStart w:id="497" w:name="_Toc297216223"/>
      <w:bookmarkStart w:id="498" w:name="_Toc297120519"/>
      <w:bookmarkStart w:id="499" w:name="_Toc303539172"/>
      <w:bookmarkStart w:id="500" w:name="_Toc296891259"/>
      <w:bookmarkStart w:id="501" w:name="_Toc296346720"/>
      <w:bookmarkStart w:id="502" w:name="_Toc300935015"/>
      <w:bookmarkStart w:id="503" w:name="_Toc292559929"/>
      <w:r>
        <w:rPr>
          <w:rFonts w:hint="eastAsia" w:cs="宋体"/>
          <w:color w:val="auto"/>
          <w:sz w:val="21"/>
          <w:szCs w:val="21"/>
          <w:highlight w:val="none"/>
        </w:rPr>
        <w:t>13. 验收和工程试车</w:t>
      </w:r>
      <w:bookmarkEnd w:id="487"/>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14:paraId="4183834C">
      <w:pPr>
        <w:keepNext/>
        <w:keepLines/>
        <w:pageBreakBefore w:val="0"/>
        <w:widowControl w:val="0"/>
        <w:kinsoku/>
        <w:wordWrap/>
        <w:overflowPunct/>
        <w:topLinePunct w:val="0"/>
        <w:bidi w:val="0"/>
        <w:snapToGrid w:val="0"/>
        <w:spacing w:before="120" w:after="120" w:line="400" w:lineRule="exact"/>
        <w:jc w:val="left"/>
        <w:textAlignment w:val="auto"/>
        <w:outlineLvl w:val="2"/>
        <w:rPr>
          <w:rFonts w:cs="宋体"/>
          <w:bCs/>
          <w:color w:val="auto"/>
          <w:sz w:val="21"/>
          <w:szCs w:val="21"/>
          <w:highlight w:val="none"/>
        </w:rPr>
      </w:pPr>
      <w:r>
        <w:rPr>
          <w:rFonts w:hint="eastAsia" w:cs="宋体"/>
          <w:bCs/>
          <w:color w:val="auto"/>
          <w:sz w:val="21"/>
          <w:szCs w:val="21"/>
          <w:highlight w:val="none"/>
        </w:rPr>
        <w:t>13.1 分部分项工程验收</w:t>
      </w:r>
    </w:p>
    <w:p w14:paraId="2430DB4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22B129FC">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4210A2CF">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bookmarkStart w:id="504" w:name="_Toc297216224"/>
      <w:bookmarkStart w:id="505" w:name="_Toc296944562"/>
      <w:bookmarkStart w:id="506" w:name="_Toc300935016"/>
      <w:bookmarkStart w:id="507" w:name="_Toc297048409"/>
      <w:bookmarkStart w:id="508" w:name="_Toc312678056"/>
      <w:bookmarkStart w:id="509" w:name="_Toc296347222"/>
      <w:bookmarkStart w:id="510" w:name="_Toc297120523"/>
      <w:bookmarkStart w:id="511" w:name="_Toc296346724"/>
      <w:bookmarkStart w:id="512" w:name="_Toc303539173"/>
      <w:bookmarkStart w:id="513" w:name="_Toc297123565"/>
      <w:bookmarkStart w:id="514" w:name="_Toc292559428"/>
      <w:bookmarkStart w:id="515" w:name="_Toc304295596"/>
      <w:bookmarkStart w:id="516" w:name="_Toc296891263"/>
      <w:bookmarkStart w:id="517" w:name="_Toc292559933"/>
      <w:bookmarkStart w:id="518" w:name="_Toc296503223"/>
      <w:bookmarkStart w:id="519" w:name="_Toc296891051"/>
      <w:bookmarkStart w:id="520" w:name="_Toc267251475"/>
      <w:bookmarkStart w:id="521" w:name="_Toc267251470"/>
      <w:bookmarkStart w:id="522" w:name="_Toc267251473"/>
      <w:bookmarkStart w:id="523" w:name="_Toc267251471"/>
      <w:bookmarkStart w:id="524" w:name="_Toc267251472"/>
      <w:bookmarkStart w:id="525" w:name="_Toc267251474"/>
      <w:bookmarkStart w:id="526" w:name="_Toc267251476"/>
      <w:r>
        <w:rPr>
          <w:rFonts w:hint="eastAsia" w:cs="宋体"/>
          <w:bCs/>
          <w:color w:val="auto"/>
          <w:sz w:val="21"/>
          <w:szCs w:val="21"/>
          <w:highlight w:val="none"/>
        </w:rPr>
        <w:t>13.2 竣工验收</w:t>
      </w:r>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E618EB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bookmarkStart w:id="527" w:name="_Toc280868704"/>
      <w:bookmarkStart w:id="528" w:name="_Toc280868705"/>
      <w:bookmarkStart w:id="529" w:name="_Toc280868706"/>
      <w:bookmarkStart w:id="530" w:name="_Toc280868707"/>
      <w:bookmarkStart w:id="531" w:name="_Toc280868708"/>
      <w:bookmarkStart w:id="532" w:name="_Toc280868709"/>
      <w:r>
        <w:rPr>
          <w:rFonts w:hint="eastAsia" w:cs="宋体"/>
          <w:color w:val="auto"/>
          <w:sz w:val="21"/>
          <w:szCs w:val="21"/>
          <w:highlight w:val="none"/>
        </w:rPr>
        <w:t>13.2.2 竣工验收程序</w:t>
      </w:r>
    </w:p>
    <w:bookmarkEnd w:id="527"/>
    <w:p w14:paraId="62E28A9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ascii="宋体" w:cs="宋体"/>
          <w:color w:val="auto"/>
          <w:sz w:val="21"/>
          <w:szCs w:val="21"/>
          <w:highlight w:val="none"/>
          <w:u w:val="single"/>
          <w:shd w:val="clear" w:color="auto" w:fill="auto"/>
        </w:rPr>
        <w:t>严格按照《工程竣工验收要求》和进度管理办法</w:t>
      </w:r>
      <w:r>
        <w:rPr>
          <w:rFonts w:hint="eastAsia" w:cs="宋体"/>
          <w:color w:val="auto"/>
          <w:sz w:val="21"/>
          <w:szCs w:val="21"/>
          <w:highlight w:val="none"/>
          <w:u w:val="single"/>
          <w:shd w:val="clear" w:color="auto" w:fill="auto"/>
          <w:lang w:val="en-US" w:eastAsia="zh-CN"/>
        </w:rPr>
        <w:t>.</w:t>
      </w:r>
      <w:r>
        <w:rPr>
          <w:rFonts w:hint="eastAsia" w:ascii="宋体" w:cs="宋体"/>
          <w:color w:val="auto"/>
          <w:sz w:val="21"/>
          <w:szCs w:val="21"/>
          <w:highlight w:val="none"/>
          <w:u w:val="single"/>
          <w:shd w:val="clear" w:color="auto" w:fill="auto"/>
        </w:rPr>
        <w:t>执行（从工程完工到竣工验收原则上不得超过30天，特殊情况经分管领导批准的可以延长）。整体工程完工后组织竣工验收，验收合格之日作为竣工日期</w:t>
      </w:r>
      <w:r>
        <w:rPr>
          <w:rFonts w:hint="eastAsia" w:cs="宋体"/>
          <w:color w:val="auto"/>
          <w:sz w:val="21"/>
          <w:szCs w:val="21"/>
          <w:highlight w:val="none"/>
        </w:rPr>
        <w:t>。</w:t>
      </w:r>
    </w:p>
    <w:p w14:paraId="03FD89F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28"/>
    <w:p w14:paraId="1D5E80C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13.2.5 移交、接收全部与部分工程</w:t>
      </w:r>
    </w:p>
    <w:bookmarkEnd w:id="529"/>
    <w:p w14:paraId="27C4D11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ascii="宋体" w:cs="宋体"/>
          <w:color w:val="auto"/>
          <w:sz w:val="21"/>
          <w:szCs w:val="21"/>
          <w:highlight w:val="none"/>
          <w:u w:val="single"/>
          <w:shd w:val="clear" w:color="auto" w:fill="auto"/>
        </w:rPr>
        <w:t>承包人应当无条件配合发包人在30日内将工程移交给管养单位</w:t>
      </w:r>
      <w:r>
        <w:rPr>
          <w:rFonts w:hint="eastAsia" w:cs="宋体"/>
          <w:color w:val="auto"/>
          <w:sz w:val="21"/>
          <w:szCs w:val="21"/>
          <w:highlight w:val="none"/>
        </w:rPr>
        <w:t>。</w:t>
      </w:r>
    </w:p>
    <w:p w14:paraId="5F7A664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rPr>
        <w:t>。</w:t>
      </w:r>
    </w:p>
    <w:bookmarkEnd w:id="530"/>
    <w:p w14:paraId="167A104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lang w:val="en-US" w:eastAsia="zh-CN"/>
        </w:rPr>
        <w:t>因承包人原因，未按合同期限按时移交的，暂停工程款支付，发包人可动用质保金，用于工程质量整改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rPr>
        <w:t>。</w:t>
      </w:r>
    </w:p>
    <w:p w14:paraId="5C2C12F6">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13.3 工程试车</w:t>
      </w:r>
    </w:p>
    <w:bookmarkEnd w:id="531"/>
    <w:p w14:paraId="741F621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13.3.1 试车程序</w:t>
      </w:r>
    </w:p>
    <w:p w14:paraId="5E94F72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工程需要试车的，试车内容应与承包人承包范围相一致，试车费用由承包人承担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A1BDA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承包人在</w:t>
      </w:r>
      <w:r>
        <w:rPr>
          <w:rFonts w:hint="eastAsia" w:cs="宋体"/>
          <w:color w:val="auto"/>
          <w:sz w:val="21"/>
          <w:szCs w:val="21"/>
          <w:highlight w:val="none"/>
          <w:u w:val="single"/>
          <w:lang w:val="en-US" w:eastAsia="zh-CN"/>
        </w:rPr>
        <w:t>响应</w:t>
      </w:r>
      <w:r>
        <w:rPr>
          <w:rFonts w:hint="eastAsia" w:cs="宋体"/>
          <w:color w:val="auto"/>
          <w:sz w:val="21"/>
          <w:szCs w:val="21"/>
          <w:highlight w:val="none"/>
          <w:u w:val="single"/>
        </w:rPr>
        <w:t>报价中综合考虑并</w:t>
      </w:r>
      <w:r>
        <w:rPr>
          <w:rFonts w:hint="eastAsia" w:cs="宋体"/>
          <w:color w:val="auto"/>
          <w:sz w:val="21"/>
          <w:szCs w:val="21"/>
          <w:highlight w:val="none"/>
        </w:rPr>
        <w:t>承担；</w:t>
      </w:r>
    </w:p>
    <w:p w14:paraId="32656DF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承包人在</w:t>
      </w:r>
      <w:r>
        <w:rPr>
          <w:rFonts w:hint="eastAsia" w:cs="宋体"/>
          <w:color w:val="auto"/>
          <w:sz w:val="21"/>
          <w:szCs w:val="21"/>
          <w:highlight w:val="none"/>
          <w:u w:val="single"/>
          <w:lang w:val="en-US" w:eastAsia="zh-CN"/>
        </w:rPr>
        <w:t>响应</w:t>
      </w:r>
      <w:r>
        <w:rPr>
          <w:rFonts w:hint="eastAsia" w:cs="宋体"/>
          <w:color w:val="auto"/>
          <w:sz w:val="21"/>
          <w:szCs w:val="21"/>
          <w:highlight w:val="none"/>
          <w:u w:val="single"/>
        </w:rPr>
        <w:t>报价中综合考虑并</w:t>
      </w:r>
      <w:r>
        <w:rPr>
          <w:rFonts w:hint="eastAsia" w:cs="宋体"/>
          <w:color w:val="auto"/>
          <w:sz w:val="21"/>
          <w:szCs w:val="21"/>
          <w:highlight w:val="none"/>
        </w:rPr>
        <w:t>承担。</w:t>
      </w:r>
    </w:p>
    <w:p w14:paraId="2BB6802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13.3.3 投料试车</w:t>
      </w:r>
    </w:p>
    <w:p w14:paraId="05DE364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ascii="宋体" w:cs="宋体"/>
          <w:color w:val="auto"/>
          <w:kern w:val="0"/>
          <w:sz w:val="21"/>
          <w:szCs w:val="21"/>
          <w:highlight w:val="none"/>
          <w:u w:val="single"/>
          <w:shd w:val="clear" w:color="auto" w:fill="auto"/>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r>
        <w:rPr>
          <w:rFonts w:hint="eastAsia" w:cs="宋体"/>
          <w:color w:val="auto"/>
          <w:sz w:val="21"/>
          <w:szCs w:val="21"/>
          <w:highlight w:val="none"/>
        </w:rPr>
        <w:t>。</w:t>
      </w:r>
    </w:p>
    <w:p w14:paraId="1392645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13.6 竣工退场</w:t>
      </w:r>
    </w:p>
    <w:p w14:paraId="3B103CB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13.6.1 竣工退场</w:t>
      </w:r>
    </w:p>
    <w:p w14:paraId="79954B8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工程竣工合格后，7天内退场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37998">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533" w:name="_Toc351203646"/>
      <w:r>
        <w:rPr>
          <w:rFonts w:hint="eastAsia" w:cs="宋体"/>
          <w:color w:val="auto"/>
          <w:sz w:val="21"/>
          <w:szCs w:val="21"/>
          <w:highlight w:val="none"/>
        </w:rPr>
        <w:t>14. 竣工结算</w:t>
      </w:r>
      <w:bookmarkEnd w:id="533"/>
    </w:p>
    <w:p w14:paraId="7240D00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14.1 竣工结算申请</w:t>
      </w:r>
    </w:p>
    <w:p w14:paraId="11C7CB5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ascii="宋体" w:cs="宋体"/>
          <w:color w:val="auto"/>
          <w:sz w:val="21"/>
          <w:szCs w:val="21"/>
          <w:highlight w:val="none"/>
          <w:u w:val="single"/>
          <w:shd w:val="clear" w:color="auto" w:fill="auto"/>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r>
        <w:rPr>
          <w:rFonts w:hint="eastAsia" w:cs="宋体"/>
          <w:color w:val="auto"/>
          <w:sz w:val="21"/>
          <w:szCs w:val="21"/>
          <w:highlight w:val="none"/>
        </w:rPr>
        <w:t>。</w:t>
      </w:r>
    </w:p>
    <w:p w14:paraId="04E7963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lang w:val="en-US" w:eastAsia="zh-CN"/>
        </w:rPr>
        <w:t>执行发包人统一内容格式</w:t>
      </w:r>
      <w:r>
        <w:rPr>
          <w:rFonts w:hint="eastAsia" w:cs="宋体"/>
          <w:color w:val="auto"/>
          <w:sz w:val="21"/>
          <w:szCs w:val="21"/>
          <w:highlight w:val="none"/>
        </w:rPr>
        <w:t>。</w:t>
      </w:r>
    </w:p>
    <w:p w14:paraId="25A0CD1A">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14.2 竣工结算审核</w:t>
      </w:r>
    </w:p>
    <w:p w14:paraId="38F5E2F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lang w:val="en-US" w:eastAsia="zh-CN"/>
        </w:rPr>
        <w:t>相关部门审核通过后7天内完成审批并签发结算款支付证书</w:t>
      </w:r>
      <w:r>
        <w:rPr>
          <w:rFonts w:hint="eastAsia" w:cs="宋体"/>
          <w:color w:val="auto"/>
          <w:sz w:val="21"/>
          <w:szCs w:val="21"/>
          <w:highlight w:val="none"/>
        </w:rPr>
        <w:t>。</w:t>
      </w:r>
    </w:p>
    <w:p w14:paraId="5D3DEFD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lang w:val="en-US" w:eastAsia="zh-CN"/>
        </w:rPr>
        <w:t>发包人在政府资金调度会批准且发票送达一周内完成支付</w:t>
      </w:r>
      <w:r>
        <w:rPr>
          <w:rFonts w:hint="eastAsia" w:cs="宋体"/>
          <w:color w:val="auto"/>
          <w:sz w:val="21"/>
          <w:szCs w:val="21"/>
          <w:highlight w:val="none"/>
        </w:rPr>
        <w:t>。</w:t>
      </w:r>
    </w:p>
    <w:p w14:paraId="61702C9E">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关于竣工付款证书异议部分复核的方式和程序：</w:t>
      </w:r>
      <w:r>
        <w:rPr>
          <w:rFonts w:hint="eastAsia" w:ascii="宋体" w:cs="宋体"/>
          <w:color w:val="auto"/>
          <w:sz w:val="21"/>
          <w:szCs w:val="21"/>
          <w:highlight w:val="none"/>
          <w:u w:val="single"/>
          <w:shd w:val="clear" w:color="auto" w:fill="auto"/>
        </w:rPr>
        <w:t>按照第20条〔争议解决〕约定处理</w:t>
      </w:r>
      <w:r>
        <w:rPr>
          <w:rFonts w:hint="eastAsia" w:cs="宋体"/>
          <w:color w:val="auto"/>
          <w:sz w:val="21"/>
          <w:szCs w:val="21"/>
          <w:highlight w:val="none"/>
        </w:rPr>
        <w:t>。</w:t>
      </w:r>
    </w:p>
    <w:p w14:paraId="440D6B5F">
      <w:pPr>
        <w:pageBreakBefore w:val="0"/>
        <w:kinsoku/>
        <w:wordWrap/>
        <w:overflowPunct/>
        <w:topLinePunct w:val="0"/>
        <w:bidi w:val="0"/>
        <w:adjustRightInd w:val="0"/>
        <w:snapToGrid w:val="0"/>
        <w:spacing w:line="400" w:lineRule="exact"/>
        <w:ind w:left="0" w:leftChars="0" w:right="0" w:rightChars="0" w:firstLine="422" w:firstLineChars="200"/>
        <w:textAlignment w:val="auto"/>
        <w:rPr>
          <w:rFonts w:hint="eastAsia" w:eastAsia="宋体" w:cs="宋体"/>
          <w:color w:val="auto"/>
          <w:sz w:val="21"/>
          <w:szCs w:val="21"/>
          <w:highlight w:val="none"/>
          <w:lang w:val="en-US" w:eastAsia="zh-CN"/>
        </w:rPr>
      </w:pPr>
      <w:r>
        <w:rPr>
          <w:rFonts w:hint="eastAsia" w:ascii="黑体" w:hAnsi="黑体" w:eastAsia="黑体" w:cs="黑体"/>
          <w:b/>
          <w:bCs/>
          <w:color w:val="auto"/>
          <w:sz w:val="21"/>
          <w:szCs w:val="21"/>
          <w:highlight w:val="none"/>
          <w:shd w:val="clear" w:color="auto" w:fill="auto"/>
        </w:rPr>
        <w:t>工程造价审减率超过3%时，将对施工单位进行处罚，处罚金额为审减率超过3%以上的报送金额的6%</w:t>
      </w:r>
      <w:r>
        <w:rPr>
          <w:rFonts w:hint="eastAsia" w:ascii="黑体" w:hAnsi="黑体" w:eastAsia="黑体" w:cs="黑体"/>
          <w:b/>
          <w:bCs/>
          <w:color w:val="auto"/>
          <w:sz w:val="21"/>
          <w:szCs w:val="21"/>
          <w:highlight w:val="none"/>
          <w:shd w:val="clear" w:color="auto" w:fill="auto"/>
          <w:lang w:eastAsia="zh-CN"/>
        </w:rPr>
        <w:t>。</w:t>
      </w:r>
    </w:p>
    <w:p w14:paraId="40EEB80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14.4 最终结清</w:t>
      </w:r>
    </w:p>
    <w:p w14:paraId="774EC58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14.4.1 最终结清申请单</w:t>
      </w:r>
    </w:p>
    <w:p w14:paraId="2E9D7B9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4份</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C59A1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72430A6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14.4.2 最终结清证书和支付</w:t>
      </w:r>
    </w:p>
    <w:p w14:paraId="61B811E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ascii="宋体" w:cs="宋体"/>
          <w:color w:val="auto"/>
          <w:sz w:val="21"/>
          <w:szCs w:val="21"/>
          <w:highlight w:val="none"/>
          <w:u w:val="single"/>
          <w:shd w:val="clear" w:color="auto" w:fill="auto"/>
        </w:rPr>
        <w:t>缺陷责任期满经复查合格后14天内</w:t>
      </w:r>
      <w:r>
        <w:rPr>
          <w:rFonts w:hint="eastAsia" w:cs="宋体"/>
          <w:color w:val="auto"/>
          <w:sz w:val="21"/>
          <w:szCs w:val="21"/>
          <w:highlight w:val="none"/>
        </w:rPr>
        <w:t>。</w:t>
      </w:r>
    </w:p>
    <w:p w14:paraId="68B30A7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（2）发包人完成支付的期限：</w:t>
      </w:r>
      <w:r>
        <w:rPr>
          <w:rFonts w:hint="eastAsia" w:ascii="宋体" w:cs="宋体"/>
          <w:color w:val="auto"/>
          <w:sz w:val="21"/>
          <w:szCs w:val="21"/>
          <w:highlight w:val="none"/>
          <w:u w:val="single"/>
          <w:shd w:val="clear" w:color="auto" w:fill="auto"/>
        </w:rPr>
        <w:t>发包人在政府资金调度会批准且发票送达一周内完成支付</w:t>
      </w:r>
      <w:r>
        <w:rPr>
          <w:rFonts w:hint="eastAsia" w:cs="宋体"/>
          <w:color w:val="auto"/>
          <w:sz w:val="21"/>
          <w:szCs w:val="21"/>
          <w:highlight w:val="none"/>
        </w:rPr>
        <w:t>。</w:t>
      </w:r>
    </w:p>
    <w:bookmarkEnd w:id="520"/>
    <w:bookmarkEnd w:id="521"/>
    <w:bookmarkEnd w:id="522"/>
    <w:bookmarkEnd w:id="523"/>
    <w:bookmarkEnd w:id="524"/>
    <w:bookmarkEnd w:id="525"/>
    <w:bookmarkEnd w:id="526"/>
    <w:bookmarkEnd w:id="532"/>
    <w:p w14:paraId="6E643921">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534" w:name="_Toc351203647"/>
      <w:bookmarkStart w:id="535" w:name="_Toc267251483"/>
      <w:bookmarkStart w:id="536" w:name="_Toc267251482"/>
      <w:bookmarkStart w:id="537" w:name="_Toc267251484"/>
      <w:bookmarkStart w:id="538" w:name="_Toc267251485"/>
      <w:bookmarkStart w:id="539" w:name="_Toc267251490"/>
      <w:bookmarkStart w:id="540" w:name="_Toc267251486"/>
      <w:bookmarkStart w:id="541" w:name="_Toc267251488"/>
      <w:bookmarkStart w:id="542" w:name="_Toc267251489"/>
      <w:bookmarkStart w:id="543" w:name="_Toc267251492"/>
      <w:bookmarkStart w:id="544" w:name="_Toc267251493"/>
      <w:bookmarkStart w:id="545" w:name="_Toc267251497"/>
      <w:bookmarkStart w:id="546" w:name="_Toc267251502"/>
      <w:bookmarkStart w:id="547" w:name="_Toc267251499"/>
      <w:bookmarkStart w:id="548" w:name="_Toc267251503"/>
      <w:bookmarkStart w:id="549" w:name="_Toc267251501"/>
      <w:bookmarkStart w:id="550" w:name="_Toc267251498"/>
      <w:bookmarkStart w:id="551" w:name="_Toc267251496"/>
      <w:bookmarkStart w:id="552" w:name="_Toc267251491"/>
      <w:bookmarkStart w:id="553" w:name="_Toc267251494"/>
      <w:bookmarkStart w:id="554" w:name="_Toc267251495"/>
      <w:bookmarkStart w:id="555" w:name="_Toc267251506"/>
      <w:bookmarkStart w:id="556" w:name="_Toc267251504"/>
      <w:bookmarkStart w:id="557" w:name="_Toc267251507"/>
      <w:bookmarkStart w:id="558" w:name="_Toc267251508"/>
      <w:bookmarkStart w:id="559" w:name="_Toc267251513"/>
      <w:bookmarkStart w:id="560" w:name="_Toc267251515"/>
      <w:bookmarkStart w:id="561" w:name="_Toc267251514"/>
      <w:bookmarkStart w:id="562" w:name="_Toc267251509"/>
      <w:bookmarkStart w:id="563" w:name="_Toc267251510"/>
      <w:bookmarkStart w:id="564" w:name="_Toc267251511"/>
      <w:r>
        <w:rPr>
          <w:rFonts w:hint="eastAsia" w:cs="宋体"/>
          <w:color w:val="auto"/>
          <w:sz w:val="21"/>
          <w:szCs w:val="21"/>
          <w:highlight w:val="none"/>
        </w:rPr>
        <w:t>15. 缺陷责任期与保修</w:t>
      </w:r>
      <w:bookmarkEnd w:id="534"/>
    </w:p>
    <w:p w14:paraId="5D4D512B">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15.2 缺陷责任期</w:t>
      </w:r>
      <w:bookmarkEnd w:id="535"/>
    </w:p>
    <w:p w14:paraId="2B66249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7444B0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15.3 质量保证金</w:t>
      </w:r>
    </w:p>
    <w:p w14:paraId="70FA60C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否</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1787449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15.3.1 承包人提供质量保证金的方式</w:t>
      </w:r>
    </w:p>
    <w:p w14:paraId="31F4D77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质量保证金可采用以下任意一种方式：</w:t>
      </w:r>
    </w:p>
    <w:p w14:paraId="158DD27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613F59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6DE73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D13671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 xml:space="preserve">15.3.2 质量保证金的扣留 </w:t>
      </w:r>
    </w:p>
    <w:p w14:paraId="72A0323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5328516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2434192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（2）工程竣工结算时一次性扣留质量保证金；</w:t>
      </w:r>
    </w:p>
    <w:p w14:paraId="6B9C2AF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详见工程款支付方式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71F88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关于质量保证金的补充约定：</w:t>
      </w:r>
    </w:p>
    <w:p w14:paraId="35C08B7F">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ascii="宋体" w:cs="宋体"/>
          <w:color w:val="auto"/>
          <w:kern w:val="0"/>
          <w:sz w:val="21"/>
          <w:szCs w:val="21"/>
          <w:highlight w:val="none"/>
          <w:u w:val="single"/>
          <w:shd w:val="clear" w:color="auto" w:fill="auto"/>
        </w:rPr>
        <w:t>质量保证金支持保函（银行保函、担保机构担保、保证保险）使用。采用保函的，保函有效期须与缺陷责任期截止时间保持一致</w:t>
      </w:r>
      <w:r>
        <w:rPr>
          <w:rFonts w:hint="eastAsia" w:ascii="宋体" w:cs="宋体"/>
          <w:color w:val="auto"/>
          <w:kern w:val="0"/>
          <w:sz w:val="21"/>
          <w:szCs w:val="21"/>
          <w:highlight w:val="none"/>
          <w:u w:val="single"/>
          <w:shd w:val="clear" w:color="auto" w:fill="auto"/>
          <w:lang w:eastAsia="zh-CN"/>
        </w:rPr>
        <w:t>。</w:t>
      </w:r>
      <w:r>
        <w:rPr>
          <w:rFonts w:hint="eastAsia" w:ascii="宋体" w:cs="宋体"/>
          <w:color w:val="auto"/>
          <w:sz w:val="21"/>
          <w:szCs w:val="21"/>
          <w:highlight w:val="none"/>
          <w:u w:val="single"/>
          <w:shd w:val="clear" w:color="auto" w:fill="auto"/>
        </w:rPr>
        <w:t>承包人在缺陷责任期内未履行保修义务的，缺陷责任期满经复查不合格的，质量保证金不予退还。</w:t>
      </w:r>
      <w:r>
        <w:rPr>
          <w:rFonts w:hint="eastAsia" w:ascii="宋体" w:cs="宋体"/>
          <w:color w:val="auto"/>
          <w:kern w:val="0"/>
          <w:sz w:val="21"/>
          <w:szCs w:val="21"/>
          <w:highlight w:val="none"/>
          <w:u w:val="single"/>
          <w:shd w:val="clear" w:color="auto" w:fill="auto"/>
        </w:rPr>
        <w:t>质量缺陷较多，多次催促整改不到位，处理不及时的，</w:t>
      </w:r>
      <w:r>
        <w:rPr>
          <w:rFonts w:hint="eastAsia" w:ascii="宋体" w:cs="宋体"/>
          <w:color w:val="auto"/>
          <w:sz w:val="21"/>
          <w:szCs w:val="21"/>
          <w:highlight w:val="none"/>
          <w:u w:val="single"/>
          <w:shd w:val="clear" w:color="auto" w:fill="auto"/>
        </w:rPr>
        <w:t>发包人可动用质保金，用于工程质量整改</w:t>
      </w:r>
      <w:r>
        <w:rPr>
          <w:rFonts w:hint="eastAsia" w:cs="宋体"/>
          <w:color w:val="auto"/>
          <w:sz w:val="21"/>
          <w:szCs w:val="21"/>
          <w:highlight w:val="none"/>
        </w:rPr>
        <w:t>。</w:t>
      </w:r>
    </w:p>
    <w:bookmarkEnd w:id="536"/>
    <w:bookmarkEnd w:id="537"/>
    <w:p w14:paraId="24E90D6E">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15.4 保修</w:t>
      </w:r>
    </w:p>
    <w:bookmarkEnd w:id="538"/>
    <w:p w14:paraId="47227A1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15.4.1 保修责任</w:t>
      </w:r>
    </w:p>
    <w:p w14:paraId="3E7A7A0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kern w:val="0"/>
          <w:sz w:val="21"/>
          <w:szCs w:val="21"/>
          <w:highlight w:val="none"/>
          <w:u w:val="single"/>
          <w:lang w:val="en-US" w:eastAsia="zh-CN"/>
        </w:rPr>
        <w:t>执行《建设工程质量管理条例》及有关规定，如与国家最新相关标准冲突的按标准较高的执行</w:t>
      </w:r>
      <w:r>
        <w:rPr>
          <w:rFonts w:hint="eastAsia" w:cs="宋体"/>
          <w:color w:val="auto"/>
          <w:sz w:val="21"/>
          <w:szCs w:val="21"/>
          <w:highlight w:val="none"/>
        </w:rPr>
        <w:t>。</w:t>
      </w:r>
    </w:p>
    <w:p w14:paraId="60A4702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15.4.3 修复通知</w:t>
      </w:r>
    </w:p>
    <w:p w14:paraId="380ADDD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kern w:val="0"/>
          <w:sz w:val="21"/>
          <w:szCs w:val="21"/>
          <w:highlight w:val="none"/>
          <w:u w:val="single"/>
          <w:shd w:val="clear" w:color="auto" w:fill="auto"/>
          <w:lang w:val="en-US" w:eastAsia="zh-CN"/>
        </w:rPr>
        <w:t xml:space="preserve"> 自承包人收到保修通知起24小时内到达工程现场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39"/>
    <w:bookmarkEnd w:id="540"/>
    <w:bookmarkEnd w:id="541"/>
    <w:bookmarkEnd w:id="542"/>
    <w:p w14:paraId="1355C7DA">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565" w:name="_Toc351203648"/>
      <w:bookmarkStart w:id="566" w:name="_Toc280868717"/>
      <w:bookmarkStart w:id="567" w:name="_Toc280868718"/>
      <w:r>
        <w:rPr>
          <w:rFonts w:hint="eastAsia" w:cs="宋体"/>
          <w:color w:val="auto"/>
          <w:sz w:val="21"/>
          <w:szCs w:val="21"/>
          <w:highlight w:val="none"/>
        </w:rPr>
        <w:t>16. 违约</w:t>
      </w:r>
      <w:bookmarkEnd w:id="565"/>
    </w:p>
    <w:p w14:paraId="3128F852">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16.1 发包人违约</w:t>
      </w:r>
    </w:p>
    <w:p w14:paraId="33E102A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16.1.1 发包人违约的情形</w:t>
      </w:r>
    </w:p>
    <w:p w14:paraId="0B7D91F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3D7F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16.1.2 发包人违约的责任</w:t>
      </w:r>
    </w:p>
    <w:p w14:paraId="11B4CAD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发包人违约责任的承担方式和计算方法：</w:t>
      </w:r>
    </w:p>
    <w:p w14:paraId="784CFCA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rPr>
        <w:t>对工期造成影响的可顺延工期</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F59A6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927229">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发包人可追加与被取消的工作造价相当的额外工作做为补偿   </w:t>
      </w:r>
      <w:r>
        <w:rPr>
          <w:rFonts w:hint="eastAsia" w:cs="宋体"/>
          <w:color w:val="auto"/>
          <w:sz w:val="21"/>
          <w:szCs w:val="21"/>
          <w:highlight w:val="none"/>
        </w:rPr>
        <w:t>。</w:t>
      </w:r>
    </w:p>
    <w:p w14:paraId="64E9F4D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发包人可补足或更换材料、工程设备；对工期造成延误的可以顺延；增加承包人成本的可予以补偿  </w:t>
      </w:r>
      <w:r>
        <w:rPr>
          <w:rFonts w:hint="eastAsia" w:cs="宋体"/>
          <w:color w:val="auto"/>
          <w:sz w:val="21"/>
          <w:szCs w:val="21"/>
          <w:highlight w:val="none"/>
        </w:rPr>
        <w:t>。</w:t>
      </w:r>
    </w:p>
    <w:p w14:paraId="356E118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可顺延工期</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6ED2E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对工期造成影响的可顺延工期 </w:t>
      </w:r>
      <w:r>
        <w:rPr>
          <w:rFonts w:hint="eastAsia" w:cs="宋体"/>
          <w:color w:val="auto"/>
          <w:sz w:val="21"/>
          <w:szCs w:val="21"/>
          <w:highlight w:val="none"/>
        </w:rPr>
        <w:t>。</w:t>
      </w:r>
    </w:p>
    <w:p w14:paraId="4BBE7F7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2C4AE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16.1.3 因发包人违约解除合同</w:t>
      </w:r>
    </w:p>
    <w:p w14:paraId="005CB34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2D5A86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16.2 承包人违约</w:t>
      </w:r>
    </w:p>
    <w:p w14:paraId="772D915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16.2.1 承包人违约的情形</w:t>
      </w:r>
    </w:p>
    <w:p w14:paraId="2F15B45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执行补充条款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FB6DB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16.2.2 承包人违约的责任</w:t>
      </w:r>
    </w:p>
    <w:p w14:paraId="771C89D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执行补充条款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02AB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16.2.3 因承包人违约解除合同</w:t>
      </w:r>
    </w:p>
    <w:p w14:paraId="4701D50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执行补充条款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FE118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0A4E03">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568" w:name="_Toc351203649"/>
      <w:r>
        <w:rPr>
          <w:rFonts w:hint="eastAsia" w:cs="宋体"/>
          <w:color w:val="auto"/>
          <w:sz w:val="21"/>
          <w:szCs w:val="21"/>
          <w:highlight w:val="none"/>
        </w:rPr>
        <w:t>17. 不可抗力</w:t>
      </w:r>
      <w:bookmarkEnd w:id="568"/>
      <w:r>
        <w:rPr>
          <w:rFonts w:hint="eastAsia" w:cs="宋体"/>
          <w:color w:val="auto"/>
          <w:sz w:val="21"/>
          <w:szCs w:val="21"/>
          <w:highlight w:val="none"/>
        </w:rPr>
        <w:t xml:space="preserve"> </w:t>
      </w:r>
      <w:bookmarkEnd w:id="566"/>
    </w:p>
    <w:p w14:paraId="5B74B7A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17.1 不可抗力的确认</w:t>
      </w:r>
    </w:p>
    <w:p w14:paraId="235D533C">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lang w:val="en-US" w:eastAsia="zh-CN"/>
        </w:rPr>
        <w:t>无</w:t>
      </w:r>
      <w:r>
        <w:rPr>
          <w:rFonts w:hint="eastAsia" w:cs="宋体"/>
          <w:color w:val="auto"/>
          <w:sz w:val="21"/>
          <w:szCs w:val="21"/>
          <w:highlight w:val="none"/>
        </w:rPr>
        <w:t>。</w:t>
      </w:r>
    </w:p>
    <w:p w14:paraId="1C1F0A3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58A9F1D9">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bookmarkStart w:id="569" w:name="_Toc351203650"/>
      <w:r>
        <w:rPr>
          <w:rFonts w:hint="eastAsia" w:cs="宋体"/>
          <w:color w:val="auto"/>
          <w:sz w:val="21"/>
          <w:szCs w:val="21"/>
          <w:highlight w:val="none"/>
        </w:rPr>
        <w:t>合同解除后，发包人应在政府资金调度会批准且发票送达一周内完成款项的支付。</w:t>
      </w:r>
    </w:p>
    <w:p w14:paraId="212E9965">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r>
        <w:rPr>
          <w:rFonts w:hint="eastAsia" w:cs="宋体"/>
          <w:color w:val="auto"/>
          <w:sz w:val="21"/>
          <w:szCs w:val="21"/>
          <w:highlight w:val="none"/>
        </w:rPr>
        <w:t>18. 保险</w:t>
      </w:r>
      <w:bookmarkEnd w:id="569"/>
    </w:p>
    <w:bookmarkEnd w:id="567"/>
    <w:p w14:paraId="3452747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18.1 工程保险</w:t>
      </w:r>
    </w:p>
    <w:p w14:paraId="4702C549">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承包人自行考虑</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76E5BD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18.3 其他保险</w:t>
      </w:r>
    </w:p>
    <w:p w14:paraId="360BE3F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lang w:val="en-US" w:eastAsia="zh-CN"/>
        </w:rPr>
        <w:t xml:space="preserve"> 执行国家、省、市有关规定</w:t>
      </w:r>
      <w:r>
        <w:rPr>
          <w:rFonts w:hint="eastAsia" w:cs="宋体"/>
          <w:color w:val="auto"/>
          <w:sz w:val="21"/>
          <w:szCs w:val="21"/>
          <w:highlight w:val="none"/>
        </w:rPr>
        <w:t>。</w:t>
      </w:r>
    </w:p>
    <w:p w14:paraId="2DF7278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lang w:val="en-US" w:eastAsia="zh-CN"/>
        </w:rPr>
        <w:t>承包人应为其施工设备等办理财产保险</w:t>
      </w:r>
      <w:r>
        <w:rPr>
          <w:rFonts w:hint="eastAsia" w:cs="宋体"/>
          <w:color w:val="auto"/>
          <w:sz w:val="21"/>
          <w:szCs w:val="21"/>
          <w:highlight w:val="none"/>
        </w:rPr>
        <w:t>。</w:t>
      </w:r>
    </w:p>
    <w:p w14:paraId="216C21C2">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18.7 通知义务</w:t>
      </w:r>
    </w:p>
    <w:p w14:paraId="505D1B8A">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lang w:val="en-US" w:eastAsia="zh-CN"/>
        </w:rPr>
        <w:t>发包人变更除工伤保险之外的保险合同时，应事先征得承包人同意，并通知监理人；承包人变更除工伤保险之外的保险合同时，应事先征得发包人同意，并通知监理人</w:t>
      </w:r>
      <w:r>
        <w:rPr>
          <w:rFonts w:hint="eastAsia" w:cs="宋体"/>
          <w:color w:val="auto"/>
          <w:sz w:val="21"/>
          <w:szCs w:val="21"/>
          <w:highlight w:val="none"/>
        </w:rPr>
        <w:t>。</w:t>
      </w:r>
    </w:p>
    <w:p w14:paraId="4C4383B2">
      <w:pPr>
        <w:pageBreakBefore w:val="0"/>
        <w:kinsoku/>
        <w:wordWrap/>
        <w:topLinePunct w:val="0"/>
        <w:bidi w:val="0"/>
        <w:adjustRightInd w:val="0"/>
        <w:snapToGrid w:val="0"/>
        <w:spacing w:beforeAutospacing="0" w:line="520" w:lineRule="exact"/>
        <w:ind w:firstLine="420" w:firstLineChars="200"/>
        <w:rPr>
          <w:rFonts w:hint="eastAsia" w:cs="宋体"/>
          <w:color w:val="auto"/>
          <w:sz w:val="21"/>
          <w:szCs w:val="21"/>
          <w:highlight w:val="none"/>
        </w:rPr>
      </w:pPr>
      <w:r>
        <w:rPr>
          <w:rFonts w:hint="eastAsia" w:cs="宋体"/>
          <w:color w:val="auto"/>
          <w:sz w:val="21"/>
          <w:szCs w:val="21"/>
          <w:highlight w:val="none"/>
          <w:u w:val="single"/>
          <w:lang w:val="en-US" w:eastAsia="zh-CN"/>
        </w:rPr>
        <w:t>保险事故发生时，投保人应按照保险合同规定的条件和期限及时向保险人报告。发包人和承包人应当在知道保险事故发生后及时通知对方</w:t>
      </w:r>
      <w:r>
        <w:rPr>
          <w:rFonts w:hint="eastAsia" w:cs="宋体"/>
          <w:color w:val="auto"/>
          <w:sz w:val="21"/>
          <w:szCs w:val="21"/>
          <w:highlight w:val="none"/>
        </w:rPr>
        <w:t>。</w:t>
      </w:r>
    </w:p>
    <w:bookmarkEnd w:id="543"/>
    <w:bookmarkEnd w:id="544"/>
    <w:bookmarkEnd w:id="545"/>
    <w:bookmarkEnd w:id="546"/>
    <w:bookmarkEnd w:id="547"/>
    <w:bookmarkEnd w:id="548"/>
    <w:bookmarkEnd w:id="549"/>
    <w:bookmarkEnd w:id="550"/>
    <w:bookmarkEnd w:id="551"/>
    <w:bookmarkEnd w:id="552"/>
    <w:bookmarkEnd w:id="553"/>
    <w:bookmarkEnd w:id="554"/>
    <w:p w14:paraId="2EAB4F6A">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570" w:name="_Toc351203651"/>
      <w:r>
        <w:rPr>
          <w:rFonts w:hint="eastAsia" w:cs="宋体"/>
          <w:color w:val="auto"/>
          <w:sz w:val="21"/>
          <w:szCs w:val="21"/>
          <w:highlight w:val="none"/>
        </w:rPr>
        <w:t>20. 争议解决</w:t>
      </w:r>
      <w:bookmarkEnd w:id="570"/>
    </w:p>
    <w:bookmarkEnd w:id="555"/>
    <w:bookmarkEnd w:id="556"/>
    <w:p w14:paraId="0176934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20.3 争</w:t>
      </w:r>
      <w:bookmarkEnd w:id="557"/>
      <w:r>
        <w:rPr>
          <w:rFonts w:hint="eastAsia" w:cs="宋体"/>
          <w:bCs/>
          <w:color w:val="auto"/>
          <w:sz w:val="21"/>
          <w:szCs w:val="21"/>
          <w:highlight w:val="none"/>
        </w:rPr>
        <w:t>议评审</w:t>
      </w:r>
    </w:p>
    <w:p w14:paraId="07FE6D1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不同意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AB1AF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20.3.1 争议评审小组的确定</w:t>
      </w:r>
    </w:p>
    <w:p w14:paraId="7EE9FC3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1F802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54F4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7A783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85E97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20.3.2 争议评审小组的决定</w:t>
      </w:r>
    </w:p>
    <w:p w14:paraId="2B0E74D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CE24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20.4 仲裁或诉讼</w:t>
      </w:r>
      <w:bookmarkEnd w:id="558"/>
    </w:p>
    <w:bookmarkEnd w:id="559"/>
    <w:bookmarkEnd w:id="560"/>
    <w:bookmarkEnd w:id="561"/>
    <w:bookmarkEnd w:id="562"/>
    <w:bookmarkEnd w:id="563"/>
    <w:bookmarkEnd w:id="564"/>
    <w:p w14:paraId="51B8B37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w:t>
      </w:r>
      <w:r>
        <w:rPr>
          <w:rFonts w:hint="eastAsia" w:cs="宋体"/>
          <w:b/>
          <w:bCs/>
          <w:color w:val="auto"/>
          <w:sz w:val="21"/>
          <w:szCs w:val="21"/>
          <w:highlight w:val="none"/>
          <w:u w:val="single"/>
          <w:lang w:val="en-US" w:eastAsia="zh-CN"/>
        </w:rPr>
        <w:t>1</w:t>
      </w:r>
      <w:r>
        <w:rPr>
          <w:rFonts w:hint="eastAsia" w:cs="宋体"/>
          <w:b/>
          <w:bCs/>
          <w:color w:val="auto"/>
          <w:sz w:val="21"/>
          <w:szCs w:val="21"/>
          <w:highlight w:val="none"/>
          <w:u w:val="single"/>
        </w:rPr>
        <w:t xml:space="preserve"> </w:t>
      </w:r>
      <w:r>
        <w:rPr>
          <w:rFonts w:hint="eastAsia" w:cs="宋体"/>
          <w:b/>
          <w:bCs/>
          <w:color w:val="auto"/>
          <w:sz w:val="21"/>
          <w:szCs w:val="21"/>
          <w:highlight w:val="none"/>
        </w:rPr>
        <w:t>种</w:t>
      </w:r>
      <w:r>
        <w:rPr>
          <w:rFonts w:hint="eastAsia" w:cs="宋体"/>
          <w:color w:val="auto"/>
          <w:sz w:val="21"/>
          <w:szCs w:val="21"/>
          <w:highlight w:val="none"/>
        </w:rPr>
        <w:t>方式解决：</w:t>
      </w:r>
    </w:p>
    <w:p w14:paraId="54E6149A">
      <w:pPr>
        <w:pageBreakBefore w:val="0"/>
        <w:widowControl w:val="0"/>
        <w:numPr>
          <w:ilvl w:val="0"/>
          <w:numId w:val="3"/>
        </w:numPr>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滁州</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6947D30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76EFA61">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00F97A27">
      <w:pPr>
        <w:snapToGrid w:val="0"/>
        <w:spacing w:before="312" w:beforeLines="100" w:after="312" w:afterLines="100" w:line="360" w:lineRule="auto"/>
        <w:outlineLvl w:val="2"/>
        <w:rPr>
          <w:rFonts w:hint="eastAsia" w:cs="宋体"/>
          <w:color w:val="auto"/>
          <w:sz w:val="21"/>
          <w:szCs w:val="21"/>
          <w:highlight w:val="none"/>
          <w:u w:val="single"/>
        </w:rPr>
      </w:pPr>
      <w:r>
        <w:rPr>
          <w:rFonts w:hint="eastAsia" w:hAnsi="宋体" w:cs="宋体"/>
          <w:color w:val="auto"/>
          <w:sz w:val="21"/>
          <w:szCs w:val="21"/>
          <w:highlight w:val="none"/>
          <w:u w:val="single"/>
        </w:rPr>
        <w:t>本合同文本未尽事宜，由合同签定双方在发生时具体商定</w:t>
      </w:r>
      <w:r>
        <w:rPr>
          <w:rFonts w:hint="eastAsia" w:ascii="宋体" w:hAnsi="宋体" w:cs="宋体"/>
          <w:color w:val="auto"/>
          <w:sz w:val="21"/>
          <w:szCs w:val="21"/>
          <w:highlight w:val="none"/>
          <w:u w:val="single"/>
        </w:rPr>
        <w:t>。</w:t>
      </w:r>
    </w:p>
    <w:p w14:paraId="7494FFC4">
      <w:pPr>
        <w:snapToGrid w:val="0"/>
        <w:spacing w:line="360" w:lineRule="auto"/>
        <w:rPr>
          <w:rFonts w:hint="eastAsia" w:cs="宋体"/>
          <w:color w:val="auto"/>
          <w:sz w:val="21"/>
          <w:szCs w:val="21"/>
          <w:highlight w:val="none"/>
        </w:rPr>
      </w:pPr>
    </w:p>
    <w:p w14:paraId="652B1E93">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72E399AD">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1B50B543">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45D2A3B">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DFD6FD4">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75D77B0E">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411CD513">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81C4136">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29A560F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0CEB65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90BBEF9">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1621844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16414F7B">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55"/>
    <w:p w14:paraId="1D860B45">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02825514">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57DDF528">
      <w:pPr>
        <w:snapToGrid w:val="0"/>
        <w:spacing w:line="360" w:lineRule="auto"/>
        <w:rPr>
          <w:rFonts w:cs="宋体"/>
          <w:color w:val="auto"/>
          <w:sz w:val="21"/>
          <w:szCs w:val="21"/>
          <w:highlight w:val="none"/>
        </w:rPr>
      </w:pPr>
      <w:bookmarkStart w:id="571" w:name="_Toc128950221"/>
      <w:r>
        <w:rPr>
          <w:rFonts w:hint="eastAsia" w:cs="宋体"/>
          <w:color w:val="auto"/>
          <w:sz w:val="21"/>
          <w:szCs w:val="21"/>
          <w:highlight w:val="none"/>
        </w:rPr>
        <w:t>附件1：承包人承揽工程项目一览表</w:t>
      </w:r>
      <w:bookmarkEnd w:id="571"/>
    </w:p>
    <w:p w14:paraId="71655008">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5425724D">
      <w:pPr>
        <w:snapToGrid w:val="0"/>
        <w:spacing w:line="360" w:lineRule="auto"/>
        <w:rPr>
          <w:rFonts w:cs="宋体"/>
          <w:color w:val="auto"/>
          <w:sz w:val="21"/>
          <w:szCs w:val="21"/>
          <w:highlight w:val="none"/>
        </w:rPr>
      </w:pPr>
      <w:bookmarkStart w:id="572" w:name="_Toc128950222"/>
      <w:r>
        <w:rPr>
          <w:rFonts w:hint="eastAsia" w:cs="宋体"/>
          <w:color w:val="auto"/>
          <w:sz w:val="21"/>
          <w:szCs w:val="21"/>
          <w:highlight w:val="none"/>
        </w:rPr>
        <w:t>附件2：发包人供应材料设备一览表</w:t>
      </w:r>
      <w:bookmarkEnd w:id="572"/>
    </w:p>
    <w:p w14:paraId="45AC2A4C">
      <w:pPr>
        <w:snapToGrid w:val="0"/>
        <w:spacing w:line="360" w:lineRule="auto"/>
        <w:rPr>
          <w:rFonts w:cs="宋体"/>
          <w:color w:val="auto"/>
          <w:sz w:val="21"/>
          <w:szCs w:val="21"/>
          <w:highlight w:val="none"/>
        </w:rPr>
      </w:pPr>
      <w:bookmarkStart w:id="573" w:name="_Toc128950223"/>
      <w:r>
        <w:rPr>
          <w:rFonts w:hint="eastAsia" w:cs="宋体"/>
          <w:color w:val="auto"/>
          <w:sz w:val="21"/>
          <w:szCs w:val="21"/>
          <w:highlight w:val="none"/>
        </w:rPr>
        <w:t>附件3：工程质量保修书</w:t>
      </w:r>
      <w:bookmarkEnd w:id="573"/>
    </w:p>
    <w:p w14:paraId="533EE064">
      <w:pPr>
        <w:snapToGrid w:val="0"/>
        <w:spacing w:line="360" w:lineRule="auto"/>
        <w:rPr>
          <w:rFonts w:cs="宋体"/>
          <w:color w:val="auto"/>
          <w:sz w:val="21"/>
          <w:szCs w:val="21"/>
          <w:highlight w:val="none"/>
        </w:rPr>
      </w:pPr>
      <w:bookmarkStart w:id="574" w:name="_Toc128950224"/>
      <w:r>
        <w:rPr>
          <w:rFonts w:hint="eastAsia" w:cs="宋体"/>
          <w:color w:val="auto"/>
          <w:sz w:val="21"/>
          <w:szCs w:val="21"/>
          <w:highlight w:val="none"/>
        </w:rPr>
        <w:t>附件4：主要建设工程文件目录</w:t>
      </w:r>
      <w:bookmarkEnd w:id="574"/>
    </w:p>
    <w:p w14:paraId="3E14C298">
      <w:pPr>
        <w:snapToGrid w:val="0"/>
        <w:spacing w:line="360" w:lineRule="auto"/>
        <w:rPr>
          <w:rFonts w:cs="宋体"/>
          <w:color w:val="auto"/>
          <w:sz w:val="21"/>
          <w:szCs w:val="21"/>
          <w:highlight w:val="none"/>
        </w:rPr>
      </w:pPr>
      <w:bookmarkStart w:id="575" w:name="_Toc128950225"/>
      <w:r>
        <w:rPr>
          <w:rFonts w:hint="eastAsia" w:cs="宋体"/>
          <w:color w:val="auto"/>
          <w:sz w:val="21"/>
          <w:szCs w:val="21"/>
          <w:highlight w:val="none"/>
        </w:rPr>
        <w:t>附件5：承包人用于本工程施工的机械设备表</w:t>
      </w:r>
      <w:bookmarkEnd w:id="575"/>
    </w:p>
    <w:p w14:paraId="4EF1AAEA">
      <w:pPr>
        <w:snapToGrid w:val="0"/>
        <w:spacing w:line="360" w:lineRule="auto"/>
        <w:rPr>
          <w:rFonts w:cs="宋体"/>
          <w:color w:val="auto"/>
          <w:sz w:val="21"/>
          <w:szCs w:val="21"/>
          <w:highlight w:val="none"/>
        </w:rPr>
      </w:pPr>
      <w:bookmarkStart w:id="576" w:name="_Toc128950226"/>
      <w:r>
        <w:rPr>
          <w:rFonts w:hint="eastAsia" w:cs="宋体"/>
          <w:color w:val="auto"/>
          <w:sz w:val="21"/>
          <w:szCs w:val="21"/>
          <w:highlight w:val="none"/>
        </w:rPr>
        <w:t>附件6：承包人主要施工管理人员表</w:t>
      </w:r>
      <w:bookmarkEnd w:id="576"/>
    </w:p>
    <w:p w14:paraId="31E7B20F">
      <w:pPr>
        <w:snapToGrid w:val="0"/>
        <w:spacing w:line="360" w:lineRule="auto"/>
        <w:rPr>
          <w:rFonts w:cs="宋体"/>
          <w:color w:val="auto"/>
          <w:sz w:val="21"/>
          <w:szCs w:val="21"/>
          <w:highlight w:val="none"/>
        </w:rPr>
      </w:pPr>
      <w:bookmarkStart w:id="577" w:name="_Toc128950227"/>
      <w:r>
        <w:rPr>
          <w:rFonts w:hint="eastAsia" w:cs="宋体"/>
          <w:color w:val="auto"/>
          <w:sz w:val="21"/>
          <w:szCs w:val="21"/>
          <w:highlight w:val="none"/>
        </w:rPr>
        <w:t>附件7：分包人主要施工管理人员表</w:t>
      </w:r>
      <w:bookmarkEnd w:id="577"/>
    </w:p>
    <w:p w14:paraId="60707DDB">
      <w:pPr>
        <w:snapToGrid w:val="0"/>
        <w:spacing w:line="360" w:lineRule="auto"/>
        <w:rPr>
          <w:rFonts w:cs="宋体"/>
          <w:color w:val="auto"/>
          <w:sz w:val="21"/>
          <w:szCs w:val="21"/>
          <w:highlight w:val="none"/>
        </w:rPr>
      </w:pPr>
      <w:bookmarkStart w:id="578" w:name="_Toc128950228"/>
      <w:r>
        <w:rPr>
          <w:rFonts w:hint="eastAsia" w:cs="宋体"/>
          <w:color w:val="auto"/>
          <w:sz w:val="21"/>
          <w:szCs w:val="21"/>
          <w:highlight w:val="none"/>
        </w:rPr>
        <w:t>附件8：廉政协议</w:t>
      </w:r>
      <w:bookmarkEnd w:id="578"/>
    </w:p>
    <w:p w14:paraId="74EB8D12">
      <w:pPr>
        <w:snapToGrid w:val="0"/>
        <w:spacing w:line="360" w:lineRule="auto"/>
        <w:rPr>
          <w:rFonts w:cs="宋体"/>
          <w:color w:val="auto"/>
          <w:sz w:val="21"/>
          <w:szCs w:val="21"/>
          <w:highlight w:val="none"/>
        </w:rPr>
      </w:pPr>
      <w:bookmarkStart w:id="579" w:name="_Toc128950229"/>
      <w:r>
        <w:rPr>
          <w:rFonts w:hint="eastAsia" w:cs="宋体"/>
          <w:color w:val="auto"/>
          <w:sz w:val="21"/>
          <w:szCs w:val="21"/>
          <w:highlight w:val="none"/>
        </w:rPr>
        <w:t>附件9：履约保证金格式</w:t>
      </w:r>
      <w:bookmarkEnd w:id="579"/>
    </w:p>
    <w:p w14:paraId="3415BA02">
      <w:pPr>
        <w:snapToGrid w:val="0"/>
        <w:spacing w:line="360" w:lineRule="auto"/>
        <w:rPr>
          <w:rFonts w:cs="宋体"/>
          <w:color w:val="auto"/>
          <w:sz w:val="21"/>
          <w:szCs w:val="21"/>
          <w:highlight w:val="none"/>
        </w:rPr>
      </w:pPr>
      <w:bookmarkStart w:id="580" w:name="_Toc128950230"/>
      <w:r>
        <w:rPr>
          <w:rFonts w:hint="eastAsia" w:cs="宋体"/>
          <w:color w:val="auto"/>
          <w:sz w:val="21"/>
          <w:szCs w:val="21"/>
          <w:highlight w:val="none"/>
        </w:rPr>
        <w:t>附件10：预付款担保格式</w:t>
      </w:r>
      <w:bookmarkEnd w:id="580"/>
    </w:p>
    <w:p w14:paraId="2126F53C">
      <w:pPr>
        <w:snapToGrid w:val="0"/>
        <w:spacing w:line="360" w:lineRule="auto"/>
        <w:rPr>
          <w:rFonts w:cs="宋体"/>
          <w:color w:val="auto"/>
          <w:sz w:val="21"/>
          <w:szCs w:val="21"/>
          <w:highlight w:val="none"/>
        </w:rPr>
      </w:pPr>
      <w:bookmarkStart w:id="581" w:name="_Toc128950231"/>
      <w:r>
        <w:rPr>
          <w:rFonts w:hint="eastAsia" w:cs="宋体"/>
          <w:color w:val="auto"/>
          <w:sz w:val="21"/>
          <w:szCs w:val="21"/>
          <w:highlight w:val="none"/>
        </w:rPr>
        <w:t>附件11：支付担保格式</w:t>
      </w:r>
      <w:bookmarkEnd w:id="581"/>
    </w:p>
    <w:p w14:paraId="1DD2AA4B">
      <w:pPr>
        <w:snapToGrid w:val="0"/>
        <w:spacing w:line="360" w:lineRule="auto"/>
        <w:rPr>
          <w:rFonts w:cs="宋体"/>
          <w:color w:val="auto"/>
          <w:sz w:val="21"/>
          <w:szCs w:val="21"/>
          <w:highlight w:val="none"/>
        </w:rPr>
      </w:pPr>
      <w:bookmarkStart w:id="582" w:name="_Toc128950232"/>
      <w:r>
        <w:rPr>
          <w:rFonts w:hint="eastAsia" w:cs="宋体"/>
          <w:color w:val="auto"/>
          <w:sz w:val="21"/>
          <w:szCs w:val="21"/>
          <w:highlight w:val="none"/>
        </w:rPr>
        <w:t>附件12：暂估价一览表</w:t>
      </w:r>
      <w:bookmarkEnd w:id="582"/>
    </w:p>
    <w:p w14:paraId="233FFD24">
      <w:pPr>
        <w:snapToGrid w:val="0"/>
        <w:spacing w:line="360" w:lineRule="auto"/>
        <w:rPr>
          <w:rFonts w:cs="宋体"/>
          <w:color w:val="auto"/>
          <w:sz w:val="21"/>
          <w:szCs w:val="21"/>
          <w:highlight w:val="none"/>
        </w:rPr>
      </w:pPr>
      <w:bookmarkStart w:id="583" w:name="_Toc128950233"/>
      <w:r>
        <w:rPr>
          <w:rFonts w:hint="eastAsia" w:cs="宋体"/>
          <w:color w:val="auto"/>
          <w:sz w:val="21"/>
          <w:szCs w:val="21"/>
          <w:highlight w:val="none"/>
        </w:rPr>
        <w:t>附件13：安全生产合同</w:t>
      </w:r>
      <w:bookmarkEnd w:id="583"/>
    </w:p>
    <w:p w14:paraId="3E3A633A">
      <w:pPr>
        <w:snapToGrid w:val="0"/>
        <w:spacing w:line="360" w:lineRule="auto"/>
        <w:rPr>
          <w:rFonts w:cs="宋体"/>
          <w:color w:val="auto"/>
          <w:sz w:val="21"/>
          <w:szCs w:val="21"/>
          <w:highlight w:val="none"/>
        </w:rPr>
      </w:pPr>
      <w:bookmarkStart w:id="584" w:name="_Toc128950234"/>
      <w:r>
        <w:rPr>
          <w:rFonts w:hint="eastAsia" w:cs="宋体"/>
          <w:color w:val="auto"/>
          <w:sz w:val="21"/>
          <w:szCs w:val="21"/>
          <w:highlight w:val="none"/>
        </w:rPr>
        <w:t>附件14：项目经理质量终身责任制承诺</w:t>
      </w:r>
      <w:bookmarkEnd w:id="584"/>
    </w:p>
    <w:p w14:paraId="47AE1FD2">
      <w:pPr>
        <w:snapToGrid w:val="0"/>
        <w:spacing w:before="312" w:beforeLines="100" w:after="312" w:afterLines="100" w:line="360" w:lineRule="auto"/>
        <w:outlineLvl w:val="2"/>
        <w:rPr>
          <w:rFonts w:ascii="Times New Roman" w:eastAsia="黑体"/>
          <w:color w:val="auto"/>
          <w:szCs w:val="24"/>
          <w:highlight w:val="none"/>
        </w:rPr>
      </w:pPr>
      <w:r>
        <w:rPr>
          <w:rFonts w:hint="eastAsia" w:cs="宋体"/>
          <w:bCs/>
          <w:color w:val="auto"/>
          <w:sz w:val="21"/>
          <w:szCs w:val="21"/>
          <w:highlight w:val="none"/>
        </w:rPr>
        <w:br w:type="page"/>
      </w:r>
      <w:bookmarkStart w:id="585" w:name="_Toc128950235"/>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：承包人承揽工程项目一览表</w:t>
      </w:r>
      <w:bookmarkEnd w:id="585"/>
    </w:p>
    <w:p w14:paraId="7F36DEB7">
      <w:pPr>
        <w:spacing w:line="360" w:lineRule="auto"/>
        <w:jc w:val="center"/>
        <w:rPr>
          <w:rFonts w:cs="宋体"/>
          <w:color w:val="auto"/>
          <w:sz w:val="22"/>
          <w:szCs w:val="21"/>
          <w:highlight w:val="none"/>
        </w:rPr>
      </w:pPr>
      <w:r>
        <w:rPr>
          <w:rFonts w:hint="eastAsia" w:cs="宋体"/>
          <w:color w:val="auto"/>
          <w:sz w:val="22"/>
          <w:szCs w:val="21"/>
          <w:highlight w:val="none"/>
        </w:rPr>
        <w:t>承包人承揽工程项目一览表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3C72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1266467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26F03AF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建设规模</w:t>
            </w:r>
          </w:p>
        </w:tc>
        <w:tc>
          <w:tcPr>
            <w:tcW w:w="778" w:type="pct"/>
            <w:tcBorders>
              <w:top w:val="single" w:color="auto" w:sz="12" w:space="0"/>
              <w:bottom w:val="double" w:color="auto" w:sz="6" w:space="0"/>
            </w:tcBorders>
            <w:vAlign w:val="center"/>
          </w:tcPr>
          <w:p w14:paraId="1182F89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04D15E6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结构形式</w:t>
            </w:r>
          </w:p>
        </w:tc>
        <w:tc>
          <w:tcPr>
            <w:tcW w:w="240" w:type="pct"/>
            <w:tcBorders>
              <w:top w:val="single" w:color="auto" w:sz="12" w:space="0"/>
              <w:bottom w:val="double" w:color="auto" w:sz="6" w:space="0"/>
            </w:tcBorders>
            <w:vAlign w:val="center"/>
          </w:tcPr>
          <w:p w14:paraId="5E2D0E8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层数</w:t>
            </w:r>
          </w:p>
        </w:tc>
        <w:tc>
          <w:tcPr>
            <w:tcW w:w="413" w:type="pct"/>
            <w:tcBorders>
              <w:top w:val="single" w:color="auto" w:sz="12" w:space="0"/>
              <w:bottom w:val="double" w:color="auto" w:sz="6" w:space="0"/>
            </w:tcBorders>
            <w:vAlign w:val="center"/>
          </w:tcPr>
          <w:p w14:paraId="20B69E0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生产能力</w:t>
            </w:r>
          </w:p>
        </w:tc>
        <w:tc>
          <w:tcPr>
            <w:tcW w:w="587" w:type="pct"/>
            <w:tcBorders>
              <w:top w:val="single" w:color="auto" w:sz="12" w:space="0"/>
              <w:bottom w:val="double" w:color="auto" w:sz="6" w:space="0"/>
            </w:tcBorders>
            <w:vAlign w:val="center"/>
          </w:tcPr>
          <w:p w14:paraId="6ED9B0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45147EC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合同价格（元）</w:t>
            </w:r>
          </w:p>
        </w:tc>
        <w:tc>
          <w:tcPr>
            <w:tcW w:w="413" w:type="pct"/>
            <w:tcBorders>
              <w:top w:val="single" w:color="auto" w:sz="12" w:space="0"/>
              <w:bottom w:val="double" w:color="auto" w:sz="6" w:space="0"/>
            </w:tcBorders>
            <w:vAlign w:val="center"/>
          </w:tcPr>
          <w:p w14:paraId="34FF596C">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开工日期</w:t>
            </w:r>
          </w:p>
        </w:tc>
        <w:tc>
          <w:tcPr>
            <w:tcW w:w="413" w:type="pct"/>
            <w:tcBorders>
              <w:top w:val="single" w:color="auto" w:sz="12" w:space="0"/>
              <w:bottom w:val="double" w:color="auto" w:sz="6" w:space="0"/>
            </w:tcBorders>
            <w:vAlign w:val="center"/>
          </w:tcPr>
          <w:p w14:paraId="600D7B0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竣工日期</w:t>
            </w:r>
          </w:p>
        </w:tc>
      </w:tr>
      <w:tr w14:paraId="66120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54E12B97">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5C56A7B">
            <w:pPr>
              <w:keepNext/>
              <w:snapToGrid w:val="0"/>
              <w:spacing w:line="360" w:lineRule="auto"/>
              <w:jc w:val="center"/>
              <w:rPr>
                <w:rFonts w:cs="宋体"/>
                <w:color w:val="auto"/>
                <w:sz w:val="22"/>
                <w:szCs w:val="21"/>
                <w:highlight w:val="none"/>
              </w:rPr>
            </w:pPr>
          </w:p>
        </w:tc>
        <w:tc>
          <w:tcPr>
            <w:tcW w:w="778" w:type="pct"/>
            <w:tcBorders>
              <w:top w:val="double" w:color="auto" w:sz="6" w:space="0"/>
            </w:tcBorders>
            <w:vAlign w:val="center"/>
          </w:tcPr>
          <w:p w14:paraId="22DFA87B">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B534016">
            <w:pPr>
              <w:keepNext/>
              <w:snapToGrid w:val="0"/>
              <w:spacing w:line="360" w:lineRule="auto"/>
              <w:jc w:val="center"/>
              <w:rPr>
                <w:rFonts w:cs="宋体"/>
                <w:color w:val="auto"/>
                <w:sz w:val="22"/>
                <w:szCs w:val="21"/>
                <w:highlight w:val="none"/>
              </w:rPr>
            </w:pPr>
          </w:p>
        </w:tc>
        <w:tc>
          <w:tcPr>
            <w:tcW w:w="240" w:type="pct"/>
            <w:tcBorders>
              <w:top w:val="double" w:color="auto" w:sz="6" w:space="0"/>
            </w:tcBorders>
            <w:vAlign w:val="center"/>
          </w:tcPr>
          <w:p w14:paraId="0FF2411A">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DBCCAFA">
            <w:pPr>
              <w:keepNext/>
              <w:snapToGrid w:val="0"/>
              <w:spacing w:line="360" w:lineRule="auto"/>
              <w:jc w:val="center"/>
              <w:rPr>
                <w:rFonts w:cs="宋体"/>
                <w:color w:val="auto"/>
                <w:sz w:val="22"/>
                <w:szCs w:val="21"/>
                <w:highlight w:val="none"/>
              </w:rPr>
            </w:pPr>
          </w:p>
        </w:tc>
        <w:tc>
          <w:tcPr>
            <w:tcW w:w="587" w:type="pct"/>
            <w:tcBorders>
              <w:top w:val="double" w:color="auto" w:sz="6" w:space="0"/>
            </w:tcBorders>
            <w:vAlign w:val="center"/>
          </w:tcPr>
          <w:p w14:paraId="172AF527">
            <w:pPr>
              <w:keepNext/>
              <w:snapToGrid w:val="0"/>
              <w:spacing w:line="360" w:lineRule="auto"/>
              <w:jc w:val="center"/>
              <w:rPr>
                <w:rFonts w:cs="宋体"/>
                <w:color w:val="auto"/>
                <w:sz w:val="22"/>
                <w:szCs w:val="21"/>
                <w:highlight w:val="none"/>
              </w:rPr>
            </w:pPr>
          </w:p>
        </w:tc>
        <w:tc>
          <w:tcPr>
            <w:tcW w:w="744" w:type="pct"/>
            <w:tcBorders>
              <w:top w:val="double" w:color="auto" w:sz="6" w:space="0"/>
            </w:tcBorders>
            <w:vAlign w:val="center"/>
          </w:tcPr>
          <w:p w14:paraId="77E7F616">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2042DED">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06D32A6">
            <w:pPr>
              <w:keepNext/>
              <w:snapToGrid w:val="0"/>
              <w:spacing w:line="360" w:lineRule="auto"/>
              <w:jc w:val="center"/>
              <w:rPr>
                <w:rFonts w:cs="宋体"/>
                <w:color w:val="auto"/>
                <w:sz w:val="22"/>
                <w:szCs w:val="21"/>
                <w:highlight w:val="none"/>
              </w:rPr>
            </w:pPr>
          </w:p>
        </w:tc>
      </w:tr>
      <w:tr w14:paraId="720F0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395979B0">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BCEAFE7">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67BE03D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178F167">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49043DB8">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8199885">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6F5F14DF">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F770F4D">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79D49E1">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241D642">
            <w:pPr>
              <w:keepNext/>
              <w:snapToGrid w:val="0"/>
              <w:spacing w:line="360" w:lineRule="auto"/>
              <w:jc w:val="center"/>
              <w:rPr>
                <w:rFonts w:cs="宋体"/>
                <w:color w:val="auto"/>
                <w:sz w:val="22"/>
                <w:szCs w:val="21"/>
                <w:highlight w:val="none"/>
              </w:rPr>
            </w:pPr>
          </w:p>
        </w:tc>
      </w:tr>
      <w:tr w14:paraId="60B9B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2779E79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E13234F">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0084F675">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3A14A44">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6AB19A97">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3CE40B7F">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25DB89B4">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3D6043B">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00E1AFFE">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FB074E4">
            <w:pPr>
              <w:keepNext/>
              <w:snapToGrid w:val="0"/>
              <w:spacing w:line="360" w:lineRule="auto"/>
              <w:jc w:val="center"/>
              <w:rPr>
                <w:rFonts w:cs="宋体"/>
                <w:color w:val="auto"/>
                <w:sz w:val="22"/>
                <w:szCs w:val="21"/>
                <w:highlight w:val="none"/>
              </w:rPr>
            </w:pPr>
          </w:p>
        </w:tc>
      </w:tr>
      <w:tr w14:paraId="4785E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25BA471E">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259CCC39">
            <w:pPr>
              <w:keepNext/>
              <w:snapToGrid w:val="0"/>
              <w:spacing w:line="360" w:lineRule="auto"/>
              <w:jc w:val="center"/>
              <w:rPr>
                <w:rFonts w:cs="宋体"/>
                <w:color w:val="auto"/>
                <w:sz w:val="22"/>
                <w:szCs w:val="21"/>
                <w:highlight w:val="none"/>
              </w:rPr>
            </w:pPr>
          </w:p>
        </w:tc>
        <w:tc>
          <w:tcPr>
            <w:tcW w:w="778" w:type="pct"/>
            <w:tcBorders>
              <w:bottom w:val="single" w:color="auto" w:sz="12" w:space="0"/>
            </w:tcBorders>
            <w:vAlign w:val="center"/>
          </w:tcPr>
          <w:p w14:paraId="08F2C0A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541A54AD">
            <w:pPr>
              <w:keepNext/>
              <w:snapToGrid w:val="0"/>
              <w:spacing w:line="360" w:lineRule="auto"/>
              <w:jc w:val="center"/>
              <w:rPr>
                <w:rFonts w:cs="宋体"/>
                <w:color w:val="auto"/>
                <w:sz w:val="22"/>
                <w:szCs w:val="21"/>
                <w:highlight w:val="none"/>
              </w:rPr>
            </w:pPr>
          </w:p>
        </w:tc>
        <w:tc>
          <w:tcPr>
            <w:tcW w:w="240" w:type="pct"/>
            <w:tcBorders>
              <w:bottom w:val="single" w:color="auto" w:sz="12" w:space="0"/>
            </w:tcBorders>
            <w:vAlign w:val="center"/>
          </w:tcPr>
          <w:p w14:paraId="78F37455">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215CE45">
            <w:pPr>
              <w:keepNext/>
              <w:snapToGrid w:val="0"/>
              <w:spacing w:line="360" w:lineRule="auto"/>
              <w:jc w:val="center"/>
              <w:rPr>
                <w:rFonts w:cs="宋体"/>
                <w:color w:val="auto"/>
                <w:sz w:val="22"/>
                <w:szCs w:val="21"/>
                <w:highlight w:val="none"/>
              </w:rPr>
            </w:pPr>
          </w:p>
        </w:tc>
        <w:tc>
          <w:tcPr>
            <w:tcW w:w="587" w:type="pct"/>
            <w:tcBorders>
              <w:bottom w:val="single" w:color="auto" w:sz="12" w:space="0"/>
            </w:tcBorders>
            <w:vAlign w:val="center"/>
          </w:tcPr>
          <w:p w14:paraId="51369A98">
            <w:pPr>
              <w:keepNext/>
              <w:snapToGrid w:val="0"/>
              <w:spacing w:line="360" w:lineRule="auto"/>
              <w:jc w:val="center"/>
              <w:rPr>
                <w:rFonts w:cs="宋体"/>
                <w:color w:val="auto"/>
                <w:sz w:val="22"/>
                <w:szCs w:val="21"/>
                <w:highlight w:val="none"/>
              </w:rPr>
            </w:pPr>
          </w:p>
        </w:tc>
        <w:tc>
          <w:tcPr>
            <w:tcW w:w="744" w:type="pct"/>
            <w:tcBorders>
              <w:bottom w:val="single" w:color="auto" w:sz="12" w:space="0"/>
            </w:tcBorders>
            <w:vAlign w:val="center"/>
          </w:tcPr>
          <w:p w14:paraId="0E66A57B">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25AEB60">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FF5A942">
            <w:pPr>
              <w:keepNext/>
              <w:snapToGrid w:val="0"/>
              <w:spacing w:line="360" w:lineRule="auto"/>
              <w:jc w:val="center"/>
              <w:rPr>
                <w:rFonts w:cs="宋体"/>
                <w:color w:val="auto"/>
                <w:sz w:val="22"/>
                <w:szCs w:val="21"/>
                <w:highlight w:val="none"/>
              </w:rPr>
            </w:pPr>
          </w:p>
        </w:tc>
      </w:tr>
    </w:tbl>
    <w:p w14:paraId="5AE8092B">
      <w:pPr>
        <w:spacing w:before="312" w:beforeLines="100" w:after="312" w:afterLines="100"/>
        <w:outlineLvl w:val="2"/>
        <w:rPr>
          <w:rFonts w:ascii="Times New Roman" w:eastAsia="黑体"/>
          <w:color w:val="auto"/>
          <w:szCs w:val="24"/>
          <w:highlight w:val="none"/>
        </w:rPr>
      </w:pPr>
      <w:bookmarkStart w:id="586" w:name="_Toc128950236"/>
      <w:r>
        <w:rPr>
          <w:rFonts w:hint="eastAsia" w:ascii="Times New Roman" w:eastAsia="黑体"/>
          <w:color w:val="auto"/>
          <w:szCs w:val="24"/>
          <w:highlight w:val="none"/>
        </w:rPr>
        <w:t>附</w:t>
      </w:r>
      <w:bookmarkStart w:id="587" w:name="_Toc296347224"/>
      <w:bookmarkStart w:id="588" w:name="_Toc267261692"/>
      <w:bookmarkStart w:id="589" w:name="_Toc296944564"/>
      <w:bookmarkStart w:id="590" w:name="_Toc296346726"/>
      <w:bookmarkStart w:id="591" w:name="_Toc296891053"/>
      <w:bookmarkStart w:id="592" w:name="_Toc296891265"/>
      <w:bookmarkStart w:id="593" w:name="_Toc296503225"/>
      <w:r>
        <w:rPr>
          <w:rFonts w:hint="eastAsia" w:ascii="Times New Roman" w:eastAsia="黑体"/>
          <w:color w:val="auto"/>
          <w:szCs w:val="24"/>
          <w:highlight w:val="none"/>
        </w:rPr>
        <w:t>件</w:t>
      </w:r>
      <w:r>
        <w:rPr>
          <w:rFonts w:ascii="Times New Roman" w:eastAsia="黑体"/>
          <w:color w:val="auto"/>
          <w:szCs w:val="24"/>
          <w:highlight w:val="none"/>
        </w:rPr>
        <w:t>2</w:t>
      </w:r>
      <w:r>
        <w:rPr>
          <w:rFonts w:hint="eastAsia" w:ascii="Times New Roman" w:eastAsia="黑体"/>
          <w:color w:val="auto"/>
          <w:szCs w:val="24"/>
          <w:highlight w:val="none"/>
        </w:rPr>
        <w:t>：发包人供应材料设备一览表</w:t>
      </w:r>
      <w:bookmarkEnd w:id="586"/>
    </w:p>
    <w:bookmarkEnd w:id="587"/>
    <w:bookmarkEnd w:id="588"/>
    <w:bookmarkEnd w:id="589"/>
    <w:bookmarkEnd w:id="590"/>
    <w:bookmarkEnd w:id="591"/>
    <w:bookmarkEnd w:id="592"/>
    <w:bookmarkEnd w:id="593"/>
    <w:p w14:paraId="0022B17A">
      <w:pPr>
        <w:spacing w:line="360" w:lineRule="auto"/>
        <w:jc w:val="center"/>
        <w:rPr>
          <w:rFonts w:cs="宋体"/>
          <w:color w:val="auto"/>
          <w:sz w:val="22"/>
          <w:szCs w:val="21"/>
          <w:highlight w:val="none"/>
        </w:rPr>
      </w:pPr>
      <w:r>
        <w:rPr>
          <w:rFonts w:hint="eastAsia" w:cs="宋体"/>
          <w:color w:val="auto"/>
          <w:sz w:val="22"/>
          <w:szCs w:val="21"/>
          <w:highlight w:val="none"/>
        </w:rPr>
        <w:t>发包人供应材料设备一览表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0C1C0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7D20114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序号</w:t>
            </w:r>
          </w:p>
        </w:tc>
        <w:tc>
          <w:tcPr>
            <w:tcW w:w="941" w:type="pct"/>
            <w:tcBorders>
              <w:top w:val="single" w:color="auto" w:sz="12" w:space="0"/>
              <w:bottom w:val="double" w:color="auto" w:sz="6" w:space="0"/>
            </w:tcBorders>
            <w:vAlign w:val="center"/>
          </w:tcPr>
          <w:p w14:paraId="3DDAE7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5C1B0C4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规格型号</w:t>
            </w:r>
          </w:p>
        </w:tc>
        <w:tc>
          <w:tcPr>
            <w:tcW w:w="292" w:type="pct"/>
            <w:tcBorders>
              <w:top w:val="single" w:color="auto" w:sz="12" w:space="0"/>
              <w:bottom w:val="double" w:color="auto" w:sz="6" w:space="0"/>
            </w:tcBorders>
            <w:vAlign w:val="center"/>
          </w:tcPr>
          <w:p w14:paraId="5094DB1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w:t>
            </w:r>
          </w:p>
        </w:tc>
        <w:tc>
          <w:tcPr>
            <w:tcW w:w="292" w:type="pct"/>
            <w:tcBorders>
              <w:top w:val="single" w:color="auto" w:sz="12" w:space="0"/>
              <w:bottom w:val="double" w:color="auto" w:sz="6" w:space="0"/>
            </w:tcBorders>
            <w:vAlign w:val="center"/>
          </w:tcPr>
          <w:p w14:paraId="3F42643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数量</w:t>
            </w:r>
          </w:p>
        </w:tc>
        <w:tc>
          <w:tcPr>
            <w:tcW w:w="682" w:type="pct"/>
            <w:tcBorders>
              <w:top w:val="single" w:color="auto" w:sz="12" w:space="0"/>
              <w:bottom w:val="double" w:color="auto" w:sz="6" w:space="0"/>
            </w:tcBorders>
            <w:vAlign w:val="center"/>
          </w:tcPr>
          <w:p w14:paraId="58BB0E94">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单价（元）</w:t>
            </w:r>
          </w:p>
        </w:tc>
        <w:tc>
          <w:tcPr>
            <w:tcW w:w="552" w:type="pct"/>
            <w:tcBorders>
              <w:top w:val="single" w:color="auto" w:sz="12" w:space="0"/>
              <w:bottom w:val="double" w:color="auto" w:sz="6" w:space="0"/>
            </w:tcBorders>
            <w:vAlign w:val="center"/>
          </w:tcPr>
          <w:p w14:paraId="137FC9C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质量等级</w:t>
            </w:r>
          </w:p>
        </w:tc>
        <w:tc>
          <w:tcPr>
            <w:tcW w:w="552" w:type="pct"/>
            <w:tcBorders>
              <w:top w:val="single" w:color="auto" w:sz="12" w:space="0"/>
              <w:bottom w:val="double" w:color="auto" w:sz="6" w:space="0"/>
            </w:tcBorders>
            <w:vAlign w:val="center"/>
          </w:tcPr>
          <w:p w14:paraId="2A14BBA9">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供应时间</w:t>
            </w:r>
          </w:p>
        </w:tc>
        <w:tc>
          <w:tcPr>
            <w:tcW w:w="552" w:type="pct"/>
            <w:tcBorders>
              <w:top w:val="single" w:color="auto" w:sz="12" w:space="0"/>
              <w:bottom w:val="double" w:color="auto" w:sz="6" w:space="0"/>
            </w:tcBorders>
            <w:vAlign w:val="center"/>
          </w:tcPr>
          <w:p w14:paraId="35E2CA2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送达地点</w:t>
            </w:r>
          </w:p>
        </w:tc>
        <w:tc>
          <w:tcPr>
            <w:tcW w:w="292" w:type="pct"/>
            <w:tcBorders>
              <w:top w:val="single" w:color="auto" w:sz="12" w:space="0"/>
              <w:bottom w:val="double" w:color="auto" w:sz="6" w:space="0"/>
            </w:tcBorders>
            <w:vAlign w:val="center"/>
          </w:tcPr>
          <w:p w14:paraId="787BDC9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备注</w:t>
            </w:r>
          </w:p>
        </w:tc>
      </w:tr>
      <w:tr w14:paraId="29F0F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5C457E7A">
            <w:pPr>
              <w:keepNext/>
              <w:snapToGrid w:val="0"/>
              <w:spacing w:line="360" w:lineRule="auto"/>
              <w:jc w:val="center"/>
              <w:rPr>
                <w:rFonts w:cs="宋体"/>
                <w:color w:val="auto"/>
                <w:sz w:val="22"/>
                <w:szCs w:val="21"/>
                <w:highlight w:val="none"/>
              </w:rPr>
            </w:pPr>
          </w:p>
        </w:tc>
        <w:tc>
          <w:tcPr>
            <w:tcW w:w="941" w:type="pct"/>
            <w:tcBorders>
              <w:top w:val="double" w:color="auto" w:sz="6" w:space="0"/>
            </w:tcBorders>
            <w:vAlign w:val="center"/>
          </w:tcPr>
          <w:p w14:paraId="77E3FD66">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B176BA7">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22B4A756">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1938CFF7">
            <w:pPr>
              <w:keepNext/>
              <w:snapToGrid w:val="0"/>
              <w:spacing w:line="360" w:lineRule="auto"/>
              <w:jc w:val="center"/>
              <w:rPr>
                <w:rFonts w:cs="宋体"/>
                <w:color w:val="auto"/>
                <w:sz w:val="22"/>
                <w:szCs w:val="21"/>
                <w:highlight w:val="none"/>
              </w:rPr>
            </w:pPr>
          </w:p>
        </w:tc>
        <w:tc>
          <w:tcPr>
            <w:tcW w:w="682" w:type="pct"/>
            <w:tcBorders>
              <w:top w:val="double" w:color="auto" w:sz="6" w:space="0"/>
            </w:tcBorders>
            <w:vAlign w:val="center"/>
          </w:tcPr>
          <w:p w14:paraId="7D12FB4D">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5EFE3454">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924986E">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23B6D5B3">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343EB6B6">
            <w:pPr>
              <w:keepNext/>
              <w:snapToGrid w:val="0"/>
              <w:spacing w:line="360" w:lineRule="auto"/>
              <w:jc w:val="center"/>
              <w:rPr>
                <w:rFonts w:cs="宋体"/>
                <w:color w:val="auto"/>
                <w:sz w:val="22"/>
                <w:szCs w:val="21"/>
                <w:highlight w:val="none"/>
              </w:rPr>
            </w:pPr>
          </w:p>
        </w:tc>
      </w:tr>
      <w:tr w14:paraId="42883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F8E23DB">
            <w:pPr>
              <w:snapToGrid w:val="0"/>
              <w:spacing w:line="360" w:lineRule="auto"/>
              <w:jc w:val="center"/>
              <w:rPr>
                <w:rFonts w:cs="宋体"/>
                <w:color w:val="auto"/>
                <w:sz w:val="22"/>
                <w:szCs w:val="21"/>
                <w:highlight w:val="none"/>
              </w:rPr>
            </w:pPr>
          </w:p>
        </w:tc>
        <w:tc>
          <w:tcPr>
            <w:tcW w:w="941" w:type="pct"/>
            <w:vAlign w:val="center"/>
          </w:tcPr>
          <w:p w14:paraId="231ACD7E">
            <w:pPr>
              <w:snapToGrid w:val="0"/>
              <w:spacing w:line="360" w:lineRule="auto"/>
              <w:jc w:val="center"/>
              <w:rPr>
                <w:rFonts w:cs="宋体"/>
                <w:color w:val="auto"/>
                <w:sz w:val="22"/>
                <w:szCs w:val="21"/>
                <w:highlight w:val="none"/>
              </w:rPr>
            </w:pPr>
          </w:p>
        </w:tc>
        <w:tc>
          <w:tcPr>
            <w:tcW w:w="552" w:type="pct"/>
            <w:vAlign w:val="center"/>
          </w:tcPr>
          <w:p w14:paraId="781DD300">
            <w:pPr>
              <w:snapToGrid w:val="0"/>
              <w:spacing w:line="360" w:lineRule="auto"/>
              <w:jc w:val="center"/>
              <w:rPr>
                <w:rFonts w:cs="宋体"/>
                <w:color w:val="auto"/>
                <w:sz w:val="22"/>
                <w:szCs w:val="21"/>
                <w:highlight w:val="none"/>
              </w:rPr>
            </w:pPr>
          </w:p>
        </w:tc>
        <w:tc>
          <w:tcPr>
            <w:tcW w:w="292" w:type="pct"/>
            <w:vAlign w:val="center"/>
          </w:tcPr>
          <w:p w14:paraId="1F8424A5">
            <w:pPr>
              <w:snapToGrid w:val="0"/>
              <w:spacing w:line="360" w:lineRule="auto"/>
              <w:jc w:val="center"/>
              <w:rPr>
                <w:rFonts w:cs="宋体"/>
                <w:color w:val="auto"/>
                <w:sz w:val="22"/>
                <w:szCs w:val="21"/>
                <w:highlight w:val="none"/>
              </w:rPr>
            </w:pPr>
          </w:p>
        </w:tc>
        <w:tc>
          <w:tcPr>
            <w:tcW w:w="292" w:type="pct"/>
            <w:vAlign w:val="center"/>
          </w:tcPr>
          <w:p w14:paraId="717DB30D">
            <w:pPr>
              <w:snapToGrid w:val="0"/>
              <w:spacing w:line="360" w:lineRule="auto"/>
              <w:jc w:val="center"/>
              <w:rPr>
                <w:rFonts w:cs="宋体"/>
                <w:color w:val="auto"/>
                <w:sz w:val="22"/>
                <w:szCs w:val="21"/>
                <w:highlight w:val="none"/>
              </w:rPr>
            </w:pPr>
          </w:p>
        </w:tc>
        <w:tc>
          <w:tcPr>
            <w:tcW w:w="682" w:type="pct"/>
            <w:vAlign w:val="center"/>
          </w:tcPr>
          <w:p w14:paraId="247A49BF">
            <w:pPr>
              <w:snapToGrid w:val="0"/>
              <w:spacing w:line="360" w:lineRule="auto"/>
              <w:jc w:val="center"/>
              <w:rPr>
                <w:rFonts w:cs="宋体"/>
                <w:color w:val="auto"/>
                <w:sz w:val="22"/>
                <w:szCs w:val="21"/>
                <w:highlight w:val="none"/>
              </w:rPr>
            </w:pPr>
          </w:p>
        </w:tc>
        <w:tc>
          <w:tcPr>
            <w:tcW w:w="552" w:type="pct"/>
            <w:vAlign w:val="center"/>
          </w:tcPr>
          <w:p w14:paraId="5CBA5F39">
            <w:pPr>
              <w:snapToGrid w:val="0"/>
              <w:spacing w:line="360" w:lineRule="auto"/>
              <w:jc w:val="center"/>
              <w:rPr>
                <w:rFonts w:cs="宋体"/>
                <w:color w:val="auto"/>
                <w:sz w:val="22"/>
                <w:szCs w:val="21"/>
                <w:highlight w:val="none"/>
              </w:rPr>
            </w:pPr>
          </w:p>
        </w:tc>
        <w:tc>
          <w:tcPr>
            <w:tcW w:w="552" w:type="pct"/>
            <w:vAlign w:val="center"/>
          </w:tcPr>
          <w:p w14:paraId="34C8B68B">
            <w:pPr>
              <w:snapToGrid w:val="0"/>
              <w:spacing w:line="360" w:lineRule="auto"/>
              <w:jc w:val="center"/>
              <w:rPr>
                <w:rFonts w:cs="宋体"/>
                <w:color w:val="auto"/>
                <w:sz w:val="22"/>
                <w:szCs w:val="21"/>
                <w:highlight w:val="none"/>
              </w:rPr>
            </w:pPr>
          </w:p>
        </w:tc>
        <w:tc>
          <w:tcPr>
            <w:tcW w:w="552" w:type="pct"/>
            <w:vAlign w:val="center"/>
          </w:tcPr>
          <w:p w14:paraId="2CAE7F66">
            <w:pPr>
              <w:snapToGrid w:val="0"/>
              <w:spacing w:line="360" w:lineRule="auto"/>
              <w:jc w:val="center"/>
              <w:rPr>
                <w:rFonts w:cs="宋体"/>
                <w:color w:val="auto"/>
                <w:sz w:val="22"/>
                <w:szCs w:val="21"/>
                <w:highlight w:val="none"/>
              </w:rPr>
            </w:pPr>
          </w:p>
        </w:tc>
        <w:tc>
          <w:tcPr>
            <w:tcW w:w="292" w:type="pct"/>
            <w:vAlign w:val="center"/>
          </w:tcPr>
          <w:p w14:paraId="1A1A3DB1">
            <w:pPr>
              <w:snapToGrid w:val="0"/>
              <w:spacing w:line="360" w:lineRule="auto"/>
              <w:jc w:val="center"/>
              <w:rPr>
                <w:rFonts w:cs="宋体"/>
                <w:color w:val="auto"/>
                <w:sz w:val="22"/>
                <w:szCs w:val="21"/>
                <w:highlight w:val="none"/>
              </w:rPr>
            </w:pPr>
          </w:p>
        </w:tc>
      </w:tr>
      <w:tr w14:paraId="4437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072DD76D">
            <w:pPr>
              <w:snapToGrid w:val="0"/>
              <w:spacing w:line="360" w:lineRule="auto"/>
              <w:jc w:val="center"/>
              <w:rPr>
                <w:rFonts w:cs="宋体"/>
                <w:color w:val="auto"/>
                <w:sz w:val="22"/>
                <w:szCs w:val="21"/>
                <w:highlight w:val="none"/>
              </w:rPr>
            </w:pPr>
          </w:p>
        </w:tc>
        <w:tc>
          <w:tcPr>
            <w:tcW w:w="941" w:type="pct"/>
            <w:tcBorders>
              <w:bottom w:val="single" w:color="auto" w:sz="12" w:space="0"/>
            </w:tcBorders>
            <w:vAlign w:val="center"/>
          </w:tcPr>
          <w:p w14:paraId="61102550">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3C1ED585">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727AF209">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471A0A7F">
            <w:pPr>
              <w:snapToGrid w:val="0"/>
              <w:spacing w:line="360" w:lineRule="auto"/>
              <w:jc w:val="center"/>
              <w:rPr>
                <w:rFonts w:cs="宋体"/>
                <w:color w:val="auto"/>
                <w:sz w:val="22"/>
                <w:szCs w:val="21"/>
                <w:highlight w:val="none"/>
              </w:rPr>
            </w:pPr>
          </w:p>
        </w:tc>
        <w:tc>
          <w:tcPr>
            <w:tcW w:w="682" w:type="pct"/>
            <w:tcBorders>
              <w:bottom w:val="single" w:color="auto" w:sz="12" w:space="0"/>
            </w:tcBorders>
            <w:vAlign w:val="center"/>
          </w:tcPr>
          <w:p w14:paraId="459BD77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9E46F8E">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1730C0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53608F7">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5708C111">
            <w:pPr>
              <w:snapToGrid w:val="0"/>
              <w:spacing w:line="360" w:lineRule="auto"/>
              <w:jc w:val="center"/>
              <w:rPr>
                <w:rFonts w:cs="宋体"/>
                <w:color w:val="auto"/>
                <w:sz w:val="22"/>
                <w:szCs w:val="21"/>
                <w:highlight w:val="none"/>
              </w:rPr>
            </w:pPr>
          </w:p>
        </w:tc>
      </w:tr>
    </w:tbl>
    <w:p w14:paraId="08E7B987">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594" w:name="_Toc128950237"/>
      <w:r>
        <w:rPr>
          <w:rFonts w:hint="eastAsia" w:ascii="Times New Roman" w:eastAsia="黑体"/>
          <w:color w:val="auto"/>
          <w:szCs w:val="24"/>
          <w:highlight w:val="none"/>
        </w:rPr>
        <w:t>附件3：</w:t>
      </w:r>
      <w:bookmarkEnd w:id="594"/>
      <w:bookmarkStart w:id="595" w:name="_Toc128950238"/>
      <w:r>
        <w:rPr>
          <w:rFonts w:hint="eastAsia" w:ascii="Times New Roman" w:eastAsia="黑体"/>
          <w:color w:val="auto"/>
          <w:szCs w:val="24"/>
          <w:highlight w:val="none"/>
        </w:rPr>
        <w:t>工程质量保修书（市政公用工程）</w:t>
      </w:r>
      <w:bookmarkEnd w:id="595"/>
    </w:p>
    <w:p w14:paraId="0F899D44">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52889C01">
      <w:pPr>
        <w:adjustRightInd w:val="0"/>
        <w:snapToGrid w:val="0"/>
        <w:spacing w:line="360" w:lineRule="auto"/>
        <w:ind w:firstLine="420" w:firstLineChars="200"/>
        <w:rPr>
          <w:rFonts w:hint="default" w:cs="宋体"/>
          <w:color w:val="auto"/>
          <w:position w:val="14"/>
          <w:sz w:val="21"/>
          <w:szCs w:val="21"/>
          <w:highlight w:val="none"/>
          <w:lang w:val="en-US" w:eastAsia="zh-CN"/>
        </w:rPr>
      </w:pPr>
      <w:r>
        <w:rPr>
          <w:rFonts w:hint="eastAsia" w:cs="宋体"/>
          <w:bCs/>
          <w:color w:val="auto"/>
          <w:position w:val="14"/>
          <w:sz w:val="21"/>
          <w:szCs w:val="21"/>
          <w:highlight w:val="none"/>
        </w:rPr>
        <w:t>发包人</w:t>
      </w:r>
      <w:r>
        <w:rPr>
          <w:rFonts w:hint="eastAsia" w:cs="宋体"/>
          <w:color w:val="auto"/>
          <w:position w:val="14"/>
          <w:sz w:val="21"/>
          <w:szCs w:val="21"/>
          <w:highlight w:val="none"/>
        </w:rPr>
        <w:t>：</w:t>
      </w:r>
      <w:r>
        <w:rPr>
          <w:rFonts w:hint="eastAsia" w:cs="宋体"/>
          <w:color w:val="auto"/>
          <w:position w:val="14"/>
          <w:sz w:val="21"/>
          <w:szCs w:val="21"/>
          <w:highlight w:val="none"/>
          <w:lang w:val="en-US" w:eastAsia="zh-CN"/>
        </w:rPr>
        <w:t>滁州市明湖建设管理服务中心</w:t>
      </w:r>
    </w:p>
    <w:p w14:paraId="44251118">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w:t>
      </w:r>
    </w:p>
    <w:p w14:paraId="0165B44D">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w:t>
      </w:r>
      <w:r>
        <w:rPr>
          <w:rFonts w:hint="eastAsia" w:cs="宋体"/>
          <w:color w:val="auto"/>
          <w:position w:val="6"/>
          <w:sz w:val="21"/>
          <w:szCs w:val="21"/>
          <w:highlight w:val="none"/>
          <w:u w:val="single"/>
          <w:lang w:val="en-US" w:eastAsia="zh-CN"/>
        </w:rPr>
        <w:t>明湖公园园路应急工程</w:t>
      </w:r>
      <w:r>
        <w:rPr>
          <w:rFonts w:hint="eastAsia" w:cs="宋体"/>
          <w:color w:val="auto"/>
          <w:position w:val="6"/>
          <w:sz w:val="21"/>
          <w:szCs w:val="21"/>
          <w:highlight w:val="none"/>
        </w:rPr>
        <w:t>签订工程质量保修书。</w:t>
      </w:r>
    </w:p>
    <w:p w14:paraId="324833E3">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72C0D7A0">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3C26BF39">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质量保修范围和内容：______________________。</w:t>
      </w:r>
      <w:r>
        <w:rPr>
          <w:rFonts w:hint="eastAsia" w:cs="宋体"/>
          <w:bCs/>
          <w:color w:val="auto"/>
          <w:position w:val="6"/>
          <w:sz w:val="21"/>
          <w:szCs w:val="21"/>
          <w:highlight w:val="none"/>
        </w:rPr>
        <w:t>因不可抗力或使用不当造成的质量缺陷，不属保修范围。</w:t>
      </w:r>
    </w:p>
    <w:p w14:paraId="62320BB9">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17B4270B">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23341D4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146AA35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615F3676">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22849353">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4DA18AAF">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54C96707">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B3489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34E2BC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1594760C">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14BE304F">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45970965">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480BDE33">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3D38DFB9">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07419FE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13943EC7">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678A4518">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2CF23B51">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17ED0D01">
      <w:pPr>
        <w:adjustRightInd w:val="0"/>
        <w:snapToGrid w:val="0"/>
        <w:spacing w:line="360" w:lineRule="auto"/>
        <w:ind w:firstLine="420"/>
        <w:rPr>
          <w:rFonts w:cs="宋体"/>
          <w:color w:val="auto"/>
          <w:sz w:val="21"/>
          <w:szCs w:val="21"/>
          <w:highlight w:val="none"/>
        </w:rPr>
      </w:pPr>
    </w:p>
    <w:p w14:paraId="471147A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684C5F6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5B7BE99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63236AA5">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32436784">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13BCD3D">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2C842954">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78A4D13A">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7FA954B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009A9760">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596" w:name="_Toc128950239"/>
      <w:r>
        <w:rPr>
          <w:rFonts w:hint="eastAsia" w:ascii="Times New Roman" w:eastAsia="黑体"/>
          <w:color w:val="auto"/>
          <w:szCs w:val="24"/>
          <w:highlight w:val="none"/>
        </w:rPr>
        <w:t>附件</w:t>
      </w:r>
      <w:r>
        <w:rPr>
          <w:rFonts w:ascii="Times New Roman" w:eastAsia="黑体"/>
          <w:color w:val="auto"/>
          <w:szCs w:val="24"/>
          <w:highlight w:val="none"/>
        </w:rPr>
        <w:t>4</w:t>
      </w:r>
      <w:r>
        <w:rPr>
          <w:rFonts w:hint="eastAsia" w:ascii="Times New Roman" w:eastAsia="黑体"/>
          <w:color w:val="auto"/>
          <w:szCs w:val="24"/>
          <w:highlight w:val="none"/>
        </w:rPr>
        <w:t>：主要建设工程文件目录</w:t>
      </w:r>
      <w:bookmarkEnd w:id="596"/>
    </w:p>
    <w:p w14:paraId="5E9D6445">
      <w:pPr>
        <w:spacing w:before="156" w:beforeLines="50" w:after="156" w:afterLines="50"/>
        <w:jc w:val="center"/>
        <w:rPr>
          <w:rFonts w:cs="宋体"/>
          <w:color w:val="auto"/>
          <w:szCs w:val="21"/>
          <w:highlight w:val="none"/>
        </w:rPr>
      </w:pPr>
      <w:r>
        <w:rPr>
          <w:rFonts w:hint="eastAsia" w:cs="宋体"/>
          <w:color w:val="auto"/>
          <w:szCs w:val="21"/>
          <w:highlight w:val="none"/>
        </w:rPr>
        <w:t>主要建设工程文件目录</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52EB3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6B5F6158">
            <w:pPr>
              <w:keepNext/>
              <w:jc w:val="center"/>
              <w:rPr>
                <w:rFonts w:cs="宋体"/>
                <w:color w:val="auto"/>
                <w:szCs w:val="21"/>
                <w:highlight w:val="none"/>
              </w:rPr>
            </w:pPr>
            <w:r>
              <w:rPr>
                <w:rFonts w:hint="eastAsia" w:cs="宋体"/>
                <w:color w:val="auto"/>
                <w:szCs w:val="21"/>
                <w:highlight w:val="none"/>
              </w:rPr>
              <w:t>文件名称</w:t>
            </w:r>
          </w:p>
        </w:tc>
        <w:tc>
          <w:tcPr>
            <w:tcW w:w="706" w:type="pct"/>
            <w:tcBorders>
              <w:top w:val="single" w:color="auto" w:sz="12" w:space="0"/>
              <w:bottom w:val="double" w:color="auto" w:sz="6" w:space="0"/>
            </w:tcBorders>
            <w:vAlign w:val="center"/>
          </w:tcPr>
          <w:p w14:paraId="2CC2FB76">
            <w:pPr>
              <w:keepNext/>
              <w:jc w:val="center"/>
              <w:rPr>
                <w:rFonts w:cs="宋体"/>
                <w:color w:val="auto"/>
                <w:szCs w:val="21"/>
                <w:highlight w:val="none"/>
              </w:rPr>
            </w:pPr>
            <w:r>
              <w:rPr>
                <w:rFonts w:hint="eastAsia" w:cs="宋体"/>
                <w:color w:val="auto"/>
                <w:szCs w:val="21"/>
                <w:highlight w:val="none"/>
              </w:rPr>
              <w:t>套数</w:t>
            </w:r>
          </w:p>
        </w:tc>
        <w:tc>
          <w:tcPr>
            <w:tcW w:w="802" w:type="pct"/>
            <w:tcBorders>
              <w:top w:val="single" w:color="auto" w:sz="12" w:space="0"/>
              <w:bottom w:val="double" w:color="auto" w:sz="6" w:space="0"/>
            </w:tcBorders>
            <w:vAlign w:val="center"/>
          </w:tcPr>
          <w:p w14:paraId="39C8166A">
            <w:pPr>
              <w:keepNext/>
              <w:jc w:val="center"/>
              <w:rPr>
                <w:rFonts w:cs="宋体"/>
                <w:color w:val="auto"/>
                <w:szCs w:val="21"/>
                <w:highlight w:val="none"/>
              </w:rPr>
            </w:pPr>
            <w:r>
              <w:rPr>
                <w:rFonts w:hint="eastAsia" w:cs="宋体"/>
                <w:color w:val="auto"/>
                <w:szCs w:val="21"/>
                <w:highlight w:val="none"/>
              </w:rPr>
              <w:t>费用（元）</w:t>
            </w:r>
          </w:p>
        </w:tc>
        <w:tc>
          <w:tcPr>
            <w:tcW w:w="687" w:type="pct"/>
            <w:tcBorders>
              <w:top w:val="single" w:color="auto" w:sz="12" w:space="0"/>
              <w:bottom w:val="double" w:color="auto" w:sz="6" w:space="0"/>
            </w:tcBorders>
            <w:vAlign w:val="center"/>
          </w:tcPr>
          <w:p w14:paraId="505C8AD6">
            <w:pPr>
              <w:keepNext/>
              <w:jc w:val="center"/>
              <w:rPr>
                <w:rFonts w:cs="宋体"/>
                <w:color w:val="auto"/>
                <w:szCs w:val="21"/>
                <w:highlight w:val="none"/>
              </w:rPr>
            </w:pPr>
            <w:r>
              <w:rPr>
                <w:rFonts w:hint="eastAsia" w:cs="宋体"/>
                <w:color w:val="auto"/>
                <w:szCs w:val="21"/>
                <w:highlight w:val="none"/>
              </w:rPr>
              <w:t>质量</w:t>
            </w:r>
          </w:p>
        </w:tc>
        <w:tc>
          <w:tcPr>
            <w:tcW w:w="802" w:type="pct"/>
            <w:tcBorders>
              <w:top w:val="single" w:color="auto" w:sz="12" w:space="0"/>
              <w:bottom w:val="double" w:color="auto" w:sz="6" w:space="0"/>
            </w:tcBorders>
            <w:vAlign w:val="center"/>
          </w:tcPr>
          <w:p w14:paraId="790E1F3A">
            <w:pPr>
              <w:jc w:val="center"/>
              <w:rPr>
                <w:rFonts w:cs="宋体"/>
                <w:color w:val="auto"/>
                <w:szCs w:val="21"/>
                <w:highlight w:val="none"/>
              </w:rPr>
            </w:pPr>
            <w:r>
              <w:rPr>
                <w:rFonts w:hint="eastAsia" w:cs="宋体"/>
                <w:color w:val="auto"/>
                <w:szCs w:val="21"/>
                <w:highlight w:val="none"/>
              </w:rPr>
              <w:t>移交时间</w:t>
            </w:r>
          </w:p>
        </w:tc>
        <w:tc>
          <w:tcPr>
            <w:tcW w:w="922" w:type="pct"/>
            <w:tcBorders>
              <w:top w:val="single" w:color="auto" w:sz="12" w:space="0"/>
              <w:bottom w:val="double" w:color="auto" w:sz="6" w:space="0"/>
            </w:tcBorders>
            <w:vAlign w:val="center"/>
          </w:tcPr>
          <w:p w14:paraId="76EDECAB">
            <w:pPr>
              <w:jc w:val="center"/>
              <w:rPr>
                <w:rFonts w:cs="宋体"/>
                <w:color w:val="auto"/>
                <w:szCs w:val="21"/>
                <w:highlight w:val="none"/>
              </w:rPr>
            </w:pPr>
            <w:r>
              <w:rPr>
                <w:rFonts w:hint="eastAsia" w:cs="宋体"/>
                <w:color w:val="auto"/>
                <w:szCs w:val="21"/>
                <w:highlight w:val="none"/>
              </w:rPr>
              <w:t>责任人</w:t>
            </w:r>
          </w:p>
        </w:tc>
      </w:tr>
      <w:tr w14:paraId="7FE0C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C94D5F3">
            <w:pPr>
              <w:keepNext/>
              <w:jc w:val="center"/>
              <w:rPr>
                <w:rFonts w:cs="宋体"/>
                <w:color w:val="auto"/>
                <w:szCs w:val="21"/>
                <w:highlight w:val="none"/>
              </w:rPr>
            </w:pPr>
          </w:p>
        </w:tc>
        <w:tc>
          <w:tcPr>
            <w:tcW w:w="706" w:type="pct"/>
            <w:tcBorders>
              <w:top w:val="double" w:color="auto" w:sz="6" w:space="0"/>
            </w:tcBorders>
            <w:vAlign w:val="center"/>
          </w:tcPr>
          <w:p w14:paraId="70DAECCE">
            <w:pPr>
              <w:keepNext/>
              <w:jc w:val="center"/>
              <w:rPr>
                <w:rFonts w:cs="宋体"/>
                <w:color w:val="auto"/>
                <w:szCs w:val="21"/>
                <w:highlight w:val="none"/>
              </w:rPr>
            </w:pPr>
          </w:p>
        </w:tc>
        <w:tc>
          <w:tcPr>
            <w:tcW w:w="802" w:type="pct"/>
            <w:tcBorders>
              <w:top w:val="double" w:color="auto" w:sz="6" w:space="0"/>
            </w:tcBorders>
            <w:vAlign w:val="center"/>
          </w:tcPr>
          <w:p w14:paraId="1110A42D">
            <w:pPr>
              <w:keepNext/>
              <w:jc w:val="center"/>
              <w:rPr>
                <w:rFonts w:cs="宋体"/>
                <w:color w:val="auto"/>
                <w:szCs w:val="21"/>
                <w:highlight w:val="none"/>
              </w:rPr>
            </w:pPr>
          </w:p>
        </w:tc>
        <w:tc>
          <w:tcPr>
            <w:tcW w:w="687" w:type="pct"/>
            <w:tcBorders>
              <w:top w:val="double" w:color="auto" w:sz="6" w:space="0"/>
            </w:tcBorders>
            <w:vAlign w:val="center"/>
          </w:tcPr>
          <w:p w14:paraId="39797874">
            <w:pPr>
              <w:keepNext/>
              <w:jc w:val="center"/>
              <w:rPr>
                <w:rFonts w:cs="宋体"/>
                <w:color w:val="auto"/>
                <w:szCs w:val="21"/>
                <w:highlight w:val="none"/>
              </w:rPr>
            </w:pPr>
          </w:p>
        </w:tc>
        <w:tc>
          <w:tcPr>
            <w:tcW w:w="802" w:type="pct"/>
            <w:tcBorders>
              <w:top w:val="double" w:color="auto" w:sz="6" w:space="0"/>
            </w:tcBorders>
            <w:vAlign w:val="center"/>
          </w:tcPr>
          <w:p w14:paraId="6633BE27">
            <w:pPr>
              <w:keepNext/>
              <w:jc w:val="center"/>
              <w:rPr>
                <w:rFonts w:cs="宋体"/>
                <w:color w:val="auto"/>
                <w:szCs w:val="21"/>
                <w:highlight w:val="none"/>
              </w:rPr>
            </w:pPr>
          </w:p>
        </w:tc>
        <w:tc>
          <w:tcPr>
            <w:tcW w:w="922" w:type="pct"/>
            <w:tcBorders>
              <w:top w:val="double" w:color="auto" w:sz="6" w:space="0"/>
            </w:tcBorders>
            <w:vAlign w:val="center"/>
          </w:tcPr>
          <w:p w14:paraId="5FAA7B66">
            <w:pPr>
              <w:keepNext/>
              <w:jc w:val="center"/>
              <w:rPr>
                <w:rFonts w:cs="宋体"/>
                <w:color w:val="auto"/>
                <w:szCs w:val="21"/>
                <w:highlight w:val="none"/>
              </w:rPr>
            </w:pPr>
          </w:p>
        </w:tc>
      </w:tr>
      <w:tr w14:paraId="61102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379CA249">
            <w:pPr>
              <w:keepNext/>
              <w:jc w:val="center"/>
              <w:rPr>
                <w:rFonts w:cs="宋体"/>
                <w:color w:val="auto"/>
                <w:szCs w:val="21"/>
                <w:highlight w:val="none"/>
              </w:rPr>
            </w:pPr>
          </w:p>
        </w:tc>
        <w:tc>
          <w:tcPr>
            <w:tcW w:w="706" w:type="pct"/>
            <w:tcBorders>
              <w:top w:val="nil"/>
            </w:tcBorders>
            <w:vAlign w:val="center"/>
          </w:tcPr>
          <w:p w14:paraId="60EB2E7D">
            <w:pPr>
              <w:keepNext/>
              <w:jc w:val="center"/>
              <w:rPr>
                <w:rFonts w:cs="宋体"/>
                <w:color w:val="auto"/>
                <w:szCs w:val="21"/>
                <w:highlight w:val="none"/>
              </w:rPr>
            </w:pPr>
          </w:p>
        </w:tc>
        <w:tc>
          <w:tcPr>
            <w:tcW w:w="802" w:type="pct"/>
            <w:tcBorders>
              <w:top w:val="nil"/>
            </w:tcBorders>
            <w:vAlign w:val="center"/>
          </w:tcPr>
          <w:p w14:paraId="1B38062F">
            <w:pPr>
              <w:keepNext/>
              <w:jc w:val="center"/>
              <w:rPr>
                <w:rFonts w:cs="宋体"/>
                <w:color w:val="auto"/>
                <w:szCs w:val="21"/>
                <w:highlight w:val="none"/>
              </w:rPr>
            </w:pPr>
          </w:p>
        </w:tc>
        <w:tc>
          <w:tcPr>
            <w:tcW w:w="687" w:type="pct"/>
            <w:tcBorders>
              <w:top w:val="nil"/>
            </w:tcBorders>
            <w:vAlign w:val="center"/>
          </w:tcPr>
          <w:p w14:paraId="0940D773">
            <w:pPr>
              <w:keepNext/>
              <w:jc w:val="center"/>
              <w:rPr>
                <w:rFonts w:cs="宋体"/>
                <w:color w:val="auto"/>
                <w:szCs w:val="21"/>
                <w:highlight w:val="none"/>
              </w:rPr>
            </w:pPr>
          </w:p>
        </w:tc>
        <w:tc>
          <w:tcPr>
            <w:tcW w:w="802" w:type="pct"/>
            <w:tcBorders>
              <w:top w:val="nil"/>
            </w:tcBorders>
            <w:vAlign w:val="center"/>
          </w:tcPr>
          <w:p w14:paraId="77FE344D">
            <w:pPr>
              <w:keepNext/>
              <w:jc w:val="center"/>
              <w:rPr>
                <w:rFonts w:cs="宋体"/>
                <w:color w:val="auto"/>
                <w:szCs w:val="21"/>
                <w:highlight w:val="none"/>
              </w:rPr>
            </w:pPr>
          </w:p>
        </w:tc>
        <w:tc>
          <w:tcPr>
            <w:tcW w:w="922" w:type="pct"/>
            <w:tcBorders>
              <w:top w:val="nil"/>
            </w:tcBorders>
            <w:vAlign w:val="center"/>
          </w:tcPr>
          <w:p w14:paraId="41879AFA">
            <w:pPr>
              <w:keepNext/>
              <w:jc w:val="center"/>
              <w:rPr>
                <w:rFonts w:cs="宋体"/>
                <w:color w:val="auto"/>
                <w:szCs w:val="21"/>
                <w:highlight w:val="none"/>
              </w:rPr>
            </w:pPr>
          </w:p>
        </w:tc>
      </w:tr>
      <w:tr w14:paraId="042D1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33DCBAA1">
            <w:pPr>
              <w:jc w:val="center"/>
              <w:rPr>
                <w:rFonts w:cs="宋体"/>
                <w:color w:val="auto"/>
                <w:szCs w:val="21"/>
                <w:highlight w:val="none"/>
              </w:rPr>
            </w:pPr>
          </w:p>
        </w:tc>
        <w:tc>
          <w:tcPr>
            <w:tcW w:w="706" w:type="pct"/>
            <w:vAlign w:val="center"/>
          </w:tcPr>
          <w:p w14:paraId="2D66CBFC">
            <w:pPr>
              <w:jc w:val="center"/>
              <w:rPr>
                <w:rFonts w:cs="宋体"/>
                <w:color w:val="auto"/>
                <w:szCs w:val="21"/>
                <w:highlight w:val="none"/>
              </w:rPr>
            </w:pPr>
          </w:p>
        </w:tc>
        <w:tc>
          <w:tcPr>
            <w:tcW w:w="802" w:type="pct"/>
            <w:vAlign w:val="center"/>
          </w:tcPr>
          <w:p w14:paraId="55751855">
            <w:pPr>
              <w:jc w:val="center"/>
              <w:rPr>
                <w:rFonts w:cs="宋体"/>
                <w:color w:val="auto"/>
                <w:szCs w:val="21"/>
                <w:highlight w:val="none"/>
              </w:rPr>
            </w:pPr>
          </w:p>
        </w:tc>
        <w:tc>
          <w:tcPr>
            <w:tcW w:w="687" w:type="pct"/>
            <w:vAlign w:val="center"/>
          </w:tcPr>
          <w:p w14:paraId="076DC997">
            <w:pPr>
              <w:jc w:val="center"/>
              <w:rPr>
                <w:rFonts w:cs="宋体"/>
                <w:color w:val="auto"/>
                <w:szCs w:val="21"/>
                <w:highlight w:val="none"/>
              </w:rPr>
            </w:pPr>
          </w:p>
        </w:tc>
        <w:tc>
          <w:tcPr>
            <w:tcW w:w="802" w:type="pct"/>
            <w:vAlign w:val="center"/>
          </w:tcPr>
          <w:p w14:paraId="4FD28897">
            <w:pPr>
              <w:jc w:val="center"/>
              <w:rPr>
                <w:rFonts w:cs="宋体"/>
                <w:color w:val="auto"/>
                <w:szCs w:val="21"/>
                <w:highlight w:val="none"/>
              </w:rPr>
            </w:pPr>
          </w:p>
        </w:tc>
        <w:tc>
          <w:tcPr>
            <w:tcW w:w="922" w:type="pct"/>
            <w:vAlign w:val="center"/>
          </w:tcPr>
          <w:p w14:paraId="64E89AD6">
            <w:pPr>
              <w:jc w:val="center"/>
              <w:rPr>
                <w:rFonts w:cs="宋体"/>
                <w:color w:val="auto"/>
                <w:szCs w:val="21"/>
                <w:highlight w:val="none"/>
              </w:rPr>
            </w:pPr>
          </w:p>
        </w:tc>
      </w:tr>
      <w:tr w14:paraId="2E1EB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5B611FE9">
            <w:pPr>
              <w:jc w:val="center"/>
              <w:rPr>
                <w:rFonts w:cs="宋体"/>
                <w:color w:val="auto"/>
                <w:szCs w:val="21"/>
                <w:highlight w:val="none"/>
              </w:rPr>
            </w:pPr>
          </w:p>
        </w:tc>
        <w:tc>
          <w:tcPr>
            <w:tcW w:w="706" w:type="pct"/>
            <w:vAlign w:val="center"/>
          </w:tcPr>
          <w:p w14:paraId="2443CB80">
            <w:pPr>
              <w:jc w:val="center"/>
              <w:rPr>
                <w:rFonts w:cs="宋体"/>
                <w:color w:val="auto"/>
                <w:szCs w:val="21"/>
                <w:highlight w:val="none"/>
              </w:rPr>
            </w:pPr>
          </w:p>
        </w:tc>
        <w:tc>
          <w:tcPr>
            <w:tcW w:w="802" w:type="pct"/>
            <w:vAlign w:val="center"/>
          </w:tcPr>
          <w:p w14:paraId="0F10973F">
            <w:pPr>
              <w:jc w:val="center"/>
              <w:rPr>
                <w:rFonts w:cs="宋体"/>
                <w:color w:val="auto"/>
                <w:szCs w:val="21"/>
                <w:highlight w:val="none"/>
              </w:rPr>
            </w:pPr>
          </w:p>
        </w:tc>
        <w:tc>
          <w:tcPr>
            <w:tcW w:w="687" w:type="pct"/>
            <w:vAlign w:val="center"/>
          </w:tcPr>
          <w:p w14:paraId="00DD9983">
            <w:pPr>
              <w:jc w:val="center"/>
              <w:rPr>
                <w:rFonts w:cs="宋体"/>
                <w:color w:val="auto"/>
                <w:szCs w:val="21"/>
                <w:highlight w:val="none"/>
              </w:rPr>
            </w:pPr>
          </w:p>
        </w:tc>
        <w:tc>
          <w:tcPr>
            <w:tcW w:w="802" w:type="pct"/>
            <w:vAlign w:val="center"/>
          </w:tcPr>
          <w:p w14:paraId="1AEC2475">
            <w:pPr>
              <w:jc w:val="center"/>
              <w:rPr>
                <w:rFonts w:cs="宋体"/>
                <w:color w:val="auto"/>
                <w:szCs w:val="21"/>
                <w:highlight w:val="none"/>
              </w:rPr>
            </w:pPr>
          </w:p>
        </w:tc>
        <w:tc>
          <w:tcPr>
            <w:tcW w:w="922" w:type="pct"/>
            <w:vAlign w:val="center"/>
          </w:tcPr>
          <w:p w14:paraId="2D03D46C">
            <w:pPr>
              <w:jc w:val="center"/>
              <w:rPr>
                <w:rFonts w:cs="宋体"/>
                <w:color w:val="auto"/>
                <w:szCs w:val="21"/>
                <w:highlight w:val="none"/>
              </w:rPr>
            </w:pPr>
          </w:p>
        </w:tc>
      </w:tr>
      <w:tr w14:paraId="66BB8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37BBE12E">
            <w:pPr>
              <w:jc w:val="center"/>
              <w:rPr>
                <w:rFonts w:cs="宋体"/>
                <w:color w:val="auto"/>
                <w:szCs w:val="21"/>
                <w:highlight w:val="none"/>
              </w:rPr>
            </w:pPr>
          </w:p>
        </w:tc>
        <w:tc>
          <w:tcPr>
            <w:tcW w:w="706" w:type="pct"/>
            <w:tcBorders>
              <w:bottom w:val="single" w:color="auto" w:sz="12" w:space="0"/>
            </w:tcBorders>
            <w:vAlign w:val="center"/>
          </w:tcPr>
          <w:p w14:paraId="3C364044">
            <w:pPr>
              <w:jc w:val="center"/>
              <w:rPr>
                <w:rFonts w:cs="宋体"/>
                <w:color w:val="auto"/>
                <w:szCs w:val="21"/>
                <w:highlight w:val="none"/>
              </w:rPr>
            </w:pPr>
          </w:p>
        </w:tc>
        <w:tc>
          <w:tcPr>
            <w:tcW w:w="802" w:type="pct"/>
            <w:tcBorders>
              <w:bottom w:val="single" w:color="auto" w:sz="12" w:space="0"/>
            </w:tcBorders>
            <w:vAlign w:val="center"/>
          </w:tcPr>
          <w:p w14:paraId="1905B4FA">
            <w:pPr>
              <w:jc w:val="center"/>
              <w:rPr>
                <w:rFonts w:cs="宋体"/>
                <w:color w:val="auto"/>
                <w:szCs w:val="21"/>
                <w:highlight w:val="none"/>
              </w:rPr>
            </w:pPr>
          </w:p>
        </w:tc>
        <w:tc>
          <w:tcPr>
            <w:tcW w:w="687" w:type="pct"/>
            <w:tcBorders>
              <w:bottom w:val="single" w:color="auto" w:sz="12" w:space="0"/>
            </w:tcBorders>
            <w:vAlign w:val="center"/>
          </w:tcPr>
          <w:p w14:paraId="1D7B8D1E">
            <w:pPr>
              <w:jc w:val="center"/>
              <w:rPr>
                <w:rFonts w:cs="宋体"/>
                <w:color w:val="auto"/>
                <w:szCs w:val="21"/>
                <w:highlight w:val="none"/>
              </w:rPr>
            </w:pPr>
          </w:p>
        </w:tc>
        <w:tc>
          <w:tcPr>
            <w:tcW w:w="802" w:type="pct"/>
            <w:tcBorders>
              <w:bottom w:val="single" w:color="auto" w:sz="12" w:space="0"/>
            </w:tcBorders>
            <w:vAlign w:val="center"/>
          </w:tcPr>
          <w:p w14:paraId="66319A94">
            <w:pPr>
              <w:jc w:val="center"/>
              <w:rPr>
                <w:rFonts w:cs="宋体"/>
                <w:color w:val="auto"/>
                <w:szCs w:val="21"/>
                <w:highlight w:val="none"/>
              </w:rPr>
            </w:pPr>
          </w:p>
        </w:tc>
        <w:tc>
          <w:tcPr>
            <w:tcW w:w="922" w:type="pct"/>
            <w:tcBorders>
              <w:bottom w:val="single" w:color="auto" w:sz="12" w:space="0"/>
            </w:tcBorders>
            <w:vAlign w:val="center"/>
          </w:tcPr>
          <w:p w14:paraId="5821108C">
            <w:pPr>
              <w:jc w:val="center"/>
              <w:rPr>
                <w:rFonts w:cs="宋体"/>
                <w:color w:val="auto"/>
                <w:szCs w:val="21"/>
                <w:highlight w:val="none"/>
              </w:rPr>
            </w:pPr>
          </w:p>
        </w:tc>
      </w:tr>
    </w:tbl>
    <w:p w14:paraId="46902590">
      <w:pPr>
        <w:spacing w:before="312" w:beforeLines="100" w:after="312" w:afterLines="100"/>
        <w:outlineLvl w:val="2"/>
        <w:rPr>
          <w:rFonts w:ascii="Times New Roman" w:eastAsia="黑体"/>
          <w:color w:val="auto"/>
          <w:szCs w:val="24"/>
          <w:highlight w:val="none"/>
        </w:rPr>
      </w:pPr>
      <w:bookmarkStart w:id="597" w:name="_Toc128950240"/>
      <w:r>
        <w:rPr>
          <w:rFonts w:hint="eastAsia" w:ascii="Times New Roman" w:eastAsia="黑体"/>
          <w:color w:val="auto"/>
          <w:szCs w:val="24"/>
          <w:highlight w:val="none"/>
        </w:rPr>
        <w:t>附</w:t>
      </w:r>
      <w:bookmarkStart w:id="598" w:name="_Toc296944566"/>
      <w:bookmarkStart w:id="599" w:name="_Toc296347226"/>
      <w:bookmarkStart w:id="600" w:name="_Toc296503227"/>
      <w:bookmarkStart w:id="601" w:name="_Toc296891055"/>
      <w:bookmarkStart w:id="602" w:name="_Toc267261698"/>
      <w:bookmarkStart w:id="603" w:name="_Toc296346728"/>
      <w:bookmarkStart w:id="604" w:name="_Toc296891267"/>
      <w:r>
        <w:rPr>
          <w:rFonts w:hint="eastAsia" w:ascii="Times New Roman" w:eastAsia="黑体"/>
          <w:color w:val="auto"/>
          <w:szCs w:val="24"/>
          <w:highlight w:val="none"/>
        </w:rPr>
        <w:t>件</w:t>
      </w:r>
      <w:r>
        <w:rPr>
          <w:rFonts w:ascii="Times New Roman" w:eastAsia="黑体"/>
          <w:color w:val="auto"/>
          <w:szCs w:val="24"/>
          <w:highlight w:val="none"/>
        </w:rPr>
        <w:t>5</w:t>
      </w:r>
      <w:r>
        <w:rPr>
          <w:rFonts w:hint="eastAsia" w:ascii="Times New Roman" w:eastAsia="黑体"/>
          <w:color w:val="auto"/>
          <w:szCs w:val="24"/>
          <w:highlight w:val="none"/>
        </w:rPr>
        <w:t>：承包人用于本工程施工的机械设备表</w:t>
      </w:r>
      <w:bookmarkEnd w:id="597"/>
    </w:p>
    <w:bookmarkEnd w:id="598"/>
    <w:bookmarkEnd w:id="599"/>
    <w:bookmarkEnd w:id="600"/>
    <w:bookmarkEnd w:id="601"/>
    <w:bookmarkEnd w:id="602"/>
    <w:bookmarkEnd w:id="603"/>
    <w:bookmarkEnd w:id="604"/>
    <w:p w14:paraId="281EF0FB">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0C77A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35217834">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0C7B197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56756377">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5D28195C">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734DF86A">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6B1241BB">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0AA4EB9F">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422679EA">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3BD55819">
            <w:pPr>
              <w:keepNext/>
              <w:jc w:val="center"/>
              <w:rPr>
                <w:rFonts w:cs="宋体"/>
                <w:color w:val="auto"/>
                <w:szCs w:val="21"/>
                <w:highlight w:val="none"/>
              </w:rPr>
            </w:pPr>
            <w:r>
              <w:rPr>
                <w:rFonts w:hint="eastAsia" w:cs="宋体"/>
                <w:color w:val="auto"/>
                <w:szCs w:val="21"/>
                <w:highlight w:val="none"/>
              </w:rPr>
              <w:t>备注</w:t>
            </w:r>
          </w:p>
        </w:tc>
      </w:tr>
      <w:tr w14:paraId="075A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5D7A8F20">
            <w:pPr>
              <w:keepNext/>
              <w:jc w:val="center"/>
              <w:rPr>
                <w:rFonts w:cs="宋体"/>
                <w:color w:val="auto"/>
                <w:szCs w:val="21"/>
                <w:highlight w:val="none"/>
              </w:rPr>
            </w:pPr>
          </w:p>
        </w:tc>
        <w:tc>
          <w:tcPr>
            <w:tcW w:w="792" w:type="pct"/>
            <w:tcBorders>
              <w:top w:val="double" w:color="auto" w:sz="6" w:space="0"/>
            </w:tcBorders>
            <w:vAlign w:val="center"/>
          </w:tcPr>
          <w:p w14:paraId="20481A73">
            <w:pPr>
              <w:keepNext/>
              <w:jc w:val="center"/>
              <w:rPr>
                <w:rFonts w:cs="宋体"/>
                <w:color w:val="auto"/>
                <w:szCs w:val="21"/>
                <w:highlight w:val="none"/>
              </w:rPr>
            </w:pPr>
          </w:p>
        </w:tc>
        <w:tc>
          <w:tcPr>
            <w:tcW w:w="474" w:type="pct"/>
            <w:tcBorders>
              <w:top w:val="double" w:color="auto" w:sz="6" w:space="0"/>
            </w:tcBorders>
            <w:vAlign w:val="center"/>
          </w:tcPr>
          <w:p w14:paraId="3AF930B0">
            <w:pPr>
              <w:keepNext/>
              <w:jc w:val="center"/>
              <w:rPr>
                <w:rFonts w:cs="宋体"/>
                <w:color w:val="auto"/>
                <w:szCs w:val="21"/>
                <w:highlight w:val="none"/>
              </w:rPr>
            </w:pPr>
          </w:p>
        </w:tc>
        <w:tc>
          <w:tcPr>
            <w:tcW w:w="396" w:type="pct"/>
            <w:tcBorders>
              <w:top w:val="double" w:color="auto" w:sz="6" w:space="0"/>
            </w:tcBorders>
            <w:vAlign w:val="center"/>
          </w:tcPr>
          <w:p w14:paraId="3A058FBA">
            <w:pPr>
              <w:keepNext/>
              <w:jc w:val="center"/>
              <w:rPr>
                <w:rFonts w:cs="宋体"/>
                <w:color w:val="auto"/>
                <w:szCs w:val="21"/>
                <w:highlight w:val="none"/>
              </w:rPr>
            </w:pPr>
          </w:p>
        </w:tc>
        <w:tc>
          <w:tcPr>
            <w:tcW w:w="474" w:type="pct"/>
            <w:tcBorders>
              <w:top w:val="double" w:color="auto" w:sz="6" w:space="0"/>
            </w:tcBorders>
            <w:vAlign w:val="center"/>
          </w:tcPr>
          <w:p w14:paraId="5E14D776">
            <w:pPr>
              <w:keepNext/>
              <w:jc w:val="center"/>
              <w:rPr>
                <w:rFonts w:cs="宋体"/>
                <w:color w:val="auto"/>
                <w:szCs w:val="21"/>
                <w:highlight w:val="none"/>
              </w:rPr>
            </w:pPr>
          </w:p>
        </w:tc>
        <w:tc>
          <w:tcPr>
            <w:tcW w:w="537" w:type="pct"/>
            <w:tcBorders>
              <w:top w:val="double" w:color="auto" w:sz="6" w:space="0"/>
            </w:tcBorders>
            <w:vAlign w:val="center"/>
          </w:tcPr>
          <w:p w14:paraId="207DA7A4">
            <w:pPr>
              <w:keepNext/>
              <w:jc w:val="center"/>
              <w:rPr>
                <w:rFonts w:cs="宋体"/>
                <w:color w:val="auto"/>
                <w:szCs w:val="21"/>
                <w:highlight w:val="none"/>
              </w:rPr>
            </w:pPr>
          </w:p>
        </w:tc>
        <w:tc>
          <w:tcPr>
            <w:tcW w:w="827" w:type="pct"/>
            <w:tcBorders>
              <w:top w:val="double" w:color="auto" w:sz="6" w:space="0"/>
            </w:tcBorders>
            <w:vAlign w:val="center"/>
          </w:tcPr>
          <w:p w14:paraId="688741F5">
            <w:pPr>
              <w:keepNext/>
              <w:jc w:val="center"/>
              <w:rPr>
                <w:rFonts w:cs="宋体"/>
                <w:color w:val="auto"/>
                <w:szCs w:val="21"/>
                <w:highlight w:val="none"/>
              </w:rPr>
            </w:pPr>
          </w:p>
        </w:tc>
        <w:tc>
          <w:tcPr>
            <w:tcW w:w="569" w:type="pct"/>
            <w:tcBorders>
              <w:top w:val="double" w:color="auto" w:sz="6" w:space="0"/>
            </w:tcBorders>
            <w:vAlign w:val="center"/>
          </w:tcPr>
          <w:p w14:paraId="11B840E4">
            <w:pPr>
              <w:keepNext/>
              <w:jc w:val="center"/>
              <w:rPr>
                <w:rFonts w:cs="宋体"/>
                <w:color w:val="auto"/>
                <w:szCs w:val="21"/>
                <w:highlight w:val="none"/>
              </w:rPr>
            </w:pPr>
          </w:p>
        </w:tc>
        <w:tc>
          <w:tcPr>
            <w:tcW w:w="519" w:type="pct"/>
            <w:tcBorders>
              <w:top w:val="double" w:color="auto" w:sz="6" w:space="0"/>
            </w:tcBorders>
            <w:vAlign w:val="center"/>
          </w:tcPr>
          <w:p w14:paraId="1F6D7D24">
            <w:pPr>
              <w:keepNext/>
              <w:jc w:val="center"/>
              <w:rPr>
                <w:rFonts w:cs="宋体"/>
                <w:color w:val="auto"/>
                <w:szCs w:val="21"/>
                <w:highlight w:val="none"/>
              </w:rPr>
            </w:pPr>
          </w:p>
        </w:tc>
      </w:tr>
      <w:tr w14:paraId="1440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1DCEBBBB">
            <w:pPr>
              <w:keepNext/>
              <w:jc w:val="center"/>
              <w:rPr>
                <w:rFonts w:cs="宋体"/>
                <w:color w:val="auto"/>
                <w:szCs w:val="21"/>
                <w:highlight w:val="none"/>
              </w:rPr>
            </w:pPr>
          </w:p>
        </w:tc>
        <w:tc>
          <w:tcPr>
            <w:tcW w:w="792" w:type="pct"/>
            <w:tcBorders>
              <w:top w:val="nil"/>
            </w:tcBorders>
            <w:vAlign w:val="center"/>
          </w:tcPr>
          <w:p w14:paraId="042C2E82">
            <w:pPr>
              <w:keepNext/>
              <w:jc w:val="center"/>
              <w:rPr>
                <w:rFonts w:cs="宋体"/>
                <w:color w:val="auto"/>
                <w:szCs w:val="21"/>
                <w:highlight w:val="none"/>
              </w:rPr>
            </w:pPr>
          </w:p>
        </w:tc>
        <w:tc>
          <w:tcPr>
            <w:tcW w:w="474" w:type="pct"/>
            <w:tcBorders>
              <w:top w:val="nil"/>
            </w:tcBorders>
            <w:vAlign w:val="center"/>
          </w:tcPr>
          <w:p w14:paraId="0EF1B0D4">
            <w:pPr>
              <w:keepNext/>
              <w:jc w:val="center"/>
              <w:rPr>
                <w:rFonts w:cs="宋体"/>
                <w:color w:val="auto"/>
                <w:szCs w:val="21"/>
                <w:highlight w:val="none"/>
              </w:rPr>
            </w:pPr>
          </w:p>
        </w:tc>
        <w:tc>
          <w:tcPr>
            <w:tcW w:w="396" w:type="pct"/>
            <w:tcBorders>
              <w:top w:val="nil"/>
            </w:tcBorders>
            <w:vAlign w:val="center"/>
          </w:tcPr>
          <w:p w14:paraId="10826426">
            <w:pPr>
              <w:keepNext/>
              <w:jc w:val="center"/>
              <w:rPr>
                <w:rFonts w:cs="宋体"/>
                <w:color w:val="auto"/>
                <w:szCs w:val="21"/>
                <w:highlight w:val="none"/>
              </w:rPr>
            </w:pPr>
          </w:p>
        </w:tc>
        <w:tc>
          <w:tcPr>
            <w:tcW w:w="474" w:type="pct"/>
            <w:tcBorders>
              <w:top w:val="nil"/>
            </w:tcBorders>
            <w:vAlign w:val="center"/>
          </w:tcPr>
          <w:p w14:paraId="190FDDE3">
            <w:pPr>
              <w:keepNext/>
              <w:jc w:val="center"/>
              <w:rPr>
                <w:rFonts w:cs="宋体"/>
                <w:color w:val="auto"/>
                <w:szCs w:val="21"/>
                <w:highlight w:val="none"/>
              </w:rPr>
            </w:pPr>
          </w:p>
        </w:tc>
        <w:tc>
          <w:tcPr>
            <w:tcW w:w="537" w:type="pct"/>
            <w:tcBorders>
              <w:top w:val="nil"/>
            </w:tcBorders>
            <w:vAlign w:val="center"/>
          </w:tcPr>
          <w:p w14:paraId="1C35110C">
            <w:pPr>
              <w:keepNext/>
              <w:jc w:val="center"/>
              <w:rPr>
                <w:rFonts w:cs="宋体"/>
                <w:color w:val="auto"/>
                <w:szCs w:val="21"/>
                <w:highlight w:val="none"/>
              </w:rPr>
            </w:pPr>
          </w:p>
        </w:tc>
        <w:tc>
          <w:tcPr>
            <w:tcW w:w="827" w:type="pct"/>
            <w:tcBorders>
              <w:top w:val="nil"/>
            </w:tcBorders>
            <w:vAlign w:val="center"/>
          </w:tcPr>
          <w:p w14:paraId="7CC923D5">
            <w:pPr>
              <w:keepNext/>
              <w:jc w:val="center"/>
              <w:rPr>
                <w:rFonts w:cs="宋体"/>
                <w:color w:val="auto"/>
                <w:szCs w:val="21"/>
                <w:highlight w:val="none"/>
              </w:rPr>
            </w:pPr>
          </w:p>
        </w:tc>
        <w:tc>
          <w:tcPr>
            <w:tcW w:w="569" w:type="pct"/>
            <w:tcBorders>
              <w:top w:val="nil"/>
            </w:tcBorders>
            <w:vAlign w:val="center"/>
          </w:tcPr>
          <w:p w14:paraId="613B9BE5">
            <w:pPr>
              <w:keepNext/>
              <w:jc w:val="center"/>
              <w:rPr>
                <w:rFonts w:cs="宋体"/>
                <w:color w:val="auto"/>
                <w:szCs w:val="21"/>
                <w:highlight w:val="none"/>
              </w:rPr>
            </w:pPr>
          </w:p>
        </w:tc>
        <w:tc>
          <w:tcPr>
            <w:tcW w:w="519" w:type="pct"/>
            <w:tcBorders>
              <w:top w:val="nil"/>
            </w:tcBorders>
            <w:vAlign w:val="center"/>
          </w:tcPr>
          <w:p w14:paraId="767EC3BF">
            <w:pPr>
              <w:keepNext/>
              <w:jc w:val="center"/>
              <w:rPr>
                <w:rFonts w:cs="宋体"/>
                <w:color w:val="auto"/>
                <w:szCs w:val="21"/>
                <w:highlight w:val="none"/>
              </w:rPr>
            </w:pPr>
          </w:p>
        </w:tc>
      </w:tr>
      <w:tr w14:paraId="5AC0D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F19D5ED">
            <w:pPr>
              <w:jc w:val="center"/>
              <w:rPr>
                <w:rFonts w:cs="宋体"/>
                <w:color w:val="auto"/>
                <w:szCs w:val="21"/>
                <w:highlight w:val="none"/>
              </w:rPr>
            </w:pPr>
          </w:p>
        </w:tc>
        <w:tc>
          <w:tcPr>
            <w:tcW w:w="792" w:type="pct"/>
            <w:vAlign w:val="center"/>
          </w:tcPr>
          <w:p w14:paraId="54BBB7B4">
            <w:pPr>
              <w:jc w:val="center"/>
              <w:rPr>
                <w:rFonts w:cs="宋体"/>
                <w:color w:val="auto"/>
                <w:szCs w:val="21"/>
                <w:highlight w:val="none"/>
              </w:rPr>
            </w:pPr>
          </w:p>
        </w:tc>
        <w:tc>
          <w:tcPr>
            <w:tcW w:w="474" w:type="pct"/>
            <w:vAlign w:val="center"/>
          </w:tcPr>
          <w:p w14:paraId="5C134097">
            <w:pPr>
              <w:jc w:val="center"/>
              <w:rPr>
                <w:rFonts w:cs="宋体"/>
                <w:color w:val="auto"/>
                <w:szCs w:val="21"/>
                <w:highlight w:val="none"/>
              </w:rPr>
            </w:pPr>
          </w:p>
        </w:tc>
        <w:tc>
          <w:tcPr>
            <w:tcW w:w="396" w:type="pct"/>
            <w:vAlign w:val="center"/>
          </w:tcPr>
          <w:p w14:paraId="66929AB2">
            <w:pPr>
              <w:jc w:val="center"/>
              <w:rPr>
                <w:rFonts w:cs="宋体"/>
                <w:color w:val="auto"/>
                <w:szCs w:val="21"/>
                <w:highlight w:val="none"/>
              </w:rPr>
            </w:pPr>
          </w:p>
        </w:tc>
        <w:tc>
          <w:tcPr>
            <w:tcW w:w="474" w:type="pct"/>
            <w:vAlign w:val="center"/>
          </w:tcPr>
          <w:p w14:paraId="1BF8E46C">
            <w:pPr>
              <w:jc w:val="center"/>
              <w:rPr>
                <w:rFonts w:cs="宋体"/>
                <w:color w:val="auto"/>
                <w:szCs w:val="21"/>
                <w:highlight w:val="none"/>
              </w:rPr>
            </w:pPr>
          </w:p>
        </w:tc>
        <w:tc>
          <w:tcPr>
            <w:tcW w:w="537" w:type="pct"/>
            <w:vAlign w:val="center"/>
          </w:tcPr>
          <w:p w14:paraId="4988D191">
            <w:pPr>
              <w:jc w:val="center"/>
              <w:rPr>
                <w:rFonts w:cs="宋体"/>
                <w:color w:val="auto"/>
                <w:szCs w:val="21"/>
                <w:highlight w:val="none"/>
              </w:rPr>
            </w:pPr>
          </w:p>
        </w:tc>
        <w:tc>
          <w:tcPr>
            <w:tcW w:w="827" w:type="pct"/>
            <w:vAlign w:val="center"/>
          </w:tcPr>
          <w:p w14:paraId="6FC15C35">
            <w:pPr>
              <w:jc w:val="center"/>
              <w:rPr>
                <w:rFonts w:cs="宋体"/>
                <w:color w:val="auto"/>
                <w:szCs w:val="21"/>
                <w:highlight w:val="none"/>
              </w:rPr>
            </w:pPr>
          </w:p>
        </w:tc>
        <w:tc>
          <w:tcPr>
            <w:tcW w:w="569" w:type="pct"/>
            <w:vAlign w:val="center"/>
          </w:tcPr>
          <w:p w14:paraId="661E7AFC">
            <w:pPr>
              <w:jc w:val="center"/>
              <w:rPr>
                <w:rFonts w:cs="宋体"/>
                <w:color w:val="auto"/>
                <w:szCs w:val="21"/>
                <w:highlight w:val="none"/>
              </w:rPr>
            </w:pPr>
          </w:p>
        </w:tc>
        <w:tc>
          <w:tcPr>
            <w:tcW w:w="519" w:type="pct"/>
            <w:vAlign w:val="center"/>
          </w:tcPr>
          <w:p w14:paraId="2EF96365">
            <w:pPr>
              <w:jc w:val="center"/>
              <w:rPr>
                <w:rFonts w:cs="宋体"/>
                <w:color w:val="auto"/>
                <w:szCs w:val="21"/>
                <w:highlight w:val="none"/>
              </w:rPr>
            </w:pPr>
          </w:p>
        </w:tc>
      </w:tr>
      <w:tr w14:paraId="389B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3A3A02D">
            <w:pPr>
              <w:jc w:val="center"/>
              <w:rPr>
                <w:rFonts w:cs="宋体"/>
                <w:color w:val="auto"/>
                <w:szCs w:val="21"/>
                <w:highlight w:val="none"/>
              </w:rPr>
            </w:pPr>
          </w:p>
        </w:tc>
        <w:tc>
          <w:tcPr>
            <w:tcW w:w="792" w:type="pct"/>
            <w:vAlign w:val="center"/>
          </w:tcPr>
          <w:p w14:paraId="4B95D18D">
            <w:pPr>
              <w:jc w:val="center"/>
              <w:rPr>
                <w:rFonts w:cs="宋体"/>
                <w:color w:val="auto"/>
                <w:szCs w:val="21"/>
                <w:highlight w:val="none"/>
              </w:rPr>
            </w:pPr>
          </w:p>
        </w:tc>
        <w:tc>
          <w:tcPr>
            <w:tcW w:w="474" w:type="pct"/>
            <w:vAlign w:val="center"/>
          </w:tcPr>
          <w:p w14:paraId="20965875">
            <w:pPr>
              <w:jc w:val="center"/>
              <w:rPr>
                <w:rFonts w:cs="宋体"/>
                <w:color w:val="auto"/>
                <w:szCs w:val="21"/>
                <w:highlight w:val="none"/>
              </w:rPr>
            </w:pPr>
          </w:p>
        </w:tc>
        <w:tc>
          <w:tcPr>
            <w:tcW w:w="396" w:type="pct"/>
            <w:vAlign w:val="center"/>
          </w:tcPr>
          <w:p w14:paraId="0C1EAA2A">
            <w:pPr>
              <w:jc w:val="center"/>
              <w:rPr>
                <w:rFonts w:cs="宋体"/>
                <w:color w:val="auto"/>
                <w:szCs w:val="21"/>
                <w:highlight w:val="none"/>
              </w:rPr>
            </w:pPr>
          </w:p>
        </w:tc>
        <w:tc>
          <w:tcPr>
            <w:tcW w:w="474" w:type="pct"/>
            <w:vAlign w:val="center"/>
          </w:tcPr>
          <w:p w14:paraId="1FD1BBF0">
            <w:pPr>
              <w:jc w:val="center"/>
              <w:rPr>
                <w:rFonts w:cs="宋体"/>
                <w:color w:val="auto"/>
                <w:szCs w:val="21"/>
                <w:highlight w:val="none"/>
              </w:rPr>
            </w:pPr>
          </w:p>
        </w:tc>
        <w:tc>
          <w:tcPr>
            <w:tcW w:w="537" w:type="pct"/>
            <w:vAlign w:val="center"/>
          </w:tcPr>
          <w:p w14:paraId="1DF5CB66">
            <w:pPr>
              <w:jc w:val="center"/>
              <w:rPr>
                <w:rFonts w:cs="宋体"/>
                <w:color w:val="auto"/>
                <w:szCs w:val="21"/>
                <w:highlight w:val="none"/>
              </w:rPr>
            </w:pPr>
          </w:p>
        </w:tc>
        <w:tc>
          <w:tcPr>
            <w:tcW w:w="827" w:type="pct"/>
            <w:vAlign w:val="center"/>
          </w:tcPr>
          <w:p w14:paraId="6492CE62">
            <w:pPr>
              <w:jc w:val="center"/>
              <w:rPr>
                <w:rFonts w:cs="宋体"/>
                <w:color w:val="auto"/>
                <w:szCs w:val="21"/>
                <w:highlight w:val="none"/>
              </w:rPr>
            </w:pPr>
          </w:p>
        </w:tc>
        <w:tc>
          <w:tcPr>
            <w:tcW w:w="569" w:type="pct"/>
            <w:vAlign w:val="center"/>
          </w:tcPr>
          <w:p w14:paraId="09805F93">
            <w:pPr>
              <w:jc w:val="center"/>
              <w:rPr>
                <w:rFonts w:cs="宋体"/>
                <w:color w:val="auto"/>
                <w:szCs w:val="21"/>
                <w:highlight w:val="none"/>
              </w:rPr>
            </w:pPr>
          </w:p>
        </w:tc>
        <w:tc>
          <w:tcPr>
            <w:tcW w:w="519" w:type="pct"/>
            <w:vAlign w:val="center"/>
          </w:tcPr>
          <w:p w14:paraId="42378160">
            <w:pPr>
              <w:jc w:val="center"/>
              <w:rPr>
                <w:rFonts w:cs="宋体"/>
                <w:color w:val="auto"/>
                <w:szCs w:val="21"/>
                <w:highlight w:val="none"/>
              </w:rPr>
            </w:pPr>
          </w:p>
        </w:tc>
      </w:tr>
      <w:tr w14:paraId="29A0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54DD642">
            <w:pPr>
              <w:jc w:val="center"/>
              <w:rPr>
                <w:rFonts w:cs="宋体"/>
                <w:color w:val="auto"/>
                <w:szCs w:val="21"/>
                <w:highlight w:val="none"/>
              </w:rPr>
            </w:pPr>
          </w:p>
        </w:tc>
        <w:tc>
          <w:tcPr>
            <w:tcW w:w="792" w:type="pct"/>
            <w:tcBorders>
              <w:bottom w:val="single" w:color="auto" w:sz="12" w:space="0"/>
            </w:tcBorders>
            <w:vAlign w:val="center"/>
          </w:tcPr>
          <w:p w14:paraId="464EC5AB">
            <w:pPr>
              <w:jc w:val="center"/>
              <w:rPr>
                <w:rFonts w:cs="宋体"/>
                <w:color w:val="auto"/>
                <w:szCs w:val="21"/>
                <w:highlight w:val="none"/>
              </w:rPr>
            </w:pPr>
          </w:p>
        </w:tc>
        <w:tc>
          <w:tcPr>
            <w:tcW w:w="474" w:type="pct"/>
            <w:tcBorders>
              <w:bottom w:val="single" w:color="auto" w:sz="12" w:space="0"/>
            </w:tcBorders>
            <w:vAlign w:val="center"/>
          </w:tcPr>
          <w:p w14:paraId="4D2B0DC0">
            <w:pPr>
              <w:jc w:val="center"/>
              <w:rPr>
                <w:rFonts w:cs="宋体"/>
                <w:color w:val="auto"/>
                <w:szCs w:val="21"/>
                <w:highlight w:val="none"/>
              </w:rPr>
            </w:pPr>
          </w:p>
        </w:tc>
        <w:tc>
          <w:tcPr>
            <w:tcW w:w="396" w:type="pct"/>
            <w:tcBorders>
              <w:bottom w:val="single" w:color="auto" w:sz="12" w:space="0"/>
            </w:tcBorders>
            <w:vAlign w:val="center"/>
          </w:tcPr>
          <w:p w14:paraId="7A37BE94">
            <w:pPr>
              <w:jc w:val="center"/>
              <w:rPr>
                <w:rFonts w:cs="宋体"/>
                <w:color w:val="auto"/>
                <w:szCs w:val="21"/>
                <w:highlight w:val="none"/>
              </w:rPr>
            </w:pPr>
          </w:p>
        </w:tc>
        <w:tc>
          <w:tcPr>
            <w:tcW w:w="474" w:type="pct"/>
            <w:tcBorders>
              <w:bottom w:val="single" w:color="auto" w:sz="12" w:space="0"/>
            </w:tcBorders>
            <w:vAlign w:val="center"/>
          </w:tcPr>
          <w:p w14:paraId="4F732BF1">
            <w:pPr>
              <w:jc w:val="center"/>
              <w:rPr>
                <w:rFonts w:cs="宋体"/>
                <w:color w:val="auto"/>
                <w:szCs w:val="21"/>
                <w:highlight w:val="none"/>
              </w:rPr>
            </w:pPr>
          </w:p>
        </w:tc>
        <w:tc>
          <w:tcPr>
            <w:tcW w:w="537" w:type="pct"/>
            <w:tcBorders>
              <w:bottom w:val="single" w:color="auto" w:sz="12" w:space="0"/>
            </w:tcBorders>
            <w:vAlign w:val="center"/>
          </w:tcPr>
          <w:p w14:paraId="32B2184A">
            <w:pPr>
              <w:jc w:val="center"/>
              <w:rPr>
                <w:rFonts w:cs="宋体"/>
                <w:color w:val="auto"/>
                <w:szCs w:val="21"/>
                <w:highlight w:val="none"/>
              </w:rPr>
            </w:pPr>
          </w:p>
        </w:tc>
        <w:tc>
          <w:tcPr>
            <w:tcW w:w="827" w:type="pct"/>
            <w:tcBorders>
              <w:bottom w:val="single" w:color="auto" w:sz="12" w:space="0"/>
            </w:tcBorders>
            <w:vAlign w:val="center"/>
          </w:tcPr>
          <w:p w14:paraId="3954AD06">
            <w:pPr>
              <w:jc w:val="center"/>
              <w:rPr>
                <w:rFonts w:cs="宋体"/>
                <w:color w:val="auto"/>
                <w:szCs w:val="21"/>
                <w:highlight w:val="none"/>
              </w:rPr>
            </w:pPr>
          </w:p>
        </w:tc>
        <w:tc>
          <w:tcPr>
            <w:tcW w:w="569" w:type="pct"/>
            <w:tcBorders>
              <w:bottom w:val="single" w:color="auto" w:sz="12" w:space="0"/>
            </w:tcBorders>
            <w:vAlign w:val="center"/>
          </w:tcPr>
          <w:p w14:paraId="161D320A">
            <w:pPr>
              <w:jc w:val="center"/>
              <w:rPr>
                <w:rFonts w:cs="宋体"/>
                <w:color w:val="auto"/>
                <w:szCs w:val="21"/>
                <w:highlight w:val="none"/>
              </w:rPr>
            </w:pPr>
          </w:p>
        </w:tc>
        <w:tc>
          <w:tcPr>
            <w:tcW w:w="519" w:type="pct"/>
            <w:tcBorders>
              <w:bottom w:val="single" w:color="auto" w:sz="12" w:space="0"/>
            </w:tcBorders>
            <w:vAlign w:val="center"/>
          </w:tcPr>
          <w:p w14:paraId="4FE28A99">
            <w:pPr>
              <w:jc w:val="center"/>
              <w:rPr>
                <w:rFonts w:cs="宋体"/>
                <w:color w:val="auto"/>
                <w:szCs w:val="21"/>
                <w:highlight w:val="none"/>
              </w:rPr>
            </w:pPr>
          </w:p>
        </w:tc>
      </w:tr>
    </w:tbl>
    <w:p w14:paraId="2C376A9C">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05" w:name="_Toc128950241"/>
      <w:r>
        <w:rPr>
          <w:rFonts w:hint="eastAsia" w:ascii="Times New Roman" w:eastAsia="黑体"/>
          <w:color w:val="auto"/>
          <w:szCs w:val="24"/>
          <w:highlight w:val="none"/>
        </w:rPr>
        <w:t>附</w:t>
      </w:r>
      <w:bookmarkStart w:id="606" w:name="_Toc296346729"/>
      <w:bookmarkStart w:id="607" w:name="_Toc296891056"/>
      <w:bookmarkStart w:id="608" w:name="_Toc296891268"/>
      <w:bookmarkStart w:id="609" w:name="_Toc267261699"/>
      <w:bookmarkStart w:id="610" w:name="_Toc296347227"/>
      <w:bookmarkStart w:id="611" w:name="_Toc296944567"/>
      <w:bookmarkStart w:id="612" w:name="_Toc296503228"/>
      <w:r>
        <w:rPr>
          <w:rFonts w:hint="eastAsia" w:ascii="Times New Roman" w:eastAsia="黑体"/>
          <w:color w:val="auto"/>
          <w:szCs w:val="24"/>
          <w:highlight w:val="none"/>
        </w:rPr>
        <w:t>件</w:t>
      </w:r>
      <w:bookmarkEnd w:id="606"/>
      <w:bookmarkEnd w:id="607"/>
      <w:bookmarkEnd w:id="608"/>
      <w:bookmarkEnd w:id="609"/>
      <w:bookmarkEnd w:id="610"/>
      <w:bookmarkEnd w:id="611"/>
      <w:bookmarkEnd w:id="612"/>
      <w:r>
        <w:rPr>
          <w:rFonts w:ascii="Times New Roman" w:eastAsia="黑体"/>
          <w:color w:val="auto"/>
          <w:szCs w:val="24"/>
          <w:highlight w:val="none"/>
        </w:rPr>
        <w:t>6</w:t>
      </w:r>
      <w:r>
        <w:rPr>
          <w:rFonts w:hint="eastAsia" w:ascii="Times New Roman" w:eastAsia="黑体"/>
          <w:color w:val="auto"/>
          <w:szCs w:val="24"/>
          <w:highlight w:val="none"/>
        </w:rPr>
        <w:t>：承包人主要施工管理人员表</w:t>
      </w:r>
      <w:bookmarkEnd w:id="605"/>
    </w:p>
    <w:p w14:paraId="79AB893E">
      <w:pPr>
        <w:spacing w:line="360" w:lineRule="auto"/>
        <w:jc w:val="center"/>
        <w:rPr>
          <w:rFonts w:cs="宋体"/>
          <w:color w:val="auto"/>
          <w:highlight w:val="none"/>
        </w:rPr>
      </w:pPr>
      <w:r>
        <w:rPr>
          <w:rFonts w:hint="eastAsia" w:cs="宋体"/>
          <w:color w:val="auto"/>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83F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00DFF61">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5D3F6993">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0D5636DB">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1B562247">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25224D21">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FEF9089">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DA05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1A6E18">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E34C854">
            <w:pPr>
              <w:keepNext/>
              <w:spacing w:line="360" w:lineRule="auto"/>
              <w:jc w:val="center"/>
              <w:rPr>
                <w:rFonts w:cs="宋体"/>
                <w:color w:val="auto"/>
                <w:szCs w:val="21"/>
                <w:highlight w:val="none"/>
              </w:rPr>
            </w:pPr>
          </w:p>
        </w:tc>
      </w:tr>
      <w:tr w14:paraId="59C4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04AE1A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415FDBEC">
            <w:pPr>
              <w:keepNext/>
              <w:spacing w:line="360" w:lineRule="auto"/>
              <w:jc w:val="center"/>
              <w:rPr>
                <w:rFonts w:cs="宋体"/>
                <w:color w:val="auto"/>
                <w:szCs w:val="21"/>
                <w:highlight w:val="none"/>
              </w:rPr>
            </w:pPr>
          </w:p>
        </w:tc>
        <w:tc>
          <w:tcPr>
            <w:tcW w:w="502" w:type="pct"/>
            <w:tcBorders>
              <w:top w:val="nil"/>
            </w:tcBorders>
            <w:vAlign w:val="center"/>
          </w:tcPr>
          <w:p w14:paraId="24FD7573">
            <w:pPr>
              <w:keepNext/>
              <w:spacing w:line="360" w:lineRule="auto"/>
              <w:jc w:val="center"/>
              <w:rPr>
                <w:rFonts w:cs="宋体"/>
                <w:color w:val="auto"/>
                <w:szCs w:val="21"/>
                <w:highlight w:val="none"/>
              </w:rPr>
            </w:pPr>
          </w:p>
        </w:tc>
        <w:tc>
          <w:tcPr>
            <w:tcW w:w="502" w:type="pct"/>
            <w:tcBorders>
              <w:top w:val="nil"/>
            </w:tcBorders>
            <w:vAlign w:val="center"/>
          </w:tcPr>
          <w:p w14:paraId="3DC25A3E">
            <w:pPr>
              <w:keepNext/>
              <w:spacing w:line="360" w:lineRule="auto"/>
              <w:jc w:val="center"/>
              <w:rPr>
                <w:rFonts w:cs="宋体"/>
                <w:color w:val="auto"/>
                <w:szCs w:val="21"/>
                <w:highlight w:val="none"/>
              </w:rPr>
            </w:pPr>
          </w:p>
        </w:tc>
        <w:tc>
          <w:tcPr>
            <w:tcW w:w="1281" w:type="pct"/>
            <w:tcBorders>
              <w:top w:val="nil"/>
            </w:tcBorders>
            <w:vAlign w:val="center"/>
          </w:tcPr>
          <w:p w14:paraId="632C365A">
            <w:pPr>
              <w:keepNext/>
              <w:spacing w:line="360" w:lineRule="auto"/>
              <w:jc w:val="center"/>
              <w:rPr>
                <w:rFonts w:cs="宋体"/>
                <w:color w:val="auto"/>
                <w:szCs w:val="21"/>
                <w:highlight w:val="none"/>
              </w:rPr>
            </w:pPr>
          </w:p>
        </w:tc>
        <w:tc>
          <w:tcPr>
            <w:tcW w:w="1151" w:type="pct"/>
            <w:tcBorders>
              <w:top w:val="nil"/>
            </w:tcBorders>
            <w:vAlign w:val="center"/>
          </w:tcPr>
          <w:p w14:paraId="286545CD">
            <w:pPr>
              <w:keepNext/>
              <w:spacing w:line="360" w:lineRule="auto"/>
              <w:jc w:val="center"/>
              <w:rPr>
                <w:rFonts w:cs="宋体"/>
                <w:color w:val="auto"/>
                <w:szCs w:val="21"/>
                <w:highlight w:val="none"/>
              </w:rPr>
            </w:pPr>
          </w:p>
        </w:tc>
      </w:tr>
      <w:tr w14:paraId="04AC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6D89E3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07C5BAA5">
            <w:pPr>
              <w:keepNext/>
              <w:spacing w:line="360" w:lineRule="auto"/>
              <w:jc w:val="center"/>
              <w:rPr>
                <w:rFonts w:cs="宋体"/>
                <w:color w:val="auto"/>
                <w:szCs w:val="21"/>
                <w:highlight w:val="none"/>
              </w:rPr>
            </w:pPr>
          </w:p>
        </w:tc>
        <w:tc>
          <w:tcPr>
            <w:tcW w:w="502" w:type="pct"/>
            <w:vAlign w:val="center"/>
          </w:tcPr>
          <w:p w14:paraId="262D8C9C">
            <w:pPr>
              <w:keepNext/>
              <w:spacing w:line="360" w:lineRule="auto"/>
              <w:jc w:val="center"/>
              <w:rPr>
                <w:rFonts w:cs="宋体"/>
                <w:color w:val="auto"/>
                <w:szCs w:val="21"/>
                <w:highlight w:val="none"/>
              </w:rPr>
            </w:pPr>
          </w:p>
        </w:tc>
        <w:tc>
          <w:tcPr>
            <w:tcW w:w="502" w:type="pct"/>
            <w:vAlign w:val="center"/>
          </w:tcPr>
          <w:p w14:paraId="4DAA18D0">
            <w:pPr>
              <w:keepNext/>
              <w:spacing w:line="360" w:lineRule="auto"/>
              <w:jc w:val="center"/>
              <w:rPr>
                <w:rFonts w:cs="宋体"/>
                <w:color w:val="auto"/>
                <w:szCs w:val="21"/>
                <w:highlight w:val="none"/>
              </w:rPr>
            </w:pPr>
          </w:p>
        </w:tc>
        <w:tc>
          <w:tcPr>
            <w:tcW w:w="1281" w:type="pct"/>
            <w:vAlign w:val="center"/>
          </w:tcPr>
          <w:p w14:paraId="2EC2FE8C">
            <w:pPr>
              <w:keepNext/>
              <w:spacing w:line="360" w:lineRule="auto"/>
              <w:jc w:val="center"/>
              <w:rPr>
                <w:rFonts w:cs="宋体"/>
                <w:color w:val="auto"/>
                <w:szCs w:val="21"/>
                <w:highlight w:val="none"/>
              </w:rPr>
            </w:pPr>
          </w:p>
        </w:tc>
        <w:tc>
          <w:tcPr>
            <w:tcW w:w="1151" w:type="pct"/>
            <w:vAlign w:val="center"/>
          </w:tcPr>
          <w:p w14:paraId="5CD64D0C">
            <w:pPr>
              <w:keepNext/>
              <w:spacing w:line="360" w:lineRule="auto"/>
              <w:jc w:val="center"/>
              <w:rPr>
                <w:rFonts w:cs="宋体"/>
                <w:color w:val="auto"/>
                <w:szCs w:val="21"/>
                <w:highlight w:val="none"/>
              </w:rPr>
            </w:pPr>
          </w:p>
        </w:tc>
      </w:tr>
      <w:tr w14:paraId="19BF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11432A">
            <w:pPr>
              <w:spacing w:line="360" w:lineRule="auto"/>
              <w:jc w:val="center"/>
              <w:rPr>
                <w:rFonts w:cs="宋体"/>
                <w:color w:val="auto"/>
                <w:szCs w:val="21"/>
                <w:highlight w:val="none"/>
              </w:rPr>
            </w:pPr>
          </w:p>
        </w:tc>
        <w:tc>
          <w:tcPr>
            <w:tcW w:w="627" w:type="pct"/>
            <w:vAlign w:val="center"/>
          </w:tcPr>
          <w:p w14:paraId="06A27F2F">
            <w:pPr>
              <w:keepNext/>
              <w:spacing w:line="360" w:lineRule="auto"/>
              <w:jc w:val="center"/>
              <w:rPr>
                <w:rFonts w:cs="宋体"/>
                <w:color w:val="auto"/>
                <w:szCs w:val="21"/>
                <w:highlight w:val="none"/>
              </w:rPr>
            </w:pPr>
          </w:p>
        </w:tc>
        <w:tc>
          <w:tcPr>
            <w:tcW w:w="502" w:type="pct"/>
            <w:vAlign w:val="center"/>
          </w:tcPr>
          <w:p w14:paraId="41605F13">
            <w:pPr>
              <w:keepNext/>
              <w:spacing w:line="360" w:lineRule="auto"/>
              <w:jc w:val="center"/>
              <w:rPr>
                <w:rFonts w:cs="宋体"/>
                <w:color w:val="auto"/>
                <w:szCs w:val="21"/>
                <w:highlight w:val="none"/>
              </w:rPr>
            </w:pPr>
          </w:p>
        </w:tc>
        <w:tc>
          <w:tcPr>
            <w:tcW w:w="502" w:type="pct"/>
            <w:vAlign w:val="center"/>
          </w:tcPr>
          <w:p w14:paraId="7D389C02">
            <w:pPr>
              <w:keepNext/>
              <w:spacing w:line="360" w:lineRule="auto"/>
              <w:jc w:val="center"/>
              <w:rPr>
                <w:rFonts w:cs="宋体"/>
                <w:color w:val="auto"/>
                <w:szCs w:val="21"/>
                <w:highlight w:val="none"/>
              </w:rPr>
            </w:pPr>
          </w:p>
        </w:tc>
        <w:tc>
          <w:tcPr>
            <w:tcW w:w="1281" w:type="pct"/>
            <w:vAlign w:val="center"/>
          </w:tcPr>
          <w:p w14:paraId="4C85C54E">
            <w:pPr>
              <w:keepNext/>
              <w:spacing w:line="360" w:lineRule="auto"/>
              <w:jc w:val="center"/>
              <w:rPr>
                <w:rFonts w:cs="宋体"/>
                <w:color w:val="auto"/>
                <w:szCs w:val="21"/>
                <w:highlight w:val="none"/>
              </w:rPr>
            </w:pPr>
          </w:p>
        </w:tc>
        <w:tc>
          <w:tcPr>
            <w:tcW w:w="1151" w:type="pct"/>
            <w:vAlign w:val="center"/>
          </w:tcPr>
          <w:p w14:paraId="53824455">
            <w:pPr>
              <w:keepNext/>
              <w:spacing w:line="360" w:lineRule="auto"/>
              <w:jc w:val="center"/>
              <w:rPr>
                <w:rFonts w:cs="宋体"/>
                <w:color w:val="auto"/>
                <w:szCs w:val="21"/>
                <w:highlight w:val="none"/>
              </w:rPr>
            </w:pPr>
          </w:p>
        </w:tc>
      </w:tr>
      <w:tr w14:paraId="3F055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9A11480">
            <w:pPr>
              <w:spacing w:line="360" w:lineRule="auto"/>
              <w:jc w:val="center"/>
              <w:rPr>
                <w:rFonts w:cs="宋体"/>
                <w:color w:val="auto"/>
                <w:szCs w:val="21"/>
                <w:highlight w:val="none"/>
              </w:rPr>
            </w:pPr>
          </w:p>
        </w:tc>
        <w:tc>
          <w:tcPr>
            <w:tcW w:w="627" w:type="pct"/>
            <w:vAlign w:val="center"/>
          </w:tcPr>
          <w:p w14:paraId="0E212A0B">
            <w:pPr>
              <w:keepNext/>
              <w:spacing w:line="360" w:lineRule="auto"/>
              <w:jc w:val="center"/>
              <w:rPr>
                <w:rFonts w:cs="宋体"/>
                <w:color w:val="auto"/>
                <w:szCs w:val="21"/>
                <w:highlight w:val="none"/>
              </w:rPr>
            </w:pPr>
          </w:p>
        </w:tc>
        <w:tc>
          <w:tcPr>
            <w:tcW w:w="502" w:type="pct"/>
            <w:vAlign w:val="center"/>
          </w:tcPr>
          <w:p w14:paraId="0F7451B6">
            <w:pPr>
              <w:keepNext/>
              <w:spacing w:line="360" w:lineRule="auto"/>
              <w:jc w:val="center"/>
              <w:rPr>
                <w:rFonts w:cs="宋体"/>
                <w:color w:val="auto"/>
                <w:szCs w:val="21"/>
                <w:highlight w:val="none"/>
              </w:rPr>
            </w:pPr>
          </w:p>
        </w:tc>
        <w:tc>
          <w:tcPr>
            <w:tcW w:w="502" w:type="pct"/>
            <w:vAlign w:val="center"/>
          </w:tcPr>
          <w:p w14:paraId="1392C4E7">
            <w:pPr>
              <w:keepNext/>
              <w:spacing w:line="360" w:lineRule="auto"/>
              <w:jc w:val="center"/>
              <w:rPr>
                <w:rFonts w:cs="宋体"/>
                <w:color w:val="auto"/>
                <w:szCs w:val="21"/>
                <w:highlight w:val="none"/>
              </w:rPr>
            </w:pPr>
          </w:p>
        </w:tc>
        <w:tc>
          <w:tcPr>
            <w:tcW w:w="1281" w:type="pct"/>
            <w:vAlign w:val="center"/>
          </w:tcPr>
          <w:p w14:paraId="5B4A9073">
            <w:pPr>
              <w:keepNext/>
              <w:spacing w:line="360" w:lineRule="auto"/>
              <w:jc w:val="center"/>
              <w:rPr>
                <w:rFonts w:cs="宋体"/>
                <w:color w:val="auto"/>
                <w:szCs w:val="21"/>
                <w:highlight w:val="none"/>
              </w:rPr>
            </w:pPr>
          </w:p>
        </w:tc>
        <w:tc>
          <w:tcPr>
            <w:tcW w:w="1151" w:type="pct"/>
            <w:vAlign w:val="center"/>
          </w:tcPr>
          <w:p w14:paraId="2E85CDB1">
            <w:pPr>
              <w:keepNext/>
              <w:spacing w:line="360" w:lineRule="auto"/>
              <w:jc w:val="center"/>
              <w:rPr>
                <w:rFonts w:cs="宋体"/>
                <w:color w:val="auto"/>
                <w:szCs w:val="21"/>
                <w:highlight w:val="none"/>
              </w:rPr>
            </w:pPr>
          </w:p>
        </w:tc>
      </w:tr>
      <w:tr w14:paraId="44465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5CC70AC5">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5AE934D">
            <w:pPr>
              <w:keepNext/>
              <w:spacing w:line="360" w:lineRule="auto"/>
              <w:jc w:val="center"/>
              <w:rPr>
                <w:rFonts w:cs="宋体"/>
                <w:color w:val="auto"/>
                <w:szCs w:val="21"/>
                <w:highlight w:val="none"/>
              </w:rPr>
            </w:pPr>
          </w:p>
        </w:tc>
      </w:tr>
      <w:tr w14:paraId="273AB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227C449">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5D77DC6D">
            <w:pPr>
              <w:keepNext/>
              <w:spacing w:line="360" w:lineRule="auto"/>
              <w:jc w:val="center"/>
              <w:rPr>
                <w:rFonts w:cs="宋体"/>
                <w:color w:val="auto"/>
                <w:szCs w:val="21"/>
                <w:highlight w:val="none"/>
              </w:rPr>
            </w:pPr>
          </w:p>
        </w:tc>
        <w:tc>
          <w:tcPr>
            <w:tcW w:w="502" w:type="pct"/>
            <w:vAlign w:val="center"/>
          </w:tcPr>
          <w:p w14:paraId="4881413C">
            <w:pPr>
              <w:keepNext/>
              <w:spacing w:line="360" w:lineRule="auto"/>
              <w:jc w:val="center"/>
              <w:rPr>
                <w:rFonts w:cs="宋体"/>
                <w:color w:val="auto"/>
                <w:szCs w:val="21"/>
                <w:highlight w:val="none"/>
              </w:rPr>
            </w:pPr>
          </w:p>
        </w:tc>
        <w:tc>
          <w:tcPr>
            <w:tcW w:w="502" w:type="pct"/>
            <w:vAlign w:val="center"/>
          </w:tcPr>
          <w:p w14:paraId="25CA5AAB">
            <w:pPr>
              <w:keepNext/>
              <w:spacing w:line="360" w:lineRule="auto"/>
              <w:jc w:val="center"/>
              <w:rPr>
                <w:rFonts w:cs="宋体"/>
                <w:color w:val="auto"/>
                <w:szCs w:val="21"/>
                <w:highlight w:val="none"/>
              </w:rPr>
            </w:pPr>
          </w:p>
        </w:tc>
        <w:tc>
          <w:tcPr>
            <w:tcW w:w="1281" w:type="pct"/>
            <w:vAlign w:val="center"/>
          </w:tcPr>
          <w:p w14:paraId="07FA62B0">
            <w:pPr>
              <w:keepNext/>
              <w:spacing w:line="360" w:lineRule="auto"/>
              <w:jc w:val="center"/>
              <w:rPr>
                <w:rFonts w:cs="宋体"/>
                <w:color w:val="auto"/>
                <w:szCs w:val="21"/>
                <w:highlight w:val="none"/>
              </w:rPr>
            </w:pPr>
          </w:p>
        </w:tc>
        <w:tc>
          <w:tcPr>
            <w:tcW w:w="1151" w:type="pct"/>
            <w:vAlign w:val="center"/>
          </w:tcPr>
          <w:p w14:paraId="1A7C41CC">
            <w:pPr>
              <w:keepNext/>
              <w:spacing w:line="360" w:lineRule="auto"/>
              <w:jc w:val="center"/>
              <w:rPr>
                <w:rFonts w:cs="宋体"/>
                <w:color w:val="auto"/>
                <w:szCs w:val="21"/>
                <w:highlight w:val="none"/>
              </w:rPr>
            </w:pPr>
          </w:p>
        </w:tc>
      </w:tr>
      <w:tr w14:paraId="19E8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4592846">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423C73EB">
            <w:pPr>
              <w:keepNext/>
              <w:spacing w:line="360" w:lineRule="auto"/>
              <w:jc w:val="center"/>
              <w:rPr>
                <w:rFonts w:cs="宋体"/>
                <w:color w:val="auto"/>
                <w:szCs w:val="21"/>
                <w:highlight w:val="none"/>
              </w:rPr>
            </w:pPr>
          </w:p>
        </w:tc>
        <w:tc>
          <w:tcPr>
            <w:tcW w:w="502" w:type="pct"/>
            <w:vAlign w:val="center"/>
          </w:tcPr>
          <w:p w14:paraId="04A6CB2B">
            <w:pPr>
              <w:keepNext/>
              <w:spacing w:line="360" w:lineRule="auto"/>
              <w:jc w:val="center"/>
              <w:rPr>
                <w:rFonts w:cs="宋体"/>
                <w:color w:val="auto"/>
                <w:szCs w:val="21"/>
                <w:highlight w:val="none"/>
              </w:rPr>
            </w:pPr>
          </w:p>
        </w:tc>
        <w:tc>
          <w:tcPr>
            <w:tcW w:w="502" w:type="pct"/>
            <w:vAlign w:val="center"/>
          </w:tcPr>
          <w:p w14:paraId="6F90FD94">
            <w:pPr>
              <w:keepNext/>
              <w:spacing w:line="360" w:lineRule="auto"/>
              <w:jc w:val="center"/>
              <w:rPr>
                <w:rFonts w:cs="宋体"/>
                <w:color w:val="auto"/>
                <w:szCs w:val="21"/>
                <w:highlight w:val="none"/>
              </w:rPr>
            </w:pPr>
          </w:p>
        </w:tc>
        <w:tc>
          <w:tcPr>
            <w:tcW w:w="1281" w:type="pct"/>
            <w:vAlign w:val="center"/>
          </w:tcPr>
          <w:p w14:paraId="6FB8AFA5">
            <w:pPr>
              <w:keepNext/>
              <w:spacing w:line="360" w:lineRule="auto"/>
              <w:jc w:val="center"/>
              <w:rPr>
                <w:rFonts w:cs="宋体"/>
                <w:color w:val="auto"/>
                <w:szCs w:val="21"/>
                <w:highlight w:val="none"/>
              </w:rPr>
            </w:pPr>
          </w:p>
        </w:tc>
        <w:tc>
          <w:tcPr>
            <w:tcW w:w="1151" w:type="pct"/>
            <w:vAlign w:val="center"/>
          </w:tcPr>
          <w:p w14:paraId="65604C77">
            <w:pPr>
              <w:keepNext/>
              <w:spacing w:line="360" w:lineRule="auto"/>
              <w:jc w:val="center"/>
              <w:rPr>
                <w:rFonts w:cs="宋体"/>
                <w:color w:val="auto"/>
                <w:szCs w:val="21"/>
                <w:highlight w:val="none"/>
              </w:rPr>
            </w:pPr>
          </w:p>
        </w:tc>
      </w:tr>
      <w:tr w14:paraId="45267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A92EF0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322EE4BD">
            <w:pPr>
              <w:keepNext/>
              <w:spacing w:line="360" w:lineRule="auto"/>
              <w:jc w:val="center"/>
              <w:rPr>
                <w:rFonts w:cs="宋体"/>
                <w:color w:val="auto"/>
                <w:szCs w:val="21"/>
                <w:highlight w:val="none"/>
              </w:rPr>
            </w:pPr>
          </w:p>
        </w:tc>
        <w:tc>
          <w:tcPr>
            <w:tcW w:w="502" w:type="pct"/>
            <w:vAlign w:val="center"/>
          </w:tcPr>
          <w:p w14:paraId="3CA4E195">
            <w:pPr>
              <w:keepNext/>
              <w:spacing w:line="360" w:lineRule="auto"/>
              <w:jc w:val="center"/>
              <w:rPr>
                <w:rFonts w:cs="宋体"/>
                <w:color w:val="auto"/>
                <w:szCs w:val="21"/>
                <w:highlight w:val="none"/>
              </w:rPr>
            </w:pPr>
          </w:p>
        </w:tc>
        <w:tc>
          <w:tcPr>
            <w:tcW w:w="502" w:type="pct"/>
            <w:vAlign w:val="center"/>
          </w:tcPr>
          <w:p w14:paraId="5428547F">
            <w:pPr>
              <w:keepNext/>
              <w:spacing w:line="360" w:lineRule="auto"/>
              <w:jc w:val="center"/>
              <w:rPr>
                <w:rFonts w:cs="宋体"/>
                <w:color w:val="auto"/>
                <w:szCs w:val="21"/>
                <w:highlight w:val="none"/>
              </w:rPr>
            </w:pPr>
          </w:p>
        </w:tc>
        <w:tc>
          <w:tcPr>
            <w:tcW w:w="1281" w:type="pct"/>
            <w:vAlign w:val="center"/>
          </w:tcPr>
          <w:p w14:paraId="7524DB89">
            <w:pPr>
              <w:keepNext/>
              <w:spacing w:line="360" w:lineRule="auto"/>
              <w:jc w:val="center"/>
              <w:rPr>
                <w:rFonts w:cs="宋体"/>
                <w:color w:val="auto"/>
                <w:szCs w:val="21"/>
                <w:highlight w:val="none"/>
              </w:rPr>
            </w:pPr>
          </w:p>
        </w:tc>
        <w:tc>
          <w:tcPr>
            <w:tcW w:w="1151" w:type="pct"/>
            <w:vAlign w:val="center"/>
          </w:tcPr>
          <w:p w14:paraId="27C32C92">
            <w:pPr>
              <w:keepNext/>
              <w:spacing w:line="360" w:lineRule="auto"/>
              <w:jc w:val="center"/>
              <w:rPr>
                <w:rFonts w:cs="宋体"/>
                <w:color w:val="auto"/>
                <w:szCs w:val="21"/>
                <w:highlight w:val="none"/>
              </w:rPr>
            </w:pPr>
          </w:p>
        </w:tc>
      </w:tr>
      <w:tr w14:paraId="6209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B5CA5DE">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BE6B18">
            <w:pPr>
              <w:keepNext/>
              <w:spacing w:line="360" w:lineRule="auto"/>
              <w:jc w:val="center"/>
              <w:rPr>
                <w:rFonts w:cs="宋体"/>
                <w:color w:val="auto"/>
                <w:szCs w:val="21"/>
                <w:highlight w:val="none"/>
              </w:rPr>
            </w:pPr>
          </w:p>
        </w:tc>
        <w:tc>
          <w:tcPr>
            <w:tcW w:w="502" w:type="pct"/>
            <w:vAlign w:val="center"/>
          </w:tcPr>
          <w:p w14:paraId="0A766F2A">
            <w:pPr>
              <w:keepNext/>
              <w:spacing w:line="360" w:lineRule="auto"/>
              <w:jc w:val="center"/>
              <w:rPr>
                <w:rFonts w:cs="宋体"/>
                <w:color w:val="auto"/>
                <w:szCs w:val="21"/>
                <w:highlight w:val="none"/>
              </w:rPr>
            </w:pPr>
          </w:p>
        </w:tc>
        <w:tc>
          <w:tcPr>
            <w:tcW w:w="502" w:type="pct"/>
            <w:vAlign w:val="center"/>
          </w:tcPr>
          <w:p w14:paraId="0A180FAA">
            <w:pPr>
              <w:keepNext/>
              <w:spacing w:line="360" w:lineRule="auto"/>
              <w:jc w:val="center"/>
              <w:rPr>
                <w:rFonts w:cs="宋体"/>
                <w:color w:val="auto"/>
                <w:szCs w:val="21"/>
                <w:highlight w:val="none"/>
              </w:rPr>
            </w:pPr>
          </w:p>
        </w:tc>
        <w:tc>
          <w:tcPr>
            <w:tcW w:w="1281" w:type="pct"/>
            <w:vAlign w:val="center"/>
          </w:tcPr>
          <w:p w14:paraId="36E1B89F">
            <w:pPr>
              <w:keepNext/>
              <w:spacing w:line="360" w:lineRule="auto"/>
              <w:jc w:val="center"/>
              <w:rPr>
                <w:rFonts w:cs="宋体"/>
                <w:color w:val="auto"/>
                <w:szCs w:val="21"/>
                <w:highlight w:val="none"/>
              </w:rPr>
            </w:pPr>
          </w:p>
        </w:tc>
        <w:tc>
          <w:tcPr>
            <w:tcW w:w="1151" w:type="pct"/>
            <w:vAlign w:val="center"/>
          </w:tcPr>
          <w:p w14:paraId="3B05EF8B">
            <w:pPr>
              <w:keepNext/>
              <w:spacing w:line="360" w:lineRule="auto"/>
              <w:jc w:val="center"/>
              <w:rPr>
                <w:rFonts w:cs="宋体"/>
                <w:color w:val="auto"/>
                <w:szCs w:val="21"/>
                <w:highlight w:val="none"/>
              </w:rPr>
            </w:pPr>
          </w:p>
        </w:tc>
      </w:tr>
      <w:tr w14:paraId="288F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142BED2">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7B74755E">
            <w:pPr>
              <w:keepNext/>
              <w:spacing w:line="360" w:lineRule="auto"/>
              <w:jc w:val="center"/>
              <w:rPr>
                <w:rFonts w:cs="宋体"/>
                <w:color w:val="auto"/>
                <w:szCs w:val="21"/>
                <w:highlight w:val="none"/>
              </w:rPr>
            </w:pPr>
          </w:p>
        </w:tc>
        <w:tc>
          <w:tcPr>
            <w:tcW w:w="502" w:type="pct"/>
            <w:vAlign w:val="center"/>
          </w:tcPr>
          <w:p w14:paraId="7D795308">
            <w:pPr>
              <w:keepNext/>
              <w:spacing w:line="360" w:lineRule="auto"/>
              <w:jc w:val="center"/>
              <w:rPr>
                <w:rFonts w:cs="宋体"/>
                <w:color w:val="auto"/>
                <w:szCs w:val="21"/>
                <w:highlight w:val="none"/>
              </w:rPr>
            </w:pPr>
          </w:p>
        </w:tc>
        <w:tc>
          <w:tcPr>
            <w:tcW w:w="502" w:type="pct"/>
            <w:vAlign w:val="center"/>
          </w:tcPr>
          <w:p w14:paraId="7D1303BB">
            <w:pPr>
              <w:keepNext/>
              <w:spacing w:line="360" w:lineRule="auto"/>
              <w:jc w:val="center"/>
              <w:rPr>
                <w:rFonts w:cs="宋体"/>
                <w:color w:val="auto"/>
                <w:szCs w:val="21"/>
                <w:highlight w:val="none"/>
              </w:rPr>
            </w:pPr>
          </w:p>
        </w:tc>
        <w:tc>
          <w:tcPr>
            <w:tcW w:w="1281" w:type="pct"/>
            <w:vAlign w:val="center"/>
          </w:tcPr>
          <w:p w14:paraId="6CCC700D">
            <w:pPr>
              <w:keepNext/>
              <w:spacing w:line="360" w:lineRule="auto"/>
              <w:jc w:val="center"/>
              <w:rPr>
                <w:rFonts w:cs="宋体"/>
                <w:color w:val="auto"/>
                <w:szCs w:val="21"/>
                <w:highlight w:val="none"/>
              </w:rPr>
            </w:pPr>
          </w:p>
        </w:tc>
        <w:tc>
          <w:tcPr>
            <w:tcW w:w="1151" w:type="pct"/>
            <w:vAlign w:val="center"/>
          </w:tcPr>
          <w:p w14:paraId="613EBCFB">
            <w:pPr>
              <w:keepNext/>
              <w:spacing w:line="360" w:lineRule="auto"/>
              <w:jc w:val="center"/>
              <w:rPr>
                <w:rFonts w:cs="宋体"/>
                <w:color w:val="auto"/>
                <w:szCs w:val="21"/>
                <w:highlight w:val="none"/>
              </w:rPr>
            </w:pPr>
          </w:p>
        </w:tc>
      </w:tr>
      <w:tr w14:paraId="7076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DB222B8">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79AF9251">
            <w:pPr>
              <w:keepNext/>
              <w:spacing w:line="360" w:lineRule="auto"/>
              <w:jc w:val="center"/>
              <w:rPr>
                <w:rFonts w:cs="宋体"/>
                <w:color w:val="auto"/>
                <w:szCs w:val="21"/>
                <w:highlight w:val="none"/>
              </w:rPr>
            </w:pPr>
          </w:p>
        </w:tc>
        <w:tc>
          <w:tcPr>
            <w:tcW w:w="502" w:type="pct"/>
            <w:vAlign w:val="center"/>
          </w:tcPr>
          <w:p w14:paraId="1E2DFFC1">
            <w:pPr>
              <w:keepNext/>
              <w:spacing w:line="360" w:lineRule="auto"/>
              <w:jc w:val="center"/>
              <w:rPr>
                <w:rFonts w:cs="宋体"/>
                <w:color w:val="auto"/>
                <w:szCs w:val="21"/>
                <w:highlight w:val="none"/>
              </w:rPr>
            </w:pPr>
          </w:p>
        </w:tc>
        <w:tc>
          <w:tcPr>
            <w:tcW w:w="502" w:type="pct"/>
            <w:vAlign w:val="center"/>
          </w:tcPr>
          <w:p w14:paraId="6076DD47">
            <w:pPr>
              <w:keepNext/>
              <w:spacing w:line="360" w:lineRule="auto"/>
              <w:jc w:val="center"/>
              <w:rPr>
                <w:rFonts w:cs="宋体"/>
                <w:color w:val="auto"/>
                <w:szCs w:val="21"/>
                <w:highlight w:val="none"/>
              </w:rPr>
            </w:pPr>
          </w:p>
        </w:tc>
        <w:tc>
          <w:tcPr>
            <w:tcW w:w="1281" w:type="pct"/>
            <w:vAlign w:val="center"/>
          </w:tcPr>
          <w:p w14:paraId="1EA5DF51">
            <w:pPr>
              <w:keepNext/>
              <w:spacing w:line="360" w:lineRule="auto"/>
              <w:jc w:val="center"/>
              <w:rPr>
                <w:rFonts w:cs="宋体"/>
                <w:color w:val="auto"/>
                <w:szCs w:val="21"/>
                <w:highlight w:val="none"/>
              </w:rPr>
            </w:pPr>
          </w:p>
        </w:tc>
        <w:tc>
          <w:tcPr>
            <w:tcW w:w="1151" w:type="pct"/>
            <w:vAlign w:val="center"/>
          </w:tcPr>
          <w:p w14:paraId="41ED79A6">
            <w:pPr>
              <w:keepNext/>
              <w:spacing w:line="360" w:lineRule="auto"/>
              <w:jc w:val="center"/>
              <w:rPr>
                <w:rFonts w:cs="宋体"/>
                <w:color w:val="auto"/>
                <w:szCs w:val="21"/>
                <w:highlight w:val="none"/>
              </w:rPr>
            </w:pPr>
          </w:p>
        </w:tc>
      </w:tr>
      <w:tr w14:paraId="60705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E59231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35574179">
            <w:pPr>
              <w:keepNext/>
              <w:spacing w:line="360" w:lineRule="auto"/>
              <w:jc w:val="center"/>
              <w:rPr>
                <w:rFonts w:cs="宋体"/>
                <w:color w:val="auto"/>
                <w:szCs w:val="21"/>
                <w:highlight w:val="none"/>
              </w:rPr>
            </w:pPr>
          </w:p>
        </w:tc>
        <w:tc>
          <w:tcPr>
            <w:tcW w:w="502" w:type="pct"/>
            <w:vAlign w:val="center"/>
          </w:tcPr>
          <w:p w14:paraId="45AFAE91">
            <w:pPr>
              <w:keepNext/>
              <w:spacing w:line="360" w:lineRule="auto"/>
              <w:jc w:val="center"/>
              <w:rPr>
                <w:rFonts w:cs="宋体"/>
                <w:color w:val="auto"/>
                <w:szCs w:val="21"/>
                <w:highlight w:val="none"/>
              </w:rPr>
            </w:pPr>
          </w:p>
        </w:tc>
        <w:tc>
          <w:tcPr>
            <w:tcW w:w="502" w:type="pct"/>
            <w:vAlign w:val="center"/>
          </w:tcPr>
          <w:p w14:paraId="3604F53E">
            <w:pPr>
              <w:keepNext/>
              <w:spacing w:line="360" w:lineRule="auto"/>
              <w:jc w:val="center"/>
              <w:rPr>
                <w:rFonts w:cs="宋体"/>
                <w:color w:val="auto"/>
                <w:szCs w:val="21"/>
                <w:highlight w:val="none"/>
              </w:rPr>
            </w:pPr>
          </w:p>
        </w:tc>
        <w:tc>
          <w:tcPr>
            <w:tcW w:w="1281" w:type="pct"/>
            <w:vAlign w:val="center"/>
          </w:tcPr>
          <w:p w14:paraId="35955662">
            <w:pPr>
              <w:keepNext/>
              <w:spacing w:line="360" w:lineRule="auto"/>
              <w:jc w:val="center"/>
              <w:rPr>
                <w:rFonts w:cs="宋体"/>
                <w:color w:val="auto"/>
                <w:szCs w:val="21"/>
                <w:highlight w:val="none"/>
              </w:rPr>
            </w:pPr>
          </w:p>
        </w:tc>
        <w:tc>
          <w:tcPr>
            <w:tcW w:w="1151" w:type="pct"/>
            <w:vAlign w:val="center"/>
          </w:tcPr>
          <w:p w14:paraId="6CCD08A8">
            <w:pPr>
              <w:keepNext/>
              <w:spacing w:line="360" w:lineRule="auto"/>
              <w:jc w:val="center"/>
              <w:rPr>
                <w:rFonts w:cs="宋体"/>
                <w:color w:val="auto"/>
                <w:szCs w:val="21"/>
                <w:highlight w:val="none"/>
              </w:rPr>
            </w:pPr>
          </w:p>
        </w:tc>
      </w:tr>
      <w:tr w14:paraId="509D5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0AA24CF">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B98EEB2">
            <w:pPr>
              <w:keepNext/>
              <w:spacing w:line="360" w:lineRule="auto"/>
              <w:jc w:val="center"/>
              <w:rPr>
                <w:rFonts w:cs="宋体"/>
                <w:color w:val="auto"/>
                <w:szCs w:val="21"/>
                <w:highlight w:val="none"/>
              </w:rPr>
            </w:pPr>
          </w:p>
        </w:tc>
        <w:tc>
          <w:tcPr>
            <w:tcW w:w="502" w:type="pct"/>
            <w:vAlign w:val="center"/>
          </w:tcPr>
          <w:p w14:paraId="35E9D66C">
            <w:pPr>
              <w:keepNext/>
              <w:spacing w:line="360" w:lineRule="auto"/>
              <w:jc w:val="center"/>
              <w:rPr>
                <w:rFonts w:cs="宋体"/>
                <w:color w:val="auto"/>
                <w:szCs w:val="21"/>
                <w:highlight w:val="none"/>
              </w:rPr>
            </w:pPr>
          </w:p>
        </w:tc>
        <w:tc>
          <w:tcPr>
            <w:tcW w:w="502" w:type="pct"/>
            <w:vAlign w:val="center"/>
          </w:tcPr>
          <w:p w14:paraId="7312B941">
            <w:pPr>
              <w:keepNext/>
              <w:spacing w:line="360" w:lineRule="auto"/>
              <w:jc w:val="center"/>
              <w:rPr>
                <w:rFonts w:cs="宋体"/>
                <w:color w:val="auto"/>
                <w:szCs w:val="21"/>
                <w:highlight w:val="none"/>
              </w:rPr>
            </w:pPr>
          </w:p>
        </w:tc>
        <w:tc>
          <w:tcPr>
            <w:tcW w:w="1281" w:type="pct"/>
            <w:vAlign w:val="center"/>
          </w:tcPr>
          <w:p w14:paraId="03A8B7F0">
            <w:pPr>
              <w:keepNext/>
              <w:spacing w:line="360" w:lineRule="auto"/>
              <w:jc w:val="center"/>
              <w:rPr>
                <w:rFonts w:cs="宋体"/>
                <w:color w:val="auto"/>
                <w:szCs w:val="21"/>
                <w:highlight w:val="none"/>
              </w:rPr>
            </w:pPr>
          </w:p>
        </w:tc>
        <w:tc>
          <w:tcPr>
            <w:tcW w:w="1151" w:type="pct"/>
            <w:vAlign w:val="center"/>
          </w:tcPr>
          <w:p w14:paraId="6CE5BF49">
            <w:pPr>
              <w:keepNext/>
              <w:spacing w:line="360" w:lineRule="auto"/>
              <w:jc w:val="center"/>
              <w:rPr>
                <w:rFonts w:cs="宋体"/>
                <w:color w:val="auto"/>
                <w:szCs w:val="21"/>
                <w:highlight w:val="none"/>
              </w:rPr>
            </w:pPr>
          </w:p>
        </w:tc>
      </w:tr>
      <w:tr w14:paraId="7196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B61CBA8">
            <w:pPr>
              <w:keepNext/>
              <w:spacing w:line="360" w:lineRule="auto"/>
              <w:jc w:val="center"/>
              <w:rPr>
                <w:rFonts w:cs="宋体"/>
                <w:color w:val="auto"/>
                <w:szCs w:val="21"/>
                <w:highlight w:val="none"/>
              </w:rPr>
            </w:pPr>
          </w:p>
        </w:tc>
        <w:tc>
          <w:tcPr>
            <w:tcW w:w="627" w:type="pct"/>
            <w:tcBorders>
              <w:bottom w:val="nil"/>
            </w:tcBorders>
            <w:vAlign w:val="center"/>
          </w:tcPr>
          <w:p w14:paraId="629B064A">
            <w:pPr>
              <w:keepNext/>
              <w:spacing w:line="360" w:lineRule="auto"/>
              <w:jc w:val="center"/>
              <w:rPr>
                <w:rFonts w:cs="宋体"/>
                <w:color w:val="auto"/>
                <w:szCs w:val="21"/>
                <w:highlight w:val="none"/>
              </w:rPr>
            </w:pPr>
          </w:p>
        </w:tc>
        <w:tc>
          <w:tcPr>
            <w:tcW w:w="502" w:type="pct"/>
            <w:tcBorders>
              <w:bottom w:val="nil"/>
            </w:tcBorders>
            <w:vAlign w:val="center"/>
          </w:tcPr>
          <w:p w14:paraId="55D3C76B">
            <w:pPr>
              <w:keepNext/>
              <w:spacing w:line="360" w:lineRule="auto"/>
              <w:jc w:val="center"/>
              <w:rPr>
                <w:rFonts w:cs="宋体"/>
                <w:color w:val="auto"/>
                <w:szCs w:val="21"/>
                <w:highlight w:val="none"/>
              </w:rPr>
            </w:pPr>
          </w:p>
        </w:tc>
        <w:tc>
          <w:tcPr>
            <w:tcW w:w="502" w:type="pct"/>
            <w:tcBorders>
              <w:bottom w:val="nil"/>
            </w:tcBorders>
            <w:vAlign w:val="center"/>
          </w:tcPr>
          <w:p w14:paraId="4306AEBD">
            <w:pPr>
              <w:keepNext/>
              <w:spacing w:line="360" w:lineRule="auto"/>
              <w:jc w:val="center"/>
              <w:rPr>
                <w:rFonts w:cs="宋体"/>
                <w:color w:val="auto"/>
                <w:szCs w:val="21"/>
                <w:highlight w:val="none"/>
              </w:rPr>
            </w:pPr>
          </w:p>
        </w:tc>
        <w:tc>
          <w:tcPr>
            <w:tcW w:w="1281" w:type="pct"/>
            <w:tcBorders>
              <w:bottom w:val="nil"/>
            </w:tcBorders>
            <w:vAlign w:val="center"/>
          </w:tcPr>
          <w:p w14:paraId="4A5C92BE">
            <w:pPr>
              <w:keepNext/>
              <w:spacing w:line="360" w:lineRule="auto"/>
              <w:jc w:val="center"/>
              <w:rPr>
                <w:rFonts w:cs="宋体"/>
                <w:color w:val="auto"/>
                <w:szCs w:val="21"/>
                <w:highlight w:val="none"/>
              </w:rPr>
            </w:pPr>
          </w:p>
        </w:tc>
        <w:tc>
          <w:tcPr>
            <w:tcW w:w="1151" w:type="pct"/>
            <w:tcBorders>
              <w:bottom w:val="nil"/>
            </w:tcBorders>
            <w:vAlign w:val="center"/>
          </w:tcPr>
          <w:p w14:paraId="6CFFC2A2">
            <w:pPr>
              <w:keepNext/>
              <w:spacing w:line="360" w:lineRule="auto"/>
              <w:jc w:val="center"/>
              <w:rPr>
                <w:rFonts w:cs="宋体"/>
                <w:color w:val="auto"/>
                <w:szCs w:val="21"/>
                <w:highlight w:val="none"/>
              </w:rPr>
            </w:pPr>
          </w:p>
        </w:tc>
      </w:tr>
      <w:tr w14:paraId="6816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2727B8">
            <w:pPr>
              <w:keepNext/>
              <w:spacing w:line="360" w:lineRule="auto"/>
              <w:jc w:val="center"/>
              <w:rPr>
                <w:rFonts w:cs="宋体"/>
                <w:color w:val="auto"/>
                <w:szCs w:val="21"/>
                <w:highlight w:val="none"/>
              </w:rPr>
            </w:pPr>
          </w:p>
        </w:tc>
        <w:tc>
          <w:tcPr>
            <w:tcW w:w="627" w:type="pct"/>
            <w:vAlign w:val="center"/>
          </w:tcPr>
          <w:p w14:paraId="1A4E3496">
            <w:pPr>
              <w:keepNext/>
              <w:spacing w:line="360" w:lineRule="auto"/>
              <w:jc w:val="center"/>
              <w:rPr>
                <w:rFonts w:cs="宋体"/>
                <w:color w:val="auto"/>
                <w:szCs w:val="21"/>
                <w:highlight w:val="none"/>
              </w:rPr>
            </w:pPr>
          </w:p>
        </w:tc>
        <w:tc>
          <w:tcPr>
            <w:tcW w:w="502" w:type="pct"/>
            <w:vAlign w:val="center"/>
          </w:tcPr>
          <w:p w14:paraId="7C353AD2">
            <w:pPr>
              <w:keepNext/>
              <w:spacing w:line="360" w:lineRule="auto"/>
              <w:jc w:val="center"/>
              <w:rPr>
                <w:rFonts w:cs="宋体"/>
                <w:color w:val="auto"/>
                <w:szCs w:val="21"/>
                <w:highlight w:val="none"/>
              </w:rPr>
            </w:pPr>
          </w:p>
        </w:tc>
        <w:tc>
          <w:tcPr>
            <w:tcW w:w="502" w:type="pct"/>
            <w:vAlign w:val="center"/>
          </w:tcPr>
          <w:p w14:paraId="5E5CFAE9">
            <w:pPr>
              <w:keepNext/>
              <w:spacing w:line="360" w:lineRule="auto"/>
              <w:jc w:val="center"/>
              <w:rPr>
                <w:rFonts w:cs="宋体"/>
                <w:color w:val="auto"/>
                <w:szCs w:val="21"/>
                <w:highlight w:val="none"/>
              </w:rPr>
            </w:pPr>
          </w:p>
        </w:tc>
        <w:tc>
          <w:tcPr>
            <w:tcW w:w="1281" w:type="pct"/>
            <w:vAlign w:val="center"/>
          </w:tcPr>
          <w:p w14:paraId="34416B4B">
            <w:pPr>
              <w:keepNext/>
              <w:spacing w:line="360" w:lineRule="auto"/>
              <w:jc w:val="center"/>
              <w:rPr>
                <w:rFonts w:cs="宋体"/>
                <w:color w:val="auto"/>
                <w:szCs w:val="21"/>
                <w:highlight w:val="none"/>
              </w:rPr>
            </w:pPr>
          </w:p>
        </w:tc>
        <w:tc>
          <w:tcPr>
            <w:tcW w:w="1151" w:type="pct"/>
            <w:vAlign w:val="center"/>
          </w:tcPr>
          <w:p w14:paraId="4733C28E">
            <w:pPr>
              <w:keepNext/>
              <w:spacing w:line="360" w:lineRule="auto"/>
              <w:jc w:val="center"/>
              <w:rPr>
                <w:rFonts w:cs="宋体"/>
                <w:color w:val="auto"/>
                <w:szCs w:val="21"/>
                <w:highlight w:val="none"/>
              </w:rPr>
            </w:pPr>
          </w:p>
        </w:tc>
      </w:tr>
      <w:tr w14:paraId="27CC0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06DDDA">
            <w:pPr>
              <w:keepNext/>
              <w:spacing w:line="360" w:lineRule="auto"/>
              <w:jc w:val="center"/>
              <w:rPr>
                <w:rFonts w:cs="宋体"/>
                <w:color w:val="auto"/>
                <w:szCs w:val="21"/>
                <w:highlight w:val="none"/>
              </w:rPr>
            </w:pPr>
          </w:p>
        </w:tc>
        <w:tc>
          <w:tcPr>
            <w:tcW w:w="627" w:type="pct"/>
            <w:vAlign w:val="center"/>
          </w:tcPr>
          <w:p w14:paraId="3DE0ED1B">
            <w:pPr>
              <w:keepNext/>
              <w:spacing w:line="360" w:lineRule="auto"/>
              <w:jc w:val="center"/>
              <w:rPr>
                <w:rFonts w:cs="宋体"/>
                <w:color w:val="auto"/>
                <w:szCs w:val="21"/>
                <w:highlight w:val="none"/>
              </w:rPr>
            </w:pPr>
          </w:p>
        </w:tc>
        <w:tc>
          <w:tcPr>
            <w:tcW w:w="502" w:type="pct"/>
            <w:vAlign w:val="center"/>
          </w:tcPr>
          <w:p w14:paraId="4A97C194">
            <w:pPr>
              <w:keepNext/>
              <w:spacing w:line="360" w:lineRule="auto"/>
              <w:jc w:val="center"/>
              <w:rPr>
                <w:rFonts w:cs="宋体"/>
                <w:color w:val="auto"/>
                <w:szCs w:val="21"/>
                <w:highlight w:val="none"/>
              </w:rPr>
            </w:pPr>
          </w:p>
        </w:tc>
        <w:tc>
          <w:tcPr>
            <w:tcW w:w="502" w:type="pct"/>
            <w:vAlign w:val="center"/>
          </w:tcPr>
          <w:p w14:paraId="30011F64">
            <w:pPr>
              <w:keepNext/>
              <w:spacing w:line="360" w:lineRule="auto"/>
              <w:jc w:val="center"/>
              <w:rPr>
                <w:rFonts w:cs="宋体"/>
                <w:color w:val="auto"/>
                <w:szCs w:val="21"/>
                <w:highlight w:val="none"/>
              </w:rPr>
            </w:pPr>
          </w:p>
        </w:tc>
        <w:tc>
          <w:tcPr>
            <w:tcW w:w="1281" w:type="pct"/>
            <w:vAlign w:val="center"/>
          </w:tcPr>
          <w:p w14:paraId="7F1D8340">
            <w:pPr>
              <w:keepNext/>
              <w:spacing w:line="360" w:lineRule="auto"/>
              <w:jc w:val="center"/>
              <w:rPr>
                <w:rFonts w:cs="宋体"/>
                <w:color w:val="auto"/>
                <w:szCs w:val="21"/>
                <w:highlight w:val="none"/>
              </w:rPr>
            </w:pPr>
          </w:p>
        </w:tc>
        <w:tc>
          <w:tcPr>
            <w:tcW w:w="1151" w:type="pct"/>
            <w:vAlign w:val="center"/>
          </w:tcPr>
          <w:p w14:paraId="42A9EC97">
            <w:pPr>
              <w:keepNext/>
              <w:spacing w:line="360" w:lineRule="auto"/>
              <w:jc w:val="center"/>
              <w:rPr>
                <w:rFonts w:cs="宋体"/>
                <w:color w:val="auto"/>
                <w:szCs w:val="21"/>
                <w:highlight w:val="none"/>
              </w:rPr>
            </w:pPr>
          </w:p>
        </w:tc>
      </w:tr>
      <w:tr w14:paraId="3D175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C842EE0">
            <w:pPr>
              <w:keepNext/>
              <w:spacing w:line="360" w:lineRule="auto"/>
              <w:jc w:val="center"/>
              <w:rPr>
                <w:rFonts w:cs="宋体"/>
                <w:color w:val="auto"/>
                <w:szCs w:val="21"/>
                <w:highlight w:val="none"/>
              </w:rPr>
            </w:pPr>
          </w:p>
        </w:tc>
        <w:tc>
          <w:tcPr>
            <w:tcW w:w="627" w:type="pct"/>
            <w:vAlign w:val="center"/>
          </w:tcPr>
          <w:p w14:paraId="02AC5ED5">
            <w:pPr>
              <w:keepNext/>
              <w:spacing w:line="360" w:lineRule="auto"/>
              <w:jc w:val="center"/>
              <w:rPr>
                <w:rFonts w:cs="宋体"/>
                <w:color w:val="auto"/>
                <w:szCs w:val="21"/>
                <w:highlight w:val="none"/>
              </w:rPr>
            </w:pPr>
          </w:p>
        </w:tc>
        <w:tc>
          <w:tcPr>
            <w:tcW w:w="502" w:type="pct"/>
            <w:vAlign w:val="center"/>
          </w:tcPr>
          <w:p w14:paraId="6E430F3A">
            <w:pPr>
              <w:keepNext/>
              <w:spacing w:line="360" w:lineRule="auto"/>
              <w:jc w:val="center"/>
              <w:rPr>
                <w:rFonts w:cs="宋体"/>
                <w:color w:val="auto"/>
                <w:szCs w:val="21"/>
                <w:highlight w:val="none"/>
              </w:rPr>
            </w:pPr>
          </w:p>
        </w:tc>
        <w:tc>
          <w:tcPr>
            <w:tcW w:w="502" w:type="pct"/>
            <w:vAlign w:val="center"/>
          </w:tcPr>
          <w:p w14:paraId="538250C9">
            <w:pPr>
              <w:keepNext/>
              <w:spacing w:line="360" w:lineRule="auto"/>
              <w:jc w:val="center"/>
              <w:rPr>
                <w:rFonts w:cs="宋体"/>
                <w:color w:val="auto"/>
                <w:szCs w:val="21"/>
                <w:highlight w:val="none"/>
              </w:rPr>
            </w:pPr>
          </w:p>
        </w:tc>
        <w:tc>
          <w:tcPr>
            <w:tcW w:w="1281" w:type="pct"/>
            <w:vAlign w:val="center"/>
          </w:tcPr>
          <w:p w14:paraId="6D2AF35A">
            <w:pPr>
              <w:keepNext/>
              <w:spacing w:line="360" w:lineRule="auto"/>
              <w:jc w:val="center"/>
              <w:rPr>
                <w:rFonts w:cs="宋体"/>
                <w:color w:val="auto"/>
                <w:szCs w:val="21"/>
                <w:highlight w:val="none"/>
              </w:rPr>
            </w:pPr>
          </w:p>
        </w:tc>
        <w:tc>
          <w:tcPr>
            <w:tcW w:w="1151" w:type="pct"/>
            <w:vAlign w:val="center"/>
          </w:tcPr>
          <w:p w14:paraId="64D5FD5E">
            <w:pPr>
              <w:keepNext/>
              <w:spacing w:line="360" w:lineRule="auto"/>
              <w:jc w:val="center"/>
              <w:rPr>
                <w:rFonts w:cs="宋体"/>
                <w:color w:val="auto"/>
                <w:szCs w:val="21"/>
                <w:highlight w:val="none"/>
              </w:rPr>
            </w:pPr>
          </w:p>
        </w:tc>
      </w:tr>
      <w:tr w14:paraId="20CD2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71463465">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064A306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0AA63B4">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6562F53C">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7295FFD9">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6830C343">
            <w:pPr>
              <w:keepNext/>
              <w:spacing w:line="360" w:lineRule="auto"/>
              <w:jc w:val="center"/>
              <w:rPr>
                <w:rFonts w:cs="宋体"/>
                <w:color w:val="auto"/>
                <w:szCs w:val="21"/>
                <w:highlight w:val="none"/>
              </w:rPr>
            </w:pPr>
          </w:p>
        </w:tc>
      </w:tr>
    </w:tbl>
    <w:p w14:paraId="12FC7F3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13" w:name="_Toc128950242"/>
      <w:r>
        <w:rPr>
          <w:rFonts w:hint="eastAsia" w:ascii="Times New Roman" w:eastAsia="黑体"/>
          <w:color w:val="auto"/>
          <w:szCs w:val="24"/>
          <w:highlight w:val="none"/>
        </w:rPr>
        <w:t>附</w:t>
      </w:r>
      <w:bookmarkStart w:id="614" w:name="_Toc296346730"/>
      <w:bookmarkStart w:id="615" w:name="_Toc296891057"/>
      <w:bookmarkStart w:id="616" w:name="_Toc296891269"/>
      <w:bookmarkStart w:id="617" w:name="_Toc296347228"/>
      <w:bookmarkStart w:id="618" w:name="_Toc296503229"/>
      <w:bookmarkStart w:id="619" w:name="_Toc296944568"/>
      <w:r>
        <w:rPr>
          <w:rFonts w:hint="eastAsia" w:ascii="Times New Roman" w:eastAsia="黑体"/>
          <w:color w:val="auto"/>
          <w:szCs w:val="24"/>
          <w:highlight w:val="none"/>
        </w:rPr>
        <w:t>件</w:t>
      </w:r>
      <w:r>
        <w:rPr>
          <w:rFonts w:ascii="Times New Roman" w:eastAsia="黑体"/>
          <w:color w:val="auto"/>
          <w:szCs w:val="24"/>
          <w:highlight w:val="none"/>
        </w:rPr>
        <w:t>7</w:t>
      </w:r>
      <w:r>
        <w:rPr>
          <w:rFonts w:hint="eastAsia" w:ascii="Times New Roman" w:eastAsia="黑体"/>
          <w:color w:val="auto"/>
          <w:szCs w:val="24"/>
          <w:highlight w:val="none"/>
        </w:rPr>
        <w:t>：分包人主要施工管理人员表</w:t>
      </w:r>
      <w:bookmarkEnd w:id="613"/>
    </w:p>
    <w:bookmarkEnd w:id="614"/>
    <w:bookmarkEnd w:id="615"/>
    <w:bookmarkEnd w:id="616"/>
    <w:bookmarkEnd w:id="617"/>
    <w:bookmarkEnd w:id="618"/>
    <w:bookmarkEnd w:id="619"/>
    <w:p w14:paraId="71201B7E">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7F8D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41568E47">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626E4894">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656A2419">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6377F946">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1F139FF3">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894A071">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8C3C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68463CA0">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750AE7D6">
            <w:pPr>
              <w:keepNext/>
              <w:spacing w:line="360" w:lineRule="auto"/>
              <w:jc w:val="center"/>
              <w:rPr>
                <w:rFonts w:cs="宋体"/>
                <w:color w:val="auto"/>
                <w:szCs w:val="21"/>
                <w:highlight w:val="none"/>
              </w:rPr>
            </w:pPr>
          </w:p>
        </w:tc>
      </w:tr>
      <w:tr w14:paraId="20215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7D50ADBC">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1B8F6B3D">
            <w:pPr>
              <w:keepNext/>
              <w:spacing w:line="360" w:lineRule="auto"/>
              <w:jc w:val="center"/>
              <w:rPr>
                <w:rFonts w:cs="宋体"/>
                <w:color w:val="auto"/>
                <w:szCs w:val="21"/>
                <w:highlight w:val="none"/>
              </w:rPr>
            </w:pPr>
          </w:p>
        </w:tc>
        <w:tc>
          <w:tcPr>
            <w:tcW w:w="513" w:type="pct"/>
            <w:tcBorders>
              <w:top w:val="nil"/>
            </w:tcBorders>
            <w:vAlign w:val="center"/>
          </w:tcPr>
          <w:p w14:paraId="4E080934">
            <w:pPr>
              <w:keepNext/>
              <w:spacing w:line="360" w:lineRule="auto"/>
              <w:jc w:val="center"/>
              <w:rPr>
                <w:rFonts w:cs="宋体"/>
                <w:color w:val="auto"/>
                <w:szCs w:val="21"/>
                <w:highlight w:val="none"/>
              </w:rPr>
            </w:pPr>
          </w:p>
        </w:tc>
        <w:tc>
          <w:tcPr>
            <w:tcW w:w="373" w:type="pct"/>
            <w:tcBorders>
              <w:top w:val="nil"/>
            </w:tcBorders>
            <w:vAlign w:val="center"/>
          </w:tcPr>
          <w:p w14:paraId="27DE80EC">
            <w:pPr>
              <w:keepNext/>
              <w:spacing w:line="360" w:lineRule="auto"/>
              <w:jc w:val="center"/>
              <w:rPr>
                <w:rFonts w:cs="宋体"/>
                <w:color w:val="auto"/>
                <w:szCs w:val="21"/>
                <w:highlight w:val="none"/>
              </w:rPr>
            </w:pPr>
          </w:p>
        </w:tc>
        <w:tc>
          <w:tcPr>
            <w:tcW w:w="1889" w:type="pct"/>
            <w:tcBorders>
              <w:top w:val="nil"/>
            </w:tcBorders>
            <w:vAlign w:val="center"/>
          </w:tcPr>
          <w:p w14:paraId="0FD88E14">
            <w:pPr>
              <w:keepNext/>
              <w:spacing w:line="360" w:lineRule="auto"/>
              <w:jc w:val="center"/>
              <w:rPr>
                <w:rFonts w:cs="宋体"/>
                <w:color w:val="auto"/>
                <w:szCs w:val="21"/>
                <w:highlight w:val="none"/>
              </w:rPr>
            </w:pPr>
          </w:p>
        </w:tc>
        <w:tc>
          <w:tcPr>
            <w:tcW w:w="739" w:type="pct"/>
            <w:tcBorders>
              <w:top w:val="nil"/>
            </w:tcBorders>
            <w:vAlign w:val="center"/>
          </w:tcPr>
          <w:p w14:paraId="4BD8D787">
            <w:pPr>
              <w:keepNext/>
              <w:spacing w:line="360" w:lineRule="auto"/>
              <w:jc w:val="center"/>
              <w:rPr>
                <w:rFonts w:cs="宋体"/>
                <w:color w:val="auto"/>
                <w:szCs w:val="21"/>
                <w:highlight w:val="none"/>
              </w:rPr>
            </w:pPr>
          </w:p>
        </w:tc>
      </w:tr>
      <w:tr w14:paraId="3CF18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F6117DF">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3EC174E4">
            <w:pPr>
              <w:keepNext/>
              <w:spacing w:line="360" w:lineRule="auto"/>
              <w:jc w:val="center"/>
              <w:rPr>
                <w:rFonts w:cs="宋体"/>
                <w:color w:val="auto"/>
                <w:szCs w:val="21"/>
                <w:highlight w:val="none"/>
              </w:rPr>
            </w:pPr>
          </w:p>
        </w:tc>
        <w:tc>
          <w:tcPr>
            <w:tcW w:w="513" w:type="pct"/>
            <w:vAlign w:val="center"/>
          </w:tcPr>
          <w:p w14:paraId="04F23C32">
            <w:pPr>
              <w:keepNext/>
              <w:spacing w:line="360" w:lineRule="auto"/>
              <w:jc w:val="center"/>
              <w:rPr>
                <w:rFonts w:cs="宋体"/>
                <w:color w:val="auto"/>
                <w:szCs w:val="21"/>
                <w:highlight w:val="none"/>
              </w:rPr>
            </w:pPr>
          </w:p>
        </w:tc>
        <w:tc>
          <w:tcPr>
            <w:tcW w:w="373" w:type="pct"/>
            <w:vAlign w:val="center"/>
          </w:tcPr>
          <w:p w14:paraId="57065CD0">
            <w:pPr>
              <w:keepNext/>
              <w:spacing w:line="360" w:lineRule="auto"/>
              <w:jc w:val="center"/>
              <w:rPr>
                <w:rFonts w:cs="宋体"/>
                <w:color w:val="auto"/>
                <w:szCs w:val="21"/>
                <w:highlight w:val="none"/>
              </w:rPr>
            </w:pPr>
          </w:p>
        </w:tc>
        <w:tc>
          <w:tcPr>
            <w:tcW w:w="1889" w:type="pct"/>
            <w:vAlign w:val="center"/>
          </w:tcPr>
          <w:p w14:paraId="50009C7A">
            <w:pPr>
              <w:keepNext/>
              <w:spacing w:line="360" w:lineRule="auto"/>
              <w:jc w:val="center"/>
              <w:rPr>
                <w:rFonts w:cs="宋体"/>
                <w:color w:val="auto"/>
                <w:szCs w:val="21"/>
                <w:highlight w:val="none"/>
              </w:rPr>
            </w:pPr>
          </w:p>
        </w:tc>
        <w:tc>
          <w:tcPr>
            <w:tcW w:w="739" w:type="pct"/>
            <w:vAlign w:val="center"/>
          </w:tcPr>
          <w:p w14:paraId="592F5264">
            <w:pPr>
              <w:keepNext/>
              <w:spacing w:line="360" w:lineRule="auto"/>
              <w:jc w:val="center"/>
              <w:rPr>
                <w:rFonts w:cs="宋体"/>
                <w:color w:val="auto"/>
                <w:szCs w:val="21"/>
                <w:highlight w:val="none"/>
              </w:rPr>
            </w:pPr>
          </w:p>
        </w:tc>
      </w:tr>
      <w:tr w14:paraId="3245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0C78D04">
            <w:pPr>
              <w:keepNext/>
              <w:spacing w:line="360" w:lineRule="auto"/>
              <w:jc w:val="center"/>
              <w:rPr>
                <w:rFonts w:cs="宋体"/>
                <w:color w:val="auto"/>
                <w:szCs w:val="21"/>
                <w:highlight w:val="none"/>
              </w:rPr>
            </w:pPr>
          </w:p>
        </w:tc>
        <w:tc>
          <w:tcPr>
            <w:tcW w:w="641" w:type="pct"/>
            <w:vAlign w:val="center"/>
          </w:tcPr>
          <w:p w14:paraId="7E9827E0">
            <w:pPr>
              <w:keepNext/>
              <w:spacing w:line="360" w:lineRule="auto"/>
              <w:jc w:val="center"/>
              <w:rPr>
                <w:rFonts w:cs="宋体"/>
                <w:color w:val="auto"/>
                <w:szCs w:val="21"/>
                <w:highlight w:val="none"/>
              </w:rPr>
            </w:pPr>
          </w:p>
        </w:tc>
        <w:tc>
          <w:tcPr>
            <w:tcW w:w="513" w:type="pct"/>
            <w:vAlign w:val="center"/>
          </w:tcPr>
          <w:p w14:paraId="49E9B0A7">
            <w:pPr>
              <w:keepNext/>
              <w:spacing w:line="360" w:lineRule="auto"/>
              <w:jc w:val="center"/>
              <w:rPr>
                <w:rFonts w:cs="宋体"/>
                <w:color w:val="auto"/>
                <w:szCs w:val="21"/>
                <w:highlight w:val="none"/>
              </w:rPr>
            </w:pPr>
          </w:p>
        </w:tc>
        <w:tc>
          <w:tcPr>
            <w:tcW w:w="373" w:type="pct"/>
            <w:vAlign w:val="center"/>
          </w:tcPr>
          <w:p w14:paraId="31536D89">
            <w:pPr>
              <w:keepNext/>
              <w:spacing w:line="360" w:lineRule="auto"/>
              <w:jc w:val="center"/>
              <w:rPr>
                <w:rFonts w:cs="宋体"/>
                <w:color w:val="auto"/>
                <w:szCs w:val="21"/>
                <w:highlight w:val="none"/>
              </w:rPr>
            </w:pPr>
          </w:p>
        </w:tc>
        <w:tc>
          <w:tcPr>
            <w:tcW w:w="1889" w:type="pct"/>
            <w:vAlign w:val="center"/>
          </w:tcPr>
          <w:p w14:paraId="35ECBAC3">
            <w:pPr>
              <w:keepNext/>
              <w:spacing w:line="360" w:lineRule="auto"/>
              <w:jc w:val="center"/>
              <w:rPr>
                <w:rFonts w:cs="宋体"/>
                <w:color w:val="auto"/>
                <w:szCs w:val="21"/>
                <w:highlight w:val="none"/>
              </w:rPr>
            </w:pPr>
          </w:p>
        </w:tc>
        <w:tc>
          <w:tcPr>
            <w:tcW w:w="739" w:type="pct"/>
            <w:vAlign w:val="center"/>
          </w:tcPr>
          <w:p w14:paraId="22B1257D">
            <w:pPr>
              <w:keepNext/>
              <w:spacing w:line="360" w:lineRule="auto"/>
              <w:jc w:val="center"/>
              <w:rPr>
                <w:rFonts w:cs="宋体"/>
                <w:color w:val="auto"/>
                <w:szCs w:val="21"/>
                <w:highlight w:val="none"/>
              </w:rPr>
            </w:pPr>
          </w:p>
        </w:tc>
      </w:tr>
      <w:tr w14:paraId="49683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2DA95C75">
            <w:pPr>
              <w:keepNext/>
              <w:spacing w:line="360" w:lineRule="auto"/>
              <w:jc w:val="center"/>
              <w:rPr>
                <w:rFonts w:cs="宋体"/>
                <w:color w:val="auto"/>
                <w:szCs w:val="21"/>
                <w:highlight w:val="none"/>
              </w:rPr>
            </w:pPr>
          </w:p>
        </w:tc>
        <w:tc>
          <w:tcPr>
            <w:tcW w:w="641" w:type="pct"/>
            <w:vAlign w:val="center"/>
          </w:tcPr>
          <w:p w14:paraId="3703C0DF">
            <w:pPr>
              <w:keepNext/>
              <w:spacing w:line="360" w:lineRule="auto"/>
              <w:jc w:val="center"/>
              <w:rPr>
                <w:rFonts w:cs="宋体"/>
                <w:color w:val="auto"/>
                <w:szCs w:val="21"/>
                <w:highlight w:val="none"/>
              </w:rPr>
            </w:pPr>
          </w:p>
        </w:tc>
        <w:tc>
          <w:tcPr>
            <w:tcW w:w="513" w:type="pct"/>
            <w:vAlign w:val="center"/>
          </w:tcPr>
          <w:p w14:paraId="2801A0E4">
            <w:pPr>
              <w:keepNext/>
              <w:spacing w:line="360" w:lineRule="auto"/>
              <w:jc w:val="center"/>
              <w:rPr>
                <w:rFonts w:cs="宋体"/>
                <w:color w:val="auto"/>
                <w:szCs w:val="21"/>
                <w:highlight w:val="none"/>
              </w:rPr>
            </w:pPr>
          </w:p>
        </w:tc>
        <w:tc>
          <w:tcPr>
            <w:tcW w:w="373" w:type="pct"/>
            <w:vAlign w:val="center"/>
          </w:tcPr>
          <w:p w14:paraId="5E8106BD">
            <w:pPr>
              <w:keepNext/>
              <w:spacing w:line="360" w:lineRule="auto"/>
              <w:jc w:val="center"/>
              <w:rPr>
                <w:rFonts w:cs="宋体"/>
                <w:color w:val="auto"/>
                <w:szCs w:val="21"/>
                <w:highlight w:val="none"/>
              </w:rPr>
            </w:pPr>
          </w:p>
        </w:tc>
        <w:tc>
          <w:tcPr>
            <w:tcW w:w="1889" w:type="pct"/>
            <w:vAlign w:val="center"/>
          </w:tcPr>
          <w:p w14:paraId="0B0E4AFE">
            <w:pPr>
              <w:keepNext/>
              <w:spacing w:line="360" w:lineRule="auto"/>
              <w:jc w:val="center"/>
              <w:rPr>
                <w:rFonts w:cs="宋体"/>
                <w:color w:val="auto"/>
                <w:szCs w:val="21"/>
                <w:highlight w:val="none"/>
              </w:rPr>
            </w:pPr>
          </w:p>
        </w:tc>
        <w:tc>
          <w:tcPr>
            <w:tcW w:w="739" w:type="pct"/>
            <w:vAlign w:val="center"/>
          </w:tcPr>
          <w:p w14:paraId="5FCE80B0">
            <w:pPr>
              <w:keepNext/>
              <w:spacing w:line="360" w:lineRule="auto"/>
              <w:jc w:val="center"/>
              <w:rPr>
                <w:rFonts w:cs="宋体"/>
                <w:color w:val="auto"/>
                <w:szCs w:val="21"/>
                <w:highlight w:val="none"/>
              </w:rPr>
            </w:pPr>
          </w:p>
        </w:tc>
      </w:tr>
      <w:tr w14:paraId="6659F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5F787451">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6AF3CE64">
            <w:pPr>
              <w:keepNext/>
              <w:spacing w:line="360" w:lineRule="auto"/>
              <w:jc w:val="center"/>
              <w:rPr>
                <w:rFonts w:cs="宋体"/>
                <w:color w:val="auto"/>
                <w:szCs w:val="21"/>
                <w:highlight w:val="none"/>
              </w:rPr>
            </w:pPr>
          </w:p>
        </w:tc>
      </w:tr>
      <w:tr w14:paraId="34B4F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FB1F66F">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4F328485">
            <w:pPr>
              <w:keepNext/>
              <w:spacing w:line="360" w:lineRule="auto"/>
              <w:jc w:val="center"/>
              <w:rPr>
                <w:rFonts w:cs="宋体"/>
                <w:color w:val="auto"/>
                <w:szCs w:val="21"/>
                <w:highlight w:val="none"/>
              </w:rPr>
            </w:pPr>
          </w:p>
        </w:tc>
        <w:tc>
          <w:tcPr>
            <w:tcW w:w="513" w:type="pct"/>
            <w:vAlign w:val="center"/>
          </w:tcPr>
          <w:p w14:paraId="731C474F">
            <w:pPr>
              <w:keepNext/>
              <w:spacing w:line="360" w:lineRule="auto"/>
              <w:jc w:val="center"/>
              <w:rPr>
                <w:rFonts w:cs="宋体"/>
                <w:color w:val="auto"/>
                <w:szCs w:val="21"/>
                <w:highlight w:val="none"/>
              </w:rPr>
            </w:pPr>
          </w:p>
        </w:tc>
        <w:tc>
          <w:tcPr>
            <w:tcW w:w="373" w:type="pct"/>
            <w:vAlign w:val="center"/>
          </w:tcPr>
          <w:p w14:paraId="38739130">
            <w:pPr>
              <w:keepNext/>
              <w:spacing w:line="360" w:lineRule="auto"/>
              <w:jc w:val="center"/>
              <w:rPr>
                <w:rFonts w:cs="宋体"/>
                <w:color w:val="auto"/>
                <w:szCs w:val="21"/>
                <w:highlight w:val="none"/>
              </w:rPr>
            </w:pPr>
          </w:p>
        </w:tc>
        <w:tc>
          <w:tcPr>
            <w:tcW w:w="1889" w:type="pct"/>
            <w:vAlign w:val="center"/>
          </w:tcPr>
          <w:p w14:paraId="55154B0A">
            <w:pPr>
              <w:keepNext/>
              <w:spacing w:line="360" w:lineRule="auto"/>
              <w:jc w:val="center"/>
              <w:rPr>
                <w:rFonts w:cs="宋体"/>
                <w:color w:val="auto"/>
                <w:szCs w:val="21"/>
                <w:highlight w:val="none"/>
              </w:rPr>
            </w:pPr>
          </w:p>
        </w:tc>
        <w:tc>
          <w:tcPr>
            <w:tcW w:w="739" w:type="pct"/>
            <w:vAlign w:val="center"/>
          </w:tcPr>
          <w:p w14:paraId="2E9B37F5">
            <w:pPr>
              <w:keepNext/>
              <w:spacing w:line="360" w:lineRule="auto"/>
              <w:jc w:val="center"/>
              <w:rPr>
                <w:rFonts w:cs="宋体"/>
                <w:color w:val="auto"/>
                <w:szCs w:val="21"/>
                <w:highlight w:val="none"/>
              </w:rPr>
            </w:pPr>
          </w:p>
        </w:tc>
      </w:tr>
      <w:tr w14:paraId="4F3FB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3246643">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44401445">
            <w:pPr>
              <w:keepNext/>
              <w:spacing w:line="360" w:lineRule="auto"/>
              <w:jc w:val="center"/>
              <w:rPr>
                <w:rFonts w:cs="宋体"/>
                <w:color w:val="auto"/>
                <w:szCs w:val="21"/>
                <w:highlight w:val="none"/>
              </w:rPr>
            </w:pPr>
          </w:p>
        </w:tc>
        <w:tc>
          <w:tcPr>
            <w:tcW w:w="513" w:type="pct"/>
            <w:vAlign w:val="center"/>
          </w:tcPr>
          <w:p w14:paraId="38631FDB">
            <w:pPr>
              <w:keepNext/>
              <w:spacing w:line="360" w:lineRule="auto"/>
              <w:jc w:val="center"/>
              <w:rPr>
                <w:rFonts w:cs="宋体"/>
                <w:color w:val="auto"/>
                <w:szCs w:val="21"/>
                <w:highlight w:val="none"/>
              </w:rPr>
            </w:pPr>
          </w:p>
        </w:tc>
        <w:tc>
          <w:tcPr>
            <w:tcW w:w="373" w:type="pct"/>
            <w:vAlign w:val="center"/>
          </w:tcPr>
          <w:p w14:paraId="2EFDBFBF">
            <w:pPr>
              <w:keepNext/>
              <w:spacing w:line="360" w:lineRule="auto"/>
              <w:jc w:val="center"/>
              <w:rPr>
                <w:rFonts w:cs="宋体"/>
                <w:color w:val="auto"/>
                <w:szCs w:val="21"/>
                <w:highlight w:val="none"/>
              </w:rPr>
            </w:pPr>
          </w:p>
        </w:tc>
        <w:tc>
          <w:tcPr>
            <w:tcW w:w="1889" w:type="pct"/>
            <w:vAlign w:val="center"/>
          </w:tcPr>
          <w:p w14:paraId="609BEFB2">
            <w:pPr>
              <w:keepNext/>
              <w:spacing w:line="360" w:lineRule="auto"/>
              <w:jc w:val="center"/>
              <w:rPr>
                <w:rFonts w:cs="宋体"/>
                <w:color w:val="auto"/>
                <w:szCs w:val="21"/>
                <w:highlight w:val="none"/>
              </w:rPr>
            </w:pPr>
          </w:p>
        </w:tc>
        <w:tc>
          <w:tcPr>
            <w:tcW w:w="739" w:type="pct"/>
            <w:vAlign w:val="center"/>
          </w:tcPr>
          <w:p w14:paraId="1D4CBAD7">
            <w:pPr>
              <w:keepNext/>
              <w:spacing w:line="360" w:lineRule="auto"/>
              <w:jc w:val="center"/>
              <w:rPr>
                <w:rFonts w:cs="宋体"/>
                <w:color w:val="auto"/>
                <w:szCs w:val="21"/>
                <w:highlight w:val="none"/>
              </w:rPr>
            </w:pPr>
          </w:p>
        </w:tc>
      </w:tr>
      <w:tr w14:paraId="65A55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55B9576">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59D9CE81">
            <w:pPr>
              <w:keepNext/>
              <w:spacing w:line="360" w:lineRule="auto"/>
              <w:jc w:val="center"/>
              <w:rPr>
                <w:rFonts w:cs="宋体"/>
                <w:color w:val="auto"/>
                <w:szCs w:val="21"/>
                <w:highlight w:val="none"/>
              </w:rPr>
            </w:pPr>
          </w:p>
        </w:tc>
        <w:tc>
          <w:tcPr>
            <w:tcW w:w="513" w:type="pct"/>
            <w:vAlign w:val="center"/>
          </w:tcPr>
          <w:p w14:paraId="2024D12E">
            <w:pPr>
              <w:keepNext/>
              <w:spacing w:line="360" w:lineRule="auto"/>
              <w:jc w:val="center"/>
              <w:rPr>
                <w:rFonts w:cs="宋体"/>
                <w:color w:val="auto"/>
                <w:szCs w:val="21"/>
                <w:highlight w:val="none"/>
              </w:rPr>
            </w:pPr>
          </w:p>
        </w:tc>
        <w:tc>
          <w:tcPr>
            <w:tcW w:w="373" w:type="pct"/>
            <w:vAlign w:val="center"/>
          </w:tcPr>
          <w:p w14:paraId="5E55A1AF">
            <w:pPr>
              <w:keepNext/>
              <w:spacing w:line="360" w:lineRule="auto"/>
              <w:jc w:val="center"/>
              <w:rPr>
                <w:rFonts w:cs="宋体"/>
                <w:color w:val="auto"/>
                <w:szCs w:val="21"/>
                <w:highlight w:val="none"/>
              </w:rPr>
            </w:pPr>
          </w:p>
        </w:tc>
        <w:tc>
          <w:tcPr>
            <w:tcW w:w="1889" w:type="pct"/>
            <w:vAlign w:val="center"/>
          </w:tcPr>
          <w:p w14:paraId="316083D3">
            <w:pPr>
              <w:keepNext/>
              <w:spacing w:line="360" w:lineRule="auto"/>
              <w:jc w:val="center"/>
              <w:rPr>
                <w:rFonts w:cs="宋体"/>
                <w:color w:val="auto"/>
                <w:szCs w:val="21"/>
                <w:highlight w:val="none"/>
              </w:rPr>
            </w:pPr>
          </w:p>
        </w:tc>
        <w:tc>
          <w:tcPr>
            <w:tcW w:w="739" w:type="pct"/>
            <w:vAlign w:val="center"/>
          </w:tcPr>
          <w:p w14:paraId="15101DC5">
            <w:pPr>
              <w:keepNext/>
              <w:spacing w:line="360" w:lineRule="auto"/>
              <w:jc w:val="center"/>
              <w:rPr>
                <w:rFonts w:cs="宋体"/>
                <w:color w:val="auto"/>
                <w:szCs w:val="21"/>
                <w:highlight w:val="none"/>
              </w:rPr>
            </w:pPr>
          </w:p>
        </w:tc>
      </w:tr>
      <w:tr w14:paraId="2EF8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214FE00">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41DC4E1D">
            <w:pPr>
              <w:keepNext/>
              <w:spacing w:line="360" w:lineRule="auto"/>
              <w:jc w:val="center"/>
              <w:rPr>
                <w:rFonts w:cs="宋体"/>
                <w:color w:val="auto"/>
                <w:szCs w:val="21"/>
                <w:highlight w:val="none"/>
              </w:rPr>
            </w:pPr>
          </w:p>
        </w:tc>
        <w:tc>
          <w:tcPr>
            <w:tcW w:w="513" w:type="pct"/>
            <w:vAlign w:val="center"/>
          </w:tcPr>
          <w:p w14:paraId="1275983A">
            <w:pPr>
              <w:keepNext/>
              <w:spacing w:line="360" w:lineRule="auto"/>
              <w:jc w:val="center"/>
              <w:rPr>
                <w:rFonts w:cs="宋体"/>
                <w:color w:val="auto"/>
                <w:szCs w:val="21"/>
                <w:highlight w:val="none"/>
              </w:rPr>
            </w:pPr>
          </w:p>
        </w:tc>
        <w:tc>
          <w:tcPr>
            <w:tcW w:w="373" w:type="pct"/>
            <w:vAlign w:val="center"/>
          </w:tcPr>
          <w:p w14:paraId="3456FEBC">
            <w:pPr>
              <w:keepNext/>
              <w:spacing w:line="360" w:lineRule="auto"/>
              <w:jc w:val="center"/>
              <w:rPr>
                <w:rFonts w:cs="宋体"/>
                <w:color w:val="auto"/>
                <w:szCs w:val="21"/>
                <w:highlight w:val="none"/>
              </w:rPr>
            </w:pPr>
          </w:p>
        </w:tc>
        <w:tc>
          <w:tcPr>
            <w:tcW w:w="1889" w:type="pct"/>
            <w:vAlign w:val="center"/>
          </w:tcPr>
          <w:p w14:paraId="0E0236B2">
            <w:pPr>
              <w:keepNext/>
              <w:spacing w:line="360" w:lineRule="auto"/>
              <w:jc w:val="center"/>
              <w:rPr>
                <w:rFonts w:cs="宋体"/>
                <w:color w:val="auto"/>
                <w:szCs w:val="21"/>
                <w:highlight w:val="none"/>
              </w:rPr>
            </w:pPr>
          </w:p>
        </w:tc>
        <w:tc>
          <w:tcPr>
            <w:tcW w:w="739" w:type="pct"/>
            <w:vAlign w:val="center"/>
          </w:tcPr>
          <w:p w14:paraId="5A5BD009">
            <w:pPr>
              <w:keepNext/>
              <w:spacing w:line="360" w:lineRule="auto"/>
              <w:jc w:val="center"/>
              <w:rPr>
                <w:rFonts w:cs="宋体"/>
                <w:color w:val="auto"/>
                <w:szCs w:val="21"/>
                <w:highlight w:val="none"/>
              </w:rPr>
            </w:pPr>
          </w:p>
        </w:tc>
      </w:tr>
      <w:tr w14:paraId="3643B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7E193B1">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74988033">
            <w:pPr>
              <w:keepNext/>
              <w:spacing w:line="360" w:lineRule="auto"/>
              <w:jc w:val="center"/>
              <w:rPr>
                <w:rFonts w:cs="宋体"/>
                <w:color w:val="auto"/>
                <w:szCs w:val="21"/>
                <w:highlight w:val="none"/>
              </w:rPr>
            </w:pPr>
          </w:p>
        </w:tc>
        <w:tc>
          <w:tcPr>
            <w:tcW w:w="513" w:type="pct"/>
            <w:vAlign w:val="center"/>
          </w:tcPr>
          <w:p w14:paraId="49A94CD4">
            <w:pPr>
              <w:keepNext/>
              <w:spacing w:line="360" w:lineRule="auto"/>
              <w:jc w:val="center"/>
              <w:rPr>
                <w:rFonts w:cs="宋体"/>
                <w:color w:val="auto"/>
                <w:szCs w:val="21"/>
                <w:highlight w:val="none"/>
              </w:rPr>
            </w:pPr>
          </w:p>
        </w:tc>
        <w:tc>
          <w:tcPr>
            <w:tcW w:w="373" w:type="pct"/>
            <w:vAlign w:val="center"/>
          </w:tcPr>
          <w:p w14:paraId="3DE6C624">
            <w:pPr>
              <w:keepNext/>
              <w:spacing w:line="360" w:lineRule="auto"/>
              <w:jc w:val="center"/>
              <w:rPr>
                <w:rFonts w:cs="宋体"/>
                <w:color w:val="auto"/>
                <w:szCs w:val="21"/>
                <w:highlight w:val="none"/>
              </w:rPr>
            </w:pPr>
          </w:p>
        </w:tc>
        <w:tc>
          <w:tcPr>
            <w:tcW w:w="1889" w:type="pct"/>
            <w:vAlign w:val="center"/>
          </w:tcPr>
          <w:p w14:paraId="39607259">
            <w:pPr>
              <w:keepNext/>
              <w:spacing w:line="360" w:lineRule="auto"/>
              <w:jc w:val="center"/>
              <w:rPr>
                <w:rFonts w:cs="宋体"/>
                <w:color w:val="auto"/>
                <w:szCs w:val="21"/>
                <w:highlight w:val="none"/>
              </w:rPr>
            </w:pPr>
          </w:p>
        </w:tc>
        <w:tc>
          <w:tcPr>
            <w:tcW w:w="739" w:type="pct"/>
            <w:vAlign w:val="center"/>
          </w:tcPr>
          <w:p w14:paraId="34944FBF">
            <w:pPr>
              <w:keepNext/>
              <w:spacing w:line="360" w:lineRule="auto"/>
              <w:jc w:val="center"/>
              <w:rPr>
                <w:rFonts w:cs="宋体"/>
                <w:color w:val="auto"/>
                <w:szCs w:val="21"/>
                <w:highlight w:val="none"/>
              </w:rPr>
            </w:pPr>
          </w:p>
        </w:tc>
      </w:tr>
      <w:tr w14:paraId="5ABF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57226AD">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183B5CFB">
            <w:pPr>
              <w:keepNext/>
              <w:spacing w:line="360" w:lineRule="auto"/>
              <w:jc w:val="center"/>
              <w:rPr>
                <w:rFonts w:cs="宋体"/>
                <w:color w:val="auto"/>
                <w:szCs w:val="21"/>
                <w:highlight w:val="none"/>
              </w:rPr>
            </w:pPr>
          </w:p>
        </w:tc>
        <w:tc>
          <w:tcPr>
            <w:tcW w:w="513" w:type="pct"/>
            <w:vAlign w:val="center"/>
          </w:tcPr>
          <w:p w14:paraId="330B4C07">
            <w:pPr>
              <w:keepNext/>
              <w:spacing w:line="360" w:lineRule="auto"/>
              <w:jc w:val="center"/>
              <w:rPr>
                <w:rFonts w:cs="宋体"/>
                <w:color w:val="auto"/>
                <w:szCs w:val="21"/>
                <w:highlight w:val="none"/>
              </w:rPr>
            </w:pPr>
          </w:p>
        </w:tc>
        <w:tc>
          <w:tcPr>
            <w:tcW w:w="373" w:type="pct"/>
            <w:vAlign w:val="center"/>
          </w:tcPr>
          <w:p w14:paraId="7D35A5AA">
            <w:pPr>
              <w:keepNext/>
              <w:spacing w:line="360" w:lineRule="auto"/>
              <w:jc w:val="center"/>
              <w:rPr>
                <w:rFonts w:cs="宋体"/>
                <w:color w:val="auto"/>
                <w:szCs w:val="21"/>
                <w:highlight w:val="none"/>
              </w:rPr>
            </w:pPr>
          </w:p>
        </w:tc>
        <w:tc>
          <w:tcPr>
            <w:tcW w:w="1889" w:type="pct"/>
            <w:vAlign w:val="center"/>
          </w:tcPr>
          <w:p w14:paraId="3DFD2F6B">
            <w:pPr>
              <w:keepNext/>
              <w:spacing w:line="360" w:lineRule="auto"/>
              <w:jc w:val="center"/>
              <w:rPr>
                <w:rFonts w:cs="宋体"/>
                <w:color w:val="auto"/>
                <w:szCs w:val="21"/>
                <w:highlight w:val="none"/>
              </w:rPr>
            </w:pPr>
          </w:p>
        </w:tc>
        <w:tc>
          <w:tcPr>
            <w:tcW w:w="739" w:type="pct"/>
            <w:vAlign w:val="center"/>
          </w:tcPr>
          <w:p w14:paraId="3100F6D2">
            <w:pPr>
              <w:keepNext/>
              <w:spacing w:line="360" w:lineRule="auto"/>
              <w:jc w:val="center"/>
              <w:rPr>
                <w:rFonts w:cs="宋体"/>
                <w:color w:val="auto"/>
                <w:szCs w:val="21"/>
                <w:highlight w:val="none"/>
              </w:rPr>
            </w:pPr>
          </w:p>
        </w:tc>
      </w:tr>
      <w:tr w14:paraId="4916A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852CB3C">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0D127A58">
            <w:pPr>
              <w:keepNext/>
              <w:spacing w:line="360" w:lineRule="auto"/>
              <w:jc w:val="center"/>
              <w:rPr>
                <w:rFonts w:cs="宋体"/>
                <w:color w:val="auto"/>
                <w:szCs w:val="21"/>
                <w:highlight w:val="none"/>
              </w:rPr>
            </w:pPr>
          </w:p>
        </w:tc>
        <w:tc>
          <w:tcPr>
            <w:tcW w:w="513" w:type="pct"/>
            <w:vAlign w:val="center"/>
          </w:tcPr>
          <w:p w14:paraId="7B6D62D5">
            <w:pPr>
              <w:keepNext/>
              <w:spacing w:line="360" w:lineRule="auto"/>
              <w:jc w:val="center"/>
              <w:rPr>
                <w:rFonts w:cs="宋体"/>
                <w:color w:val="auto"/>
                <w:szCs w:val="21"/>
                <w:highlight w:val="none"/>
              </w:rPr>
            </w:pPr>
          </w:p>
        </w:tc>
        <w:tc>
          <w:tcPr>
            <w:tcW w:w="373" w:type="pct"/>
            <w:vAlign w:val="center"/>
          </w:tcPr>
          <w:p w14:paraId="03CFEAFF">
            <w:pPr>
              <w:keepNext/>
              <w:spacing w:line="360" w:lineRule="auto"/>
              <w:jc w:val="center"/>
              <w:rPr>
                <w:rFonts w:cs="宋体"/>
                <w:color w:val="auto"/>
                <w:szCs w:val="21"/>
                <w:highlight w:val="none"/>
              </w:rPr>
            </w:pPr>
          </w:p>
        </w:tc>
        <w:tc>
          <w:tcPr>
            <w:tcW w:w="1889" w:type="pct"/>
            <w:vAlign w:val="center"/>
          </w:tcPr>
          <w:p w14:paraId="581DC5EF">
            <w:pPr>
              <w:keepNext/>
              <w:spacing w:line="360" w:lineRule="auto"/>
              <w:jc w:val="center"/>
              <w:rPr>
                <w:rFonts w:cs="宋体"/>
                <w:color w:val="auto"/>
                <w:szCs w:val="21"/>
                <w:highlight w:val="none"/>
              </w:rPr>
            </w:pPr>
          </w:p>
        </w:tc>
        <w:tc>
          <w:tcPr>
            <w:tcW w:w="739" w:type="pct"/>
            <w:vAlign w:val="center"/>
          </w:tcPr>
          <w:p w14:paraId="085F7C8C">
            <w:pPr>
              <w:keepNext/>
              <w:spacing w:line="360" w:lineRule="auto"/>
              <w:jc w:val="center"/>
              <w:rPr>
                <w:rFonts w:cs="宋体"/>
                <w:color w:val="auto"/>
                <w:szCs w:val="21"/>
                <w:highlight w:val="none"/>
              </w:rPr>
            </w:pPr>
          </w:p>
        </w:tc>
      </w:tr>
      <w:tr w14:paraId="34634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43631E6">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02D6E9F">
            <w:pPr>
              <w:keepNext/>
              <w:spacing w:line="360" w:lineRule="auto"/>
              <w:jc w:val="center"/>
              <w:rPr>
                <w:rFonts w:cs="宋体"/>
                <w:color w:val="auto"/>
                <w:szCs w:val="21"/>
                <w:highlight w:val="none"/>
              </w:rPr>
            </w:pPr>
          </w:p>
        </w:tc>
        <w:tc>
          <w:tcPr>
            <w:tcW w:w="513" w:type="pct"/>
            <w:vAlign w:val="center"/>
          </w:tcPr>
          <w:p w14:paraId="45FE1674">
            <w:pPr>
              <w:keepNext/>
              <w:spacing w:line="360" w:lineRule="auto"/>
              <w:jc w:val="center"/>
              <w:rPr>
                <w:rFonts w:cs="宋体"/>
                <w:color w:val="auto"/>
                <w:szCs w:val="21"/>
                <w:highlight w:val="none"/>
              </w:rPr>
            </w:pPr>
          </w:p>
        </w:tc>
        <w:tc>
          <w:tcPr>
            <w:tcW w:w="373" w:type="pct"/>
            <w:vAlign w:val="center"/>
          </w:tcPr>
          <w:p w14:paraId="251E5E0E">
            <w:pPr>
              <w:keepNext/>
              <w:spacing w:line="360" w:lineRule="auto"/>
              <w:jc w:val="center"/>
              <w:rPr>
                <w:rFonts w:cs="宋体"/>
                <w:color w:val="auto"/>
                <w:szCs w:val="21"/>
                <w:highlight w:val="none"/>
              </w:rPr>
            </w:pPr>
          </w:p>
        </w:tc>
        <w:tc>
          <w:tcPr>
            <w:tcW w:w="1889" w:type="pct"/>
            <w:vAlign w:val="center"/>
          </w:tcPr>
          <w:p w14:paraId="35AFD87B">
            <w:pPr>
              <w:keepNext/>
              <w:spacing w:line="360" w:lineRule="auto"/>
              <w:jc w:val="center"/>
              <w:rPr>
                <w:rFonts w:cs="宋体"/>
                <w:color w:val="auto"/>
                <w:szCs w:val="21"/>
                <w:highlight w:val="none"/>
              </w:rPr>
            </w:pPr>
          </w:p>
        </w:tc>
        <w:tc>
          <w:tcPr>
            <w:tcW w:w="739" w:type="pct"/>
            <w:vAlign w:val="center"/>
          </w:tcPr>
          <w:p w14:paraId="458B64F5">
            <w:pPr>
              <w:keepNext/>
              <w:spacing w:line="360" w:lineRule="auto"/>
              <w:jc w:val="center"/>
              <w:rPr>
                <w:rFonts w:cs="宋体"/>
                <w:color w:val="auto"/>
                <w:szCs w:val="21"/>
                <w:highlight w:val="none"/>
              </w:rPr>
            </w:pPr>
          </w:p>
        </w:tc>
      </w:tr>
      <w:tr w14:paraId="33F53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31EFD1E">
            <w:pPr>
              <w:keepNext/>
              <w:spacing w:line="360" w:lineRule="auto"/>
              <w:jc w:val="center"/>
              <w:rPr>
                <w:rFonts w:cs="宋体"/>
                <w:color w:val="auto"/>
                <w:szCs w:val="21"/>
                <w:highlight w:val="none"/>
              </w:rPr>
            </w:pPr>
          </w:p>
        </w:tc>
        <w:tc>
          <w:tcPr>
            <w:tcW w:w="641" w:type="pct"/>
            <w:tcBorders>
              <w:bottom w:val="nil"/>
            </w:tcBorders>
            <w:vAlign w:val="center"/>
          </w:tcPr>
          <w:p w14:paraId="5E0EEA30">
            <w:pPr>
              <w:keepNext/>
              <w:spacing w:line="360" w:lineRule="auto"/>
              <w:jc w:val="center"/>
              <w:rPr>
                <w:rFonts w:cs="宋体"/>
                <w:color w:val="auto"/>
                <w:szCs w:val="21"/>
                <w:highlight w:val="none"/>
              </w:rPr>
            </w:pPr>
          </w:p>
        </w:tc>
        <w:tc>
          <w:tcPr>
            <w:tcW w:w="513" w:type="pct"/>
            <w:tcBorders>
              <w:bottom w:val="nil"/>
            </w:tcBorders>
            <w:vAlign w:val="center"/>
          </w:tcPr>
          <w:p w14:paraId="662E68E1">
            <w:pPr>
              <w:keepNext/>
              <w:spacing w:line="360" w:lineRule="auto"/>
              <w:jc w:val="center"/>
              <w:rPr>
                <w:rFonts w:cs="宋体"/>
                <w:color w:val="auto"/>
                <w:szCs w:val="21"/>
                <w:highlight w:val="none"/>
              </w:rPr>
            </w:pPr>
          </w:p>
        </w:tc>
        <w:tc>
          <w:tcPr>
            <w:tcW w:w="373" w:type="pct"/>
            <w:tcBorders>
              <w:bottom w:val="nil"/>
            </w:tcBorders>
            <w:vAlign w:val="center"/>
          </w:tcPr>
          <w:p w14:paraId="42762C53">
            <w:pPr>
              <w:keepNext/>
              <w:spacing w:line="360" w:lineRule="auto"/>
              <w:jc w:val="center"/>
              <w:rPr>
                <w:rFonts w:cs="宋体"/>
                <w:color w:val="auto"/>
                <w:szCs w:val="21"/>
                <w:highlight w:val="none"/>
              </w:rPr>
            </w:pPr>
          </w:p>
        </w:tc>
        <w:tc>
          <w:tcPr>
            <w:tcW w:w="1889" w:type="pct"/>
            <w:tcBorders>
              <w:bottom w:val="nil"/>
            </w:tcBorders>
            <w:vAlign w:val="center"/>
          </w:tcPr>
          <w:p w14:paraId="08947B53">
            <w:pPr>
              <w:keepNext/>
              <w:spacing w:line="360" w:lineRule="auto"/>
              <w:jc w:val="center"/>
              <w:rPr>
                <w:rFonts w:cs="宋体"/>
                <w:color w:val="auto"/>
                <w:szCs w:val="21"/>
                <w:highlight w:val="none"/>
              </w:rPr>
            </w:pPr>
          </w:p>
        </w:tc>
        <w:tc>
          <w:tcPr>
            <w:tcW w:w="739" w:type="pct"/>
            <w:tcBorders>
              <w:bottom w:val="nil"/>
            </w:tcBorders>
            <w:vAlign w:val="center"/>
          </w:tcPr>
          <w:p w14:paraId="69E7A108">
            <w:pPr>
              <w:keepNext/>
              <w:spacing w:line="360" w:lineRule="auto"/>
              <w:jc w:val="center"/>
              <w:rPr>
                <w:rFonts w:cs="宋体"/>
                <w:color w:val="auto"/>
                <w:szCs w:val="21"/>
                <w:highlight w:val="none"/>
              </w:rPr>
            </w:pPr>
          </w:p>
        </w:tc>
      </w:tr>
      <w:tr w14:paraId="1040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64C0161">
            <w:pPr>
              <w:keepNext/>
              <w:spacing w:line="360" w:lineRule="auto"/>
              <w:jc w:val="center"/>
              <w:rPr>
                <w:rFonts w:cs="宋体"/>
                <w:color w:val="auto"/>
                <w:szCs w:val="21"/>
                <w:highlight w:val="none"/>
              </w:rPr>
            </w:pPr>
          </w:p>
        </w:tc>
        <w:tc>
          <w:tcPr>
            <w:tcW w:w="641" w:type="pct"/>
            <w:vAlign w:val="center"/>
          </w:tcPr>
          <w:p w14:paraId="31515A8D">
            <w:pPr>
              <w:keepNext/>
              <w:spacing w:line="360" w:lineRule="auto"/>
              <w:jc w:val="center"/>
              <w:rPr>
                <w:rFonts w:cs="宋体"/>
                <w:color w:val="auto"/>
                <w:szCs w:val="21"/>
                <w:highlight w:val="none"/>
              </w:rPr>
            </w:pPr>
          </w:p>
        </w:tc>
        <w:tc>
          <w:tcPr>
            <w:tcW w:w="513" w:type="pct"/>
            <w:vAlign w:val="center"/>
          </w:tcPr>
          <w:p w14:paraId="3046A645">
            <w:pPr>
              <w:keepNext/>
              <w:spacing w:line="360" w:lineRule="auto"/>
              <w:jc w:val="center"/>
              <w:rPr>
                <w:rFonts w:cs="宋体"/>
                <w:color w:val="auto"/>
                <w:szCs w:val="21"/>
                <w:highlight w:val="none"/>
              </w:rPr>
            </w:pPr>
          </w:p>
        </w:tc>
        <w:tc>
          <w:tcPr>
            <w:tcW w:w="373" w:type="pct"/>
            <w:vAlign w:val="center"/>
          </w:tcPr>
          <w:p w14:paraId="741725B2">
            <w:pPr>
              <w:keepNext/>
              <w:spacing w:line="360" w:lineRule="auto"/>
              <w:jc w:val="center"/>
              <w:rPr>
                <w:rFonts w:cs="宋体"/>
                <w:color w:val="auto"/>
                <w:szCs w:val="21"/>
                <w:highlight w:val="none"/>
              </w:rPr>
            </w:pPr>
          </w:p>
        </w:tc>
        <w:tc>
          <w:tcPr>
            <w:tcW w:w="1889" w:type="pct"/>
            <w:vAlign w:val="center"/>
          </w:tcPr>
          <w:p w14:paraId="578CD5E7">
            <w:pPr>
              <w:keepNext/>
              <w:spacing w:line="360" w:lineRule="auto"/>
              <w:jc w:val="center"/>
              <w:rPr>
                <w:rFonts w:cs="宋体"/>
                <w:color w:val="auto"/>
                <w:szCs w:val="21"/>
                <w:highlight w:val="none"/>
              </w:rPr>
            </w:pPr>
          </w:p>
        </w:tc>
        <w:tc>
          <w:tcPr>
            <w:tcW w:w="739" w:type="pct"/>
            <w:vAlign w:val="center"/>
          </w:tcPr>
          <w:p w14:paraId="0B6383E8">
            <w:pPr>
              <w:keepNext/>
              <w:spacing w:line="360" w:lineRule="auto"/>
              <w:jc w:val="center"/>
              <w:rPr>
                <w:rFonts w:cs="宋体"/>
                <w:color w:val="auto"/>
                <w:szCs w:val="21"/>
                <w:highlight w:val="none"/>
              </w:rPr>
            </w:pPr>
          </w:p>
        </w:tc>
      </w:tr>
      <w:tr w14:paraId="0B211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BB38795">
            <w:pPr>
              <w:keepNext/>
              <w:spacing w:line="360" w:lineRule="auto"/>
              <w:jc w:val="center"/>
              <w:rPr>
                <w:rFonts w:cs="宋体"/>
                <w:color w:val="auto"/>
                <w:szCs w:val="21"/>
                <w:highlight w:val="none"/>
              </w:rPr>
            </w:pPr>
          </w:p>
        </w:tc>
        <w:tc>
          <w:tcPr>
            <w:tcW w:w="641" w:type="pct"/>
            <w:vAlign w:val="center"/>
          </w:tcPr>
          <w:p w14:paraId="598DF039">
            <w:pPr>
              <w:keepNext/>
              <w:spacing w:line="360" w:lineRule="auto"/>
              <w:jc w:val="center"/>
              <w:rPr>
                <w:rFonts w:cs="宋体"/>
                <w:color w:val="auto"/>
                <w:szCs w:val="21"/>
                <w:highlight w:val="none"/>
              </w:rPr>
            </w:pPr>
          </w:p>
        </w:tc>
        <w:tc>
          <w:tcPr>
            <w:tcW w:w="513" w:type="pct"/>
            <w:vAlign w:val="center"/>
          </w:tcPr>
          <w:p w14:paraId="0ECAA262">
            <w:pPr>
              <w:keepNext/>
              <w:spacing w:line="360" w:lineRule="auto"/>
              <w:jc w:val="center"/>
              <w:rPr>
                <w:rFonts w:cs="宋体"/>
                <w:color w:val="auto"/>
                <w:szCs w:val="21"/>
                <w:highlight w:val="none"/>
              </w:rPr>
            </w:pPr>
          </w:p>
        </w:tc>
        <w:tc>
          <w:tcPr>
            <w:tcW w:w="373" w:type="pct"/>
            <w:vAlign w:val="center"/>
          </w:tcPr>
          <w:p w14:paraId="200D1998">
            <w:pPr>
              <w:keepNext/>
              <w:spacing w:line="360" w:lineRule="auto"/>
              <w:jc w:val="center"/>
              <w:rPr>
                <w:rFonts w:cs="宋体"/>
                <w:color w:val="auto"/>
                <w:szCs w:val="21"/>
                <w:highlight w:val="none"/>
              </w:rPr>
            </w:pPr>
          </w:p>
        </w:tc>
        <w:tc>
          <w:tcPr>
            <w:tcW w:w="1889" w:type="pct"/>
            <w:vAlign w:val="center"/>
          </w:tcPr>
          <w:p w14:paraId="490AC313">
            <w:pPr>
              <w:keepNext/>
              <w:spacing w:line="360" w:lineRule="auto"/>
              <w:jc w:val="center"/>
              <w:rPr>
                <w:rFonts w:cs="宋体"/>
                <w:color w:val="auto"/>
                <w:szCs w:val="21"/>
                <w:highlight w:val="none"/>
              </w:rPr>
            </w:pPr>
          </w:p>
        </w:tc>
        <w:tc>
          <w:tcPr>
            <w:tcW w:w="739" w:type="pct"/>
            <w:vAlign w:val="center"/>
          </w:tcPr>
          <w:p w14:paraId="533ED897">
            <w:pPr>
              <w:keepNext/>
              <w:spacing w:line="360" w:lineRule="auto"/>
              <w:jc w:val="center"/>
              <w:rPr>
                <w:rFonts w:cs="宋体"/>
                <w:color w:val="auto"/>
                <w:szCs w:val="21"/>
                <w:highlight w:val="none"/>
              </w:rPr>
            </w:pPr>
          </w:p>
        </w:tc>
      </w:tr>
      <w:tr w14:paraId="7711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D25024E">
            <w:pPr>
              <w:keepNext/>
              <w:spacing w:line="360" w:lineRule="auto"/>
              <w:jc w:val="center"/>
              <w:rPr>
                <w:rFonts w:cs="宋体"/>
                <w:color w:val="auto"/>
                <w:szCs w:val="21"/>
                <w:highlight w:val="none"/>
              </w:rPr>
            </w:pPr>
          </w:p>
        </w:tc>
        <w:tc>
          <w:tcPr>
            <w:tcW w:w="641" w:type="pct"/>
            <w:vAlign w:val="center"/>
          </w:tcPr>
          <w:p w14:paraId="7049610C">
            <w:pPr>
              <w:keepNext/>
              <w:spacing w:line="360" w:lineRule="auto"/>
              <w:jc w:val="center"/>
              <w:rPr>
                <w:rFonts w:cs="宋体"/>
                <w:color w:val="auto"/>
                <w:szCs w:val="21"/>
                <w:highlight w:val="none"/>
              </w:rPr>
            </w:pPr>
          </w:p>
        </w:tc>
        <w:tc>
          <w:tcPr>
            <w:tcW w:w="513" w:type="pct"/>
            <w:vAlign w:val="center"/>
          </w:tcPr>
          <w:p w14:paraId="679D8971">
            <w:pPr>
              <w:keepNext/>
              <w:spacing w:line="360" w:lineRule="auto"/>
              <w:jc w:val="center"/>
              <w:rPr>
                <w:rFonts w:cs="宋体"/>
                <w:color w:val="auto"/>
                <w:szCs w:val="21"/>
                <w:highlight w:val="none"/>
              </w:rPr>
            </w:pPr>
          </w:p>
        </w:tc>
        <w:tc>
          <w:tcPr>
            <w:tcW w:w="373" w:type="pct"/>
            <w:vAlign w:val="center"/>
          </w:tcPr>
          <w:p w14:paraId="0582EE5E">
            <w:pPr>
              <w:keepNext/>
              <w:spacing w:line="360" w:lineRule="auto"/>
              <w:jc w:val="center"/>
              <w:rPr>
                <w:rFonts w:cs="宋体"/>
                <w:color w:val="auto"/>
                <w:szCs w:val="21"/>
                <w:highlight w:val="none"/>
              </w:rPr>
            </w:pPr>
          </w:p>
        </w:tc>
        <w:tc>
          <w:tcPr>
            <w:tcW w:w="1889" w:type="pct"/>
            <w:vAlign w:val="center"/>
          </w:tcPr>
          <w:p w14:paraId="40F4E839">
            <w:pPr>
              <w:keepNext/>
              <w:spacing w:line="360" w:lineRule="auto"/>
              <w:jc w:val="center"/>
              <w:rPr>
                <w:rFonts w:cs="宋体"/>
                <w:color w:val="auto"/>
                <w:szCs w:val="21"/>
                <w:highlight w:val="none"/>
              </w:rPr>
            </w:pPr>
          </w:p>
        </w:tc>
        <w:tc>
          <w:tcPr>
            <w:tcW w:w="739" w:type="pct"/>
            <w:vAlign w:val="center"/>
          </w:tcPr>
          <w:p w14:paraId="5B36EEA5">
            <w:pPr>
              <w:keepNext/>
              <w:spacing w:line="360" w:lineRule="auto"/>
              <w:jc w:val="center"/>
              <w:rPr>
                <w:rFonts w:cs="宋体"/>
                <w:color w:val="auto"/>
                <w:szCs w:val="21"/>
                <w:highlight w:val="none"/>
              </w:rPr>
            </w:pPr>
          </w:p>
        </w:tc>
      </w:tr>
      <w:tr w14:paraId="2C32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6D188CFD">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74E41795">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5BB9F4C8">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21F86BCF">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6AD0AA6F">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36657CC9">
            <w:pPr>
              <w:keepNext/>
              <w:spacing w:line="360" w:lineRule="auto"/>
              <w:jc w:val="center"/>
              <w:rPr>
                <w:rFonts w:cs="宋体"/>
                <w:color w:val="auto"/>
                <w:szCs w:val="21"/>
                <w:highlight w:val="none"/>
              </w:rPr>
            </w:pPr>
          </w:p>
        </w:tc>
      </w:tr>
    </w:tbl>
    <w:p w14:paraId="3373EC61">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20" w:name="_Toc128950243"/>
      <w:r>
        <w:rPr>
          <w:rFonts w:hint="eastAsia" w:ascii="Times New Roman" w:eastAsia="黑体"/>
          <w:color w:val="auto"/>
          <w:szCs w:val="24"/>
          <w:highlight w:val="none"/>
        </w:rPr>
        <w:t>附</w:t>
      </w:r>
      <w:bookmarkStart w:id="621" w:name="_Toc296347230"/>
      <w:bookmarkStart w:id="622" w:name="_Toc296891271"/>
      <w:bookmarkStart w:id="623" w:name="_Toc296944570"/>
      <w:bookmarkStart w:id="624" w:name="_Toc296891059"/>
      <w:bookmarkStart w:id="625" w:name="_Toc296503231"/>
      <w:bookmarkStart w:id="626" w:name="_Toc296346732"/>
      <w:r>
        <w:rPr>
          <w:rFonts w:hint="eastAsia" w:ascii="Times New Roman" w:eastAsia="黑体"/>
          <w:color w:val="auto"/>
          <w:szCs w:val="24"/>
          <w:highlight w:val="none"/>
        </w:rPr>
        <w:t>件</w:t>
      </w:r>
      <w:r>
        <w:rPr>
          <w:rFonts w:ascii="Times New Roman" w:eastAsia="黑体"/>
          <w:color w:val="auto"/>
          <w:szCs w:val="24"/>
          <w:highlight w:val="none"/>
        </w:rPr>
        <w:t>8</w:t>
      </w:r>
      <w:r>
        <w:rPr>
          <w:rFonts w:hint="eastAsia" w:ascii="Times New Roman" w:eastAsia="黑体"/>
          <w:color w:val="auto"/>
          <w:szCs w:val="24"/>
          <w:highlight w:val="none"/>
        </w:rPr>
        <w:t>：廉政协议</w:t>
      </w:r>
      <w:bookmarkEnd w:id="620"/>
    </w:p>
    <w:bookmarkEnd w:id="621"/>
    <w:bookmarkEnd w:id="622"/>
    <w:bookmarkEnd w:id="623"/>
    <w:bookmarkEnd w:id="624"/>
    <w:bookmarkEnd w:id="625"/>
    <w:bookmarkEnd w:id="626"/>
    <w:p w14:paraId="14F1F0BC">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1366FF8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lang w:val="en-US" w:eastAsia="zh-CN"/>
        </w:rPr>
        <w:t>滁州市明湖建设管理服务中心</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1B3C436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5EB2F4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12EC1E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lang w:val="en-US" w:eastAsia="zh-CN"/>
        </w:rPr>
        <w:t>明湖公园园路应急工程</w:t>
      </w:r>
      <w:r>
        <w:rPr>
          <w:rFonts w:hint="eastAsia" w:cs="宋体"/>
          <w:color w:val="auto"/>
          <w:sz w:val="21"/>
          <w:szCs w:val="21"/>
          <w:highlight w:val="none"/>
        </w:rPr>
        <w:t>的合同要求，自觉履行合同约定的相关义务。</w:t>
      </w:r>
    </w:p>
    <w:p w14:paraId="523E626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D2839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520CB4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6A14BC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36664E19">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03D672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F168DA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7723B74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444176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69C7F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664CB4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07F0884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41736B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1C507E48">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4432638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3A7BC5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53D6E17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6AA6795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340E87A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054E29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09764B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1EA848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53FA988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B364D8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B0EF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1816C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52E7B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6E8BAC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6A61CE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4C7ECF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549DF3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33BB319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5EC537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DBE18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6272B3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4729E6F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4E4F957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0D3D5B3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62C7422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3B80AF7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6005C95">
      <w:pPr>
        <w:widowControl/>
        <w:spacing w:line="360" w:lineRule="auto"/>
        <w:ind w:firstLine="420" w:firstLineChars="200"/>
        <w:jc w:val="left"/>
        <w:rPr>
          <w:rFonts w:cs="宋体"/>
          <w:color w:val="auto"/>
          <w:sz w:val="21"/>
          <w:szCs w:val="21"/>
          <w:highlight w:val="none"/>
        </w:rPr>
      </w:pPr>
    </w:p>
    <w:p w14:paraId="64615C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5224F1B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7A10C84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A51FF2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744279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52A3CB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44FA8F94">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27" w:name="_Toc128950244"/>
      <w:r>
        <w:rPr>
          <w:rFonts w:hint="eastAsia" w:ascii="Times New Roman" w:eastAsia="黑体"/>
          <w:color w:val="auto"/>
          <w:szCs w:val="24"/>
          <w:highlight w:val="none"/>
        </w:rPr>
        <w:t>附件9：履约保证金</w:t>
      </w:r>
      <w:bookmarkEnd w:id="627"/>
    </w:p>
    <w:p w14:paraId="2F363983">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5A0F420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69CBCCA">
      <w:pPr>
        <w:spacing w:line="360" w:lineRule="auto"/>
        <w:rPr>
          <w:rFonts w:ascii="Times New Roman"/>
          <w:color w:val="auto"/>
          <w:szCs w:val="21"/>
          <w:highlight w:val="none"/>
        </w:rPr>
      </w:pPr>
    </w:p>
    <w:p w14:paraId="4748E68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45CAAD56">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23B011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68B761A0">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58B985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7F276B4C">
      <w:pPr>
        <w:spacing w:line="360" w:lineRule="auto"/>
        <w:ind w:firstLine="480"/>
        <w:rPr>
          <w:rFonts w:cs="宋体"/>
          <w:color w:val="auto"/>
          <w:sz w:val="21"/>
          <w:szCs w:val="21"/>
          <w:highlight w:val="none"/>
        </w:rPr>
      </w:pPr>
      <w:bookmarkStart w:id="628"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28"/>
    <w:p w14:paraId="627F35C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5FD0B14">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4F9C3712">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F03BAA5">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9F0DBA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3CEB33">
      <w:pPr>
        <w:spacing w:line="360" w:lineRule="auto"/>
        <w:ind w:firstLine="420" w:firstLineChars="200"/>
        <w:rPr>
          <w:rFonts w:cs="宋体"/>
          <w:color w:val="auto"/>
          <w:sz w:val="21"/>
          <w:szCs w:val="21"/>
          <w:highlight w:val="none"/>
        </w:rPr>
      </w:pPr>
      <w:bookmarkStart w:id="629" w:name="_Hlk40303486"/>
      <w:r>
        <w:rPr>
          <w:rFonts w:hint="eastAsia" w:cs="宋体"/>
          <w:color w:val="auto"/>
          <w:sz w:val="21"/>
          <w:szCs w:val="21"/>
          <w:highlight w:val="none"/>
        </w:rPr>
        <w:t>受益人发出的书面付款通知应由其法定代表人（负责人）或授权代理人签字并加盖公章。</w:t>
      </w:r>
      <w:bookmarkEnd w:id="629"/>
    </w:p>
    <w:p w14:paraId="0ED0A00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45E1DC00">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59DAB969">
      <w:pPr>
        <w:spacing w:line="360" w:lineRule="auto"/>
        <w:ind w:firstLine="420" w:firstLineChars="200"/>
        <w:rPr>
          <w:rFonts w:cs="宋体"/>
          <w:color w:val="auto"/>
          <w:sz w:val="21"/>
          <w:szCs w:val="21"/>
          <w:highlight w:val="none"/>
        </w:rPr>
      </w:pPr>
      <w:bookmarkStart w:id="630" w:name="_Hlk40303383"/>
      <w:bookmarkStart w:id="631" w:name="_Hlk40354981"/>
      <w:r>
        <w:rPr>
          <w:rFonts w:hint="eastAsia" w:cs="宋体"/>
          <w:color w:val="auto"/>
          <w:sz w:val="21"/>
          <w:szCs w:val="21"/>
          <w:highlight w:val="none"/>
        </w:rPr>
        <w:t xml:space="preserve">七、本保函项下的义务和责任均在保函有效期到期后自动消灭。 </w:t>
      </w:r>
    </w:p>
    <w:p w14:paraId="074AB58C">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30"/>
      <w:r>
        <w:rPr>
          <w:rFonts w:hint="eastAsia" w:cs="宋体"/>
          <w:color w:val="auto"/>
          <w:sz w:val="21"/>
          <w:szCs w:val="21"/>
          <w:highlight w:val="none"/>
        </w:rPr>
        <w:t xml:space="preserve">由受益人所在地人民法院管辖。 </w:t>
      </w:r>
    </w:p>
    <w:bookmarkEnd w:id="631"/>
    <w:p w14:paraId="4921EE98">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EBAE895">
      <w:pPr>
        <w:spacing w:line="360" w:lineRule="auto"/>
        <w:ind w:firstLine="420" w:firstLineChars="200"/>
        <w:rPr>
          <w:rFonts w:cs="宋体"/>
          <w:color w:val="auto"/>
          <w:sz w:val="21"/>
          <w:szCs w:val="21"/>
          <w:highlight w:val="none"/>
        </w:rPr>
      </w:pPr>
    </w:p>
    <w:p w14:paraId="1F9B452B">
      <w:pPr>
        <w:spacing w:line="360" w:lineRule="auto"/>
        <w:ind w:firstLine="420" w:firstLineChars="200"/>
        <w:rPr>
          <w:rFonts w:cs="宋体"/>
          <w:color w:val="auto"/>
          <w:sz w:val="21"/>
          <w:szCs w:val="21"/>
          <w:highlight w:val="none"/>
        </w:rPr>
      </w:pPr>
    </w:p>
    <w:p w14:paraId="157EFDAB">
      <w:pPr>
        <w:spacing w:line="360" w:lineRule="auto"/>
        <w:ind w:firstLine="420" w:firstLineChars="200"/>
        <w:rPr>
          <w:rFonts w:cs="宋体"/>
          <w:color w:val="auto"/>
          <w:sz w:val="21"/>
          <w:szCs w:val="21"/>
          <w:highlight w:val="none"/>
        </w:rPr>
      </w:pPr>
    </w:p>
    <w:p w14:paraId="63F1AF0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472B6B5C">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7F351623">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E28C76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78155D1A">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50D0B33">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51578F0">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043E0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32" w:name="_Toc128950245"/>
      <w:r>
        <w:rPr>
          <w:rFonts w:hint="eastAsia" w:ascii="Times New Roman" w:eastAsia="黑体"/>
          <w:color w:val="auto"/>
          <w:szCs w:val="24"/>
          <w:highlight w:val="none"/>
        </w:rPr>
        <w:t>附</w:t>
      </w:r>
      <w:bookmarkStart w:id="633" w:name="_Toc296891060"/>
      <w:bookmarkStart w:id="634" w:name="_Toc296346733"/>
      <w:bookmarkStart w:id="635" w:name="_Toc296891272"/>
      <w:bookmarkStart w:id="636" w:name="_Toc267261702"/>
      <w:bookmarkStart w:id="637" w:name="_Toc296503232"/>
      <w:bookmarkStart w:id="638" w:name="_Toc296347231"/>
      <w:bookmarkStart w:id="639" w:name="_Toc296944571"/>
      <w:r>
        <w:rPr>
          <w:rFonts w:hint="eastAsia" w:ascii="Times New Roman" w:eastAsia="黑体"/>
          <w:color w:val="auto"/>
          <w:szCs w:val="24"/>
          <w:highlight w:val="none"/>
        </w:rPr>
        <w:t>件10：预付款担保</w:t>
      </w:r>
      <w:bookmarkEnd w:id="632"/>
    </w:p>
    <w:bookmarkEnd w:id="633"/>
    <w:bookmarkEnd w:id="634"/>
    <w:bookmarkEnd w:id="635"/>
    <w:bookmarkEnd w:id="636"/>
    <w:bookmarkEnd w:id="637"/>
    <w:bookmarkEnd w:id="638"/>
    <w:bookmarkEnd w:id="639"/>
    <w:p w14:paraId="704E0FD2">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5107531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1DA3EF1">
      <w:pPr>
        <w:spacing w:line="360" w:lineRule="auto"/>
        <w:rPr>
          <w:rFonts w:ascii="Times New Roman"/>
          <w:color w:val="auto"/>
          <w:szCs w:val="21"/>
          <w:highlight w:val="none"/>
        </w:rPr>
      </w:pPr>
    </w:p>
    <w:p w14:paraId="48E24AB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ED11425">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73E946A">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07FBCBC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ED32A4A">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359C0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483545FF">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41CE4A6">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72502D26">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8FFBD47">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5C91FC5">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3F9C26">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DB1061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6530BC">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7FE8B34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081BDB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626CCA6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B1F8799">
      <w:pPr>
        <w:spacing w:line="360" w:lineRule="auto"/>
        <w:ind w:firstLine="420" w:firstLineChars="200"/>
        <w:rPr>
          <w:rFonts w:cs="宋体"/>
          <w:color w:val="auto"/>
          <w:sz w:val="21"/>
          <w:szCs w:val="21"/>
          <w:highlight w:val="none"/>
        </w:rPr>
      </w:pPr>
    </w:p>
    <w:p w14:paraId="70034F81">
      <w:pPr>
        <w:spacing w:line="360" w:lineRule="auto"/>
        <w:ind w:firstLine="420" w:firstLineChars="200"/>
        <w:rPr>
          <w:rFonts w:cs="宋体"/>
          <w:color w:val="auto"/>
          <w:sz w:val="21"/>
          <w:szCs w:val="21"/>
          <w:highlight w:val="none"/>
        </w:rPr>
      </w:pPr>
    </w:p>
    <w:p w14:paraId="1E739C22">
      <w:pPr>
        <w:spacing w:line="360" w:lineRule="auto"/>
        <w:ind w:firstLine="420" w:firstLineChars="200"/>
        <w:rPr>
          <w:rFonts w:cs="宋体"/>
          <w:color w:val="auto"/>
          <w:sz w:val="21"/>
          <w:szCs w:val="21"/>
          <w:highlight w:val="none"/>
        </w:rPr>
      </w:pPr>
    </w:p>
    <w:p w14:paraId="5D2507C6">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C15DCE9">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92AFB80">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87E5B8">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22D4CB6">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1DEF854">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5202475B">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051F3605">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40" w:name="_Toc128950246"/>
      <w:r>
        <w:rPr>
          <w:rFonts w:hint="eastAsia" w:ascii="Times New Roman" w:eastAsia="黑体"/>
          <w:color w:val="auto"/>
          <w:szCs w:val="24"/>
          <w:highlight w:val="none"/>
        </w:rPr>
        <w:t>附</w:t>
      </w:r>
      <w:bookmarkStart w:id="641" w:name="_Toc296347232"/>
      <w:bookmarkStart w:id="642" w:name="_Toc296944572"/>
      <w:bookmarkStart w:id="643" w:name="_Toc296891273"/>
      <w:bookmarkStart w:id="644" w:name="_Toc296346734"/>
      <w:bookmarkStart w:id="645" w:name="_Toc296891061"/>
      <w:bookmarkStart w:id="646" w:name="_Toc296503233"/>
      <w:r>
        <w:rPr>
          <w:rFonts w:hint="eastAsia" w:ascii="Times New Roman" w:eastAsia="黑体"/>
          <w:color w:val="auto"/>
          <w:szCs w:val="24"/>
          <w:highlight w:val="none"/>
        </w:rPr>
        <w:t>件</w:t>
      </w:r>
      <w:r>
        <w:rPr>
          <w:rFonts w:ascii="Times New Roman" w:eastAsia="黑体"/>
          <w:color w:val="auto"/>
          <w:szCs w:val="24"/>
          <w:highlight w:val="none"/>
        </w:rPr>
        <w:t>1</w:t>
      </w:r>
      <w:r>
        <w:rPr>
          <w:rFonts w:hint="eastAsia" w:ascii="Times New Roman" w:eastAsia="黑体"/>
          <w:color w:val="auto"/>
          <w:szCs w:val="24"/>
          <w:highlight w:val="none"/>
        </w:rPr>
        <w:t>1：支付担保</w:t>
      </w:r>
      <w:bookmarkEnd w:id="640"/>
      <w:bookmarkEnd w:id="641"/>
      <w:bookmarkEnd w:id="642"/>
      <w:bookmarkEnd w:id="643"/>
      <w:bookmarkEnd w:id="644"/>
      <w:bookmarkEnd w:id="645"/>
      <w:bookmarkEnd w:id="646"/>
    </w:p>
    <w:p w14:paraId="74474E2F">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08A4CC86">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73C2E1CC">
      <w:pPr>
        <w:spacing w:line="360" w:lineRule="auto"/>
        <w:rPr>
          <w:rFonts w:ascii="Times New Roman"/>
          <w:color w:val="auto"/>
          <w:szCs w:val="21"/>
          <w:highlight w:val="none"/>
        </w:rPr>
      </w:pPr>
    </w:p>
    <w:p w14:paraId="7AE47C68">
      <w:pPr>
        <w:spacing w:line="360" w:lineRule="auto"/>
        <w:rPr>
          <w:rFonts w:cs="宋体"/>
          <w:color w:val="auto"/>
          <w:sz w:val="21"/>
          <w:szCs w:val="21"/>
          <w:highlight w:val="none"/>
        </w:rPr>
      </w:pPr>
      <w:bookmarkStart w:id="647" w:name="_Hlk40355074"/>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bookmarkEnd w:id="647"/>
    <w:p w14:paraId="42C38403">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10680DE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5E9B0187">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7605F3A9">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3D595E79">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14053616">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61B6D1D">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56D200CB">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0AFED0C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103432B8">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0AE2B71">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7ABB10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A5AF081">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15482CF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3EA7BA5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4C9B453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43AE75D8">
      <w:pPr>
        <w:spacing w:line="360" w:lineRule="auto"/>
        <w:ind w:firstLine="420" w:firstLineChars="200"/>
        <w:rPr>
          <w:rFonts w:cs="宋体"/>
          <w:color w:val="auto"/>
          <w:sz w:val="21"/>
          <w:szCs w:val="21"/>
          <w:highlight w:val="none"/>
        </w:rPr>
      </w:pPr>
    </w:p>
    <w:p w14:paraId="2BB74ADC">
      <w:pPr>
        <w:spacing w:line="360" w:lineRule="auto"/>
        <w:ind w:firstLine="420" w:firstLineChars="200"/>
        <w:rPr>
          <w:rFonts w:cs="宋体"/>
          <w:color w:val="auto"/>
          <w:sz w:val="21"/>
          <w:szCs w:val="21"/>
          <w:highlight w:val="none"/>
        </w:rPr>
      </w:pPr>
    </w:p>
    <w:p w14:paraId="14CDF7BF">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284FEA22">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E0C6A72">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10DDAEB">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2CC9FA64">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6755D91A">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6ECDAD18">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FBEB578">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48" w:name="_Toc128950247"/>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2：暂估价一览表</w:t>
      </w:r>
      <w:bookmarkEnd w:id="648"/>
    </w:p>
    <w:p w14:paraId="45FA0443">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12-1：材料暂估价表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62A6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557E715D">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2244E1A3">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2349C27C">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7C3BADBB">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442A4CF6">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4B66BC9D">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4CF2CE05">
            <w:pPr>
              <w:keepNext/>
              <w:spacing w:line="440" w:lineRule="exact"/>
              <w:jc w:val="center"/>
              <w:rPr>
                <w:rFonts w:cs="宋体"/>
                <w:color w:val="auto"/>
                <w:szCs w:val="21"/>
                <w:highlight w:val="none"/>
              </w:rPr>
            </w:pPr>
            <w:r>
              <w:rPr>
                <w:rFonts w:hint="eastAsia" w:cs="宋体"/>
                <w:color w:val="auto"/>
                <w:szCs w:val="21"/>
                <w:highlight w:val="none"/>
              </w:rPr>
              <w:t>备注</w:t>
            </w:r>
          </w:p>
        </w:tc>
      </w:tr>
      <w:tr w14:paraId="5FC8A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231FA03A">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317CA79D">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7285B71E">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F82839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0F40056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7E916A4F">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3F4D3672">
            <w:pPr>
              <w:keepNext/>
              <w:spacing w:line="440" w:lineRule="exact"/>
              <w:jc w:val="center"/>
              <w:rPr>
                <w:rFonts w:cs="宋体"/>
                <w:color w:val="auto"/>
                <w:szCs w:val="21"/>
                <w:highlight w:val="none"/>
              </w:rPr>
            </w:pPr>
          </w:p>
        </w:tc>
      </w:tr>
      <w:tr w14:paraId="6CE0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2E49313">
            <w:pPr>
              <w:keepNext/>
              <w:spacing w:line="440" w:lineRule="exact"/>
              <w:jc w:val="center"/>
              <w:rPr>
                <w:rFonts w:cs="宋体"/>
                <w:color w:val="auto"/>
                <w:szCs w:val="21"/>
                <w:highlight w:val="none"/>
              </w:rPr>
            </w:pPr>
          </w:p>
        </w:tc>
        <w:tc>
          <w:tcPr>
            <w:tcW w:w="1094" w:type="pct"/>
            <w:tcBorders>
              <w:top w:val="nil"/>
            </w:tcBorders>
            <w:vAlign w:val="center"/>
          </w:tcPr>
          <w:p w14:paraId="18BD1879">
            <w:pPr>
              <w:keepNext/>
              <w:spacing w:line="440" w:lineRule="exact"/>
              <w:jc w:val="center"/>
              <w:rPr>
                <w:rFonts w:cs="宋体"/>
                <w:color w:val="auto"/>
                <w:szCs w:val="21"/>
                <w:highlight w:val="none"/>
              </w:rPr>
            </w:pPr>
          </w:p>
        </w:tc>
        <w:tc>
          <w:tcPr>
            <w:tcW w:w="468" w:type="pct"/>
            <w:tcBorders>
              <w:top w:val="nil"/>
            </w:tcBorders>
            <w:vAlign w:val="center"/>
          </w:tcPr>
          <w:p w14:paraId="1670921C">
            <w:pPr>
              <w:keepNext/>
              <w:spacing w:line="440" w:lineRule="exact"/>
              <w:jc w:val="center"/>
              <w:rPr>
                <w:rFonts w:cs="宋体"/>
                <w:color w:val="auto"/>
                <w:szCs w:val="21"/>
                <w:highlight w:val="none"/>
              </w:rPr>
            </w:pPr>
          </w:p>
        </w:tc>
        <w:tc>
          <w:tcPr>
            <w:tcW w:w="426" w:type="pct"/>
            <w:tcBorders>
              <w:top w:val="nil"/>
            </w:tcBorders>
            <w:vAlign w:val="center"/>
          </w:tcPr>
          <w:p w14:paraId="5990C587">
            <w:pPr>
              <w:keepNext/>
              <w:spacing w:line="440" w:lineRule="exact"/>
              <w:jc w:val="center"/>
              <w:rPr>
                <w:rFonts w:cs="宋体"/>
                <w:color w:val="auto"/>
                <w:szCs w:val="21"/>
                <w:highlight w:val="none"/>
              </w:rPr>
            </w:pPr>
          </w:p>
        </w:tc>
        <w:tc>
          <w:tcPr>
            <w:tcW w:w="745" w:type="pct"/>
            <w:tcBorders>
              <w:top w:val="nil"/>
            </w:tcBorders>
            <w:vAlign w:val="center"/>
          </w:tcPr>
          <w:p w14:paraId="4DE48E3D">
            <w:pPr>
              <w:keepNext/>
              <w:spacing w:line="440" w:lineRule="exact"/>
              <w:jc w:val="center"/>
              <w:rPr>
                <w:rFonts w:cs="宋体"/>
                <w:color w:val="auto"/>
                <w:szCs w:val="21"/>
                <w:highlight w:val="none"/>
              </w:rPr>
            </w:pPr>
          </w:p>
        </w:tc>
        <w:tc>
          <w:tcPr>
            <w:tcW w:w="781" w:type="pct"/>
            <w:tcBorders>
              <w:top w:val="nil"/>
            </w:tcBorders>
            <w:vAlign w:val="center"/>
          </w:tcPr>
          <w:p w14:paraId="1B129D15">
            <w:pPr>
              <w:keepNext/>
              <w:spacing w:line="440" w:lineRule="exact"/>
              <w:jc w:val="center"/>
              <w:rPr>
                <w:rFonts w:cs="宋体"/>
                <w:color w:val="auto"/>
                <w:szCs w:val="21"/>
                <w:highlight w:val="none"/>
              </w:rPr>
            </w:pPr>
          </w:p>
        </w:tc>
        <w:tc>
          <w:tcPr>
            <w:tcW w:w="938" w:type="pct"/>
            <w:tcBorders>
              <w:top w:val="nil"/>
            </w:tcBorders>
            <w:vAlign w:val="center"/>
          </w:tcPr>
          <w:p w14:paraId="39AFBFAC">
            <w:pPr>
              <w:keepNext/>
              <w:spacing w:line="440" w:lineRule="exact"/>
              <w:jc w:val="center"/>
              <w:rPr>
                <w:rFonts w:cs="宋体"/>
                <w:color w:val="auto"/>
                <w:szCs w:val="21"/>
                <w:highlight w:val="none"/>
              </w:rPr>
            </w:pPr>
          </w:p>
        </w:tc>
      </w:tr>
      <w:tr w14:paraId="46649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2BBD16BE">
            <w:pPr>
              <w:keepNext/>
              <w:spacing w:line="440" w:lineRule="exact"/>
              <w:jc w:val="center"/>
              <w:rPr>
                <w:rFonts w:cs="宋体"/>
                <w:color w:val="auto"/>
                <w:szCs w:val="21"/>
                <w:highlight w:val="none"/>
              </w:rPr>
            </w:pPr>
          </w:p>
        </w:tc>
        <w:tc>
          <w:tcPr>
            <w:tcW w:w="1094" w:type="pct"/>
            <w:vAlign w:val="center"/>
          </w:tcPr>
          <w:p w14:paraId="55A1BEB2">
            <w:pPr>
              <w:keepNext/>
              <w:spacing w:line="440" w:lineRule="exact"/>
              <w:jc w:val="center"/>
              <w:rPr>
                <w:rFonts w:cs="宋体"/>
                <w:color w:val="auto"/>
                <w:szCs w:val="21"/>
                <w:highlight w:val="none"/>
              </w:rPr>
            </w:pPr>
          </w:p>
        </w:tc>
        <w:tc>
          <w:tcPr>
            <w:tcW w:w="468" w:type="pct"/>
            <w:vAlign w:val="center"/>
          </w:tcPr>
          <w:p w14:paraId="5DFE33BB">
            <w:pPr>
              <w:keepNext/>
              <w:spacing w:line="440" w:lineRule="exact"/>
              <w:jc w:val="center"/>
              <w:rPr>
                <w:rFonts w:cs="宋体"/>
                <w:color w:val="auto"/>
                <w:szCs w:val="21"/>
                <w:highlight w:val="none"/>
              </w:rPr>
            </w:pPr>
          </w:p>
        </w:tc>
        <w:tc>
          <w:tcPr>
            <w:tcW w:w="426" w:type="pct"/>
            <w:vAlign w:val="center"/>
          </w:tcPr>
          <w:p w14:paraId="02DA4928">
            <w:pPr>
              <w:keepNext/>
              <w:spacing w:line="440" w:lineRule="exact"/>
              <w:jc w:val="center"/>
              <w:rPr>
                <w:rFonts w:cs="宋体"/>
                <w:color w:val="auto"/>
                <w:szCs w:val="21"/>
                <w:highlight w:val="none"/>
              </w:rPr>
            </w:pPr>
          </w:p>
        </w:tc>
        <w:tc>
          <w:tcPr>
            <w:tcW w:w="745" w:type="pct"/>
            <w:vAlign w:val="center"/>
          </w:tcPr>
          <w:p w14:paraId="5E1441D4">
            <w:pPr>
              <w:keepNext/>
              <w:spacing w:line="440" w:lineRule="exact"/>
              <w:jc w:val="center"/>
              <w:rPr>
                <w:rFonts w:cs="宋体"/>
                <w:color w:val="auto"/>
                <w:szCs w:val="21"/>
                <w:highlight w:val="none"/>
              </w:rPr>
            </w:pPr>
          </w:p>
        </w:tc>
        <w:tc>
          <w:tcPr>
            <w:tcW w:w="781" w:type="pct"/>
            <w:vAlign w:val="center"/>
          </w:tcPr>
          <w:p w14:paraId="2047ACDD">
            <w:pPr>
              <w:keepNext/>
              <w:spacing w:line="440" w:lineRule="exact"/>
              <w:jc w:val="center"/>
              <w:rPr>
                <w:rFonts w:cs="宋体"/>
                <w:color w:val="auto"/>
                <w:szCs w:val="21"/>
                <w:highlight w:val="none"/>
              </w:rPr>
            </w:pPr>
          </w:p>
        </w:tc>
        <w:tc>
          <w:tcPr>
            <w:tcW w:w="938" w:type="pct"/>
            <w:vAlign w:val="center"/>
          </w:tcPr>
          <w:p w14:paraId="60F8FFD9">
            <w:pPr>
              <w:keepNext/>
              <w:spacing w:line="440" w:lineRule="exact"/>
              <w:jc w:val="center"/>
              <w:rPr>
                <w:rFonts w:cs="宋体"/>
                <w:color w:val="auto"/>
                <w:szCs w:val="21"/>
                <w:highlight w:val="none"/>
              </w:rPr>
            </w:pPr>
          </w:p>
        </w:tc>
      </w:tr>
      <w:tr w14:paraId="77238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F82D1F0">
            <w:pPr>
              <w:keepNext/>
              <w:spacing w:line="440" w:lineRule="exact"/>
              <w:jc w:val="center"/>
              <w:rPr>
                <w:rFonts w:cs="宋体"/>
                <w:color w:val="auto"/>
                <w:szCs w:val="21"/>
                <w:highlight w:val="none"/>
              </w:rPr>
            </w:pPr>
          </w:p>
        </w:tc>
        <w:tc>
          <w:tcPr>
            <w:tcW w:w="1094" w:type="pct"/>
            <w:vAlign w:val="center"/>
          </w:tcPr>
          <w:p w14:paraId="63D27D10">
            <w:pPr>
              <w:keepNext/>
              <w:spacing w:line="440" w:lineRule="exact"/>
              <w:jc w:val="center"/>
              <w:rPr>
                <w:rFonts w:cs="宋体"/>
                <w:color w:val="auto"/>
                <w:szCs w:val="21"/>
                <w:highlight w:val="none"/>
              </w:rPr>
            </w:pPr>
          </w:p>
        </w:tc>
        <w:tc>
          <w:tcPr>
            <w:tcW w:w="468" w:type="pct"/>
            <w:vAlign w:val="center"/>
          </w:tcPr>
          <w:p w14:paraId="7403F44E">
            <w:pPr>
              <w:keepNext/>
              <w:spacing w:line="440" w:lineRule="exact"/>
              <w:jc w:val="center"/>
              <w:rPr>
                <w:rFonts w:cs="宋体"/>
                <w:color w:val="auto"/>
                <w:szCs w:val="21"/>
                <w:highlight w:val="none"/>
              </w:rPr>
            </w:pPr>
          </w:p>
        </w:tc>
        <w:tc>
          <w:tcPr>
            <w:tcW w:w="426" w:type="pct"/>
            <w:vAlign w:val="center"/>
          </w:tcPr>
          <w:p w14:paraId="4283CE6E">
            <w:pPr>
              <w:keepNext/>
              <w:spacing w:line="440" w:lineRule="exact"/>
              <w:jc w:val="center"/>
              <w:rPr>
                <w:rFonts w:cs="宋体"/>
                <w:color w:val="auto"/>
                <w:szCs w:val="21"/>
                <w:highlight w:val="none"/>
              </w:rPr>
            </w:pPr>
          </w:p>
        </w:tc>
        <w:tc>
          <w:tcPr>
            <w:tcW w:w="745" w:type="pct"/>
            <w:vAlign w:val="center"/>
          </w:tcPr>
          <w:p w14:paraId="7AAAA01D">
            <w:pPr>
              <w:keepNext/>
              <w:spacing w:line="440" w:lineRule="exact"/>
              <w:jc w:val="center"/>
              <w:rPr>
                <w:rFonts w:cs="宋体"/>
                <w:color w:val="auto"/>
                <w:szCs w:val="21"/>
                <w:highlight w:val="none"/>
              </w:rPr>
            </w:pPr>
          </w:p>
        </w:tc>
        <w:tc>
          <w:tcPr>
            <w:tcW w:w="781" w:type="pct"/>
            <w:vAlign w:val="center"/>
          </w:tcPr>
          <w:p w14:paraId="5D51479E">
            <w:pPr>
              <w:keepNext/>
              <w:spacing w:line="440" w:lineRule="exact"/>
              <w:jc w:val="center"/>
              <w:rPr>
                <w:rFonts w:cs="宋体"/>
                <w:color w:val="auto"/>
                <w:szCs w:val="21"/>
                <w:highlight w:val="none"/>
              </w:rPr>
            </w:pPr>
          </w:p>
        </w:tc>
        <w:tc>
          <w:tcPr>
            <w:tcW w:w="938" w:type="pct"/>
            <w:vAlign w:val="center"/>
          </w:tcPr>
          <w:p w14:paraId="50090645">
            <w:pPr>
              <w:keepNext/>
              <w:spacing w:line="440" w:lineRule="exact"/>
              <w:jc w:val="center"/>
              <w:rPr>
                <w:rFonts w:cs="宋体"/>
                <w:color w:val="auto"/>
                <w:szCs w:val="21"/>
                <w:highlight w:val="none"/>
              </w:rPr>
            </w:pPr>
          </w:p>
        </w:tc>
      </w:tr>
      <w:tr w14:paraId="436EA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7B7AEC33">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19C14961">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3488D71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6895FB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11C90E5C">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5CCD3C1">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535EB796">
            <w:pPr>
              <w:keepNext/>
              <w:spacing w:line="440" w:lineRule="exact"/>
              <w:jc w:val="center"/>
              <w:rPr>
                <w:rFonts w:cs="宋体"/>
                <w:color w:val="auto"/>
                <w:szCs w:val="21"/>
                <w:highlight w:val="none"/>
              </w:rPr>
            </w:pPr>
          </w:p>
        </w:tc>
      </w:tr>
    </w:tbl>
    <w:p w14:paraId="5B10964B">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12-2：工程设备暂估价表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3A509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16F019C6">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346F9C51">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569FAB79">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3C2FEE4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05191942">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191EB68">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29609C7F">
            <w:pPr>
              <w:keepNext/>
              <w:spacing w:line="440" w:lineRule="exact"/>
              <w:jc w:val="center"/>
              <w:rPr>
                <w:rFonts w:cs="宋体"/>
                <w:color w:val="auto"/>
                <w:szCs w:val="21"/>
                <w:highlight w:val="none"/>
              </w:rPr>
            </w:pPr>
            <w:r>
              <w:rPr>
                <w:rFonts w:hint="eastAsia" w:cs="宋体"/>
                <w:color w:val="auto"/>
                <w:szCs w:val="21"/>
                <w:highlight w:val="none"/>
              </w:rPr>
              <w:t>备注</w:t>
            </w:r>
          </w:p>
        </w:tc>
      </w:tr>
      <w:tr w14:paraId="11D20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7CC3FD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38776D8">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0CD5FF3F">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3350F56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607DB2E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5CDC4CF2">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1E657198">
            <w:pPr>
              <w:keepNext/>
              <w:spacing w:line="440" w:lineRule="exact"/>
              <w:jc w:val="center"/>
              <w:rPr>
                <w:rFonts w:cs="宋体"/>
                <w:color w:val="auto"/>
                <w:szCs w:val="21"/>
                <w:highlight w:val="none"/>
              </w:rPr>
            </w:pPr>
          </w:p>
        </w:tc>
      </w:tr>
      <w:tr w14:paraId="2AF7B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6C989B8E">
            <w:pPr>
              <w:keepNext/>
              <w:spacing w:line="440" w:lineRule="exact"/>
              <w:jc w:val="center"/>
              <w:rPr>
                <w:rFonts w:cs="宋体"/>
                <w:color w:val="auto"/>
                <w:szCs w:val="21"/>
                <w:highlight w:val="none"/>
              </w:rPr>
            </w:pPr>
          </w:p>
        </w:tc>
        <w:tc>
          <w:tcPr>
            <w:tcW w:w="1094" w:type="pct"/>
            <w:tcBorders>
              <w:top w:val="nil"/>
            </w:tcBorders>
            <w:vAlign w:val="center"/>
          </w:tcPr>
          <w:p w14:paraId="1E5F2BDA">
            <w:pPr>
              <w:keepNext/>
              <w:spacing w:line="440" w:lineRule="exact"/>
              <w:jc w:val="center"/>
              <w:rPr>
                <w:rFonts w:cs="宋体"/>
                <w:color w:val="auto"/>
                <w:szCs w:val="21"/>
                <w:highlight w:val="none"/>
              </w:rPr>
            </w:pPr>
          </w:p>
        </w:tc>
        <w:tc>
          <w:tcPr>
            <w:tcW w:w="468" w:type="pct"/>
            <w:tcBorders>
              <w:top w:val="nil"/>
            </w:tcBorders>
            <w:vAlign w:val="center"/>
          </w:tcPr>
          <w:p w14:paraId="39A3847A">
            <w:pPr>
              <w:keepNext/>
              <w:spacing w:line="440" w:lineRule="exact"/>
              <w:jc w:val="center"/>
              <w:rPr>
                <w:rFonts w:cs="宋体"/>
                <w:color w:val="auto"/>
                <w:szCs w:val="21"/>
                <w:highlight w:val="none"/>
              </w:rPr>
            </w:pPr>
          </w:p>
        </w:tc>
        <w:tc>
          <w:tcPr>
            <w:tcW w:w="426" w:type="pct"/>
            <w:tcBorders>
              <w:top w:val="nil"/>
            </w:tcBorders>
            <w:vAlign w:val="center"/>
          </w:tcPr>
          <w:p w14:paraId="6638E132">
            <w:pPr>
              <w:keepNext/>
              <w:spacing w:line="440" w:lineRule="exact"/>
              <w:jc w:val="center"/>
              <w:rPr>
                <w:rFonts w:cs="宋体"/>
                <w:color w:val="auto"/>
                <w:szCs w:val="21"/>
                <w:highlight w:val="none"/>
              </w:rPr>
            </w:pPr>
          </w:p>
        </w:tc>
        <w:tc>
          <w:tcPr>
            <w:tcW w:w="745" w:type="pct"/>
            <w:tcBorders>
              <w:top w:val="nil"/>
            </w:tcBorders>
            <w:vAlign w:val="center"/>
          </w:tcPr>
          <w:p w14:paraId="09008ECC">
            <w:pPr>
              <w:keepNext/>
              <w:spacing w:line="440" w:lineRule="exact"/>
              <w:jc w:val="center"/>
              <w:rPr>
                <w:rFonts w:cs="宋体"/>
                <w:color w:val="auto"/>
                <w:szCs w:val="21"/>
                <w:highlight w:val="none"/>
              </w:rPr>
            </w:pPr>
          </w:p>
        </w:tc>
        <w:tc>
          <w:tcPr>
            <w:tcW w:w="781" w:type="pct"/>
            <w:tcBorders>
              <w:top w:val="nil"/>
            </w:tcBorders>
            <w:vAlign w:val="center"/>
          </w:tcPr>
          <w:p w14:paraId="3AA9E1E8">
            <w:pPr>
              <w:keepNext/>
              <w:spacing w:line="440" w:lineRule="exact"/>
              <w:jc w:val="center"/>
              <w:rPr>
                <w:rFonts w:cs="宋体"/>
                <w:color w:val="auto"/>
                <w:szCs w:val="21"/>
                <w:highlight w:val="none"/>
              </w:rPr>
            </w:pPr>
          </w:p>
        </w:tc>
        <w:tc>
          <w:tcPr>
            <w:tcW w:w="938" w:type="pct"/>
            <w:tcBorders>
              <w:top w:val="nil"/>
            </w:tcBorders>
            <w:vAlign w:val="center"/>
          </w:tcPr>
          <w:p w14:paraId="56311791">
            <w:pPr>
              <w:keepNext/>
              <w:spacing w:line="440" w:lineRule="exact"/>
              <w:jc w:val="center"/>
              <w:rPr>
                <w:rFonts w:cs="宋体"/>
                <w:color w:val="auto"/>
                <w:szCs w:val="21"/>
                <w:highlight w:val="none"/>
              </w:rPr>
            </w:pPr>
          </w:p>
        </w:tc>
      </w:tr>
      <w:tr w14:paraId="1E40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7EE54D6">
            <w:pPr>
              <w:keepNext/>
              <w:spacing w:line="440" w:lineRule="exact"/>
              <w:jc w:val="center"/>
              <w:rPr>
                <w:rFonts w:cs="宋体"/>
                <w:color w:val="auto"/>
                <w:szCs w:val="21"/>
                <w:highlight w:val="none"/>
              </w:rPr>
            </w:pPr>
          </w:p>
        </w:tc>
        <w:tc>
          <w:tcPr>
            <w:tcW w:w="1094" w:type="pct"/>
            <w:vAlign w:val="center"/>
          </w:tcPr>
          <w:p w14:paraId="51BDE60A">
            <w:pPr>
              <w:keepNext/>
              <w:spacing w:line="440" w:lineRule="exact"/>
              <w:jc w:val="center"/>
              <w:rPr>
                <w:rFonts w:cs="宋体"/>
                <w:color w:val="auto"/>
                <w:szCs w:val="21"/>
                <w:highlight w:val="none"/>
              </w:rPr>
            </w:pPr>
          </w:p>
        </w:tc>
        <w:tc>
          <w:tcPr>
            <w:tcW w:w="468" w:type="pct"/>
            <w:vAlign w:val="center"/>
          </w:tcPr>
          <w:p w14:paraId="2C954AA6">
            <w:pPr>
              <w:keepNext/>
              <w:spacing w:line="440" w:lineRule="exact"/>
              <w:jc w:val="center"/>
              <w:rPr>
                <w:rFonts w:cs="宋体"/>
                <w:color w:val="auto"/>
                <w:szCs w:val="21"/>
                <w:highlight w:val="none"/>
              </w:rPr>
            </w:pPr>
          </w:p>
        </w:tc>
        <w:tc>
          <w:tcPr>
            <w:tcW w:w="426" w:type="pct"/>
            <w:vAlign w:val="center"/>
          </w:tcPr>
          <w:p w14:paraId="63746952">
            <w:pPr>
              <w:keepNext/>
              <w:spacing w:line="440" w:lineRule="exact"/>
              <w:jc w:val="center"/>
              <w:rPr>
                <w:rFonts w:cs="宋体"/>
                <w:color w:val="auto"/>
                <w:szCs w:val="21"/>
                <w:highlight w:val="none"/>
              </w:rPr>
            </w:pPr>
          </w:p>
        </w:tc>
        <w:tc>
          <w:tcPr>
            <w:tcW w:w="745" w:type="pct"/>
            <w:vAlign w:val="center"/>
          </w:tcPr>
          <w:p w14:paraId="645335F5">
            <w:pPr>
              <w:keepNext/>
              <w:spacing w:line="440" w:lineRule="exact"/>
              <w:jc w:val="center"/>
              <w:rPr>
                <w:rFonts w:cs="宋体"/>
                <w:color w:val="auto"/>
                <w:szCs w:val="21"/>
                <w:highlight w:val="none"/>
              </w:rPr>
            </w:pPr>
          </w:p>
        </w:tc>
        <w:tc>
          <w:tcPr>
            <w:tcW w:w="781" w:type="pct"/>
            <w:vAlign w:val="center"/>
          </w:tcPr>
          <w:p w14:paraId="109D4B72">
            <w:pPr>
              <w:keepNext/>
              <w:spacing w:line="440" w:lineRule="exact"/>
              <w:jc w:val="center"/>
              <w:rPr>
                <w:rFonts w:cs="宋体"/>
                <w:color w:val="auto"/>
                <w:szCs w:val="21"/>
                <w:highlight w:val="none"/>
              </w:rPr>
            </w:pPr>
          </w:p>
        </w:tc>
        <w:tc>
          <w:tcPr>
            <w:tcW w:w="938" w:type="pct"/>
            <w:vAlign w:val="center"/>
          </w:tcPr>
          <w:p w14:paraId="796D50CE">
            <w:pPr>
              <w:keepNext/>
              <w:spacing w:line="440" w:lineRule="exact"/>
              <w:jc w:val="center"/>
              <w:rPr>
                <w:rFonts w:cs="宋体"/>
                <w:color w:val="auto"/>
                <w:szCs w:val="21"/>
                <w:highlight w:val="none"/>
              </w:rPr>
            </w:pPr>
          </w:p>
        </w:tc>
      </w:tr>
      <w:tr w14:paraId="39A1C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AA5E002">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08C1276E">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0B35E46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C1D7CEE">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295003BF">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130E725A">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117B1F61">
            <w:pPr>
              <w:keepNext/>
              <w:spacing w:line="440" w:lineRule="exact"/>
              <w:jc w:val="center"/>
              <w:rPr>
                <w:rFonts w:cs="宋体"/>
                <w:color w:val="auto"/>
                <w:szCs w:val="21"/>
                <w:highlight w:val="none"/>
              </w:rPr>
            </w:pPr>
          </w:p>
        </w:tc>
      </w:tr>
    </w:tbl>
    <w:p w14:paraId="0415E6DC">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12-3：专业工程暂估价表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B395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8" w:type="pct"/>
            <w:tcBorders>
              <w:top w:val="single" w:color="auto" w:sz="12" w:space="0"/>
              <w:bottom w:val="double" w:color="auto" w:sz="6" w:space="0"/>
            </w:tcBorders>
            <w:vAlign w:val="center"/>
          </w:tcPr>
          <w:p w14:paraId="45A132EF">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7D82C600">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7A6CBB91">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1C6453A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2525DDDA">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CEE16A9">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34379226">
            <w:pPr>
              <w:keepNext/>
              <w:spacing w:line="440" w:lineRule="exact"/>
              <w:jc w:val="center"/>
              <w:rPr>
                <w:rFonts w:cs="宋体"/>
                <w:color w:val="auto"/>
                <w:szCs w:val="21"/>
                <w:highlight w:val="none"/>
              </w:rPr>
            </w:pPr>
            <w:r>
              <w:rPr>
                <w:rFonts w:hint="eastAsia" w:cs="宋体"/>
                <w:color w:val="auto"/>
                <w:szCs w:val="21"/>
                <w:highlight w:val="none"/>
              </w:rPr>
              <w:t>备注</w:t>
            </w:r>
          </w:p>
        </w:tc>
      </w:tr>
      <w:tr w14:paraId="36111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6F8BB34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169EE924">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559EADC1">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E14B389">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3330B3BA">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973A063">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00903A0">
            <w:pPr>
              <w:keepNext/>
              <w:spacing w:line="440" w:lineRule="exact"/>
              <w:jc w:val="center"/>
              <w:rPr>
                <w:rFonts w:cs="宋体"/>
                <w:color w:val="auto"/>
                <w:szCs w:val="21"/>
                <w:highlight w:val="none"/>
              </w:rPr>
            </w:pPr>
          </w:p>
        </w:tc>
      </w:tr>
      <w:tr w14:paraId="1135B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7AD21FF">
            <w:pPr>
              <w:keepNext/>
              <w:spacing w:line="440" w:lineRule="exact"/>
              <w:jc w:val="center"/>
              <w:rPr>
                <w:rFonts w:cs="宋体"/>
                <w:color w:val="auto"/>
                <w:szCs w:val="21"/>
                <w:highlight w:val="none"/>
              </w:rPr>
            </w:pPr>
          </w:p>
        </w:tc>
        <w:tc>
          <w:tcPr>
            <w:tcW w:w="1094" w:type="pct"/>
            <w:tcBorders>
              <w:top w:val="nil"/>
            </w:tcBorders>
            <w:vAlign w:val="center"/>
          </w:tcPr>
          <w:p w14:paraId="3EFFB536">
            <w:pPr>
              <w:keepNext/>
              <w:spacing w:line="440" w:lineRule="exact"/>
              <w:jc w:val="center"/>
              <w:rPr>
                <w:rFonts w:cs="宋体"/>
                <w:color w:val="auto"/>
                <w:szCs w:val="21"/>
                <w:highlight w:val="none"/>
              </w:rPr>
            </w:pPr>
          </w:p>
        </w:tc>
        <w:tc>
          <w:tcPr>
            <w:tcW w:w="468" w:type="pct"/>
            <w:tcBorders>
              <w:top w:val="nil"/>
            </w:tcBorders>
            <w:vAlign w:val="center"/>
          </w:tcPr>
          <w:p w14:paraId="6ABFA5F4">
            <w:pPr>
              <w:keepNext/>
              <w:spacing w:line="440" w:lineRule="exact"/>
              <w:jc w:val="center"/>
              <w:rPr>
                <w:rFonts w:cs="宋体"/>
                <w:color w:val="auto"/>
                <w:szCs w:val="21"/>
                <w:highlight w:val="none"/>
              </w:rPr>
            </w:pPr>
          </w:p>
        </w:tc>
        <w:tc>
          <w:tcPr>
            <w:tcW w:w="426" w:type="pct"/>
            <w:tcBorders>
              <w:top w:val="nil"/>
            </w:tcBorders>
            <w:vAlign w:val="center"/>
          </w:tcPr>
          <w:p w14:paraId="00428110">
            <w:pPr>
              <w:keepNext/>
              <w:spacing w:line="440" w:lineRule="exact"/>
              <w:jc w:val="center"/>
              <w:rPr>
                <w:rFonts w:cs="宋体"/>
                <w:color w:val="auto"/>
                <w:szCs w:val="21"/>
                <w:highlight w:val="none"/>
              </w:rPr>
            </w:pPr>
          </w:p>
        </w:tc>
        <w:tc>
          <w:tcPr>
            <w:tcW w:w="745" w:type="pct"/>
            <w:tcBorders>
              <w:top w:val="nil"/>
            </w:tcBorders>
            <w:vAlign w:val="center"/>
          </w:tcPr>
          <w:p w14:paraId="2BD91C9C">
            <w:pPr>
              <w:keepNext/>
              <w:spacing w:line="440" w:lineRule="exact"/>
              <w:jc w:val="center"/>
              <w:rPr>
                <w:rFonts w:cs="宋体"/>
                <w:color w:val="auto"/>
                <w:szCs w:val="21"/>
                <w:highlight w:val="none"/>
              </w:rPr>
            </w:pPr>
          </w:p>
        </w:tc>
        <w:tc>
          <w:tcPr>
            <w:tcW w:w="781" w:type="pct"/>
            <w:tcBorders>
              <w:top w:val="nil"/>
            </w:tcBorders>
            <w:vAlign w:val="center"/>
          </w:tcPr>
          <w:p w14:paraId="0EAAF22D">
            <w:pPr>
              <w:keepNext/>
              <w:spacing w:line="440" w:lineRule="exact"/>
              <w:jc w:val="center"/>
              <w:rPr>
                <w:rFonts w:cs="宋体"/>
                <w:color w:val="auto"/>
                <w:szCs w:val="21"/>
                <w:highlight w:val="none"/>
              </w:rPr>
            </w:pPr>
          </w:p>
        </w:tc>
        <w:tc>
          <w:tcPr>
            <w:tcW w:w="938" w:type="pct"/>
            <w:tcBorders>
              <w:top w:val="nil"/>
            </w:tcBorders>
            <w:vAlign w:val="center"/>
          </w:tcPr>
          <w:p w14:paraId="1CCC70BC">
            <w:pPr>
              <w:keepNext/>
              <w:spacing w:line="440" w:lineRule="exact"/>
              <w:jc w:val="center"/>
              <w:rPr>
                <w:rFonts w:cs="宋体"/>
                <w:color w:val="auto"/>
                <w:szCs w:val="21"/>
                <w:highlight w:val="none"/>
              </w:rPr>
            </w:pPr>
          </w:p>
        </w:tc>
      </w:tr>
      <w:tr w14:paraId="55F3D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1AE547E">
            <w:pPr>
              <w:keepNext/>
              <w:spacing w:line="440" w:lineRule="exact"/>
              <w:jc w:val="center"/>
              <w:rPr>
                <w:rFonts w:cs="宋体"/>
                <w:color w:val="auto"/>
                <w:szCs w:val="21"/>
                <w:highlight w:val="none"/>
              </w:rPr>
            </w:pPr>
          </w:p>
        </w:tc>
        <w:tc>
          <w:tcPr>
            <w:tcW w:w="1094" w:type="pct"/>
            <w:vAlign w:val="center"/>
          </w:tcPr>
          <w:p w14:paraId="29AB2999">
            <w:pPr>
              <w:keepNext/>
              <w:spacing w:line="440" w:lineRule="exact"/>
              <w:jc w:val="center"/>
              <w:rPr>
                <w:rFonts w:cs="宋体"/>
                <w:color w:val="auto"/>
                <w:szCs w:val="21"/>
                <w:highlight w:val="none"/>
              </w:rPr>
            </w:pPr>
          </w:p>
        </w:tc>
        <w:tc>
          <w:tcPr>
            <w:tcW w:w="468" w:type="pct"/>
            <w:vAlign w:val="center"/>
          </w:tcPr>
          <w:p w14:paraId="4F1F84F4">
            <w:pPr>
              <w:keepNext/>
              <w:spacing w:line="440" w:lineRule="exact"/>
              <w:jc w:val="center"/>
              <w:rPr>
                <w:rFonts w:cs="宋体"/>
                <w:color w:val="auto"/>
                <w:szCs w:val="21"/>
                <w:highlight w:val="none"/>
              </w:rPr>
            </w:pPr>
          </w:p>
        </w:tc>
        <w:tc>
          <w:tcPr>
            <w:tcW w:w="426" w:type="pct"/>
            <w:vAlign w:val="center"/>
          </w:tcPr>
          <w:p w14:paraId="620A55C0">
            <w:pPr>
              <w:keepNext/>
              <w:spacing w:line="440" w:lineRule="exact"/>
              <w:jc w:val="center"/>
              <w:rPr>
                <w:rFonts w:cs="宋体"/>
                <w:color w:val="auto"/>
                <w:szCs w:val="21"/>
                <w:highlight w:val="none"/>
              </w:rPr>
            </w:pPr>
          </w:p>
        </w:tc>
        <w:tc>
          <w:tcPr>
            <w:tcW w:w="745" w:type="pct"/>
            <w:vAlign w:val="center"/>
          </w:tcPr>
          <w:p w14:paraId="647FD0D9">
            <w:pPr>
              <w:keepNext/>
              <w:spacing w:line="440" w:lineRule="exact"/>
              <w:jc w:val="center"/>
              <w:rPr>
                <w:rFonts w:cs="宋体"/>
                <w:color w:val="auto"/>
                <w:szCs w:val="21"/>
                <w:highlight w:val="none"/>
              </w:rPr>
            </w:pPr>
          </w:p>
        </w:tc>
        <w:tc>
          <w:tcPr>
            <w:tcW w:w="781" w:type="pct"/>
            <w:vAlign w:val="center"/>
          </w:tcPr>
          <w:p w14:paraId="601CBF85">
            <w:pPr>
              <w:keepNext/>
              <w:spacing w:line="440" w:lineRule="exact"/>
              <w:jc w:val="center"/>
              <w:rPr>
                <w:rFonts w:cs="宋体"/>
                <w:color w:val="auto"/>
                <w:szCs w:val="21"/>
                <w:highlight w:val="none"/>
              </w:rPr>
            </w:pPr>
          </w:p>
        </w:tc>
        <w:tc>
          <w:tcPr>
            <w:tcW w:w="938" w:type="pct"/>
            <w:vAlign w:val="center"/>
          </w:tcPr>
          <w:p w14:paraId="2F6FFD52">
            <w:pPr>
              <w:keepNext/>
              <w:spacing w:line="440" w:lineRule="exact"/>
              <w:jc w:val="center"/>
              <w:rPr>
                <w:rFonts w:cs="宋体"/>
                <w:color w:val="auto"/>
                <w:szCs w:val="21"/>
                <w:highlight w:val="none"/>
              </w:rPr>
            </w:pPr>
          </w:p>
        </w:tc>
      </w:tr>
      <w:tr w14:paraId="6C418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02D81134">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7562919A">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6F46E411">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161A7B4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50405C40">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00F58B5C">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32016D8A">
            <w:pPr>
              <w:keepNext/>
              <w:spacing w:line="440" w:lineRule="exact"/>
              <w:jc w:val="center"/>
              <w:rPr>
                <w:rFonts w:cs="宋体"/>
                <w:color w:val="auto"/>
                <w:szCs w:val="21"/>
                <w:highlight w:val="none"/>
              </w:rPr>
            </w:pPr>
          </w:p>
        </w:tc>
      </w:tr>
    </w:tbl>
    <w:p w14:paraId="57E27BF7">
      <w:pPr>
        <w:rPr>
          <w:rFonts w:cs="宋体"/>
          <w:color w:val="auto"/>
          <w:szCs w:val="21"/>
          <w:highlight w:val="none"/>
        </w:rPr>
      </w:pPr>
    </w:p>
    <w:p w14:paraId="10798F5A">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49" w:name="_Toc128950248"/>
      <w:r>
        <w:rPr>
          <w:rFonts w:hint="eastAsia" w:ascii="Times New Roman" w:eastAsia="黑体"/>
          <w:color w:val="auto"/>
          <w:szCs w:val="24"/>
          <w:highlight w:val="none"/>
        </w:rPr>
        <w:t>附件13：安全生产合同</w:t>
      </w:r>
      <w:bookmarkEnd w:id="649"/>
    </w:p>
    <w:p w14:paraId="48073097">
      <w:pPr>
        <w:spacing w:before="156" w:beforeLines="50" w:after="156" w:afterLines="50" w:line="360" w:lineRule="auto"/>
        <w:jc w:val="center"/>
        <w:rPr>
          <w:rFonts w:cs="宋体"/>
          <w:b/>
          <w:color w:val="auto"/>
          <w:sz w:val="32"/>
          <w:szCs w:val="32"/>
          <w:highlight w:val="none"/>
        </w:rPr>
      </w:pPr>
      <w:bookmarkStart w:id="650" w:name="_Toc23792"/>
      <w:bookmarkStart w:id="651" w:name="_Toc11475"/>
      <w:r>
        <w:rPr>
          <w:rFonts w:hint="eastAsia" w:cs="宋体"/>
          <w:b/>
          <w:color w:val="auto"/>
          <w:sz w:val="32"/>
          <w:szCs w:val="32"/>
          <w:highlight w:val="none"/>
        </w:rPr>
        <w:t>安全生产合同</w:t>
      </w:r>
      <w:bookmarkEnd w:id="650"/>
      <w:bookmarkEnd w:id="651"/>
    </w:p>
    <w:p w14:paraId="54747FBE">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lang w:val="en-US" w:eastAsia="zh-CN"/>
        </w:rPr>
        <w:t>明湖公园园路应急工程</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49A407BA">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379286BA">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7C858D2C">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443670DC">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4A0A0E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1112927D">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3F43EE03">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7142A3B4">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399985C">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C51F830">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36227972">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7D3A08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119B71">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A08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4A6042C">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7A0F0977">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0ED9EDB">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89008DC">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003CC033">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1310266B">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728F004">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45EC1BB4">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0693E976">
      <w:pPr>
        <w:spacing w:line="360" w:lineRule="auto"/>
        <w:rPr>
          <w:rFonts w:cs="宋体"/>
          <w:color w:val="auto"/>
          <w:sz w:val="21"/>
          <w:szCs w:val="21"/>
          <w:highlight w:val="none"/>
        </w:rPr>
      </w:pPr>
    </w:p>
    <w:p w14:paraId="07C1AFFA">
      <w:pPr>
        <w:spacing w:line="360" w:lineRule="auto"/>
        <w:rPr>
          <w:rFonts w:cs="宋体"/>
          <w:color w:val="auto"/>
          <w:sz w:val="21"/>
          <w:szCs w:val="21"/>
          <w:highlight w:val="none"/>
        </w:rPr>
      </w:pPr>
    </w:p>
    <w:p w14:paraId="3CAD722D">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21E0C466">
      <w:pPr>
        <w:spacing w:line="360" w:lineRule="auto"/>
        <w:rPr>
          <w:rFonts w:cs="宋体"/>
          <w:color w:val="auto"/>
          <w:sz w:val="21"/>
          <w:szCs w:val="21"/>
          <w:highlight w:val="none"/>
        </w:rPr>
      </w:pPr>
    </w:p>
    <w:p w14:paraId="29D3CCA3">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43A6F92">
      <w:pPr>
        <w:spacing w:line="360" w:lineRule="auto"/>
        <w:rPr>
          <w:rFonts w:cs="宋体"/>
          <w:color w:val="auto"/>
          <w:sz w:val="21"/>
          <w:szCs w:val="21"/>
          <w:highlight w:val="none"/>
        </w:rPr>
      </w:pPr>
    </w:p>
    <w:p w14:paraId="0BA97D6A">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CEE39DB">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52" w:name="_Toc128950249"/>
      <w:r>
        <w:rPr>
          <w:rFonts w:hint="eastAsia" w:ascii="Times New Roman" w:eastAsia="黑体"/>
          <w:color w:val="auto"/>
          <w:szCs w:val="24"/>
          <w:highlight w:val="none"/>
        </w:rPr>
        <w:t>附件14：项目经理质量终身责任制承诺</w:t>
      </w:r>
      <w:bookmarkEnd w:id="652"/>
    </w:p>
    <w:p w14:paraId="0839DB50">
      <w:pPr>
        <w:spacing w:before="156" w:beforeLines="50" w:after="156" w:afterLines="50" w:line="360" w:lineRule="auto"/>
        <w:jc w:val="center"/>
        <w:rPr>
          <w:rFonts w:cs="宋体"/>
          <w:b/>
          <w:color w:val="auto"/>
          <w:sz w:val="32"/>
          <w:szCs w:val="32"/>
          <w:highlight w:val="none"/>
        </w:rPr>
      </w:pPr>
      <w:bookmarkStart w:id="653" w:name="_Toc14540"/>
      <w:bookmarkStart w:id="654" w:name="_Toc128950250"/>
      <w:bookmarkStart w:id="655" w:name="_Toc19417"/>
      <w:r>
        <w:rPr>
          <w:rFonts w:hint="eastAsia" w:cs="宋体"/>
          <w:b/>
          <w:color w:val="auto"/>
          <w:sz w:val="32"/>
          <w:szCs w:val="32"/>
          <w:highlight w:val="none"/>
        </w:rPr>
        <w:t>项目经理质量终身责任制承诺</w:t>
      </w:r>
      <w:bookmarkEnd w:id="653"/>
      <w:bookmarkEnd w:id="654"/>
      <w:bookmarkEnd w:id="655"/>
    </w:p>
    <w:p w14:paraId="6D18411C">
      <w:pPr>
        <w:spacing w:line="360" w:lineRule="auto"/>
        <w:rPr>
          <w:rFonts w:hint="default" w:eastAsia="宋体" w:cs="宋体"/>
          <w:bCs/>
          <w:color w:val="auto"/>
          <w:sz w:val="21"/>
          <w:szCs w:val="21"/>
          <w:highlight w:val="none"/>
          <w:lang w:val="en-US" w:eastAsia="zh-CN"/>
        </w:rPr>
      </w:pPr>
      <w:r>
        <w:rPr>
          <w:rFonts w:hint="eastAsia" w:cs="宋体"/>
          <w:bCs/>
          <w:color w:val="auto"/>
          <w:sz w:val="21"/>
          <w:szCs w:val="21"/>
          <w:highlight w:val="none"/>
        </w:rPr>
        <w:t>致：</w:t>
      </w:r>
      <w:r>
        <w:rPr>
          <w:rFonts w:hint="eastAsia" w:cs="宋体"/>
          <w:bCs/>
          <w:color w:val="auto"/>
          <w:sz w:val="21"/>
          <w:szCs w:val="21"/>
          <w:highlight w:val="none"/>
          <w:u w:val="single"/>
          <w:lang w:val="en-US" w:eastAsia="zh-CN"/>
        </w:rPr>
        <w:t>滁州市明湖建设管理服务中心</w:t>
      </w:r>
    </w:p>
    <w:p w14:paraId="030651F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000DC66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19A29E5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469B5A0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1A1088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6A6E35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9AE45B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382DC5B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753CBB6E">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3ACA9F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6954BF42">
      <w:pPr>
        <w:spacing w:line="360" w:lineRule="auto"/>
        <w:ind w:left="342" w:leftChars="171" w:firstLine="630" w:firstLineChars="300"/>
        <w:rPr>
          <w:rFonts w:cs="宋体"/>
          <w:bCs/>
          <w:color w:val="auto"/>
          <w:sz w:val="21"/>
          <w:szCs w:val="21"/>
          <w:highlight w:val="none"/>
        </w:rPr>
      </w:pPr>
    </w:p>
    <w:p w14:paraId="1FBB4B4C">
      <w:pPr>
        <w:spacing w:line="360" w:lineRule="auto"/>
        <w:ind w:left="342" w:leftChars="171" w:firstLine="630" w:firstLineChars="300"/>
        <w:rPr>
          <w:rFonts w:cs="宋体"/>
          <w:bCs/>
          <w:color w:val="auto"/>
          <w:sz w:val="21"/>
          <w:szCs w:val="21"/>
          <w:highlight w:val="none"/>
        </w:rPr>
      </w:pPr>
    </w:p>
    <w:p w14:paraId="32EFA0B5">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2C7E9A7">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676ECC27">
      <w:pPr>
        <w:pStyle w:val="19"/>
        <w:rPr>
          <w:rFonts w:ascii="宋体" w:hAnsi="宋体" w:eastAsia="宋体" w:cs="宋体"/>
          <w:bCs/>
          <w:color w:val="auto"/>
          <w:sz w:val="21"/>
          <w:szCs w:val="21"/>
          <w:highlight w:val="none"/>
        </w:rPr>
      </w:pPr>
    </w:p>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56" w:name="_Toc22734"/>
      <w:r>
        <w:rPr>
          <w:rFonts w:hint="eastAsia" w:asciiTheme="minorEastAsia" w:hAnsiTheme="minorEastAsia" w:eastAsiaTheme="minorEastAsia"/>
          <w:b/>
          <w:color w:val="auto"/>
          <w:sz w:val="28"/>
          <w:highlight w:val="none"/>
        </w:rPr>
        <w:t>第六章  响应文件格式</w:t>
      </w:r>
      <w:bookmarkEnd w:id="656"/>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48E97191">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57" w:name="_Toc24911"/>
      <w:bookmarkStart w:id="658"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57"/>
      <w:bookmarkEnd w:id="658"/>
    </w:p>
    <w:p w14:paraId="334EC9B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659" w:name="_Toc461053086"/>
      <w:bookmarkStart w:id="660" w:name="_Toc461056631"/>
      <w:bookmarkStart w:id="661" w:name="_Toc21496"/>
      <w:bookmarkStart w:id="662" w:name="_Toc28280"/>
      <w:bookmarkStart w:id="663" w:name="_Toc520983587"/>
      <w:r>
        <w:rPr>
          <w:rFonts w:hint="eastAsia" w:asciiTheme="minorEastAsia" w:hAnsiTheme="minorEastAsia" w:eastAsiaTheme="minorEastAsia"/>
          <w:b/>
          <w:color w:val="auto"/>
          <w:sz w:val="24"/>
          <w:highlight w:val="none"/>
        </w:rPr>
        <w:t>一</w:t>
      </w:r>
      <w:bookmarkEnd w:id="659"/>
      <w:bookmarkEnd w:id="660"/>
      <w:r>
        <w:rPr>
          <w:rFonts w:hint="eastAsia" w:asciiTheme="minorEastAsia" w:hAnsiTheme="minorEastAsia" w:eastAsiaTheme="minorEastAsia"/>
          <w:b/>
          <w:color w:val="auto"/>
          <w:sz w:val="24"/>
          <w:highlight w:val="none"/>
        </w:rPr>
        <w:t>、报价表格式</w:t>
      </w:r>
      <w:bookmarkEnd w:id="661"/>
      <w:bookmarkEnd w:id="662"/>
      <w:bookmarkEnd w:id="663"/>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171E0A94">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ascii="宋体" w:hAnsi="宋体" w:eastAsia="宋体" w:cs="宋体"/>
                <w:b/>
                <w:color w:val="auto"/>
                <w:kern w:val="2"/>
                <w:sz w:val="24"/>
                <w:szCs w:val="24"/>
                <w:highlight w:val="none"/>
                <w:lang w:val="en-US" w:eastAsia="zh-CN"/>
              </w:rPr>
              <w:t>自合同签订之日起，不高于</w:t>
            </w:r>
            <w:r>
              <w:rPr>
                <w:rFonts w:hint="eastAsia"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lang w:val="en-US" w:eastAsia="zh-CN"/>
              </w:rPr>
              <w:t>个日历天完工。供应商自报的承诺工期为考核标准。因供应商原因造成的工期延误，每推迟一天，按合同价款（扣除暂估价和暂列金）万分之二处以违约金。</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664" w:name="_Toc26702"/>
      <w:bookmarkStart w:id="665" w:name="_Toc1874"/>
      <w:r>
        <w:rPr>
          <w:rFonts w:hint="eastAsia" w:cs="宋体" w:asciiTheme="minorEastAsia" w:hAnsiTheme="minorEastAsia" w:eastAsiaTheme="minorEastAsia"/>
          <w:b/>
          <w:color w:val="auto"/>
          <w:sz w:val="24"/>
          <w:szCs w:val="24"/>
          <w:highlight w:val="none"/>
        </w:rPr>
        <w:t>工程量清单报价书</w:t>
      </w:r>
      <w:bookmarkEnd w:id="664"/>
      <w:bookmarkEnd w:id="665"/>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jc w:val="left"/>
        <w:rPr>
          <w:b/>
          <w:bCs/>
          <w:color w:val="auto"/>
          <w:sz w:val="24"/>
          <w:szCs w:val="28"/>
          <w:highlight w:val="none"/>
        </w:rPr>
      </w:pPr>
      <w:r>
        <w:rPr>
          <w:b/>
          <w:bCs/>
          <w:color w:val="auto"/>
          <w:sz w:val="24"/>
          <w:szCs w:val="28"/>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666" w:name="_Toc461053087"/>
      <w:bookmarkStart w:id="667" w:name="_Toc461056632"/>
      <w:bookmarkStart w:id="668" w:name="_Toc520983588"/>
      <w:bookmarkStart w:id="669" w:name="_Toc20879"/>
      <w:bookmarkStart w:id="670" w:name="_Toc22341"/>
      <w:r>
        <w:rPr>
          <w:rFonts w:hint="eastAsia" w:asciiTheme="minorEastAsia" w:hAnsiTheme="minorEastAsia" w:eastAsiaTheme="minorEastAsia"/>
          <w:b/>
          <w:color w:val="auto"/>
          <w:sz w:val="24"/>
          <w:highlight w:val="none"/>
        </w:rPr>
        <w:t>二</w:t>
      </w:r>
      <w:bookmarkEnd w:id="666"/>
      <w:bookmarkEnd w:id="667"/>
      <w:r>
        <w:rPr>
          <w:rFonts w:hint="eastAsia" w:asciiTheme="minorEastAsia" w:hAnsiTheme="minorEastAsia" w:eastAsiaTheme="minorEastAsia"/>
          <w:b/>
          <w:color w:val="auto"/>
          <w:sz w:val="24"/>
          <w:highlight w:val="none"/>
        </w:rPr>
        <w:t>、最后承诺报价表</w:t>
      </w:r>
      <w:bookmarkEnd w:id="668"/>
      <w:bookmarkEnd w:id="669"/>
      <w:bookmarkEnd w:id="670"/>
    </w:p>
    <w:p w14:paraId="0EE7A619">
      <w:pPr>
        <w:spacing w:before="156" w:beforeLines="50" w:after="156" w:afterLines="50" w:line="360" w:lineRule="auto"/>
        <w:ind w:firstLine="236" w:firstLineChars="98"/>
        <w:jc w:val="center"/>
        <w:outlineLvl w:val="1"/>
        <w:rPr>
          <w:b/>
          <w:color w:val="auto"/>
          <w:sz w:val="24"/>
          <w:szCs w:val="28"/>
          <w:highlight w:val="none"/>
        </w:rPr>
      </w:pPr>
      <w:bookmarkStart w:id="671" w:name="_Toc8562"/>
      <w:bookmarkStart w:id="672"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71"/>
      <w:bookmarkEnd w:id="672"/>
    </w:p>
    <w:p w14:paraId="19A7588B">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ascii="宋体" w:hAnsi="宋体" w:eastAsia="宋体" w:cs="宋体"/>
                <w:b/>
                <w:color w:val="auto"/>
                <w:kern w:val="2"/>
                <w:sz w:val="24"/>
                <w:szCs w:val="24"/>
                <w:highlight w:val="none"/>
                <w:lang w:val="en-US" w:eastAsia="zh-CN"/>
              </w:rPr>
              <w:t>自合同签订之日起，不高于</w:t>
            </w:r>
            <w:r>
              <w:rPr>
                <w:rFonts w:hint="eastAsia"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lang w:val="en-US" w:eastAsia="zh-CN"/>
              </w:rPr>
              <w:t>个日历天完工。供应商自报的承诺工期为考核标准。因供应商原因造成的工期延误，每推迟一天，按合同价款（扣除暂估价和暂列金）万分之二处以违约金。</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5EFA4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964385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8BBD8D6">
      <w:pPr>
        <w:widowControl/>
        <w:jc w:val="left"/>
        <w:rPr>
          <w:bCs/>
          <w:color w:val="auto"/>
          <w:sz w:val="24"/>
          <w:highlight w:val="none"/>
        </w:rPr>
      </w:pPr>
    </w:p>
    <w:p w14:paraId="1E4501B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73" w:name="_Toc22429"/>
      <w:bookmarkStart w:id="674" w:name="_Toc7943"/>
      <w:bookmarkStart w:id="675"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73"/>
      <w:bookmarkEnd w:id="674"/>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676" w:name="_Toc8006"/>
      <w:bookmarkStart w:id="677" w:name="_Toc28160"/>
      <w:r>
        <w:rPr>
          <w:rFonts w:hint="eastAsia" w:asciiTheme="minorEastAsia" w:hAnsiTheme="minorEastAsia" w:eastAsiaTheme="minorEastAsia"/>
          <w:b/>
          <w:color w:val="auto"/>
          <w:sz w:val="24"/>
          <w:highlight w:val="none"/>
        </w:rPr>
        <w:t>四、磋商响应函</w:t>
      </w:r>
      <w:bookmarkEnd w:id="675"/>
      <w:bookmarkEnd w:id="676"/>
      <w:bookmarkEnd w:id="677"/>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3"/>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678" w:name="_Toc2947"/>
      <w:bookmarkStart w:id="679" w:name="_Toc20728"/>
      <w:r>
        <w:rPr>
          <w:rFonts w:hint="eastAsia" w:asciiTheme="minorEastAsia" w:hAnsiTheme="minorEastAsia" w:eastAsiaTheme="minorEastAsia"/>
          <w:b/>
          <w:color w:val="auto"/>
          <w:sz w:val="24"/>
          <w:highlight w:val="none"/>
        </w:rPr>
        <w:t>五、</w:t>
      </w:r>
      <w:bookmarkEnd w:id="678"/>
      <w:bookmarkStart w:id="680" w:name="_Toc8658"/>
      <w:r>
        <w:rPr>
          <w:rFonts w:hint="eastAsia" w:asciiTheme="minorEastAsia" w:hAnsiTheme="minorEastAsia" w:eastAsiaTheme="minorEastAsia"/>
          <w:b/>
          <w:color w:val="auto"/>
          <w:sz w:val="24"/>
          <w:highlight w:val="none"/>
          <w:lang w:val="en-US" w:eastAsia="zh-CN"/>
        </w:rPr>
        <w:t>供应商资格声明书</w:t>
      </w:r>
      <w:bookmarkEnd w:id="679"/>
      <w:r>
        <w:rPr>
          <w:rFonts w:hint="eastAsia" w:asciiTheme="minorEastAsia" w:hAnsiTheme="minorEastAsia" w:eastAsiaTheme="minorEastAsia"/>
          <w:b/>
          <w:color w:val="auto"/>
          <w:sz w:val="24"/>
          <w:highlight w:val="none"/>
          <w:lang w:val="en-US" w:eastAsia="zh-CN"/>
        </w:rPr>
        <w:t xml:space="preserve"> </w:t>
      </w:r>
    </w:p>
    <w:p w14:paraId="7B0B3723">
      <w:pPr>
        <w:pStyle w:val="30"/>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50220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215F1E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5E3E90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227B19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67773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6F02C71C">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767000FB">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422727E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FBA3A3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A5E828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4666905">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CE4BDA">
      <w:pPr>
        <w:spacing w:line="360" w:lineRule="auto"/>
        <w:jc w:val="center"/>
        <w:outlineLvl w:val="9"/>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80"/>
    </w:p>
    <w:p w14:paraId="7BFA906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681" w:name="_Toc516969106"/>
      <w:bookmarkStart w:id="682" w:name="_Toc25503"/>
      <w:bookmarkStart w:id="683" w:name="_Toc909"/>
      <w:bookmarkStart w:id="684" w:name="_Toc520983594"/>
      <w:bookmarkStart w:id="685" w:name="_Toc121626298"/>
      <w:bookmarkStart w:id="686" w:name="_Toc204594911"/>
      <w:r>
        <w:rPr>
          <w:rFonts w:hint="eastAsia" w:ascii="宋体" w:hAnsi="宋体" w:eastAsia="宋体" w:cs="宋体"/>
          <w:b/>
          <w:bCs w:val="0"/>
          <w:color w:val="auto"/>
          <w:kern w:val="0"/>
          <w:sz w:val="24"/>
          <w:szCs w:val="24"/>
          <w:highlight w:val="none"/>
          <w:lang w:val="en-US" w:eastAsia="zh-CN" w:bidi="ar"/>
        </w:rPr>
        <w:t>六、</w:t>
      </w:r>
      <w:r>
        <w:rPr>
          <w:rFonts w:hint="eastAsia" w:ascii="宋体" w:hAnsi="宋体" w:eastAsia="宋体" w:cs="宋体"/>
          <w:b/>
          <w:bCs w:val="0"/>
          <w:color w:val="auto"/>
          <w:kern w:val="2"/>
          <w:sz w:val="24"/>
          <w:szCs w:val="24"/>
          <w:highlight w:val="none"/>
          <w:lang w:val="en-US" w:eastAsia="zh-CN" w:bidi="ar"/>
        </w:rPr>
        <w:t>诚信响应承诺书</w:t>
      </w:r>
    </w:p>
    <w:p w14:paraId="12812C4A">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301AB7A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项目的响应，所提供的一切材料都是真实、有效、合法的；</w:t>
      </w:r>
    </w:p>
    <w:p w14:paraId="0DCDAED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F7057D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三、不出借、转让资质证书，不让他人挂靠投标，不以他人名义投标或者以其他方式弄虚作假，骗取成交；</w:t>
      </w:r>
    </w:p>
    <w:p w14:paraId="0AC5AFB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四、不与其他供应商相互串通响应报价，不排挤其他供应商的公平竞争、损害采购人的合法权益；</w:t>
      </w:r>
    </w:p>
    <w:p w14:paraId="6FBDD35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五、不与采购人、采购代理机构或其他供应商串通响应，损害国家利益、社会公共利益或者他人的合法权益；</w:t>
      </w:r>
    </w:p>
    <w:p w14:paraId="65A3CE2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71241E9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七、严格遵守会议现场纪律，服从监管人员管理；</w:t>
      </w:r>
    </w:p>
    <w:p w14:paraId="1B219BC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八、保证成交后不转包，若有分包征得采购人同意；</w:t>
      </w:r>
    </w:p>
    <w:p w14:paraId="02E42114">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九、保证成交之后，按照响应文件要求提供相关后续服务；</w:t>
      </w:r>
    </w:p>
    <w:p w14:paraId="05A7972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十、保证企业及所属相关人员在本次响应中无行贿等犯罪行为；</w:t>
      </w:r>
    </w:p>
    <w:p w14:paraId="72CF119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A5AE37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谈判或者中标（成交）资格、中标（成交）无效、记入不良行为记录等有关处理，愿意承担法律责任，给采购人造成损失的，依法承担赔偿责任。</w:t>
      </w:r>
    </w:p>
    <w:p w14:paraId="1EC26C3C">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D202A6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8D6FA2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基本账户：</w:t>
      </w:r>
    </w:p>
    <w:p w14:paraId="132D0DA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供应商（签章）：        </w:t>
      </w:r>
      <w:r>
        <w:rPr>
          <w:rFonts w:hint="eastAsia"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法定代表人（签章）：</w:t>
      </w:r>
    </w:p>
    <w:p w14:paraId="41B9014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1A81A32">
      <w:pPr>
        <w:keepNext w:val="0"/>
        <w:keepLines w:val="0"/>
        <w:widowControl w:val="0"/>
        <w:suppressLineNumbers w:val="0"/>
        <w:spacing w:before="0" w:beforeAutospacing="0" w:after="0" w:afterAutospacing="0" w:line="560" w:lineRule="exact"/>
        <w:ind w:left="0" w:right="0"/>
        <w:jc w:val="right"/>
        <w:rPr>
          <w:rFonts w:hint="eastAsia" w:ascii="仿宋_GB2312" w:hAnsi="@仿宋_GB2312" w:eastAsia="仿宋_GB2312" w:cs="仿宋_GB2312"/>
          <w:color w:val="auto"/>
          <w:kern w:val="2"/>
          <w:sz w:val="32"/>
          <w:szCs w:val="32"/>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月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5327837E">
      <w:pPr>
        <w:rPr>
          <w:rFonts w:hint="eastAsia"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br w:type="page"/>
      </w:r>
    </w:p>
    <w:p w14:paraId="7C50D398">
      <w:pPr>
        <w:widowControl/>
        <w:jc w:val="center"/>
        <w:outlineLvl w:val="1"/>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七</w:t>
      </w:r>
      <w:r>
        <w:rPr>
          <w:rFonts w:hint="eastAsia" w:asciiTheme="minorEastAsia" w:hAnsiTheme="minorEastAsia" w:eastAsiaTheme="minorEastAsia"/>
          <w:b/>
          <w:color w:val="auto"/>
          <w:sz w:val="24"/>
          <w:highlight w:val="none"/>
          <w:u w:val="none"/>
        </w:rPr>
        <w:t>、授权书</w:t>
      </w:r>
      <w:bookmarkEnd w:id="681"/>
      <w:bookmarkEnd w:id="682"/>
      <w:bookmarkEnd w:id="683"/>
      <w:bookmarkEnd w:id="684"/>
      <w:bookmarkEnd w:id="685"/>
      <w:bookmarkEnd w:id="686"/>
    </w:p>
    <w:p w14:paraId="10E3BC2A">
      <w:pPr>
        <w:spacing w:line="360" w:lineRule="auto"/>
        <w:jc w:val="center"/>
        <w:rPr>
          <w:rFonts w:asciiTheme="minorEastAsia" w:hAnsiTheme="minorEastAsia" w:eastAsiaTheme="minorEastAsia"/>
          <w:b/>
          <w:color w:val="auto"/>
          <w:sz w:val="24"/>
          <w:highlight w:val="none"/>
        </w:rPr>
      </w:pPr>
    </w:p>
    <w:p w14:paraId="18B209B0">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8"/>
        <w:snapToGrid w:val="0"/>
        <w:spacing w:line="360" w:lineRule="auto"/>
        <w:ind w:firstLine="480" w:firstLineChars="200"/>
        <w:jc w:val="left"/>
        <w:rPr>
          <w:rFonts w:hAnsi="宋体" w:eastAsia="宋体"/>
          <w:color w:val="auto"/>
          <w:sz w:val="24"/>
          <w:highlight w:val="none"/>
        </w:rPr>
      </w:pPr>
    </w:p>
    <w:p w14:paraId="4B586E3B">
      <w:pPr>
        <w:pStyle w:val="28"/>
        <w:snapToGrid w:val="0"/>
        <w:spacing w:line="360" w:lineRule="auto"/>
        <w:ind w:firstLine="480" w:firstLineChars="200"/>
        <w:jc w:val="left"/>
        <w:rPr>
          <w:rFonts w:hAnsi="宋体" w:eastAsia="宋体"/>
          <w:color w:val="auto"/>
          <w:sz w:val="24"/>
          <w:highlight w:val="none"/>
        </w:rPr>
      </w:pPr>
    </w:p>
    <w:p w14:paraId="7ED81DEA">
      <w:pPr>
        <w:pStyle w:val="28"/>
        <w:snapToGrid w:val="0"/>
        <w:spacing w:line="360" w:lineRule="auto"/>
        <w:ind w:firstLine="480" w:firstLineChars="200"/>
        <w:jc w:val="left"/>
        <w:rPr>
          <w:rFonts w:hAnsi="宋体" w:eastAsia="宋体"/>
          <w:color w:val="auto"/>
          <w:sz w:val="24"/>
          <w:highlight w:val="none"/>
        </w:rPr>
      </w:pPr>
    </w:p>
    <w:p w14:paraId="38559ABF">
      <w:pPr>
        <w:pStyle w:val="28"/>
        <w:snapToGrid w:val="0"/>
        <w:spacing w:line="360" w:lineRule="auto"/>
        <w:ind w:firstLine="480" w:firstLineChars="200"/>
        <w:jc w:val="left"/>
        <w:rPr>
          <w:rFonts w:hAnsi="宋体" w:eastAsia="宋体"/>
          <w:color w:val="auto"/>
          <w:sz w:val="24"/>
          <w:highlight w:val="none"/>
        </w:rPr>
      </w:pPr>
    </w:p>
    <w:p w14:paraId="141D8383">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8"/>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48710A5">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jc w:val="left"/>
        <w:rPr>
          <w:color w:val="auto"/>
          <w:sz w:val="24"/>
          <w:highlight w:val="none"/>
        </w:rPr>
      </w:pPr>
      <w:r>
        <w:rPr>
          <w:color w:val="auto"/>
          <w:sz w:val="24"/>
          <w:highlight w:val="none"/>
        </w:rPr>
        <w:br w:type="page"/>
      </w:r>
    </w:p>
    <w:p w14:paraId="0F90EB7A">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87" w:name="_Toc32351"/>
      <w:bookmarkStart w:id="688" w:name="_Toc1222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、法定代表人身份证明书</w:t>
      </w:r>
      <w:bookmarkEnd w:id="687"/>
      <w:bookmarkEnd w:id="688"/>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64BBAB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689" w:name="_Toc4373"/>
      <w:bookmarkStart w:id="690" w:name="_Toc20099"/>
      <w:r>
        <w:rPr>
          <w:rFonts w:hint="eastAsia" w:cs="@仿宋_GB2312" w:asciiTheme="minorEastAsia" w:hAnsiTheme="minorEastAsia" w:eastAsiaTheme="minorEastAsia"/>
          <w:b/>
          <w:bCs/>
          <w:color w:val="auto"/>
          <w:kern w:val="2"/>
          <w:sz w:val="24"/>
          <w:szCs w:val="24"/>
          <w:highlight w:val="none"/>
          <w:lang w:val="en-US" w:eastAsia="zh-CN"/>
        </w:rPr>
        <w:t>九</w:t>
      </w:r>
      <w:r>
        <w:rPr>
          <w:rFonts w:hint="eastAsia" w:cs="@仿宋_GB2312" w:asciiTheme="minorEastAsia" w:hAnsiTheme="minorEastAsia" w:eastAsiaTheme="minorEastAsia"/>
          <w:b/>
          <w:bCs/>
          <w:color w:val="auto"/>
          <w:kern w:val="2"/>
          <w:sz w:val="24"/>
          <w:szCs w:val="24"/>
          <w:highlight w:val="none"/>
        </w:rPr>
        <w:t>、项目经理承诺书</w:t>
      </w:r>
      <w:bookmarkEnd w:id="689"/>
      <w:bookmarkEnd w:id="690"/>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545A20D6">
      <w:pPr>
        <w:autoSpaceDE w:val="0"/>
        <w:autoSpaceDN w:val="0"/>
        <w:adjustRightInd w:val="0"/>
        <w:spacing w:line="360" w:lineRule="auto"/>
        <w:jc w:val="both"/>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3E4189E">
      <w:pPr>
        <w:spacing w:line="360" w:lineRule="auto"/>
        <w:jc w:val="center"/>
        <w:outlineLvl w:val="1"/>
        <w:rPr>
          <w:rFonts w:asciiTheme="minorEastAsia" w:hAnsiTheme="minorEastAsia" w:eastAsiaTheme="minorEastAsia"/>
          <w:b/>
          <w:color w:val="auto"/>
          <w:sz w:val="24"/>
          <w:highlight w:val="none"/>
        </w:rPr>
      </w:pPr>
      <w:bookmarkStart w:id="691" w:name="_Toc28359"/>
      <w:bookmarkStart w:id="692" w:name="_Toc31589"/>
      <w:r>
        <w:rPr>
          <w:rFonts w:hint="eastAsia" w:asciiTheme="minorEastAsia" w:hAnsiTheme="minorEastAsia" w:eastAsiaTheme="minorEastAsia"/>
          <w:b/>
          <w:color w:val="auto"/>
          <w:sz w:val="24"/>
          <w:highlight w:val="none"/>
        </w:rPr>
        <w:t>十、中小企业声明函</w:t>
      </w:r>
      <w:bookmarkEnd w:id="691"/>
      <w:bookmarkEnd w:id="692"/>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36652A2E">
      <w:pPr>
        <w:spacing w:line="360" w:lineRule="auto"/>
        <w:ind w:firstLine="435"/>
        <w:rPr>
          <w:rFonts w:cs="@仿宋_GB2312" w:asciiTheme="minorEastAsia" w:hAnsiTheme="minorEastAsia" w:eastAsiaTheme="minorEastAsia"/>
          <w:color w:val="auto"/>
          <w:kern w:val="2"/>
          <w:sz w:val="24"/>
          <w:szCs w:val="24"/>
          <w:highlight w:val="none"/>
        </w:rPr>
      </w:pPr>
      <w:r>
        <w:rPr>
          <w:rFonts w:hint="eastAsia" w:cs="@仿宋_GB2312"/>
          <w:color w:val="auto"/>
          <w:kern w:val="2"/>
          <w:sz w:val="24"/>
          <w:szCs w:val="24"/>
          <w:highlight w:val="none"/>
          <w:lang w:val="zh-CN"/>
        </w:rPr>
        <w:t xml:space="preserve">本企业对上述声明内容的真实性负责。如有虚假，将依法承担相应责任。 </w:t>
      </w: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693" w:name="_Toc17813"/>
      <w:bookmarkStart w:id="694" w:name="_Toc17154"/>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、残疾人福利性单位声明函</w:t>
      </w:r>
      <w:bookmarkEnd w:id="693"/>
      <w:bookmarkEnd w:id="694"/>
    </w:p>
    <w:p w14:paraId="2640A097">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695" w:name="_Toc26894"/>
      <w:bookmarkStart w:id="696" w:name="_Toc17768"/>
      <w:bookmarkStart w:id="697"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、诚信履约承诺函</w:t>
      </w:r>
      <w:bookmarkEnd w:id="695"/>
      <w:bookmarkEnd w:id="696"/>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697"/>
    <w:p w14:paraId="01C2ACEF">
      <w:pPr>
        <w:spacing w:line="360" w:lineRule="auto"/>
        <w:jc w:val="center"/>
        <w:outlineLvl w:val="1"/>
        <w:rPr>
          <w:rFonts w:asciiTheme="minorEastAsia" w:hAnsiTheme="minorEastAsia" w:eastAsiaTheme="minorEastAsia"/>
          <w:b/>
          <w:color w:val="auto"/>
          <w:sz w:val="24"/>
          <w:highlight w:val="none"/>
        </w:rPr>
      </w:pPr>
      <w:bookmarkStart w:id="698" w:name="_Toc8176"/>
      <w:bookmarkStart w:id="699" w:name="_Toc2864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698"/>
      <w:bookmarkEnd w:id="699"/>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73A6808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highlight w:val="none"/>
        </w:rPr>
      </w:pPr>
      <w:bookmarkStart w:id="700" w:name="_Toc24879"/>
      <w:r>
        <w:rPr>
          <w:rFonts w:hint="eastAsia" w:ascii="宋体" w:hAnsi="宋体" w:eastAsia="宋体" w:cs="宋体"/>
          <w:b/>
          <w:bCs w:val="0"/>
          <w:color w:val="auto"/>
          <w:kern w:val="0"/>
          <w:sz w:val="28"/>
          <w:szCs w:val="28"/>
          <w:highlight w:val="none"/>
          <w:lang w:val="en-US" w:eastAsia="zh-CN" w:bidi="ar"/>
        </w:rPr>
        <w:t>附件</w:t>
      </w:r>
      <w:r>
        <w:rPr>
          <w:rFonts w:hint="default" w:ascii="Times New Roman" w:hAnsi="Times New Roman" w:eastAsia="宋体" w:cs="Times New Roman"/>
          <w:b/>
          <w:bCs w:val="0"/>
          <w:color w:val="auto"/>
          <w:kern w:val="0"/>
          <w:sz w:val="28"/>
          <w:szCs w:val="28"/>
          <w:highlight w:val="none"/>
          <w:lang w:val="en-US" w:eastAsia="zh-CN" w:bidi="ar"/>
        </w:rPr>
        <w:t>1</w:t>
      </w:r>
    </w:p>
    <w:p w14:paraId="640D487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关于联合惩戒失信行为加强信用查询管理的通知</w:t>
      </w:r>
    </w:p>
    <w:p w14:paraId="50B9C4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一、失信行为联合惩戒的范围和查询渠道</w:t>
      </w:r>
    </w:p>
    <w:p w14:paraId="5CDC287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347A04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（一）工程建设项目</w:t>
      </w:r>
    </w:p>
    <w:p w14:paraId="785BE19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1、“信用中国”网站（www.creditchina.gov.cn）查询投标人、法定代表人及其项目经理(建造师)以下失信行为：</w:t>
      </w:r>
    </w:p>
    <w:p w14:paraId="080E09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207F5F5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2E112E1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③被列入“拖欠农民工工资失信联合惩戒对象名单”的；</w:t>
      </w:r>
    </w:p>
    <w:p w14:paraId="1A55B46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④被列入 “严重失信主体名单”的；</w:t>
      </w:r>
    </w:p>
    <w:p w14:paraId="157D16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⑤在“信用中国”网站上披露的仍在公示期的严重失信行为(具体行为类别及判定依据见附件2)的。</w:t>
      </w:r>
    </w:p>
    <w:p w14:paraId="57EBD4A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66"/>
          <w:rFonts w:hint="eastAsia" w:ascii="宋体" w:hAnsi="宋体" w:eastAsia="宋体" w:cs="宋体"/>
          <w:color w:val="auto"/>
          <w:sz w:val="24"/>
          <w:szCs w:val="24"/>
          <w:highlight w:val="none"/>
          <w:u w:val="singl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查询投标人以下失信行为：</w:t>
      </w:r>
    </w:p>
    <w:p w14:paraId="27943D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0041DE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0AB5955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156DFB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68CE169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5B93E0C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45C5FB1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E623AEB">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0912482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t>
      </w:r>
      <w:r>
        <w:rPr>
          <w:rStyle w:val="278"/>
          <w:rFonts w:hint="eastAsia" w:ascii="宋体" w:hAnsi="宋体" w:eastAsia="宋体" w:cs="宋体"/>
          <w:color w:val="auto"/>
          <w:sz w:val="24"/>
          <w:szCs w:val="24"/>
          <w:highlight w:val="none"/>
          <w:u w:val="single"/>
          <w:lang w:val="en-US" w:eastAsia="zh-CN" w:bidi="ar"/>
        </w:rPr>
        <w:t>www.creditchina.gov.cn</w:t>
      </w:r>
      <w:r>
        <w:rPr>
          <w:rFonts w:hint="eastAsia" w:ascii="宋体" w:hAnsi="宋体" w:eastAsia="宋体" w:cs="宋体"/>
          <w:color w:val="auto"/>
          <w:kern w:val="0"/>
          <w:sz w:val="24"/>
          <w:szCs w:val="24"/>
          <w:highlight w:val="none"/>
          <w:lang w:val="en-US" w:eastAsia="zh-CN" w:bidi="ar"/>
        </w:rPr>
        <w:t>）查询供应商、法定代表人及其项目负责人以下失信行为：</w:t>
      </w:r>
    </w:p>
    <w:p w14:paraId="5156FC1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3196CAD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36E242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577BFB0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2A07C5E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宋体"/>
          <w:color w:val="auto"/>
          <w:sz w:val="24"/>
          <w:szCs w:val="24"/>
          <w:highlight w:val="none"/>
          <w:u w:val="none"/>
        </w:rPr>
        <w:t>www.gsxt.gov.cn）</w:t>
      </w:r>
      <w:r>
        <w:rPr>
          <w:rFonts w:hint="eastAsia" w:ascii="宋体" w:hAnsi="宋体" w:eastAsia="宋体" w:cs="宋体"/>
          <w:color w:val="auto"/>
          <w:kern w:val="0"/>
          <w:sz w:val="24"/>
          <w:szCs w:val="24"/>
          <w:highlight w:val="none"/>
          <w:lang w:val="en-US" w:eastAsia="zh-CN" w:bidi="ar"/>
        </w:rPr>
        <w:t>查询供应商以下失信行为：</w:t>
      </w:r>
    </w:p>
    <w:p w14:paraId="2A2884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75F2F61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宋体"/>
          <w:color w:val="auto"/>
          <w:sz w:val="24"/>
          <w:szCs w:val="24"/>
          <w:highlight w:val="none"/>
          <w:u w:val="none"/>
        </w:rPr>
        <w:t>www.ccgp.gov.cn</w:t>
      </w:r>
      <w:r>
        <w:rPr>
          <w:rFonts w:hint="eastAsia" w:ascii="宋体" w:hAnsi="宋体" w:eastAsia="宋体" w:cs="宋体"/>
          <w:color w:val="auto"/>
          <w:kern w:val="0"/>
          <w:sz w:val="24"/>
          <w:szCs w:val="24"/>
          <w:highlight w:val="none"/>
          <w:lang w:val="en-US" w:eastAsia="zh-CN" w:bidi="ar"/>
        </w:rPr>
        <w:t>）查询以下失信行为：</w:t>
      </w:r>
    </w:p>
    <w:p w14:paraId="5BB5634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3BB7898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55A15CC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2962BB91">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二、在开评标活动中的查询程序</w:t>
      </w:r>
    </w:p>
    <w:p w14:paraId="5B94D8E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CF8AC3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E74FDE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3、项目单位及其委托的代理机构应当做好信用查询结果截图和记录留存。</w:t>
      </w:r>
    </w:p>
    <w:p w14:paraId="311D0009">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三、相关要求</w:t>
      </w:r>
    </w:p>
    <w:p w14:paraId="5CBC33E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1229BF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9B1E5C3">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5F6EF2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2、“信用中国”查询的严重失信行为判定依据为各行业主管部门下发的联合惩戒文件中规定的行为（按附件2执行）。</w:t>
      </w:r>
    </w:p>
    <w:p w14:paraId="78DF927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7CB93D1C">
      <w:pPr>
        <w:pStyle w:val="50"/>
        <w:keepNext w:val="0"/>
        <w:keepLines w:val="0"/>
        <w:widowControl w:val="0"/>
        <w:suppressLineNumbers w:val="0"/>
        <w:spacing w:before="0" w:beforeAutospacing="1" w:after="120" w:afterAutospacing="0" w:line="360" w:lineRule="auto"/>
        <w:ind w:left="400" w:leftChars="200" w:right="0" w:firstLine="420" w:firstLineChars="200"/>
        <w:jc w:val="both"/>
        <w:rPr>
          <w:rFonts w:hint="eastAsia" w:ascii="宋体" w:hAnsi="Calibri" w:eastAsia="宋体" w:cs="Times New Roman"/>
          <w:color w:val="auto"/>
          <w:kern w:val="2"/>
          <w:sz w:val="21"/>
          <w:szCs w:val="21"/>
          <w:highlight w:val="none"/>
        </w:rPr>
      </w:pPr>
      <w:r>
        <w:rPr>
          <w:rFonts w:hint="eastAsia" w:ascii="宋体" w:hAnsi="Calibri" w:eastAsia="宋体" w:cs="Times New Roman"/>
          <w:color w:val="auto"/>
          <w:kern w:val="2"/>
          <w:sz w:val="21"/>
          <w:szCs w:val="21"/>
          <w:highlight w:val="none"/>
          <w:lang w:val="en-US" w:eastAsia="zh-CN" w:bidi="ar"/>
        </w:rPr>
        <w:t xml:space="preserve"> </w:t>
      </w:r>
    </w:p>
    <w:p w14:paraId="146D02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br w:type="page"/>
      </w:r>
      <w:r>
        <w:rPr>
          <w:rFonts w:hint="eastAsia" w:ascii="宋体" w:hAnsi="宋体" w:eastAsia="宋体" w:cs="宋体"/>
          <w:b/>
          <w:bCs w:val="0"/>
          <w:color w:val="auto"/>
          <w:kern w:val="0"/>
          <w:sz w:val="24"/>
          <w:szCs w:val="24"/>
          <w:highlight w:val="none"/>
          <w:lang w:val="en-US" w:eastAsia="zh-CN" w:bidi="ar"/>
        </w:rPr>
        <w:t>附件</w:t>
      </w:r>
      <w:r>
        <w:rPr>
          <w:rFonts w:hint="default" w:ascii="Times New Roman" w:hAnsi="Times New Roman" w:eastAsia="宋体" w:cs="Times New Roman"/>
          <w:b/>
          <w:bCs w:val="0"/>
          <w:color w:val="auto"/>
          <w:kern w:val="0"/>
          <w:sz w:val="24"/>
          <w:szCs w:val="24"/>
          <w:highlight w:val="none"/>
          <w:lang w:val="en-US" w:eastAsia="zh-CN" w:bidi="ar"/>
        </w:rPr>
        <w:t>2</w:t>
      </w:r>
    </w:p>
    <w:p w14:paraId="280CFCFF">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“信用中国”查询的严重失信行为类别及判定依据</w:t>
      </w:r>
    </w:p>
    <w:p w14:paraId="70A35D3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3E0D6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一、安全生产领域严重失信行为：</w:t>
      </w:r>
    </w:p>
    <w:p w14:paraId="27C1C03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（一）下列发生生产安全事故的生产经营单位及其有关人员应当列入严重失信主体名单：</w:t>
      </w:r>
    </w:p>
    <w:p w14:paraId="085F40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6ADC6E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2、12个月内累计发生2起以上较大生产安全事故的生产经营单位及其主要负责人；</w:t>
      </w:r>
    </w:p>
    <w:p w14:paraId="7442A9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BEBE7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4、瞒报、谎报生产安全事故的生产经营单位及其有关责任人员；</w:t>
      </w:r>
    </w:p>
    <w:p w14:paraId="04BD3CF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5、发生生产安全事故后，不立即组织抢救或者在事故调查处理期间擅离职守或者逃匿的生产经营单位主要负责人。</w:t>
      </w:r>
    </w:p>
    <w:p w14:paraId="43BF08E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5F2293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1、未依法取得安全生产相关许可或者许可被暂扣、吊销期间从事相关生产经营活动的生产经营单位及其主要负责人；</w:t>
      </w:r>
    </w:p>
    <w:p w14:paraId="01BF9FC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2、承担安全评价、认证、检测、检验职责的机构及其直接责任人员租借资质、挂靠、出具虚假报告或者证书的；</w:t>
      </w:r>
    </w:p>
    <w:p w14:paraId="7EAA834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3、在应急管理部门作出行政处罚后，有执行能力拒不执行或者逃避执行的生产经营单位及其主要负责人；</w:t>
      </w:r>
    </w:p>
    <w:p w14:paraId="6294D25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4、其他违反安全生产法律法规受到行政处罚，且性质恶劣、情节严重的。</w:t>
      </w:r>
    </w:p>
    <w:p w14:paraId="34A91D2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依据：《安全生产严重失信主体名单管理办法》（2023年8月8日应急管理部令第11号）</w:t>
      </w:r>
    </w:p>
    <w:p w14:paraId="3239FA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二、环境保护领域严重失信行为：</w:t>
      </w:r>
    </w:p>
    <w:p w14:paraId="39B7E8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（一）因为环境违法构成环境犯罪的；</w:t>
      </w:r>
    </w:p>
    <w:p w14:paraId="581693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（二）建设项目环境影响评价文件未按规定通过审批，擅自开工建设的；</w:t>
      </w:r>
    </w:p>
    <w:p w14:paraId="43ADAB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（三）建设项目环保设施未建成、环保措施未落实、未通过竣工环保验收或者验收不合格，主体工程正式投入生产或者使用的；</w:t>
      </w:r>
    </w:p>
    <w:p w14:paraId="389D92D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3FF44D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（五）主要污染物排放总量超过控制指标的；</w:t>
      </w:r>
    </w:p>
    <w:p w14:paraId="7E74B62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（六）私设暗管或者利用渗井、渗坑、裂隙、溶洞等排放、倾倒、处置水污染物，或者通过私设旁路排放大气污染物的；</w:t>
      </w:r>
    </w:p>
    <w:p w14:paraId="4FB045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（七）非法排放、倾倒、处置危险废物，或者向无经营许可证或者超出经营许可范围的单位或个人提供或者委托其收集、贮存、利用、处置危险废物的；</w:t>
      </w:r>
    </w:p>
    <w:p w14:paraId="61113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（八）环境违法行为造成集中式生活饮用水水源取水中断的；</w:t>
      </w:r>
    </w:p>
    <w:p w14:paraId="1EB249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（九）环境违法行为对生活饮用水水源保护区、自然保护区、国家重点生态功能区、风景名胜区、居住功能区、基本农田保护区等环境敏感区造成重大不利影响的；</w:t>
      </w:r>
    </w:p>
    <w:p w14:paraId="0BFCFB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（十）违法从事自然资源开发、交通基础设施建设，以及其他开发建设活动，造成严重生态破坏的；</w:t>
      </w:r>
    </w:p>
    <w:p w14:paraId="0883F13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（十一）发生较大及以上突发环境事件的；</w:t>
      </w:r>
    </w:p>
    <w:p w14:paraId="288B9A0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（十二）被环保部门挂牌督办，整改逾期未完成的；</w:t>
      </w:r>
    </w:p>
    <w:p w14:paraId="6E0AA4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（十三）以暴力、威胁等方式拒绝、阻挠环保部门工作人员现场检查的；</w:t>
      </w:r>
    </w:p>
    <w:p w14:paraId="793ECE4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（十四）违反重污染天气应急预案有关规定，对重污染天气响应不力的。</w:t>
      </w:r>
    </w:p>
    <w:p w14:paraId="667156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56789F0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w:t>
      </w:r>
      <w:r>
        <w:rPr>
          <w:rFonts w:hint="eastAsia" w:ascii="宋体" w:hAnsi="宋体" w:eastAsia="宋体" w:cs="宋体"/>
          <w:b/>
          <w:bCs/>
          <w:color w:val="auto"/>
          <w:kern w:val="0"/>
          <w:sz w:val="24"/>
          <w:szCs w:val="24"/>
          <w:highlight w:val="none"/>
          <w:lang w:val="en-US" w:eastAsia="zh-CN" w:bidi="ar"/>
        </w:rPr>
        <w:t>公共资源交易领域严重失信行为</w:t>
      </w:r>
    </w:p>
    <w:p w14:paraId="6A5F8A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7C18F56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6C8297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666102E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1B1D16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5619CAC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（六）投标人以他人名义投标或者以其他方式弄虚作假，骗取中标的；</w:t>
      </w:r>
    </w:p>
    <w:p w14:paraId="40EA2E4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（七）依法必须进行招标的项目，招标人违反法律规定，与投标人就投标价格、投标方案等实质性内容进行谈判的；</w:t>
      </w:r>
    </w:p>
    <w:p w14:paraId="3C6BEA2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EFD86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650C4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70A5AB0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335B38A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（十二）中标人不按照与招标人订立的合同履行义务，情节严重的； </w:t>
      </w:r>
    </w:p>
    <w:p w14:paraId="2E28FDC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7891F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AC6C60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（十五）采购人对应当实行集中采购的政府采购项目，不委托集中采购机构实行集中采购的； </w:t>
      </w:r>
    </w:p>
    <w:p w14:paraId="2367F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（十六）采购人、采购代理机构违反法律规定隐匿、销毁应当保存的采购文件或者伪造、变造采购文件的； </w:t>
      </w:r>
    </w:p>
    <w:p w14:paraId="5FD85B0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30E4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（十八）疫苗生产企业向县级疾病预防控制机构以外的单位或者个人销售第二类疫苗的； </w:t>
      </w:r>
    </w:p>
    <w:p w14:paraId="4426A6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（十九）存在其他违反公共资源交易法律法规行为的。</w:t>
      </w:r>
    </w:p>
    <w:p w14:paraId="1DEE097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依据：《关于对公共资源交易领域严重失信主体开展联合惩戒的备忘录》（发改法规〔2018〕457号）</w:t>
      </w:r>
    </w:p>
    <w:p w14:paraId="1E899A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社会保险领域严重失信行为</w:t>
      </w:r>
    </w:p>
    <w:p w14:paraId="5C2FD7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（一）用人单位未按相关规定参加社会保险且拒不整改的； </w:t>
      </w:r>
    </w:p>
    <w:p w14:paraId="67E458E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（二）用人单位未如实申报社会保险缴费基数且拒不整改的； </w:t>
      </w:r>
    </w:p>
    <w:p w14:paraId="5910A5F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（三）应缴纳社会保险费却拒不缴纳的； </w:t>
      </w:r>
    </w:p>
    <w:p w14:paraId="0B0DC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（四）隐匿、转移、侵占、挪用社会保险费款、基金或者违规投资运营的；</w:t>
      </w:r>
    </w:p>
    <w:p w14:paraId="025DD8F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（五）以欺诈、伪造证明材料或者其他手段参加、申报社会保险和骗取社会保险基金支出或社会保险待遇的； </w:t>
      </w:r>
    </w:p>
    <w:p w14:paraId="2E714C2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（六）非法获取、出售或变相交易社会保险个人权益数据的； </w:t>
      </w:r>
    </w:p>
    <w:p w14:paraId="44D3794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（七）社会保险服务机构违反服务协议或相关规定的； </w:t>
      </w:r>
    </w:p>
    <w:p w14:paraId="2377077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65CE1D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（九）其他违反法律法规规定的。</w:t>
      </w:r>
    </w:p>
    <w:p w14:paraId="56743D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依据：《关于对社会保险领域严重失信企业及其有关人员实施联合惩戒的合作备忘录》（发改财金〔2018〕1704号）</w:t>
      </w:r>
    </w:p>
    <w:p w14:paraId="74119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五、建筑市场领域</w:t>
      </w:r>
      <w:r>
        <w:rPr>
          <w:rFonts w:hint="eastAsia" w:ascii="宋体" w:hAnsi="宋体" w:eastAsia="宋体" w:cs="宋体"/>
          <w:b/>
          <w:bCs/>
          <w:color w:val="auto"/>
          <w:kern w:val="0"/>
          <w:sz w:val="24"/>
          <w:szCs w:val="24"/>
          <w:highlight w:val="none"/>
          <w:lang w:val="en-US" w:eastAsia="zh-CN" w:bidi="ar"/>
        </w:rPr>
        <w:t>严重失信行为</w:t>
      </w:r>
    </w:p>
    <w:p w14:paraId="5ED88C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（一）利用虚假材料、以欺骗手段取得企业资质的；</w:t>
      </w:r>
    </w:p>
    <w:p w14:paraId="7B148F8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（二）发生转包、出借资质，受到行政处罚的；</w:t>
      </w:r>
    </w:p>
    <w:p w14:paraId="600EFF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90B7D1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（四）经法院判决或仲裁机构裁决，认定为拖欠工程款,且拒不履行生效法律文书确定的义务的。</w:t>
      </w:r>
    </w:p>
    <w:p w14:paraId="67A3008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1F61AF5">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依据：《建筑市场信用管理暂行办法》（建市〔2017〕241号）</w:t>
      </w:r>
    </w:p>
    <w:p w14:paraId="3C7282D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六、政府采购严重失信行为</w:t>
      </w:r>
    </w:p>
    <w:p w14:paraId="46AE347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（一）三万元以上罚款；</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（二）在一至三年内禁止参加政府采购活动（处罚期限届满的除外）；</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（三）在一至三年内禁止代理政府采购业务（处罚期限届满的除外）；</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（四）撤销政府采购代理机构资格（仅针对《政府采购法》第78条修改前作出的处罚决定）。</w:t>
      </w:r>
    </w:p>
    <w:p w14:paraId="1E1D272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依据：《关于报送政府采购严重违法失信行为信息记录的通知》（财办库〔2014〕526号）</w:t>
      </w:r>
    </w:p>
    <w:p w14:paraId="0FEF42F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未列出的其他类别严重失信行为，由招标人（代理机构）根据各类别行业主管部门下发的联合惩戒文件进行判断。</w:t>
      </w:r>
    </w:p>
    <w:p w14:paraId="51D3D4CC">
      <w:pPr>
        <w:jc w:val="left"/>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br w:type="page"/>
      </w:r>
    </w:p>
    <w:p w14:paraId="2972461A">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00"/>
    </w:p>
    <w:p w14:paraId="654860BF">
      <w:pPr>
        <w:spacing w:line="360" w:lineRule="auto"/>
        <w:jc w:val="center"/>
        <w:outlineLvl w:val="1"/>
        <w:rPr>
          <w:rFonts w:ascii="仿宋" w:hAnsi="仿宋" w:eastAsia="仿宋" w:cs="仿宋"/>
          <w:b/>
          <w:bCs/>
          <w:color w:val="auto"/>
          <w:sz w:val="32"/>
          <w:szCs w:val="44"/>
          <w:highlight w:val="none"/>
        </w:rPr>
      </w:pPr>
      <w:bookmarkStart w:id="701" w:name="_Toc26448"/>
      <w:bookmarkStart w:id="702" w:name="_Toc2290"/>
      <w:r>
        <w:rPr>
          <w:rFonts w:hint="eastAsia" w:ascii="仿宋" w:hAnsi="仿宋" w:eastAsia="仿宋" w:cs="仿宋"/>
          <w:b/>
          <w:bCs/>
          <w:color w:val="auto"/>
          <w:sz w:val="32"/>
          <w:szCs w:val="44"/>
          <w:highlight w:val="none"/>
        </w:rPr>
        <w:t>询问函范本</w:t>
      </w:r>
      <w:bookmarkEnd w:id="701"/>
      <w:bookmarkEnd w:id="702"/>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3" w:name="_Toc32070"/>
      <w:bookmarkStart w:id="704" w:name="_Toc14234"/>
      <w:r>
        <w:rPr>
          <w:rFonts w:hint="eastAsia" w:cs="仿宋" w:asciiTheme="minorEastAsia" w:hAnsiTheme="minorEastAsia" w:eastAsiaTheme="minorEastAsia"/>
          <w:color w:val="auto"/>
          <w:sz w:val="24"/>
          <w:szCs w:val="24"/>
          <w:highlight w:val="none"/>
        </w:rPr>
        <w:t>一、(事项一)</w:t>
      </w:r>
      <w:bookmarkEnd w:id="703"/>
      <w:bookmarkEnd w:id="704"/>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5" w:name="_Toc6489"/>
      <w:bookmarkStart w:id="706" w:name="_Toc16507"/>
      <w:r>
        <w:rPr>
          <w:rFonts w:hint="eastAsia" w:cs="仿宋" w:asciiTheme="minorEastAsia" w:hAnsiTheme="minorEastAsia" w:eastAsiaTheme="minorEastAsia"/>
          <w:color w:val="auto"/>
          <w:sz w:val="24"/>
          <w:szCs w:val="24"/>
          <w:highlight w:val="none"/>
        </w:rPr>
        <w:t>二、(事项二)</w:t>
      </w:r>
      <w:bookmarkEnd w:id="705"/>
      <w:bookmarkEnd w:id="706"/>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707" w:name="_Toc4923"/>
      <w:bookmarkStart w:id="708" w:name="_Toc26224"/>
      <w:r>
        <w:rPr>
          <w:rFonts w:hint="eastAsia" w:ascii="仿宋" w:hAnsi="仿宋" w:eastAsia="仿宋" w:cs="仿宋"/>
          <w:b/>
          <w:bCs/>
          <w:color w:val="auto"/>
          <w:sz w:val="32"/>
          <w:szCs w:val="44"/>
          <w:highlight w:val="none"/>
        </w:rPr>
        <w:t>质疑函范本</w:t>
      </w:r>
      <w:bookmarkEnd w:id="707"/>
      <w:bookmarkEnd w:id="708"/>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09" w:name="_Toc10663"/>
      <w:bookmarkStart w:id="710" w:name="_Toc3847"/>
      <w:r>
        <w:rPr>
          <w:rFonts w:hint="eastAsia" w:cs="仿宋" w:asciiTheme="minorEastAsia" w:hAnsiTheme="minorEastAsia" w:eastAsiaTheme="minorEastAsia"/>
          <w:b/>
          <w:bCs/>
          <w:color w:val="auto"/>
          <w:sz w:val="24"/>
          <w:szCs w:val="24"/>
          <w:highlight w:val="none"/>
        </w:rPr>
        <w:t>一、质疑供应商基本信息</w:t>
      </w:r>
      <w:bookmarkEnd w:id="709"/>
      <w:bookmarkEnd w:id="710"/>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1" w:name="_Toc19182"/>
      <w:bookmarkStart w:id="712" w:name="_Toc30012"/>
      <w:r>
        <w:rPr>
          <w:rFonts w:hint="eastAsia" w:cs="仿宋" w:asciiTheme="minorEastAsia" w:hAnsiTheme="minorEastAsia" w:eastAsiaTheme="minorEastAsia"/>
          <w:b/>
          <w:bCs/>
          <w:color w:val="auto"/>
          <w:sz w:val="24"/>
          <w:szCs w:val="24"/>
          <w:highlight w:val="none"/>
        </w:rPr>
        <w:t>二、质疑项目基本情况</w:t>
      </w:r>
      <w:bookmarkEnd w:id="711"/>
      <w:bookmarkEnd w:id="712"/>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3" w:name="_Toc9989"/>
      <w:bookmarkStart w:id="714" w:name="_Toc21700"/>
      <w:r>
        <w:rPr>
          <w:rFonts w:hint="eastAsia" w:cs="仿宋" w:asciiTheme="minorEastAsia" w:hAnsiTheme="minorEastAsia" w:eastAsiaTheme="minorEastAsia"/>
          <w:b/>
          <w:bCs/>
          <w:color w:val="auto"/>
          <w:sz w:val="24"/>
          <w:szCs w:val="24"/>
          <w:highlight w:val="none"/>
        </w:rPr>
        <w:t>三、质疑事项具体内容</w:t>
      </w:r>
      <w:bookmarkEnd w:id="713"/>
      <w:bookmarkEnd w:id="714"/>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5" w:name="_Toc19016"/>
      <w:bookmarkStart w:id="716" w:name="_Toc10625"/>
      <w:r>
        <w:rPr>
          <w:rFonts w:hint="eastAsia" w:cs="仿宋" w:asciiTheme="minorEastAsia" w:hAnsiTheme="minorEastAsia" w:eastAsiaTheme="minorEastAsia"/>
          <w:b/>
          <w:bCs/>
          <w:color w:val="auto"/>
          <w:sz w:val="24"/>
          <w:szCs w:val="24"/>
          <w:highlight w:val="none"/>
        </w:rPr>
        <w:t>四、与质疑事项相关的质疑请求</w:t>
      </w:r>
      <w:bookmarkEnd w:id="715"/>
      <w:bookmarkEnd w:id="716"/>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717" w:name="_Toc17684"/>
      <w:bookmarkStart w:id="718" w:name="_Toc25274"/>
      <w:r>
        <w:rPr>
          <w:rFonts w:hint="eastAsia" w:asciiTheme="minorEastAsia" w:hAnsiTheme="minorEastAsia" w:eastAsiaTheme="minorEastAsia"/>
          <w:b/>
          <w:color w:val="auto"/>
          <w:sz w:val="28"/>
          <w:szCs w:val="32"/>
          <w:highlight w:val="none"/>
        </w:rPr>
        <w:t>质疑函制作说明：</w:t>
      </w:r>
      <w:bookmarkEnd w:id="717"/>
      <w:bookmarkEnd w:id="718"/>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9AE0">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C951">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C0266">
                          <w:pPr>
                            <w:pStyle w:val="3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1C0266">
                    <w:pPr>
                      <w:pStyle w:val="3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6EA09">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D9E06">
                          <w:pPr>
                            <w:pStyle w:val="33"/>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CD9E06">
                    <w:pPr>
                      <w:pStyle w:val="33"/>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5C67">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7F7E5238"/>
    <w:multiLevelType w:val="multilevel"/>
    <w:tmpl w:val="7F7E5238"/>
    <w:lvl w:ilvl="0" w:tentative="0">
      <w:start w:val="1"/>
      <w:numFmt w:val="none"/>
      <w:pStyle w:val="17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9"/>
      <w:lvlText w:val="           "/>
      <w:lvlJc w:val="left"/>
      <w:pPr>
        <w:tabs>
          <w:tab w:val="left" w:pos="1440"/>
        </w:tabs>
        <w:ind w:left="1152" w:hanging="1152"/>
      </w:pPr>
      <w:rPr>
        <w:rFonts w:hint="eastAsia"/>
      </w:rPr>
    </w:lvl>
    <w:lvl w:ilvl="6" w:tentative="0">
      <w:start w:val="1"/>
      <w:numFmt w:val="decimal"/>
      <w:pStyle w:val="181"/>
      <w:lvlText w:val="%1.%2.%3.%4.%5.%6.%7"/>
      <w:lvlJc w:val="left"/>
      <w:pPr>
        <w:tabs>
          <w:tab w:val="left" w:pos="2520"/>
        </w:tabs>
        <w:ind w:left="1296" w:hanging="1296"/>
      </w:pPr>
      <w:rPr>
        <w:rFonts w:hint="eastAsia"/>
      </w:rPr>
    </w:lvl>
    <w:lvl w:ilvl="7" w:tentative="0">
      <w:start w:val="1"/>
      <w:numFmt w:val="decimal"/>
      <w:pStyle w:val="183"/>
      <w:lvlText w:val="%1.%2.%3.%4.%5.%6.%7.%8"/>
      <w:lvlJc w:val="left"/>
      <w:pPr>
        <w:tabs>
          <w:tab w:val="left" w:pos="1440"/>
        </w:tabs>
        <w:ind w:left="1440" w:hanging="1440"/>
      </w:pPr>
      <w:rPr>
        <w:rFonts w:hint="eastAsia"/>
      </w:rPr>
    </w:lvl>
    <w:lvl w:ilvl="8" w:tentative="0">
      <w:start w:val="1"/>
      <w:numFmt w:val="decimal"/>
      <w:pStyle w:val="185"/>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5025"/>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5F4CAF"/>
    <w:rsid w:val="060D5ED0"/>
    <w:rsid w:val="067572F2"/>
    <w:rsid w:val="06EE74DB"/>
    <w:rsid w:val="072015CC"/>
    <w:rsid w:val="08617CF0"/>
    <w:rsid w:val="093E5132"/>
    <w:rsid w:val="099C3247"/>
    <w:rsid w:val="0A290F13"/>
    <w:rsid w:val="0B34273F"/>
    <w:rsid w:val="0B5759D8"/>
    <w:rsid w:val="0B584B6B"/>
    <w:rsid w:val="0B9A6428"/>
    <w:rsid w:val="0BC76A6E"/>
    <w:rsid w:val="0BD069A1"/>
    <w:rsid w:val="0C0B76AE"/>
    <w:rsid w:val="0C695EBF"/>
    <w:rsid w:val="0C764D16"/>
    <w:rsid w:val="0C90002F"/>
    <w:rsid w:val="0D3E7892"/>
    <w:rsid w:val="0DB72352"/>
    <w:rsid w:val="0DFC12FE"/>
    <w:rsid w:val="0DFF1A91"/>
    <w:rsid w:val="0E252C04"/>
    <w:rsid w:val="0E30091C"/>
    <w:rsid w:val="0E92577A"/>
    <w:rsid w:val="0EB116DF"/>
    <w:rsid w:val="0EB9796D"/>
    <w:rsid w:val="0ED93BBF"/>
    <w:rsid w:val="0F380715"/>
    <w:rsid w:val="0FC76BB7"/>
    <w:rsid w:val="0FCD35C4"/>
    <w:rsid w:val="10F935A7"/>
    <w:rsid w:val="11843FEF"/>
    <w:rsid w:val="12E83133"/>
    <w:rsid w:val="13607801"/>
    <w:rsid w:val="1375778E"/>
    <w:rsid w:val="14E43199"/>
    <w:rsid w:val="150D619F"/>
    <w:rsid w:val="16F15C51"/>
    <w:rsid w:val="17146EEB"/>
    <w:rsid w:val="17872239"/>
    <w:rsid w:val="17942BA8"/>
    <w:rsid w:val="18A1557C"/>
    <w:rsid w:val="18A85F98"/>
    <w:rsid w:val="19377C8F"/>
    <w:rsid w:val="1A3302CA"/>
    <w:rsid w:val="1ABD233F"/>
    <w:rsid w:val="1B291D20"/>
    <w:rsid w:val="1D015171"/>
    <w:rsid w:val="1D191BE5"/>
    <w:rsid w:val="1D3B78BE"/>
    <w:rsid w:val="1D725739"/>
    <w:rsid w:val="1DEC70E9"/>
    <w:rsid w:val="1E0B00F8"/>
    <w:rsid w:val="1E112FC8"/>
    <w:rsid w:val="1F2E6A6D"/>
    <w:rsid w:val="206F5885"/>
    <w:rsid w:val="21326E5F"/>
    <w:rsid w:val="21A12912"/>
    <w:rsid w:val="237C1D35"/>
    <w:rsid w:val="241D3932"/>
    <w:rsid w:val="247E2DFD"/>
    <w:rsid w:val="265B0373"/>
    <w:rsid w:val="274D5052"/>
    <w:rsid w:val="27E85AF1"/>
    <w:rsid w:val="27F46626"/>
    <w:rsid w:val="288E11CC"/>
    <w:rsid w:val="28A96E2F"/>
    <w:rsid w:val="2A1534D2"/>
    <w:rsid w:val="2B5044AE"/>
    <w:rsid w:val="2B89414F"/>
    <w:rsid w:val="2D1633EB"/>
    <w:rsid w:val="2D611D48"/>
    <w:rsid w:val="2E992065"/>
    <w:rsid w:val="2EB60132"/>
    <w:rsid w:val="2F850E2A"/>
    <w:rsid w:val="2F8779B7"/>
    <w:rsid w:val="31966FB2"/>
    <w:rsid w:val="3215051D"/>
    <w:rsid w:val="34152599"/>
    <w:rsid w:val="3544508A"/>
    <w:rsid w:val="36AD04C3"/>
    <w:rsid w:val="36E71BB0"/>
    <w:rsid w:val="38450935"/>
    <w:rsid w:val="385414FE"/>
    <w:rsid w:val="38CD4FE1"/>
    <w:rsid w:val="3B5006E0"/>
    <w:rsid w:val="3C2546B9"/>
    <w:rsid w:val="3C5E381C"/>
    <w:rsid w:val="3C9227B9"/>
    <w:rsid w:val="3E1715D2"/>
    <w:rsid w:val="40494A1B"/>
    <w:rsid w:val="408D59ED"/>
    <w:rsid w:val="40B54BA9"/>
    <w:rsid w:val="411424E0"/>
    <w:rsid w:val="42781F97"/>
    <w:rsid w:val="43406525"/>
    <w:rsid w:val="44CC5046"/>
    <w:rsid w:val="44F243AD"/>
    <w:rsid w:val="45B649C6"/>
    <w:rsid w:val="46D629D1"/>
    <w:rsid w:val="47C27D6C"/>
    <w:rsid w:val="4838270D"/>
    <w:rsid w:val="486E253B"/>
    <w:rsid w:val="48EC3373"/>
    <w:rsid w:val="48F007C1"/>
    <w:rsid w:val="493B64BB"/>
    <w:rsid w:val="495E0E6D"/>
    <w:rsid w:val="49CD7090"/>
    <w:rsid w:val="49D55251"/>
    <w:rsid w:val="4BE87A98"/>
    <w:rsid w:val="4C1743E7"/>
    <w:rsid w:val="4C2E43AC"/>
    <w:rsid w:val="4E616C92"/>
    <w:rsid w:val="4E6F2E5D"/>
    <w:rsid w:val="4EDA29D5"/>
    <w:rsid w:val="4F9B25B3"/>
    <w:rsid w:val="502B1AD6"/>
    <w:rsid w:val="508A5A0C"/>
    <w:rsid w:val="50B13DEA"/>
    <w:rsid w:val="50B51734"/>
    <w:rsid w:val="50C03AEB"/>
    <w:rsid w:val="5407371F"/>
    <w:rsid w:val="54572102"/>
    <w:rsid w:val="55076EDB"/>
    <w:rsid w:val="557F62EE"/>
    <w:rsid w:val="565019E7"/>
    <w:rsid w:val="56861129"/>
    <w:rsid w:val="569861B6"/>
    <w:rsid w:val="56B6493F"/>
    <w:rsid w:val="56D26221"/>
    <w:rsid w:val="5809250B"/>
    <w:rsid w:val="58946959"/>
    <w:rsid w:val="589E1721"/>
    <w:rsid w:val="58A83101"/>
    <w:rsid w:val="5A5113C2"/>
    <w:rsid w:val="5C8F7148"/>
    <w:rsid w:val="5D5B355A"/>
    <w:rsid w:val="5D8C4430"/>
    <w:rsid w:val="5F6103C2"/>
    <w:rsid w:val="5FCD130C"/>
    <w:rsid w:val="5FD07FE9"/>
    <w:rsid w:val="604A29CE"/>
    <w:rsid w:val="60613CC2"/>
    <w:rsid w:val="61463747"/>
    <w:rsid w:val="61737CE0"/>
    <w:rsid w:val="617A62BB"/>
    <w:rsid w:val="61FF434A"/>
    <w:rsid w:val="62450E0A"/>
    <w:rsid w:val="6270505E"/>
    <w:rsid w:val="62A2790D"/>
    <w:rsid w:val="62EB49FC"/>
    <w:rsid w:val="632B05B6"/>
    <w:rsid w:val="63D905AD"/>
    <w:rsid w:val="645F3309"/>
    <w:rsid w:val="647A03AB"/>
    <w:rsid w:val="652674EA"/>
    <w:rsid w:val="6539612E"/>
    <w:rsid w:val="65B46500"/>
    <w:rsid w:val="66E2747D"/>
    <w:rsid w:val="66F7550A"/>
    <w:rsid w:val="673047EC"/>
    <w:rsid w:val="6833421D"/>
    <w:rsid w:val="683B31A6"/>
    <w:rsid w:val="698412CD"/>
    <w:rsid w:val="6A4B69A3"/>
    <w:rsid w:val="6A5128C6"/>
    <w:rsid w:val="6A9874AE"/>
    <w:rsid w:val="6AAD1A41"/>
    <w:rsid w:val="6B9C347D"/>
    <w:rsid w:val="6BAC18E9"/>
    <w:rsid w:val="6C941705"/>
    <w:rsid w:val="6D2F1B21"/>
    <w:rsid w:val="6E153270"/>
    <w:rsid w:val="6E4C0944"/>
    <w:rsid w:val="6E5F172B"/>
    <w:rsid w:val="6F5D0B2F"/>
    <w:rsid w:val="6F6117F5"/>
    <w:rsid w:val="6F84274A"/>
    <w:rsid w:val="6FBE314B"/>
    <w:rsid w:val="6FDC216E"/>
    <w:rsid w:val="70217AAF"/>
    <w:rsid w:val="70A0444C"/>
    <w:rsid w:val="71E7396A"/>
    <w:rsid w:val="72897D89"/>
    <w:rsid w:val="74464A97"/>
    <w:rsid w:val="747E1443"/>
    <w:rsid w:val="74FC2405"/>
    <w:rsid w:val="777C5D46"/>
    <w:rsid w:val="78373BAC"/>
    <w:rsid w:val="784A1D68"/>
    <w:rsid w:val="78D4376C"/>
    <w:rsid w:val="79775D93"/>
    <w:rsid w:val="799037A5"/>
    <w:rsid w:val="799B26EC"/>
    <w:rsid w:val="79B002F1"/>
    <w:rsid w:val="79D17E24"/>
    <w:rsid w:val="79DA107C"/>
    <w:rsid w:val="7B853EC3"/>
    <w:rsid w:val="7CAE2B9E"/>
    <w:rsid w:val="7D0313D8"/>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autoRedefine/>
    <w:qFormat/>
    <w:uiPriority w:val="0"/>
    <w:pPr>
      <w:tabs>
        <w:tab w:val="left" w:pos="1800"/>
        <w:tab w:val="clear" w:pos="1440"/>
      </w:tabs>
      <w:ind w:left="1276" w:hanging="1276"/>
      <w:outlineLvl w:val="6"/>
    </w:pPr>
  </w:style>
  <w:style w:type="paragraph" w:styleId="9">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4"/>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autoRedefine/>
    <w:qFormat/>
    <w:uiPriority w:val="0"/>
    <w:pPr>
      <w:jc w:val="left"/>
    </w:pPr>
    <w:rPr>
      <w:rFonts w:ascii="Arial" w:hAnsi="Arial" w:eastAsia="黑体" w:cs="Arial"/>
    </w:rPr>
  </w:style>
  <w:style w:type="paragraph" w:styleId="17">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8">
    <w:name w:val="Body Text 3"/>
    <w:basedOn w:val="1"/>
    <w:link w:val="140"/>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100"/>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5"/>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pPr>
      <w:snapToGrid w:val="0"/>
    </w:pPr>
    <w:rPr>
      <w:rFonts w:ascii="Arial" w:hAnsi="Arial"/>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7"/>
    <w:autoRedefine/>
    <w:qFormat/>
    <w:uiPriority w:val="0"/>
    <w:rPr>
      <w:rFonts w:ascii="Arial" w:hAnsi="Arial" w:cs="Arial"/>
      <w:b/>
      <w:sz w:val="28"/>
    </w:rPr>
  </w:style>
  <w:style w:type="paragraph" w:styleId="31">
    <w:name w:val="Body Text Indent 2"/>
    <w:basedOn w:val="1"/>
    <w:link w:val="136"/>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autoRedefine/>
    <w:unhideWhenUsed/>
    <w:qFormat/>
    <w:uiPriority w:val="0"/>
    <w:rPr>
      <w:sz w:val="18"/>
      <w:szCs w:val="18"/>
    </w:rPr>
  </w:style>
  <w:style w:type="paragraph" w:styleId="33">
    <w:name w:val="footer"/>
    <w:basedOn w:val="1"/>
    <w:link w:val="79"/>
    <w:autoRedefine/>
    <w:unhideWhenUsed/>
    <w:qFormat/>
    <w:uiPriority w:val="99"/>
    <w:pPr>
      <w:tabs>
        <w:tab w:val="center" w:pos="4153"/>
        <w:tab w:val="right" w:pos="8306"/>
      </w:tabs>
      <w:snapToGrid w:val="0"/>
      <w:jc w:val="left"/>
    </w:pPr>
    <w:rPr>
      <w:sz w:val="18"/>
      <w:szCs w:val="18"/>
    </w:rPr>
  </w:style>
  <w:style w:type="paragraph" w:styleId="34">
    <w:name w:val="header"/>
    <w:basedOn w:val="1"/>
    <w:link w:val="7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8"/>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5"/>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9"/>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1"/>
    <w:next w:val="1"/>
    <w:link w:val="143"/>
    <w:autoRedefine/>
    <w:qFormat/>
    <w:uiPriority w:val="0"/>
    <w:pPr>
      <w:spacing w:before="0" w:after="0" w:line="360" w:lineRule="auto"/>
      <w:jc w:val="center"/>
    </w:pPr>
    <w:rPr>
      <w:rFonts w:ascii="宋体" w:hAnsi="宋体" w:eastAsia="黑体"/>
      <w:smallCaps/>
      <w:snapToGrid w:val="0"/>
      <w:sz w:val="44"/>
      <w:szCs w:val="24"/>
    </w:rPr>
  </w:style>
  <w:style w:type="paragraph" w:styleId="52">
    <w:name w:val="annotation subject"/>
    <w:basedOn w:val="16"/>
    <w:next w:val="16"/>
    <w:link w:val="102"/>
    <w:autoRedefine/>
    <w:unhideWhenUsed/>
    <w:qFormat/>
    <w:uiPriority w:val="0"/>
    <w:rPr>
      <w:rFonts w:ascii="宋体" w:hAnsi="宋体" w:eastAsia="宋体" w:cstheme="minorBidi"/>
      <w:b/>
      <w:bCs/>
    </w:rPr>
  </w:style>
  <w:style w:type="paragraph" w:styleId="53">
    <w:name w:val="Body Text First Indent"/>
    <w:basedOn w:val="19"/>
    <w:autoRedefine/>
    <w:semiHidden/>
    <w:unhideWhenUsed/>
    <w:qFormat/>
    <w:uiPriority w:val="99"/>
    <w:pPr>
      <w:ind w:firstLine="420" w:firstLineChars="100"/>
    </w:pPr>
  </w:style>
  <w:style w:type="paragraph" w:styleId="54">
    <w:name w:val="Body Text First Indent 2"/>
    <w:basedOn w:val="20"/>
    <w:next w:val="1"/>
    <w:qFormat/>
    <w:uiPriority w:val="0"/>
    <w:pPr>
      <w:spacing w:line="360" w:lineRule="auto"/>
      <w:ind w:firstLine="200"/>
    </w:pPr>
    <w:rPr>
      <w:sz w:val="21"/>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TML Definition"/>
    <w:basedOn w:val="57"/>
    <w:semiHidden/>
    <w:unhideWhenUsed/>
    <w:qFormat/>
    <w:uiPriority w:val="99"/>
  </w:style>
  <w:style w:type="character" w:styleId="63">
    <w:name w:val="HTML Typewriter"/>
    <w:basedOn w:val="57"/>
    <w:semiHidden/>
    <w:unhideWhenUsed/>
    <w:qFormat/>
    <w:uiPriority w:val="99"/>
    <w:rPr>
      <w:rFonts w:hint="default" w:ascii="monospace" w:hAnsi="monospace" w:eastAsia="monospace" w:cs="monospace"/>
      <w:sz w:val="20"/>
    </w:rPr>
  </w:style>
  <w:style w:type="character" w:styleId="64">
    <w:name w:val="HTML Acronym"/>
    <w:basedOn w:val="57"/>
    <w:semiHidden/>
    <w:unhideWhenUsed/>
    <w:qFormat/>
    <w:uiPriority w:val="99"/>
    <w:rPr>
      <w:rFonts w:ascii="ActionIcon ! important" w:hAnsi="ActionIcon ! important" w:eastAsia="ActionIcon ! important" w:cs="ActionIcon ! important"/>
      <w:vanish/>
    </w:rPr>
  </w:style>
  <w:style w:type="character" w:styleId="65">
    <w:name w:val="HTML Variable"/>
    <w:basedOn w:val="57"/>
    <w:semiHidden/>
    <w:unhideWhenUsed/>
    <w:qFormat/>
    <w:uiPriority w:val="99"/>
    <w:rPr>
      <w:vanish/>
    </w:rPr>
  </w:style>
  <w:style w:type="character" w:styleId="66">
    <w:name w:val="Hyperlink"/>
    <w:basedOn w:val="57"/>
    <w:autoRedefine/>
    <w:unhideWhenUsed/>
    <w:qFormat/>
    <w:uiPriority w:val="99"/>
    <w:rPr>
      <w:color w:val="0000FF" w:themeColor="hyperlink"/>
      <w:u w:val="single"/>
      <w14:textFill>
        <w14:solidFill>
          <w14:schemeClr w14:val="hlink"/>
        </w14:solidFill>
      </w14:textFill>
    </w:rPr>
  </w:style>
  <w:style w:type="character" w:styleId="67">
    <w:name w:val="HTML Code"/>
    <w:basedOn w:val="57"/>
    <w:semiHidden/>
    <w:unhideWhenUsed/>
    <w:qFormat/>
    <w:uiPriority w:val="99"/>
    <w:rPr>
      <w:rFonts w:ascii="monospace" w:hAnsi="monospace" w:eastAsia="monospace" w:cs="monospace"/>
      <w:sz w:val="20"/>
    </w:rPr>
  </w:style>
  <w:style w:type="character" w:styleId="68">
    <w:name w:val="annotation reference"/>
    <w:basedOn w:val="57"/>
    <w:autoRedefine/>
    <w:unhideWhenUsed/>
    <w:qFormat/>
    <w:uiPriority w:val="0"/>
    <w:rPr>
      <w:sz w:val="21"/>
      <w:szCs w:val="21"/>
    </w:rPr>
  </w:style>
  <w:style w:type="character" w:styleId="69">
    <w:name w:val="HTML Cite"/>
    <w:basedOn w:val="57"/>
    <w:semiHidden/>
    <w:unhideWhenUsed/>
    <w:qFormat/>
    <w:uiPriority w:val="99"/>
  </w:style>
  <w:style w:type="character" w:styleId="70">
    <w:name w:val="footnote reference"/>
    <w:autoRedefine/>
    <w:unhideWhenUsed/>
    <w:qFormat/>
    <w:uiPriority w:val="0"/>
    <w:rPr>
      <w:vertAlign w:val="superscript"/>
    </w:rPr>
  </w:style>
  <w:style w:type="character" w:styleId="71">
    <w:name w:val="HTML Keyboard"/>
    <w:basedOn w:val="57"/>
    <w:semiHidden/>
    <w:unhideWhenUsed/>
    <w:qFormat/>
    <w:uiPriority w:val="99"/>
    <w:rPr>
      <w:rFonts w:hint="default" w:ascii="monospace" w:hAnsi="monospace" w:eastAsia="monospace" w:cs="monospace"/>
      <w:sz w:val="20"/>
    </w:rPr>
  </w:style>
  <w:style w:type="character" w:styleId="72">
    <w:name w:val="HTML Sample"/>
    <w:autoRedefine/>
    <w:qFormat/>
    <w:uiPriority w:val="0"/>
    <w:rPr>
      <w:rFonts w:hint="default" w:ascii="monospace" w:hAnsi="monospace" w:eastAsia="monospace" w:cs="monospace"/>
      <w:sz w:val="21"/>
      <w:szCs w:val="21"/>
    </w:rPr>
  </w:style>
  <w:style w:type="paragraph" w:customStyle="1" w:styleId="73">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74">
    <w:name w:val="批注框文本 Char"/>
    <w:basedOn w:val="57"/>
    <w:link w:val="32"/>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7"/>
    <w:link w:val="34"/>
    <w:autoRedefine/>
    <w:qFormat/>
    <w:uiPriority w:val="99"/>
    <w:rPr>
      <w:rFonts w:ascii="@仿宋_GB2312" w:hAnsi="@仿宋_GB2312" w:eastAsia="@仿宋_GB2312" w:cs="@仿宋_GB2312"/>
      <w:sz w:val="18"/>
      <w:szCs w:val="18"/>
    </w:rPr>
  </w:style>
  <w:style w:type="character" w:customStyle="1" w:styleId="79">
    <w:name w:val="页脚 Char"/>
    <w:basedOn w:val="57"/>
    <w:link w:val="33"/>
    <w:autoRedefine/>
    <w:qFormat/>
    <w:uiPriority w:val="99"/>
    <w:rPr>
      <w:rFonts w:ascii="@仿宋_GB2312" w:hAnsi="@仿宋_GB2312" w:eastAsia="@仿宋_GB2312" w:cs="@仿宋_GB2312"/>
      <w:sz w:val="18"/>
      <w:szCs w:val="18"/>
    </w:rPr>
  </w:style>
  <w:style w:type="character" w:customStyle="1" w:styleId="80">
    <w:name w:val="纯文本 Char"/>
    <w:link w:val="28"/>
    <w:autoRedefine/>
    <w:qFormat/>
    <w:uiPriority w:val="0"/>
    <w:rPr>
      <w:rFonts w:ascii="宋体" w:hAnsi="Courier New"/>
    </w:rPr>
  </w:style>
  <w:style w:type="character" w:customStyle="1" w:styleId="81">
    <w:name w:val="纯文本 字符1"/>
    <w:basedOn w:val="57"/>
    <w:autoRedefine/>
    <w:semiHidden/>
    <w:qFormat/>
    <w:uiPriority w:val="99"/>
    <w:rPr>
      <w:rFonts w:hAnsi="Courier New" w:cs="Courier New" w:asciiTheme="minorEastAsia"/>
      <w:szCs w:val="20"/>
    </w:rPr>
  </w:style>
  <w:style w:type="character" w:customStyle="1" w:styleId="82">
    <w:name w:val="未处理的提及1"/>
    <w:basedOn w:val="57"/>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7"/>
    <w:autoRedefine/>
    <w:semiHidden/>
    <w:qFormat/>
    <w:uiPriority w:val="99"/>
    <w:rPr>
      <w:rFonts w:ascii="@仿宋_GB2312" w:hAnsi="@仿宋_GB2312" w:eastAsia="@仿宋_GB2312" w:cs="@仿宋_GB2312"/>
      <w:szCs w:val="20"/>
    </w:rPr>
  </w:style>
  <w:style w:type="character" w:customStyle="1" w:styleId="87">
    <w:name w:val="日期 Char"/>
    <w:link w:val="30"/>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7"/>
    <w:autoRedefine/>
    <w:qFormat/>
    <w:uiPriority w:val="0"/>
    <w:rPr>
      <w:rFonts w:ascii="@仿宋_GB2312" w:hAnsi="@仿宋_GB2312" w:eastAsia="@仿宋_GB2312" w:cs="@仿宋_GB2312"/>
      <w:szCs w:val="20"/>
    </w:rPr>
  </w:style>
  <w:style w:type="character" w:customStyle="1" w:styleId="91">
    <w:name w:val="批注文字 Char1"/>
    <w:link w:val="16"/>
    <w:autoRedefine/>
    <w:qFormat/>
    <w:uiPriority w:val="99"/>
    <w:rPr>
      <w:rFonts w:ascii="Arial" w:hAnsi="Arial" w:eastAsia="黑体" w:cs="Arial"/>
      <w:szCs w:val="20"/>
    </w:rPr>
  </w:style>
  <w:style w:type="character" w:customStyle="1" w:styleId="92">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9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7"/>
    <w:link w:val="4"/>
    <w:autoRedefine/>
    <w:qFormat/>
    <w:uiPriority w:val="0"/>
    <w:rPr>
      <w:rFonts w:ascii="@仿宋_GB2312" w:hAnsi="@仿宋_GB2312" w:eastAsia="@仿宋_GB2312" w:cs="@仿宋_GB2312"/>
      <w:b/>
      <w:bCs/>
      <w:sz w:val="32"/>
      <w:szCs w:val="32"/>
    </w:rPr>
  </w:style>
  <w:style w:type="character" w:customStyle="1" w:styleId="95">
    <w:name w:val="fontstyle01"/>
    <w:basedOn w:val="57"/>
    <w:autoRedefine/>
    <w:qFormat/>
    <w:uiPriority w:val="0"/>
    <w:rPr>
      <w:rFonts w:hint="eastAsia" w:ascii="宋体" w:hAnsi="宋体" w:eastAsia="宋体"/>
      <w:color w:val="000000"/>
      <w:sz w:val="22"/>
      <w:szCs w:val="22"/>
    </w:rPr>
  </w:style>
  <w:style w:type="character" w:customStyle="1" w:styleId="96">
    <w:name w:val="fontstyle21"/>
    <w:basedOn w:val="57"/>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5"/>
    <w:autoRedefine/>
    <w:qFormat/>
    <w:uiPriority w:val="0"/>
    <w:rPr>
      <w:rFonts w:ascii="@仿宋_GB2312" w:hAnsi="@仿宋_GB2312" w:eastAsia="@仿宋_GB2312" w:cs="@仿宋_GB2312"/>
      <w:b/>
      <w:bCs/>
      <w:sz w:val="28"/>
      <w:szCs w:val="28"/>
    </w:rPr>
  </w:style>
  <w:style w:type="character" w:customStyle="1" w:styleId="100">
    <w:name w:val="正文文本 Char"/>
    <w:basedOn w:val="57"/>
    <w:link w:val="19"/>
    <w:autoRedefine/>
    <w:qFormat/>
    <w:uiPriority w:val="0"/>
    <w:rPr>
      <w:rFonts w:ascii="@微软简标宋" w:hAnsi="@微软简标宋" w:eastAsia="@微软简标宋" w:cs="@微软简标宋"/>
      <w:szCs w:val="24"/>
      <w:lang w:val="zh-CN" w:eastAsia="zh-CN"/>
    </w:rPr>
  </w:style>
  <w:style w:type="table" w:customStyle="1" w:styleId="101">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2"/>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106">
    <w:name w:val="标题 5 Char"/>
    <w:basedOn w:val="57"/>
    <w:link w:val="6"/>
    <w:autoRedefine/>
    <w:qFormat/>
    <w:uiPriority w:val="0"/>
    <w:rPr>
      <w:rFonts w:ascii="Calibri" w:hAnsi="Calibri" w:cs="Times New Roman"/>
      <w:b/>
      <w:bCs/>
      <w:kern w:val="2"/>
      <w:sz w:val="28"/>
      <w:szCs w:val="28"/>
      <w:lang w:val="zh-CN" w:eastAsia="zh-CN"/>
    </w:rPr>
  </w:style>
  <w:style w:type="character" w:customStyle="1" w:styleId="107">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7"/>
    <w:link w:val="9"/>
    <w:autoRedefine/>
    <w:qFormat/>
    <w:uiPriority w:val="0"/>
    <w:rPr>
      <w:rFonts w:eastAsia="黑体" w:cs="Times New Roman"/>
      <w:kern w:val="2"/>
      <w:sz w:val="32"/>
      <w:szCs w:val="32"/>
      <w:lang w:val="zh-CN" w:eastAsia="zh-CN"/>
    </w:rPr>
  </w:style>
  <w:style w:type="character" w:customStyle="1" w:styleId="110">
    <w:name w:val="标题 9 Char"/>
    <w:basedOn w:val="57"/>
    <w:link w:val="10"/>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7"/>
    <w:link w:val="20"/>
    <w:autoRedefine/>
    <w:qFormat/>
    <w:uiPriority w:val="0"/>
    <w:rPr>
      <w:rFonts w:asciiTheme="minorHAnsi" w:hAnsiTheme="minorHAnsi"/>
      <w:kern w:val="2"/>
      <w:sz w:val="21"/>
      <w:szCs w:val="22"/>
    </w:rPr>
  </w:style>
  <w:style w:type="paragraph" w:customStyle="1" w:styleId="116">
    <w:name w:val="Char"/>
    <w:basedOn w:val="1"/>
    <w:autoRedefine/>
    <w:qFormat/>
    <w:uiPriority w:val="0"/>
    <w:rPr>
      <w:rFonts w:ascii="Tahoma" w:hAnsi="Tahoma" w:cs="Times New Roman"/>
      <w:sz w:val="24"/>
    </w:rPr>
  </w:style>
  <w:style w:type="character" w:customStyle="1" w:styleId="117">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33">
    <w:name w:val="tdrownotice1"/>
    <w:autoRedefine/>
    <w:qFormat/>
    <w:uiPriority w:val="0"/>
    <w:rPr>
      <w:sz w:val="22"/>
    </w:rPr>
  </w:style>
  <w:style w:type="paragraph" w:customStyle="1" w:styleId="134">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5">
    <w:name w:val="正文文本缩进 3 Char"/>
    <w:basedOn w:val="57"/>
    <w:link w:val="44"/>
    <w:autoRedefine/>
    <w:qFormat/>
    <w:uiPriority w:val="0"/>
    <w:rPr>
      <w:rFonts w:hAnsi="MS Sans Serif" w:cs="Times New Roman"/>
      <w:bCs/>
      <w:color w:val="000000"/>
      <w:sz w:val="24"/>
      <w:lang w:val="zh-CN" w:eastAsia="zh-CN"/>
    </w:rPr>
  </w:style>
  <w:style w:type="character" w:customStyle="1" w:styleId="136">
    <w:name w:val="正文文本缩进 2 Char"/>
    <w:basedOn w:val="57"/>
    <w:link w:val="31"/>
    <w:autoRedefine/>
    <w:qFormat/>
    <w:uiPriority w:val="0"/>
    <w:rPr>
      <w:rFonts w:hAnsi="MS Sans Serif" w:cs="Times New Roman"/>
      <w:bCs/>
      <w:spacing w:val="12"/>
      <w:sz w:val="24"/>
      <w:lang w:val="zh-CN" w:eastAsia="zh-CN"/>
    </w:rPr>
  </w:style>
  <w:style w:type="paragraph" w:customStyle="1" w:styleId="137">
    <w:name w:val="目录"/>
    <w:basedOn w:val="1"/>
    <w:autoRedefine/>
    <w:qFormat/>
    <w:uiPriority w:val="0"/>
    <w:pPr>
      <w:widowControl/>
      <w:jc w:val="center"/>
    </w:pPr>
    <w:rPr>
      <w:rFonts w:hAnsi="Calibri" w:cs="Times New Roman"/>
      <w:b/>
      <w:sz w:val="36"/>
    </w:rPr>
  </w:style>
  <w:style w:type="paragraph" w:customStyle="1" w:styleId="138">
    <w:name w:val="目录文字"/>
    <w:basedOn w:val="1"/>
    <w:autoRedefine/>
    <w:qFormat/>
    <w:uiPriority w:val="0"/>
    <w:pPr>
      <w:widowControl/>
      <w:spacing w:line="480" w:lineRule="auto"/>
      <w:jc w:val="left"/>
    </w:pPr>
    <w:rPr>
      <w:rFonts w:cs="Times New Roman"/>
      <w:sz w:val="24"/>
    </w:rPr>
  </w:style>
  <w:style w:type="character" w:customStyle="1" w:styleId="139">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40">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4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3">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44">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5">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6">
    <w:name w:val="简单回函地址"/>
    <w:basedOn w:val="1"/>
    <w:autoRedefine/>
    <w:qFormat/>
    <w:uiPriority w:val="0"/>
    <w:rPr>
      <w:rFonts w:ascii="Calibri" w:hAnsi="Calibri" w:cs="Times New Roman"/>
      <w:kern w:val="2"/>
      <w:sz w:val="21"/>
      <w:szCs w:val="22"/>
    </w:rPr>
  </w:style>
  <w:style w:type="paragraph" w:customStyle="1" w:styleId="147">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8">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9">
    <w:name w:val="t_tag"/>
    <w:basedOn w:val="57"/>
    <w:autoRedefine/>
    <w:qFormat/>
    <w:uiPriority w:val="0"/>
  </w:style>
  <w:style w:type="table" w:customStyle="1" w:styleId="150">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1">
    <w:name w:val="批注框文本 Char1"/>
    <w:basedOn w:val="57"/>
    <w:autoRedefine/>
    <w:qFormat/>
    <w:uiPriority w:val="0"/>
    <w:rPr>
      <w:rFonts w:ascii="Times New Roman" w:hAnsi="Times New Roman" w:eastAsia="宋体" w:cs="Times New Roman"/>
      <w:sz w:val="18"/>
      <w:szCs w:val="18"/>
    </w:rPr>
  </w:style>
  <w:style w:type="character" w:customStyle="1" w:styleId="152">
    <w:name w:val="批注主题 Char1"/>
    <w:basedOn w:val="91"/>
    <w:autoRedefine/>
    <w:qFormat/>
    <w:uiPriority w:val="0"/>
    <w:rPr>
      <w:rFonts w:ascii="@仿宋_GB2312" w:hAnsi="@仿宋_GB2312" w:eastAsia="@仿宋_GB2312" w:cs="@仿宋_GB2312"/>
      <w:b/>
      <w:bCs/>
      <w:szCs w:val="20"/>
    </w:rPr>
  </w:style>
  <w:style w:type="paragraph" w:customStyle="1" w:styleId="153">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4">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5">
    <w:name w:val="标题 1 Char1"/>
    <w:autoRedefine/>
    <w:qFormat/>
    <w:uiPriority w:val="0"/>
    <w:rPr>
      <w:rFonts w:ascii="Calibri" w:hAnsi="Calibri" w:eastAsia="宋体"/>
      <w:b/>
      <w:kern w:val="44"/>
      <w:sz w:val="44"/>
      <w:szCs w:val="44"/>
    </w:rPr>
  </w:style>
  <w:style w:type="character" w:customStyle="1" w:styleId="156">
    <w:name w:val="标题 3 Char1"/>
    <w:autoRedefine/>
    <w:semiHidden/>
    <w:qFormat/>
    <w:uiPriority w:val="0"/>
    <w:rPr>
      <w:rFonts w:ascii="Calibri" w:hAnsi="Calibri" w:eastAsia="宋体"/>
      <w:b/>
      <w:kern w:val="2"/>
      <w:sz w:val="32"/>
    </w:rPr>
  </w:style>
  <w:style w:type="character" w:customStyle="1" w:styleId="157">
    <w:name w:val="标题 4 Char1"/>
    <w:autoRedefine/>
    <w:semiHidden/>
    <w:qFormat/>
    <w:uiPriority w:val="0"/>
    <w:rPr>
      <w:rFonts w:ascii="Cambria" w:hAnsi="Cambria" w:eastAsia="宋体"/>
      <w:b/>
      <w:kern w:val="2"/>
      <w:sz w:val="28"/>
      <w:szCs w:val="28"/>
    </w:rPr>
  </w:style>
  <w:style w:type="character" w:customStyle="1" w:styleId="158">
    <w:name w:val="标题 5 Char1"/>
    <w:autoRedefine/>
    <w:semiHidden/>
    <w:qFormat/>
    <w:uiPriority w:val="0"/>
    <w:rPr>
      <w:rFonts w:ascii="Calibri" w:hAnsi="Calibri" w:eastAsia="宋体"/>
      <w:b/>
      <w:kern w:val="2"/>
      <w:sz w:val="28"/>
      <w:szCs w:val="28"/>
    </w:rPr>
  </w:style>
  <w:style w:type="character" w:customStyle="1" w:styleId="159">
    <w:name w:val="标题 6 Char1"/>
    <w:autoRedefine/>
    <w:semiHidden/>
    <w:qFormat/>
    <w:uiPriority w:val="0"/>
    <w:rPr>
      <w:rFonts w:ascii="Cambria" w:hAnsi="Cambria" w:eastAsia="宋体"/>
      <w:b/>
      <w:kern w:val="2"/>
      <w:sz w:val="24"/>
      <w:szCs w:val="24"/>
    </w:rPr>
  </w:style>
  <w:style w:type="character" w:customStyle="1" w:styleId="160">
    <w:name w:val="标题 7 Char1"/>
    <w:autoRedefine/>
    <w:semiHidden/>
    <w:qFormat/>
    <w:uiPriority w:val="0"/>
    <w:rPr>
      <w:rFonts w:ascii="Calibri" w:hAnsi="Calibri" w:eastAsia="宋体"/>
      <w:b/>
      <w:kern w:val="2"/>
      <w:sz w:val="24"/>
      <w:szCs w:val="24"/>
    </w:rPr>
  </w:style>
  <w:style w:type="character" w:customStyle="1" w:styleId="161">
    <w:name w:val="标题 8 Char1"/>
    <w:autoRedefine/>
    <w:semiHidden/>
    <w:qFormat/>
    <w:uiPriority w:val="0"/>
    <w:rPr>
      <w:rFonts w:ascii="Cambria" w:hAnsi="Cambria" w:eastAsia="宋体"/>
      <w:kern w:val="2"/>
      <w:sz w:val="24"/>
      <w:szCs w:val="24"/>
    </w:rPr>
  </w:style>
  <w:style w:type="character" w:customStyle="1" w:styleId="162">
    <w:name w:val="标题 9 Char1"/>
    <w:autoRedefine/>
    <w:semiHidden/>
    <w:qFormat/>
    <w:uiPriority w:val="0"/>
    <w:rPr>
      <w:rFonts w:ascii="Cambria" w:hAnsi="Cambria" w:eastAsia="宋体"/>
      <w:kern w:val="2"/>
      <w:sz w:val="21"/>
      <w:szCs w:val="21"/>
    </w:rPr>
  </w:style>
  <w:style w:type="paragraph" w:customStyle="1" w:styleId="163">
    <w:name w:val="MsoNormal"/>
    <w:basedOn w:val="164"/>
    <w:autoRedefine/>
    <w:qFormat/>
    <w:uiPriority w:val="0"/>
    <w:rPr>
      <w:rFonts w:ascii="Calibri" w:hAnsi="Calibri" w:eastAsia="Calibri"/>
      <w:sz w:val="21"/>
    </w:rPr>
  </w:style>
  <w:style w:type="paragraph" w:customStyle="1" w:styleId="164">
    <w:name w:val="Normal_0"/>
    <w:autoRedefine/>
    <w:qFormat/>
    <w:uiPriority w:val="0"/>
    <w:rPr>
      <w:rFonts w:ascii="Times New Roman" w:hAnsi="Times New Roman" w:eastAsia="宋体" w:cs="Times New Roman"/>
      <w:sz w:val="24"/>
      <w:szCs w:val="24"/>
      <w:lang w:val="en-US" w:eastAsia="zh-CN" w:bidi="ar-SA"/>
    </w:rPr>
  </w:style>
  <w:style w:type="paragraph" w:customStyle="1" w:styleId="165">
    <w:name w:val="标题 2_0"/>
    <w:basedOn w:val="166"/>
    <w:next w:val="167"/>
    <w:link w:val="168"/>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标题 2 Char_0"/>
    <w:link w:val="165"/>
    <w:autoRedefine/>
    <w:qFormat/>
    <w:uiPriority w:val="0"/>
    <w:rPr>
      <w:rFonts w:ascii="黑体" w:eastAsia="黑体" w:cs="Times New Roman"/>
      <w:b/>
      <w:smallCaps/>
      <w:snapToGrid w:val="0"/>
      <w:sz w:val="36"/>
      <w:szCs w:val="24"/>
      <w:lang w:val="zh-CN" w:eastAsia="zh-CN"/>
    </w:rPr>
  </w:style>
  <w:style w:type="paragraph" w:customStyle="1" w:styleId="169">
    <w:name w:val="纯文本_0"/>
    <w:basedOn w:val="167"/>
    <w:link w:val="170"/>
    <w:autoRedefine/>
    <w:qFormat/>
    <w:uiPriority w:val="99"/>
    <w:rPr>
      <w:rFonts w:ascii="宋体" w:hAnsi="Courier New"/>
      <w:szCs w:val="21"/>
    </w:rPr>
  </w:style>
  <w:style w:type="character" w:customStyle="1" w:styleId="170">
    <w:name w:val="Texte Char1"/>
    <w:link w:val="169"/>
    <w:autoRedefine/>
    <w:qFormat/>
    <w:uiPriority w:val="99"/>
    <w:rPr>
      <w:rFonts w:hAnsi="Courier New" w:cs="Times New Roman"/>
      <w:kern w:val="2"/>
      <w:sz w:val="21"/>
      <w:szCs w:val="21"/>
    </w:rPr>
  </w:style>
  <w:style w:type="paragraph" w:customStyle="1" w:styleId="171">
    <w:name w:val="纯文本_1"/>
    <w:basedOn w:val="172"/>
    <w:link w:val="173"/>
    <w:autoRedefine/>
    <w:qFormat/>
    <w:uiPriority w:val="0"/>
    <w:rPr>
      <w:rFonts w:ascii="宋体" w:hAnsi="Courier New"/>
      <w:szCs w:val="21"/>
      <w:lang w:val="zh-CN"/>
    </w:rPr>
  </w:style>
  <w:style w:type="paragraph" w:customStyle="1" w:styleId="17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
    <w:name w:val="纯文本 Char1_0"/>
    <w:link w:val="171"/>
    <w:autoRedefine/>
    <w:qFormat/>
    <w:uiPriority w:val="0"/>
    <w:rPr>
      <w:rFonts w:hAnsi="Courier New" w:cs="Times New Roman"/>
      <w:kern w:val="2"/>
      <w:sz w:val="21"/>
      <w:szCs w:val="21"/>
      <w:lang w:val="zh-CN" w:eastAsia="zh-CN"/>
    </w:rPr>
  </w:style>
  <w:style w:type="paragraph" w:customStyle="1" w:styleId="174">
    <w:name w:val="标题 3_0"/>
    <w:basedOn w:val="175"/>
    <w:next w:val="176"/>
    <w:link w:val="187"/>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缩进_0"/>
    <w:basedOn w:val="175"/>
    <w:autoRedefine/>
    <w:unhideWhenUsed/>
    <w:qFormat/>
    <w:uiPriority w:val="0"/>
    <w:pPr>
      <w:ind w:firstLine="420" w:firstLineChars="200"/>
    </w:pPr>
    <w:rPr>
      <w:rFonts w:ascii="Calibri" w:hAnsi="Calibri"/>
      <w:bCs/>
      <w:szCs w:val="32"/>
    </w:rPr>
  </w:style>
  <w:style w:type="paragraph" w:customStyle="1" w:styleId="177">
    <w:name w:val="标题 1_0"/>
    <w:basedOn w:val="175"/>
    <w:next w:val="175"/>
    <w:link w:val="178"/>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8">
    <w:name w:val="标题 1 Char_0"/>
    <w:link w:val="177"/>
    <w:autoRedefine/>
    <w:qFormat/>
    <w:uiPriority w:val="0"/>
    <w:rPr>
      <w:rFonts w:ascii="黑体" w:hAnsi="Times New Roman" w:eastAsia="黑体" w:cs="Times New Roman"/>
      <w:sz w:val="52"/>
      <w:lang w:val="zh-CN" w:eastAsia="zh-CN"/>
    </w:rPr>
  </w:style>
  <w:style w:type="paragraph" w:customStyle="1" w:styleId="179">
    <w:name w:val="标题 6_0"/>
    <w:basedOn w:val="175"/>
    <w:next w:val="175"/>
    <w:link w:val="180"/>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0">
    <w:name w:val="标题 6 Char_0"/>
    <w:link w:val="179"/>
    <w:autoRedefine/>
    <w:qFormat/>
    <w:uiPriority w:val="0"/>
    <w:rPr>
      <w:rFonts w:ascii="Arial" w:hAnsi="Arial" w:eastAsia="黑体" w:cs="Times New Roman"/>
      <w:b/>
      <w:bCs/>
      <w:sz w:val="24"/>
      <w:szCs w:val="24"/>
      <w:lang w:val="zh-CN" w:eastAsia="zh-CN"/>
    </w:rPr>
  </w:style>
  <w:style w:type="paragraph" w:customStyle="1" w:styleId="181">
    <w:name w:val="标题 7_0"/>
    <w:basedOn w:val="175"/>
    <w:next w:val="175"/>
    <w:link w:val="182"/>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2">
    <w:name w:val="标题 7 Char_0"/>
    <w:link w:val="181"/>
    <w:autoRedefine/>
    <w:qFormat/>
    <w:uiPriority w:val="0"/>
    <w:rPr>
      <w:rFonts w:ascii="Times New Roman" w:hAnsi="Times New Roman" w:cs="Times New Roman"/>
      <w:b/>
      <w:bCs/>
      <w:sz w:val="24"/>
      <w:szCs w:val="24"/>
      <w:lang w:val="zh-CN" w:eastAsia="zh-CN"/>
    </w:rPr>
  </w:style>
  <w:style w:type="paragraph" w:customStyle="1" w:styleId="183">
    <w:name w:val="标题 8_0"/>
    <w:basedOn w:val="175"/>
    <w:next w:val="175"/>
    <w:link w:val="184"/>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4">
    <w:name w:val="标题 8 Char_0"/>
    <w:link w:val="183"/>
    <w:autoRedefine/>
    <w:qFormat/>
    <w:uiPriority w:val="0"/>
    <w:rPr>
      <w:rFonts w:ascii="Arial" w:hAnsi="Arial" w:eastAsia="黑体" w:cs="Times New Roman"/>
      <w:sz w:val="24"/>
      <w:szCs w:val="24"/>
      <w:lang w:val="zh-CN" w:eastAsia="zh-CN"/>
    </w:rPr>
  </w:style>
  <w:style w:type="paragraph" w:customStyle="1" w:styleId="185">
    <w:name w:val="标题 9_0"/>
    <w:basedOn w:val="175"/>
    <w:next w:val="175"/>
    <w:link w:val="186"/>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6">
    <w:name w:val="标题 9 Char_0"/>
    <w:link w:val="185"/>
    <w:autoRedefine/>
    <w:qFormat/>
    <w:uiPriority w:val="0"/>
    <w:rPr>
      <w:rFonts w:ascii="Arial" w:hAnsi="Arial" w:eastAsia="黑体" w:cs="Times New Roman"/>
      <w:sz w:val="21"/>
      <w:szCs w:val="21"/>
      <w:lang w:val="zh-CN" w:eastAsia="zh-CN"/>
    </w:rPr>
  </w:style>
  <w:style w:type="character" w:customStyle="1" w:styleId="187">
    <w:name w:val="标题 3 Char_0"/>
    <w:link w:val="174"/>
    <w:autoRedefine/>
    <w:qFormat/>
    <w:uiPriority w:val="0"/>
    <w:rPr>
      <w:rFonts w:ascii="Times New Roman" w:hAnsi="Times New Roman" w:cs="Times New Roman"/>
      <w:b/>
      <w:sz w:val="32"/>
      <w:lang w:val="zh-CN" w:eastAsia="zh-CN"/>
    </w:rPr>
  </w:style>
  <w:style w:type="paragraph" w:customStyle="1" w:styleId="188">
    <w:name w:val="Blockquote_0"/>
    <w:basedOn w:val="175"/>
    <w:link w:val="189"/>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9">
    <w:name w:val="Blockquote Char_0"/>
    <w:link w:val="188"/>
    <w:autoRedefine/>
    <w:qFormat/>
    <w:locked/>
    <w:uiPriority w:val="0"/>
    <w:rPr>
      <w:rFonts w:ascii="Times New Roman" w:hAnsi="Times New Roman" w:cs="Times New Roman"/>
      <w:sz w:val="24"/>
      <w:lang w:val="zh-CN" w:eastAsia="zh-CN"/>
    </w:rPr>
  </w:style>
  <w:style w:type="paragraph" w:customStyle="1" w:styleId="190">
    <w:name w:val="标题 4_0"/>
    <w:basedOn w:val="175"/>
    <w:next w:val="175"/>
    <w:link w:val="191"/>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1">
    <w:name w:val="标题 4 Char_0"/>
    <w:link w:val="190"/>
    <w:autoRedefine/>
    <w:qFormat/>
    <w:uiPriority w:val="0"/>
    <w:rPr>
      <w:rFonts w:ascii="Arial" w:hAnsi="Arial" w:eastAsia="黑体" w:cs="Times New Roman"/>
      <w:sz w:val="28"/>
      <w:lang w:val="zh-CN" w:eastAsia="zh-CN"/>
    </w:rPr>
  </w:style>
  <w:style w:type="paragraph" w:customStyle="1" w:styleId="192">
    <w:name w:val="纯文本_2"/>
    <w:basedOn w:val="175"/>
    <w:link w:val="193"/>
    <w:autoRedefine/>
    <w:qFormat/>
    <w:uiPriority w:val="0"/>
    <w:rPr>
      <w:rFonts w:ascii="宋体" w:hAnsi="Courier New"/>
      <w:szCs w:val="21"/>
      <w:lang w:val="zh-CN"/>
    </w:rPr>
  </w:style>
  <w:style w:type="character" w:customStyle="1" w:styleId="193">
    <w:name w:val="纯文本 Char1_1"/>
    <w:link w:val="192"/>
    <w:autoRedefine/>
    <w:qFormat/>
    <w:uiPriority w:val="0"/>
    <w:rPr>
      <w:rFonts w:hAnsi="Courier New" w:cs="Times New Roman"/>
      <w:kern w:val="2"/>
      <w:sz w:val="21"/>
      <w:szCs w:val="21"/>
      <w:lang w:val="zh-CN" w:eastAsia="zh-CN"/>
    </w:rPr>
  </w:style>
  <w:style w:type="paragraph" w:customStyle="1" w:styleId="194">
    <w:name w:val="Blockquote_0_1"/>
    <w:basedOn w:val="195"/>
    <w:link w:val="196"/>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Blockquote Char_0_1"/>
    <w:link w:val="194"/>
    <w:autoRedefine/>
    <w:qFormat/>
    <w:locked/>
    <w:uiPriority w:val="0"/>
    <w:rPr>
      <w:rFonts w:ascii="Times New Roman" w:hAnsi="Times New Roman" w:cs="Times New Roman"/>
      <w:sz w:val="24"/>
      <w:lang w:val="zh-CN" w:eastAsia="zh-CN"/>
    </w:rPr>
  </w:style>
  <w:style w:type="paragraph" w:customStyle="1" w:styleId="197">
    <w:name w:val="正文文本_0"/>
    <w:basedOn w:val="175"/>
    <w:link w:val="198"/>
    <w:autoRedefine/>
    <w:qFormat/>
    <w:uiPriority w:val="0"/>
    <w:pPr>
      <w:spacing w:after="120"/>
    </w:pPr>
    <w:rPr>
      <w:lang w:val="zh-CN"/>
    </w:rPr>
  </w:style>
  <w:style w:type="character" w:customStyle="1" w:styleId="198">
    <w:name w:val="正文文本 Char_0"/>
    <w:link w:val="197"/>
    <w:autoRedefine/>
    <w:qFormat/>
    <w:uiPriority w:val="0"/>
    <w:rPr>
      <w:rFonts w:ascii="Times New Roman" w:hAnsi="Times New Roman" w:cs="Times New Roman"/>
      <w:kern w:val="2"/>
      <w:sz w:val="21"/>
      <w:szCs w:val="24"/>
      <w:lang w:val="zh-CN" w:eastAsia="zh-CN"/>
    </w:rPr>
  </w:style>
  <w:style w:type="paragraph" w:customStyle="1" w:styleId="199">
    <w:name w:val="普通(网站)_0"/>
    <w:basedOn w:val="175"/>
    <w:autoRedefine/>
    <w:qFormat/>
    <w:uiPriority w:val="0"/>
    <w:pPr>
      <w:widowControl/>
      <w:spacing w:before="100" w:beforeAutospacing="1" w:after="100" w:afterAutospacing="1"/>
      <w:jc w:val="left"/>
    </w:pPr>
    <w:rPr>
      <w:rFonts w:ascii="宋体" w:hAnsi="宋体"/>
      <w:kern w:val="0"/>
      <w:sz w:val="24"/>
    </w:rPr>
  </w:style>
  <w:style w:type="paragraph" w:customStyle="1" w:styleId="20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脚注文本_0"/>
    <w:basedOn w:val="124"/>
    <w:link w:val="203"/>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3">
    <w:name w:val="脚注文本 Char_0"/>
    <w:link w:val="202"/>
    <w:autoRedefine/>
    <w:qFormat/>
    <w:uiPriority w:val="0"/>
    <w:rPr>
      <w:rFonts w:ascii="Times New Roman" w:hAnsi="Times New Roman" w:cs="Times New Roman"/>
      <w:sz w:val="18"/>
      <w:lang w:val="zh-CN" w:eastAsia="zh-CN"/>
    </w:rPr>
  </w:style>
  <w:style w:type="paragraph" w:customStyle="1" w:styleId="204">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0">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3">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4">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5">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6">
    <w:name w:val="Char Char Char Char Char"/>
    <w:basedOn w:val="1"/>
    <w:autoRedefine/>
    <w:qFormat/>
    <w:uiPriority w:val="0"/>
    <w:rPr>
      <w:rFonts w:ascii="Tahoma" w:hAnsi="Tahoma" w:cs="Times New Roman"/>
      <w:kern w:val="2"/>
      <w:sz w:val="24"/>
    </w:rPr>
  </w:style>
  <w:style w:type="paragraph" w:customStyle="1" w:styleId="227">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8">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9">
    <w:name w:val="Char Char"/>
    <w:autoRedefine/>
    <w:qFormat/>
    <w:uiPriority w:val="0"/>
    <w:rPr>
      <w:rFonts w:ascii="宋体" w:hAnsi="Courier New" w:eastAsia="宋体" w:cs="Courier New"/>
      <w:kern w:val="2"/>
      <w:sz w:val="21"/>
      <w:szCs w:val="21"/>
      <w:lang w:val="en-US" w:eastAsia="zh-CN" w:bidi="ar-SA"/>
    </w:rPr>
  </w:style>
  <w:style w:type="character" w:customStyle="1" w:styleId="230">
    <w:name w:val="标题4 Char Char"/>
    <w:link w:val="231"/>
    <w:autoRedefine/>
    <w:qFormat/>
    <w:uiPriority w:val="0"/>
    <w:rPr>
      <w:rFonts w:ascii="Arial" w:hAnsi="Arial"/>
      <w:b/>
      <w:bCs/>
      <w:sz w:val="24"/>
      <w:szCs w:val="32"/>
    </w:rPr>
  </w:style>
  <w:style w:type="paragraph" w:customStyle="1" w:styleId="231">
    <w:name w:val="标题4"/>
    <w:basedOn w:val="3"/>
    <w:next w:val="25"/>
    <w:link w:val="230"/>
    <w:autoRedefine/>
    <w:qFormat/>
    <w:uiPriority w:val="0"/>
    <w:pPr>
      <w:spacing w:before="0" w:after="0" w:line="413" w:lineRule="auto"/>
    </w:pPr>
    <w:rPr>
      <w:rFonts w:ascii="Arial" w:hAnsi="Arial" w:cstheme="minorBidi"/>
      <w:kern w:val="0"/>
      <w:sz w:val="24"/>
      <w:lang w:val="en-US"/>
    </w:rPr>
  </w:style>
  <w:style w:type="character" w:customStyle="1" w:styleId="232">
    <w:name w:val="明显引用 Char"/>
    <w:link w:val="233"/>
    <w:autoRedefine/>
    <w:qFormat/>
    <w:uiPriority w:val="0"/>
    <w:rPr>
      <w:b/>
      <w:bCs/>
      <w:i/>
      <w:iCs/>
      <w:color w:val="4F81BD"/>
    </w:rPr>
  </w:style>
  <w:style w:type="paragraph" w:styleId="233">
    <w:name w:val="Intense Quote"/>
    <w:basedOn w:val="1"/>
    <w:next w:val="1"/>
    <w:link w:val="232"/>
    <w:autoRedefine/>
    <w:qFormat/>
    <w:uiPriority w:val="0"/>
    <w:pPr>
      <w:pBdr>
        <w:bottom w:val="single" w:color="4F81BD" w:themeColor="accent1" w:sz="4" w:space="4"/>
      </w:pBdr>
      <w:spacing w:before="200" w:after="280"/>
      <w:ind w:left="936" w:right="936"/>
    </w:pPr>
    <w:rPr>
      <w:b/>
      <w:bCs/>
      <w:i/>
      <w:iCs/>
      <w:color w:val="4F81BD"/>
    </w:rPr>
  </w:style>
  <w:style w:type="paragraph" w:customStyle="1" w:styleId="234">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5">
    <w:name w:val="明显引用 Char1"/>
    <w:basedOn w:val="57"/>
    <w:autoRedefine/>
    <w:qFormat/>
    <w:uiPriority w:val="30"/>
    <w:rPr>
      <w:rFonts w:ascii="Times New Roman" w:hAnsi="Times New Roman" w:eastAsia="宋体" w:cs="Times New Roman"/>
      <w:i/>
      <w:iCs/>
      <w:color w:val="5B9BD5"/>
      <w:szCs w:val="24"/>
    </w:rPr>
  </w:style>
  <w:style w:type="character" w:customStyle="1" w:styleId="236">
    <w:name w:val="标题5 Char Char"/>
    <w:link w:val="237"/>
    <w:autoRedefine/>
    <w:qFormat/>
    <w:uiPriority w:val="0"/>
    <w:rPr>
      <w:rFonts w:ascii="Arial" w:hAnsi="Arial"/>
      <w:b/>
      <w:bCs/>
      <w:sz w:val="24"/>
      <w:szCs w:val="32"/>
    </w:rPr>
  </w:style>
  <w:style w:type="paragraph" w:customStyle="1" w:styleId="237">
    <w:name w:val="标题5"/>
    <w:basedOn w:val="4"/>
    <w:link w:val="236"/>
    <w:autoRedefine/>
    <w:qFormat/>
    <w:uiPriority w:val="0"/>
    <w:pPr>
      <w:spacing w:line="413" w:lineRule="auto"/>
      <w:jc w:val="left"/>
    </w:pPr>
    <w:rPr>
      <w:rFonts w:ascii="Arial" w:hAnsi="Arial"/>
      <w:sz w:val="24"/>
    </w:rPr>
  </w:style>
  <w:style w:type="character" w:customStyle="1" w:styleId="238">
    <w:name w:val="引用 Char"/>
    <w:link w:val="239"/>
    <w:autoRedefine/>
    <w:qFormat/>
    <w:uiPriority w:val="0"/>
    <w:rPr>
      <w:i/>
      <w:iCs/>
      <w:color w:val="000000"/>
    </w:rPr>
  </w:style>
  <w:style w:type="paragraph" w:styleId="239">
    <w:name w:val="Quote"/>
    <w:basedOn w:val="1"/>
    <w:next w:val="1"/>
    <w:link w:val="238"/>
    <w:autoRedefine/>
    <w:qFormat/>
    <w:uiPriority w:val="0"/>
    <w:rPr>
      <w:i/>
      <w:iCs/>
      <w:color w:val="000000"/>
    </w:rPr>
  </w:style>
  <w:style w:type="paragraph" w:customStyle="1" w:styleId="240">
    <w:name w:val="引用1"/>
    <w:basedOn w:val="1"/>
    <w:next w:val="1"/>
    <w:autoRedefine/>
    <w:qFormat/>
    <w:uiPriority w:val="0"/>
    <w:rPr>
      <w:rFonts w:ascii="Calibri" w:hAnsi="Calibri" w:cs="Times New Roman"/>
      <w:i/>
      <w:iCs/>
      <w:color w:val="000000"/>
      <w:kern w:val="2"/>
      <w:sz w:val="21"/>
      <w:szCs w:val="22"/>
    </w:rPr>
  </w:style>
  <w:style w:type="character" w:customStyle="1" w:styleId="241">
    <w:name w:val="引用 Char1"/>
    <w:basedOn w:val="57"/>
    <w:autoRedefine/>
    <w:qFormat/>
    <w:uiPriority w:val="29"/>
    <w:rPr>
      <w:rFonts w:ascii="Times New Roman" w:hAnsi="Times New Roman" w:eastAsia="宋体" w:cs="Times New Roman"/>
      <w:i/>
      <w:iCs/>
      <w:color w:val="404040"/>
      <w:szCs w:val="24"/>
    </w:rPr>
  </w:style>
  <w:style w:type="character" w:customStyle="1" w:styleId="242">
    <w:name w:val="ask-title2"/>
    <w:autoRedefine/>
    <w:qFormat/>
    <w:uiPriority w:val="0"/>
  </w:style>
  <w:style w:type="character" w:customStyle="1" w:styleId="243">
    <w:name w:val="正文文本 Char1"/>
    <w:autoRedefine/>
    <w:qFormat/>
    <w:uiPriority w:val="0"/>
    <w:rPr>
      <w:kern w:val="2"/>
      <w:sz w:val="21"/>
      <w:szCs w:val="22"/>
    </w:rPr>
  </w:style>
  <w:style w:type="character" w:customStyle="1" w:styleId="244">
    <w:name w:val="不明显强调1"/>
    <w:autoRedefine/>
    <w:qFormat/>
    <w:uiPriority w:val="0"/>
    <w:rPr>
      <w:i/>
      <w:iCs/>
      <w:color w:val="808080"/>
    </w:rPr>
  </w:style>
  <w:style w:type="character" w:customStyle="1" w:styleId="245">
    <w:name w:val="明显参考1"/>
    <w:autoRedefine/>
    <w:qFormat/>
    <w:uiPriority w:val="0"/>
    <w:rPr>
      <w:b/>
      <w:bCs/>
      <w:smallCaps/>
      <w:color w:val="C0504D"/>
      <w:spacing w:val="5"/>
      <w:u w:val="single"/>
    </w:rPr>
  </w:style>
  <w:style w:type="character" w:customStyle="1" w:styleId="246">
    <w:name w:val="书籍标题1"/>
    <w:autoRedefine/>
    <w:qFormat/>
    <w:uiPriority w:val="0"/>
    <w:rPr>
      <w:b/>
      <w:bCs/>
      <w:smallCaps/>
      <w:spacing w:val="5"/>
    </w:rPr>
  </w:style>
  <w:style w:type="character" w:customStyle="1" w:styleId="247">
    <w:name w:val="日期 Char1"/>
    <w:autoRedefine/>
    <w:qFormat/>
    <w:uiPriority w:val="0"/>
    <w:rPr>
      <w:kern w:val="2"/>
      <w:sz w:val="21"/>
      <w:szCs w:val="22"/>
    </w:rPr>
  </w:style>
  <w:style w:type="character" w:customStyle="1" w:styleId="248">
    <w:name w:val="明显强调1"/>
    <w:autoRedefine/>
    <w:qFormat/>
    <w:uiPriority w:val="0"/>
    <w:rPr>
      <w:b/>
      <w:bCs/>
      <w:i/>
      <w:iCs/>
      <w:color w:val="4F81BD"/>
    </w:rPr>
  </w:style>
  <w:style w:type="character" w:customStyle="1" w:styleId="249">
    <w:name w:val="textcontents"/>
    <w:autoRedefine/>
    <w:qFormat/>
    <w:uiPriority w:val="0"/>
    <w:rPr>
      <w:rFonts w:cs="Times New Roman"/>
    </w:rPr>
  </w:style>
  <w:style w:type="character" w:customStyle="1" w:styleId="250">
    <w:name w:val="不明显参考1"/>
    <w:autoRedefine/>
    <w:qFormat/>
    <w:uiPriority w:val="0"/>
    <w:rPr>
      <w:smallCaps/>
      <w:color w:val="C0504D"/>
      <w:u w:val="single"/>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文档结构图 Char1"/>
    <w:autoRedefine/>
    <w:qFormat/>
    <w:uiPriority w:val="0"/>
    <w:rPr>
      <w:rFonts w:ascii="宋体"/>
      <w:kern w:val="2"/>
      <w:sz w:val="18"/>
      <w:szCs w:val="18"/>
    </w:rPr>
  </w:style>
  <w:style w:type="paragraph" w:customStyle="1" w:styleId="253">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4">
    <w:name w:val="页脚 Char1"/>
    <w:autoRedefine/>
    <w:semiHidden/>
    <w:qFormat/>
    <w:uiPriority w:val="99"/>
    <w:rPr>
      <w:kern w:val="2"/>
      <w:sz w:val="18"/>
      <w:szCs w:val="18"/>
    </w:rPr>
  </w:style>
  <w:style w:type="character" w:customStyle="1" w:styleId="255">
    <w:name w:val="批注框文本 Char2"/>
    <w:autoRedefine/>
    <w:semiHidden/>
    <w:qFormat/>
    <w:uiPriority w:val="99"/>
    <w:rPr>
      <w:kern w:val="2"/>
      <w:sz w:val="18"/>
      <w:szCs w:val="18"/>
    </w:rPr>
  </w:style>
  <w:style w:type="character" w:customStyle="1" w:styleId="256">
    <w:name w:val="批注主题 Char2"/>
    <w:autoRedefine/>
    <w:semiHidden/>
    <w:qFormat/>
    <w:uiPriority w:val="99"/>
    <w:rPr>
      <w:b/>
      <w:bCs/>
      <w:kern w:val="2"/>
      <w:sz w:val="21"/>
      <w:szCs w:val="22"/>
    </w:rPr>
  </w:style>
  <w:style w:type="character" w:customStyle="1" w:styleId="257">
    <w:name w:val="文档结构图 Char2"/>
    <w:autoRedefine/>
    <w:semiHidden/>
    <w:qFormat/>
    <w:uiPriority w:val="99"/>
    <w:rPr>
      <w:rFonts w:ascii="宋体"/>
      <w:kern w:val="2"/>
      <w:sz w:val="18"/>
      <w:szCs w:val="18"/>
    </w:rPr>
  </w:style>
  <w:style w:type="character" w:customStyle="1" w:styleId="258">
    <w:name w:val="页眉 Char1"/>
    <w:autoRedefine/>
    <w:semiHidden/>
    <w:qFormat/>
    <w:uiPriority w:val="99"/>
    <w:rPr>
      <w:kern w:val="2"/>
      <w:sz w:val="18"/>
      <w:szCs w:val="18"/>
    </w:rPr>
  </w:style>
  <w:style w:type="character" w:customStyle="1" w:styleId="259">
    <w:name w:val="日期 Char2"/>
    <w:autoRedefine/>
    <w:semiHidden/>
    <w:qFormat/>
    <w:uiPriority w:val="99"/>
    <w:rPr>
      <w:kern w:val="2"/>
      <w:sz w:val="21"/>
      <w:szCs w:val="22"/>
    </w:rPr>
  </w:style>
  <w:style w:type="character" w:customStyle="1" w:styleId="260">
    <w:name w:val="正文文本 Char2"/>
    <w:autoRedefine/>
    <w:semiHidden/>
    <w:qFormat/>
    <w:uiPriority w:val="99"/>
    <w:rPr>
      <w:kern w:val="2"/>
      <w:sz w:val="21"/>
      <w:szCs w:val="22"/>
    </w:rPr>
  </w:style>
  <w:style w:type="character" w:customStyle="1" w:styleId="261">
    <w:name w:val="标题 Char1"/>
    <w:autoRedefine/>
    <w:qFormat/>
    <w:uiPriority w:val="10"/>
    <w:rPr>
      <w:rFonts w:ascii="Cambria" w:hAnsi="Cambria" w:cs="Times New Roman"/>
      <w:b/>
      <w:bCs/>
      <w:kern w:val="2"/>
      <w:sz w:val="32"/>
      <w:szCs w:val="32"/>
    </w:rPr>
  </w:style>
  <w:style w:type="character" w:customStyle="1" w:styleId="262">
    <w:name w:val="副标题 Char1"/>
    <w:autoRedefine/>
    <w:qFormat/>
    <w:uiPriority w:val="11"/>
    <w:rPr>
      <w:rFonts w:ascii="Cambria" w:hAnsi="Cambria" w:cs="Times New Roman"/>
      <w:b/>
      <w:bCs/>
      <w:kern w:val="28"/>
      <w:sz w:val="32"/>
      <w:szCs w:val="32"/>
    </w:rPr>
  </w:style>
  <w:style w:type="paragraph" w:customStyle="1" w:styleId="263">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6">
    <w:name w:val="正文2 Char"/>
    <w:link w:val="267"/>
    <w:autoRedefine/>
    <w:qFormat/>
    <w:uiPriority w:val="0"/>
    <w:rPr>
      <w:rFonts w:ascii="楷体" w:eastAsia="楷体"/>
      <w:b/>
      <w:color w:val="0000FF"/>
    </w:rPr>
  </w:style>
  <w:style w:type="paragraph" w:customStyle="1" w:styleId="267">
    <w:name w:val="正文2"/>
    <w:link w:val="266"/>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8">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9">
    <w:name w:val="正文文本 (2)_"/>
    <w:link w:val="270"/>
    <w:autoRedefine/>
    <w:qFormat/>
    <w:locked/>
    <w:uiPriority w:val="99"/>
    <w:rPr>
      <w:rFonts w:ascii="MingLiU" w:eastAsia="MingLiU" w:cs="MingLiU"/>
      <w:spacing w:val="20"/>
      <w:sz w:val="22"/>
      <w:shd w:val="clear" w:color="auto" w:fill="FFFFFF"/>
    </w:rPr>
  </w:style>
  <w:style w:type="paragraph" w:customStyle="1" w:styleId="270">
    <w:name w:val="正文文本 (2)1"/>
    <w:basedOn w:val="1"/>
    <w:link w:val="269"/>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1">
    <w:name w:val="正文文本 (2) + 间距 0 pt5"/>
    <w:autoRedefine/>
    <w:qFormat/>
    <w:uiPriority w:val="99"/>
    <w:rPr>
      <w:rFonts w:ascii="MingLiU" w:eastAsia="MingLiU" w:cs="MingLiU"/>
      <w:spacing w:val="0"/>
      <w:sz w:val="22"/>
      <w:shd w:val="clear" w:color="auto" w:fill="FFFFFF"/>
    </w:rPr>
  </w:style>
  <w:style w:type="character" w:customStyle="1" w:styleId="272">
    <w:name w:val="访问过的超链接1"/>
    <w:basedOn w:val="57"/>
    <w:autoRedefine/>
    <w:semiHidden/>
    <w:unhideWhenUsed/>
    <w:qFormat/>
    <w:uiPriority w:val="99"/>
    <w:rPr>
      <w:color w:val="954F72"/>
      <w:u w:val="single"/>
    </w:rPr>
  </w:style>
  <w:style w:type="character" w:customStyle="1" w:styleId="273">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74">
    <w:name w:val="引用 Char2"/>
    <w:basedOn w:val="57"/>
    <w:autoRedefine/>
    <w:qFormat/>
    <w:uiPriority w:val="29"/>
    <w:rPr>
      <w:i/>
      <w:iCs/>
      <w:color w:val="000000" w:themeColor="text1"/>
      <w14:textFill>
        <w14:solidFill>
          <w14:schemeClr w14:val="tx1"/>
        </w14:solidFill>
      </w14:textFill>
    </w:rPr>
  </w:style>
  <w:style w:type="table" w:customStyle="1" w:styleId="275">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Table Normal"/>
    <w:autoRedefine/>
    <w:semiHidden/>
    <w:unhideWhenUsed/>
    <w:qFormat/>
    <w:uiPriority w:val="0"/>
    <w:tblPr>
      <w:tblCellMar>
        <w:top w:w="0" w:type="dxa"/>
        <w:left w:w="0" w:type="dxa"/>
        <w:bottom w:w="0" w:type="dxa"/>
        <w:right w:w="0" w:type="dxa"/>
      </w:tblCellMar>
    </w:tblPr>
  </w:style>
  <w:style w:type="paragraph" w:customStyle="1" w:styleId="277">
    <w:name w:val="Table Text"/>
    <w:basedOn w:val="1"/>
    <w:autoRedefine/>
    <w:semiHidden/>
    <w:qFormat/>
    <w:uiPriority w:val="0"/>
    <w:rPr>
      <w:rFonts w:ascii="Arial" w:hAnsi="Arial" w:eastAsia="Arial" w:cs="Arial"/>
      <w:sz w:val="21"/>
      <w:szCs w:val="21"/>
      <w:lang w:val="en-US" w:eastAsia="en-US" w:bidi="ar-SA"/>
    </w:rPr>
  </w:style>
  <w:style w:type="character" w:customStyle="1" w:styleId="278">
    <w:name w:val="16"/>
    <w:basedOn w:val="57"/>
    <w:qFormat/>
    <w:uiPriority w:val="0"/>
    <w:rPr>
      <w:rFonts w:hint="default" w:ascii="Times New Roman" w:hAnsi="Times New Roman" w:cs="Times New Roman"/>
      <w:color w:val="0000FF"/>
      <w:u w:val="single"/>
    </w:rPr>
  </w:style>
  <w:style w:type="paragraph" w:customStyle="1" w:styleId="279">
    <w:name w:val="正文文字 8"/>
    <w:basedOn w:val="1"/>
    <w:next w:val="1"/>
    <w:qFormat/>
    <w:uiPriority w:val="0"/>
    <w:pPr>
      <w:ind w:left="240"/>
    </w:pPr>
    <w:rPr>
      <w:sz w:val="16"/>
    </w:rPr>
  </w:style>
  <w:style w:type="paragraph" w:customStyle="1" w:styleId="280">
    <w:name w:val="样式 ！正文 + 首行缩进:  2 字符"/>
    <w:basedOn w:val="1"/>
    <w:qFormat/>
    <w:uiPriority w:val="0"/>
    <w:pPr>
      <w:ind w:firstLine="480" w:firstLineChars="200"/>
    </w:pPr>
    <w:rPr>
      <w:rFonts w:hint="eastAsia" w:ascii="Arial" w:hAnsi="Arial" w:cs="宋体"/>
    </w:rPr>
  </w:style>
  <w:style w:type="character" w:customStyle="1" w:styleId="281">
    <w:name w:val="hover"/>
    <w:basedOn w:val="57"/>
    <w:qFormat/>
    <w:uiPriority w:val="0"/>
  </w:style>
  <w:style w:type="character" w:customStyle="1" w:styleId="282">
    <w:name w:val="hover1"/>
    <w:basedOn w:val="57"/>
    <w:qFormat/>
    <w:uiPriority w:val="0"/>
    <w:rPr>
      <w:color w:val="2590EB"/>
      <w:shd w:val="clear" w:fill="E9F4FD"/>
    </w:rPr>
  </w:style>
  <w:style w:type="character" w:customStyle="1" w:styleId="283">
    <w:name w:val="hover2"/>
    <w:basedOn w:val="57"/>
    <w:qFormat/>
    <w:uiPriority w:val="0"/>
    <w:rPr>
      <w:color w:val="2590EB"/>
    </w:rPr>
  </w:style>
  <w:style w:type="character" w:customStyle="1" w:styleId="284">
    <w:name w:val="hover3"/>
    <w:basedOn w:val="57"/>
    <w:qFormat/>
    <w:uiPriority w:val="0"/>
    <w:rPr>
      <w:color w:val="2590EB"/>
    </w:rPr>
  </w:style>
  <w:style w:type="character" w:customStyle="1" w:styleId="285">
    <w:name w:val="mini-outputtext1"/>
    <w:basedOn w:val="5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120</Pages>
  <Words>2509</Words>
  <Characters>2868</Characters>
  <Lines>451</Lines>
  <Paragraphs>127</Paragraphs>
  <TotalTime>16</TotalTime>
  <ScaleCrop>false</ScaleCrop>
  <LinksUpToDate>false</LinksUpToDate>
  <CharactersWithSpaces>2953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Pim Pom丶</cp:lastModifiedBy>
  <cp:lastPrinted>2026-02-13T02:34:00Z</cp:lastPrinted>
  <dcterms:modified xsi:type="dcterms:W3CDTF">2026-06-25T07:34:47Z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456A8E0987814F0689620C34DD97C5FE_12</vt:lpwstr>
  </property>
  <property fmtid="{D5CDD505-2E9C-101B-9397-08002B2CF9AE}" pid="4" name="KSOTemplateDocerSaveRecord">
    <vt:lpwstr>eyJoZGlkIjoiMDk2MmQyNTdjMmYyM2I4Njk3YjVkOTliYjhhNDZiYTEiLCJ1c2VySWQiOiI0MDkyMjI1MTkifQ==</vt:lpwstr>
  </property>
</Properties>
</file>