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9EC6">
      <w:pPr>
        <w:rPr>
          <w:rFonts w:hint="eastAsia"/>
          <w:color w:val="auto"/>
          <w:highlight w:val="none"/>
        </w:rPr>
      </w:pPr>
      <w:bookmarkStart w:id="0" w:name="OLE_LINK1"/>
    </w:p>
    <w:p w14:paraId="305BCFE3">
      <w:pPr>
        <w:keepNext w:val="0"/>
        <w:keepLines w:val="0"/>
        <w:pageBreakBefore w:val="0"/>
        <w:widowControl w:val="0"/>
        <w:kinsoku/>
        <w:wordWrap/>
        <w:overflowPunct/>
        <w:topLinePunct w:val="0"/>
        <w:autoSpaceDE/>
        <w:autoSpaceDN/>
        <w:bidi w:val="0"/>
        <w:adjustRightInd/>
        <w:snapToGrid w:val="0"/>
        <w:spacing w:before="313" w:beforeLines="100" w:after="313" w:afterLines="100" w:line="700" w:lineRule="exact"/>
        <w:jc w:val="center"/>
        <w:textAlignment w:val="auto"/>
        <w:rPr>
          <w:rFonts w:hint="eastAsia" w:eastAsia="宋体"/>
          <w:color w:val="auto"/>
          <w:sz w:val="20"/>
          <w:szCs w:val="22"/>
          <w:highlight w:val="none"/>
          <w:lang w:val="en-US" w:eastAsia="zh-CN"/>
        </w:rPr>
      </w:pPr>
      <w:r>
        <w:rPr>
          <w:rFonts w:hint="eastAsia" w:ascii="宋体" w:hAnsi="宋体" w:cs="宋体"/>
          <w:b/>
          <w:bCs/>
          <w:color w:val="auto"/>
          <w:w w:val="85"/>
          <w:sz w:val="40"/>
          <w:szCs w:val="40"/>
          <w:highlight w:val="none"/>
          <w:lang w:eastAsia="zh-CN"/>
        </w:rPr>
        <w:t>滁州市城泊车辆服务有限公司</w:t>
      </w:r>
      <w:r>
        <w:rPr>
          <w:rFonts w:hint="eastAsia" w:ascii="宋体" w:hAnsi="宋体" w:cs="宋体"/>
          <w:b/>
          <w:bCs/>
          <w:color w:val="auto"/>
          <w:w w:val="85"/>
          <w:sz w:val="40"/>
          <w:szCs w:val="40"/>
          <w:highlight w:val="none"/>
          <w:lang w:val="en-US" w:eastAsia="zh-CN"/>
        </w:rPr>
        <w:t>数据专线、</w:t>
      </w:r>
      <w:r>
        <w:rPr>
          <w:rFonts w:hint="eastAsia" w:ascii="宋体" w:hAnsi="宋体" w:cs="宋体"/>
          <w:b/>
          <w:bCs/>
          <w:color w:val="auto"/>
          <w:w w:val="85"/>
          <w:sz w:val="40"/>
          <w:szCs w:val="40"/>
          <w:highlight w:val="none"/>
          <w:lang w:eastAsia="zh-CN"/>
        </w:rPr>
        <w:t>互联网专线宽带</w:t>
      </w:r>
      <w:r>
        <w:rPr>
          <w:rFonts w:hint="eastAsia" w:ascii="宋体" w:hAnsi="宋体" w:cs="宋体"/>
          <w:b/>
          <w:bCs/>
          <w:color w:val="auto"/>
          <w:w w:val="85"/>
          <w:sz w:val="40"/>
          <w:szCs w:val="40"/>
          <w:highlight w:val="none"/>
          <w:lang w:val="en-US" w:eastAsia="zh-CN"/>
        </w:rPr>
        <w:t>等</w:t>
      </w:r>
      <w:r>
        <w:rPr>
          <w:rFonts w:hint="eastAsia" w:ascii="宋体" w:hAnsi="宋体" w:cs="宋体"/>
          <w:b/>
          <w:bCs/>
          <w:color w:val="auto"/>
          <w:w w:val="85"/>
          <w:sz w:val="40"/>
          <w:szCs w:val="40"/>
          <w:highlight w:val="none"/>
          <w:lang w:eastAsia="zh-CN"/>
        </w:rPr>
        <w:t>服务项目</w:t>
      </w:r>
    </w:p>
    <w:p w14:paraId="0192484F">
      <w:pPr>
        <w:spacing w:after="156" w:afterLines="50"/>
        <w:ind w:left="-850" w:leftChars="-405" w:right="-625"/>
        <w:jc w:val="center"/>
        <w:rPr>
          <w:rFonts w:hint="eastAsia"/>
          <w:color w:val="auto"/>
          <w:sz w:val="24"/>
          <w:highlight w:val="none"/>
        </w:rPr>
      </w:pPr>
    </w:p>
    <w:p w14:paraId="4554A74B">
      <w:pPr>
        <w:rPr>
          <w:rFonts w:hint="eastAsia" w:ascii="宋体"/>
          <w:bCs/>
          <w:color w:val="auto"/>
          <w:szCs w:val="21"/>
          <w:highlight w:val="none"/>
        </w:rPr>
      </w:pPr>
    </w:p>
    <w:p w14:paraId="6A0CAD79">
      <w:pPr>
        <w:rPr>
          <w:rFonts w:hint="eastAsia" w:ascii="宋体"/>
          <w:bCs/>
          <w:color w:val="auto"/>
          <w:szCs w:val="21"/>
          <w:highlight w:val="none"/>
        </w:rPr>
      </w:pPr>
    </w:p>
    <w:p w14:paraId="30FCC35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603F26A5">
      <w:pPr>
        <w:rPr>
          <w:rFonts w:hint="eastAsia" w:ascii="宋体" w:hAnsi="宋体"/>
          <w:b/>
          <w:color w:val="auto"/>
          <w:sz w:val="84"/>
          <w:szCs w:val="84"/>
          <w:highlight w:val="none"/>
        </w:rPr>
      </w:pPr>
    </w:p>
    <w:p w14:paraId="5C9195E6">
      <w:pPr>
        <w:pStyle w:val="36"/>
        <w:rPr>
          <w:rFonts w:hint="eastAsia"/>
          <w:color w:val="auto"/>
          <w:highlight w:val="none"/>
        </w:rPr>
      </w:pPr>
    </w:p>
    <w:p w14:paraId="00099B46">
      <w:pPr>
        <w:rPr>
          <w:rFonts w:hint="eastAsia"/>
          <w:color w:val="auto"/>
          <w:highlight w:val="none"/>
        </w:rPr>
      </w:pPr>
    </w:p>
    <w:p w14:paraId="317A3667">
      <w:pPr>
        <w:rPr>
          <w:rFonts w:hint="eastAsia" w:ascii="宋体"/>
          <w:color w:val="auto"/>
          <w:sz w:val="28"/>
          <w:szCs w:val="28"/>
          <w:highlight w:val="none"/>
        </w:rPr>
      </w:pPr>
    </w:p>
    <w:p w14:paraId="0C30CEF3">
      <w:pPr>
        <w:pStyle w:val="21"/>
        <w:rPr>
          <w:rFonts w:hint="eastAsia"/>
          <w:color w:val="auto"/>
          <w:highlight w:val="none"/>
        </w:rPr>
      </w:pPr>
    </w:p>
    <w:p w14:paraId="048E7BEF">
      <w:pPr>
        <w:rPr>
          <w:rFonts w:hint="eastAsia" w:ascii="宋体"/>
          <w:b/>
          <w:color w:val="auto"/>
          <w:sz w:val="32"/>
          <w:szCs w:val="32"/>
          <w:highlight w:val="none"/>
        </w:rPr>
      </w:pPr>
    </w:p>
    <w:p w14:paraId="27AE4414">
      <w:pPr>
        <w:rPr>
          <w:rFonts w:hint="eastAsia" w:ascii="宋体"/>
          <w:b/>
          <w:color w:val="auto"/>
          <w:sz w:val="32"/>
          <w:szCs w:val="32"/>
          <w:highlight w:val="none"/>
        </w:rPr>
      </w:pPr>
    </w:p>
    <w:p w14:paraId="0C8055EC">
      <w:pPr>
        <w:pStyle w:val="36"/>
        <w:rPr>
          <w:rFonts w:hint="eastAsia"/>
          <w:color w:val="auto"/>
          <w:highlight w:val="none"/>
        </w:rPr>
      </w:pPr>
    </w:p>
    <w:p w14:paraId="480B8852">
      <w:pPr>
        <w:pStyle w:val="27"/>
        <w:ind w:left="0" w:leftChars="0" w:firstLine="0" w:firstLineChars="0"/>
        <w:rPr>
          <w:rFonts w:hint="eastAsia"/>
          <w:color w:val="auto"/>
          <w:highlight w:val="none"/>
        </w:rPr>
      </w:pPr>
    </w:p>
    <w:p w14:paraId="6E3F22FF">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lang w:val="en-US" w:eastAsia="zh-CN"/>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none"/>
          <w:lang w:eastAsia="zh-CN"/>
        </w:rPr>
        <w:t>：</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滁州市城泊车辆服务有限公司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2E94A236">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u w:val="single"/>
        </w:rPr>
      </w:pP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w:t>
      </w:r>
      <w:r>
        <w:rPr>
          <w:rFonts w:hint="eastAsia" w:ascii="宋体"/>
          <w:b/>
          <w:color w:val="auto"/>
          <w:sz w:val="32"/>
          <w:szCs w:val="32"/>
          <w:highlight w:val="none"/>
          <w:u w:val="single"/>
          <w:lang w:eastAsia="zh-CN"/>
        </w:rPr>
        <w:t>滁州市城投工程咨询管理有限公司</w:t>
      </w:r>
      <w:r>
        <w:rPr>
          <w:rFonts w:hint="eastAsia" w:ascii="宋体"/>
          <w:b/>
          <w:color w:val="auto"/>
          <w:sz w:val="32"/>
          <w:szCs w:val="32"/>
          <w:highlight w:val="none"/>
        </w:rPr>
        <w:t>（盖单位章）</w:t>
      </w:r>
    </w:p>
    <w:p w14:paraId="426CDE88">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 xml:space="preserve">7 </w:t>
      </w:r>
      <w:r>
        <w:rPr>
          <w:rFonts w:hint="eastAsia" w:ascii="宋体"/>
          <w:b/>
          <w:color w:val="auto"/>
          <w:sz w:val="32"/>
          <w:szCs w:val="32"/>
          <w:highlight w:val="none"/>
        </w:rPr>
        <w:t>月</w:t>
      </w:r>
    </w:p>
    <w:p w14:paraId="75C513CD">
      <w:pPr>
        <w:spacing w:line="360" w:lineRule="exact"/>
        <w:rPr>
          <w:rFonts w:hint="eastAsia"/>
          <w:b/>
          <w:color w:val="auto"/>
          <w:sz w:val="36"/>
          <w:highlight w:val="none"/>
        </w:rPr>
      </w:pPr>
    </w:p>
    <w:p w14:paraId="1534FFD1">
      <w:pPr>
        <w:spacing w:line="360" w:lineRule="exact"/>
        <w:jc w:val="center"/>
        <w:rPr>
          <w:rFonts w:hint="eastAsia"/>
          <w:b/>
          <w:color w:val="auto"/>
          <w:sz w:val="36"/>
          <w:highlight w:val="none"/>
        </w:rPr>
      </w:pPr>
      <w:r>
        <w:rPr>
          <w:rFonts w:hint="eastAsia"/>
          <w:b/>
          <w:color w:val="auto"/>
          <w:sz w:val="36"/>
          <w:highlight w:val="none"/>
        </w:rPr>
        <w:br w:type="page"/>
      </w:r>
    </w:p>
    <w:p w14:paraId="2EEB8F7F">
      <w:pPr>
        <w:spacing w:line="360" w:lineRule="exact"/>
        <w:jc w:val="center"/>
        <w:rPr>
          <w:rFonts w:hint="eastAsia"/>
          <w:b/>
          <w:color w:val="auto"/>
          <w:sz w:val="36"/>
          <w:highlight w:val="none"/>
        </w:rPr>
      </w:pPr>
      <w:r>
        <w:rPr>
          <w:rFonts w:hint="eastAsia"/>
          <w:b/>
          <w:color w:val="auto"/>
          <w:sz w:val="36"/>
          <w:highlight w:val="none"/>
        </w:rPr>
        <w:t>目  录</w:t>
      </w:r>
    </w:p>
    <w:p w14:paraId="1921E493">
      <w:pPr>
        <w:spacing w:line="360" w:lineRule="exact"/>
        <w:jc w:val="center"/>
        <w:rPr>
          <w:rFonts w:hint="eastAsia"/>
          <w:b/>
          <w:color w:val="auto"/>
          <w:sz w:val="36"/>
          <w:highlight w:val="none"/>
        </w:rPr>
      </w:pPr>
    </w:p>
    <w:p w14:paraId="40E3BFD5">
      <w:pPr>
        <w:pStyle w:val="25"/>
        <w:tabs>
          <w:tab w:val="right" w:leader="dot" w:pos="8620"/>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_Toc24768 </w:instrText>
      </w:r>
      <w:r>
        <w:rPr>
          <w:rFonts w:hint="eastAsia" w:ascii="宋体" w:hAnsi="宋体" w:cs="宋体"/>
          <w:color w:val="auto"/>
          <w:highlight w:val="none"/>
        </w:rPr>
        <w:fldChar w:fldCharType="separate"/>
      </w:r>
      <w:r>
        <w:rPr>
          <w:rFonts w:hint="eastAsia" w:ascii="宋体"/>
          <w:color w:val="auto"/>
          <w:szCs w:val="32"/>
          <w:highlight w:val="none"/>
        </w:rPr>
        <w:t xml:space="preserve">第一章  </w:t>
      </w:r>
      <w:r>
        <w:rPr>
          <w:rFonts w:hint="eastAsia" w:ascii="宋体"/>
          <w:color w:val="auto"/>
          <w:szCs w:val="32"/>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_Toc24768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highlight w:val="none"/>
        </w:rPr>
        <w:fldChar w:fldCharType="end"/>
      </w:r>
    </w:p>
    <w:p w14:paraId="22072002">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_Toc18435 </w:instrText>
      </w:r>
      <w:r>
        <w:rPr>
          <w:rFonts w:hint="eastAsia" w:ascii="宋体" w:hAnsi="宋体" w:cs="宋体"/>
          <w:color w:val="auto"/>
          <w:highlight w:val="none"/>
        </w:rPr>
        <w:fldChar w:fldCharType="separate"/>
      </w:r>
      <w:r>
        <w:rPr>
          <w:rFonts w:hint="eastAsia" w:ascii="宋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_Toc18435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65920A1A">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_Toc1909 </w:instrText>
      </w:r>
      <w:r>
        <w:rPr>
          <w:rFonts w:hint="eastAsia" w:ascii="宋体" w:hAnsi="宋体" w:cs="宋体"/>
          <w:color w:val="auto"/>
          <w:highlight w:val="none"/>
        </w:rPr>
        <w:fldChar w:fldCharType="separate"/>
      </w:r>
      <w:r>
        <w:rPr>
          <w:rFonts w:hint="eastAsia" w:ascii="宋体"/>
          <w:color w:val="auto"/>
          <w:szCs w:val="32"/>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_Toc1909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rPr>
        <w:fldChar w:fldCharType="end"/>
      </w:r>
    </w:p>
    <w:p w14:paraId="28B8E843">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_Toc1909 </w:instrText>
      </w:r>
      <w:r>
        <w:rPr>
          <w:rFonts w:hint="eastAsia" w:ascii="宋体" w:hAnsi="宋体" w:cs="宋体"/>
          <w:color w:val="auto"/>
          <w:highlight w:val="none"/>
        </w:rPr>
        <w:fldChar w:fldCharType="separate"/>
      </w:r>
      <w:r>
        <w:rPr>
          <w:rFonts w:hint="eastAsia" w:ascii="宋体"/>
          <w:color w:val="auto"/>
          <w:szCs w:val="32"/>
          <w:highlight w:val="none"/>
        </w:rPr>
        <w:t>第</w:t>
      </w:r>
      <w:r>
        <w:rPr>
          <w:rFonts w:hint="eastAsia" w:ascii="宋体"/>
          <w:color w:val="auto"/>
          <w:szCs w:val="32"/>
          <w:highlight w:val="none"/>
          <w:lang w:val="en-US" w:eastAsia="zh-CN"/>
        </w:rPr>
        <w:t>四</w:t>
      </w:r>
      <w:r>
        <w:rPr>
          <w:rFonts w:hint="eastAsia" w:ascii="宋体"/>
          <w:color w:val="auto"/>
          <w:szCs w:val="32"/>
          <w:highlight w:val="none"/>
        </w:rPr>
        <w:t xml:space="preserve">章 </w:t>
      </w:r>
      <w:r>
        <w:rPr>
          <w:rFonts w:hint="eastAsia" w:ascii="宋体"/>
          <w:color w:val="auto"/>
          <w:szCs w:val="32"/>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_Toc1909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rPr>
        <w:fldChar w:fldCharType="end"/>
      </w:r>
    </w:p>
    <w:p w14:paraId="70E6E641">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_Toc17524 </w:instrText>
      </w:r>
      <w:r>
        <w:rPr>
          <w:rFonts w:hint="eastAsia" w:ascii="宋体" w:hAnsi="宋体" w:cs="宋体"/>
          <w:color w:val="auto"/>
          <w:highlight w:val="none"/>
        </w:rPr>
        <w:fldChar w:fldCharType="separate"/>
      </w:r>
      <w:r>
        <w:rPr>
          <w:rFonts w:hint="eastAsia" w:ascii="宋体"/>
          <w:color w:val="auto"/>
          <w:szCs w:val="32"/>
          <w:highlight w:val="none"/>
          <w:lang w:val="en-US" w:eastAsia="zh-CN"/>
        </w:rPr>
        <w:t>第五章  合同格式（参考）</w:t>
      </w:r>
      <w:r>
        <w:rPr>
          <w:color w:val="auto"/>
          <w:highlight w:val="none"/>
        </w:rPr>
        <w:tab/>
      </w:r>
      <w:r>
        <w:rPr>
          <w:color w:val="auto"/>
          <w:highlight w:val="none"/>
        </w:rPr>
        <w:fldChar w:fldCharType="begin"/>
      </w:r>
      <w:r>
        <w:rPr>
          <w:color w:val="auto"/>
          <w:highlight w:val="none"/>
        </w:rPr>
        <w:instrText xml:space="preserve"> PAGEREF _Toc17524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14:paraId="1AE878A8">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_Toc4222 </w:instrText>
      </w:r>
      <w:r>
        <w:rPr>
          <w:rFonts w:hint="eastAsia" w:ascii="宋体" w:hAnsi="宋体" w:cs="宋体"/>
          <w:color w:val="auto"/>
          <w:highlight w:val="none"/>
        </w:rPr>
        <w:fldChar w:fldCharType="separate"/>
      </w:r>
      <w:r>
        <w:rPr>
          <w:rFonts w:hint="eastAsia" w:ascii="宋体"/>
          <w:color w:val="auto"/>
          <w:szCs w:val="32"/>
          <w:highlight w:val="none"/>
        </w:rPr>
        <w:t>第</w:t>
      </w:r>
      <w:r>
        <w:rPr>
          <w:rFonts w:hint="eastAsia" w:ascii="宋体"/>
          <w:color w:val="auto"/>
          <w:szCs w:val="32"/>
          <w:highlight w:val="none"/>
          <w:lang w:val="en-US" w:eastAsia="zh-CN"/>
        </w:rPr>
        <w:t>六</w:t>
      </w:r>
      <w:r>
        <w:rPr>
          <w:rFonts w:hint="eastAsia" w:ascii="宋体"/>
          <w:color w:val="auto"/>
          <w:szCs w:val="32"/>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_Toc4222 \h </w:instrText>
      </w:r>
      <w:r>
        <w:rPr>
          <w:color w:val="auto"/>
          <w:highlight w:val="none"/>
        </w:rPr>
        <w:fldChar w:fldCharType="separate"/>
      </w:r>
      <w:r>
        <w:rPr>
          <w:color w:val="auto"/>
          <w:highlight w:val="none"/>
        </w:rPr>
        <w:t xml:space="preserve">36 </w:t>
      </w:r>
      <w:r>
        <w:rPr>
          <w:color w:val="auto"/>
          <w:highlight w:val="none"/>
        </w:rPr>
        <w:fldChar w:fldCharType="end"/>
      </w:r>
      <w:r>
        <w:rPr>
          <w:rFonts w:hint="eastAsia" w:ascii="宋体" w:hAnsi="宋体" w:cs="宋体"/>
          <w:color w:val="auto"/>
          <w:highlight w:val="none"/>
        </w:rPr>
        <w:fldChar w:fldCharType="end"/>
      </w:r>
    </w:p>
    <w:p w14:paraId="3C8D9740">
      <w:pPr>
        <w:pStyle w:val="25"/>
        <w:tabs>
          <w:tab w:val="right" w:leader="dot" w:pos="862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_Toc16798 </w:instrText>
      </w:r>
      <w:r>
        <w:rPr>
          <w:rFonts w:hint="eastAsia" w:ascii="宋体" w:hAnsi="宋体" w:cs="宋体"/>
          <w:color w:val="auto"/>
          <w:highlight w:val="none"/>
        </w:rPr>
        <w:fldChar w:fldCharType="separate"/>
      </w:r>
      <w:r>
        <w:rPr>
          <w:rFonts w:hint="eastAsia" w:ascii="宋体"/>
          <w:color w:val="auto"/>
          <w:szCs w:val="32"/>
          <w:highlight w:val="none"/>
          <w:lang w:val="en-US" w:eastAsia="zh-CN"/>
        </w:rPr>
        <w:t>招标人</w:t>
      </w:r>
      <w:r>
        <w:rPr>
          <w:rFonts w:hint="eastAsia" w:ascii="宋体"/>
          <w:color w:val="auto"/>
          <w:szCs w:val="32"/>
          <w:highlight w:val="none"/>
        </w:rPr>
        <w:t>、</w:t>
      </w:r>
      <w:r>
        <w:rPr>
          <w:rFonts w:hint="eastAsia" w:ascii="宋体"/>
          <w:color w:val="auto"/>
          <w:szCs w:val="32"/>
          <w:highlight w:val="none"/>
          <w:lang w:val="en-US" w:eastAsia="zh-CN"/>
        </w:rPr>
        <w:t>招标</w:t>
      </w:r>
      <w:r>
        <w:rPr>
          <w:rFonts w:hint="eastAsia" w:ascii="宋体"/>
          <w:color w:val="auto"/>
          <w:szCs w:val="32"/>
          <w:highlight w:val="none"/>
        </w:rPr>
        <w:t>代理机构对本招标文件的确认</w:t>
      </w:r>
      <w:r>
        <w:rPr>
          <w:color w:val="auto"/>
          <w:highlight w:val="none"/>
        </w:rPr>
        <w:tab/>
      </w:r>
      <w:r>
        <w:rPr>
          <w:color w:val="auto"/>
          <w:highlight w:val="none"/>
        </w:rPr>
        <w:fldChar w:fldCharType="begin"/>
      </w:r>
      <w:r>
        <w:rPr>
          <w:color w:val="auto"/>
          <w:highlight w:val="none"/>
        </w:rPr>
        <w:instrText xml:space="preserve"> PAGEREF _Toc16798 \h </w:instrText>
      </w:r>
      <w:r>
        <w:rPr>
          <w:color w:val="auto"/>
          <w:highlight w:val="none"/>
        </w:rPr>
        <w:fldChar w:fldCharType="separate"/>
      </w:r>
      <w:r>
        <w:rPr>
          <w:color w:val="auto"/>
          <w:highlight w:val="none"/>
        </w:rPr>
        <w:t xml:space="preserve"> 45 </w:t>
      </w:r>
      <w:r>
        <w:rPr>
          <w:color w:val="auto"/>
          <w:highlight w:val="none"/>
        </w:rPr>
        <w:fldChar w:fldCharType="end"/>
      </w:r>
      <w:r>
        <w:rPr>
          <w:rFonts w:hint="eastAsia" w:ascii="宋体" w:hAnsi="宋体" w:cs="宋体"/>
          <w:color w:val="auto"/>
          <w:highlight w:val="none"/>
        </w:rPr>
        <w:fldChar w:fldCharType="end"/>
      </w:r>
    </w:p>
    <w:p w14:paraId="118AF88F">
      <w:pPr>
        <w:pStyle w:val="25"/>
        <w:tabs>
          <w:tab w:val="right" w:leader="dot" w:pos="8296"/>
        </w:tabs>
        <w:adjustRightInd w:val="0"/>
        <w:snapToGrid w:val="0"/>
        <w:spacing w:before="156" w:beforeLines="50" w:after="156" w:afterLines="50" w:line="500" w:lineRule="exact"/>
        <w:ind w:left="120" w:hanging="105"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highlight w:val="none"/>
        </w:rPr>
        <w:fldChar w:fldCharType="end"/>
      </w:r>
    </w:p>
    <w:p w14:paraId="7DC13233">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24768"/>
      <w:r>
        <w:rPr>
          <w:rFonts w:hint="eastAsia" w:ascii="宋体"/>
          <w:b/>
          <w:color w:val="auto"/>
          <w:sz w:val="32"/>
          <w:szCs w:val="32"/>
          <w:highlight w:val="none"/>
        </w:rPr>
        <w:t xml:space="preserve">第一章  </w:t>
      </w:r>
      <w:r>
        <w:rPr>
          <w:rFonts w:hint="eastAsia" w:ascii="宋体"/>
          <w:b/>
          <w:color w:val="auto"/>
          <w:sz w:val="32"/>
          <w:szCs w:val="32"/>
          <w:highlight w:val="none"/>
          <w:lang w:val="en-US" w:eastAsia="zh-CN"/>
        </w:rPr>
        <w:t>招标公告</w:t>
      </w:r>
      <w:bookmarkEnd w:id="1"/>
    </w:p>
    <w:p w14:paraId="272AFE35">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6C5FF9B8">
      <w:pPr>
        <w:keepNext/>
        <w:keepLines/>
        <w:pageBreakBefore w:val="0"/>
        <w:widowControl w:val="0"/>
        <w:kinsoku/>
        <w:wordWrap w:val="0"/>
        <w:overflowPunct/>
        <w:topLinePunct w:val="0"/>
        <w:autoSpaceDE/>
        <w:autoSpaceDN/>
        <w:bidi w:val="0"/>
        <w:adjustRightInd/>
        <w:snapToGrid/>
        <w:ind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val="en-US" w:eastAsia="zh-CN"/>
        </w:rPr>
        <w:t>滁州市城泊车辆服务有限公司数据专线、互联网专线宽带等服务项目</w:t>
      </w:r>
      <w:r>
        <w:rPr>
          <w:rFonts w:hint="eastAsia" w:ascii="仿宋" w:hAnsi="仿宋" w:eastAsia="仿宋" w:cs="仿宋"/>
          <w:color w:val="auto"/>
          <w:sz w:val="28"/>
          <w:szCs w:val="28"/>
          <w:highlight w:val="none"/>
          <w:u w:val="none"/>
        </w:rPr>
        <w:t>招标项目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lang w:val="en-US" w:eastAsia="zh-CN"/>
        </w:rPr>
        <w:t>滁州市扬子工业投资集团有限公司官网（https://czyzgtjt.com/)、滁州市城投工程咨询管理有限公司（https://www.czctgczx.com/）</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2025年7月</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分</w:t>
      </w:r>
      <w:r>
        <w:rPr>
          <w:rFonts w:hint="eastAsia" w:ascii="仿宋" w:hAnsi="仿宋" w:eastAsia="仿宋" w:cs="仿宋"/>
          <w:color w:val="auto"/>
          <w:sz w:val="28"/>
          <w:szCs w:val="28"/>
          <w:highlight w:val="none"/>
        </w:rPr>
        <w:t>（北京时间）前递交投标文件。</w:t>
      </w:r>
    </w:p>
    <w:p w14:paraId="3E8C994A">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672F3637">
      <w:pPr>
        <w:ind w:right="-313" w:rightChars="-149"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项目名称：</w:t>
      </w:r>
      <w:r>
        <w:rPr>
          <w:rFonts w:hint="eastAsia" w:ascii="仿宋" w:hAnsi="仿宋" w:eastAsia="仿宋" w:cs="仿宋"/>
          <w:color w:val="auto"/>
          <w:sz w:val="28"/>
          <w:szCs w:val="28"/>
          <w:highlight w:val="none"/>
          <w:shd w:val="clear" w:color="auto" w:fill="auto"/>
          <w:lang w:val="en-US" w:eastAsia="zh-CN"/>
        </w:rPr>
        <w:t>滁州市城泊车辆服务有限公司数据专线、互联网专线宽带等服务项目</w:t>
      </w:r>
    </w:p>
    <w:p w14:paraId="3218168C">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最高限价：</w:t>
      </w:r>
      <w:r>
        <w:rPr>
          <w:rFonts w:hint="eastAsia" w:ascii="仿宋" w:hAnsi="仿宋" w:eastAsia="仿宋" w:cs="仿宋"/>
          <w:color w:val="auto"/>
          <w:sz w:val="28"/>
          <w:szCs w:val="28"/>
          <w:highlight w:val="none"/>
          <w:shd w:val="clear" w:color="auto" w:fill="auto"/>
          <w:lang w:val="en-US" w:eastAsia="zh-CN"/>
        </w:rPr>
        <w:t xml:space="preserve">20万元/年 </w:t>
      </w:r>
    </w:p>
    <w:p w14:paraId="5BC4F2B4">
      <w:pPr>
        <w:ind w:firstLine="560" w:firstLineChars="200"/>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shd w:val="clear" w:color="auto" w:fill="auto"/>
        </w:rPr>
        <w:t>采购需求：详见采购需求及技术要求</w:t>
      </w:r>
    </w:p>
    <w:p w14:paraId="0842A088">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合同履行期限：</w:t>
      </w:r>
      <w:r>
        <w:rPr>
          <w:rFonts w:hint="eastAsia" w:ascii="仿宋" w:hAnsi="仿宋" w:eastAsia="仿宋" w:cs="仿宋"/>
          <w:color w:val="auto"/>
          <w:sz w:val="28"/>
          <w:szCs w:val="28"/>
          <w:highlight w:val="none"/>
          <w:shd w:val="clear" w:color="auto" w:fill="auto"/>
          <w:lang w:val="en-US" w:eastAsia="zh-CN"/>
        </w:rPr>
        <w:t>两年，合同一年一签（一年一考核）。中标方需在2025年7月31前完成开通线路、开通电话线路、完成调试并联网运行。不得另收其他费用。</w:t>
      </w:r>
    </w:p>
    <w:p w14:paraId="18E91C32">
      <w:pPr>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本项目</w:t>
      </w:r>
      <w:r>
        <w:rPr>
          <w:rFonts w:hint="eastAsia" w:ascii="仿宋" w:hAnsi="仿宋" w:eastAsia="仿宋" w:cs="仿宋"/>
          <w:color w:val="auto"/>
          <w:sz w:val="28"/>
          <w:szCs w:val="28"/>
          <w:highlight w:val="none"/>
          <w:shd w:val="clear" w:color="auto" w:fill="auto"/>
          <w:lang w:val="en-US" w:eastAsia="zh-CN"/>
        </w:rPr>
        <w:t>不</w:t>
      </w:r>
      <w:r>
        <w:rPr>
          <w:rFonts w:hint="eastAsia" w:ascii="仿宋" w:hAnsi="仿宋" w:eastAsia="仿宋" w:cs="仿宋"/>
          <w:color w:val="auto"/>
          <w:sz w:val="28"/>
          <w:szCs w:val="28"/>
          <w:highlight w:val="none"/>
          <w:shd w:val="clear" w:color="auto" w:fill="auto"/>
        </w:rPr>
        <w:t>接受联合体投标</w:t>
      </w:r>
      <w:r>
        <w:rPr>
          <w:rFonts w:hint="eastAsia" w:ascii="仿宋" w:hAnsi="仿宋" w:eastAsia="仿宋" w:cs="仿宋"/>
          <w:color w:val="auto"/>
          <w:sz w:val="28"/>
          <w:szCs w:val="28"/>
          <w:highlight w:val="none"/>
          <w:shd w:val="clear" w:color="auto" w:fill="auto"/>
          <w:lang w:eastAsia="zh-CN"/>
        </w:rPr>
        <w:t>。</w:t>
      </w:r>
    </w:p>
    <w:p w14:paraId="2CB8390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2" w:name="_Toc28359080"/>
      <w:bookmarkStart w:id="3" w:name="_Toc35393622"/>
      <w:bookmarkStart w:id="4" w:name="_Toc28359003"/>
      <w:bookmarkStart w:id="5" w:name="_Toc35393791"/>
      <w:r>
        <w:rPr>
          <w:rFonts w:hint="eastAsia" w:ascii="黑体" w:hAnsi="黑体" w:eastAsia="黑体" w:cs="黑体"/>
          <w:color w:val="auto"/>
          <w:sz w:val="28"/>
          <w:szCs w:val="28"/>
          <w:highlight w:val="none"/>
        </w:rPr>
        <w:t>二、申请人的资格要求</w:t>
      </w:r>
      <w:bookmarkEnd w:id="2"/>
      <w:bookmarkEnd w:id="3"/>
      <w:bookmarkEnd w:id="4"/>
      <w:bookmarkEnd w:id="5"/>
    </w:p>
    <w:p w14:paraId="207BAAC4">
      <w:pPr>
        <w:ind w:firstLine="560" w:firstLineChars="200"/>
        <w:rPr>
          <w:rFonts w:hint="eastAsia" w:ascii="仿宋" w:hAnsi="仿宋" w:eastAsia="仿宋"/>
          <w:color w:val="auto"/>
          <w:sz w:val="28"/>
          <w:szCs w:val="28"/>
          <w:highlight w:val="none"/>
          <w:lang w:val="en-US" w:eastAsia="zh-CN"/>
        </w:rPr>
      </w:pPr>
      <w:bookmarkStart w:id="6" w:name="_Toc35393792"/>
      <w:bookmarkStart w:id="7" w:name="_Toc35393623"/>
      <w:bookmarkStart w:id="8" w:name="_Toc28359081"/>
      <w:bookmarkStart w:id="9" w:name="_Toc28359004"/>
      <w:r>
        <w:rPr>
          <w:rFonts w:hint="eastAsia" w:ascii="仿宋" w:hAnsi="仿宋" w:eastAsia="仿宋"/>
          <w:color w:val="auto"/>
          <w:sz w:val="28"/>
          <w:szCs w:val="28"/>
          <w:highlight w:val="none"/>
          <w:lang w:val="en-US" w:eastAsia="zh-CN"/>
        </w:rPr>
        <w:t>企业要求：具有《基础电信业务经营许可证》或《增值电信业务经营许可证》的基础网络运营商或其全资子公司（分公司）。</w:t>
      </w:r>
    </w:p>
    <w:p w14:paraId="7D0FA5EA">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6"/>
      <w:bookmarkEnd w:id="7"/>
      <w:bookmarkEnd w:id="8"/>
      <w:bookmarkEnd w:id="9"/>
    </w:p>
    <w:p w14:paraId="24B442EA">
      <w:pPr>
        <w:ind w:firstLine="540"/>
        <w:rPr>
          <w:rFonts w:hint="eastAsia" w:ascii="仿宋" w:hAnsi="仿宋" w:eastAsia="仿宋" w:cs="宋体"/>
          <w:iCs/>
          <w:color w:val="auto"/>
          <w:sz w:val="28"/>
          <w:szCs w:val="28"/>
          <w:highlight w:val="none"/>
          <w:lang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eastAsia="zh-CN"/>
        </w:rPr>
        <w:t>2025年7月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lang w:eastAsia="zh-CN"/>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eastAsia="zh-CN"/>
        </w:rPr>
        <w:t>2025年7月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lang w:eastAsia="zh-CN"/>
        </w:rPr>
        <w:t>日</w:t>
      </w:r>
    </w:p>
    <w:p w14:paraId="3C7208FC">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77FCC371">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1A5731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0" w:name="_Toc28359082"/>
      <w:bookmarkStart w:id="11" w:name="_Toc28359005"/>
      <w:bookmarkStart w:id="12" w:name="_Toc35393793"/>
      <w:bookmarkStart w:id="13" w:name="_Toc35393624"/>
      <w:r>
        <w:rPr>
          <w:rFonts w:hint="eastAsia" w:ascii="黑体" w:hAnsi="黑体" w:eastAsia="黑体" w:cs="黑体"/>
          <w:color w:val="auto"/>
          <w:sz w:val="28"/>
          <w:szCs w:val="28"/>
          <w:highlight w:val="none"/>
        </w:rPr>
        <w:t>四、提交投标文件</w:t>
      </w:r>
      <w:bookmarkEnd w:id="10"/>
      <w:bookmarkEnd w:id="11"/>
      <w:r>
        <w:rPr>
          <w:rFonts w:hint="eastAsia" w:ascii="黑体" w:hAnsi="黑体" w:eastAsia="黑体" w:cs="黑体"/>
          <w:color w:val="auto"/>
          <w:sz w:val="28"/>
          <w:szCs w:val="28"/>
          <w:highlight w:val="none"/>
        </w:rPr>
        <w:t>截止时间、开标时间和地点</w:t>
      </w:r>
      <w:bookmarkEnd w:id="12"/>
      <w:bookmarkEnd w:id="13"/>
    </w:p>
    <w:p w14:paraId="4A91F9A6">
      <w:pPr>
        <w:ind w:firstLine="560" w:firstLineChars="200"/>
        <w:rPr>
          <w:rFonts w:hint="eastAsia" w:ascii="仿宋" w:hAnsi="仿宋" w:eastAsia="仿宋"/>
          <w:bCs/>
          <w:iCs/>
          <w:color w:val="auto"/>
          <w:sz w:val="28"/>
          <w:szCs w:val="28"/>
          <w:highlight w:val="none"/>
          <w:lang w:eastAsia="zh-CN"/>
        </w:rPr>
      </w:pPr>
      <w:r>
        <w:rPr>
          <w:rFonts w:hint="eastAsia" w:ascii="仿宋" w:hAnsi="仿宋" w:eastAsia="仿宋"/>
          <w:bCs/>
          <w:color w:val="auto"/>
          <w:sz w:val="28"/>
          <w:szCs w:val="28"/>
          <w:highlight w:val="none"/>
          <w:u w:val="none"/>
          <w:lang w:val="en-US" w:eastAsia="zh-CN"/>
        </w:rPr>
        <w:t>投标截止时间及开标时间：</w:t>
      </w:r>
      <w:r>
        <w:rPr>
          <w:rFonts w:hint="eastAsia" w:ascii="仿宋" w:hAnsi="仿宋" w:eastAsia="仿宋"/>
          <w:bCs/>
          <w:color w:val="auto"/>
          <w:sz w:val="28"/>
          <w:szCs w:val="28"/>
          <w:highlight w:val="none"/>
          <w:u w:val="single"/>
          <w:lang w:eastAsia="zh-CN"/>
        </w:rPr>
        <w:t>2025年7月</w:t>
      </w:r>
      <w:r>
        <w:rPr>
          <w:rFonts w:hint="eastAsia" w:ascii="仿宋" w:hAnsi="仿宋" w:eastAsia="仿宋"/>
          <w:bCs/>
          <w:color w:val="auto"/>
          <w:sz w:val="28"/>
          <w:szCs w:val="28"/>
          <w:highlight w:val="none"/>
          <w:u w:val="single"/>
          <w:lang w:val="en-US" w:eastAsia="zh-CN"/>
        </w:rPr>
        <w:t>24</w:t>
      </w:r>
      <w:r>
        <w:rPr>
          <w:rFonts w:hint="eastAsia" w:ascii="仿宋" w:hAnsi="仿宋" w:eastAsia="仿宋"/>
          <w:bCs/>
          <w:color w:val="auto"/>
          <w:sz w:val="28"/>
          <w:szCs w:val="28"/>
          <w:highlight w:val="none"/>
          <w:u w:val="single"/>
          <w:lang w:eastAsia="zh-CN"/>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p>
    <w:p w14:paraId="783A7F03">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滁州市龙蟠大道109号房产大厦6楼603会议室</w:t>
      </w:r>
    </w:p>
    <w:p w14:paraId="75E9176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339DE4A7">
      <w:pPr>
        <w:pStyle w:val="129"/>
        <w:rPr>
          <w:color w:val="auto"/>
          <w:highlight w:val="none"/>
        </w:rPr>
      </w:pPr>
      <w:bookmarkStart w:id="14" w:name="_Toc35393626"/>
      <w:bookmarkStart w:id="15" w:name="_Toc35393795"/>
      <w:r>
        <w:rPr>
          <w:color w:val="auto"/>
          <w:highlight w:val="none"/>
        </w:rPr>
        <w:t>窗体顶端</w:t>
      </w:r>
    </w:p>
    <w:p w14:paraId="5BCBF309">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不要求投标人提交投标保证金。</w:t>
      </w:r>
    </w:p>
    <w:p w14:paraId="577F7702">
      <w:pPr>
        <w:pStyle w:val="130"/>
        <w:rPr>
          <w:color w:val="auto"/>
          <w:highlight w:val="none"/>
        </w:rPr>
      </w:pPr>
      <w:r>
        <w:rPr>
          <w:color w:val="auto"/>
          <w:highlight w:val="none"/>
        </w:rPr>
        <w:t>窗体底端</w:t>
      </w:r>
    </w:p>
    <w:bookmarkEnd w:id="14"/>
    <w:bookmarkEnd w:id="15"/>
    <w:p w14:paraId="1BD1ACFD">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对本次招标提出询问，请按以下方式联系</w:t>
      </w:r>
    </w:p>
    <w:p w14:paraId="403F8B2C">
      <w:pPr>
        <w:pStyle w:val="3"/>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w:t>
      </w:r>
      <w:bookmarkStart w:id="16" w:name="_Toc14478"/>
      <w:r>
        <w:rPr>
          <w:rFonts w:hint="eastAsia" w:ascii="仿宋" w:hAnsi="仿宋" w:eastAsia="仿宋" w:cs="仿宋"/>
          <w:color w:val="auto"/>
          <w:kern w:val="2"/>
          <w:sz w:val="28"/>
          <w:szCs w:val="28"/>
          <w:highlight w:val="none"/>
        </w:rPr>
        <w:t>1.招标人信息</w:t>
      </w:r>
      <w:bookmarkEnd w:id="16"/>
    </w:p>
    <w:p w14:paraId="6463A691">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滁州市城泊车辆服务有限公司</w:t>
      </w:r>
    </w:p>
    <w:p w14:paraId="591A699E">
      <w:pPr>
        <w:ind w:left="-199" w:leftChars="-95" w:firstLine="840" w:firstLineChars="300"/>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滁州市清流西路原扬子宾馆停车场院内</w:t>
      </w:r>
    </w:p>
    <w:p w14:paraId="433A3E82">
      <w:pPr>
        <w:ind w:firstLine="560" w:firstLineChars="20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kern w:val="2"/>
          <w:sz w:val="28"/>
          <w:szCs w:val="28"/>
          <w:highlight w:val="none"/>
          <w:u w:val="single"/>
          <w:lang w:val="en-US" w:eastAsia="zh-CN" w:bidi="ar-SA"/>
        </w:rPr>
        <w:t>15305509612</w:t>
      </w:r>
      <w:r>
        <w:rPr>
          <w:rFonts w:hint="eastAsia" w:ascii="仿宋" w:hAnsi="仿宋" w:eastAsia="仿宋" w:cs="仿宋"/>
          <w:color w:val="auto"/>
          <w:sz w:val="28"/>
          <w:szCs w:val="28"/>
          <w:highlight w:val="none"/>
          <w:u w:val="single"/>
          <w:lang w:val="en-US" w:eastAsia="zh-CN"/>
        </w:rPr>
        <w:t xml:space="preserve">       </w:t>
      </w:r>
    </w:p>
    <w:p w14:paraId="33FD5536">
      <w:pPr>
        <w:pStyle w:val="36"/>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3C6F4030">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bookmarkStart w:id="17" w:name="_Toc18416"/>
      <w:r>
        <w:rPr>
          <w:rFonts w:hint="eastAsia" w:ascii="仿宋" w:hAnsi="仿宋" w:eastAsia="仿宋" w:cs="仿宋"/>
          <w:color w:val="auto"/>
          <w:kern w:val="2"/>
          <w:sz w:val="28"/>
          <w:szCs w:val="28"/>
          <w:highlight w:val="none"/>
        </w:rPr>
        <w:t>2.代理机构信息</w:t>
      </w:r>
      <w:bookmarkEnd w:id="17"/>
    </w:p>
    <w:p w14:paraId="1AB7B263">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187CE374">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77A8F4F4">
      <w:pPr>
        <w:ind w:left="-199" w:leftChars="-95" w:firstLine="840" w:firstLineChars="300"/>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0550-3519516、18712012204</w:t>
      </w:r>
    </w:p>
    <w:p w14:paraId="67995CAC">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bookmarkStart w:id="18" w:name="_Toc15046"/>
      <w:r>
        <w:rPr>
          <w:rFonts w:hint="eastAsia" w:ascii="仿宋" w:hAnsi="仿宋" w:eastAsia="仿宋" w:cs="仿宋"/>
          <w:color w:val="auto"/>
          <w:kern w:val="2"/>
          <w:sz w:val="28"/>
          <w:szCs w:val="28"/>
          <w:highlight w:val="none"/>
        </w:rPr>
        <w:t>3.项目联系方式</w:t>
      </w:r>
      <w:bookmarkEnd w:id="18"/>
    </w:p>
    <w:p w14:paraId="4D71696C">
      <w:pPr>
        <w:pStyle w:val="18"/>
        <w:ind w:left="-199" w:leftChars="-95" w:firstLine="840" w:firstLineChars="300"/>
        <w:jc w:val="left"/>
        <w:rPr>
          <w:rFonts w:hint="eastAsia" w:ascii="仿宋" w:hAnsi="仿宋" w:eastAsia="仿宋" w:cs="仿宋"/>
          <w:color w:val="auto"/>
          <w:sz w:val="28"/>
          <w:szCs w:val="28"/>
          <w:highlight w:val="none"/>
          <w:u w:val="single" w:color="auto"/>
          <w:lang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李其圣、</w:t>
      </w:r>
      <w:r>
        <w:rPr>
          <w:rFonts w:hint="eastAsia" w:ascii="仿宋" w:hAnsi="仿宋" w:eastAsia="仿宋" w:cs="仿宋"/>
          <w:color w:val="auto"/>
          <w:sz w:val="28"/>
          <w:szCs w:val="28"/>
          <w:highlight w:val="none"/>
          <w:u w:val="single" w:color="auto"/>
          <w:lang w:eastAsia="zh-CN"/>
        </w:rPr>
        <w:t>曹思敏</w:t>
      </w:r>
    </w:p>
    <w:p w14:paraId="75345749">
      <w:pPr>
        <w:ind w:left="-199" w:leftChars="-95" w:firstLine="840" w:firstLineChars="300"/>
        <w:jc w:val="left"/>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u w:val="single"/>
          <w:lang w:val="en-US" w:eastAsia="zh-CN" w:bidi="ar-SA"/>
        </w:rPr>
        <w:t>15305509612</w:t>
      </w:r>
      <w:r>
        <w:rPr>
          <w:rFonts w:hint="eastAsia" w:ascii="仿宋" w:hAnsi="仿宋" w:eastAsia="仿宋" w:cs="仿宋"/>
          <w:color w:val="auto"/>
          <w:sz w:val="28"/>
          <w:szCs w:val="28"/>
          <w:highlight w:val="none"/>
          <w:u w:val="single" w:color="auto"/>
          <w:lang w:val="en-US" w:eastAsia="zh-CN"/>
        </w:rPr>
        <w:t>、</w:t>
      </w:r>
      <w:r>
        <w:rPr>
          <w:rFonts w:hint="eastAsia" w:ascii="仿宋" w:hAnsi="仿宋" w:eastAsia="仿宋" w:cs="仿宋"/>
          <w:color w:val="auto"/>
          <w:sz w:val="28"/>
          <w:szCs w:val="28"/>
          <w:highlight w:val="none"/>
          <w:u w:val="single" w:color="auto"/>
          <w:lang w:eastAsia="zh-CN"/>
        </w:rPr>
        <w:t>0550-3519516、18712012204</w:t>
      </w:r>
      <w:r>
        <w:rPr>
          <w:rFonts w:hint="eastAsia" w:ascii="仿宋" w:hAnsi="仿宋" w:eastAsia="仿宋" w:cs="仿宋"/>
          <w:color w:val="auto"/>
          <w:sz w:val="28"/>
          <w:szCs w:val="28"/>
          <w:highlight w:val="none"/>
          <w:u w:val="single"/>
        </w:rPr>
        <w:t xml:space="preserve"> </w:t>
      </w:r>
    </w:p>
    <w:p w14:paraId="24BCC458">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br w:type="page"/>
      </w:r>
      <w:bookmarkStart w:id="19" w:name="_Toc18435"/>
      <w:r>
        <w:rPr>
          <w:rFonts w:hint="eastAsia" w:ascii="宋体"/>
          <w:b/>
          <w:color w:val="auto"/>
          <w:sz w:val="32"/>
          <w:szCs w:val="32"/>
          <w:highlight w:val="none"/>
        </w:rPr>
        <w:t>第二章 投标人须知</w:t>
      </w:r>
      <w:bookmarkEnd w:id="19"/>
    </w:p>
    <w:p w14:paraId="2037FF56">
      <w:pPr>
        <w:snapToGrid w:val="0"/>
        <w:spacing w:line="500" w:lineRule="exact"/>
        <w:jc w:val="center"/>
        <w:outlineLvl w:val="1"/>
        <w:rPr>
          <w:rFonts w:hint="eastAsia" w:ascii="宋体"/>
          <w:b/>
          <w:color w:val="auto"/>
          <w:sz w:val="28"/>
          <w:szCs w:val="28"/>
          <w:highlight w:val="none"/>
        </w:rPr>
      </w:pPr>
      <w:bookmarkStart w:id="20" w:name="_Toc21754"/>
      <w:bookmarkStart w:id="21" w:name="_Toc58430314"/>
      <w:bookmarkStart w:id="22" w:name="_Toc449028865"/>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0"/>
      <w:bookmarkEnd w:id="21"/>
      <w:bookmarkEnd w:id="22"/>
    </w:p>
    <w:tbl>
      <w:tblPr>
        <w:tblStyle w:val="37"/>
        <w:tblW w:w="98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9"/>
        <w:gridCol w:w="2190"/>
        <w:gridCol w:w="6684"/>
      </w:tblGrid>
      <w:tr w14:paraId="261503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19" w:type="dxa"/>
            <w:noWrap w:val="0"/>
            <w:vAlign w:val="center"/>
          </w:tcPr>
          <w:p w14:paraId="2C6FCB25">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190" w:type="dxa"/>
            <w:noWrap w:val="0"/>
            <w:vAlign w:val="center"/>
          </w:tcPr>
          <w:p w14:paraId="72C1B09A">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84" w:type="dxa"/>
            <w:noWrap w:val="0"/>
            <w:vAlign w:val="center"/>
          </w:tcPr>
          <w:p w14:paraId="24145E84">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2A4A95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19" w:type="dxa"/>
            <w:noWrap w:val="0"/>
            <w:vAlign w:val="center"/>
          </w:tcPr>
          <w:p w14:paraId="0551F84D">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447C9872">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84" w:type="dxa"/>
            <w:noWrap w:val="0"/>
            <w:vAlign w:val="center"/>
          </w:tcPr>
          <w:p w14:paraId="1965C481">
            <w:pPr>
              <w:pStyle w:val="18"/>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滁州市城泊车辆服务有限公司数据专线、互联网专线宽带等服务项目</w:t>
            </w:r>
          </w:p>
        </w:tc>
      </w:tr>
      <w:tr w14:paraId="7AFBF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19" w:type="dxa"/>
            <w:noWrap w:val="0"/>
            <w:vAlign w:val="center"/>
          </w:tcPr>
          <w:p w14:paraId="3AE009DE">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4B9E6A10">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84" w:type="dxa"/>
            <w:noWrap w:val="0"/>
            <w:vAlign w:val="center"/>
          </w:tcPr>
          <w:p w14:paraId="4FEEE0DC">
            <w:pPr>
              <w:pStyle w:val="21"/>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两年，合同一年一签</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一年一考核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0E3F7A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1019" w:type="dxa"/>
            <w:noWrap w:val="0"/>
            <w:vAlign w:val="center"/>
          </w:tcPr>
          <w:p w14:paraId="34DC39FE">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90" w:type="dxa"/>
            <w:noWrap w:val="0"/>
            <w:vAlign w:val="center"/>
          </w:tcPr>
          <w:p w14:paraId="59059762">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84" w:type="dxa"/>
            <w:noWrap w:val="0"/>
            <w:vAlign w:val="center"/>
          </w:tcPr>
          <w:p w14:paraId="15E6CE74">
            <w:pPr>
              <w:pStyle w:val="18"/>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具体详见采购需求</w:t>
            </w:r>
          </w:p>
        </w:tc>
      </w:tr>
      <w:tr w14:paraId="460FFC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19" w:type="dxa"/>
            <w:noWrap w:val="0"/>
            <w:vAlign w:val="center"/>
          </w:tcPr>
          <w:p w14:paraId="420740FA">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90" w:type="dxa"/>
            <w:noWrap w:val="0"/>
            <w:vAlign w:val="center"/>
          </w:tcPr>
          <w:p w14:paraId="0725DFFF">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84" w:type="dxa"/>
            <w:noWrap w:val="0"/>
            <w:vAlign w:val="center"/>
          </w:tcPr>
          <w:p w14:paraId="4844E234">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李其圣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15305509612</w:t>
            </w:r>
          </w:p>
        </w:tc>
      </w:tr>
      <w:tr w14:paraId="58EF68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19" w:type="dxa"/>
            <w:noWrap w:val="0"/>
            <w:vAlign w:val="center"/>
          </w:tcPr>
          <w:p w14:paraId="2B9786FD">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90" w:type="dxa"/>
            <w:noWrap w:val="0"/>
            <w:vAlign w:val="center"/>
          </w:tcPr>
          <w:p w14:paraId="7745034D">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84" w:type="dxa"/>
            <w:noWrap w:val="0"/>
            <w:vAlign w:val="center"/>
          </w:tcPr>
          <w:p w14:paraId="2A7BABAF">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曹思敏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eastAsia="zh-CN"/>
              </w:rPr>
              <w:t>：0550-3519516、18712012204</w:t>
            </w:r>
          </w:p>
        </w:tc>
      </w:tr>
      <w:tr w14:paraId="3D05F2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19" w:type="dxa"/>
            <w:noWrap w:val="0"/>
            <w:vAlign w:val="center"/>
          </w:tcPr>
          <w:p w14:paraId="2D04004A">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90" w:type="dxa"/>
            <w:noWrap w:val="0"/>
            <w:vAlign w:val="center"/>
          </w:tcPr>
          <w:p w14:paraId="78D3D050">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84" w:type="dxa"/>
            <w:noWrap w:val="0"/>
            <w:vAlign w:val="center"/>
          </w:tcPr>
          <w:p w14:paraId="2FC63EF5">
            <w:pPr>
              <w:pStyle w:val="18"/>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09D537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19" w:type="dxa"/>
            <w:noWrap w:val="0"/>
            <w:vAlign w:val="center"/>
          </w:tcPr>
          <w:p w14:paraId="5D56945D">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4</w:t>
            </w:r>
          </w:p>
        </w:tc>
        <w:tc>
          <w:tcPr>
            <w:tcW w:w="2190" w:type="dxa"/>
            <w:noWrap w:val="0"/>
            <w:vAlign w:val="center"/>
          </w:tcPr>
          <w:p w14:paraId="086BDEBA">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84" w:type="dxa"/>
            <w:noWrap w:val="0"/>
            <w:vAlign w:val="center"/>
          </w:tcPr>
          <w:p w14:paraId="75C425F4">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20万元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，投标报价不得高于最高限价，否则将作为无效投标处理。</w:t>
            </w:r>
          </w:p>
        </w:tc>
      </w:tr>
      <w:tr w14:paraId="135BCE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19" w:type="dxa"/>
            <w:noWrap w:val="0"/>
            <w:vAlign w:val="center"/>
          </w:tcPr>
          <w:p w14:paraId="58D04259">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90" w:type="dxa"/>
            <w:noWrap w:val="0"/>
            <w:vAlign w:val="center"/>
          </w:tcPr>
          <w:p w14:paraId="119A5F6F">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84" w:type="dxa"/>
            <w:noWrap w:val="0"/>
            <w:vAlign w:val="center"/>
          </w:tcPr>
          <w:p w14:paraId="54E5CA20">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741C4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19" w:type="dxa"/>
            <w:noWrap w:val="0"/>
            <w:vAlign w:val="center"/>
          </w:tcPr>
          <w:p w14:paraId="076EBDFA">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90" w:type="dxa"/>
            <w:noWrap w:val="0"/>
            <w:vAlign w:val="center"/>
          </w:tcPr>
          <w:p w14:paraId="727EE386">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84" w:type="dxa"/>
            <w:noWrap w:val="0"/>
            <w:vAlign w:val="center"/>
          </w:tcPr>
          <w:p w14:paraId="3811FC48">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4EB692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19" w:type="dxa"/>
            <w:noWrap w:val="0"/>
            <w:vAlign w:val="center"/>
          </w:tcPr>
          <w:p w14:paraId="1AA0CA66">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90" w:type="dxa"/>
            <w:noWrap w:val="0"/>
            <w:vAlign w:val="center"/>
          </w:tcPr>
          <w:p w14:paraId="64CC7A7A">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84" w:type="dxa"/>
            <w:noWrap w:val="0"/>
            <w:vAlign w:val="center"/>
          </w:tcPr>
          <w:p w14:paraId="3626B62D">
            <w:pPr>
              <w:pStyle w:val="18"/>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3BA7CD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19" w:type="dxa"/>
            <w:noWrap w:val="0"/>
            <w:vAlign w:val="center"/>
          </w:tcPr>
          <w:p w14:paraId="70FB6AED">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90" w:type="dxa"/>
            <w:noWrap w:val="0"/>
            <w:vAlign w:val="center"/>
          </w:tcPr>
          <w:p w14:paraId="17F7EB39">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84" w:type="dxa"/>
            <w:noWrap w:val="0"/>
            <w:vAlign w:val="center"/>
          </w:tcPr>
          <w:p w14:paraId="3A10C300">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63B8E9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2B3ADFAC">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90" w:type="dxa"/>
            <w:noWrap w:val="0"/>
            <w:vAlign w:val="center"/>
          </w:tcPr>
          <w:p w14:paraId="1A7EF0A5">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84" w:type="dxa"/>
            <w:noWrap w:val="0"/>
            <w:vAlign w:val="center"/>
          </w:tcPr>
          <w:p w14:paraId="5861F831">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16DB45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5ABA65B7">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190" w:type="dxa"/>
            <w:noWrap w:val="0"/>
            <w:vAlign w:val="center"/>
          </w:tcPr>
          <w:p w14:paraId="52339053">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84" w:type="dxa"/>
            <w:noWrap w:val="0"/>
            <w:vAlign w:val="center"/>
          </w:tcPr>
          <w:p w14:paraId="1858F341">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090DC1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19" w:type="dxa"/>
            <w:noWrap w:val="0"/>
            <w:vAlign w:val="center"/>
          </w:tcPr>
          <w:p w14:paraId="5C9E40AE">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190" w:type="dxa"/>
            <w:noWrap w:val="0"/>
            <w:vAlign w:val="center"/>
          </w:tcPr>
          <w:p w14:paraId="3AD98574">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84" w:type="dxa"/>
            <w:noWrap w:val="0"/>
            <w:vAlign w:val="center"/>
          </w:tcPr>
          <w:p w14:paraId="781FE2CB">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B5CB8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19" w:type="dxa"/>
            <w:noWrap w:val="0"/>
            <w:vAlign w:val="center"/>
          </w:tcPr>
          <w:p w14:paraId="32619693">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190" w:type="dxa"/>
            <w:noWrap w:val="0"/>
            <w:vAlign w:val="center"/>
          </w:tcPr>
          <w:p w14:paraId="7FC7F249">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84" w:type="dxa"/>
            <w:noWrap w:val="0"/>
            <w:vAlign w:val="center"/>
          </w:tcPr>
          <w:p w14:paraId="116FB741">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代理服务费金额：</w:t>
            </w:r>
            <w:r>
              <w:rPr>
                <w:rFonts w:hint="eastAsia" w:ascii="宋体" w:hAnsi="宋体" w:cs="宋体"/>
                <w:color w:val="auto"/>
                <w:sz w:val="21"/>
                <w:szCs w:val="21"/>
                <w:highlight w:val="none"/>
                <w:lang w:val="en-US" w:eastAsia="zh-CN"/>
              </w:rPr>
              <w:t>3000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费用以实际发生费用为准。</w:t>
            </w:r>
          </w:p>
          <w:p w14:paraId="48C53E4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支付主体：</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w:t>
            </w:r>
          </w:p>
        </w:tc>
      </w:tr>
      <w:tr w14:paraId="256D71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38BCA808">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190" w:type="dxa"/>
            <w:noWrap w:val="0"/>
            <w:vAlign w:val="center"/>
          </w:tcPr>
          <w:p w14:paraId="3C15DD40">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84" w:type="dxa"/>
            <w:noWrap w:val="0"/>
            <w:vAlign w:val="center"/>
          </w:tcPr>
          <w:p w14:paraId="1AF04806">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招标人将于</w:t>
            </w:r>
            <w:r>
              <w:rPr>
                <w:rFonts w:hint="eastAsia" w:ascii="宋体" w:hAnsi="宋体" w:eastAsia="宋体" w:cs="宋体"/>
                <w:b/>
                <w:bCs/>
                <w:color w:val="auto"/>
                <w:sz w:val="21"/>
                <w:szCs w:val="21"/>
                <w:highlight w:val="none"/>
                <w:lang w:val="en-US"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lang w:val="en-US" w:eastAsia="zh-CN"/>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滁州市扬子工业投资集团有限公司官网（https://czyzgtjt.com/)、滁州市城投工程咨询管理有限公司（https://www.czctgczx.com/）</w:t>
            </w:r>
            <w:r>
              <w:rPr>
                <w:rFonts w:hint="eastAsia" w:ascii="宋体" w:hAnsi="宋体" w:eastAsia="宋体" w:cs="宋体"/>
                <w:color w:val="auto"/>
                <w:sz w:val="21"/>
                <w:szCs w:val="21"/>
                <w:highlight w:val="none"/>
                <w:lang w:val="en-US" w:eastAsia="zh-CN"/>
              </w:rPr>
              <w:t>予以公布。</w:t>
            </w:r>
          </w:p>
        </w:tc>
      </w:tr>
      <w:tr w14:paraId="3AE100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6CE60739">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190" w:type="dxa"/>
            <w:noWrap w:val="0"/>
            <w:vAlign w:val="center"/>
          </w:tcPr>
          <w:p w14:paraId="3E561E43">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84" w:type="dxa"/>
            <w:noWrap w:val="0"/>
            <w:vAlign w:val="center"/>
          </w:tcPr>
          <w:p w14:paraId="13741864">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52EC1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9" w:type="dxa"/>
            <w:noWrap w:val="0"/>
            <w:vAlign w:val="center"/>
          </w:tcPr>
          <w:p w14:paraId="507F886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90" w:type="dxa"/>
            <w:noWrap w:val="0"/>
            <w:vAlign w:val="center"/>
          </w:tcPr>
          <w:p w14:paraId="0CB237F6">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84" w:type="dxa"/>
            <w:noWrap w:val="0"/>
            <w:vAlign w:val="top"/>
          </w:tcPr>
          <w:p w14:paraId="2472398B">
            <w:pPr>
              <w:keepNext w:val="0"/>
              <w:keepLines w:val="0"/>
              <w:pageBreakBefore w:val="0"/>
              <w:widowControl/>
              <w:shd w:val="clear" w:color="auto" w:fill="FFFFFF"/>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14:paraId="6F79EF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19" w:type="dxa"/>
            <w:noWrap w:val="0"/>
            <w:vAlign w:val="center"/>
          </w:tcPr>
          <w:p w14:paraId="3B2508D9">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190" w:type="dxa"/>
            <w:noWrap w:val="0"/>
            <w:vAlign w:val="center"/>
          </w:tcPr>
          <w:p w14:paraId="55FEC5B0">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84" w:type="dxa"/>
            <w:noWrap w:val="0"/>
            <w:vAlign w:val="center"/>
          </w:tcPr>
          <w:p w14:paraId="77BBB1EE">
            <w:pPr>
              <w:keepNext w:val="0"/>
              <w:keepLines w:val="0"/>
              <w:pageBreakBefore w:val="0"/>
              <w:widowControl/>
              <w:kinsoku/>
              <w:overflowPunct/>
              <w:topLinePunct w:val="0"/>
              <w:autoSpaceDE/>
              <w:autoSpaceDN/>
              <w:bidi w:val="0"/>
              <w:adjustRightInd/>
              <w:spacing w:line="500" w:lineRule="exact"/>
              <w:ind w:firstLine="88"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正本一份，副本</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份。密封后递交。</w:t>
            </w:r>
            <w:r>
              <w:rPr>
                <w:rFonts w:hint="eastAsia"/>
                <w:color w:val="auto"/>
                <w:szCs w:val="21"/>
                <w:highlight w:val="none"/>
                <w:lang w:val="en-US" w:eastAsia="zh-CN"/>
              </w:rPr>
              <w:t>正副本</w:t>
            </w:r>
            <w:r>
              <w:rPr>
                <w:rFonts w:hint="eastAsia"/>
                <w:color w:val="auto"/>
                <w:szCs w:val="21"/>
                <w:highlight w:val="none"/>
              </w:rPr>
              <w:t>装入</w:t>
            </w:r>
            <w:r>
              <w:rPr>
                <w:rFonts w:hint="eastAsia"/>
                <w:color w:val="auto"/>
                <w:szCs w:val="21"/>
                <w:highlight w:val="none"/>
                <w:lang w:val="en-US" w:eastAsia="zh-CN"/>
              </w:rPr>
              <w:t>同一个</w:t>
            </w:r>
            <w:r>
              <w:rPr>
                <w:rFonts w:hint="eastAsia"/>
                <w:color w:val="auto"/>
                <w:szCs w:val="21"/>
                <w:highlight w:val="none"/>
              </w:rPr>
              <w:t>密封袋中。</w:t>
            </w:r>
          </w:p>
        </w:tc>
      </w:tr>
      <w:tr w14:paraId="2474D5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10FDC7D5">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190" w:type="dxa"/>
            <w:noWrap w:val="0"/>
            <w:vAlign w:val="center"/>
          </w:tcPr>
          <w:p w14:paraId="284B0CE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84" w:type="dxa"/>
            <w:noWrap w:val="0"/>
            <w:vAlign w:val="center"/>
          </w:tcPr>
          <w:p w14:paraId="4844BC8B">
            <w:pPr>
              <w:keepNext w:val="0"/>
              <w:keepLines w:val="0"/>
              <w:pageBreakBefore w:val="0"/>
              <w:widowControl/>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投标文件须按格式文件要求签字或盖章</w:t>
            </w:r>
            <w:r>
              <w:rPr>
                <w:rFonts w:hint="eastAsia" w:ascii="宋体" w:hAnsi="宋体" w:eastAsia="宋体" w:cs="宋体"/>
                <w:color w:val="auto"/>
                <w:szCs w:val="21"/>
                <w:highlight w:val="none"/>
                <w:lang w:eastAsia="zh-CN"/>
              </w:rPr>
              <w:t>。</w:t>
            </w:r>
          </w:p>
        </w:tc>
      </w:tr>
      <w:tr w14:paraId="7B88CA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03AB8077">
            <w:pPr>
              <w:keepNext w:val="0"/>
              <w:keepLines w:val="0"/>
              <w:pageBreakBefore w:val="0"/>
              <w:kinsoku/>
              <w:overflowPunct/>
              <w:topLinePunct w:val="0"/>
              <w:autoSpaceDE/>
              <w:autoSpaceDN/>
              <w:bidi w:val="0"/>
              <w:adjustRightIn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24.3</w:t>
            </w:r>
          </w:p>
        </w:tc>
        <w:tc>
          <w:tcPr>
            <w:tcW w:w="2190" w:type="dxa"/>
            <w:shd w:val="clear" w:color="auto" w:fill="auto"/>
            <w:noWrap w:val="0"/>
            <w:vAlign w:val="center"/>
          </w:tcPr>
          <w:p w14:paraId="2C68BB3D">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投标文件封套上应载明的信息</w:t>
            </w:r>
          </w:p>
        </w:tc>
        <w:tc>
          <w:tcPr>
            <w:tcW w:w="6684" w:type="dxa"/>
            <w:shd w:val="clear" w:color="auto" w:fill="auto"/>
            <w:noWrap w:val="0"/>
            <w:vAlign w:val="center"/>
          </w:tcPr>
          <w:p w14:paraId="43BAFD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2548BA4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51563CE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0649712D">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在2025年7月24日9点00分前不得开启</w:t>
            </w:r>
          </w:p>
        </w:tc>
      </w:tr>
      <w:tr w14:paraId="13F20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19" w:type="dxa"/>
            <w:noWrap w:val="0"/>
            <w:vAlign w:val="center"/>
          </w:tcPr>
          <w:p w14:paraId="3D9B73E2">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190" w:type="dxa"/>
            <w:noWrap w:val="0"/>
            <w:vAlign w:val="center"/>
          </w:tcPr>
          <w:p w14:paraId="1267190C">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84" w:type="dxa"/>
            <w:noWrap w:val="0"/>
            <w:vAlign w:val="center"/>
          </w:tcPr>
          <w:p w14:paraId="4837277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2025年7月24日9点00分（北京时间）</w:t>
            </w:r>
          </w:p>
        </w:tc>
      </w:tr>
      <w:tr w14:paraId="4A327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19" w:type="dxa"/>
            <w:noWrap w:val="0"/>
            <w:vAlign w:val="center"/>
          </w:tcPr>
          <w:p w14:paraId="0590AF71">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190" w:type="dxa"/>
            <w:noWrap w:val="0"/>
            <w:vAlign w:val="center"/>
          </w:tcPr>
          <w:p w14:paraId="31F09A11">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84" w:type="dxa"/>
            <w:noWrap w:val="0"/>
            <w:vAlign w:val="center"/>
          </w:tcPr>
          <w:p w14:paraId="11C12EF8">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9B6CC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6515A18B">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190" w:type="dxa"/>
            <w:noWrap w:val="0"/>
            <w:vAlign w:val="center"/>
          </w:tcPr>
          <w:p w14:paraId="250CF81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递交投标文件地点</w:t>
            </w:r>
          </w:p>
        </w:tc>
        <w:tc>
          <w:tcPr>
            <w:tcW w:w="6684" w:type="dxa"/>
            <w:noWrap w:val="0"/>
            <w:vAlign w:val="center"/>
          </w:tcPr>
          <w:p w14:paraId="4D63215F">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val="en-US" w:eastAsia="zh-CN"/>
              </w:rPr>
              <w:t>滁州市城投工程咨询管理有限公司</w:t>
            </w:r>
          </w:p>
          <w:p w14:paraId="5482B0D8">
            <w:pPr>
              <w:spacing w:line="440" w:lineRule="exact"/>
              <w:rPr>
                <w:rFonts w:hint="default" w:ascii="宋体" w:hAnsi="宋体" w:eastAsia="宋体" w:cs="宋体"/>
                <w:b/>
                <w:bCs/>
                <w:color w:val="auto"/>
                <w:szCs w:val="21"/>
                <w:highlight w:val="none"/>
                <w:u w:val="single"/>
                <w:lang w:val="en-US" w:eastAsia="zh-CN"/>
              </w:rPr>
            </w:pPr>
            <w:r>
              <w:rPr>
                <w:rFonts w:hint="eastAsia" w:ascii="宋体" w:hAnsi="宋体" w:eastAsia="宋体" w:cs="宋体"/>
                <w:color w:val="auto"/>
                <w:szCs w:val="21"/>
                <w:highlight w:val="none"/>
              </w:rPr>
              <w:t>时 间：2025年7月24日9点00分</w:t>
            </w:r>
          </w:p>
          <w:p w14:paraId="2E96C1E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地 点：</w:t>
            </w:r>
            <w:r>
              <w:rPr>
                <w:rFonts w:hint="eastAsia" w:ascii="宋体" w:hAnsi="宋体" w:eastAsia="宋体" w:cs="宋体"/>
                <w:b/>
                <w:bCs/>
                <w:color w:val="auto"/>
                <w:szCs w:val="21"/>
                <w:highlight w:val="none"/>
                <w:u w:val="single"/>
                <w:lang w:eastAsia="zh-CN"/>
              </w:rPr>
              <w:t xml:space="preserve">滁州市龙蟠大道109号房产大厦6楼603会议室 </w:t>
            </w:r>
          </w:p>
        </w:tc>
      </w:tr>
      <w:tr w14:paraId="0407B3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19" w:type="dxa"/>
            <w:noWrap w:val="0"/>
            <w:vAlign w:val="center"/>
          </w:tcPr>
          <w:p w14:paraId="40178E9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190" w:type="dxa"/>
            <w:noWrap w:val="0"/>
            <w:vAlign w:val="center"/>
          </w:tcPr>
          <w:p w14:paraId="0B4C546A">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84" w:type="dxa"/>
            <w:noWrap w:val="0"/>
            <w:vAlign w:val="center"/>
          </w:tcPr>
          <w:p w14:paraId="147DD47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再</w:t>
            </w:r>
            <w:r>
              <w:rPr>
                <w:rFonts w:hint="eastAsia" w:ascii="宋体" w:hAnsi="宋体" w:eastAsia="宋体" w:cs="宋体"/>
                <w:color w:val="auto"/>
                <w:sz w:val="21"/>
                <w:szCs w:val="21"/>
                <w:highlight w:val="none"/>
                <w:lang w:val="en-US" w:eastAsia="zh-CN"/>
              </w:rPr>
              <w:t>进行评审。</w:t>
            </w:r>
          </w:p>
        </w:tc>
      </w:tr>
      <w:tr w14:paraId="09E54B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19" w:type="dxa"/>
            <w:noWrap w:val="0"/>
            <w:vAlign w:val="center"/>
          </w:tcPr>
          <w:p w14:paraId="0B6CD008">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190" w:type="dxa"/>
            <w:noWrap w:val="0"/>
            <w:vAlign w:val="center"/>
          </w:tcPr>
          <w:p w14:paraId="5FDB1D68">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84" w:type="dxa"/>
            <w:noWrap w:val="0"/>
            <w:vAlign w:val="top"/>
          </w:tcPr>
          <w:p w14:paraId="21298DC7">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US" w:eastAsia="zh-CN"/>
              </w:rPr>
              <w:t>由招标人</w:t>
            </w:r>
            <w:r>
              <w:rPr>
                <w:rFonts w:hint="eastAsia" w:hAnsi="宋体" w:cs="宋体"/>
                <w:color w:val="auto"/>
                <w:sz w:val="21"/>
                <w:szCs w:val="21"/>
                <w:highlight w:val="none"/>
                <w:lang w:val="en-US" w:eastAsia="zh-CN"/>
              </w:rPr>
              <w:t>依法</w:t>
            </w:r>
            <w:r>
              <w:rPr>
                <w:rFonts w:hint="eastAsia" w:ascii="宋体" w:hAnsi="宋体" w:eastAsia="宋体" w:cs="宋体"/>
                <w:color w:val="auto"/>
                <w:sz w:val="21"/>
                <w:szCs w:val="21"/>
                <w:highlight w:val="none"/>
                <w:lang w:val="en-US" w:eastAsia="zh-CN"/>
              </w:rPr>
              <w:t>组建</w:t>
            </w:r>
            <w:r>
              <w:rPr>
                <w:rFonts w:hint="eastAsia" w:ascii="宋体" w:hAnsi="宋体" w:eastAsia="宋体" w:cs="宋体"/>
                <w:color w:val="auto"/>
                <w:sz w:val="21"/>
                <w:szCs w:val="21"/>
                <w:highlight w:val="none"/>
              </w:rPr>
              <w:t>。</w:t>
            </w:r>
          </w:p>
        </w:tc>
      </w:tr>
      <w:tr w14:paraId="4A10EB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19" w:type="dxa"/>
            <w:noWrap w:val="0"/>
            <w:vAlign w:val="center"/>
          </w:tcPr>
          <w:p w14:paraId="7D5A35ED">
            <w:pPr>
              <w:pStyle w:val="18"/>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190" w:type="dxa"/>
            <w:noWrap w:val="0"/>
            <w:vAlign w:val="center"/>
          </w:tcPr>
          <w:p w14:paraId="1E5B5B20">
            <w:pPr>
              <w:pStyle w:val="18"/>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84" w:type="dxa"/>
            <w:noWrap w:val="0"/>
            <w:vAlign w:val="center"/>
          </w:tcPr>
          <w:p w14:paraId="154A1D2C">
            <w:pPr>
              <w:pStyle w:val="18"/>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ascii="宋体" w:hAnsi="宋体" w:eastAsia="宋体" w:cs="宋体"/>
                <w:color w:val="auto"/>
                <w:sz w:val="21"/>
                <w:szCs w:val="21"/>
                <w:highlight w:val="none"/>
                <w:u w:val="single" w:color="auto"/>
              </w:rPr>
              <w:t xml:space="preserve"> 3</w:t>
            </w:r>
            <w:r>
              <w:rPr>
                <w:rFonts w:hint="eastAsia" w:ascii="宋体" w:hAnsi="宋体" w:eastAsia="宋体" w:cs="宋体"/>
                <w:color w:val="auto"/>
                <w:sz w:val="21"/>
                <w:szCs w:val="21"/>
                <w:highlight w:val="none"/>
              </w:rPr>
              <w:t>名中标候选人。</w:t>
            </w:r>
          </w:p>
        </w:tc>
      </w:tr>
      <w:tr w14:paraId="3ED7E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19" w:type="dxa"/>
            <w:noWrap w:val="0"/>
            <w:vAlign w:val="center"/>
          </w:tcPr>
          <w:p w14:paraId="395E253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190" w:type="dxa"/>
            <w:noWrap w:val="0"/>
            <w:vAlign w:val="center"/>
          </w:tcPr>
          <w:p w14:paraId="32251CD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84" w:type="dxa"/>
            <w:noWrap w:val="0"/>
            <w:vAlign w:val="center"/>
          </w:tcPr>
          <w:p w14:paraId="65D61580">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中标通知书须加盖</w:t>
            </w:r>
            <w:r>
              <w:rPr>
                <w:rFonts w:hint="eastAsia" w:ascii="宋体" w:hAnsi="宋体" w:eastAsia="宋体" w:cs="宋体"/>
                <w:color w:val="auto"/>
                <w:sz w:val="21"/>
                <w:szCs w:val="21"/>
                <w:highlight w:val="none"/>
                <w:lang w:val="en-US" w:eastAsia="zh-CN"/>
              </w:rPr>
              <w:t>招标人及代理机构公章</w:t>
            </w:r>
            <w:r>
              <w:rPr>
                <w:rFonts w:hint="eastAsia" w:ascii="宋体" w:hAnsi="宋体" w:eastAsia="宋体" w:cs="宋体"/>
                <w:color w:val="auto"/>
                <w:sz w:val="21"/>
                <w:szCs w:val="21"/>
                <w:highlight w:val="none"/>
              </w:rPr>
              <w:t>后方可发出。</w:t>
            </w:r>
          </w:p>
        </w:tc>
      </w:tr>
      <w:tr w14:paraId="767C7B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19" w:type="dxa"/>
            <w:noWrap w:val="0"/>
            <w:vAlign w:val="center"/>
          </w:tcPr>
          <w:p w14:paraId="036B7F55">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190" w:type="dxa"/>
            <w:noWrap w:val="0"/>
            <w:vAlign w:val="center"/>
          </w:tcPr>
          <w:p w14:paraId="0D4B323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84" w:type="dxa"/>
            <w:noWrap w:val="0"/>
            <w:vAlign w:val="center"/>
          </w:tcPr>
          <w:p w14:paraId="4E73B43B">
            <w:pPr>
              <w:keepNext w:val="0"/>
              <w:keepLines w:val="0"/>
              <w:pageBreakBefore w:val="0"/>
              <w:kinsoku/>
              <w:wordWrap w:val="0"/>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5D918F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19" w:type="dxa"/>
            <w:noWrap w:val="0"/>
            <w:vAlign w:val="center"/>
          </w:tcPr>
          <w:p w14:paraId="6E2BF2AA">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190" w:type="dxa"/>
            <w:noWrap w:val="0"/>
            <w:vAlign w:val="center"/>
          </w:tcPr>
          <w:p w14:paraId="5D94074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投标人提出问题的截止时间及方式</w:t>
            </w:r>
          </w:p>
        </w:tc>
        <w:tc>
          <w:tcPr>
            <w:tcW w:w="6684" w:type="dxa"/>
            <w:noWrap w:val="0"/>
            <w:vAlign w:val="center"/>
          </w:tcPr>
          <w:p w14:paraId="747DC26F">
            <w:pPr>
              <w:keepNext w:val="0"/>
              <w:keepLines w:val="0"/>
              <w:pageBreakBefore w:val="0"/>
              <w:widowControl/>
              <w:kinsoku/>
              <w:overflowPunct/>
              <w:topLinePunct w:val="0"/>
              <w:autoSpaceDE/>
              <w:autoSpaceDN/>
              <w:bidi w:val="0"/>
              <w:adjustRightIn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答疑及澄清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如投标人对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有疑问，请于</w:t>
            </w:r>
            <w:r>
              <w:rPr>
                <w:rFonts w:hint="eastAsia" w:ascii="宋体" w:hAnsi="宋体" w:eastAsia="宋体" w:cs="宋体"/>
                <w:color w:val="auto"/>
                <w:szCs w:val="21"/>
                <w:highlight w:val="none"/>
                <w:lang w:val="en-US" w:eastAsia="zh-CN"/>
              </w:rPr>
              <w:t>2025年7月</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HYPERLINK "mailto:日11时前将疑问内容以电子邮件形式发送至czsctgczx@163.com（滁州市城投工程咨询管理有限公司邮箱），招标人将在2022年" </w:instrText>
            </w:r>
            <w:r>
              <w:rPr>
                <w:rFonts w:hint="eastAsia" w:ascii="宋体" w:hAnsi="宋体" w:eastAsia="宋体" w:cs="宋体"/>
                <w:color w:val="auto"/>
                <w:szCs w:val="21"/>
                <w:highlight w:val="none"/>
                <w:u w:val="none"/>
              </w:rPr>
              <w:fldChar w:fldCharType="separate"/>
            </w:r>
            <w:r>
              <w:rPr>
                <w:rStyle w:val="48"/>
                <w:rFonts w:hint="eastAsia" w:ascii="宋体" w:hAnsi="宋体" w:eastAsia="宋体" w:cs="宋体"/>
                <w:color w:val="auto"/>
                <w:szCs w:val="21"/>
                <w:highlight w:val="none"/>
              </w:rPr>
              <w:t>日</w:t>
            </w:r>
            <w:r>
              <w:rPr>
                <w:rStyle w:val="48"/>
                <w:rFonts w:hint="eastAsia" w:ascii="宋体" w:hAnsi="宋体" w:eastAsia="宋体" w:cs="宋体"/>
                <w:color w:val="auto"/>
                <w:szCs w:val="21"/>
                <w:highlight w:val="none"/>
                <w:lang w:val="en-US" w:eastAsia="zh-CN"/>
              </w:rPr>
              <w:t>12</w:t>
            </w:r>
            <w:r>
              <w:rPr>
                <w:rStyle w:val="48"/>
                <w:rFonts w:hint="eastAsia" w:ascii="宋体" w:hAnsi="宋体" w:eastAsia="宋体" w:cs="宋体"/>
                <w:color w:val="auto"/>
                <w:szCs w:val="21"/>
                <w:highlight w:val="none"/>
              </w:rPr>
              <w:t>时前将疑问内容以电子邮件形式发送至</w:t>
            </w:r>
            <w:r>
              <w:rPr>
                <w:rStyle w:val="48"/>
                <w:rFonts w:hint="eastAsia" w:ascii="宋体" w:hAnsi="宋体" w:eastAsia="宋体" w:cs="宋体"/>
                <w:color w:val="auto"/>
                <w:szCs w:val="21"/>
                <w:highlight w:val="none"/>
                <w:lang w:val="en-US" w:eastAsia="zh-CN"/>
              </w:rPr>
              <w:t>2498964346@qq.com</w:t>
            </w:r>
            <w:r>
              <w:rPr>
                <w:rStyle w:val="48"/>
                <w:rFonts w:hint="eastAsia" w:ascii="宋体" w:hAnsi="宋体" w:eastAsia="宋体" w:cs="宋体"/>
                <w:color w:val="auto"/>
                <w:szCs w:val="21"/>
                <w:highlight w:val="none"/>
              </w:rPr>
              <w:t>，招标人将在</w:t>
            </w:r>
            <w:r>
              <w:rPr>
                <w:rStyle w:val="48"/>
                <w:rFonts w:hint="eastAsia" w:ascii="宋体" w:hAnsi="宋体" w:eastAsia="宋体" w:cs="宋体"/>
                <w:color w:val="auto"/>
                <w:szCs w:val="21"/>
                <w:highlight w:val="none"/>
                <w:lang w:eastAsia="zh-CN"/>
              </w:rPr>
              <w:t>202</w:t>
            </w:r>
            <w:r>
              <w:rPr>
                <w:rStyle w:val="48"/>
                <w:rFonts w:hint="eastAsia" w:ascii="宋体" w:hAnsi="宋体" w:eastAsia="宋体" w:cs="宋体"/>
                <w:color w:val="auto"/>
                <w:szCs w:val="21"/>
                <w:highlight w:val="none"/>
                <w:lang w:val="en-US" w:eastAsia="zh-CN"/>
              </w:rPr>
              <w:t>5</w:t>
            </w:r>
            <w:r>
              <w:rPr>
                <w:rStyle w:val="48"/>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lang w:val="en-US" w:eastAsia="zh-CN"/>
              </w:rPr>
              <w:t>7</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以澄清公告形式在</w:t>
            </w:r>
            <w:r>
              <w:rPr>
                <w:rFonts w:hint="eastAsia" w:ascii="宋体" w:hAnsi="宋体" w:eastAsia="宋体" w:cs="宋体"/>
                <w:color w:val="auto"/>
                <w:szCs w:val="21"/>
                <w:highlight w:val="none"/>
                <w:lang w:val="en-US" w:eastAsia="zh-CN"/>
              </w:rPr>
              <w:t>滁州市扬子工业投资集团有限公司官网（https://czyzgtjt.com/)</w:t>
            </w:r>
            <w:r>
              <w:rPr>
                <w:rFonts w:hint="eastAsia" w:ascii="宋体" w:hAnsi="宋体" w:eastAsia="宋体" w:cs="宋体"/>
                <w:color w:val="auto"/>
                <w:szCs w:val="21"/>
                <w:highlight w:val="none"/>
              </w:rPr>
              <w:t>公告，请各位投标人注意查看有关澄清内容，如不及时查看造成后果由投标人自负。</w:t>
            </w:r>
          </w:p>
        </w:tc>
      </w:tr>
      <w:tr w14:paraId="123F71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209" w:type="dxa"/>
            <w:gridSpan w:val="2"/>
            <w:noWrap w:val="0"/>
            <w:vAlign w:val="center"/>
          </w:tcPr>
          <w:p w14:paraId="610DBA1D">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84" w:type="dxa"/>
            <w:noWrap w:val="0"/>
            <w:vAlign w:val="center"/>
          </w:tcPr>
          <w:p w14:paraId="3351BCA2">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按月支付服务费用，服务费用为年中标总价/12。</w:t>
            </w:r>
            <w:r>
              <w:rPr>
                <w:rFonts w:hint="eastAsia" w:ascii="宋体" w:hAnsi="宋体" w:eastAsia="宋体" w:cs="Times New Roman"/>
                <w:color w:val="auto"/>
                <w:szCs w:val="21"/>
                <w:highlight w:val="none"/>
                <w:u w:val="single"/>
                <w:lang w:eastAsia="zh-CN"/>
              </w:rPr>
              <w:t>次月由</w:t>
            </w:r>
            <w:r>
              <w:rPr>
                <w:rFonts w:hint="eastAsia" w:ascii="宋体" w:hAnsi="宋体" w:cs="Times New Roman"/>
                <w:color w:val="auto"/>
                <w:szCs w:val="21"/>
                <w:highlight w:val="none"/>
                <w:u w:val="single"/>
                <w:lang w:val="en-US" w:eastAsia="zh-CN"/>
              </w:rPr>
              <w:t>中标人</w:t>
            </w:r>
            <w:r>
              <w:rPr>
                <w:rFonts w:hint="eastAsia" w:ascii="宋体" w:hAnsi="宋体" w:eastAsia="宋体" w:cs="Times New Roman"/>
                <w:color w:val="auto"/>
                <w:szCs w:val="21"/>
                <w:highlight w:val="none"/>
                <w:u w:val="single"/>
              </w:rPr>
              <w:t>开具</w:t>
            </w:r>
            <w:r>
              <w:rPr>
                <w:rFonts w:hint="eastAsia" w:ascii="宋体" w:hAnsi="宋体" w:eastAsia="宋体" w:cs="Times New Roman"/>
                <w:color w:val="auto"/>
                <w:szCs w:val="21"/>
                <w:highlight w:val="none"/>
                <w:u w:val="single"/>
                <w:lang w:eastAsia="zh-CN"/>
              </w:rPr>
              <w:t>增值税</w:t>
            </w:r>
            <w:r>
              <w:rPr>
                <w:rFonts w:hint="eastAsia" w:ascii="宋体" w:hAnsi="宋体" w:eastAsia="宋体" w:cs="Times New Roman"/>
                <w:color w:val="auto"/>
                <w:szCs w:val="21"/>
                <w:highlight w:val="none"/>
                <w:u w:val="single"/>
              </w:rPr>
              <w:t>发票</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待</w:t>
            </w:r>
            <w:r>
              <w:rPr>
                <w:rFonts w:hint="eastAsia" w:ascii="宋体" w:hAnsi="宋体" w:cs="Times New Roman"/>
                <w:color w:val="auto"/>
                <w:szCs w:val="21"/>
                <w:highlight w:val="none"/>
                <w:u w:val="single"/>
                <w:lang w:val="en-US" w:eastAsia="zh-CN"/>
              </w:rPr>
              <w:t>招标人</w:t>
            </w:r>
            <w:r>
              <w:rPr>
                <w:rFonts w:hint="eastAsia" w:ascii="宋体" w:hAnsi="宋体" w:eastAsia="宋体" w:cs="Times New Roman"/>
                <w:color w:val="auto"/>
                <w:szCs w:val="21"/>
                <w:highlight w:val="none"/>
                <w:u w:val="single"/>
              </w:rPr>
              <w:t>收到发票后</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日内将相应款项按相应要求支付给</w:t>
            </w:r>
            <w:r>
              <w:rPr>
                <w:rFonts w:hint="eastAsia" w:ascii="宋体" w:hAnsi="宋体" w:cs="Times New Roman"/>
                <w:color w:val="auto"/>
                <w:szCs w:val="21"/>
                <w:highlight w:val="none"/>
                <w:u w:val="single"/>
                <w:lang w:val="en-US" w:eastAsia="zh-CN"/>
              </w:rPr>
              <w:t>中标人</w:t>
            </w:r>
            <w:r>
              <w:rPr>
                <w:rFonts w:hint="eastAsia" w:ascii="宋体" w:hAnsi="宋体" w:eastAsia="宋体" w:cs="Times New Roman"/>
                <w:color w:val="auto"/>
                <w:szCs w:val="21"/>
                <w:highlight w:val="none"/>
                <w:u w:val="single"/>
              </w:rPr>
              <w:t>。</w:t>
            </w:r>
          </w:p>
        </w:tc>
      </w:tr>
      <w:tr w14:paraId="433680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850" w:hRule="atLeast"/>
          <w:jc w:val="center"/>
        </w:trPr>
        <w:tc>
          <w:tcPr>
            <w:tcW w:w="3209" w:type="dxa"/>
            <w:gridSpan w:val="2"/>
            <w:noWrap w:val="0"/>
            <w:vAlign w:val="center"/>
          </w:tcPr>
          <w:p w14:paraId="5812F926">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lang w:val="en-US" w:eastAsia="zh-CN"/>
              </w:rPr>
            </w:pPr>
            <w:bookmarkStart w:id="23" w:name="_Toc449028866"/>
            <w:bookmarkStart w:id="24" w:name="_Toc58430315"/>
            <w:bookmarkStart w:id="25" w:name="_Toc7739"/>
            <w:r>
              <w:rPr>
                <w:rFonts w:hint="eastAsia" w:ascii="宋体" w:hAnsi="宋体" w:cs="宋体"/>
                <w:color w:val="auto"/>
                <w:sz w:val="21"/>
                <w:szCs w:val="21"/>
                <w:highlight w:val="none"/>
                <w:lang w:val="en-US" w:eastAsia="zh-CN"/>
              </w:rPr>
              <w:t>备注</w:t>
            </w:r>
          </w:p>
        </w:tc>
        <w:tc>
          <w:tcPr>
            <w:tcW w:w="6684" w:type="dxa"/>
            <w:noWrap w:val="0"/>
            <w:vAlign w:val="center"/>
          </w:tcPr>
          <w:p w14:paraId="4DCBD91D">
            <w:pPr>
              <w:keepNext w:val="0"/>
              <w:keepLines w:val="0"/>
              <w:pageBreakBefore w:val="0"/>
              <w:kinsoku/>
              <w:overflowPunct/>
              <w:topLinePunct w:val="0"/>
              <w:autoSpaceDE/>
              <w:autoSpaceDN/>
              <w:bidi w:val="0"/>
              <w:adjustRightInd/>
              <w:spacing w:line="500" w:lineRule="exact"/>
              <w:textAlignment w:val="auto"/>
              <w:rPr>
                <w:rFonts w:hint="eastAsia" w:ascii="宋体" w:hAnsi="宋体" w:cs="宋体"/>
                <w:color w:val="auto"/>
                <w:sz w:val="21"/>
                <w:szCs w:val="21"/>
                <w:highlight w:val="none"/>
                <w:u w:val="single"/>
                <w:lang w:val="en-US" w:eastAsia="zh-CN"/>
              </w:rPr>
            </w:pPr>
            <w:r>
              <w:rPr>
                <w:rFonts w:hint="eastAsia" w:ascii="宋体" w:hAnsi="Times New Roman" w:eastAsia="宋体" w:cs="Times New Roman"/>
                <w:color w:val="auto"/>
                <w:sz w:val="21"/>
                <w:szCs w:val="21"/>
                <w:highlight w:val="none"/>
                <w:lang w:val="en-US" w:eastAsia="zh-CN"/>
              </w:rPr>
              <w:t>若投标人为企业的分支机构或分公司，其投标文件中所要求的法定代表人的所有签章及涉及材料，可以由其分支机构或分公司负责人进行盖章及提供相应材料，同一总公司只允许授权一家分公司或中心支公司参加投标。</w:t>
            </w:r>
          </w:p>
        </w:tc>
      </w:tr>
    </w:tbl>
    <w:p w14:paraId="754FC5FB">
      <w:pPr>
        <w:pageBreakBefore/>
        <w:spacing w:before="312" w:beforeLines="100" w:after="312" w:afterLines="100" w:line="440" w:lineRule="exact"/>
        <w:jc w:val="center"/>
        <w:outlineLvl w:val="1"/>
        <w:rPr>
          <w:rFonts w:hint="eastAsia" w:ascii="宋体" w:hAnsi="宋体" w:cs="宋体"/>
          <w:b/>
          <w:color w:val="auto"/>
          <w:sz w:val="28"/>
          <w:szCs w:val="32"/>
          <w:highlight w:val="none"/>
        </w:rPr>
      </w:pPr>
      <w:r>
        <w:rPr>
          <w:rFonts w:hint="eastAsia" w:ascii="宋体" w:hAnsi="宋体" w:cs="宋体"/>
          <w:b/>
          <w:color w:val="auto"/>
          <w:sz w:val="28"/>
          <w:szCs w:val="28"/>
          <w:highlight w:val="none"/>
        </w:rPr>
        <w:t>二、投标人须知</w:t>
      </w:r>
      <w:bookmarkEnd w:id="23"/>
      <w:bookmarkEnd w:id="24"/>
      <w:bookmarkEnd w:id="25"/>
    </w:p>
    <w:p w14:paraId="1BE8218E">
      <w:pPr>
        <w:spacing w:line="440" w:lineRule="exact"/>
        <w:jc w:val="center"/>
        <w:rPr>
          <w:rFonts w:hint="eastAsia" w:ascii="宋体" w:hAnsi="宋体" w:cs="宋体"/>
          <w:color w:val="auto"/>
          <w:sz w:val="28"/>
          <w:szCs w:val="28"/>
          <w:highlight w:val="none"/>
        </w:rPr>
      </w:pPr>
      <w:bookmarkStart w:id="26"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6"/>
    </w:p>
    <w:p w14:paraId="032C618E">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3247B7C5">
      <w:pPr>
        <w:spacing w:line="440" w:lineRule="atLeast"/>
        <w:ind w:firstLine="422" w:firstLineChars="200"/>
        <w:outlineLvl w:val="2"/>
        <w:rPr>
          <w:rFonts w:hint="eastAsia" w:ascii="宋体" w:hAnsi="宋体" w:cs="宋体"/>
          <w:b/>
          <w:bCs/>
          <w:color w:val="auto"/>
          <w:szCs w:val="21"/>
          <w:highlight w:val="none"/>
        </w:rPr>
      </w:pPr>
      <w:bookmarkStart w:id="27" w:name="_Toc144974498"/>
      <w:bookmarkStart w:id="28" w:name="_Toc296602421"/>
      <w:bookmarkStart w:id="29" w:name="_Toc324404816"/>
      <w:bookmarkStart w:id="30" w:name="_Toc35947171"/>
      <w:bookmarkStart w:id="31" w:name="_Toc35424888"/>
      <w:bookmarkStart w:id="32" w:name="_Toc506107270"/>
      <w:bookmarkStart w:id="33" w:name="_Toc246996176"/>
      <w:bookmarkStart w:id="34" w:name="_Toc246996919"/>
      <w:bookmarkStart w:id="35" w:name="_Toc22151"/>
      <w:bookmarkStart w:id="36" w:name="_Toc15058847"/>
      <w:bookmarkStart w:id="37" w:name="_Toc247085690"/>
      <w:bookmarkStart w:id="38" w:name="_Toc152045530"/>
      <w:bookmarkStart w:id="39" w:name="_Toc152042306"/>
      <w:bookmarkStart w:id="40" w:name="_Toc35425054"/>
      <w:bookmarkStart w:id="41" w:name="_Toc179632547"/>
      <w:bookmarkStart w:id="42" w:name="_Toc1909"/>
      <w:r>
        <w:rPr>
          <w:rFonts w:hint="eastAsia" w:ascii="宋体" w:hAnsi="宋体" w:cs="宋体"/>
          <w:b/>
          <w:bCs/>
          <w:color w:val="auto"/>
          <w:szCs w:val="21"/>
          <w:highlight w:val="none"/>
        </w:rPr>
        <w:t>1.1 项目概况</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BDB05F">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1.1</w:t>
      </w:r>
      <w:r>
        <w:rPr>
          <w:rFonts w:hint="eastAsia" w:ascii="宋体"/>
          <w:color w:val="auto"/>
          <w:szCs w:val="21"/>
          <w:highlight w:val="none"/>
          <w:lang w:val="en-US" w:eastAsia="zh-CN"/>
        </w:rPr>
        <w:t>.1</w:t>
      </w:r>
      <w:r>
        <w:rPr>
          <w:rFonts w:hint="eastAsia" w:ascii="宋体"/>
          <w:color w:val="auto"/>
          <w:szCs w:val="21"/>
          <w:highlight w:val="none"/>
        </w:rPr>
        <w:t>本次招标采购项目名称：见投标人须知前附表。</w:t>
      </w:r>
    </w:p>
    <w:p w14:paraId="26EC765C">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 xml:space="preserve">    招标人</w:t>
      </w:r>
      <w:r>
        <w:rPr>
          <w:rFonts w:hint="eastAsia" w:ascii="宋体"/>
          <w:color w:val="auto"/>
          <w:szCs w:val="21"/>
          <w:highlight w:val="none"/>
        </w:rPr>
        <w:t>：见投标人须知前附表。</w:t>
      </w:r>
    </w:p>
    <w:p w14:paraId="26A2320F">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合同履行期</w:t>
      </w:r>
      <w:r>
        <w:rPr>
          <w:rFonts w:hint="eastAsia" w:ascii="宋体"/>
          <w:color w:val="auto"/>
          <w:szCs w:val="21"/>
          <w:highlight w:val="none"/>
        </w:rPr>
        <w:t>：见投标人须知前附表。</w:t>
      </w:r>
    </w:p>
    <w:p w14:paraId="764BF2EA">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14:paraId="4C091F32">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2</w:t>
      </w:r>
      <w:r>
        <w:rPr>
          <w:rFonts w:hint="eastAsia" w:ascii="宋体"/>
          <w:color w:val="auto"/>
          <w:szCs w:val="21"/>
          <w:highlight w:val="none"/>
          <w:lang w:val="en-US" w:eastAsia="zh-CN"/>
        </w:rPr>
        <w:t>招标</w:t>
      </w:r>
      <w:r>
        <w:rPr>
          <w:rFonts w:hint="eastAsia" w:ascii="宋体"/>
          <w:color w:val="auto"/>
          <w:szCs w:val="21"/>
          <w:highlight w:val="none"/>
          <w:lang w:eastAsia="zh-CN"/>
        </w:rPr>
        <w:t>人</w:t>
      </w:r>
      <w:r>
        <w:rPr>
          <w:rFonts w:hint="eastAsia" w:ascii="宋体"/>
          <w:color w:val="auto"/>
          <w:szCs w:val="21"/>
          <w:highlight w:val="none"/>
        </w:rPr>
        <w:t>及联系人</w:t>
      </w:r>
      <w:r>
        <w:rPr>
          <w:rFonts w:hint="eastAsia" w:ascii="宋体"/>
          <w:color w:val="auto"/>
          <w:szCs w:val="21"/>
          <w:highlight w:val="none"/>
          <w:lang w:eastAsia="zh-CN"/>
        </w:rPr>
        <w:t>：</w:t>
      </w:r>
      <w:r>
        <w:rPr>
          <w:rFonts w:hint="eastAsia" w:ascii="宋体"/>
          <w:color w:val="auto"/>
          <w:szCs w:val="21"/>
          <w:highlight w:val="none"/>
        </w:rPr>
        <w:t xml:space="preserve"> 见投标人须知前附表。</w:t>
      </w:r>
    </w:p>
    <w:p w14:paraId="705517FF">
      <w:pPr>
        <w:pageBreakBefore w:val="0"/>
        <w:widowControl w:val="0"/>
        <w:kinsoku/>
        <w:overflowPunct/>
        <w:topLinePunct w:val="0"/>
        <w:bidi w:val="0"/>
        <w:snapToGrid w:val="0"/>
        <w:spacing w:line="40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w:t>
      </w:r>
      <w:r>
        <w:rPr>
          <w:rFonts w:hint="eastAsia" w:ascii="宋体"/>
          <w:color w:val="auto"/>
          <w:szCs w:val="21"/>
          <w:highlight w:val="none"/>
          <w:lang w:eastAsia="zh-CN"/>
        </w:rPr>
        <w:t>：</w:t>
      </w:r>
      <w:r>
        <w:rPr>
          <w:rFonts w:hint="eastAsia" w:ascii="宋体"/>
          <w:color w:val="auto"/>
          <w:szCs w:val="21"/>
          <w:highlight w:val="none"/>
        </w:rPr>
        <w:t xml:space="preserve"> 见投标人须知前附表。</w:t>
      </w:r>
    </w:p>
    <w:p w14:paraId="23BF9F9E">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3资金来源：见投标人须知前附表。</w:t>
      </w:r>
    </w:p>
    <w:p w14:paraId="2310B889">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4本项目预算：见投标人须知前附表。</w:t>
      </w:r>
    </w:p>
    <w:p w14:paraId="33CC76B0">
      <w:pPr>
        <w:pageBreakBefore w:val="0"/>
        <w:widowControl w:val="0"/>
        <w:kinsoku/>
        <w:overflowPunct/>
        <w:topLinePunct w:val="0"/>
        <w:bidi w:val="0"/>
        <w:snapToGrid w:val="0"/>
        <w:spacing w:line="400" w:lineRule="exact"/>
        <w:ind w:firstLine="420" w:firstLineChars="200"/>
        <w:rPr>
          <w:rFonts w:hint="eastAsia" w:ascii="宋体" w:hAnsi="宋体" w:cs="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5本项目最高限价：见投标人须知前附表。</w:t>
      </w:r>
    </w:p>
    <w:p w14:paraId="397A3F25">
      <w:pPr>
        <w:spacing w:line="440" w:lineRule="atLeast"/>
        <w:ind w:firstLine="422" w:firstLineChars="200"/>
        <w:outlineLvl w:val="2"/>
        <w:rPr>
          <w:rFonts w:hint="eastAsia" w:ascii="宋体" w:hAnsi="宋体" w:cs="宋体"/>
          <w:b/>
          <w:bCs/>
          <w:color w:val="auto"/>
          <w:szCs w:val="21"/>
          <w:highlight w:val="none"/>
        </w:rPr>
      </w:pPr>
      <w:bookmarkStart w:id="43" w:name="_Toc152042307"/>
      <w:bookmarkStart w:id="44" w:name="_Toc15058848"/>
      <w:bookmarkStart w:id="45" w:name="_Toc506107271"/>
      <w:bookmarkStart w:id="46" w:name="_Toc144974499"/>
      <w:bookmarkStart w:id="47" w:name="_Toc179632548"/>
      <w:bookmarkStart w:id="48" w:name="_Toc35424889"/>
      <w:bookmarkStart w:id="49" w:name="_Toc152045531"/>
      <w:bookmarkStart w:id="50" w:name="_Toc246996920"/>
      <w:bookmarkStart w:id="51" w:name="_Toc35425055"/>
      <w:bookmarkStart w:id="52" w:name="_Toc13913"/>
      <w:bookmarkStart w:id="53" w:name="_Toc324404817"/>
      <w:bookmarkStart w:id="54" w:name="_Toc35947172"/>
      <w:bookmarkStart w:id="55" w:name="_Toc247085691"/>
      <w:bookmarkStart w:id="56" w:name="_Toc246996177"/>
      <w:bookmarkStart w:id="57" w:name="_Toc296602422"/>
      <w:r>
        <w:rPr>
          <w:rFonts w:hint="eastAsia" w:ascii="宋体" w:hAnsi="宋体" w:cs="宋体"/>
          <w:b/>
          <w:bCs/>
          <w:color w:val="auto"/>
          <w:szCs w:val="21"/>
          <w:highlight w:val="none"/>
        </w:rPr>
        <w:t>1.2 资金来源和落实情况</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A893F4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1F7486AD">
      <w:pPr>
        <w:spacing w:line="440" w:lineRule="atLeast"/>
        <w:ind w:firstLine="422" w:firstLineChars="200"/>
        <w:outlineLvl w:val="2"/>
        <w:rPr>
          <w:rFonts w:hint="eastAsia" w:ascii="宋体" w:hAnsi="宋体" w:cs="宋体"/>
          <w:b/>
          <w:bCs/>
          <w:color w:val="auto"/>
          <w:szCs w:val="21"/>
          <w:highlight w:val="none"/>
        </w:rPr>
      </w:pPr>
      <w:bookmarkStart w:id="58" w:name="_Toc144974500"/>
      <w:bookmarkStart w:id="59" w:name="_Toc152045532"/>
      <w:bookmarkStart w:id="60" w:name="_Toc35425056"/>
      <w:bookmarkStart w:id="61" w:name="_Toc296602423"/>
      <w:bookmarkStart w:id="62" w:name="_Toc246996921"/>
      <w:bookmarkStart w:id="63" w:name="_Toc35424890"/>
      <w:bookmarkStart w:id="64" w:name="_Toc324404818"/>
      <w:bookmarkStart w:id="65" w:name="_Toc152042308"/>
      <w:bookmarkStart w:id="66" w:name="_Toc246996178"/>
      <w:bookmarkStart w:id="67" w:name="_Toc26911"/>
      <w:bookmarkStart w:id="68" w:name="_Toc247085692"/>
      <w:bookmarkStart w:id="69" w:name="_Toc179632549"/>
      <w:bookmarkStart w:id="70" w:name="_Toc35947173"/>
      <w:bookmarkStart w:id="71" w:name="_Toc506107272"/>
      <w:bookmarkStart w:id="72" w:name="_Toc15058849"/>
      <w:r>
        <w:rPr>
          <w:rFonts w:hint="eastAsia" w:ascii="宋体" w:hAnsi="宋体" w:cs="宋体"/>
          <w:b/>
          <w:bCs/>
          <w:color w:val="auto"/>
          <w:szCs w:val="21"/>
          <w:highlight w:val="none"/>
        </w:rPr>
        <w:t>1.3 招标范围、质量要求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A350AD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4CBBBCD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本招标项目的质量要求：见投标人须知前附表。</w:t>
      </w:r>
    </w:p>
    <w:p w14:paraId="21535681">
      <w:pPr>
        <w:spacing w:line="440" w:lineRule="atLeast"/>
        <w:ind w:firstLine="422" w:firstLineChars="200"/>
        <w:outlineLvl w:val="2"/>
        <w:rPr>
          <w:rFonts w:hint="eastAsia" w:ascii="宋体" w:hAnsi="宋体" w:cs="宋体"/>
          <w:b/>
          <w:bCs/>
          <w:color w:val="auto"/>
          <w:szCs w:val="21"/>
          <w:highlight w:val="none"/>
        </w:rPr>
      </w:pPr>
      <w:bookmarkStart w:id="73" w:name="_Toc324404819"/>
      <w:bookmarkStart w:id="74" w:name="_Toc246996922"/>
      <w:bookmarkStart w:id="75" w:name="_Toc15058850"/>
      <w:bookmarkStart w:id="76" w:name="_Toc296602424"/>
      <w:bookmarkStart w:id="77" w:name="_Toc152045534"/>
      <w:bookmarkStart w:id="78" w:name="_Toc152042310"/>
      <w:bookmarkStart w:id="79" w:name="_Toc247085693"/>
      <w:bookmarkStart w:id="80" w:name="_Toc506107273"/>
      <w:bookmarkStart w:id="81" w:name="_Toc179632551"/>
      <w:bookmarkStart w:id="82" w:name="_Toc246996179"/>
      <w:bookmarkStart w:id="83" w:name="_Toc6279"/>
      <w:bookmarkStart w:id="84" w:name="_Toc144974502"/>
      <w:bookmarkStart w:id="85" w:name="_Toc35424891"/>
      <w:bookmarkStart w:id="86" w:name="_Toc35425057"/>
      <w:bookmarkStart w:id="87" w:name="_Toc35947174"/>
      <w:r>
        <w:rPr>
          <w:rFonts w:hint="eastAsia" w:ascii="宋体" w:hAnsi="宋体" w:cs="宋体"/>
          <w:b/>
          <w:bCs/>
          <w:color w:val="auto"/>
          <w:szCs w:val="21"/>
          <w:highlight w:val="none"/>
        </w:rPr>
        <w:t>1.4 投标人资格要求</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7E85C7A">
      <w:pPr>
        <w:spacing w:line="440" w:lineRule="atLeas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 xml:space="preserve">1.4.1 </w:t>
      </w:r>
      <w:r>
        <w:rPr>
          <w:rFonts w:hint="eastAsia" w:ascii="宋体" w:hAnsi="宋体" w:cs="宋体"/>
          <w:b/>
          <w:bCs/>
          <w:color w:val="auto"/>
          <w:szCs w:val="21"/>
          <w:highlight w:val="none"/>
        </w:rPr>
        <w:t>投标人资格要求</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见投标人须知前附表。</w:t>
      </w:r>
    </w:p>
    <w:p w14:paraId="12D87AED">
      <w:pPr>
        <w:spacing w:line="440" w:lineRule="atLeast"/>
        <w:ind w:firstLine="422" w:firstLineChars="200"/>
        <w:outlineLvl w:val="2"/>
        <w:rPr>
          <w:rFonts w:hint="eastAsia" w:ascii="宋体" w:hAnsi="宋体" w:cs="宋体"/>
          <w:b/>
          <w:bCs/>
          <w:color w:val="auto"/>
          <w:szCs w:val="21"/>
          <w:highlight w:val="none"/>
        </w:rPr>
      </w:pPr>
      <w:bookmarkStart w:id="88" w:name="_Toc506107274"/>
      <w:bookmarkStart w:id="89" w:name="_Toc152042311"/>
      <w:bookmarkStart w:id="90" w:name="_Toc35424892"/>
      <w:bookmarkStart w:id="91" w:name="_Toc35947175"/>
      <w:bookmarkStart w:id="92" w:name="_Toc35425058"/>
      <w:bookmarkStart w:id="93" w:name="_Toc179632552"/>
      <w:bookmarkStart w:id="94" w:name="_Toc246996923"/>
      <w:bookmarkStart w:id="95" w:name="_Toc324404820"/>
      <w:bookmarkStart w:id="96" w:name="_Toc247085694"/>
      <w:bookmarkStart w:id="97" w:name="_Toc246996180"/>
      <w:bookmarkStart w:id="98" w:name="_Toc152045535"/>
      <w:bookmarkStart w:id="99" w:name="_Toc144974503"/>
      <w:bookmarkStart w:id="100" w:name="_Toc15058851"/>
      <w:bookmarkStart w:id="101" w:name="_Toc296602425"/>
      <w:bookmarkStart w:id="102" w:name="_Toc14292"/>
      <w:r>
        <w:rPr>
          <w:rFonts w:hint="eastAsia" w:ascii="宋体" w:hAnsi="宋体" w:cs="宋体"/>
          <w:b/>
          <w:bCs/>
          <w:color w:val="auto"/>
          <w:szCs w:val="21"/>
          <w:highlight w:val="none"/>
        </w:rPr>
        <w:t>1.5 费用承担</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34BE1D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BCB011D">
      <w:pPr>
        <w:spacing w:line="440" w:lineRule="atLeast"/>
        <w:ind w:firstLine="422" w:firstLineChars="200"/>
        <w:outlineLvl w:val="2"/>
        <w:rPr>
          <w:rFonts w:hint="eastAsia" w:ascii="宋体" w:hAnsi="宋体" w:cs="宋体"/>
          <w:b/>
          <w:bCs/>
          <w:color w:val="auto"/>
          <w:szCs w:val="21"/>
          <w:highlight w:val="none"/>
        </w:rPr>
      </w:pPr>
      <w:bookmarkStart w:id="103" w:name="_Toc15058852"/>
      <w:bookmarkStart w:id="104" w:name="_Toc152042312"/>
      <w:bookmarkStart w:id="105" w:name="_Toc246996181"/>
      <w:bookmarkStart w:id="106" w:name="_Toc35947176"/>
      <w:bookmarkStart w:id="107" w:name="_Toc246996924"/>
      <w:bookmarkStart w:id="108" w:name="_Toc296602426"/>
      <w:bookmarkStart w:id="109" w:name="_Toc506107275"/>
      <w:bookmarkStart w:id="110" w:name="_Toc35425059"/>
      <w:bookmarkStart w:id="111" w:name="_Toc35424893"/>
      <w:bookmarkStart w:id="112" w:name="_Toc144974504"/>
      <w:bookmarkStart w:id="113" w:name="_Toc152045536"/>
      <w:bookmarkStart w:id="114" w:name="_Toc851"/>
      <w:bookmarkStart w:id="115" w:name="_Toc247085695"/>
      <w:bookmarkStart w:id="116" w:name="_Toc179632553"/>
      <w:bookmarkStart w:id="117" w:name="_Toc324404821"/>
      <w:r>
        <w:rPr>
          <w:rFonts w:hint="eastAsia" w:ascii="宋体" w:hAnsi="宋体" w:cs="宋体"/>
          <w:b/>
          <w:bCs/>
          <w:color w:val="auto"/>
          <w:szCs w:val="21"/>
          <w:highlight w:val="none"/>
        </w:rPr>
        <w:t>1.6 保密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997EF70">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参与招标投标活动的各方应对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 xml:space="preserve">和投标文件中的商业和技术等秘密保密，违者应对由此造成的后果承担法律责任。 </w:t>
      </w:r>
    </w:p>
    <w:p w14:paraId="09352A5B">
      <w:pPr>
        <w:spacing w:line="440" w:lineRule="atLeast"/>
        <w:ind w:firstLine="422" w:firstLineChars="200"/>
        <w:outlineLvl w:val="2"/>
        <w:rPr>
          <w:rFonts w:hint="eastAsia" w:ascii="宋体" w:hAnsi="宋体" w:cs="宋体"/>
          <w:b/>
          <w:bCs/>
          <w:color w:val="auto"/>
          <w:szCs w:val="21"/>
          <w:highlight w:val="none"/>
        </w:rPr>
      </w:pPr>
      <w:bookmarkStart w:id="118" w:name="_Toc144974505"/>
      <w:bookmarkStart w:id="119" w:name="_Toc35424894"/>
      <w:bookmarkStart w:id="120" w:name="_Toc324404822"/>
      <w:bookmarkStart w:id="121" w:name="_Toc152045537"/>
      <w:bookmarkStart w:id="122" w:name="_Toc152042313"/>
      <w:bookmarkStart w:id="123" w:name="_Toc35425060"/>
      <w:bookmarkStart w:id="124" w:name="_Toc247085696"/>
      <w:bookmarkStart w:id="125" w:name="_Toc179632554"/>
      <w:bookmarkStart w:id="126" w:name="_Toc15058853"/>
      <w:bookmarkStart w:id="127" w:name="_Toc246996925"/>
      <w:bookmarkStart w:id="128" w:name="_Toc246996182"/>
      <w:bookmarkStart w:id="129" w:name="_Toc506107276"/>
      <w:bookmarkStart w:id="130" w:name="_Toc20183"/>
      <w:bookmarkStart w:id="131" w:name="_Toc296602427"/>
      <w:bookmarkStart w:id="132" w:name="_Toc35947177"/>
      <w:r>
        <w:rPr>
          <w:rFonts w:hint="eastAsia" w:ascii="宋体" w:hAnsi="宋体" w:cs="宋体"/>
          <w:b/>
          <w:bCs/>
          <w:color w:val="auto"/>
          <w:szCs w:val="21"/>
          <w:highlight w:val="none"/>
        </w:rPr>
        <w:t>1.7 语言</w:t>
      </w:r>
      <w:bookmarkEnd w:id="118"/>
      <w:r>
        <w:rPr>
          <w:rFonts w:hint="eastAsia" w:ascii="宋体" w:hAnsi="宋体" w:cs="宋体"/>
          <w:b/>
          <w:bCs/>
          <w:color w:val="auto"/>
          <w:szCs w:val="21"/>
          <w:highlight w:val="none"/>
        </w:rPr>
        <w:t>文字</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7E7C5A1">
      <w:pPr>
        <w:spacing w:line="440" w:lineRule="atLeast"/>
        <w:ind w:firstLine="420" w:firstLineChars="200"/>
        <w:rPr>
          <w:rFonts w:hint="eastAsia" w:ascii="宋体" w:hAnsi="宋体" w:cs="宋体"/>
          <w:color w:val="auto"/>
          <w:szCs w:val="21"/>
          <w:highlight w:val="none"/>
        </w:rPr>
      </w:pPr>
      <w:bookmarkStart w:id="133" w:name="_Toc179632555"/>
      <w:bookmarkStart w:id="134" w:name="_Toc247085697"/>
      <w:bookmarkStart w:id="135" w:name="_Toc152042314"/>
      <w:bookmarkStart w:id="136" w:name="_Toc152045538"/>
      <w:bookmarkStart w:id="137" w:name="_Toc246996926"/>
      <w:bookmarkStart w:id="138" w:name="_Toc144974506"/>
      <w:bookmarkStart w:id="139" w:name="_Toc246996183"/>
      <w:r>
        <w:rPr>
          <w:rFonts w:hint="eastAsia" w:ascii="宋体" w:hAnsi="宋体" w:cs="宋体"/>
          <w:color w:val="auto"/>
          <w:szCs w:val="21"/>
          <w:highlight w:val="none"/>
        </w:rPr>
        <w:t>招标投标文件使用的语言文字为中文。专用术语使用外文的，应附有中文注释。</w:t>
      </w:r>
    </w:p>
    <w:p w14:paraId="6450F081">
      <w:pPr>
        <w:spacing w:line="440" w:lineRule="atLeast"/>
        <w:ind w:firstLine="422" w:firstLineChars="200"/>
        <w:outlineLvl w:val="2"/>
        <w:rPr>
          <w:rFonts w:hint="eastAsia" w:ascii="宋体" w:hAnsi="宋体" w:cs="宋体"/>
          <w:b/>
          <w:bCs/>
          <w:color w:val="auto"/>
          <w:szCs w:val="21"/>
          <w:highlight w:val="none"/>
        </w:rPr>
      </w:pPr>
      <w:bookmarkStart w:id="140" w:name="_Toc35947178"/>
      <w:bookmarkStart w:id="141" w:name="_Toc35425061"/>
      <w:bookmarkStart w:id="142" w:name="_Toc35424895"/>
      <w:bookmarkStart w:id="143" w:name="_Toc506107277"/>
      <w:bookmarkStart w:id="144" w:name="_Toc324404823"/>
      <w:bookmarkStart w:id="145" w:name="_Toc296602428"/>
      <w:bookmarkStart w:id="146" w:name="_Toc15058854"/>
      <w:bookmarkStart w:id="147" w:name="_Toc9140"/>
      <w:r>
        <w:rPr>
          <w:rFonts w:hint="eastAsia" w:ascii="宋体" w:hAnsi="宋体" w:cs="宋体"/>
          <w:b/>
          <w:bCs/>
          <w:color w:val="auto"/>
          <w:szCs w:val="21"/>
          <w:highlight w:val="none"/>
        </w:rPr>
        <w:t>1.8 计量单位</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1CE534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158C6A4E">
      <w:pPr>
        <w:spacing w:line="440" w:lineRule="atLeast"/>
        <w:ind w:firstLine="422" w:firstLineChars="200"/>
        <w:outlineLvl w:val="2"/>
        <w:rPr>
          <w:rFonts w:hint="eastAsia" w:ascii="宋体" w:hAnsi="宋体" w:cs="宋体"/>
          <w:b/>
          <w:bCs/>
          <w:color w:val="auto"/>
          <w:szCs w:val="21"/>
          <w:highlight w:val="none"/>
        </w:rPr>
      </w:pPr>
      <w:bookmarkStart w:id="148" w:name="_Toc35947179"/>
      <w:bookmarkStart w:id="149" w:name="_Toc144974507"/>
      <w:bookmarkStart w:id="150" w:name="_Toc31371"/>
      <w:bookmarkStart w:id="151" w:name="_Toc247513962"/>
      <w:bookmarkStart w:id="152" w:name="_Toc296602429"/>
      <w:bookmarkStart w:id="153" w:name="_Toc247527563"/>
      <w:bookmarkStart w:id="154" w:name="_Toc152042315"/>
      <w:bookmarkStart w:id="155" w:name="_Toc15058855"/>
      <w:bookmarkStart w:id="156" w:name="_Toc152045539"/>
      <w:bookmarkStart w:id="157" w:name="_Toc35425062"/>
      <w:bookmarkStart w:id="158" w:name="_Toc324404824"/>
      <w:bookmarkStart w:id="159" w:name="_Toc35424896"/>
      <w:bookmarkStart w:id="160" w:name="_Toc506107278"/>
      <w:bookmarkStart w:id="161" w:name="_Toc247592876"/>
      <w:r>
        <w:rPr>
          <w:rFonts w:hint="eastAsia" w:ascii="宋体" w:hAnsi="宋体" w:cs="宋体"/>
          <w:b/>
          <w:bCs/>
          <w:color w:val="auto"/>
          <w:szCs w:val="21"/>
          <w:highlight w:val="none"/>
        </w:rPr>
        <w:t>1.9 踏勘现场</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C29159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0A0DFA3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7351C9D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D5C87E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4306774C">
      <w:pPr>
        <w:spacing w:line="440" w:lineRule="atLeast"/>
        <w:ind w:firstLine="422" w:firstLineChars="200"/>
        <w:outlineLvl w:val="2"/>
        <w:rPr>
          <w:rFonts w:hint="eastAsia" w:ascii="宋体" w:hAnsi="宋体" w:cs="宋体"/>
          <w:b/>
          <w:bCs/>
          <w:color w:val="auto"/>
          <w:szCs w:val="21"/>
          <w:highlight w:val="none"/>
        </w:rPr>
      </w:pPr>
      <w:bookmarkStart w:id="162" w:name="_Toc35424897"/>
      <w:bookmarkStart w:id="163" w:name="_Toc506107279"/>
      <w:bookmarkStart w:id="164" w:name="_Toc15058856"/>
      <w:bookmarkStart w:id="165" w:name="_Toc35425063"/>
      <w:bookmarkStart w:id="166" w:name="_Toc324404825"/>
      <w:bookmarkStart w:id="167" w:name="_Toc144974508"/>
      <w:bookmarkStart w:id="168" w:name="_Toc152042316"/>
      <w:bookmarkStart w:id="169" w:name="_Toc152045540"/>
      <w:bookmarkStart w:id="170" w:name="_Toc247527564"/>
      <w:bookmarkStart w:id="171" w:name="_Toc35947180"/>
      <w:bookmarkStart w:id="172" w:name="_Toc247592877"/>
      <w:bookmarkStart w:id="173" w:name="_Toc296602430"/>
      <w:bookmarkStart w:id="174" w:name="_Toc17067"/>
      <w:bookmarkStart w:id="175" w:name="_Toc247513963"/>
      <w:r>
        <w:rPr>
          <w:rFonts w:hint="eastAsia" w:ascii="宋体" w:hAnsi="宋体" w:cs="宋体"/>
          <w:b/>
          <w:bCs/>
          <w:color w:val="auto"/>
          <w:szCs w:val="21"/>
          <w:highlight w:val="none"/>
        </w:rPr>
        <w:t>1.10 投标预备会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07672C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C67DB0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3A1B7D5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的组成部分。</w:t>
      </w:r>
    </w:p>
    <w:p w14:paraId="45AD2CB4">
      <w:pPr>
        <w:spacing w:line="440" w:lineRule="atLeast"/>
        <w:ind w:firstLine="422" w:firstLineChars="200"/>
        <w:outlineLvl w:val="2"/>
        <w:rPr>
          <w:rFonts w:hint="eastAsia" w:ascii="宋体" w:hAnsi="宋体" w:cs="宋体"/>
          <w:b/>
          <w:bCs/>
          <w:color w:val="auto"/>
          <w:szCs w:val="21"/>
          <w:highlight w:val="none"/>
        </w:rPr>
      </w:pPr>
      <w:bookmarkStart w:id="176" w:name="_Toc35947181"/>
      <w:bookmarkStart w:id="177" w:name="_Toc35425064"/>
      <w:bookmarkStart w:id="178" w:name="_Toc296602431"/>
      <w:bookmarkStart w:id="179" w:name="_Toc324404826"/>
      <w:bookmarkStart w:id="180" w:name="_Toc35424898"/>
      <w:bookmarkStart w:id="181" w:name="_Toc23950"/>
      <w:bookmarkStart w:id="182" w:name="_Toc15058857"/>
      <w:bookmarkStart w:id="183" w:name="_Toc506107280"/>
      <w:r>
        <w:rPr>
          <w:rFonts w:hint="eastAsia" w:ascii="宋体" w:hAnsi="宋体" w:cs="宋体"/>
          <w:b/>
          <w:bCs/>
          <w:color w:val="auto"/>
          <w:szCs w:val="21"/>
          <w:highlight w:val="none"/>
        </w:rPr>
        <w:t>1.11 偏离</w:t>
      </w:r>
      <w:bookmarkEnd w:id="176"/>
      <w:bookmarkEnd w:id="177"/>
      <w:bookmarkEnd w:id="178"/>
      <w:bookmarkEnd w:id="179"/>
      <w:bookmarkEnd w:id="180"/>
      <w:bookmarkEnd w:id="181"/>
      <w:bookmarkEnd w:id="182"/>
      <w:bookmarkEnd w:id="183"/>
    </w:p>
    <w:p w14:paraId="52D3AAC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投标人须知前附表允许投标文件偏离</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某些要求的，偏离应当符合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规定的偏离范围和幅度。</w:t>
      </w:r>
    </w:p>
    <w:p w14:paraId="7EF1FC8A">
      <w:pPr>
        <w:pStyle w:val="3"/>
        <w:bidi w:val="0"/>
        <w:rPr>
          <w:rFonts w:hint="eastAsia"/>
          <w:color w:val="auto"/>
          <w:highlight w:val="none"/>
        </w:rPr>
      </w:pPr>
      <w:bookmarkStart w:id="184" w:name="_Toc247085701"/>
      <w:bookmarkStart w:id="185" w:name="_Toc15058858"/>
      <w:bookmarkStart w:id="186" w:name="_Toc26510"/>
      <w:bookmarkStart w:id="187" w:name="_Toc35947182"/>
      <w:bookmarkStart w:id="188" w:name="_Toc246996930"/>
      <w:bookmarkStart w:id="189" w:name="_Toc35424899"/>
      <w:bookmarkStart w:id="190" w:name="_Toc179632560"/>
      <w:bookmarkStart w:id="191" w:name="_Toc144974510"/>
      <w:bookmarkStart w:id="192" w:name="_Toc324404827"/>
      <w:bookmarkStart w:id="193" w:name="_Toc35425065"/>
      <w:bookmarkStart w:id="194" w:name="_Toc152045542"/>
      <w:bookmarkStart w:id="195" w:name="_Toc506107281"/>
      <w:bookmarkStart w:id="196" w:name="_Toc246996187"/>
      <w:bookmarkStart w:id="197" w:name="_Toc152042318"/>
      <w:bookmarkStart w:id="198" w:name="_Toc14269"/>
      <w:bookmarkStart w:id="199" w:name="_Toc3105"/>
      <w:r>
        <w:rPr>
          <w:rFonts w:hint="eastAsia"/>
          <w:color w:val="auto"/>
          <w:highlight w:val="none"/>
        </w:rPr>
        <w:t xml:space="preserve">2.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color w:val="auto"/>
          <w:highlight w:val="none"/>
          <w:lang w:val="en-US" w:eastAsia="zh-CN"/>
        </w:rPr>
        <w:t>招标文件</w:t>
      </w:r>
      <w:bookmarkEnd w:id="198"/>
      <w:bookmarkEnd w:id="199"/>
    </w:p>
    <w:p w14:paraId="7991FBC0">
      <w:pPr>
        <w:spacing w:line="440" w:lineRule="atLeast"/>
        <w:ind w:firstLine="422" w:firstLineChars="200"/>
        <w:outlineLvl w:val="2"/>
        <w:rPr>
          <w:rFonts w:hint="eastAsia" w:ascii="宋体" w:hAnsi="宋体" w:cs="宋体"/>
          <w:b/>
          <w:bCs/>
          <w:color w:val="auto"/>
          <w:szCs w:val="21"/>
          <w:highlight w:val="none"/>
        </w:rPr>
      </w:pPr>
      <w:bookmarkStart w:id="200" w:name="_Toc324404828"/>
      <w:bookmarkStart w:id="201" w:name="_Toc35425066"/>
      <w:bookmarkStart w:id="202" w:name="_Toc246996188"/>
      <w:bookmarkStart w:id="203" w:name="_Toc15058859"/>
      <w:bookmarkStart w:id="204" w:name="_Toc23619"/>
      <w:bookmarkStart w:id="205" w:name="_Toc152045543"/>
      <w:bookmarkStart w:id="206" w:name="_Toc35947183"/>
      <w:bookmarkStart w:id="207" w:name="_Toc247085702"/>
      <w:bookmarkStart w:id="208" w:name="_Toc246996931"/>
      <w:bookmarkStart w:id="209" w:name="_Toc35424900"/>
      <w:bookmarkStart w:id="210" w:name="_Toc506107282"/>
      <w:bookmarkStart w:id="211" w:name="_Toc144974511"/>
      <w:bookmarkStart w:id="212" w:name="_Toc296602433"/>
      <w:bookmarkStart w:id="213" w:name="_Toc152042319"/>
      <w:bookmarkStart w:id="214" w:name="_Toc179632561"/>
      <w:r>
        <w:rPr>
          <w:rFonts w:hint="eastAsia" w:ascii="宋体" w:hAnsi="宋体" w:cs="宋体"/>
          <w:b/>
          <w:bCs/>
          <w:color w:val="auto"/>
          <w:szCs w:val="21"/>
          <w:highlight w:val="none"/>
        </w:rPr>
        <w:t xml:space="preserve">2.1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的组成</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755EC2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包括：</w:t>
      </w:r>
    </w:p>
    <w:p w14:paraId="1D4E450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（1）投标人须知；</w:t>
      </w:r>
    </w:p>
    <w:p w14:paraId="75B9227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（2）评标办法</w:t>
      </w:r>
    </w:p>
    <w:p w14:paraId="36676F1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服务内容及要求</w:t>
      </w:r>
      <w:r>
        <w:rPr>
          <w:rFonts w:hint="eastAsia" w:ascii="宋体" w:hAnsi="宋体" w:cs="宋体"/>
          <w:color w:val="auto"/>
          <w:szCs w:val="21"/>
          <w:highlight w:val="none"/>
        </w:rPr>
        <w:t>；</w:t>
      </w:r>
    </w:p>
    <w:p w14:paraId="481FF93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14:paraId="4ACB4560">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（5）投标文件格式；</w:t>
      </w:r>
    </w:p>
    <w:p w14:paraId="726EFC1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（6）投标人须知前附表规定的其他材料。</w:t>
      </w:r>
    </w:p>
    <w:p w14:paraId="7EDA69E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所作的澄清、修改，构成</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的组成部分。</w:t>
      </w:r>
    </w:p>
    <w:p w14:paraId="3FE35757">
      <w:pPr>
        <w:spacing w:line="440" w:lineRule="atLeast"/>
        <w:ind w:firstLine="422" w:firstLineChars="200"/>
        <w:outlineLvl w:val="2"/>
        <w:rPr>
          <w:rFonts w:hint="eastAsia" w:ascii="宋体" w:hAnsi="宋体" w:cs="宋体"/>
          <w:b/>
          <w:bCs/>
          <w:color w:val="auto"/>
          <w:szCs w:val="21"/>
          <w:highlight w:val="none"/>
        </w:rPr>
      </w:pPr>
      <w:bookmarkStart w:id="215" w:name="_Toc246996932"/>
      <w:bookmarkStart w:id="216" w:name="_Toc7670"/>
      <w:bookmarkStart w:id="217" w:name="_Toc506107283"/>
      <w:bookmarkStart w:id="218" w:name="_Toc246996189"/>
      <w:bookmarkStart w:id="219" w:name="_Toc35424901"/>
      <w:bookmarkStart w:id="220" w:name="_Toc247085703"/>
      <w:bookmarkStart w:id="221" w:name="_Toc15058860"/>
      <w:bookmarkStart w:id="222" w:name="_Toc144974512"/>
      <w:bookmarkStart w:id="223" w:name="_Toc179632562"/>
      <w:bookmarkStart w:id="224" w:name="_Toc35947184"/>
      <w:bookmarkStart w:id="225" w:name="_Toc152045544"/>
      <w:bookmarkStart w:id="226" w:name="_Toc296602434"/>
      <w:bookmarkStart w:id="227" w:name="_Toc35425067"/>
      <w:bookmarkStart w:id="228" w:name="_Toc324404829"/>
      <w:bookmarkStart w:id="229" w:name="_Toc152042320"/>
      <w:r>
        <w:rPr>
          <w:rFonts w:hint="eastAsia" w:ascii="宋体" w:hAnsi="宋体" w:cs="宋体"/>
          <w:b/>
          <w:bCs/>
          <w:color w:val="auto"/>
          <w:szCs w:val="21"/>
          <w:highlight w:val="none"/>
        </w:rPr>
        <w:t xml:space="preserve">2.2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的澄清</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b/>
          <w:bCs/>
          <w:color w:val="auto"/>
          <w:szCs w:val="21"/>
          <w:highlight w:val="none"/>
        </w:rPr>
        <w:t xml:space="preserve"> </w:t>
      </w:r>
    </w:p>
    <w:p w14:paraId="105A764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投标人应仔细阅读和检查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的全部内容。如有疑问，应在投标人须知前附表规定的时间前以网上邮件或书面形式（包括信函、电报、传真等可以有形地表现所载内容的形式，下同），要求招标人对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予以澄清。</w:t>
      </w:r>
    </w:p>
    <w:p w14:paraId="16B66459">
      <w:pPr>
        <w:keepNext w:val="0"/>
        <w:keepLines w:val="0"/>
        <w:pageBreakBefore w:val="0"/>
        <w:widowControl w:val="0"/>
        <w:kinsoku/>
        <w:wordWrap w:val="0"/>
        <w:overflowPunct/>
        <w:topLinePunct w:val="0"/>
        <w:autoSpaceDE/>
        <w:autoSpaceDN/>
        <w:bidi w:val="0"/>
        <w:adjustRightInd/>
        <w:snapToGrid/>
        <w:spacing w:line="44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2.2.2 </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的澄清将在</w:t>
      </w:r>
      <w:r>
        <w:rPr>
          <w:rFonts w:hint="eastAsia" w:ascii="宋体" w:hAnsi="宋体" w:cs="宋体"/>
          <w:color w:val="auto"/>
          <w:szCs w:val="21"/>
          <w:highlight w:val="none"/>
          <w:lang w:eastAsia="zh-CN"/>
        </w:rPr>
        <w:t>滁州市扬子工业投资集团有限公司官网（https://czyzgtjt.com/)</w:t>
      </w:r>
      <w:r>
        <w:rPr>
          <w:rFonts w:hint="eastAsia" w:ascii="宋体" w:hAnsi="宋体" w:cs="宋体"/>
          <w:color w:val="auto"/>
          <w:szCs w:val="21"/>
          <w:highlight w:val="none"/>
        </w:rPr>
        <w:t>发布，但不指明澄清问题的来源。</w:t>
      </w:r>
    </w:p>
    <w:p w14:paraId="5C0F0466">
      <w:pPr>
        <w:spacing w:line="440" w:lineRule="atLeast"/>
        <w:ind w:firstLine="422" w:firstLineChars="200"/>
        <w:outlineLvl w:val="2"/>
        <w:rPr>
          <w:rFonts w:hint="eastAsia" w:ascii="宋体" w:hAnsi="宋体" w:cs="宋体"/>
          <w:b/>
          <w:bCs/>
          <w:color w:val="auto"/>
          <w:szCs w:val="21"/>
          <w:highlight w:val="none"/>
        </w:rPr>
      </w:pPr>
      <w:bookmarkStart w:id="230" w:name="_Toc179632563"/>
      <w:bookmarkStart w:id="231" w:name="_Toc35425068"/>
      <w:bookmarkStart w:id="232" w:name="_Toc152042321"/>
      <w:bookmarkStart w:id="233" w:name="_Toc35947185"/>
      <w:bookmarkStart w:id="234" w:name="_Toc246996933"/>
      <w:bookmarkStart w:id="235" w:name="_Toc324404830"/>
      <w:bookmarkStart w:id="236" w:name="_Toc296602435"/>
      <w:bookmarkStart w:id="237" w:name="_Toc12699"/>
      <w:bookmarkStart w:id="238" w:name="_Toc35424902"/>
      <w:bookmarkStart w:id="239" w:name="_Toc247085704"/>
      <w:bookmarkStart w:id="240" w:name="_Toc152045545"/>
      <w:bookmarkStart w:id="241" w:name="_Toc506107284"/>
      <w:bookmarkStart w:id="242" w:name="_Toc144974513"/>
      <w:bookmarkStart w:id="243" w:name="_Toc15058861"/>
      <w:bookmarkStart w:id="244" w:name="_Toc246996190"/>
      <w:r>
        <w:rPr>
          <w:rFonts w:hint="eastAsia" w:ascii="宋体" w:hAnsi="宋体" w:cs="宋体"/>
          <w:b/>
          <w:bCs/>
          <w:color w:val="auto"/>
          <w:szCs w:val="21"/>
          <w:highlight w:val="none"/>
        </w:rPr>
        <w:t xml:space="preserve">2.3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的修改</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6E6D2BE">
      <w:pPr>
        <w:keepNext w:val="0"/>
        <w:keepLines w:val="0"/>
        <w:pageBreakBefore w:val="0"/>
        <w:widowControl w:val="0"/>
        <w:kinsoku/>
        <w:wordWrap w:val="0"/>
        <w:overflowPunct/>
        <w:topLinePunct w:val="0"/>
        <w:autoSpaceDE/>
        <w:autoSpaceDN/>
        <w:bidi w:val="0"/>
        <w:adjustRightInd/>
        <w:snapToGrid/>
        <w:spacing w:line="44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招标人可以修改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，并以澄清的方式在</w:t>
      </w:r>
      <w:r>
        <w:rPr>
          <w:rFonts w:hint="eastAsia" w:ascii="宋体" w:hAnsi="宋体" w:cs="宋体"/>
          <w:color w:val="auto"/>
          <w:szCs w:val="21"/>
          <w:highlight w:val="none"/>
          <w:lang w:eastAsia="zh-CN"/>
        </w:rPr>
        <w:t>滁州市扬子工业投资集团有限公司官网（https://czyzgtjt.com/)</w:t>
      </w:r>
      <w:r>
        <w:rPr>
          <w:rFonts w:hint="eastAsia" w:ascii="宋体" w:hAnsi="宋体" w:cs="宋体"/>
          <w:color w:val="auto"/>
          <w:szCs w:val="21"/>
          <w:highlight w:val="none"/>
        </w:rPr>
        <w:t>发布。</w:t>
      </w:r>
    </w:p>
    <w:p w14:paraId="57D338F6">
      <w:pPr>
        <w:spacing w:line="440" w:lineRule="atLeast"/>
        <w:ind w:firstLine="422" w:firstLineChars="200"/>
        <w:outlineLvl w:val="2"/>
        <w:rPr>
          <w:rFonts w:hint="eastAsia" w:ascii="宋体" w:hAnsi="宋体" w:cs="宋体"/>
          <w:b/>
          <w:bCs/>
          <w:color w:val="auto"/>
          <w:szCs w:val="21"/>
          <w:highlight w:val="none"/>
        </w:rPr>
      </w:pPr>
      <w:bookmarkStart w:id="245" w:name="_Toc324404831"/>
      <w:bookmarkStart w:id="246" w:name="_Toc35947186"/>
      <w:bookmarkStart w:id="247" w:name="_Toc35425069"/>
      <w:bookmarkStart w:id="248" w:name="_Toc35424903"/>
      <w:bookmarkStart w:id="249" w:name="_Toc992"/>
      <w:bookmarkStart w:id="250" w:name="_Toc15058862"/>
      <w:r>
        <w:rPr>
          <w:rFonts w:hint="eastAsia" w:ascii="宋体" w:hAnsi="宋体" w:cs="宋体"/>
          <w:b/>
          <w:bCs/>
          <w:color w:val="auto"/>
          <w:szCs w:val="21"/>
          <w:highlight w:val="none"/>
        </w:rPr>
        <w:t>2.4</w:t>
      </w:r>
      <w:bookmarkEnd w:id="245"/>
      <w:r>
        <w:rPr>
          <w:rFonts w:hint="eastAsia" w:ascii="宋体" w:hAnsi="宋体" w:cs="宋体"/>
          <w:b/>
          <w:bCs/>
          <w:color w:val="auto"/>
          <w:szCs w:val="21"/>
          <w:highlight w:val="none"/>
        </w:rPr>
        <w:t>最高投标限价</w:t>
      </w:r>
      <w:bookmarkEnd w:id="246"/>
      <w:bookmarkEnd w:id="247"/>
      <w:bookmarkEnd w:id="248"/>
      <w:bookmarkEnd w:id="249"/>
      <w:bookmarkEnd w:id="250"/>
    </w:p>
    <w:p w14:paraId="76AEB1A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2.4.1最高投标限价的作用和说明</w:t>
      </w:r>
    </w:p>
    <w:p w14:paraId="52E023D2">
      <w:pPr>
        <w:spacing w:line="440" w:lineRule="exact"/>
        <w:ind w:firstLine="420" w:firstLineChars="200"/>
        <w:rPr>
          <w:rFonts w:hint="eastAsia"/>
          <w:color w:val="auto"/>
          <w:highlight w:val="none"/>
        </w:rPr>
      </w:pPr>
      <w:r>
        <w:rPr>
          <w:rFonts w:hint="eastAsia" w:ascii="宋体" w:hAnsi="宋体"/>
          <w:color w:val="auto"/>
          <w:szCs w:val="21"/>
          <w:highlight w:val="none"/>
        </w:rPr>
        <w:t>（1）</w:t>
      </w:r>
      <w:r>
        <w:rPr>
          <w:rFonts w:hint="eastAsia"/>
          <w:color w:val="auto"/>
          <w:highlight w:val="none"/>
        </w:rPr>
        <w:t>投标人的投标报价不得超过最高投标限价，最高投标限价的发布时间及方式在投标人须知前附表中载明。</w:t>
      </w:r>
    </w:p>
    <w:p w14:paraId="7FBB0201">
      <w:pPr>
        <w:spacing w:line="44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（2）投标人对最高投标限价有异议的，可在</w:t>
      </w:r>
      <w:r>
        <w:rPr>
          <w:rFonts w:hint="eastAsia"/>
          <w:color w:val="auto"/>
          <w:highlight w:val="none"/>
        </w:rPr>
        <w:t>投标人须知前附表规定的时间内向招标人提出异议，</w:t>
      </w:r>
      <w:r>
        <w:rPr>
          <w:rFonts w:hint="eastAsia" w:ascii="宋体" w:hAnsi="宋体"/>
          <w:color w:val="auto"/>
          <w:szCs w:val="21"/>
          <w:highlight w:val="none"/>
        </w:rPr>
        <w:t>未在规定时间内提出异议的或投标人提出异议经招标人复核后的最高投标限价，视为合理有效。</w:t>
      </w:r>
    </w:p>
    <w:p w14:paraId="51FC6756">
      <w:pPr>
        <w:pStyle w:val="3"/>
        <w:bidi w:val="0"/>
        <w:spacing w:line="240" w:lineRule="auto"/>
        <w:rPr>
          <w:rFonts w:hint="eastAsia"/>
          <w:color w:val="auto"/>
          <w:highlight w:val="none"/>
        </w:rPr>
      </w:pPr>
      <w:bookmarkStart w:id="251" w:name="_Toc14864"/>
      <w:bookmarkStart w:id="252" w:name="_Toc24360"/>
      <w:bookmarkStart w:id="253" w:name="_Toc35947187"/>
      <w:bookmarkStart w:id="254" w:name="_Toc35424904"/>
      <w:bookmarkStart w:id="255" w:name="_Toc21288"/>
      <w:bookmarkStart w:id="256" w:name="_Toc35425070"/>
      <w:bookmarkStart w:id="257" w:name="_Toc506107285"/>
      <w:bookmarkStart w:id="258" w:name="_Toc15058863"/>
      <w:r>
        <w:rPr>
          <w:rFonts w:hint="eastAsia"/>
          <w:color w:val="auto"/>
          <w:highlight w:val="none"/>
        </w:rPr>
        <w:t>3. 投标文件</w:t>
      </w:r>
      <w:bookmarkEnd w:id="251"/>
      <w:bookmarkEnd w:id="252"/>
      <w:bookmarkEnd w:id="253"/>
      <w:bookmarkEnd w:id="254"/>
      <w:bookmarkEnd w:id="255"/>
      <w:bookmarkEnd w:id="256"/>
      <w:bookmarkEnd w:id="257"/>
      <w:bookmarkEnd w:id="258"/>
    </w:p>
    <w:p w14:paraId="6F175BE8">
      <w:pPr>
        <w:spacing w:line="440" w:lineRule="atLeast"/>
        <w:ind w:firstLine="422" w:firstLineChars="200"/>
        <w:outlineLvl w:val="2"/>
        <w:rPr>
          <w:rFonts w:hint="eastAsia" w:ascii="宋体" w:hAnsi="宋体" w:cs="宋体"/>
          <w:b/>
          <w:bCs/>
          <w:color w:val="auto"/>
          <w:szCs w:val="21"/>
          <w:highlight w:val="none"/>
        </w:rPr>
      </w:pPr>
      <w:bookmarkStart w:id="259" w:name="_Toc506107286"/>
      <w:bookmarkStart w:id="260" w:name="_Toc35424905"/>
      <w:bookmarkStart w:id="261" w:name="_Toc15058864"/>
      <w:bookmarkStart w:id="262" w:name="_Toc35947188"/>
      <w:bookmarkStart w:id="263" w:name="_Toc10744"/>
      <w:bookmarkStart w:id="264" w:name="_Toc35425071"/>
      <w:r>
        <w:rPr>
          <w:rFonts w:hint="eastAsia" w:ascii="宋体" w:hAnsi="宋体" w:cs="宋体"/>
          <w:b/>
          <w:bCs/>
          <w:color w:val="auto"/>
          <w:szCs w:val="21"/>
          <w:highlight w:val="none"/>
        </w:rPr>
        <w:t>3.1 投标文件的组成</w:t>
      </w:r>
      <w:bookmarkEnd w:id="259"/>
      <w:bookmarkEnd w:id="260"/>
      <w:bookmarkEnd w:id="261"/>
      <w:bookmarkEnd w:id="262"/>
      <w:bookmarkEnd w:id="263"/>
      <w:bookmarkEnd w:id="264"/>
    </w:p>
    <w:p w14:paraId="56E6AF5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见第五章投标文件格式。</w:t>
      </w:r>
    </w:p>
    <w:p w14:paraId="556E216E">
      <w:pPr>
        <w:spacing w:line="440" w:lineRule="atLeast"/>
        <w:ind w:firstLine="422" w:firstLineChars="200"/>
        <w:outlineLvl w:val="2"/>
        <w:rPr>
          <w:rFonts w:hint="eastAsia" w:ascii="宋体" w:hAnsi="宋体" w:cs="宋体"/>
          <w:b/>
          <w:bCs/>
          <w:color w:val="auto"/>
          <w:szCs w:val="21"/>
          <w:highlight w:val="none"/>
        </w:rPr>
      </w:pPr>
      <w:bookmarkStart w:id="265" w:name="_Toc35947189"/>
      <w:bookmarkStart w:id="266" w:name="_Toc324404834"/>
      <w:bookmarkStart w:id="267" w:name="_Toc247085707"/>
      <w:bookmarkStart w:id="268" w:name="_Toc35425072"/>
      <w:bookmarkStart w:id="269" w:name="_Toc296602438"/>
      <w:bookmarkStart w:id="270" w:name="_Toc15058865"/>
      <w:bookmarkStart w:id="271" w:name="_Toc31424"/>
      <w:bookmarkStart w:id="272" w:name="_Toc152045548"/>
      <w:bookmarkStart w:id="273" w:name="_Toc246996936"/>
      <w:bookmarkStart w:id="274" w:name="_Toc179632566"/>
      <w:bookmarkStart w:id="275" w:name="_Toc246996193"/>
      <w:bookmarkStart w:id="276" w:name="_Toc144974516"/>
      <w:bookmarkStart w:id="277" w:name="_Toc35424906"/>
      <w:bookmarkStart w:id="278" w:name="_Toc152042324"/>
      <w:bookmarkStart w:id="279" w:name="_Toc506107287"/>
      <w:r>
        <w:rPr>
          <w:rFonts w:hint="eastAsia" w:ascii="宋体" w:hAnsi="宋体" w:cs="宋体"/>
          <w:b/>
          <w:bCs/>
          <w:color w:val="auto"/>
          <w:szCs w:val="21"/>
          <w:highlight w:val="none"/>
        </w:rPr>
        <w:t>3.2 投标报价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74E6472">
      <w:pPr>
        <w:spacing w:line="440" w:lineRule="exact"/>
        <w:ind w:firstLine="420" w:firstLineChars="200"/>
        <w:rPr>
          <w:rFonts w:hint="eastAsia" w:ascii="宋体" w:hAnsi="宋体"/>
          <w:color w:val="auto"/>
          <w:highlight w:val="none"/>
        </w:rPr>
      </w:pPr>
      <w:bookmarkStart w:id="280" w:name="_Toc296602439"/>
      <w:bookmarkStart w:id="281" w:name="_Toc152045549"/>
      <w:bookmarkStart w:id="282" w:name="_Toc144974517"/>
      <w:bookmarkStart w:id="283" w:name="_Toc247085708"/>
      <w:bookmarkStart w:id="284" w:name="_Toc324404835"/>
      <w:bookmarkStart w:id="285" w:name="_Toc246996937"/>
      <w:bookmarkStart w:id="286" w:name="_Toc246996194"/>
      <w:bookmarkStart w:id="287" w:name="_Toc179632567"/>
      <w:bookmarkStart w:id="288" w:name="_Toc152042325"/>
      <w:r>
        <w:rPr>
          <w:rFonts w:hint="eastAsia" w:ascii="宋体" w:hAnsi="宋体"/>
          <w:color w:val="auto"/>
          <w:highlight w:val="none"/>
        </w:rPr>
        <w:t>3.2.1 投标人的投标报价不得超过最高投标限价，最高投标限价的发布时间及方式在投标人须知前附表中载明。</w:t>
      </w:r>
    </w:p>
    <w:p w14:paraId="00EF0737">
      <w:pPr>
        <w:spacing w:line="440" w:lineRule="exact"/>
        <w:ind w:firstLine="420" w:firstLineChars="200"/>
        <w:rPr>
          <w:rFonts w:hint="eastAsia" w:ascii="宋体" w:hAnsi="宋体"/>
          <w:color w:val="auto"/>
          <w:highlight w:val="none"/>
        </w:rPr>
      </w:pPr>
      <w:r>
        <w:rPr>
          <w:rFonts w:hint="eastAsia" w:ascii="宋体" w:hAnsi="宋体"/>
          <w:color w:val="auto"/>
          <w:highlight w:val="none"/>
        </w:rPr>
        <w:t>3.2.2投标报价应由法定代表人或被授权人签署。</w:t>
      </w:r>
    </w:p>
    <w:p w14:paraId="4993BA24">
      <w:pPr>
        <w:spacing w:line="440" w:lineRule="exact"/>
        <w:ind w:left="15" w:leftChars="7" w:firstLine="420" w:firstLineChars="200"/>
        <w:rPr>
          <w:rFonts w:hint="eastAsia" w:ascii="宋体" w:hAnsi="宋体"/>
          <w:color w:val="auto"/>
          <w:highlight w:val="none"/>
        </w:rPr>
      </w:pPr>
      <w:r>
        <w:rPr>
          <w:rFonts w:hint="eastAsia" w:ascii="宋体" w:hAnsi="宋体"/>
          <w:color w:val="auto"/>
          <w:highlight w:val="none"/>
        </w:rPr>
        <w:t>3.2.3投标人的投标报价应为项目招标范围内所提供的全部服务工作内容所需的全部费用，包含所有成本、利润和税金等全部费用。</w:t>
      </w:r>
    </w:p>
    <w:p w14:paraId="4613FC69">
      <w:pPr>
        <w:spacing w:line="440" w:lineRule="atLeast"/>
        <w:ind w:firstLine="422" w:firstLineChars="200"/>
        <w:outlineLvl w:val="2"/>
        <w:rPr>
          <w:rFonts w:hint="eastAsia" w:ascii="宋体" w:hAnsi="宋体" w:cs="宋体"/>
          <w:b/>
          <w:bCs/>
          <w:color w:val="auto"/>
          <w:szCs w:val="21"/>
          <w:highlight w:val="none"/>
        </w:rPr>
      </w:pPr>
      <w:bookmarkStart w:id="289" w:name="_Toc506107288"/>
      <w:bookmarkStart w:id="290" w:name="_Toc15058866"/>
      <w:bookmarkStart w:id="291" w:name="_Toc35425073"/>
      <w:bookmarkStart w:id="292" w:name="_Toc35947190"/>
      <w:bookmarkStart w:id="293" w:name="_Toc35424907"/>
      <w:bookmarkStart w:id="294" w:name="_Toc24368"/>
      <w:r>
        <w:rPr>
          <w:rFonts w:hint="eastAsia" w:ascii="宋体" w:hAnsi="宋体" w:cs="宋体"/>
          <w:b/>
          <w:bCs/>
          <w:color w:val="auto"/>
          <w:szCs w:val="21"/>
          <w:highlight w:val="none"/>
        </w:rPr>
        <w:t>3.3 投标有效期</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B95973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0天。</w:t>
      </w:r>
    </w:p>
    <w:p w14:paraId="239E848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和法律规定的责任。</w:t>
      </w:r>
    </w:p>
    <w:p w14:paraId="1CA6CF3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9DFDEB9">
      <w:pPr>
        <w:spacing w:line="440" w:lineRule="atLeast"/>
        <w:ind w:firstLine="422" w:firstLineChars="200"/>
        <w:outlineLvl w:val="2"/>
        <w:rPr>
          <w:rFonts w:hint="eastAsia" w:ascii="宋体" w:hAnsi="宋体" w:eastAsia="宋体" w:cs="宋体"/>
          <w:b/>
          <w:bCs/>
          <w:color w:val="auto"/>
          <w:szCs w:val="21"/>
          <w:highlight w:val="none"/>
          <w:lang w:eastAsia="zh-CN"/>
        </w:rPr>
      </w:pPr>
      <w:bookmarkStart w:id="295" w:name="_Toc247085709"/>
      <w:bookmarkStart w:id="296" w:name="_Toc144974518"/>
      <w:bookmarkStart w:id="297" w:name="_Toc179632568"/>
      <w:bookmarkStart w:id="298" w:name="_Toc35425074"/>
      <w:bookmarkStart w:id="299" w:name="_Toc152042326"/>
      <w:bookmarkStart w:id="300" w:name="_Toc152045550"/>
      <w:bookmarkStart w:id="301" w:name="_Toc296602440"/>
      <w:bookmarkStart w:id="302" w:name="_Toc246996938"/>
      <w:bookmarkStart w:id="303" w:name="_Toc506107289"/>
      <w:bookmarkStart w:id="304" w:name="_Toc11832"/>
      <w:bookmarkStart w:id="305" w:name="_Toc246996195"/>
      <w:bookmarkStart w:id="306" w:name="_Toc35424908"/>
      <w:bookmarkStart w:id="307" w:name="_Toc324404836"/>
      <w:bookmarkStart w:id="308" w:name="_Toc15058867"/>
      <w:bookmarkStart w:id="309" w:name="_Toc35947191"/>
      <w:r>
        <w:rPr>
          <w:rFonts w:hint="eastAsia" w:ascii="宋体" w:hAnsi="宋体" w:cs="宋体"/>
          <w:b/>
          <w:bCs/>
          <w:color w:val="auto"/>
          <w:szCs w:val="21"/>
          <w:highlight w:val="none"/>
        </w:rPr>
        <w:t>3.4 投标保证金</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本项目不采用</w:t>
      </w:r>
      <w:r>
        <w:rPr>
          <w:rFonts w:hint="eastAsia" w:ascii="宋体" w:hAnsi="宋体" w:cs="宋体"/>
          <w:b/>
          <w:bCs/>
          <w:color w:val="auto"/>
          <w:szCs w:val="21"/>
          <w:highlight w:val="none"/>
          <w:lang w:eastAsia="zh-CN"/>
        </w:rPr>
        <w:t>）</w:t>
      </w:r>
    </w:p>
    <w:p w14:paraId="58ECF2F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投标人须知前附表规定递交投标保证金的，投标人在递交投标文件的同时，应按投标人须知前附表规定的金额格式递交保证金，并作为其投标文件的组成部分。</w:t>
      </w:r>
    </w:p>
    <w:p w14:paraId="77C4E2A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投标人不按本章第3.4.1项要求提交保证金的，评标委员会将否决其投标。</w:t>
      </w:r>
    </w:p>
    <w:p w14:paraId="642E7F10">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3.4.3未中标单位的投标保证金</w:t>
      </w:r>
      <w:r>
        <w:rPr>
          <w:rFonts w:hint="eastAsia" w:ascii="宋体" w:hAnsi="宋体" w:cs="宋体"/>
          <w:color w:val="auto"/>
          <w:szCs w:val="21"/>
          <w:highlight w:val="none"/>
          <w:lang w:val="en-US" w:eastAsia="zh-CN"/>
        </w:rPr>
        <w:t>当场退还</w:t>
      </w:r>
      <w:r>
        <w:rPr>
          <w:rFonts w:hint="eastAsia" w:ascii="宋体" w:hAnsi="宋体" w:cs="宋体"/>
          <w:color w:val="auto"/>
          <w:szCs w:val="21"/>
          <w:highlight w:val="none"/>
        </w:rPr>
        <w:t>，中标人的投标保证金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待合同签订后退还</w:t>
      </w:r>
      <w:r>
        <w:rPr>
          <w:rFonts w:hint="eastAsia" w:ascii="宋体" w:hAnsi="宋体" w:cs="宋体"/>
          <w:color w:val="auto"/>
          <w:szCs w:val="21"/>
          <w:highlight w:val="none"/>
        </w:rPr>
        <w:t>。</w:t>
      </w:r>
    </w:p>
    <w:p w14:paraId="1B4CD4C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27BA51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（1）投标人在规定的投标有效期内撤销或修改其投标文件；</w:t>
      </w:r>
    </w:p>
    <w:p w14:paraId="1A0BBE1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（2）中标人在收到中标通知书后，无正当理由拒签合同协议书或未按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规定提交履约担保。</w:t>
      </w:r>
    </w:p>
    <w:p w14:paraId="22B97E11">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（3）投标人在投标中存在弄虚作假、串通投标等违法行为的；</w:t>
      </w:r>
    </w:p>
    <w:p w14:paraId="146C8B1C">
      <w:pPr>
        <w:spacing w:line="440" w:lineRule="atLeast"/>
        <w:ind w:firstLine="422" w:firstLineChars="200"/>
        <w:outlineLvl w:val="2"/>
        <w:rPr>
          <w:rFonts w:hint="eastAsia" w:ascii="宋体" w:hAnsi="宋体" w:cs="宋体"/>
          <w:b/>
          <w:bCs/>
          <w:color w:val="auto"/>
          <w:szCs w:val="21"/>
          <w:highlight w:val="none"/>
        </w:rPr>
      </w:pPr>
      <w:bookmarkStart w:id="310" w:name="_Toc506107290"/>
      <w:bookmarkStart w:id="311" w:name="_Toc2570"/>
      <w:bookmarkStart w:id="312" w:name="_Toc324404837"/>
      <w:bookmarkStart w:id="313" w:name="_Toc296602442"/>
      <w:bookmarkStart w:id="314" w:name="_Toc35425075"/>
      <w:bookmarkStart w:id="315" w:name="_Toc15058868"/>
      <w:bookmarkStart w:id="316" w:name="_Toc35424909"/>
      <w:bookmarkStart w:id="317" w:name="_Toc35947192"/>
      <w:bookmarkStart w:id="318" w:name="_Toc246996197"/>
      <w:bookmarkStart w:id="319" w:name="_Toc152042329"/>
      <w:bookmarkStart w:id="320" w:name="_Toc144974521"/>
      <w:bookmarkStart w:id="321" w:name="_Toc247085711"/>
      <w:bookmarkStart w:id="322" w:name="_Toc179632571"/>
      <w:bookmarkStart w:id="323" w:name="_Toc246996940"/>
      <w:bookmarkStart w:id="324" w:name="_Toc152045553"/>
      <w:r>
        <w:rPr>
          <w:rFonts w:hint="eastAsia" w:ascii="宋体" w:hAnsi="宋体" w:cs="宋体"/>
          <w:b/>
          <w:bCs/>
          <w:color w:val="auto"/>
          <w:szCs w:val="21"/>
          <w:highlight w:val="none"/>
        </w:rPr>
        <w:t>3.5投标文件的编制</w:t>
      </w:r>
      <w:bookmarkEnd w:id="310"/>
      <w:bookmarkEnd w:id="311"/>
      <w:bookmarkEnd w:id="312"/>
      <w:bookmarkEnd w:id="313"/>
      <w:bookmarkEnd w:id="314"/>
      <w:bookmarkEnd w:id="315"/>
      <w:bookmarkEnd w:id="316"/>
      <w:bookmarkEnd w:id="317"/>
    </w:p>
    <w:bookmarkEnd w:id="318"/>
    <w:bookmarkEnd w:id="319"/>
    <w:bookmarkEnd w:id="320"/>
    <w:bookmarkEnd w:id="321"/>
    <w:bookmarkEnd w:id="322"/>
    <w:bookmarkEnd w:id="323"/>
    <w:bookmarkEnd w:id="324"/>
    <w:p w14:paraId="17DB4B0B">
      <w:pPr>
        <w:spacing w:line="440" w:lineRule="atLeast"/>
        <w:ind w:firstLine="420" w:firstLineChars="200"/>
        <w:rPr>
          <w:rFonts w:hint="eastAsia" w:ascii="宋体" w:hAnsi="宋体" w:cs="宋体"/>
          <w:color w:val="auto"/>
          <w:szCs w:val="21"/>
          <w:highlight w:val="none"/>
        </w:rPr>
      </w:pPr>
      <w:bookmarkStart w:id="325" w:name="_Toc152042331"/>
      <w:bookmarkStart w:id="326" w:name="_Toc247085713"/>
      <w:bookmarkStart w:id="327" w:name="_Toc144974523"/>
      <w:bookmarkStart w:id="328" w:name="_Toc246996199"/>
      <w:bookmarkStart w:id="329" w:name="_Toc179632573"/>
      <w:bookmarkStart w:id="330" w:name="_Toc246996942"/>
      <w:bookmarkStart w:id="331" w:name="_Toc152045555"/>
      <w:bookmarkStart w:id="332" w:name="_Toc324404838"/>
      <w:r>
        <w:rPr>
          <w:rFonts w:hint="eastAsia" w:ascii="宋体" w:hAnsi="宋体" w:cs="宋体"/>
          <w:color w:val="auto"/>
          <w:szCs w:val="21"/>
          <w:highlight w:val="none"/>
        </w:rPr>
        <w:t>3.5.1投标文件应按第五章“投标文件格式”进行编写，如有必要，可以增加附页，作为投标文件的组成部分。</w:t>
      </w:r>
    </w:p>
    <w:p w14:paraId="58A6794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投标文件应当对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有关工期、投标有效期、质量要求、技术标准和要求、招标范围等实质性内容作出响应。</w:t>
      </w:r>
    </w:p>
    <w:p w14:paraId="333727E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45CA5D1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投标文件正本、 副本份数见投标人须知前附表。正本和副本的封面上应清楚地标记“正本”或“副本”的字样。当副本和正本不一致时，以正本为准。</w:t>
      </w:r>
    </w:p>
    <w:p w14:paraId="5086DB9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 投标文件的正本与副本应分别装订成册，具体装订要求见投标人须知前附表规定。</w:t>
      </w:r>
    </w:p>
    <w:p w14:paraId="18482AB2">
      <w:pPr>
        <w:pStyle w:val="3"/>
        <w:bidi w:val="0"/>
        <w:rPr>
          <w:rFonts w:hint="eastAsia"/>
          <w:color w:val="auto"/>
          <w:highlight w:val="none"/>
        </w:rPr>
      </w:pPr>
      <w:bookmarkStart w:id="333" w:name="_Toc35947193"/>
      <w:bookmarkStart w:id="334" w:name="_Toc506107291"/>
      <w:bookmarkStart w:id="335" w:name="_Toc15058869"/>
      <w:bookmarkStart w:id="336" w:name="_Toc35424910"/>
      <w:bookmarkStart w:id="337" w:name="_Toc17736"/>
      <w:bookmarkStart w:id="338" w:name="_Toc8706"/>
      <w:bookmarkStart w:id="339" w:name="_Toc35425076"/>
      <w:r>
        <w:rPr>
          <w:rFonts w:hint="eastAsia"/>
          <w:color w:val="auto"/>
          <w:highlight w:val="none"/>
        </w:rPr>
        <w:t>4.投标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859CE09">
      <w:pPr>
        <w:spacing w:line="440" w:lineRule="atLeast"/>
        <w:ind w:firstLine="420" w:firstLineChars="200"/>
        <w:outlineLvl w:val="2"/>
        <w:rPr>
          <w:rFonts w:hint="eastAsia" w:ascii="宋体" w:hAnsi="宋体" w:cs="宋体"/>
          <w:color w:val="auto"/>
          <w:szCs w:val="21"/>
          <w:highlight w:val="none"/>
        </w:rPr>
      </w:pPr>
      <w:bookmarkStart w:id="340" w:name="_Toc296602444"/>
      <w:bookmarkStart w:id="341" w:name="_Toc246996200"/>
      <w:bookmarkStart w:id="342" w:name="_Toc247085714"/>
      <w:bookmarkStart w:id="343" w:name="_Toc179632574"/>
      <w:bookmarkStart w:id="344" w:name="_Toc246996943"/>
      <w:bookmarkStart w:id="345" w:name="_Toc144974524"/>
      <w:bookmarkStart w:id="346" w:name="_Toc324404839"/>
      <w:bookmarkStart w:id="347" w:name="_Toc152045556"/>
      <w:bookmarkStart w:id="348" w:name="_Toc152042332"/>
      <w:bookmarkStart w:id="349" w:name="_Toc1347"/>
      <w:bookmarkStart w:id="350" w:name="_Toc246996203"/>
      <w:bookmarkStart w:id="351" w:name="_Toc152042335"/>
      <w:bookmarkStart w:id="352" w:name="_Toc21611136"/>
      <w:bookmarkStart w:id="353" w:name="_Toc324404842"/>
      <w:bookmarkStart w:id="354" w:name="_Toc152045559"/>
      <w:bookmarkStart w:id="355" w:name="_Toc506107295"/>
      <w:bookmarkStart w:id="356" w:name="_Toc246996946"/>
      <w:bookmarkStart w:id="357" w:name="_Toc247085717"/>
      <w:bookmarkStart w:id="358" w:name="_Toc179632577"/>
      <w:bookmarkStart w:id="359" w:name="_Toc144974527"/>
      <w:bookmarkStart w:id="360" w:name="_Toc179632580"/>
      <w:bookmarkStart w:id="361" w:name="_Toc324404846"/>
      <w:bookmarkStart w:id="362" w:name="_Toc35425085"/>
      <w:bookmarkStart w:id="363" w:name="_Toc152045562"/>
      <w:bookmarkStart w:id="364" w:name="_Toc35947202"/>
      <w:bookmarkStart w:id="365" w:name="_Toc247085720"/>
      <w:bookmarkStart w:id="366" w:name="_Toc506107299"/>
      <w:bookmarkStart w:id="367" w:name="_Toc15058884"/>
      <w:bookmarkStart w:id="368" w:name="_Toc246996206"/>
      <w:bookmarkStart w:id="369" w:name="_Toc144974530"/>
      <w:bookmarkStart w:id="370" w:name="_Toc152042338"/>
      <w:bookmarkStart w:id="371" w:name="_Toc246996949"/>
      <w:bookmarkStart w:id="372" w:name="_Toc35424919"/>
      <w:r>
        <w:rPr>
          <w:rFonts w:hint="eastAsia" w:ascii="宋体" w:hAnsi="宋体" w:cs="宋体"/>
          <w:color w:val="auto"/>
          <w:szCs w:val="21"/>
          <w:highlight w:val="none"/>
        </w:rPr>
        <w:t>4.1 投标文件的密封和标记</w:t>
      </w:r>
      <w:bookmarkEnd w:id="340"/>
      <w:bookmarkEnd w:id="341"/>
      <w:bookmarkEnd w:id="342"/>
      <w:bookmarkEnd w:id="343"/>
      <w:bookmarkEnd w:id="344"/>
      <w:bookmarkEnd w:id="345"/>
      <w:bookmarkEnd w:id="346"/>
      <w:bookmarkEnd w:id="347"/>
      <w:bookmarkEnd w:id="348"/>
      <w:bookmarkEnd w:id="349"/>
    </w:p>
    <w:p w14:paraId="28DCC18B">
      <w:pPr>
        <w:spacing w:line="440" w:lineRule="atLeast"/>
        <w:ind w:firstLine="420" w:firstLineChars="200"/>
        <w:rPr>
          <w:rFonts w:hint="eastAsia" w:ascii="宋体" w:hAnsi="宋体" w:cs="宋体"/>
          <w:color w:val="auto"/>
          <w:szCs w:val="21"/>
          <w:highlight w:val="none"/>
        </w:rPr>
      </w:pPr>
      <w:bookmarkStart w:id="373" w:name="_Toc179632575"/>
      <w:bookmarkStart w:id="374" w:name="_Toc246996201"/>
      <w:bookmarkStart w:id="375" w:name="_Toc152042333"/>
      <w:bookmarkStart w:id="376" w:name="_Toc152045557"/>
      <w:bookmarkStart w:id="377" w:name="_Toc246996944"/>
      <w:bookmarkStart w:id="378" w:name="_Toc144974525"/>
      <w:bookmarkStart w:id="379" w:name="_Toc247085715"/>
      <w:r>
        <w:rPr>
          <w:rFonts w:hint="eastAsia" w:ascii="宋体" w:hAnsi="宋体" w:cs="宋体"/>
          <w:color w:val="auto"/>
          <w:szCs w:val="21"/>
          <w:highlight w:val="none"/>
        </w:rPr>
        <w:t>4.1.1 投标文件应进行</w:t>
      </w:r>
      <w:r>
        <w:rPr>
          <w:rFonts w:hint="eastAsia" w:ascii="宋体" w:hAnsi="宋体" w:cs="宋体"/>
          <w:color w:val="auto"/>
          <w:szCs w:val="21"/>
          <w:highlight w:val="none"/>
          <w:lang w:val="en-US" w:eastAsia="zh-CN"/>
        </w:rPr>
        <w:t>密封</w:t>
      </w:r>
      <w:r>
        <w:rPr>
          <w:rFonts w:hint="eastAsia" w:ascii="宋体" w:hAnsi="宋体" w:cs="宋体"/>
          <w:color w:val="auto"/>
          <w:szCs w:val="21"/>
          <w:highlight w:val="none"/>
        </w:rPr>
        <w:t>包装，并在封套</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加盖投标人单位章。</w:t>
      </w:r>
    </w:p>
    <w:p w14:paraId="03C6AE9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投标文件封套上应写明的内容及具体密封要求见投标人须知前附表。</w:t>
      </w:r>
    </w:p>
    <w:p w14:paraId="2C4B2E6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 未按本章第4.1.1项或第4.1.2项要求密封和加写标记的投标文件，招标人应予拒收。</w:t>
      </w:r>
    </w:p>
    <w:p w14:paraId="4263A8E8">
      <w:pPr>
        <w:spacing w:line="440" w:lineRule="atLeast"/>
        <w:ind w:firstLine="422" w:firstLineChars="200"/>
        <w:outlineLvl w:val="2"/>
        <w:rPr>
          <w:rFonts w:hint="eastAsia" w:ascii="宋体" w:hAnsi="宋体" w:cs="宋体"/>
          <w:b/>
          <w:bCs/>
          <w:color w:val="auto"/>
          <w:szCs w:val="21"/>
          <w:highlight w:val="none"/>
        </w:rPr>
      </w:pPr>
      <w:bookmarkStart w:id="380" w:name="_Toc4531"/>
      <w:bookmarkStart w:id="381" w:name="_Toc324404840"/>
      <w:bookmarkStart w:id="382" w:name="_Toc296602445"/>
      <w:r>
        <w:rPr>
          <w:rFonts w:hint="eastAsia" w:ascii="宋体" w:hAnsi="宋体" w:cs="宋体"/>
          <w:b/>
          <w:bCs/>
          <w:color w:val="auto"/>
          <w:szCs w:val="21"/>
          <w:highlight w:val="none"/>
        </w:rPr>
        <w:t>4.2 投标文件的递交</w:t>
      </w:r>
      <w:bookmarkEnd w:id="373"/>
      <w:bookmarkEnd w:id="374"/>
      <w:bookmarkEnd w:id="375"/>
      <w:bookmarkEnd w:id="376"/>
      <w:bookmarkEnd w:id="377"/>
      <w:bookmarkEnd w:id="378"/>
      <w:bookmarkEnd w:id="379"/>
      <w:bookmarkEnd w:id="380"/>
      <w:bookmarkEnd w:id="381"/>
      <w:bookmarkEnd w:id="382"/>
    </w:p>
    <w:p w14:paraId="4EC3064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4.2.1投标人应在投标人须知前附表规定的投标截止时间前递交投标文件。</w:t>
      </w:r>
    </w:p>
    <w:p w14:paraId="5174E3B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14:paraId="3E0F548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14:paraId="52C9841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招标人收到投标文件后，各投标人须在相关表格上签到。</w:t>
      </w:r>
    </w:p>
    <w:p w14:paraId="1F462F2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4.2.5 逾期送达的或者未送达指定地点的投标文件，招标人不予受理。</w:t>
      </w:r>
    </w:p>
    <w:p w14:paraId="1E620E4A">
      <w:pPr>
        <w:spacing w:line="440" w:lineRule="atLeast"/>
        <w:ind w:firstLine="422" w:firstLineChars="200"/>
        <w:outlineLvl w:val="2"/>
        <w:rPr>
          <w:rFonts w:hint="eastAsia" w:ascii="宋体" w:hAnsi="宋体" w:cs="宋体"/>
          <w:b/>
          <w:bCs/>
          <w:color w:val="auto"/>
          <w:szCs w:val="21"/>
          <w:highlight w:val="none"/>
        </w:rPr>
      </w:pPr>
      <w:bookmarkStart w:id="383" w:name="_Toc179632576"/>
      <w:bookmarkStart w:id="384" w:name="_Toc25278"/>
      <w:bookmarkStart w:id="385" w:name="_Toc246996202"/>
      <w:bookmarkStart w:id="386" w:name="_Toc152042334"/>
      <w:bookmarkStart w:id="387" w:name="_Toc324404841"/>
      <w:bookmarkStart w:id="388" w:name="_Toc296602446"/>
      <w:bookmarkStart w:id="389" w:name="_Toc152045558"/>
      <w:bookmarkStart w:id="390" w:name="_Toc247085716"/>
      <w:bookmarkStart w:id="391" w:name="_Toc144974526"/>
      <w:bookmarkStart w:id="392" w:name="_Toc246996945"/>
      <w:r>
        <w:rPr>
          <w:rFonts w:hint="eastAsia" w:ascii="宋体" w:hAnsi="宋体" w:cs="宋体"/>
          <w:b/>
          <w:bCs/>
          <w:color w:val="auto"/>
          <w:szCs w:val="21"/>
          <w:highlight w:val="none"/>
        </w:rPr>
        <w:t>4.3 投标文件的修改与撤回</w:t>
      </w:r>
      <w:bookmarkEnd w:id="383"/>
      <w:bookmarkEnd w:id="384"/>
      <w:bookmarkEnd w:id="385"/>
      <w:bookmarkEnd w:id="386"/>
      <w:bookmarkEnd w:id="387"/>
      <w:bookmarkEnd w:id="388"/>
      <w:bookmarkEnd w:id="389"/>
      <w:bookmarkEnd w:id="390"/>
      <w:bookmarkEnd w:id="391"/>
      <w:bookmarkEnd w:id="392"/>
    </w:p>
    <w:p w14:paraId="0BC1F3E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4.3.1在投标人须知前附表规定的投标截止时间前，投标人可以修改或撤回已递交的投标文件，但应以书面形式通知招标人。</w:t>
      </w:r>
    </w:p>
    <w:p w14:paraId="509C310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投标人修改或撤回已递交投标文件的书面通知应按照本章第3.5.3项的要求签字或盖章。招标人收到书面通知后，投标人签到登记。</w:t>
      </w:r>
    </w:p>
    <w:p w14:paraId="133FD744">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4.3.3 投标人撤回投标文件的，招标人自收到投标人书面撤回通知之日起5日内退还已收取的投标保证金。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lang w:eastAsia="zh-CN"/>
        </w:rPr>
        <w:t>）</w:t>
      </w:r>
    </w:p>
    <w:p w14:paraId="712776E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修改的内容为投标文件的组成部分。修改的投标文件应按照本章第3条、第4条规定进行编制、密封、标记和递交，并标明“修改”字样。</w:t>
      </w:r>
    </w:p>
    <w:p w14:paraId="0FEBE5C8">
      <w:pPr>
        <w:pStyle w:val="3"/>
        <w:bidi w:val="0"/>
        <w:rPr>
          <w:rFonts w:hint="eastAsia"/>
          <w:color w:val="auto"/>
          <w:highlight w:val="none"/>
        </w:rPr>
      </w:pPr>
      <w:bookmarkStart w:id="393" w:name="_Toc30270"/>
      <w:bookmarkStart w:id="394" w:name="_Toc16665"/>
      <w:bookmarkStart w:id="395" w:name="_Toc440"/>
      <w:r>
        <w:rPr>
          <w:rFonts w:hint="eastAsia"/>
          <w:color w:val="auto"/>
          <w:highlight w:val="none"/>
        </w:rPr>
        <w:t>5. 开标</w:t>
      </w:r>
      <w:bookmarkEnd w:id="350"/>
      <w:bookmarkEnd w:id="351"/>
      <w:bookmarkEnd w:id="352"/>
      <w:bookmarkEnd w:id="353"/>
      <w:bookmarkEnd w:id="354"/>
      <w:bookmarkEnd w:id="355"/>
      <w:bookmarkEnd w:id="356"/>
      <w:bookmarkEnd w:id="357"/>
      <w:bookmarkEnd w:id="358"/>
      <w:bookmarkEnd w:id="359"/>
      <w:bookmarkEnd w:id="393"/>
      <w:bookmarkEnd w:id="394"/>
      <w:bookmarkEnd w:id="395"/>
    </w:p>
    <w:p w14:paraId="45AF4714">
      <w:pPr>
        <w:spacing w:line="440" w:lineRule="atLeast"/>
        <w:ind w:firstLine="422" w:firstLineChars="200"/>
        <w:outlineLvl w:val="2"/>
        <w:rPr>
          <w:rFonts w:hint="eastAsia" w:ascii="宋体" w:hAnsi="宋体" w:cs="宋体"/>
          <w:b/>
          <w:bCs/>
          <w:color w:val="auto"/>
          <w:szCs w:val="21"/>
          <w:highlight w:val="none"/>
        </w:rPr>
      </w:pPr>
      <w:bookmarkStart w:id="396" w:name="_Toc21611137"/>
      <w:bookmarkStart w:id="397" w:name="_Toc152042336"/>
      <w:bookmarkStart w:id="398" w:name="_Toc296602448"/>
      <w:bookmarkStart w:id="399" w:name="_Toc324404843"/>
      <w:bookmarkStart w:id="400" w:name="_Toc246996947"/>
      <w:bookmarkStart w:id="401" w:name="_Toc20195"/>
      <w:bookmarkStart w:id="402" w:name="_Toc246996204"/>
      <w:bookmarkStart w:id="403" w:name="_Toc152045560"/>
      <w:bookmarkStart w:id="404" w:name="_Toc247085718"/>
      <w:bookmarkStart w:id="405" w:name="_Toc144974528"/>
      <w:bookmarkStart w:id="406" w:name="_Toc506107296"/>
      <w:bookmarkStart w:id="407" w:name="_Toc179632578"/>
      <w:r>
        <w:rPr>
          <w:rFonts w:hint="eastAsia" w:ascii="宋体" w:hAnsi="宋体" w:cs="宋体"/>
          <w:b/>
          <w:bCs/>
          <w:color w:val="auto"/>
          <w:szCs w:val="21"/>
          <w:highlight w:val="none"/>
        </w:rPr>
        <w:t>5.1 开标时间和地点</w:t>
      </w:r>
      <w:bookmarkEnd w:id="396"/>
      <w:bookmarkEnd w:id="397"/>
      <w:bookmarkEnd w:id="398"/>
      <w:bookmarkEnd w:id="399"/>
      <w:bookmarkEnd w:id="400"/>
      <w:bookmarkEnd w:id="401"/>
      <w:bookmarkEnd w:id="402"/>
      <w:bookmarkEnd w:id="403"/>
      <w:bookmarkEnd w:id="404"/>
      <w:bookmarkEnd w:id="405"/>
      <w:bookmarkEnd w:id="406"/>
      <w:bookmarkEnd w:id="407"/>
    </w:p>
    <w:p w14:paraId="77BCF57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招标人在投标人须知前附表规定的投标截止时间（开标时间）和地点公开开标。</w:t>
      </w:r>
    </w:p>
    <w:p w14:paraId="5BF1AB88">
      <w:pPr>
        <w:spacing w:line="440" w:lineRule="atLeast"/>
        <w:ind w:firstLine="422" w:firstLineChars="200"/>
        <w:outlineLvl w:val="2"/>
        <w:rPr>
          <w:rFonts w:hint="eastAsia" w:ascii="宋体" w:hAnsi="宋体" w:cs="宋体"/>
          <w:b/>
          <w:bCs/>
          <w:color w:val="auto"/>
          <w:szCs w:val="21"/>
          <w:highlight w:val="none"/>
        </w:rPr>
      </w:pPr>
      <w:bookmarkStart w:id="408" w:name="_Toc246996205"/>
      <w:bookmarkStart w:id="409" w:name="_Toc247085719"/>
      <w:bookmarkStart w:id="410" w:name="_Toc1996"/>
      <w:bookmarkStart w:id="411" w:name="_Toc144974529"/>
      <w:bookmarkStart w:id="412" w:name="_Toc21611138"/>
      <w:bookmarkStart w:id="413" w:name="_Toc324404844"/>
      <w:bookmarkStart w:id="414" w:name="_Toc296602449"/>
      <w:bookmarkStart w:id="415" w:name="_Toc179632579"/>
      <w:bookmarkStart w:id="416" w:name="_Toc246996948"/>
      <w:bookmarkStart w:id="417" w:name="_Toc152045561"/>
      <w:bookmarkStart w:id="418" w:name="_Toc152042337"/>
      <w:bookmarkStart w:id="419" w:name="_Toc506107297"/>
      <w:r>
        <w:rPr>
          <w:rFonts w:hint="eastAsia" w:ascii="宋体" w:hAnsi="宋体" w:cs="宋体"/>
          <w:b/>
          <w:bCs/>
          <w:color w:val="auto"/>
          <w:szCs w:val="21"/>
          <w:highlight w:val="none"/>
        </w:rPr>
        <w:t>5.2 开标程序</w:t>
      </w:r>
      <w:bookmarkEnd w:id="408"/>
      <w:bookmarkEnd w:id="409"/>
      <w:bookmarkEnd w:id="410"/>
      <w:bookmarkEnd w:id="411"/>
      <w:bookmarkEnd w:id="412"/>
      <w:bookmarkEnd w:id="413"/>
      <w:bookmarkEnd w:id="414"/>
      <w:bookmarkEnd w:id="415"/>
      <w:bookmarkEnd w:id="416"/>
      <w:bookmarkEnd w:id="417"/>
      <w:bookmarkEnd w:id="418"/>
      <w:bookmarkEnd w:id="419"/>
    </w:p>
    <w:p w14:paraId="6B096A6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主持人按下列程序进行开标：</w:t>
      </w:r>
      <w:bookmarkStart w:id="420" w:name="_Toc296602450"/>
      <w:bookmarkStart w:id="421" w:name="_Toc324404845"/>
    </w:p>
    <w:p w14:paraId="5103DB43">
      <w:pPr>
        <w:spacing w:line="440" w:lineRule="atLeast"/>
        <w:ind w:firstLine="420" w:firstLineChars="200"/>
        <w:rPr>
          <w:rFonts w:hint="eastAsia" w:ascii="宋体" w:hAnsi="宋体" w:cs="宋体"/>
          <w:color w:val="auto"/>
          <w:szCs w:val="21"/>
          <w:highlight w:val="none"/>
        </w:rPr>
      </w:pPr>
      <w:bookmarkStart w:id="422" w:name="_Toc15058881"/>
      <w:bookmarkStart w:id="423" w:name="_Toc21611143"/>
      <w:bookmarkStart w:id="424" w:name="_Toc506107298"/>
      <w:r>
        <w:rPr>
          <w:rFonts w:hint="eastAsia" w:ascii="宋体" w:hAnsi="宋体" w:cs="宋体"/>
          <w:color w:val="auto"/>
          <w:szCs w:val="21"/>
          <w:highlight w:val="none"/>
        </w:rPr>
        <w:t>（1）宣布开标纪律；</w:t>
      </w:r>
    </w:p>
    <w:p w14:paraId="67E901B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w:t>
      </w:r>
    </w:p>
    <w:p w14:paraId="71E7020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14:paraId="5DE64DD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（4）按照投标人须知前附表规定检查投标文件的密封情况；</w:t>
      </w:r>
    </w:p>
    <w:p w14:paraId="6EA2DCD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（5）按照投标人须知前附表的规定确定并宣布投标文件开标顺序；</w:t>
      </w:r>
    </w:p>
    <w:p w14:paraId="5DB0DB2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（6）按照宣布的开标顺序当众开标，公布投标人名称；</w:t>
      </w:r>
    </w:p>
    <w:p w14:paraId="0E6A9690">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（7）进行资格审查； </w:t>
      </w:r>
    </w:p>
    <w:p w14:paraId="6EF4E67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（8）对投标人进行商务标评审；</w:t>
      </w:r>
    </w:p>
    <w:p w14:paraId="1BDFBEF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（9）有关人员在开标记录上签字确认；</w:t>
      </w:r>
    </w:p>
    <w:p w14:paraId="722C4ED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（10）开标结束。</w:t>
      </w:r>
    </w:p>
    <w:bookmarkEnd w:id="422"/>
    <w:bookmarkEnd w:id="423"/>
    <w:p w14:paraId="2014C253">
      <w:pPr>
        <w:spacing w:line="440" w:lineRule="atLeast"/>
        <w:ind w:firstLine="422" w:firstLineChars="200"/>
        <w:outlineLvl w:val="2"/>
        <w:rPr>
          <w:rFonts w:hint="eastAsia" w:ascii="宋体" w:hAnsi="宋体" w:cs="宋体"/>
          <w:b/>
          <w:bCs/>
          <w:color w:val="auto"/>
          <w:szCs w:val="21"/>
          <w:highlight w:val="none"/>
        </w:rPr>
      </w:pPr>
      <w:bookmarkStart w:id="425" w:name="_Toc24518"/>
      <w:bookmarkStart w:id="426" w:name="_Toc21611145"/>
      <w:r>
        <w:rPr>
          <w:rFonts w:hint="eastAsia" w:ascii="宋体" w:hAnsi="宋体" w:cs="宋体"/>
          <w:b/>
          <w:bCs/>
          <w:color w:val="auto"/>
          <w:szCs w:val="21"/>
          <w:highlight w:val="none"/>
        </w:rPr>
        <w:t>5.3 开标异议</w:t>
      </w:r>
      <w:bookmarkEnd w:id="420"/>
      <w:bookmarkEnd w:id="421"/>
      <w:bookmarkEnd w:id="424"/>
      <w:bookmarkEnd w:id="425"/>
      <w:bookmarkEnd w:id="426"/>
    </w:p>
    <w:p w14:paraId="5899BC3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14:paraId="172703C4">
      <w:pPr>
        <w:pStyle w:val="3"/>
        <w:bidi w:val="0"/>
        <w:rPr>
          <w:rFonts w:hint="eastAsia"/>
          <w:color w:val="auto"/>
          <w:highlight w:val="none"/>
        </w:rPr>
      </w:pPr>
      <w:bookmarkStart w:id="427" w:name="_Toc19907"/>
      <w:bookmarkStart w:id="428" w:name="_Toc25571"/>
      <w:bookmarkStart w:id="429" w:name="_Toc4080"/>
      <w:r>
        <w:rPr>
          <w:rFonts w:hint="eastAsia"/>
          <w:color w:val="auto"/>
          <w:highlight w:val="none"/>
        </w:rPr>
        <w:t>6. 评标</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427"/>
      <w:bookmarkEnd w:id="428"/>
      <w:bookmarkEnd w:id="429"/>
    </w:p>
    <w:p w14:paraId="43EC9314">
      <w:pPr>
        <w:spacing w:line="440" w:lineRule="atLeast"/>
        <w:ind w:firstLine="422" w:firstLineChars="200"/>
        <w:outlineLvl w:val="2"/>
        <w:rPr>
          <w:rFonts w:hint="eastAsia" w:ascii="宋体" w:hAnsi="宋体" w:cs="宋体"/>
          <w:b/>
          <w:bCs/>
          <w:color w:val="auto"/>
          <w:szCs w:val="21"/>
          <w:highlight w:val="none"/>
        </w:rPr>
      </w:pPr>
      <w:bookmarkStart w:id="430" w:name="_Toc144974531"/>
      <w:bookmarkStart w:id="431" w:name="_Toc152045563"/>
      <w:bookmarkStart w:id="432" w:name="_Toc247085721"/>
      <w:bookmarkStart w:id="433" w:name="_Toc296602452"/>
      <w:bookmarkStart w:id="434" w:name="_Toc15058885"/>
      <w:bookmarkStart w:id="435" w:name="_Toc35424920"/>
      <w:bookmarkStart w:id="436" w:name="_Toc35425086"/>
      <w:bookmarkStart w:id="437" w:name="_Toc506107300"/>
      <w:bookmarkStart w:id="438" w:name="_Toc324404847"/>
      <w:bookmarkStart w:id="439" w:name="_Toc246996950"/>
      <w:bookmarkStart w:id="440" w:name="_Toc152042339"/>
      <w:bookmarkStart w:id="441" w:name="_Toc179632581"/>
      <w:bookmarkStart w:id="442" w:name="_Toc246996207"/>
      <w:bookmarkStart w:id="443" w:name="_Toc14047"/>
      <w:bookmarkStart w:id="444" w:name="_Toc35947203"/>
      <w:r>
        <w:rPr>
          <w:rFonts w:hint="eastAsia" w:ascii="宋体" w:hAnsi="宋体" w:cs="宋体"/>
          <w:b/>
          <w:bCs/>
          <w:color w:val="auto"/>
          <w:szCs w:val="21"/>
          <w:highlight w:val="none"/>
        </w:rPr>
        <w:t>6.1</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35947205"/>
      <w:bookmarkStart w:id="446" w:name="_Toc152042341"/>
      <w:bookmarkStart w:id="447" w:name="_Toc35424922"/>
      <w:bookmarkStart w:id="448" w:name="_Toc15058887"/>
      <w:bookmarkStart w:id="449" w:name="_Toc144974533"/>
      <w:bookmarkStart w:id="450" w:name="_Toc246996209"/>
      <w:bookmarkStart w:id="451" w:name="_Toc35425088"/>
      <w:bookmarkStart w:id="452" w:name="_Toc246996952"/>
      <w:bookmarkStart w:id="453" w:name="_Toc179632583"/>
      <w:bookmarkStart w:id="454" w:name="_Toc506107302"/>
      <w:bookmarkStart w:id="455" w:name="_Toc324404849"/>
      <w:bookmarkStart w:id="456" w:name="_Toc152045565"/>
      <w:bookmarkStart w:id="457" w:name="_Toc20754"/>
      <w:bookmarkStart w:id="458" w:name="_Toc296602454"/>
      <w:bookmarkStart w:id="459" w:name="_Toc247085723"/>
      <w:r>
        <w:rPr>
          <w:rFonts w:hint="eastAsia" w:ascii="宋体" w:hAnsi="宋体" w:cs="宋体"/>
          <w:b/>
          <w:bCs/>
          <w:color w:val="auto"/>
          <w:szCs w:val="21"/>
          <w:highlight w:val="none"/>
        </w:rPr>
        <w:t xml:space="preserve"> 评标</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4F84BE75">
      <w:pPr>
        <w:spacing w:line="440" w:lineRule="atLeast"/>
        <w:ind w:firstLine="420" w:firstLineChars="200"/>
        <w:rPr>
          <w:rFonts w:hint="eastAsia" w:ascii="宋体" w:hAnsi="宋体" w:cs="宋体"/>
          <w:color w:val="auto"/>
          <w:szCs w:val="21"/>
          <w:highlight w:val="none"/>
        </w:rPr>
      </w:pPr>
      <w:bookmarkStart w:id="460" w:name="_Toc152042342"/>
      <w:bookmarkStart w:id="461" w:name="_Toc246996953"/>
      <w:bookmarkStart w:id="462" w:name="_Toc152045566"/>
      <w:bookmarkStart w:id="463" w:name="_Toc144974534"/>
      <w:bookmarkStart w:id="464" w:name="_Toc246996210"/>
      <w:bookmarkStart w:id="465" w:name="_Toc247085724"/>
      <w:bookmarkStart w:id="466" w:name="_Toc324404850"/>
      <w:bookmarkStart w:id="467" w:name="_Toc179632584"/>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14:paraId="4020D5C1">
      <w:pPr>
        <w:pStyle w:val="3"/>
        <w:bidi w:val="0"/>
        <w:rPr>
          <w:rFonts w:hint="eastAsia"/>
          <w:color w:val="auto"/>
          <w:highlight w:val="none"/>
        </w:rPr>
      </w:pPr>
      <w:bookmarkStart w:id="468" w:name="_Toc15058888"/>
      <w:bookmarkStart w:id="469" w:name="_Toc35947206"/>
      <w:bookmarkStart w:id="470" w:name="_Toc4044"/>
      <w:bookmarkStart w:id="471" w:name="_Toc506107303"/>
      <w:bookmarkStart w:id="472" w:name="_Toc14115"/>
      <w:bookmarkStart w:id="473" w:name="_Toc15037"/>
      <w:bookmarkStart w:id="474" w:name="_Toc35425089"/>
      <w:bookmarkStart w:id="475" w:name="_Toc35424923"/>
      <w:r>
        <w:rPr>
          <w:rFonts w:hint="eastAsia"/>
          <w:color w:val="auto"/>
          <w:highlight w:val="none"/>
        </w:rPr>
        <w:t>7. 合同授予</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5DE7B6E8">
      <w:pPr>
        <w:spacing w:line="440" w:lineRule="atLeast"/>
        <w:ind w:firstLine="422" w:firstLineChars="200"/>
        <w:outlineLvl w:val="2"/>
        <w:rPr>
          <w:rFonts w:hint="eastAsia" w:ascii="宋体" w:hAnsi="宋体" w:cs="宋体"/>
          <w:b/>
          <w:bCs/>
          <w:color w:val="auto"/>
          <w:szCs w:val="21"/>
          <w:highlight w:val="none"/>
        </w:rPr>
      </w:pPr>
      <w:bookmarkStart w:id="476" w:name="_Toc152045567"/>
      <w:bookmarkStart w:id="477" w:name="_Toc179632585"/>
      <w:bookmarkStart w:id="478" w:name="_Toc35947207"/>
      <w:bookmarkStart w:id="479" w:name="_Toc247085725"/>
      <w:bookmarkStart w:id="480" w:name="_Toc144974535"/>
      <w:bookmarkStart w:id="481" w:name="_Toc246996211"/>
      <w:bookmarkStart w:id="482" w:name="_Toc246996954"/>
      <w:bookmarkStart w:id="483" w:name="_Toc324404851"/>
      <w:bookmarkStart w:id="484" w:name="_Toc296602456"/>
      <w:bookmarkStart w:id="485" w:name="_Toc35425090"/>
      <w:bookmarkStart w:id="486" w:name="_Toc152042343"/>
      <w:bookmarkStart w:id="487" w:name="_Toc84"/>
      <w:bookmarkStart w:id="488" w:name="_Toc506107304"/>
      <w:bookmarkStart w:id="489" w:name="_Toc35424924"/>
      <w:bookmarkStart w:id="490" w:name="_Toc15058889"/>
      <w:r>
        <w:rPr>
          <w:rFonts w:hint="eastAsia" w:ascii="宋体" w:hAnsi="宋体" w:cs="宋体"/>
          <w:b/>
          <w:bCs/>
          <w:color w:val="auto"/>
          <w:szCs w:val="21"/>
          <w:highlight w:val="none"/>
        </w:rPr>
        <w:t>7.1 定标方式</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DE865FF">
      <w:pPr>
        <w:spacing w:line="440" w:lineRule="atLeast"/>
        <w:ind w:firstLine="420" w:firstLineChars="200"/>
        <w:rPr>
          <w:rFonts w:hint="eastAsia" w:ascii="宋体" w:hAnsi="宋体" w:cs="宋体"/>
          <w:color w:val="auto"/>
          <w:szCs w:val="21"/>
          <w:highlight w:val="none"/>
        </w:rPr>
      </w:pPr>
      <w:bookmarkStart w:id="491" w:name="_Toc296602457"/>
      <w:bookmarkStart w:id="492" w:name="_Toc324404852"/>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14:paraId="7ABF1342">
      <w:pPr>
        <w:spacing w:line="440" w:lineRule="atLeast"/>
        <w:ind w:firstLine="422" w:firstLineChars="200"/>
        <w:outlineLvl w:val="2"/>
        <w:rPr>
          <w:rFonts w:hint="eastAsia" w:ascii="宋体" w:hAnsi="宋体" w:cs="宋体"/>
          <w:b/>
          <w:bCs/>
          <w:color w:val="auto"/>
          <w:szCs w:val="21"/>
          <w:highlight w:val="none"/>
        </w:rPr>
      </w:pPr>
      <w:bookmarkStart w:id="493" w:name="_Toc506107305"/>
      <w:bookmarkStart w:id="494" w:name="_Toc35424925"/>
      <w:bookmarkStart w:id="495" w:name="_Toc9338"/>
      <w:bookmarkStart w:id="496" w:name="_Toc35947208"/>
      <w:bookmarkStart w:id="497" w:name="_Toc35425091"/>
      <w:bookmarkStart w:id="498" w:name="_Toc15058890"/>
      <w:r>
        <w:rPr>
          <w:rFonts w:hint="eastAsia" w:ascii="宋体" w:hAnsi="宋体" w:cs="宋体"/>
          <w:b/>
          <w:bCs/>
          <w:color w:val="auto"/>
          <w:szCs w:val="21"/>
          <w:highlight w:val="none"/>
        </w:rPr>
        <w:t>7.2 中标候选人公示</w:t>
      </w:r>
      <w:bookmarkEnd w:id="491"/>
      <w:bookmarkEnd w:id="492"/>
      <w:bookmarkEnd w:id="493"/>
      <w:bookmarkEnd w:id="494"/>
      <w:bookmarkEnd w:id="495"/>
      <w:bookmarkEnd w:id="496"/>
      <w:bookmarkEnd w:id="497"/>
      <w:bookmarkEnd w:id="498"/>
    </w:p>
    <w:p w14:paraId="517039BE">
      <w:pPr>
        <w:spacing w:line="440" w:lineRule="atLeast"/>
        <w:ind w:firstLine="420" w:firstLineChars="200"/>
        <w:rPr>
          <w:rFonts w:hint="eastAsia" w:ascii="宋体" w:hAnsi="宋体" w:cs="宋体"/>
          <w:color w:val="auto"/>
          <w:szCs w:val="21"/>
          <w:highlight w:val="none"/>
        </w:rPr>
      </w:pPr>
      <w:bookmarkStart w:id="499" w:name="_Toc296602458"/>
      <w:bookmarkStart w:id="500" w:name="_Toc152042344"/>
      <w:bookmarkStart w:id="501" w:name="_Toc247085726"/>
      <w:bookmarkStart w:id="502" w:name="_Toc144974536"/>
      <w:bookmarkStart w:id="503" w:name="_Toc246996955"/>
      <w:bookmarkStart w:id="504" w:name="_Toc246996212"/>
      <w:bookmarkStart w:id="505" w:name="_Toc324404853"/>
      <w:bookmarkStart w:id="506" w:name="_Toc179632586"/>
      <w:bookmarkStart w:id="507" w:name="_Toc152045568"/>
      <w:r>
        <w:rPr>
          <w:rFonts w:hint="eastAsia" w:ascii="宋体" w:hAnsi="宋体" w:cs="宋体"/>
          <w:color w:val="auto"/>
          <w:szCs w:val="21"/>
          <w:highlight w:val="none"/>
        </w:rPr>
        <w:t>招标人在投标人须知前附表规定的媒介公示中标候选人。</w:t>
      </w:r>
    </w:p>
    <w:p w14:paraId="7C99333A">
      <w:pPr>
        <w:spacing w:line="440" w:lineRule="atLeast"/>
        <w:ind w:firstLine="422" w:firstLineChars="200"/>
        <w:outlineLvl w:val="2"/>
        <w:rPr>
          <w:rFonts w:hint="eastAsia" w:ascii="宋体" w:hAnsi="宋体" w:cs="宋体"/>
          <w:b/>
          <w:bCs/>
          <w:color w:val="auto"/>
          <w:szCs w:val="21"/>
          <w:highlight w:val="none"/>
        </w:rPr>
      </w:pPr>
      <w:bookmarkStart w:id="508" w:name="_Toc18325"/>
      <w:bookmarkStart w:id="509" w:name="_Toc35425093"/>
      <w:bookmarkStart w:id="510" w:name="_Toc15058891"/>
      <w:bookmarkStart w:id="511" w:name="_Toc506107306"/>
      <w:bookmarkStart w:id="512" w:name="_Toc35424927"/>
      <w:bookmarkStart w:id="513" w:name="_Toc35947210"/>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 xml:space="preserve"> 中标通知</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82F5A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在本章第3.3款规定的投标有效期内，招标人以书面形式向中标人发出中标通知书，同时将中标结果通知未中标的投标人。</w:t>
      </w:r>
    </w:p>
    <w:p w14:paraId="7F63E62F">
      <w:pPr>
        <w:spacing w:line="440" w:lineRule="atLeast"/>
        <w:ind w:firstLine="422" w:firstLineChars="200"/>
        <w:outlineLvl w:val="2"/>
        <w:rPr>
          <w:rFonts w:hint="eastAsia" w:ascii="宋体" w:hAnsi="宋体" w:eastAsia="宋体" w:cs="宋体"/>
          <w:b/>
          <w:bCs/>
          <w:color w:val="auto"/>
          <w:szCs w:val="21"/>
          <w:highlight w:val="none"/>
          <w:lang w:eastAsia="zh-CN"/>
        </w:rPr>
      </w:pPr>
      <w:bookmarkStart w:id="514" w:name="_Toc152042345"/>
      <w:bookmarkStart w:id="515" w:name="_Toc35947212"/>
      <w:bookmarkStart w:id="516" w:name="_Toc144974537"/>
      <w:bookmarkStart w:id="517" w:name="_Toc296602459"/>
      <w:bookmarkStart w:id="518" w:name="_Toc246996213"/>
      <w:bookmarkStart w:id="519" w:name="_Toc506107307"/>
      <w:bookmarkStart w:id="520" w:name="_Toc35425095"/>
      <w:bookmarkStart w:id="521" w:name="_Toc15058892"/>
      <w:bookmarkStart w:id="522" w:name="_Toc247085727"/>
      <w:bookmarkStart w:id="523" w:name="_Toc179632587"/>
      <w:bookmarkStart w:id="524" w:name="_Toc246996956"/>
      <w:bookmarkStart w:id="525" w:name="_Toc35424929"/>
      <w:bookmarkStart w:id="526" w:name="_Toc324404854"/>
      <w:bookmarkStart w:id="527" w:name="_Toc152045569"/>
      <w:bookmarkStart w:id="528" w:name="_Toc32541"/>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履约担保</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本项目不采用</w:t>
      </w:r>
      <w:r>
        <w:rPr>
          <w:rFonts w:hint="eastAsia" w:ascii="宋体" w:hAnsi="宋体" w:cs="宋体"/>
          <w:b/>
          <w:bCs/>
          <w:color w:val="auto"/>
          <w:szCs w:val="21"/>
          <w:highlight w:val="none"/>
          <w:lang w:eastAsia="zh-CN"/>
        </w:rPr>
        <w:t>）</w:t>
      </w:r>
    </w:p>
    <w:p w14:paraId="73D757FA">
      <w:pPr>
        <w:spacing w:line="440" w:lineRule="atLeas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.1在签订合同前，中标人应按投标人须知前附表规定的担保形式或者事先经过招标人书面认可的履约担保格式向招标人提交履约担保。履约担保金额的相关要求见投标人须知前附表。</w:t>
      </w:r>
    </w:p>
    <w:p w14:paraId="1A5A2B98">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中标人不能按本章第7.6.1项要求提交履约担保的，视为放弃中标，其投标保证金不予退还，给招标人造成的损失超过投标保证金数额的，中标人还应当对超过部分予以赔偿。</w:t>
      </w:r>
    </w:p>
    <w:p w14:paraId="36E86CFA">
      <w:pPr>
        <w:spacing w:line="440" w:lineRule="atLeast"/>
        <w:ind w:firstLine="422" w:firstLineChars="200"/>
        <w:outlineLvl w:val="2"/>
        <w:rPr>
          <w:rFonts w:hint="eastAsia" w:ascii="宋体" w:hAnsi="宋体" w:cs="宋体"/>
          <w:b/>
          <w:bCs/>
          <w:color w:val="auto"/>
          <w:szCs w:val="21"/>
          <w:highlight w:val="none"/>
        </w:rPr>
      </w:pPr>
      <w:bookmarkStart w:id="529" w:name="_Toc152045570"/>
      <w:bookmarkStart w:id="530" w:name="_Toc247085728"/>
      <w:bookmarkStart w:id="531" w:name="_Toc15058893"/>
      <w:bookmarkStart w:id="532" w:name="_Toc35947213"/>
      <w:bookmarkStart w:id="533" w:name="_Toc246996957"/>
      <w:bookmarkStart w:id="534" w:name="_Toc296602460"/>
      <w:bookmarkStart w:id="535" w:name="_Toc152042346"/>
      <w:bookmarkStart w:id="536" w:name="_Toc35425096"/>
      <w:bookmarkStart w:id="537" w:name="_Toc324404855"/>
      <w:bookmarkStart w:id="538" w:name="_Toc246996214"/>
      <w:bookmarkStart w:id="539" w:name="_Toc14106"/>
      <w:bookmarkStart w:id="540" w:name="_Toc506107308"/>
      <w:bookmarkStart w:id="541" w:name="_Toc35424930"/>
      <w:bookmarkStart w:id="542" w:name="_Toc144974538"/>
      <w:bookmarkStart w:id="543" w:name="_Toc179632588"/>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xml:space="preserve"> 签订合同</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D6A1E41">
      <w:pPr>
        <w:wordWrap w:val="0"/>
        <w:spacing w:line="440" w:lineRule="atLeast"/>
        <w:ind w:firstLine="420" w:firstLineChars="200"/>
        <w:rPr>
          <w:rFonts w:hint="eastAsia" w:ascii="宋体" w:hAnsi="宋体" w:cs="宋体"/>
          <w:bCs/>
          <w:color w:val="auto"/>
          <w:szCs w:val="21"/>
          <w:highlight w:val="none"/>
        </w:rPr>
      </w:pPr>
      <w:bookmarkStart w:id="544" w:name="_Toc324404856"/>
      <w:bookmarkStart w:id="545" w:name="_Toc506107309"/>
      <w:bookmarkStart w:id="546" w:name="_Toc15058894"/>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 xml:space="preserve">.1本招标工程的施工合同将授予按本须知第7.1条规定所确定的中标人。 </w:t>
      </w:r>
    </w:p>
    <w:p w14:paraId="4F2509D2">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.2</w:t>
      </w:r>
      <w:r>
        <w:rPr>
          <w:rFonts w:hint="eastAsia"/>
          <w:color w:val="auto"/>
          <w:highlight w:val="none"/>
        </w:rPr>
        <w:t>中标人</w:t>
      </w:r>
      <w:r>
        <w:rPr>
          <w:rFonts w:hint="eastAsia"/>
          <w:color w:val="auto"/>
          <w:highlight w:val="none"/>
          <w:lang w:val="en-US" w:eastAsia="zh-CN"/>
        </w:rPr>
        <w:t>应在</w:t>
      </w:r>
      <w:r>
        <w:rPr>
          <w:rFonts w:hint="eastAsia"/>
          <w:color w:val="auto"/>
          <w:highlight w:val="none"/>
        </w:rPr>
        <w:t>中标通知书发出之日起</w:t>
      </w:r>
      <w:r>
        <w:rPr>
          <w:rFonts w:hint="eastAsia"/>
          <w:color w:val="auto"/>
          <w:highlight w:val="none"/>
          <w:lang w:val="en-US" w:eastAsia="zh-CN"/>
        </w:rPr>
        <w:t>3</w:t>
      </w:r>
      <w:r>
        <w:rPr>
          <w:rFonts w:hint="eastAsia"/>
          <w:color w:val="auto"/>
          <w:highlight w:val="none"/>
        </w:rPr>
        <w:t>0个日历天内，按照</w:t>
      </w:r>
      <w:r>
        <w:rPr>
          <w:rFonts w:hint="eastAsia"/>
          <w:color w:val="auto"/>
          <w:highlight w:val="none"/>
          <w:lang w:eastAsia="zh-CN"/>
        </w:rPr>
        <w:t>招标文件</w:t>
      </w:r>
      <w:r>
        <w:rPr>
          <w:rFonts w:hint="eastAsia"/>
          <w:color w:val="auto"/>
          <w:highlight w:val="none"/>
          <w:lang w:val="en-US" w:eastAsia="zh-CN"/>
        </w:rPr>
        <w:t>规定和招标人</w:t>
      </w:r>
      <w:r>
        <w:rPr>
          <w:rFonts w:hint="eastAsia"/>
          <w:color w:val="auto"/>
          <w:highlight w:val="none"/>
        </w:rPr>
        <w:t>订立书面合同。招标人和中标人不得再行订立背离合同实质性内容的其他协议</w:t>
      </w:r>
      <w:r>
        <w:rPr>
          <w:rFonts w:hint="eastAsia" w:ascii="宋体" w:hAnsi="宋体" w:cs="宋体"/>
          <w:bCs/>
          <w:color w:val="auto"/>
          <w:szCs w:val="21"/>
          <w:highlight w:val="none"/>
        </w:rPr>
        <w:t>。中标人无正当理由拒签合同的，招标人取消其中标资格；给招标人造成的损失</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招标人有权追偿</w:t>
      </w:r>
      <w:r>
        <w:rPr>
          <w:rFonts w:hint="eastAsia" w:ascii="宋体" w:hAnsi="宋体" w:cs="宋体"/>
          <w:bCs/>
          <w:color w:val="auto"/>
          <w:szCs w:val="21"/>
          <w:highlight w:val="none"/>
        </w:rPr>
        <w:t>。</w:t>
      </w:r>
    </w:p>
    <w:p w14:paraId="4E441712">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 发出中标通知书后，招标人无正当理由拒签合同的，招标人向中标人退还投标保证金；给中标人造成损失的，还应当赔偿损失。</w:t>
      </w:r>
    </w:p>
    <w:p w14:paraId="3C8B2225">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.4  除法定情形外，合同履行期间项目负责人不得更换。</w:t>
      </w:r>
    </w:p>
    <w:p w14:paraId="0C2E72C2">
      <w:pPr>
        <w:pStyle w:val="3"/>
        <w:bidi w:val="0"/>
        <w:rPr>
          <w:rFonts w:hint="eastAsia"/>
          <w:color w:val="auto"/>
          <w:highlight w:val="none"/>
        </w:rPr>
      </w:pPr>
      <w:bookmarkStart w:id="547" w:name="_Toc35947214"/>
      <w:bookmarkStart w:id="548" w:name="_Toc10404"/>
      <w:bookmarkStart w:id="549" w:name="_Toc29012"/>
      <w:bookmarkStart w:id="550" w:name="_Toc35425097"/>
      <w:bookmarkStart w:id="551" w:name="_Toc35424931"/>
      <w:bookmarkStart w:id="552" w:name="_Toc9177"/>
      <w:r>
        <w:rPr>
          <w:rFonts w:hint="eastAsia"/>
          <w:color w:val="auto"/>
          <w:highlight w:val="none"/>
        </w:rPr>
        <w:t>8. 纪律和监督</w:t>
      </w:r>
      <w:bookmarkEnd w:id="544"/>
      <w:bookmarkEnd w:id="545"/>
      <w:bookmarkEnd w:id="546"/>
      <w:bookmarkEnd w:id="547"/>
      <w:bookmarkEnd w:id="548"/>
      <w:bookmarkEnd w:id="549"/>
      <w:bookmarkEnd w:id="550"/>
      <w:bookmarkEnd w:id="551"/>
      <w:bookmarkEnd w:id="552"/>
    </w:p>
    <w:p w14:paraId="1433DD27">
      <w:pPr>
        <w:spacing w:line="440" w:lineRule="atLeast"/>
        <w:ind w:firstLine="422" w:firstLineChars="200"/>
        <w:outlineLvl w:val="2"/>
        <w:rPr>
          <w:rFonts w:hint="eastAsia" w:ascii="宋体" w:hAnsi="宋体" w:cs="宋体"/>
          <w:b/>
          <w:bCs/>
          <w:color w:val="auto"/>
          <w:szCs w:val="21"/>
          <w:highlight w:val="none"/>
        </w:rPr>
      </w:pPr>
      <w:bookmarkStart w:id="553" w:name="_Toc296602462"/>
      <w:bookmarkStart w:id="554" w:name="_Toc179632593"/>
      <w:bookmarkStart w:id="555" w:name="_Toc247085733"/>
      <w:bookmarkStart w:id="556" w:name="_Toc246996219"/>
      <w:bookmarkStart w:id="557" w:name="_Toc246996962"/>
      <w:bookmarkStart w:id="558" w:name="_Toc296590983"/>
      <w:bookmarkStart w:id="559" w:name="_Toc15058895"/>
      <w:bookmarkStart w:id="560" w:name="_Toc324404857"/>
      <w:bookmarkStart w:id="561" w:name="_Toc35425098"/>
      <w:bookmarkStart w:id="562" w:name="_Toc35424932"/>
      <w:bookmarkStart w:id="563" w:name="_Toc35947215"/>
      <w:bookmarkStart w:id="564" w:name="_Toc152045575"/>
      <w:bookmarkStart w:id="565" w:name="_Toc152042351"/>
      <w:bookmarkStart w:id="566" w:name="_Toc144974543"/>
      <w:bookmarkStart w:id="567" w:name="_Toc11235"/>
      <w:bookmarkStart w:id="568" w:name="_Toc506107310"/>
      <w:r>
        <w:rPr>
          <w:rFonts w:hint="eastAsia" w:ascii="宋体" w:hAnsi="宋体" w:cs="宋体"/>
          <w:b/>
          <w:bCs/>
          <w:color w:val="auto"/>
          <w:szCs w:val="21"/>
          <w:highlight w:val="none"/>
        </w:rPr>
        <w:t>8.1 对招标人的纪律要求</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DF34B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78862D6C">
      <w:pPr>
        <w:spacing w:line="440" w:lineRule="atLeast"/>
        <w:ind w:firstLine="422" w:firstLineChars="200"/>
        <w:outlineLvl w:val="2"/>
        <w:rPr>
          <w:rFonts w:hint="eastAsia" w:ascii="宋体" w:hAnsi="宋体" w:cs="宋体"/>
          <w:b/>
          <w:bCs/>
          <w:color w:val="auto"/>
          <w:szCs w:val="21"/>
          <w:highlight w:val="none"/>
        </w:rPr>
      </w:pPr>
      <w:bookmarkStart w:id="569" w:name="_Toc15058896"/>
      <w:bookmarkStart w:id="570" w:name="_Toc152042352"/>
      <w:bookmarkStart w:id="571" w:name="_Toc506107311"/>
      <w:bookmarkStart w:id="572" w:name="_Toc35424933"/>
      <w:bookmarkStart w:id="573" w:name="_Toc144974544"/>
      <w:bookmarkStart w:id="574" w:name="_Toc17314"/>
      <w:bookmarkStart w:id="575" w:name="_Toc35425099"/>
      <w:bookmarkStart w:id="576" w:name="_Toc246996963"/>
      <w:bookmarkStart w:id="577" w:name="_Toc247085734"/>
      <w:bookmarkStart w:id="578" w:name="_Toc179632594"/>
      <w:bookmarkStart w:id="579" w:name="_Toc296602463"/>
      <w:bookmarkStart w:id="580" w:name="_Toc324404858"/>
      <w:bookmarkStart w:id="581" w:name="_Toc35947216"/>
      <w:bookmarkStart w:id="582" w:name="_Toc246996220"/>
      <w:bookmarkStart w:id="583" w:name="_Toc152045576"/>
      <w:r>
        <w:rPr>
          <w:rFonts w:hint="eastAsia" w:ascii="宋体" w:hAnsi="宋体" w:cs="宋体"/>
          <w:b/>
          <w:bCs/>
          <w:color w:val="auto"/>
          <w:szCs w:val="21"/>
          <w:highlight w:val="none"/>
        </w:rPr>
        <w:t>8.2 对投标人的纪律要求</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B5DE77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732B77">
      <w:pPr>
        <w:spacing w:line="440" w:lineRule="atLeast"/>
        <w:ind w:firstLine="422" w:firstLineChars="200"/>
        <w:outlineLvl w:val="2"/>
        <w:rPr>
          <w:rFonts w:hint="eastAsia" w:ascii="宋体" w:hAnsi="宋体" w:cs="宋体"/>
          <w:b/>
          <w:bCs/>
          <w:color w:val="auto"/>
          <w:szCs w:val="21"/>
          <w:highlight w:val="none"/>
        </w:rPr>
      </w:pPr>
      <w:bookmarkStart w:id="584" w:name="_Toc247085735"/>
      <w:bookmarkStart w:id="585" w:name="_Toc296602464"/>
      <w:bookmarkStart w:id="586" w:name="_Toc506107312"/>
      <w:bookmarkStart w:id="587" w:name="_Toc35425100"/>
      <w:bookmarkStart w:id="588" w:name="_Toc324404859"/>
      <w:bookmarkStart w:id="589" w:name="_Toc15058897"/>
      <w:bookmarkStart w:id="590" w:name="_Toc246996964"/>
      <w:bookmarkStart w:id="591" w:name="_Toc152042353"/>
      <w:bookmarkStart w:id="592" w:name="_Toc246996221"/>
      <w:bookmarkStart w:id="593" w:name="_Toc179632595"/>
      <w:bookmarkStart w:id="594" w:name="_Toc144974545"/>
      <w:bookmarkStart w:id="595" w:name="_Toc35947217"/>
      <w:bookmarkStart w:id="596" w:name="_Toc152045577"/>
      <w:bookmarkStart w:id="597" w:name="_Toc23747"/>
      <w:bookmarkStart w:id="598" w:name="_Toc35424934"/>
      <w:r>
        <w:rPr>
          <w:rFonts w:hint="eastAsia" w:ascii="宋体" w:hAnsi="宋体" w:cs="宋体"/>
          <w:b/>
          <w:bCs/>
          <w:color w:val="auto"/>
          <w:szCs w:val="21"/>
          <w:highlight w:val="none"/>
        </w:rPr>
        <w:t>8.3 对评标委员会成员的纪律要求</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00C54E50">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1DCB83A">
      <w:pPr>
        <w:spacing w:line="440" w:lineRule="atLeast"/>
        <w:ind w:firstLine="422" w:firstLineChars="200"/>
        <w:outlineLvl w:val="2"/>
        <w:rPr>
          <w:rFonts w:hint="eastAsia" w:ascii="宋体" w:hAnsi="宋体" w:cs="宋体"/>
          <w:b/>
          <w:bCs/>
          <w:color w:val="auto"/>
          <w:szCs w:val="21"/>
          <w:highlight w:val="none"/>
        </w:rPr>
      </w:pPr>
      <w:bookmarkStart w:id="599" w:name="_Toc35947218"/>
      <w:bookmarkStart w:id="600" w:name="_Toc246996222"/>
      <w:bookmarkStart w:id="601" w:name="_Toc152045578"/>
      <w:bookmarkStart w:id="602" w:name="_Toc506107313"/>
      <w:bookmarkStart w:id="603" w:name="_Toc296602465"/>
      <w:bookmarkStart w:id="604" w:name="_Toc152042354"/>
      <w:bookmarkStart w:id="605" w:name="_Toc247085736"/>
      <w:bookmarkStart w:id="606" w:name="_Toc179632596"/>
      <w:bookmarkStart w:id="607" w:name="_Toc246996965"/>
      <w:bookmarkStart w:id="608" w:name="_Toc35425101"/>
      <w:bookmarkStart w:id="609" w:name="_Toc35424935"/>
      <w:bookmarkStart w:id="610" w:name="_Toc324404860"/>
      <w:bookmarkStart w:id="611" w:name="_Toc15058898"/>
      <w:bookmarkStart w:id="612" w:name="_Toc24693"/>
      <w:bookmarkStart w:id="613" w:name="_Toc144974546"/>
      <w:r>
        <w:rPr>
          <w:rFonts w:hint="eastAsia" w:ascii="宋体" w:hAnsi="宋体" w:cs="宋体"/>
          <w:b/>
          <w:bCs/>
          <w:color w:val="auto"/>
          <w:szCs w:val="21"/>
          <w:highlight w:val="none"/>
        </w:rPr>
        <w:t>8.4 对与评标活动有关的工作人员的纪律要求</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93676E4">
      <w:pPr>
        <w:spacing w:line="440" w:lineRule="atLeast"/>
        <w:ind w:firstLine="420" w:firstLineChars="200"/>
        <w:rPr>
          <w:rFonts w:hint="eastAsia" w:ascii="宋体" w:hAnsi="宋体" w:cs="宋体"/>
          <w:color w:val="auto"/>
          <w:szCs w:val="21"/>
          <w:highlight w:val="none"/>
        </w:rPr>
      </w:pPr>
      <w:bookmarkStart w:id="614"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对投标文件的评审和比较、中标候选人的推荐情况以及评标有关的其他情况。在评标活动中，与评标活动有关的工作人员不得擅离职守，影响评标程序正常进行。</w:t>
      </w:r>
      <w:bookmarkEnd w:id="614"/>
    </w:p>
    <w:p w14:paraId="240A5409">
      <w:pPr>
        <w:spacing w:line="440" w:lineRule="atLeast"/>
        <w:ind w:firstLine="422" w:firstLineChars="200"/>
        <w:outlineLvl w:val="2"/>
        <w:rPr>
          <w:rFonts w:hint="eastAsia" w:ascii="宋体" w:hAnsi="宋体" w:cs="宋体"/>
          <w:b/>
          <w:bCs/>
          <w:color w:val="auto"/>
          <w:szCs w:val="21"/>
          <w:highlight w:val="none"/>
        </w:rPr>
      </w:pPr>
      <w:bookmarkStart w:id="615" w:name="_Toc22416"/>
      <w:bookmarkStart w:id="616" w:name="_Toc246996223"/>
      <w:bookmarkStart w:id="617" w:name="_Toc35947219"/>
      <w:bookmarkStart w:id="618" w:name="_Toc296602466"/>
      <w:bookmarkStart w:id="619" w:name="_Toc246996966"/>
      <w:bookmarkStart w:id="620" w:name="_Toc15058899"/>
      <w:bookmarkStart w:id="621" w:name="_Toc35424936"/>
      <w:bookmarkStart w:id="622" w:name="_Toc506107314"/>
      <w:bookmarkStart w:id="623" w:name="_Toc35425102"/>
      <w:bookmarkStart w:id="624" w:name="_Toc152042356"/>
      <w:bookmarkStart w:id="625" w:name="_Toc152045579"/>
      <w:bookmarkStart w:id="626" w:name="_Toc247085737"/>
      <w:bookmarkStart w:id="627" w:name="_Toc324404861"/>
      <w:bookmarkStart w:id="628" w:name="_Toc179632597"/>
      <w:r>
        <w:rPr>
          <w:rFonts w:hint="eastAsia" w:ascii="宋体" w:hAnsi="宋体" w:cs="宋体"/>
          <w:b/>
          <w:bCs/>
          <w:color w:val="auto"/>
          <w:szCs w:val="21"/>
          <w:highlight w:val="none"/>
        </w:rPr>
        <w:t>8.5 投诉</w:t>
      </w:r>
      <w:bookmarkEnd w:id="613"/>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5F9A178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8.5.1投标人和其他利害关系人认为本次招标活动违反法律、法规和规章规定的，有权向有关行政监督部门投诉。投诉应当有明确的请求和必要的证明材料。</w:t>
      </w:r>
    </w:p>
    <w:p w14:paraId="636F618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8.5.2投标人和其他利害关系人对评标结果等事项投诉的，应当在开标期间或公示期间，先向招标人提出异议。</w:t>
      </w:r>
    </w:p>
    <w:p w14:paraId="6594F114">
      <w:pPr>
        <w:spacing w:line="440" w:lineRule="atLeast"/>
        <w:ind w:firstLine="422" w:firstLineChars="200"/>
        <w:outlineLvl w:val="1"/>
        <w:rPr>
          <w:rFonts w:hint="eastAsia" w:ascii="宋体" w:hAnsi="宋体" w:cs="宋体"/>
          <w:b/>
          <w:bCs/>
          <w:color w:val="auto"/>
          <w:szCs w:val="21"/>
          <w:highlight w:val="none"/>
        </w:rPr>
      </w:pPr>
      <w:bookmarkStart w:id="629" w:name="_Toc23899"/>
      <w:bookmarkStart w:id="630" w:name="_Toc246996224"/>
      <w:bookmarkStart w:id="631" w:name="_Toc324404862"/>
      <w:bookmarkStart w:id="632" w:name="_Toc246996967"/>
      <w:bookmarkStart w:id="633" w:name="_Toc247085738"/>
      <w:bookmarkStart w:id="634" w:name="_Toc152045580"/>
      <w:bookmarkStart w:id="635" w:name="_Toc35947220"/>
      <w:bookmarkStart w:id="636" w:name="_Toc15058900"/>
      <w:bookmarkStart w:id="637" w:name="_Toc35425103"/>
      <w:bookmarkStart w:id="638" w:name="_Toc506107315"/>
      <w:bookmarkStart w:id="639" w:name="_Toc179632598"/>
      <w:bookmarkStart w:id="640" w:name="_Toc4503"/>
      <w:bookmarkStart w:id="641" w:name="_Toc144974547"/>
      <w:bookmarkStart w:id="642" w:name="_Toc35424937"/>
      <w:bookmarkStart w:id="643" w:name="_Toc19968"/>
      <w:bookmarkStart w:id="644" w:name="_Toc152042357"/>
      <w:r>
        <w:rPr>
          <w:rFonts w:hint="eastAsia" w:ascii="宋体" w:hAnsi="宋体" w:cs="宋体"/>
          <w:b/>
          <w:bCs/>
          <w:color w:val="auto"/>
          <w:szCs w:val="21"/>
          <w:highlight w:val="none"/>
        </w:rPr>
        <w:t>9.需要补充的其他内容</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882471F">
      <w:pPr>
        <w:spacing w:line="440" w:lineRule="atLeast"/>
        <w:ind w:firstLine="420" w:firstLineChars="200"/>
        <w:rPr>
          <w:rFonts w:hint="eastAsia" w:ascii="宋体" w:hAnsi="宋体" w:eastAsia="宋体" w:cs="宋体"/>
          <w:color w:val="auto"/>
          <w:szCs w:val="21"/>
          <w:highlight w:val="none"/>
        </w:rPr>
      </w:pPr>
      <w:bookmarkStart w:id="645" w:name="_Toc15058901"/>
      <w:r>
        <w:rPr>
          <w:rFonts w:hint="eastAsia" w:ascii="宋体" w:hAnsi="宋体" w:eastAsia="宋体" w:cs="宋体"/>
          <w:color w:val="auto"/>
          <w:szCs w:val="21"/>
          <w:highlight w:val="none"/>
        </w:rPr>
        <w:t>需要补充的其他内容：见投标人须知前附表。</w:t>
      </w:r>
      <w:bookmarkEnd w:id="645"/>
    </w:p>
    <w:p w14:paraId="44157927">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第三章 评标办法</w:t>
      </w:r>
      <w:bookmarkEnd w:id="42"/>
    </w:p>
    <w:p w14:paraId="7159AC10">
      <w:pPr>
        <w:spacing w:line="440" w:lineRule="exact"/>
        <w:ind w:firstLine="422" w:firstLineChars="200"/>
        <w:jc w:val="left"/>
        <w:rPr>
          <w:rFonts w:hint="eastAsia" w:ascii="宋体" w:hAnsi="宋体" w:eastAsia="宋体" w:cs="宋体"/>
          <w:b/>
          <w:color w:val="auto"/>
          <w:szCs w:val="21"/>
          <w:highlight w:val="none"/>
          <w:lang w:eastAsia="zh-CN"/>
        </w:rPr>
      </w:pPr>
      <w:bookmarkStart w:id="646" w:name="_Toc10907_WPSOffice_Level3"/>
      <w:bookmarkStart w:id="647" w:name="_Toc362983802"/>
      <w:bookmarkStart w:id="648" w:name="_Toc19477"/>
      <w:bookmarkStart w:id="649" w:name="_Toc58430318"/>
      <w:bookmarkStart w:id="650" w:name="_Toc449028878"/>
      <w:bookmarkStart w:id="651" w:name="_Toc267320058"/>
      <w:bookmarkStart w:id="652" w:name="_Toc363135205"/>
      <w:r>
        <w:rPr>
          <w:rFonts w:hint="eastAsia" w:ascii="宋体" w:hAnsi="宋体" w:cs="宋体"/>
          <w:b/>
          <w:color w:val="auto"/>
          <w:szCs w:val="21"/>
          <w:highlight w:val="none"/>
        </w:rPr>
        <w:t>1. 本次评标采用</w:t>
      </w:r>
      <w:bookmarkEnd w:id="646"/>
      <w:r>
        <w:rPr>
          <w:rFonts w:hint="eastAsia" w:ascii="宋体" w:hAnsi="宋体" w:cs="宋体"/>
          <w:b/>
          <w:color w:val="auto"/>
          <w:szCs w:val="21"/>
          <w:highlight w:val="none"/>
          <w:lang w:eastAsia="zh-CN"/>
        </w:rPr>
        <w:t>最低评标价法</w:t>
      </w:r>
    </w:p>
    <w:p w14:paraId="5BC710A8">
      <w:pPr>
        <w:spacing w:line="440" w:lineRule="exact"/>
        <w:ind w:firstLine="420"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1.1最低评标价法，是指投标文件满足招标文件全部实质性要求且</w:t>
      </w:r>
      <w:r>
        <w:rPr>
          <w:rFonts w:hint="eastAsia" w:ascii="宋体" w:hAnsi="Times New Roman" w:eastAsia="宋体" w:cs="Times New Roman"/>
          <w:color w:val="auto"/>
          <w:szCs w:val="21"/>
          <w:highlight w:val="none"/>
        </w:rPr>
        <w:t>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Times New Roman" w:eastAsia="宋体" w:cs="Times New Roman"/>
          <w:color w:val="auto"/>
          <w:szCs w:val="21"/>
          <w:highlight w:val="none"/>
        </w:rPr>
        <w:t>由</w:t>
      </w:r>
      <w:r>
        <w:rPr>
          <w:rFonts w:hint="eastAsia" w:ascii="宋体" w:hAnsi="Times New Roman" w:eastAsia="宋体" w:cs="Times New Roman"/>
          <w:color w:val="auto"/>
          <w:szCs w:val="21"/>
          <w:highlight w:val="none"/>
        </w:rPr>
        <w:t>低到高的供应商为中标候选人的评标方法。</w:t>
      </w:r>
    </w:p>
    <w:p w14:paraId="3BCEA762">
      <w:pPr>
        <w:spacing w:line="440" w:lineRule="exact"/>
        <w:ind w:firstLine="420"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 xml:space="preserve"> 1.2最低评标价法一般适用于标准定制商品及通用服务项目的项目评审。</w:t>
      </w:r>
    </w:p>
    <w:p w14:paraId="4E5A9331">
      <w:pPr>
        <w:spacing w:line="440" w:lineRule="exact"/>
        <w:ind w:firstLine="422" w:firstLineChars="200"/>
        <w:jc w:val="left"/>
        <w:rPr>
          <w:rFonts w:hint="eastAsia" w:ascii="宋体" w:hAnsi="宋体" w:cs="宋体"/>
          <w:b/>
          <w:color w:val="auto"/>
          <w:szCs w:val="21"/>
          <w:highlight w:val="none"/>
        </w:rPr>
      </w:pPr>
      <w:bookmarkStart w:id="653" w:name="_Toc23969_WPSOffice_Level3"/>
      <w:r>
        <w:rPr>
          <w:rFonts w:hint="eastAsia" w:ascii="宋体" w:hAnsi="宋体" w:cs="宋体"/>
          <w:b/>
          <w:color w:val="auto"/>
          <w:szCs w:val="21"/>
          <w:highlight w:val="none"/>
        </w:rPr>
        <w:t>2．评标程序</w:t>
      </w:r>
      <w:bookmarkEnd w:id="653"/>
    </w:p>
    <w:p w14:paraId="6CAA183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2.1投标文件的初审</w:t>
      </w:r>
    </w:p>
    <w:p w14:paraId="1E1A4414">
      <w:pPr>
        <w:spacing w:line="44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2.1.1资格性检查。依据法</w:t>
      </w:r>
      <w:r>
        <w:rPr>
          <w:rFonts w:hint="eastAsia" w:ascii="宋体"/>
          <w:color w:val="auto"/>
          <w:szCs w:val="21"/>
          <w:highlight w:val="none"/>
        </w:rPr>
        <w:t xml:space="preserve">律法规和招标文件的规定，对投标文件中的资格证明、投标保证金等进行审查，以确定投标人是否具备投标资格。 </w:t>
      </w:r>
    </w:p>
    <w:p w14:paraId="77A3E26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2.1.2符合性检查。依据招标文件的规定，从投标文件的有效性、完整性进行审查，以确定投标人是否对招标文件的实质性要求作出响应。</w:t>
      </w:r>
    </w:p>
    <w:p w14:paraId="5866E581">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30BDAEA7">
      <w:pPr>
        <w:spacing w:line="440" w:lineRule="exact"/>
        <w:ind w:firstLine="420" w:firstLineChars="200"/>
        <w:rPr>
          <w:rFonts w:hint="eastAsia" w:ascii="宋体"/>
          <w:color w:val="auto"/>
          <w:szCs w:val="21"/>
          <w:highlight w:val="none"/>
        </w:rPr>
      </w:pPr>
      <w:r>
        <w:rPr>
          <w:rFonts w:hint="eastAsia" w:ascii="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3D160B0D">
      <w:pPr>
        <w:spacing w:line="440" w:lineRule="exact"/>
        <w:ind w:firstLine="420" w:firstLineChars="200"/>
        <w:rPr>
          <w:rFonts w:hint="eastAsia" w:ascii="宋体"/>
          <w:color w:val="auto"/>
          <w:szCs w:val="21"/>
          <w:highlight w:val="none"/>
        </w:rPr>
      </w:pPr>
      <w:r>
        <w:rPr>
          <w:rFonts w:hint="eastAsia" w:ascii="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3936EE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2.2.3</w:t>
      </w:r>
      <w:r>
        <w:rPr>
          <w:rFonts w:hint="eastAsia" w:ascii="宋体"/>
          <w:color w:val="auto"/>
          <w:szCs w:val="21"/>
          <w:highlight w:val="none"/>
          <w:lang w:eastAsia="zh-CN"/>
        </w:rPr>
        <w:t>招标人</w:t>
      </w:r>
      <w:r>
        <w:rPr>
          <w:rFonts w:hint="eastAsia" w:ascii="宋体"/>
          <w:color w:val="auto"/>
          <w:szCs w:val="21"/>
          <w:highlight w:val="none"/>
        </w:rPr>
        <w:t>不接受投标人主动提出的澄清。</w:t>
      </w:r>
    </w:p>
    <w:p w14:paraId="48DEC9B5">
      <w:pPr>
        <w:spacing w:line="440" w:lineRule="exact"/>
        <w:ind w:firstLine="420" w:firstLineChars="200"/>
        <w:rPr>
          <w:rFonts w:hint="eastAsia" w:ascii="宋体"/>
          <w:color w:val="auto"/>
          <w:szCs w:val="21"/>
          <w:highlight w:val="none"/>
        </w:rPr>
      </w:pPr>
      <w:r>
        <w:rPr>
          <w:rFonts w:hint="eastAsia" w:ascii="宋体"/>
          <w:color w:val="auto"/>
          <w:szCs w:val="21"/>
          <w:highlight w:val="none"/>
        </w:rPr>
        <w:t>2.3比较与评价</w:t>
      </w:r>
    </w:p>
    <w:p w14:paraId="5BA2410E">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2．3.1按招标文件中规定的评标方法和标准，对资格性检查和符合性检查合格的投标文件进行商务和技术评估，综合比较与评价。 </w:t>
      </w:r>
      <w:r>
        <w:rPr>
          <w:rFonts w:hint="eastAsia" w:ascii="宋体"/>
          <w:color w:val="auto"/>
          <w:szCs w:val="21"/>
          <w:highlight w:val="none"/>
        </w:rPr>
        <w:br w:type="textWrapping"/>
      </w:r>
      <w:r>
        <w:rPr>
          <w:rFonts w:hint="eastAsia" w:ascii="宋体"/>
          <w:color w:val="auto"/>
          <w:szCs w:val="21"/>
          <w:highlight w:val="none"/>
        </w:rPr>
        <w:t xml:space="preserve">    2.4推荐中标候选人名单</w:t>
      </w:r>
    </w:p>
    <w:p w14:paraId="390A5EB9">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2.4.1中标候选人数量应当根据采购需要确定，但必须按顺序排列中标候选人。</w:t>
      </w:r>
    </w:p>
    <w:p w14:paraId="5853DDBB">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2.5在投标文件的审查、澄清、评价和比较以及授予合同过程中，投标人对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40D3E73C">
      <w:pP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br w:type="page"/>
      </w:r>
    </w:p>
    <w:p w14:paraId="0B35F66E">
      <w:pPr>
        <w:spacing w:before="156" w:beforeLines="50" w:after="156" w:afterLines="50" w:line="440" w:lineRule="exact"/>
        <w:jc w:val="center"/>
        <w:outlineLvl w:val="1"/>
        <w:rPr>
          <w:rFonts w:hint="eastAsia" w:ascii="宋体" w:eastAsia="宋体"/>
          <w:b/>
          <w:color w:val="auto"/>
          <w:sz w:val="28"/>
          <w:szCs w:val="28"/>
          <w:highlight w:val="none"/>
        </w:rPr>
      </w:pPr>
      <w:r>
        <w:rPr>
          <w:rFonts w:hint="eastAsia" w:ascii="宋体" w:eastAsia="宋体"/>
          <w:b/>
          <w:color w:val="auto"/>
          <w:sz w:val="28"/>
          <w:szCs w:val="28"/>
          <w:highlight w:val="none"/>
        </w:rPr>
        <w:t>二、投标文件初审</w:t>
      </w:r>
      <w:bookmarkEnd w:id="647"/>
      <w:bookmarkEnd w:id="648"/>
      <w:bookmarkEnd w:id="649"/>
      <w:bookmarkEnd w:id="650"/>
    </w:p>
    <w:p w14:paraId="5534C6B9">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542D6066">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7"/>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6C2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0F421018">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28D3D2CA">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2620839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202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C288E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5B0ECB7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6EBF03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7084E209">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2E1D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95" w:type="dxa"/>
            <w:vMerge w:val="restart"/>
            <w:noWrap w:val="0"/>
            <w:vAlign w:val="center"/>
          </w:tcPr>
          <w:p w14:paraId="662F924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3878F20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03AF52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47E91753">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049F3E9C">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w:t>
            </w:r>
          </w:p>
        </w:tc>
      </w:tr>
      <w:tr w14:paraId="1539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17EC704D">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138BDE61">
            <w:pPr>
              <w:spacing w:line="440" w:lineRule="exact"/>
              <w:rPr>
                <w:rFonts w:hint="eastAsia" w:ascii="宋体" w:hAnsi="宋体" w:cs="宋体"/>
                <w:color w:val="auto"/>
                <w:szCs w:val="21"/>
                <w:highlight w:val="none"/>
              </w:rPr>
            </w:pPr>
          </w:p>
        </w:tc>
        <w:tc>
          <w:tcPr>
            <w:tcW w:w="3368" w:type="dxa"/>
            <w:noWrap w:val="0"/>
            <w:vAlign w:val="top"/>
          </w:tcPr>
          <w:p w14:paraId="7F33D4A4">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4492" w:type="dxa"/>
            <w:noWrap w:val="0"/>
            <w:vAlign w:val="top"/>
          </w:tcPr>
          <w:p w14:paraId="086EEE4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1D13B5D8">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检验电子</w:t>
      </w:r>
      <w:r>
        <w:rPr>
          <w:rFonts w:hint="eastAsia" w:ascii="宋体" w:hAnsi="宋体" w:cs="宋体"/>
          <w:b/>
          <w:color w:val="auto"/>
          <w:szCs w:val="21"/>
          <w:highlight w:val="none"/>
        </w:rPr>
        <w:t>投标文件过程中，如果由于投标人自身原因导致评标专家无法查看并检验</w:t>
      </w:r>
      <w:r>
        <w:rPr>
          <w:rFonts w:hint="eastAsia" w:ascii="宋体" w:hAnsi="宋体" w:cs="宋体"/>
          <w:b/>
          <w:color w:val="auto"/>
          <w:szCs w:val="21"/>
          <w:highlight w:val="none"/>
          <w:lang w:val="en-US" w:eastAsia="zh-CN"/>
        </w:rPr>
        <w:t>电子</w:t>
      </w:r>
      <w:r>
        <w:rPr>
          <w:rFonts w:hint="eastAsia" w:ascii="宋体" w:hAnsi="宋体" w:cs="宋体"/>
          <w:b/>
          <w:color w:val="auto"/>
          <w:szCs w:val="21"/>
          <w:highlight w:val="none"/>
        </w:rPr>
        <w:t>投标文件中相关资料的，否决其投标。即使投标人将原件携带至现场的，同样按否决投标处理。</w:t>
      </w:r>
    </w:p>
    <w:p w14:paraId="23C4CE0C">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0272B7F7">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6D0F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0B277332">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34A043A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7A32455F">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164E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1AD39E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511055F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2342B75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3F454FF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29E8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626937F2">
            <w:pPr>
              <w:spacing w:line="440" w:lineRule="exact"/>
              <w:rPr>
                <w:rFonts w:hint="eastAsia" w:ascii="宋体" w:hAnsi="宋体" w:cs="宋体"/>
                <w:color w:val="auto"/>
                <w:szCs w:val="21"/>
                <w:highlight w:val="none"/>
              </w:rPr>
            </w:pPr>
          </w:p>
        </w:tc>
        <w:tc>
          <w:tcPr>
            <w:tcW w:w="1204" w:type="dxa"/>
            <w:vMerge w:val="continue"/>
            <w:noWrap w:val="0"/>
            <w:vAlign w:val="center"/>
          </w:tcPr>
          <w:p w14:paraId="3AF2561A">
            <w:pPr>
              <w:spacing w:line="440" w:lineRule="exact"/>
              <w:rPr>
                <w:rFonts w:hint="eastAsia" w:ascii="宋体" w:hAnsi="宋体" w:cs="宋体"/>
                <w:color w:val="auto"/>
                <w:szCs w:val="21"/>
                <w:highlight w:val="none"/>
              </w:rPr>
            </w:pPr>
          </w:p>
        </w:tc>
        <w:tc>
          <w:tcPr>
            <w:tcW w:w="2931" w:type="dxa"/>
            <w:noWrap w:val="0"/>
            <w:vAlign w:val="center"/>
          </w:tcPr>
          <w:p w14:paraId="655B4A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1E57FA08">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FFA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7200CFF">
            <w:pPr>
              <w:spacing w:line="440" w:lineRule="exact"/>
              <w:rPr>
                <w:rFonts w:hint="eastAsia" w:ascii="宋体" w:hAnsi="宋体" w:cs="宋体"/>
                <w:color w:val="auto"/>
                <w:szCs w:val="21"/>
                <w:highlight w:val="none"/>
              </w:rPr>
            </w:pPr>
          </w:p>
        </w:tc>
        <w:tc>
          <w:tcPr>
            <w:tcW w:w="1204" w:type="dxa"/>
            <w:vMerge w:val="continue"/>
            <w:noWrap w:val="0"/>
            <w:vAlign w:val="center"/>
          </w:tcPr>
          <w:p w14:paraId="1CE6AE82">
            <w:pPr>
              <w:spacing w:line="440" w:lineRule="exact"/>
              <w:rPr>
                <w:rFonts w:hint="eastAsia" w:ascii="宋体" w:hAnsi="宋体" w:cs="宋体"/>
                <w:color w:val="auto"/>
                <w:szCs w:val="21"/>
                <w:highlight w:val="none"/>
              </w:rPr>
            </w:pPr>
          </w:p>
        </w:tc>
        <w:tc>
          <w:tcPr>
            <w:tcW w:w="2931" w:type="dxa"/>
            <w:noWrap w:val="0"/>
            <w:vAlign w:val="center"/>
          </w:tcPr>
          <w:p w14:paraId="47AF47F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498F9B00">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565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36C33C73">
            <w:pPr>
              <w:spacing w:line="440" w:lineRule="exact"/>
              <w:rPr>
                <w:rFonts w:hint="eastAsia" w:ascii="宋体" w:hAnsi="宋体" w:cs="宋体"/>
                <w:color w:val="auto"/>
                <w:szCs w:val="21"/>
                <w:highlight w:val="none"/>
              </w:rPr>
            </w:pPr>
          </w:p>
        </w:tc>
        <w:tc>
          <w:tcPr>
            <w:tcW w:w="1204" w:type="dxa"/>
            <w:vMerge w:val="continue"/>
            <w:noWrap w:val="0"/>
            <w:vAlign w:val="center"/>
          </w:tcPr>
          <w:p w14:paraId="3E033FB6">
            <w:pPr>
              <w:spacing w:line="440" w:lineRule="exact"/>
              <w:rPr>
                <w:rFonts w:hint="eastAsia" w:ascii="宋体" w:hAnsi="宋体" w:cs="宋体"/>
                <w:color w:val="auto"/>
                <w:szCs w:val="21"/>
                <w:highlight w:val="none"/>
              </w:rPr>
            </w:pPr>
          </w:p>
        </w:tc>
        <w:tc>
          <w:tcPr>
            <w:tcW w:w="2931" w:type="dxa"/>
            <w:noWrap w:val="0"/>
            <w:vAlign w:val="center"/>
          </w:tcPr>
          <w:p w14:paraId="329BD3F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44882B0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112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0E66DC8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638699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6F8D189">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08B01365">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网上递交的电子投标文件：一份。 </w:t>
            </w:r>
          </w:p>
        </w:tc>
      </w:tr>
      <w:tr w14:paraId="6A1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C2542B1">
            <w:pPr>
              <w:spacing w:line="440" w:lineRule="exact"/>
              <w:rPr>
                <w:rFonts w:hint="eastAsia" w:ascii="宋体" w:hAnsi="宋体" w:cs="宋体"/>
                <w:color w:val="auto"/>
                <w:szCs w:val="21"/>
                <w:highlight w:val="none"/>
              </w:rPr>
            </w:pPr>
          </w:p>
        </w:tc>
        <w:tc>
          <w:tcPr>
            <w:tcW w:w="1204" w:type="dxa"/>
            <w:vMerge w:val="continue"/>
            <w:noWrap w:val="0"/>
            <w:vAlign w:val="center"/>
          </w:tcPr>
          <w:p w14:paraId="45BF5F3C">
            <w:pPr>
              <w:spacing w:line="440" w:lineRule="exact"/>
              <w:rPr>
                <w:rFonts w:hint="eastAsia" w:ascii="宋体" w:hAnsi="宋体" w:cs="宋体"/>
                <w:color w:val="auto"/>
                <w:szCs w:val="21"/>
                <w:highlight w:val="none"/>
              </w:rPr>
            </w:pPr>
          </w:p>
        </w:tc>
        <w:tc>
          <w:tcPr>
            <w:tcW w:w="2931" w:type="dxa"/>
            <w:noWrap w:val="0"/>
            <w:vAlign w:val="center"/>
          </w:tcPr>
          <w:p w14:paraId="4033609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7B334A4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3E16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464FD1B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29266C82">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3BE672D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7DF9D5F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693F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0275A35F">
            <w:pPr>
              <w:spacing w:line="440" w:lineRule="exact"/>
              <w:rPr>
                <w:rFonts w:hint="eastAsia" w:ascii="宋体" w:hAnsi="宋体" w:cs="宋体"/>
                <w:color w:val="auto"/>
                <w:szCs w:val="21"/>
                <w:highlight w:val="none"/>
              </w:rPr>
            </w:pPr>
          </w:p>
        </w:tc>
        <w:tc>
          <w:tcPr>
            <w:tcW w:w="1204" w:type="dxa"/>
            <w:vMerge w:val="continue"/>
            <w:noWrap w:val="0"/>
            <w:vAlign w:val="center"/>
          </w:tcPr>
          <w:p w14:paraId="167951BA">
            <w:pPr>
              <w:spacing w:line="440" w:lineRule="exact"/>
              <w:rPr>
                <w:rFonts w:hint="eastAsia" w:ascii="宋体" w:hAnsi="宋体" w:cs="宋体"/>
                <w:color w:val="auto"/>
                <w:szCs w:val="21"/>
                <w:highlight w:val="none"/>
              </w:rPr>
            </w:pPr>
          </w:p>
        </w:tc>
        <w:tc>
          <w:tcPr>
            <w:tcW w:w="2931" w:type="dxa"/>
            <w:noWrap w:val="0"/>
            <w:vAlign w:val="center"/>
          </w:tcPr>
          <w:p w14:paraId="66E5B7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（8）商务条款响应程度（包括售后服务、</w:t>
            </w:r>
            <w:r>
              <w:rPr>
                <w:rFonts w:hint="eastAsia" w:ascii="宋体" w:hAnsi="宋体" w:cs="宋体"/>
                <w:color w:val="auto"/>
                <w:szCs w:val="21"/>
                <w:highlight w:val="none"/>
                <w:lang w:val="en-US" w:eastAsia="zh-CN"/>
              </w:rPr>
              <w:t>岗前</w:t>
            </w:r>
            <w:r>
              <w:rPr>
                <w:rFonts w:hint="eastAsia" w:ascii="宋体" w:hAnsi="宋体" w:cs="宋体"/>
                <w:color w:val="auto"/>
                <w:szCs w:val="21"/>
                <w:highlight w:val="none"/>
                <w:lang w:val="zh-CN"/>
              </w:rPr>
              <w:t>培训等）</w:t>
            </w:r>
          </w:p>
        </w:tc>
        <w:tc>
          <w:tcPr>
            <w:tcW w:w="4173" w:type="dxa"/>
            <w:noWrap w:val="0"/>
            <w:vAlign w:val="center"/>
          </w:tcPr>
          <w:p w14:paraId="4CF6FE23">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047734D9">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w:t>
      </w:r>
      <w:r>
        <w:rPr>
          <w:rFonts w:hint="eastAsia" w:ascii="宋体" w:hAnsi="宋体" w:cs="宋体"/>
          <w:color w:val="auto"/>
          <w:szCs w:val="21"/>
          <w:highlight w:val="none"/>
          <w:lang w:val="en-US" w:eastAsia="zh-CN"/>
        </w:rPr>
        <w:t>审</w:t>
      </w:r>
      <w:r>
        <w:rPr>
          <w:rFonts w:hint="eastAsia" w:ascii="宋体" w:hAnsi="宋体" w:cs="宋体"/>
          <w:color w:val="auto"/>
          <w:szCs w:val="21"/>
          <w:highlight w:val="none"/>
        </w:rPr>
        <w:t>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74E8712E">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1B2790A9">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51559265">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26AFF1F7">
      <w:pPr>
        <w:jc w:val="center"/>
        <w:outlineLvl w:val="1"/>
        <w:rPr>
          <w:rFonts w:hint="eastAsia" w:ascii="宋体" w:hAnsi="Times New Roman" w:eastAsia="宋体" w:cs="Times New Roman"/>
          <w:b/>
          <w:color w:val="auto"/>
          <w:sz w:val="28"/>
          <w:szCs w:val="28"/>
          <w:highlight w:val="none"/>
        </w:rPr>
      </w:pPr>
      <w:bookmarkStart w:id="654" w:name="_Toc362983803"/>
      <w:bookmarkStart w:id="655" w:name="_Toc449028879"/>
      <w:bookmarkStart w:id="656" w:name="_Toc58430319"/>
      <w:bookmarkStart w:id="657" w:name="_Toc20055"/>
      <w:r>
        <w:rPr>
          <w:rFonts w:hint="eastAsia" w:ascii="宋体" w:hAnsi="Times New Roman" w:eastAsia="宋体" w:cs="Times New Roman"/>
          <w:b/>
          <w:color w:val="auto"/>
          <w:sz w:val="28"/>
          <w:szCs w:val="28"/>
          <w:highlight w:val="none"/>
        </w:rPr>
        <w:t>三、投标文件的澄清和补正</w:t>
      </w:r>
      <w:bookmarkEnd w:id="654"/>
      <w:bookmarkEnd w:id="655"/>
      <w:bookmarkEnd w:id="656"/>
      <w:bookmarkEnd w:id="657"/>
    </w:p>
    <w:p w14:paraId="3A50F91C">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4F50C5A7">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6CD75983">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077BC2AB">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68C1681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1882661">
      <w:pPr>
        <w:spacing w:line="440" w:lineRule="exact"/>
        <w:ind w:firstLine="403" w:firstLineChars="192"/>
        <w:jc w:val="left"/>
        <w:rPr>
          <w:rFonts w:hint="eastAsia" w:ascii="宋体"/>
          <w:b/>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5.4评委会将按上述修正错误的方法调整投标文件中的投标报价，调整后的价格应对投标人具有约束力。无论投标人是接受或是拒绝调整后的价格，都应当由投标人在系统中确认。</w:t>
      </w:r>
      <w:r>
        <w:rPr>
          <w:rFonts w:hint="eastAsia" w:ascii="宋体"/>
          <w:b/>
          <w:bCs/>
          <w:color w:val="auto"/>
          <w:szCs w:val="21"/>
          <w:highlight w:val="none"/>
        </w:rPr>
        <w:t>投标人拒绝对投标文件出现的错漏按上述原则进行修正、澄清、说明，评标委员会应当否决其投标。</w:t>
      </w:r>
      <w:bookmarkStart w:id="658" w:name="_Toc58430320"/>
      <w:bookmarkStart w:id="659" w:name="_Toc449028880"/>
    </w:p>
    <w:bookmarkEnd w:id="651"/>
    <w:bookmarkEnd w:id="658"/>
    <w:bookmarkEnd w:id="659"/>
    <w:p w14:paraId="21AD47B9">
      <w:pPr>
        <w:spacing w:line="400" w:lineRule="exact"/>
        <w:ind w:firstLine="562" w:firstLineChars="200"/>
        <w:jc w:val="center"/>
        <w:outlineLvl w:val="1"/>
        <w:rPr>
          <w:rFonts w:hint="eastAsia" w:ascii="宋体" w:hAnsi="宋体"/>
          <w:b/>
          <w:color w:val="auto"/>
          <w:sz w:val="28"/>
          <w:szCs w:val="28"/>
          <w:highlight w:val="none"/>
        </w:rPr>
      </w:pPr>
      <w:bookmarkStart w:id="660" w:name="_Toc26619"/>
      <w:bookmarkStart w:id="661" w:name="_Toc9435"/>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比较与评价</w:t>
      </w:r>
      <w:bookmarkEnd w:id="660"/>
      <w:bookmarkEnd w:id="661"/>
    </w:p>
    <w:p w14:paraId="7DB1C197">
      <w:pPr>
        <w:spacing w:line="400" w:lineRule="exact"/>
        <w:ind w:firstLine="422" w:firstLineChars="200"/>
        <w:rPr>
          <w:rFonts w:hint="eastAsia" w:ascii="宋体" w:hAnsi="宋体"/>
          <w:b/>
          <w:color w:val="auto"/>
          <w:szCs w:val="21"/>
          <w:highlight w:val="none"/>
        </w:rPr>
      </w:pPr>
      <w:bookmarkStart w:id="662" w:name="_Toc19726_WPSOffice_Level2"/>
      <w:bookmarkStart w:id="663" w:name="_Toc25521"/>
      <w:r>
        <w:rPr>
          <w:rFonts w:hint="eastAsia" w:ascii="宋体" w:hAnsi="宋体"/>
          <w:b/>
          <w:color w:val="auto"/>
          <w:szCs w:val="21"/>
          <w:highlight w:val="none"/>
        </w:rPr>
        <w:t>6. 详细评审即</w:t>
      </w:r>
      <w:r>
        <w:rPr>
          <w:rFonts w:ascii="宋体" w:hAnsi="宋体"/>
          <w:b/>
          <w:color w:val="auto"/>
          <w:szCs w:val="21"/>
          <w:highlight w:val="none"/>
        </w:rPr>
        <w:t>按招标文件中规定的评标方法和标准，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b/>
          <w:color w:val="auto"/>
          <w:szCs w:val="21"/>
          <w:highlight w:val="none"/>
        </w:rPr>
        <w:t>进行</w:t>
      </w:r>
      <w:r>
        <w:rPr>
          <w:rFonts w:hint="eastAsia" w:ascii="宋体" w:hAnsi="宋体"/>
          <w:b/>
          <w:color w:val="auto"/>
          <w:szCs w:val="21"/>
          <w:highlight w:val="none"/>
        </w:rPr>
        <w:t>商务报价评审，</w:t>
      </w:r>
      <w:r>
        <w:rPr>
          <w:rFonts w:ascii="宋体" w:hAnsi="宋体"/>
          <w:b/>
          <w:color w:val="auto"/>
          <w:szCs w:val="21"/>
          <w:highlight w:val="none"/>
        </w:rPr>
        <w:t>综合比较与评价</w:t>
      </w:r>
      <w:r>
        <w:rPr>
          <w:rFonts w:hint="eastAsia" w:ascii="宋体" w:hAnsi="宋体"/>
          <w:b/>
          <w:color w:val="auto"/>
          <w:szCs w:val="21"/>
          <w:highlight w:val="none"/>
        </w:rPr>
        <w:t>。</w:t>
      </w:r>
    </w:p>
    <w:p w14:paraId="3E8D777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商务标评审</w:t>
      </w:r>
    </w:p>
    <w:p w14:paraId="1931E132">
      <w:pPr>
        <w:snapToGrid w:val="0"/>
        <w:spacing w:line="4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.1.1</w:t>
      </w:r>
      <w:r>
        <w:rPr>
          <w:rFonts w:hint="eastAsia" w:ascii="宋体" w:hAnsi="宋体"/>
          <w:color w:val="auto"/>
          <w:szCs w:val="21"/>
          <w:highlight w:val="none"/>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14:paraId="1E54A9C4">
      <w:pPr>
        <w:spacing w:line="360" w:lineRule="exact"/>
        <w:ind w:firstLine="421"/>
        <w:rPr>
          <w:rFonts w:ascii="宋体" w:hAnsi="宋体"/>
          <w:b/>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1.2</w:t>
      </w:r>
      <w:r>
        <w:rPr>
          <w:rFonts w:hint="eastAsia" w:ascii="宋体" w:hAnsi="宋体"/>
          <w:color w:val="auto"/>
          <w:szCs w:val="21"/>
          <w:highlight w:val="none"/>
        </w:rPr>
        <w:t>评标委员会按修正后按投标报价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olor w:val="auto"/>
          <w:szCs w:val="21"/>
          <w:highlight w:val="none"/>
        </w:rPr>
        <w:t>由低到高顺序排序，确定中标候选人。</w:t>
      </w:r>
    </w:p>
    <w:p w14:paraId="3BF39229">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816" w:name="_GoBack"/>
      <w:bookmarkEnd w:id="816"/>
    </w:p>
    <w:p w14:paraId="065675D0">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664" w:name="_Toc19001"/>
      <w:bookmarkStart w:id="665" w:name="_Toc31492"/>
      <w:r>
        <w:rPr>
          <w:rFonts w:hint="eastAsia" w:ascii="宋体"/>
          <w:b/>
          <w:color w:val="auto"/>
          <w:sz w:val="24"/>
          <w:szCs w:val="24"/>
          <w:highlight w:val="none"/>
        </w:rPr>
        <w:t>五  推荐中标候选人</w:t>
      </w:r>
      <w:bookmarkEnd w:id="662"/>
      <w:bookmarkEnd w:id="663"/>
      <w:bookmarkEnd w:id="664"/>
      <w:bookmarkEnd w:id="665"/>
    </w:p>
    <w:p w14:paraId="12B8E108">
      <w:pPr>
        <w:spacing w:line="400" w:lineRule="exact"/>
        <w:ind w:firstLine="417" w:firstLineChars="198"/>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 评标委员会根据第二章投标人须知及前附表的规定数量推荐中标候选人，并标明排序。</w:t>
      </w:r>
    </w:p>
    <w:p w14:paraId="692883AB">
      <w:pPr>
        <w:snapToGrid w:val="0"/>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7.1评标委员会按修正后按投标报价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olor w:val="auto"/>
          <w:szCs w:val="21"/>
          <w:highlight w:val="none"/>
        </w:rPr>
        <w:t>由低到高顺序排序，确定中标候选人。如出现报价相同情况，则由</w:t>
      </w:r>
      <w:r>
        <w:rPr>
          <w:rFonts w:hint="eastAsia" w:ascii="宋体" w:hAnsi="宋体"/>
          <w:color w:val="auto"/>
          <w:szCs w:val="21"/>
          <w:highlight w:val="none"/>
          <w:lang w:val="en-US" w:eastAsia="zh-CN"/>
        </w:rPr>
        <w:t>开票税率从高到低确定中标候选人排名顺序，若开票税率也相同，则</w:t>
      </w:r>
      <w:r>
        <w:rPr>
          <w:rFonts w:hint="eastAsia" w:ascii="宋体" w:hAnsi="宋体"/>
          <w:color w:val="auto"/>
          <w:szCs w:val="21"/>
          <w:highlight w:val="none"/>
          <w:lang w:eastAsia="zh-CN"/>
        </w:rPr>
        <w:t>招标人</w:t>
      </w:r>
      <w:r>
        <w:rPr>
          <w:rFonts w:hint="eastAsia" w:ascii="宋体" w:hAnsi="宋体"/>
          <w:color w:val="auto"/>
          <w:szCs w:val="21"/>
          <w:highlight w:val="none"/>
        </w:rPr>
        <w:t>现场抽签确定中标候选人排名顺序。</w:t>
      </w:r>
    </w:p>
    <w:p w14:paraId="6A83DF18">
      <w:pPr>
        <w:snapToGrid w:val="0"/>
        <w:spacing w:line="440" w:lineRule="exact"/>
        <w:ind w:firstLine="422" w:firstLineChars="200"/>
        <w:rPr>
          <w:rFonts w:hint="eastAsia" w:ascii="黑体" w:eastAsia="黑体" w:cs="宋体"/>
          <w:color w:val="auto"/>
          <w:szCs w:val="21"/>
          <w:highlight w:val="none"/>
        </w:rPr>
      </w:pPr>
      <w:r>
        <w:rPr>
          <w:rFonts w:hint="eastAsia" w:ascii="黑体" w:eastAsia="黑体" w:cs="宋体"/>
          <w:b/>
          <w:color w:val="auto"/>
          <w:szCs w:val="21"/>
          <w:highlight w:val="none"/>
        </w:rPr>
        <w:t>8.无效投标条款</w:t>
      </w:r>
    </w:p>
    <w:p w14:paraId="6F82EE9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其投标文件拒收</w:t>
      </w:r>
    </w:p>
    <w:p w14:paraId="64F2EECC">
      <w:pPr>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 逾期送达的或者未送达指定地点的投标文件的，投标将被拒绝。</w:t>
      </w:r>
    </w:p>
    <w:p w14:paraId="008ABF45">
      <w:pPr>
        <w:spacing w:line="400" w:lineRule="exact"/>
        <w:ind w:firstLine="420" w:firstLineChars="200"/>
        <w:rPr>
          <w:rFonts w:hint="eastAsia" w:ascii="宋体"/>
          <w:color w:val="auto"/>
          <w:szCs w:val="21"/>
          <w:highlight w:val="none"/>
        </w:rPr>
      </w:pPr>
      <w:r>
        <w:rPr>
          <w:rFonts w:hint="eastAsia" w:ascii="宋体"/>
          <w:color w:val="auto"/>
          <w:szCs w:val="21"/>
          <w:highlight w:val="none"/>
        </w:rPr>
        <w:t>（2）未按第二章第26.1.1项或第26.1.2项中要求密封和加写标记的投标文件，其投标文件将被拒收。</w:t>
      </w:r>
    </w:p>
    <w:p w14:paraId="70423C17">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hAnsi="宋体" w:cs="宋体"/>
          <w:color w:val="auto"/>
          <w:szCs w:val="21"/>
          <w:highlight w:val="none"/>
          <w:lang w:eastAsia="zh-CN"/>
        </w:rPr>
        <w:t>，</w:t>
      </w:r>
      <w:r>
        <w:rPr>
          <w:rFonts w:hint="eastAsia" w:ascii="宋体"/>
          <w:color w:val="auto"/>
          <w:szCs w:val="21"/>
          <w:highlight w:val="none"/>
        </w:rPr>
        <w:t>资格审查后其投标作无效投标处理：</w:t>
      </w:r>
    </w:p>
    <w:p w14:paraId="14DA33C1">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法定代表人（或授权委托人）未准时参加会议；</w:t>
      </w:r>
    </w:p>
    <w:p w14:paraId="3AE0EB49">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法定代表人参加开标会议未携带有效的法定代表人身份证明原件和本人身份证的；委托代理人参加开标会议未携带有效的法定代表人授权书和本人身份证；</w:t>
      </w:r>
    </w:p>
    <w:p w14:paraId="1A1129C8">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投标人为本项目提供招标代理服务的；</w:t>
      </w:r>
    </w:p>
    <w:p w14:paraId="3FDF6FE4">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投标人与在本项目代理机构存在相互任职或工作的；</w:t>
      </w:r>
    </w:p>
    <w:p w14:paraId="4594D6AD">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color w:val="auto"/>
          <w:szCs w:val="21"/>
          <w:highlight w:val="none"/>
        </w:rPr>
        <w:t>被暂停停业的；</w:t>
      </w:r>
    </w:p>
    <w:p w14:paraId="7C3BCFE2">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被暂停或取消投标资格的；</w:t>
      </w:r>
    </w:p>
    <w:p w14:paraId="7701C8F1">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财产被接管或冻结的；</w:t>
      </w:r>
    </w:p>
    <w:p w14:paraId="22BA947A">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投标人单位负责人为同一人或者存在控股、管理关系的不同单位的；</w:t>
      </w:r>
    </w:p>
    <w:p w14:paraId="66BC84EB">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9</w:t>
      </w:r>
      <w:r>
        <w:rPr>
          <w:rFonts w:hint="eastAsia" w:ascii="宋体"/>
          <w:color w:val="auto"/>
          <w:szCs w:val="21"/>
          <w:highlight w:val="none"/>
          <w:lang w:eastAsia="zh-CN"/>
        </w:rPr>
        <w:t>）</w:t>
      </w:r>
      <w:r>
        <w:rPr>
          <w:rFonts w:hint="eastAsia" w:ascii="宋体"/>
          <w:color w:val="auto"/>
          <w:szCs w:val="21"/>
          <w:highlight w:val="none"/>
        </w:rPr>
        <w:t>投标人基本资格条件和特定资格条件中有一项及以上不符合要求的；</w:t>
      </w:r>
    </w:p>
    <w:p w14:paraId="39F1FA1C">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10</w:t>
      </w:r>
      <w:r>
        <w:rPr>
          <w:rFonts w:hint="eastAsia" w:ascii="宋体"/>
          <w:color w:val="auto"/>
          <w:szCs w:val="21"/>
          <w:highlight w:val="none"/>
          <w:lang w:eastAsia="zh-CN"/>
        </w:rPr>
        <w:t>）</w:t>
      </w:r>
      <w:r>
        <w:rPr>
          <w:rFonts w:hint="eastAsia" w:ascii="宋体"/>
          <w:color w:val="auto"/>
          <w:szCs w:val="21"/>
          <w:highlight w:val="none"/>
        </w:rPr>
        <w:t>其它情形，经评标委员会委提出按无效投标处理，并经采购单位核准的；</w:t>
      </w:r>
    </w:p>
    <w:p w14:paraId="3667F750">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11</w:t>
      </w:r>
      <w:r>
        <w:rPr>
          <w:rFonts w:hint="eastAsia" w:ascii="宋体"/>
          <w:color w:val="auto"/>
          <w:szCs w:val="21"/>
          <w:highlight w:val="none"/>
          <w:lang w:eastAsia="zh-CN"/>
        </w:rPr>
        <w:t>）</w:t>
      </w:r>
      <w:r>
        <w:rPr>
          <w:rFonts w:hint="eastAsia" w:ascii="宋体"/>
          <w:color w:val="auto"/>
          <w:szCs w:val="21"/>
          <w:highlight w:val="none"/>
        </w:rPr>
        <w:t>招标文件规定的其它无效投标情形。</w:t>
      </w:r>
    </w:p>
    <w:p w14:paraId="695917D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w:t>
      </w:r>
      <w:r>
        <w:rPr>
          <w:rFonts w:hint="eastAsia" w:ascii="宋体"/>
          <w:color w:val="auto"/>
          <w:szCs w:val="21"/>
          <w:highlight w:val="none"/>
          <w:lang w:eastAsia="zh-CN"/>
        </w:rPr>
        <w:t>，</w:t>
      </w:r>
      <w:r>
        <w:rPr>
          <w:rFonts w:hint="eastAsia" w:ascii="宋体"/>
          <w:color w:val="auto"/>
          <w:szCs w:val="21"/>
          <w:highlight w:val="none"/>
        </w:rPr>
        <w:t>符合性审查后其投标按无效投标处理：</w:t>
      </w:r>
    </w:p>
    <w:p w14:paraId="0427DD5B">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投标文件签字、盖章不全，经评标委员会一致认定对开评标内容有实质性影响并经</w:t>
      </w:r>
      <w:r>
        <w:rPr>
          <w:rFonts w:hint="eastAsia" w:ascii="宋体"/>
          <w:color w:val="auto"/>
          <w:szCs w:val="21"/>
          <w:highlight w:val="none"/>
          <w:lang w:eastAsia="zh-CN"/>
        </w:rPr>
        <w:t>招标人</w:t>
      </w:r>
      <w:r>
        <w:rPr>
          <w:rFonts w:hint="eastAsia" w:ascii="宋体"/>
          <w:color w:val="auto"/>
          <w:szCs w:val="21"/>
          <w:highlight w:val="none"/>
        </w:rPr>
        <w:t>核准的；</w:t>
      </w:r>
    </w:p>
    <w:p w14:paraId="735D25DC">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未按规定的格式填写，实质性内容不全或关键字迹模糊、无法辨认</w:t>
      </w:r>
      <w:r>
        <w:rPr>
          <w:rFonts w:hint="eastAsia" w:ascii="宋体"/>
          <w:color w:val="auto"/>
          <w:szCs w:val="21"/>
          <w:highlight w:val="none"/>
          <w:lang w:eastAsia="zh-CN"/>
        </w:rPr>
        <w:t>；</w:t>
      </w:r>
      <w:r>
        <w:rPr>
          <w:rFonts w:hint="eastAsia" w:ascii="宋体"/>
          <w:color w:val="auto"/>
          <w:szCs w:val="21"/>
          <w:highlight w:val="none"/>
        </w:rPr>
        <w:t xml:space="preserve"> 经采购单位核准的；</w:t>
      </w:r>
    </w:p>
    <w:p w14:paraId="5EAF9C52">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同一投标人提交两个以上不同的投标文件或者投标报价，但招标文件规定提交备选方案的除外；</w:t>
      </w:r>
    </w:p>
    <w:p w14:paraId="63EA469F">
      <w:pPr>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投标文件没有对招标文件的实质性要求和条件作出响应；</w:t>
      </w:r>
    </w:p>
    <w:p w14:paraId="31EA29AE">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r>
        <w:rPr>
          <w:rFonts w:hint="eastAsia" w:ascii="宋体"/>
          <w:color w:val="auto"/>
          <w:szCs w:val="21"/>
          <w:highlight w:val="none"/>
        </w:rPr>
        <w:t>；</w:t>
      </w:r>
    </w:p>
    <w:p w14:paraId="2664AAA4">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不按评标委员会要求澄清、说明或补正的，或者评标委员会根据招标文件的规定对招标文件的计算错误进行修正后，投标人不接受修正的投标报价的。</w:t>
      </w:r>
    </w:p>
    <w:p w14:paraId="7997F225">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其它情形，经评标委员会委提出按无效投标处理，并经采购单位核准的；</w:t>
      </w:r>
    </w:p>
    <w:p w14:paraId="003C0582">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未按照招标文件的规定提交投标保证金的；</w:t>
      </w:r>
    </w:p>
    <w:p w14:paraId="39F11AFF">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9</w:t>
      </w:r>
      <w:r>
        <w:rPr>
          <w:rFonts w:hint="eastAsia" w:ascii="宋体"/>
          <w:color w:val="auto"/>
          <w:szCs w:val="21"/>
          <w:highlight w:val="none"/>
          <w:lang w:eastAsia="zh-CN"/>
        </w:rPr>
        <w:t>）</w:t>
      </w:r>
      <w:r>
        <w:rPr>
          <w:rFonts w:hint="eastAsia" w:ascii="宋体"/>
          <w:color w:val="auto"/>
          <w:szCs w:val="21"/>
          <w:highlight w:val="none"/>
        </w:rPr>
        <w:t>投标文件含有</w:t>
      </w:r>
      <w:r>
        <w:rPr>
          <w:rFonts w:hint="eastAsia" w:ascii="宋体"/>
          <w:color w:val="auto"/>
          <w:szCs w:val="21"/>
          <w:highlight w:val="none"/>
          <w:lang w:eastAsia="zh-CN"/>
        </w:rPr>
        <w:t>招标人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2107A018">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10</w:t>
      </w:r>
      <w:r>
        <w:rPr>
          <w:rFonts w:hint="eastAsia" w:ascii="宋体"/>
          <w:color w:val="auto"/>
          <w:szCs w:val="21"/>
          <w:highlight w:val="none"/>
          <w:lang w:eastAsia="zh-CN"/>
        </w:rPr>
        <w:t>）</w:t>
      </w:r>
      <w:r>
        <w:rPr>
          <w:rFonts w:hint="eastAsia" w:ascii="宋体"/>
          <w:color w:val="auto"/>
          <w:szCs w:val="21"/>
          <w:highlight w:val="none"/>
        </w:rPr>
        <w:t>招标文件规定的其它无效投标情形。</w:t>
      </w:r>
    </w:p>
    <w:p w14:paraId="107DCE46">
      <w:pPr>
        <w:tabs>
          <w:tab w:val="left" w:pos="8820"/>
        </w:tabs>
        <w:snapToGrid w:val="0"/>
        <w:spacing w:line="400" w:lineRule="exact"/>
        <w:ind w:firstLine="420" w:firstLineChars="200"/>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w:t>
      </w:r>
      <w:r>
        <w:rPr>
          <w:rFonts w:hint="eastAsia" w:ascii="宋体"/>
          <w:color w:val="auto"/>
          <w:szCs w:val="21"/>
          <w:highlight w:val="none"/>
          <w:lang w:eastAsia="zh-CN"/>
        </w:rPr>
        <w:t>，</w:t>
      </w:r>
      <w:r>
        <w:rPr>
          <w:rFonts w:hint="eastAsia" w:ascii="宋体"/>
          <w:color w:val="auto"/>
          <w:szCs w:val="21"/>
          <w:highlight w:val="none"/>
        </w:rPr>
        <w:t xml:space="preserve"> 详细评审后其投标按无效投标处理：</w:t>
      </w:r>
    </w:p>
    <w:p w14:paraId="383C8692">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投标产品不符合必须强制执行的国家标准的；</w:t>
      </w:r>
    </w:p>
    <w:p w14:paraId="150798E2">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投标人有串通投标、弄虚作假、行贿等违法行为；</w:t>
      </w:r>
    </w:p>
    <w:p w14:paraId="1CAFBE60">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招标人</w:t>
      </w:r>
      <w:r>
        <w:rPr>
          <w:rFonts w:hint="eastAsia" w:ascii="宋体"/>
          <w:color w:val="auto"/>
          <w:szCs w:val="21"/>
          <w:highlight w:val="none"/>
        </w:rPr>
        <w:t>不能接受的条件的；</w:t>
      </w:r>
    </w:p>
    <w:p w14:paraId="0C6C1E27">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在同一项目（或同一标段）中有多个投标人有效投标报价接近最高限价，且评标委员会认为报价出现异常的，可以宣布其投标无效；</w:t>
      </w:r>
    </w:p>
    <w:p w14:paraId="24680190">
      <w:pPr>
        <w:tabs>
          <w:tab w:val="left" w:pos="8820"/>
        </w:tabs>
        <w:snapToGrid w:val="0"/>
        <w:spacing w:line="400" w:lineRule="exact"/>
        <w:ind w:firstLine="420" w:firstLineChars="200"/>
        <w:rPr>
          <w:rFonts w:ascii="宋体" w:cs="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cs="宋体"/>
          <w:color w:val="auto"/>
          <w:szCs w:val="21"/>
          <w:highlight w:val="none"/>
        </w:rPr>
        <w:t>报价明显低于其他投标人，且不能证明报价合理性的投标无效；</w:t>
      </w:r>
    </w:p>
    <w:p w14:paraId="666AB27C">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拒不确认评标委员会评审修正的投标无效；</w:t>
      </w:r>
    </w:p>
    <w:p w14:paraId="3787EEB4">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其它情形，经评标委员会委提出按无效投标处理，并经</w:t>
      </w:r>
      <w:r>
        <w:rPr>
          <w:rFonts w:hint="eastAsia" w:ascii="宋体"/>
          <w:color w:val="auto"/>
          <w:szCs w:val="21"/>
          <w:highlight w:val="none"/>
          <w:lang w:eastAsia="zh-CN"/>
        </w:rPr>
        <w:t>招标人</w:t>
      </w:r>
      <w:r>
        <w:rPr>
          <w:rFonts w:hint="eastAsia" w:ascii="宋体"/>
          <w:color w:val="auto"/>
          <w:szCs w:val="21"/>
          <w:highlight w:val="none"/>
        </w:rPr>
        <w:t>核准的；</w:t>
      </w:r>
    </w:p>
    <w:p w14:paraId="14A77130">
      <w:pPr>
        <w:tabs>
          <w:tab w:val="left" w:pos="8820"/>
        </w:tabs>
        <w:snapToGrid w:val="0"/>
        <w:spacing w:line="400" w:lineRule="exact"/>
        <w:ind w:firstLine="420" w:firstLineChars="200"/>
        <w:rPr>
          <w:rFonts w:hint="eastAsia" w:ascii="宋体" w:hAnsi="宋体" w:eastAsia="宋体"/>
          <w:b/>
          <w:color w:val="auto"/>
          <w:szCs w:val="21"/>
          <w:highlight w:val="none"/>
          <w:lang w:eastAsia="zh-CN"/>
        </w:rPr>
        <w:sectPr>
          <w:footerReference r:id="rId8" w:type="default"/>
          <w:pgSz w:w="11906" w:h="16838"/>
          <w:pgMar w:top="1091" w:right="1469" w:bottom="1021" w:left="1843" w:header="284" w:footer="680" w:gutter="0"/>
          <w:pgNumType w:fmt="decimal" w:start="1"/>
          <w:cols w:space="720" w:num="1"/>
          <w:docGrid w:type="lines" w:linePitch="312" w:charSpace="0"/>
        </w:sect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招标文件规定的其它无效投标</w:t>
      </w:r>
      <w:r>
        <w:rPr>
          <w:rFonts w:hint="eastAsia" w:ascii="宋体"/>
          <w:color w:val="auto"/>
          <w:szCs w:val="21"/>
          <w:highlight w:val="none"/>
          <w:lang w:val="en-US" w:eastAsia="zh-CN"/>
        </w:rPr>
        <w:t>情形。</w:t>
      </w:r>
    </w:p>
    <w:p w14:paraId="1FDC7C17">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b/>
          <w:color w:val="auto"/>
          <w:sz w:val="32"/>
          <w:szCs w:val="32"/>
          <w:highlight w:val="none"/>
        </w:rPr>
      </w:pPr>
      <w:r>
        <w:rPr>
          <w:rFonts w:hint="eastAsia" w:ascii="宋体" w:hAnsi="Times New Roman" w:eastAsia="宋体" w:cs="Times New Roman"/>
          <w:b/>
          <w:color w:val="auto"/>
          <w:sz w:val="32"/>
          <w:szCs w:val="32"/>
          <w:highlight w:val="none"/>
        </w:rPr>
        <w:t>第四章  采购需求</w:t>
      </w:r>
    </w:p>
    <w:bookmarkEnd w:id="652"/>
    <w:p w14:paraId="761DE8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color w:val="auto"/>
          <w:highlight w:val="none"/>
        </w:rPr>
      </w:pPr>
      <w:bookmarkStart w:id="666" w:name="_Toc11143_WPSOffice_Level2"/>
      <w:bookmarkStart w:id="667" w:name="_Toc27322"/>
      <w:bookmarkStart w:id="668" w:name="_Toc19246_WPSOffice_Level2"/>
      <w:bookmarkStart w:id="669" w:name="_Toc449028945"/>
      <w:bookmarkStart w:id="670" w:name="_Toc58430329"/>
      <w:r>
        <w:rPr>
          <w:rFonts w:hint="eastAsia" w:ascii="宋体" w:hAnsi="宋体" w:cs="Times New Roman"/>
          <w:b/>
          <w:color w:val="auto"/>
          <w:sz w:val="44"/>
          <w:szCs w:val="44"/>
          <w:highlight w:val="none"/>
          <w:lang w:eastAsia="zh-CN"/>
        </w:rPr>
        <w:t>采购需求及技术要求</w:t>
      </w:r>
    </w:p>
    <w:tbl>
      <w:tblPr>
        <w:tblStyle w:val="37"/>
        <w:tblW w:w="9973" w:type="dxa"/>
        <w:jc w:val="center"/>
        <w:tblLayout w:type="fixed"/>
        <w:tblCellMar>
          <w:top w:w="0" w:type="dxa"/>
          <w:left w:w="108" w:type="dxa"/>
          <w:bottom w:w="0" w:type="dxa"/>
          <w:right w:w="108" w:type="dxa"/>
        </w:tblCellMar>
      </w:tblPr>
      <w:tblGrid>
        <w:gridCol w:w="744"/>
        <w:gridCol w:w="1600"/>
        <w:gridCol w:w="6022"/>
        <w:gridCol w:w="816"/>
        <w:gridCol w:w="791"/>
      </w:tblGrid>
      <w:tr w14:paraId="05848476">
        <w:tblPrEx>
          <w:tblCellMar>
            <w:top w:w="0" w:type="dxa"/>
            <w:left w:w="108" w:type="dxa"/>
            <w:bottom w:w="0" w:type="dxa"/>
            <w:right w:w="108" w:type="dxa"/>
          </w:tblCellMar>
        </w:tblPrEx>
        <w:trPr>
          <w:trHeight w:val="510" w:hRule="atLeast"/>
          <w:jc w:val="center"/>
        </w:trPr>
        <w:tc>
          <w:tcPr>
            <w:tcW w:w="744"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C30AC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00"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4B81F0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6022"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D4679D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项目特征描述</w:t>
            </w:r>
          </w:p>
        </w:tc>
        <w:tc>
          <w:tcPr>
            <w:tcW w:w="816"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0D41F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79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2391D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数</w:t>
            </w:r>
            <w:r>
              <w:rPr>
                <w:rFonts w:hint="eastAsia" w:ascii="宋体" w:hAnsi="宋体" w:eastAsia="宋体" w:cs="宋体"/>
                <w:b/>
                <w:bCs/>
                <w:color w:val="auto"/>
                <w:sz w:val="21"/>
                <w:szCs w:val="21"/>
                <w:highlight w:val="none"/>
              </w:rPr>
              <w:t>量</w:t>
            </w:r>
          </w:p>
        </w:tc>
      </w:tr>
      <w:tr w14:paraId="27D60388">
        <w:tblPrEx>
          <w:tblCellMar>
            <w:top w:w="0" w:type="dxa"/>
            <w:left w:w="108" w:type="dxa"/>
            <w:bottom w:w="0" w:type="dxa"/>
            <w:right w:w="108" w:type="dxa"/>
          </w:tblCellMar>
        </w:tblPrEx>
        <w:trPr>
          <w:trHeight w:val="929" w:hRule="atLeast"/>
          <w:jc w:val="center"/>
        </w:trPr>
        <w:tc>
          <w:tcPr>
            <w:tcW w:w="744" w:type="dxa"/>
            <w:tcBorders>
              <w:top w:val="single" w:color="auto" w:sz="4" w:space="0"/>
              <w:left w:val="single" w:color="auto" w:sz="4" w:space="0"/>
              <w:bottom w:val="single" w:color="auto" w:sz="4" w:space="0"/>
              <w:right w:val="single" w:color="auto" w:sz="4" w:space="0"/>
            </w:tcBorders>
            <w:noWrap/>
            <w:vAlign w:val="center"/>
          </w:tcPr>
          <w:p w14:paraId="3DD817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00" w:type="dxa"/>
            <w:tcBorders>
              <w:top w:val="single" w:color="auto" w:sz="4" w:space="0"/>
              <w:left w:val="single" w:color="auto" w:sz="4" w:space="0"/>
              <w:bottom w:val="single" w:color="auto" w:sz="4" w:space="0"/>
              <w:right w:val="single" w:color="auto" w:sz="4" w:space="0"/>
            </w:tcBorders>
            <w:noWrap/>
            <w:vAlign w:val="center"/>
          </w:tcPr>
          <w:p w14:paraId="0C5AC8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互联网专线</w:t>
            </w:r>
          </w:p>
        </w:tc>
        <w:tc>
          <w:tcPr>
            <w:tcW w:w="6022" w:type="dxa"/>
            <w:tcBorders>
              <w:top w:val="single" w:color="auto" w:sz="4" w:space="0"/>
              <w:left w:val="single" w:color="auto" w:sz="4" w:space="0"/>
              <w:bottom w:val="single" w:color="auto" w:sz="4" w:space="0"/>
              <w:right w:val="single" w:color="auto" w:sz="4" w:space="0"/>
            </w:tcBorders>
            <w:noWrap/>
            <w:vAlign w:val="center"/>
          </w:tcPr>
          <w:p w14:paraId="36018BA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200M，</w:t>
            </w:r>
            <w:r>
              <w:rPr>
                <w:rFonts w:hint="eastAsia" w:ascii="宋体" w:hAnsi="宋体" w:eastAsia="宋体" w:cs="宋体"/>
                <w:color w:val="auto"/>
                <w:kern w:val="0"/>
                <w:sz w:val="21"/>
                <w:szCs w:val="21"/>
                <w:highlight w:val="none"/>
              </w:rPr>
              <w:t>采用独享MSTP或光纤接入，上下行速率对称，分配固定IP地址，提供高速接入互联网的服务。</w:t>
            </w:r>
          </w:p>
        </w:tc>
        <w:tc>
          <w:tcPr>
            <w:tcW w:w="816" w:type="dxa"/>
            <w:tcBorders>
              <w:top w:val="single" w:color="auto" w:sz="4" w:space="0"/>
              <w:left w:val="single" w:color="auto" w:sz="4" w:space="0"/>
              <w:bottom w:val="single" w:color="auto" w:sz="4" w:space="0"/>
              <w:right w:val="single" w:color="auto" w:sz="4" w:space="0"/>
            </w:tcBorders>
            <w:noWrap/>
            <w:vAlign w:val="center"/>
          </w:tcPr>
          <w:p w14:paraId="652A87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条</w:t>
            </w:r>
          </w:p>
        </w:tc>
        <w:tc>
          <w:tcPr>
            <w:tcW w:w="791" w:type="dxa"/>
            <w:tcBorders>
              <w:top w:val="single" w:color="auto" w:sz="4" w:space="0"/>
              <w:left w:val="single" w:color="auto" w:sz="4" w:space="0"/>
              <w:bottom w:val="single" w:color="auto" w:sz="4" w:space="0"/>
              <w:right w:val="single" w:color="auto" w:sz="4" w:space="0"/>
            </w:tcBorders>
            <w:noWrap/>
            <w:vAlign w:val="center"/>
          </w:tcPr>
          <w:p w14:paraId="374AEF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14:paraId="3666B90C">
        <w:tblPrEx>
          <w:tblCellMar>
            <w:top w:w="0" w:type="dxa"/>
            <w:left w:w="108" w:type="dxa"/>
            <w:bottom w:w="0" w:type="dxa"/>
            <w:right w:w="108" w:type="dxa"/>
          </w:tblCellMar>
        </w:tblPrEx>
        <w:trPr>
          <w:trHeight w:val="929" w:hRule="atLeast"/>
          <w:jc w:val="center"/>
        </w:trPr>
        <w:tc>
          <w:tcPr>
            <w:tcW w:w="744" w:type="dxa"/>
            <w:tcBorders>
              <w:top w:val="single" w:color="auto" w:sz="4" w:space="0"/>
              <w:left w:val="single" w:color="auto" w:sz="4" w:space="0"/>
              <w:bottom w:val="single" w:color="auto" w:sz="4" w:space="0"/>
              <w:right w:val="single" w:color="auto" w:sz="4" w:space="0"/>
            </w:tcBorders>
            <w:noWrap/>
            <w:vAlign w:val="center"/>
          </w:tcPr>
          <w:p w14:paraId="4E186A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600" w:type="dxa"/>
            <w:tcBorders>
              <w:top w:val="single" w:color="auto" w:sz="4" w:space="0"/>
              <w:left w:val="single" w:color="auto" w:sz="4" w:space="0"/>
              <w:bottom w:val="single" w:color="auto" w:sz="4" w:space="0"/>
              <w:right w:val="single" w:color="auto" w:sz="4" w:space="0"/>
            </w:tcBorders>
            <w:noWrap/>
            <w:vAlign w:val="center"/>
          </w:tcPr>
          <w:p w14:paraId="6AA903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固话</w:t>
            </w:r>
          </w:p>
        </w:tc>
        <w:tc>
          <w:tcPr>
            <w:tcW w:w="6022" w:type="dxa"/>
            <w:tcBorders>
              <w:top w:val="single" w:color="auto" w:sz="4" w:space="0"/>
              <w:left w:val="single" w:color="auto" w:sz="4" w:space="0"/>
              <w:bottom w:val="single" w:color="auto" w:sz="4" w:space="0"/>
              <w:right w:val="single" w:color="auto" w:sz="4" w:space="0"/>
            </w:tcBorders>
            <w:noWrap/>
            <w:vAlign w:val="center"/>
          </w:tcPr>
          <w:p w14:paraId="51E5B13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免费提供三</w:t>
            </w:r>
            <w:r>
              <w:rPr>
                <w:rFonts w:hint="eastAsia" w:ascii="宋体" w:hAnsi="宋体" w:eastAsia="宋体" w:cs="宋体"/>
                <w:color w:val="auto"/>
                <w:kern w:val="0"/>
                <w:sz w:val="21"/>
                <w:szCs w:val="21"/>
                <w:highlight w:val="none"/>
                <w:lang w:val="en-US" w:eastAsia="zh-CN"/>
              </w:rPr>
              <w:t>部固话服务专线（</w:t>
            </w:r>
            <w:r>
              <w:rPr>
                <w:rFonts w:hint="eastAsia" w:ascii="宋体" w:hAnsi="宋体" w:cs="宋体"/>
                <w:color w:val="auto"/>
                <w:kern w:val="0"/>
                <w:sz w:val="21"/>
                <w:szCs w:val="21"/>
                <w:highlight w:val="none"/>
                <w:lang w:val="en-US" w:eastAsia="zh-CN"/>
              </w:rPr>
              <w:t>两部客服电话、一部办公室电话），三部电话享受免费不低于100元/月的国内呼出话费</w:t>
            </w:r>
          </w:p>
        </w:tc>
        <w:tc>
          <w:tcPr>
            <w:tcW w:w="816" w:type="dxa"/>
            <w:tcBorders>
              <w:top w:val="single" w:color="auto" w:sz="4" w:space="0"/>
              <w:left w:val="single" w:color="auto" w:sz="4" w:space="0"/>
              <w:bottom w:val="single" w:color="auto" w:sz="4" w:space="0"/>
              <w:right w:val="single" w:color="auto" w:sz="4" w:space="0"/>
            </w:tcBorders>
            <w:noWrap/>
            <w:vAlign w:val="center"/>
          </w:tcPr>
          <w:p w14:paraId="451709B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tc>
        <w:tc>
          <w:tcPr>
            <w:tcW w:w="791" w:type="dxa"/>
            <w:tcBorders>
              <w:top w:val="single" w:color="auto" w:sz="4" w:space="0"/>
              <w:left w:val="single" w:color="auto" w:sz="4" w:space="0"/>
              <w:bottom w:val="single" w:color="auto" w:sz="4" w:space="0"/>
              <w:right w:val="single" w:color="auto" w:sz="4" w:space="0"/>
            </w:tcBorders>
            <w:noWrap/>
            <w:vAlign w:val="center"/>
          </w:tcPr>
          <w:p w14:paraId="665AD2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r>
      <w:tr w14:paraId="7733125E">
        <w:tblPrEx>
          <w:tblCellMar>
            <w:top w:w="0" w:type="dxa"/>
            <w:left w:w="108" w:type="dxa"/>
            <w:bottom w:w="0" w:type="dxa"/>
            <w:right w:w="108" w:type="dxa"/>
          </w:tblCellMar>
        </w:tblPrEx>
        <w:trPr>
          <w:trHeight w:val="929" w:hRule="atLeast"/>
          <w:jc w:val="center"/>
        </w:trPr>
        <w:tc>
          <w:tcPr>
            <w:tcW w:w="744" w:type="dxa"/>
            <w:tcBorders>
              <w:top w:val="single" w:color="auto" w:sz="4" w:space="0"/>
              <w:left w:val="single" w:color="auto" w:sz="4" w:space="0"/>
              <w:bottom w:val="single" w:color="auto" w:sz="4" w:space="0"/>
              <w:right w:val="single" w:color="auto" w:sz="4" w:space="0"/>
            </w:tcBorders>
            <w:noWrap/>
            <w:vAlign w:val="center"/>
          </w:tcPr>
          <w:p w14:paraId="60073F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600" w:type="dxa"/>
            <w:tcBorders>
              <w:top w:val="single" w:color="auto" w:sz="4" w:space="0"/>
              <w:left w:val="single" w:color="auto" w:sz="4" w:space="0"/>
              <w:bottom w:val="single" w:color="auto" w:sz="4" w:space="0"/>
              <w:right w:val="single" w:color="auto" w:sz="4" w:space="0"/>
            </w:tcBorders>
            <w:noWrap/>
            <w:vAlign w:val="center"/>
          </w:tcPr>
          <w:p w14:paraId="5407D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电路</w:t>
            </w:r>
          </w:p>
        </w:tc>
        <w:tc>
          <w:tcPr>
            <w:tcW w:w="6022" w:type="dxa"/>
            <w:tcBorders>
              <w:top w:val="single" w:color="auto" w:sz="4" w:space="0"/>
              <w:left w:val="single" w:color="auto" w:sz="4" w:space="0"/>
              <w:bottom w:val="single" w:color="auto" w:sz="4" w:space="0"/>
              <w:right w:val="single" w:color="auto" w:sz="4" w:space="0"/>
            </w:tcBorders>
            <w:noWrap/>
            <w:vAlign w:val="center"/>
          </w:tcPr>
          <w:p w14:paraId="4C1C54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10M及以上，通过骨干传输网以及宽带城域网资源，提供可承载数据、语音及多媒体流，多带宽选择的端到端的国内数字电路连接，满足在两个办公节点之间以及总部和各分支节点之间组建数据专用通信网络的需求</w:t>
            </w:r>
            <w:r>
              <w:rPr>
                <w:rFonts w:hint="eastAsia" w:ascii="宋体" w:hAnsi="宋体" w:cs="宋体"/>
                <w:color w:val="auto"/>
                <w:kern w:val="0"/>
                <w:sz w:val="21"/>
                <w:szCs w:val="21"/>
                <w:highlight w:val="none"/>
                <w:lang w:val="en-US" w:eastAsia="zh-CN"/>
              </w:rPr>
              <w:t>。在经营中如发生线路增减，以实际线路为准核算。由中标方负责接连贯，所有费用有中标方负责。</w:t>
            </w:r>
          </w:p>
        </w:tc>
        <w:tc>
          <w:tcPr>
            <w:tcW w:w="816" w:type="dxa"/>
            <w:tcBorders>
              <w:top w:val="single" w:color="auto" w:sz="4" w:space="0"/>
              <w:left w:val="single" w:color="auto" w:sz="4" w:space="0"/>
              <w:bottom w:val="single" w:color="auto" w:sz="4" w:space="0"/>
              <w:right w:val="single" w:color="auto" w:sz="4" w:space="0"/>
            </w:tcBorders>
            <w:noWrap/>
            <w:vAlign w:val="center"/>
          </w:tcPr>
          <w:p w14:paraId="3E6A1E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条</w:t>
            </w:r>
          </w:p>
        </w:tc>
        <w:tc>
          <w:tcPr>
            <w:tcW w:w="791" w:type="dxa"/>
            <w:tcBorders>
              <w:top w:val="single" w:color="auto" w:sz="4" w:space="0"/>
              <w:left w:val="single" w:color="auto" w:sz="4" w:space="0"/>
              <w:bottom w:val="single" w:color="auto" w:sz="4" w:space="0"/>
              <w:right w:val="single" w:color="auto" w:sz="4" w:space="0"/>
            </w:tcBorders>
            <w:noWrap/>
            <w:vAlign w:val="center"/>
          </w:tcPr>
          <w:p w14:paraId="60C065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152</w:t>
            </w:r>
          </w:p>
        </w:tc>
      </w:tr>
      <w:tr w14:paraId="4F67550F">
        <w:tblPrEx>
          <w:tblCellMar>
            <w:top w:w="0" w:type="dxa"/>
            <w:left w:w="108" w:type="dxa"/>
            <w:bottom w:w="0" w:type="dxa"/>
            <w:right w:w="108" w:type="dxa"/>
          </w:tblCellMar>
        </w:tblPrEx>
        <w:trPr>
          <w:trHeight w:val="929" w:hRule="atLeast"/>
          <w:jc w:val="center"/>
        </w:trPr>
        <w:tc>
          <w:tcPr>
            <w:tcW w:w="744" w:type="dxa"/>
            <w:tcBorders>
              <w:top w:val="single" w:color="auto" w:sz="4" w:space="0"/>
              <w:left w:val="single" w:color="auto" w:sz="4" w:space="0"/>
              <w:bottom w:val="single" w:color="auto" w:sz="4" w:space="0"/>
              <w:right w:val="single" w:color="auto" w:sz="4" w:space="0"/>
            </w:tcBorders>
            <w:noWrap/>
            <w:vAlign w:val="center"/>
          </w:tcPr>
          <w:p w14:paraId="471D4B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600" w:type="dxa"/>
            <w:tcBorders>
              <w:top w:val="single" w:color="auto" w:sz="4" w:space="0"/>
              <w:left w:val="single" w:color="auto" w:sz="4" w:space="0"/>
              <w:bottom w:val="single" w:color="auto" w:sz="4" w:space="0"/>
              <w:right w:val="single" w:color="auto" w:sz="4" w:space="0"/>
            </w:tcBorders>
            <w:noWrap/>
            <w:vAlign w:val="center"/>
          </w:tcPr>
          <w:p w14:paraId="6DB779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汇聚线路</w:t>
            </w:r>
          </w:p>
        </w:tc>
        <w:tc>
          <w:tcPr>
            <w:tcW w:w="6022" w:type="dxa"/>
            <w:tcBorders>
              <w:top w:val="single" w:color="auto" w:sz="4" w:space="0"/>
              <w:left w:val="single" w:color="auto" w:sz="4" w:space="0"/>
              <w:bottom w:val="single" w:color="auto" w:sz="4" w:space="0"/>
              <w:right w:val="single" w:color="auto" w:sz="4" w:space="0"/>
            </w:tcBorders>
            <w:noWrap/>
            <w:vAlign w:val="center"/>
          </w:tcPr>
          <w:p w14:paraId="2307CB1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汇聚线路带宽各1000M，确保汇聚点双线接入通畅</w:t>
            </w:r>
          </w:p>
        </w:tc>
        <w:tc>
          <w:tcPr>
            <w:tcW w:w="816" w:type="dxa"/>
            <w:tcBorders>
              <w:top w:val="single" w:color="auto" w:sz="4" w:space="0"/>
              <w:left w:val="single" w:color="auto" w:sz="4" w:space="0"/>
              <w:bottom w:val="single" w:color="auto" w:sz="4" w:space="0"/>
              <w:right w:val="single" w:color="auto" w:sz="4" w:space="0"/>
            </w:tcBorders>
            <w:noWrap/>
            <w:vAlign w:val="center"/>
          </w:tcPr>
          <w:p w14:paraId="2123E9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条</w:t>
            </w:r>
          </w:p>
        </w:tc>
        <w:tc>
          <w:tcPr>
            <w:tcW w:w="791" w:type="dxa"/>
            <w:tcBorders>
              <w:top w:val="single" w:color="auto" w:sz="4" w:space="0"/>
              <w:left w:val="single" w:color="auto" w:sz="4" w:space="0"/>
              <w:bottom w:val="single" w:color="auto" w:sz="4" w:space="0"/>
              <w:right w:val="single" w:color="auto" w:sz="4" w:space="0"/>
            </w:tcBorders>
            <w:noWrap/>
            <w:vAlign w:val="center"/>
          </w:tcPr>
          <w:p w14:paraId="3C4543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14:paraId="4D2A86F7">
        <w:tblPrEx>
          <w:tblCellMar>
            <w:top w:w="0" w:type="dxa"/>
            <w:left w:w="108" w:type="dxa"/>
            <w:bottom w:w="0" w:type="dxa"/>
            <w:right w:w="108" w:type="dxa"/>
          </w:tblCellMar>
        </w:tblPrEx>
        <w:trPr>
          <w:trHeight w:val="929" w:hRule="atLeast"/>
          <w:jc w:val="center"/>
        </w:trPr>
        <w:tc>
          <w:tcPr>
            <w:tcW w:w="744" w:type="dxa"/>
            <w:tcBorders>
              <w:top w:val="single" w:color="auto" w:sz="4" w:space="0"/>
              <w:left w:val="single" w:color="auto" w:sz="4" w:space="0"/>
              <w:bottom w:val="single" w:color="auto" w:sz="4" w:space="0"/>
              <w:right w:val="single" w:color="auto" w:sz="4" w:space="0"/>
            </w:tcBorders>
            <w:noWrap/>
            <w:vAlign w:val="center"/>
          </w:tcPr>
          <w:p w14:paraId="4ED8BD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600" w:type="dxa"/>
            <w:tcBorders>
              <w:top w:val="single" w:color="auto" w:sz="4" w:space="0"/>
              <w:left w:val="single" w:color="auto" w:sz="4" w:space="0"/>
              <w:bottom w:val="single" w:color="auto" w:sz="4" w:space="0"/>
              <w:right w:val="single" w:color="auto" w:sz="4" w:space="0"/>
            </w:tcBorders>
            <w:noWrap/>
            <w:vAlign w:val="center"/>
          </w:tcPr>
          <w:p w14:paraId="74358E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移网</w:t>
            </w:r>
          </w:p>
        </w:tc>
        <w:tc>
          <w:tcPr>
            <w:tcW w:w="6022" w:type="dxa"/>
            <w:tcBorders>
              <w:top w:val="single" w:color="auto" w:sz="4" w:space="0"/>
              <w:left w:val="single" w:color="auto" w:sz="4" w:space="0"/>
              <w:bottom w:val="single" w:color="auto" w:sz="4" w:space="0"/>
              <w:right w:val="single" w:color="auto" w:sz="4" w:space="0"/>
            </w:tcBorders>
            <w:noWrap/>
            <w:vAlign w:val="center"/>
          </w:tcPr>
          <w:p w14:paraId="7F75A05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免费提供</w:t>
            </w:r>
            <w:r>
              <w:rPr>
                <w:rFonts w:hint="eastAsia" w:ascii="宋体" w:hAnsi="宋体" w:eastAsia="宋体" w:cs="宋体"/>
                <w:color w:val="auto"/>
                <w:kern w:val="0"/>
                <w:sz w:val="21"/>
                <w:szCs w:val="21"/>
                <w:highlight w:val="none"/>
                <w:lang w:val="en-US" w:eastAsia="zh-CN"/>
              </w:rPr>
              <w:t>1000分钟</w:t>
            </w:r>
            <w:r>
              <w:rPr>
                <w:rFonts w:hint="eastAsia" w:ascii="宋体" w:hAnsi="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lang w:val="en-US" w:eastAsia="zh-CN"/>
              </w:rPr>
              <w:t>通话时长，60G</w:t>
            </w:r>
            <w:r>
              <w:rPr>
                <w:rFonts w:hint="eastAsia" w:ascii="宋体" w:hAnsi="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lang w:val="en-US" w:eastAsia="zh-CN"/>
              </w:rPr>
              <w:t>国内流量（一张主卡，一张副卡）</w:t>
            </w:r>
          </w:p>
        </w:tc>
        <w:tc>
          <w:tcPr>
            <w:tcW w:w="816" w:type="dxa"/>
            <w:tcBorders>
              <w:top w:val="single" w:color="auto" w:sz="4" w:space="0"/>
              <w:left w:val="single" w:color="auto" w:sz="4" w:space="0"/>
              <w:bottom w:val="single" w:color="auto" w:sz="4" w:space="0"/>
              <w:right w:val="single" w:color="auto" w:sz="4" w:space="0"/>
            </w:tcBorders>
            <w:noWrap/>
            <w:vAlign w:val="center"/>
          </w:tcPr>
          <w:p w14:paraId="62C9C7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w:t>
            </w:r>
          </w:p>
        </w:tc>
        <w:tc>
          <w:tcPr>
            <w:tcW w:w="791" w:type="dxa"/>
            <w:tcBorders>
              <w:top w:val="single" w:color="auto" w:sz="4" w:space="0"/>
              <w:left w:val="single" w:color="auto" w:sz="4" w:space="0"/>
              <w:bottom w:val="single" w:color="auto" w:sz="4" w:space="0"/>
              <w:right w:val="single" w:color="auto" w:sz="4" w:space="0"/>
            </w:tcBorders>
            <w:noWrap/>
            <w:vAlign w:val="center"/>
          </w:tcPr>
          <w:p w14:paraId="05B791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14:paraId="7ABAF585">
        <w:tblPrEx>
          <w:tblCellMar>
            <w:top w:w="0" w:type="dxa"/>
            <w:left w:w="108" w:type="dxa"/>
            <w:bottom w:w="0" w:type="dxa"/>
            <w:right w:w="108" w:type="dxa"/>
          </w:tblCellMar>
        </w:tblPrEx>
        <w:trPr>
          <w:trHeight w:val="2055" w:hRule="atLeast"/>
          <w:jc w:val="center"/>
        </w:trPr>
        <w:tc>
          <w:tcPr>
            <w:tcW w:w="744" w:type="dxa"/>
            <w:vMerge w:val="restart"/>
            <w:tcBorders>
              <w:top w:val="single" w:color="auto" w:sz="4" w:space="0"/>
              <w:left w:val="single" w:color="auto" w:sz="4" w:space="0"/>
              <w:right w:val="single" w:color="auto" w:sz="4" w:space="0"/>
            </w:tcBorders>
            <w:noWrap/>
            <w:vAlign w:val="center"/>
          </w:tcPr>
          <w:p w14:paraId="11230B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p w14:paraId="2A14FCE4">
            <w:pPr>
              <w:pStyle w:val="16"/>
              <w:keepNext w:val="0"/>
              <w:keepLines w:val="0"/>
              <w:pageBreakBefore w:val="0"/>
              <w:kinsoku/>
              <w:wordWrap/>
              <w:overflowPunct/>
              <w:topLinePunct w:val="0"/>
              <w:autoSpaceDE/>
              <w:autoSpaceDN/>
              <w:bidi w:val="0"/>
              <w:adjustRightInd/>
              <w:snapToGrid/>
              <w:spacing w:line="440" w:lineRule="exact"/>
              <w:jc w:val="center"/>
              <w:textAlignment w:val="auto"/>
              <w:rPr>
                <w:rFonts w:hint="eastAsia"/>
                <w:color w:val="auto"/>
                <w:highlight w:val="none"/>
                <w:lang w:val="en-US" w:eastAsia="zh-CN"/>
              </w:rPr>
            </w:pPr>
            <w:r>
              <w:rPr>
                <w:rFonts w:hint="eastAsia"/>
                <w:color w:val="auto"/>
                <w:highlight w:val="none"/>
                <w:lang w:val="en-US" w:eastAsia="zh-CN"/>
              </w:rPr>
              <w:t>2</w:t>
            </w:r>
          </w:p>
          <w:p w14:paraId="0F8EAB3A">
            <w:pPr>
              <w:pStyle w:val="16"/>
              <w:keepNext w:val="0"/>
              <w:keepLines w:val="0"/>
              <w:pageBreakBefore w:val="0"/>
              <w:kinsoku/>
              <w:wordWrap/>
              <w:overflowPunct/>
              <w:topLinePunct w:val="0"/>
              <w:autoSpaceDE/>
              <w:autoSpaceDN/>
              <w:bidi w:val="0"/>
              <w:adjustRightInd/>
              <w:snapToGrid/>
              <w:spacing w:line="440" w:lineRule="exact"/>
              <w:jc w:val="center"/>
              <w:textAlignment w:val="auto"/>
              <w:rPr>
                <w:rFonts w:hint="default"/>
                <w:color w:val="auto"/>
                <w:highlight w:val="none"/>
                <w:lang w:val="en-US" w:eastAsia="zh-CN"/>
              </w:rPr>
            </w:pPr>
            <w:r>
              <w:rPr>
                <w:rFonts w:hint="eastAsia"/>
                <w:color w:val="auto"/>
                <w:highlight w:val="none"/>
                <w:lang w:val="en-US" w:eastAsia="zh-CN"/>
              </w:rPr>
              <w:t>66</w:t>
            </w:r>
          </w:p>
        </w:tc>
        <w:tc>
          <w:tcPr>
            <w:tcW w:w="1600" w:type="dxa"/>
            <w:tcBorders>
              <w:top w:val="single" w:color="auto" w:sz="4" w:space="0"/>
              <w:left w:val="single" w:color="auto" w:sz="4" w:space="0"/>
              <w:bottom w:val="single" w:color="auto" w:sz="4" w:space="0"/>
              <w:right w:val="single" w:color="auto" w:sz="4" w:space="0"/>
            </w:tcBorders>
            <w:noWrap/>
            <w:vAlign w:val="center"/>
          </w:tcPr>
          <w:p w14:paraId="2FC8C6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防火墙</w:t>
            </w:r>
            <w:r>
              <w:rPr>
                <w:rFonts w:hint="eastAsia" w:ascii="宋体" w:hAnsi="宋体" w:cs="宋体"/>
                <w:color w:val="auto"/>
                <w:kern w:val="0"/>
                <w:sz w:val="21"/>
                <w:szCs w:val="21"/>
                <w:highlight w:val="none"/>
                <w:lang w:val="en-US" w:eastAsia="zh-CN"/>
              </w:rPr>
              <w:t>方案一</w:t>
            </w:r>
          </w:p>
        </w:tc>
        <w:tc>
          <w:tcPr>
            <w:tcW w:w="6022" w:type="dxa"/>
            <w:tcBorders>
              <w:top w:val="single" w:color="auto" w:sz="4" w:space="0"/>
              <w:left w:val="single" w:color="auto" w:sz="4" w:space="0"/>
              <w:bottom w:val="single" w:color="auto" w:sz="4" w:space="0"/>
              <w:right w:val="single" w:color="auto" w:sz="4" w:space="0"/>
            </w:tcBorders>
            <w:noWrap/>
            <w:vAlign w:val="center"/>
          </w:tcPr>
          <w:p w14:paraId="1F979C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1、标准1U机架式设备，网络层吞吐量≥10G，应用层吞吐量≥5G，并发连接数≥200万，HTTP新建连接数≥6万，内存≥8G，硬盘容量≥128G SSD，网络接口≥8千兆电口+2万兆光口SFP+（满配光模块）。含IPS功能模块。含3年维保服务。</w:t>
            </w:r>
          </w:p>
          <w:p w14:paraId="62E14B3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2、支持路由模式、透明模式、虚拟网线模式、旁路镜像模式等多种部署方式。</w:t>
            </w:r>
          </w:p>
          <w:p w14:paraId="7834039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3、支持路由类型、协议类型、网络对象、国家地区等条件进行自动选路的策略路由，支持不少于3种的调度算法，至少包括带宽比例、加权流量、线路优先等。</w:t>
            </w:r>
          </w:p>
          <w:p w14:paraId="7DB790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4、支持3种以上的用户认证方式,包含但不限于单点登录、本地账号密码、外部账号密码认证。</w:t>
            </w:r>
          </w:p>
          <w:p w14:paraId="1D235C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5、内置不低于16000种漏洞规则，同时支持在控制台界面通过漏洞ID、漏洞名称、危险等级、漏洞CVE标识、漏洞描述等条件查询漏洞特征信息，支持用户自定义IPS规则。</w:t>
            </w:r>
          </w:p>
          <w:p w14:paraId="57CF0C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6、支持基于IMAP、FTP、RDP、VNC、SSH、TELNET、ORACLE、MYSQL、MSSQL等应用协议进行深度检测与防护。</w:t>
            </w:r>
          </w:p>
          <w:p w14:paraId="1C2A0AF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7、支持僵尸主机检测功能，产品内置僵尸网络特征库超过128万种，可识别主机的异常外联行为。</w:t>
            </w:r>
          </w:p>
          <w:p w14:paraId="2192D3D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8、支持策略生命周期管理功能，支持对安全策略修改的时间、原因、变更类型进行统一管理，便于策略的运维与管理。</w:t>
            </w:r>
          </w:p>
          <w:p w14:paraId="7BCEF9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9、支持基于网络区域、网络对象、MAC地址、服务、应用、域名等维度进行访问控制策略设置。</w:t>
            </w:r>
          </w:p>
          <w:p w14:paraId="2C6C630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10、要求所投产品的生产厂商为国家信息安全漏洞库CNNVD技术支撑单位、技术组成员。</w:t>
            </w:r>
          </w:p>
        </w:tc>
        <w:tc>
          <w:tcPr>
            <w:tcW w:w="816" w:type="dxa"/>
            <w:tcBorders>
              <w:top w:val="single" w:color="auto" w:sz="4" w:space="0"/>
              <w:left w:val="single" w:color="auto" w:sz="4" w:space="0"/>
              <w:bottom w:val="single" w:color="auto" w:sz="4" w:space="0"/>
              <w:right w:val="single" w:color="auto" w:sz="4" w:space="0"/>
            </w:tcBorders>
            <w:noWrap/>
            <w:vAlign w:val="center"/>
          </w:tcPr>
          <w:p w14:paraId="5DAE2C4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791" w:type="dxa"/>
            <w:tcBorders>
              <w:top w:val="single" w:color="auto" w:sz="4" w:space="0"/>
              <w:left w:val="single" w:color="auto" w:sz="4" w:space="0"/>
              <w:bottom w:val="single" w:color="auto" w:sz="4" w:space="0"/>
              <w:right w:val="single" w:color="auto" w:sz="4" w:space="0"/>
            </w:tcBorders>
            <w:noWrap/>
            <w:vAlign w:val="center"/>
          </w:tcPr>
          <w:p w14:paraId="4AF6D6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14:paraId="636E3226">
        <w:tblPrEx>
          <w:tblCellMar>
            <w:top w:w="0" w:type="dxa"/>
            <w:left w:w="108" w:type="dxa"/>
            <w:bottom w:w="0" w:type="dxa"/>
            <w:right w:w="108" w:type="dxa"/>
          </w:tblCellMar>
        </w:tblPrEx>
        <w:trPr>
          <w:trHeight w:val="2055" w:hRule="atLeast"/>
          <w:jc w:val="center"/>
        </w:trPr>
        <w:tc>
          <w:tcPr>
            <w:tcW w:w="744" w:type="dxa"/>
            <w:vMerge w:val="continue"/>
            <w:tcBorders>
              <w:left w:val="single" w:color="auto" w:sz="4" w:space="0"/>
              <w:right w:val="single" w:color="auto" w:sz="4" w:space="0"/>
            </w:tcBorders>
            <w:noWrap/>
            <w:vAlign w:val="center"/>
          </w:tcPr>
          <w:p w14:paraId="78F9FA9D">
            <w:pPr>
              <w:pStyle w:val="16"/>
              <w:keepNext w:val="0"/>
              <w:keepLines w:val="0"/>
              <w:pageBreakBefore w:val="0"/>
              <w:kinsoku/>
              <w:wordWrap/>
              <w:overflowPunct/>
              <w:topLinePunct w:val="0"/>
              <w:autoSpaceDE/>
              <w:autoSpaceDN/>
              <w:bidi w:val="0"/>
              <w:adjustRightInd/>
              <w:snapToGrid/>
              <w:spacing w:line="440" w:lineRule="exact"/>
              <w:jc w:val="center"/>
              <w:textAlignment w:val="auto"/>
              <w:rPr>
                <w:rFonts w:hint="default"/>
                <w:color w:val="auto"/>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ign w:val="center"/>
          </w:tcPr>
          <w:p w14:paraId="0DB2B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防火墙</w:t>
            </w:r>
            <w:r>
              <w:rPr>
                <w:rFonts w:hint="eastAsia" w:ascii="宋体" w:hAnsi="宋体" w:cs="宋体"/>
                <w:color w:val="auto"/>
                <w:kern w:val="0"/>
                <w:sz w:val="21"/>
                <w:szCs w:val="21"/>
                <w:highlight w:val="none"/>
                <w:lang w:val="en-US" w:eastAsia="zh-CN"/>
              </w:rPr>
              <w:t>方案二</w:t>
            </w:r>
          </w:p>
        </w:tc>
        <w:tc>
          <w:tcPr>
            <w:tcW w:w="6022" w:type="dxa"/>
            <w:tcBorders>
              <w:top w:val="single" w:color="auto" w:sz="4" w:space="0"/>
              <w:left w:val="single" w:color="auto" w:sz="4" w:space="0"/>
              <w:bottom w:val="single" w:color="auto" w:sz="4" w:space="0"/>
              <w:right w:val="single" w:color="auto" w:sz="4" w:space="0"/>
            </w:tcBorders>
            <w:noWrap/>
            <w:vAlign w:val="center"/>
          </w:tcPr>
          <w:p w14:paraId="3C4B1BC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防护型安全大脑</w:t>
            </w:r>
          </w:p>
          <w:p w14:paraId="2DDA8E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终端功能：下一代防火墙，IPS，AV </w:t>
            </w:r>
          </w:p>
          <w:p w14:paraId="3B6573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平台功能:态势告知，威胁情报，威胁告警通知，威胁事件管理</w:t>
            </w:r>
          </w:p>
          <w:p w14:paraId="422FF15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运营服务：安全服务报告，威胁处置服务，事件研判报告</w:t>
            </w:r>
          </w:p>
          <w:p w14:paraId="6563B7C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参数:标准机架1U规格，2光口，10电口</w:t>
            </w:r>
          </w:p>
        </w:tc>
        <w:tc>
          <w:tcPr>
            <w:tcW w:w="816" w:type="dxa"/>
            <w:tcBorders>
              <w:top w:val="single" w:color="auto" w:sz="4" w:space="0"/>
              <w:left w:val="single" w:color="auto" w:sz="4" w:space="0"/>
              <w:bottom w:val="single" w:color="auto" w:sz="4" w:space="0"/>
              <w:right w:val="single" w:color="auto" w:sz="4" w:space="0"/>
            </w:tcBorders>
            <w:noWrap/>
            <w:vAlign w:val="center"/>
          </w:tcPr>
          <w:p w14:paraId="379053A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791" w:type="dxa"/>
            <w:tcBorders>
              <w:top w:val="single" w:color="auto" w:sz="4" w:space="0"/>
              <w:left w:val="single" w:color="auto" w:sz="4" w:space="0"/>
              <w:bottom w:val="single" w:color="auto" w:sz="4" w:space="0"/>
              <w:right w:val="single" w:color="auto" w:sz="4" w:space="0"/>
            </w:tcBorders>
            <w:noWrap/>
            <w:vAlign w:val="center"/>
          </w:tcPr>
          <w:p w14:paraId="755FCB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14:paraId="3797371F">
        <w:tblPrEx>
          <w:tblCellMar>
            <w:top w:w="0" w:type="dxa"/>
            <w:left w:w="108" w:type="dxa"/>
            <w:bottom w:w="0" w:type="dxa"/>
            <w:right w:w="108" w:type="dxa"/>
          </w:tblCellMar>
        </w:tblPrEx>
        <w:trPr>
          <w:trHeight w:val="2055" w:hRule="atLeast"/>
          <w:jc w:val="center"/>
        </w:trPr>
        <w:tc>
          <w:tcPr>
            <w:tcW w:w="744" w:type="dxa"/>
            <w:vMerge w:val="continue"/>
            <w:tcBorders>
              <w:left w:val="single" w:color="auto" w:sz="4" w:space="0"/>
              <w:bottom w:val="single" w:color="auto" w:sz="4" w:space="0"/>
              <w:right w:val="single" w:color="auto" w:sz="4" w:space="0"/>
            </w:tcBorders>
            <w:noWrap/>
            <w:vAlign w:val="center"/>
          </w:tcPr>
          <w:p w14:paraId="2C78B331">
            <w:pPr>
              <w:pStyle w:val="16"/>
              <w:keepNext w:val="0"/>
              <w:keepLines w:val="0"/>
              <w:pageBreakBefore w:val="0"/>
              <w:kinsoku/>
              <w:wordWrap/>
              <w:overflowPunct/>
              <w:topLinePunct w:val="0"/>
              <w:autoSpaceDE/>
              <w:autoSpaceDN/>
              <w:bidi w:val="0"/>
              <w:adjustRightInd/>
              <w:snapToGrid/>
              <w:spacing w:line="440" w:lineRule="exact"/>
              <w:jc w:val="center"/>
              <w:textAlignment w:val="auto"/>
              <w:rPr>
                <w:rFonts w:hint="eastAsia"/>
                <w:color w:val="auto"/>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noWrap/>
            <w:vAlign w:val="center"/>
          </w:tcPr>
          <w:p w14:paraId="2F2519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防火墙</w:t>
            </w:r>
            <w:r>
              <w:rPr>
                <w:rFonts w:hint="eastAsia" w:ascii="宋体" w:hAnsi="宋体" w:cs="宋体"/>
                <w:color w:val="auto"/>
                <w:kern w:val="0"/>
                <w:sz w:val="21"/>
                <w:szCs w:val="21"/>
                <w:highlight w:val="none"/>
                <w:lang w:val="en-US" w:eastAsia="zh-CN"/>
              </w:rPr>
              <w:t>方案三</w:t>
            </w:r>
          </w:p>
        </w:tc>
        <w:tc>
          <w:tcPr>
            <w:tcW w:w="6022" w:type="dxa"/>
            <w:tcBorders>
              <w:top w:val="single" w:color="auto" w:sz="4" w:space="0"/>
              <w:left w:val="single" w:color="auto" w:sz="4" w:space="0"/>
              <w:bottom w:val="single" w:color="auto" w:sz="4" w:space="0"/>
              <w:right w:val="single" w:color="auto" w:sz="4" w:space="0"/>
            </w:tcBorders>
            <w:noWrap/>
            <w:vAlign w:val="center"/>
          </w:tcPr>
          <w:p w14:paraId="0E998A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一、网络安全防护类功能：</w:t>
            </w:r>
          </w:p>
          <w:p w14:paraId="0D417E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1.威胁情报分析：基于威胁情报能力中心，具备千万级恶意IP、域名、URL威胁情报库，</w:t>
            </w:r>
          </w:p>
          <w:p w14:paraId="32F0F3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实现主动情报狩猎和防护。</w:t>
            </w:r>
          </w:p>
          <w:p w14:paraId="581F99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2.入侵检测防御：支持 APT、蠕虫、僵尸网络、爆破攻击等的识别，可实时匹配安全威胁事件，秒级策略联动网关执行阻断。</w:t>
            </w:r>
          </w:p>
          <w:p w14:paraId="0A9D49C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3.敏感数据保护：过滤应用层协议报文中携带的内容，自动阻拦邮件、网页中的敏感信息发送。保护政企信息安全。</w:t>
            </w:r>
          </w:p>
          <w:p w14:paraId="102288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4.实时病毒防护：对恶意病毒识别、挖矿病毒检测，现失陷主机监测能力。</w:t>
            </w:r>
          </w:p>
          <w:p w14:paraId="0C6316A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5.VPN加密服务：对网络通信进行加密传输，满足移动办公场景下访问企业内网资源的需求，具备国密算法和相关证书。</w:t>
            </w:r>
          </w:p>
          <w:p w14:paraId="62A865A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6.漏洞扫描：针对内网主机进行漏洞扫描，定时出 具报告，形成安全基线，国产版本独有。</w:t>
            </w:r>
          </w:p>
          <w:p w14:paraId="6478476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二、网络管理类功能：</w:t>
            </w:r>
          </w:p>
          <w:p w14:paraId="0BD6898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1.智能流量管控：支持基于应用的带宽配置，为核心应用保留带宽。</w:t>
            </w:r>
          </w:p>
          <w:p w14:paraId="1E724A9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2.上网行为管理：满足互联网访问控制 、访问网站控制 、用户认证等。</w:t>
            </w:r>
          </w:p>
          <w:p w14:paraId="336DAD1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3.负载均衡：可将工作负载分配到多个计算资源（如服务器、虚拟机等）上。</w:t>
            </w:r>
          </w:p>
          <w:p w14:paraId="5D06EA3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4.SD-WAN智能组网：实现关键业务的智能选路，广域网加速及访问优化。</w:t>
            </w:r>
          </w:p>
        </w:tc>
        <w:tc>
          <w:tcPr>
            <w:tcW w:w="816" w:type="dxa"/>
            <w:tcBorders>
              <w:top w:val="single" w:color="auto" w:sz="4" w:space="0"/>
              <w:left w:val="single" w:color="auto" w:sz="4" w:space="0"/>
              <w:bottom w:val="single" w:color="auto" w:sz="4" w:space="0"/>
              <w:right w:val="single" w:color="auto" w:sz="4" w:space="0"/>
            </w:tcBorders>
            <w:noWrap/>
            <w:vAlign w:val="center"/>
          </w:tcPr>
          <w:p w14:paraId="749BC1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c>
          <w:tcPr>
            <w:tcW w:w="791" w:type="dxa"/>
            <w:tcBorders>
              <w:top w:val="single" w:color="auto" w:sz="4" w:space="0"/>
              <w:left w:val="single" w:color="auto" w:sz="4" w:space="0"/>
              <w:bottom w:val="single" w:color="auto" w:sz="4" w:space="0"/>
              <w:right w:val="single" w:color="auto" w:sz="4" w:space="0"/>
            </w:tcBorders>
            <w:noWrap/>
            <w:vAlign w:val="center"/>
          </w:tcPr>
          <w:p w14:paraId="2B454B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bl>
    <w:p w14:paraId="125D116F">
      <w:pPr>
        <w:pStyle w:val="152"/>
        <w:keepNext w:val="0"/>
        <w:keepLines w:val="0"/>
        <w:pageBreakBefore w:val="0"/>
        <w:kinsoku/>
        <w:wordWrap/>
        <w:overflowPunct/>
        <w:topLinePunct w:val="0"/>
        <w:autoSpaceDE/>
        <w:autoSpaceDN/>
        <w:bidi w:val="0"/>
        <w:snapToGrid/>
        <w:spacing w:line="560" w:lineRule="exact"/>
        <w:ind w:left="0" w:leftChars="0" w:firstLine="600" w:firstLineChars="200"/>
        <w:textAlignment w:val="auto"/>
        <w:rPr>
          <w:rFonts w:hint="eastAsia" w:ascii="仿宋_GB2312" w:hAnsi="仿宋_GB2312" w:cs="仿宋_GB2312"/>
          <w:color w:val="auto"/>
          <w:highlight w:val="none"/>
          <w:lang w:val="en-US" w:eastAsia="zh-CN"/>
        </w:rPr>
      </w:pPr>
      <w:r>
        <w:rPr>
          <w:rFonts w:hint="eastAsia" w:ascii="仿宋" w:hAnsi="仿宋" w:eastAsia="仿宋" w:cs="仿宋"/>
          <w:color w:val="auto"/>
          <w:sz w:val="30"/>
          <w:szCs w:val="30"/>
          <w:highlight w:val="none"/>
          <w:lang w:val="en-US" w:eastAsia="zh-CN"/>
        </w:rPr>
        <w:t>供应商满足上述防火墙三个方案任意一个即可。</w:t>
      </w:r>
      <w:r>
        <w:rPr>
          <w:rFonts w:hint="eastAsia" w:ascii="仿宋" w:hAnsi="仿宋" w:eastAsia="仿宋" w:cs="仿宋"/>
          <w:color w:val="auto"/>
          <w:sz w:val="30"/>
          <w:szCs w:val="30"/>
          <w:highlight w:val="none"/>
        </w:rPr>
        <w:br w:type="page"/>
      </w:r>
      <w:r>
        <w:rPr>
          <w:rFonts w:hint="eastAsia" w:ascii="仿宋_GB2312" w:hAnsi="仿宋_GB2312" w:cs="仿宋_GB2312"/>
          <w:color w:val="auto"/>
          <w:highlight w:val="none"/>
          <w:lang w:val="en-US" w:eastAsia="zh-CN"/>
        </w:rPr>
        <w:t>电路租用站点清单</w:t>
      </w:r>
    </w:p>
    <w:tbl>
      <w:tblPr>
        <w:tblStyle w:val="37"/>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43"/>
        <w:gridCol w:w="1822"/>
        <w:gridCol w:w="5575"/>
      </w:tblGrid>
      <w:tr w14:paraId="1D72C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840" w:type="dxa"/>
            <w:gridSpan w:val="3"/>
            <w:tcBorders>
              <w:bottom w:val="single" w:color="000000" w:sz="4" w:space="0"/>
            </w:tcBorders>
            <w:noWrap/>
            <w:vAlign w:val="center"/>
          </w:tcPr>
          <w:p w14:paraId="0E8F3FC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highlight w:val="none"/>
                <w:u w:val="none"/>
              </w:rPr>
            </w:pPr>
            <w:r>
              <w:rPr>
                <w:rFonts w:hint="eastAsia" w:ascii="方正仿宋_GB2312" w:hAnsi="方正仿宋_GB2312" w:eastAsia="方正仿宋_GB2312" w:cs="方正仿宋_GB2312"/>
                <w:b/>
                <w:bCs/>
                <w:i w:val="0"/>
                <w:iCs w:val="0"/>
                <w:color w:val="auto"/>
                <w:kern w:val="0"/>
                <w:sz w:val="24"/>
                <w:szCs w:val="24"/>
                <w:highlight w:val="none"/>
                <w:u w:val="none"/>
                <w:lang w:val="en-US" w:eastAsia="zh-CN" w:bidi="ar"/>
              </w:rPr>
              <w:t>滁州城泊有桩自行车站点</w:t>
            </w:r>
          </w:p>
        </w:tc>
      </w:tr>
      <w:tr w14:paraId="49963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tcBorders>
              <w:top w:val="single" w:color="000000" w:sz="4" w:space="0"/>
              <w:bottom w:val="single" w:color="000000" w:sz="4" w:space="0"/>
              <w:right w:val="single" w:color="000000" w:sz="4" w:space="0"/>
            </w:tcBorders>
            <w:noWrap/>
            <w:vAlign w:val="center"/>
          </w:tcPr>
          <w:p w14:paraId="3C206743">
            <w:pPr>
              <w:jc w:val="center"/>
              <w:rPr>
                <w:rFonts w:hint="eastAsia" w:ascii="方正仿宋_GB2312" w:hAnsi="方正仿宋_GB2312" w:eastAsia="方正仿宋_GB2312" w:cs="方正仿宋_GB2312"/>
                <w:b/>
                <w:bCs/>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D394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highlight w:val="none"/>
                <w:u w:val="none"/>
              </w:rPr>
            </w:pPr>
            <w:r>
              <w:rPr>
                <w:rFonts w:hint="eastAsia" w:ascii="方正仿宋_GB2312" w:hAnsi="方正仿宋_GB2312" w:eastAsia="方正仿宋_GB2312" w:cs="方正仿宋_GB2312"/>
                <w:b/>
                <w:bCs/>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tcBorders>
            <w:noWrap/>
            <w:vAlign w:val="center"/>
          </w:tcPr>
          <w:p w14:paraId="38B414B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4"/>
                <w:szCs w:val="24"/>
                <w:highlight w:val="none"/>
                <w:u w:val="none"/>
              </w:rPr>
            </w:pPr>
            <w:r>
              <w:rPr>
                <w:rFonts w:hint="eastAsia" w:ascii="方正仿宋_GB2312" w:hAnsi="方正仿宋_GB2312" w:eastAsia="方正仿宋_GB2312" w:cs="方正仿宋_GB2312"/>
                <w:b/>
                <w:bCs/>
                <w:i w:val="0"/>
                <w:iCs w:val="0"/>
                <w:color w:val="auto"/>
                <w:kern w:val="0"/>
                <w:sz w:val="24"/>
                <w:szCs w:val="24"/>
                <w:highlight w:val="none"/>
                <w:u w:val="none"/>
                <w:lang w:val="en-US" w:eastAsia="zh-CN" w:bidi="ar"/>
              </w:rPr>
              <w:t>站点名</w:t>
            </w:r>
          </w:p>
        </w:tc>
      </w:tr>
      <w:tr w14:paraId="1EF05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39AD07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一区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011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tcBorders>
            <w:noWrap/>
            <w:vAlign w:val="center"/>
          </w:tcPr>
          <w:p w14:paraId="63F768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西涧花园</w:t>
            </w:r>
          </w:p>
        </w:tc>
      </w:tr>
      <w:tr w14:paraId="396F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F2B699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6C5E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tcBorders>
            <w:noWrap/>
            <w:vAlign w:val="center"/>
          </w:tcPr>
          <w:p w14:paraId="2AA9E8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二院</w:t>
            </w:r>
          </w:p>
        </w:tc>
      </w:tr>
      <w:tr w14:paraId="07663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E2B227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ACB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tcBorders>
            <w:noWrap/>
            <w:vAlign w:val="center"/>
          </w:tcPr>
          <w:p w14:paraId="118EAF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鲜鱼巷口</w:t>
            </w:r>
          </w:p>
        </w:tc>
      </w:tr>
      <w:tr w14:paraId="0F2D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D6930D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727D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tcBorders>
            <w:noWrap/>
            <w:vAlign w:val="center"/>
          </w:tcPr>
          <w:p w14:paraId="57FCE0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广惠桥</w:t>
            </w:r>
          </w:p>
        </w:tc>
      </w:tr>
      <w:tr w14:paraId="355BB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B672E8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1D8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tcBorders>
            <w:noWrap/>
            <w:vAlign w:val="center"/>
          </w:tcPr>
          <w:p w14:paraId="2493D2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南大桥</w:t>
            </w:r>
          </w:p>
        </w:tc>
      </w:tr>
      <w:tr w14:paraId="29F7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D801E3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9ED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tcBorders>
            <w:noWrap/>
            <w:vAlign w:val="center"/>
          </w:tcPr>
          <w:p w14:paraId="005CEC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机关北苑</w:t>
            </w:r>
          </w:p>
        </w:tc>
      </w:tr>
      <w:tr w14:paraId="2E52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DCC3BF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F2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tcBorders>
            <w:noWrap/>
            <w:vAlign w:val="center"/>
          </w:tcPr>
          <w:p w14:paraId="3D9603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1912</w:t>
            </w:r>
          </w:p>
        </w:tc>
      </w:tr>
      <w:tr w14:paraId="35CF9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D615C9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F82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tcBorders>
            <w:noWrap/>
            <w:vAlign w:val="center"/>
          </w:tcPr>
          <w:p w14:paraId="5604F0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老年大学</w:t>
            </w:r>
          </w:p>
        </w:tc>
      </w:tr>
      <w:tr w14:paraId="7EDBB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6926E7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917A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tcBorders>
            <w:noWrap/>
            <w:vAlign w:val="center"/>
          </w:tcPr>
          <w:p w14:paraId="46CC24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宋城</w:t>
            </w:r>
          </w:p>
        </w:tc>
      </w:tr>
      <w:tr w14:paraId="32BC4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D84233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244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tcBorders>
            <w:noWrap/>
            <w:vAlign w:val="center"/>
          </w:tcPr>
          <w:p w14:paraId="0895BC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南湖四期</w:t>
            </w:r>
          </w:p>
        </w:tc>
      </w:tr>
      <w:tr w14:paraId="049DE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2E822F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DA0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tcBorders>
            <w:noWrap/>
            <w:vAlign w:val="center"/>
          </w:tcPr>
          <w:p w14:paraId="3E4008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一院南门</w:t>
            </w:r>
          </w:p>
        </w:tc>
      </w:tr>
      <w:tr w14:paraId="00EE4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821E9D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D79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tcBorders>
            <w:noWrap/>
            <w:vAlign w:val="center"/>
          </w:tcPr>
          <w:p w14:paraId="6D66C9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龙池花园</w:t>
            </w:r>
          </w:p>
        </w:tc>
      </w:tr>
      <w:tr w14:paraId="38F4F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AB400A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F57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tcBorders>
            <w:noWrap/>
            <w:vAlign w:val="center"/>
          </w:tcPr>
          <w:p w14:paraId="1D748F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丰乐亭</w:t>
            </w:r>
          </w:p>
        </w:tc>
      </w:tr>
      <w:tr w14:paraId="0DE12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0637EE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二区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D17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tcBorders>
            <w:noWrap/>
            <w:vAlign w:val="center"/>
          </w:tcPr>
          <w:p w14:paraId="4579B9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儿童乐园</w:t>
            </w:r>
          </w:p>
        </w:tc>
      </w:tr>
      <w:tr w14:paraId="6F45D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995FB3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CEEA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tcBorders>
            <w:noWrap/>
            <w:vAlign w:val="center"/>
          </w:tcPr>
          <w:p w14:paraId="0412EA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建设大厦</w:t>
            </w:r>
          </w:p>
        </w:tc>
      </w:tr>
      <w:tr w14:paraId="2810E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5DA148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F84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tcBorders>
            <w:noWrap/>
            <w:vAlign w:val="center"/>
          </w:tcPr>
          <w:p w14:paraId="7FF0B8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光明园</w:t>
            </w:r>
          </w:p>
        </w:tc>
      </w:tr>
      <w:tr w14:paraId="4922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71614C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C9E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tcBorders>
            <w:noWrap/>
            <w:vAlign w:val="center"/>
          </w:tcPr>
          <w:p w14:paraId="72FB32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蓝溪家园</w:t>
            </w:r>
          </w:p>
        </w:tc>
      </w:tr>
      <w:tr w14:paraId="6DDB5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175C8B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01B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tcBorders>
            <w:noWrap/>
            <w:vAlign w:val="center"/>
          </w:tcPr>
          <w:p w14:paraId="7D2151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凤凰西路</w:t>
            </w:r>
          </w:p>
        </w:tc>
      </w:tr>
      <w:tr w14:paraId="1B03D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ACB2CF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3F2E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tcBorders>
            <w:noWrap/>
            <w:vAlign w:val="center"/>
          </w:tcPr>
          <w:p w14:paraId="332148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丰乐世家</w:t>
            </w:r>
          </w:p>
        </w:tc>
      </w:tr>
      <w:tr w14:paraId="0502F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94FAC9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4A02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tcBorders>
            <w:noWrap/>
            <w:vAlign w:val="center"/>
          </w:tcPr>
          <w:p w14:paraId="3FFFA2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铜欣花园</w:t>
            </w:r>
          </w:p>
        </w:tc>
      </w:tr>
      <w:tr w14:paraId="624E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EF797B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235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tcBorders>
            <w:noWrap/>
            <w:vAlign w:val="center"/>
          </w:tcPr>
          <w:p w14:paraId="609FDA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丰乐山庄</w:t>
            </w:r>
          </w:p>
        </w:tc>
      </w:tr>
      <w:tr w14:paraId="4A355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6A1B60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2FD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tcBorders>
            <w:noWrap/>
            <w:vAlign w:val="center"/>
          </w:tcPr>
          <w:p w14:paraId="43207F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白云</w:t>
            </w:r>
          </w:p>
        </w:tc>
      </w:tr>
      <w:tr w14:paraId="74CC6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13FE1D9">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3FF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tcBorders>
            <w:noWrap/>
            <w:vAlign w:val="center"/>
          </w:tcPr>
          <w:p w14:paraId="7013A4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红叶山庄南门</w:t>
            </w:r>
          </w:p>
        </w:tc>
      </w:tr>
      <w:tr w14:paraId="1CD01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B4F13F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40B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tcBorders>
            <w:noWrap/>
            <w:vAlign w:val="center"/>
          </w:tcPr>
          <w:p w14:paraId="42A986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同乐坊</w:t>
            </w:r>
          </w:p>
        </w:tc>
      </w:tr>
      <w:tr w14:paraId="44DB0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17C444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A7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tcBorders>
            <w:noWrap/>
            <w:vAlign w:val="center"/>
          </w:tcPr>
          <w:p w14:paraId="470BB8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滁州学院</w:t>
            </w:r>
          </w:p>
        </w:tc>
      </w:tr>
      <w:tr w14:paraId="2E064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C9AFD7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CE43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tcBorders>
            <w:noWrap/>
            <w:vAlign w:val="center"/>
          </w:tcPr>
          <w:p w14:paraId="3219496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二中</w:t>
            </w:r>
          </w:p>
        </w:tc>
      </w:tr>
      <w:tr w14:paraId="37CF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B19491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94BC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tcBorders>
            <w:noWrap/>
            <w:vAlign w:val="center"/>
          </w:tcPr>
          <w:p w14:paraId="3B1443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滨湖</w:t>
            </w:r>
          </w:p>
        </w:tc>
      </w:tr>
      <w:tr w14:paraId="09774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DF545DF">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FD9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tcBorders>
            <w:noWrap/>
            <w:vAlign w:val="center"/>
          </w:tcPr>
          <w:p w14:paraId="3633FD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游园</w:t>
            </w:r>
          </w:p>
        </w:tc>
      </w:tr>
      <w:tr w14:paraId="5ACB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537270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三区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A90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tcBorders>
            <w:noWrap/>
            <w:vAlign w:val="center"/>
          </w:tcPr>
          <w:p w14:paraId="4DD507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烟厂</w:t>
            </w:r>
          </w:p>
        </w:tc>
      </w:tr>
      <w:tr w14:paraId="15105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AA815B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D9A7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tcBorders>
            <w:noWrap/>
            <w:vAlign w:val="center"/>
          </w:tcPr>
          <w:p w14:paraId="5A8EF8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供电公司</w:t>
            </w:r>
          </w:p>
        </w:tc>
      </w:tr>
      <w:tr w14:paraId="1B2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1416E2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CB6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tcBorders>
            <w:noWrap/>
            <w:vAlign w:val="center"/>
          </w:tcPr>
          <w:p w14:paraId="70309B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莲心湖</w:t>
            </w:r>
          </w:p>
        </w:tc>
      </w:tr>
      <w:tr w14:paraId="15D64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EE5835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17A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tcBorders>
            <w:noWrap/>
            <w:vAlign w:val="center"/>
          </w:tcPr>
          <w:p w14:paraId="0DF719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交通菜场</w:t>
            </w:r>
          </w:p>
        </w:tc>
      </w:tr>
      <w:tr w14:paraId="20D07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24A40E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02E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tcBorders>
            <w:noWrap/>
            <w:vAlign w:val="center"/>
          </w:tcPr>
          <w:p w14:paraId="383A107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电大</w:t>
            </w:r>
          </w:p>
        </w:tc>
      </w:tr>
      <w:tr w14:paraId="74BC9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6E40A8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A5A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tcBorders>
            <w:noWrap/>
            <w:vAlign w:val="center"/>
          </w:tcPr>
          <w:p w14:paraId="3F51BA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大金新百</w:t>
            </w:r>
          </w:p>
        </w:tc>
      </w:tr>
      <w:tr w14:paraId="7876E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1100AB9">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E0A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tcBorders>
            <w:noWrap/>
            <w:vAlign w:val="center"/>
          </w:tcPr>
          <w:p w14:paraId="2FB7A8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气象局</w:t>
            </w:r>
          </w:p>
        </w:tc>
      </w:tr>
      <w:tr w14:paraId="17118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E0C754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5F0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tcBorders>
            <w:noWrap/>
            <w:vAlign w:val="center"/>
          </w:tcPr>
          <w:p w14:paraId="28A0E81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明珠园</w:t>
            </w:r>
          </w:p>
        </w:tc>
      </w:tr>
      <w:tr w14:paraId="662E1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A3DD47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FC9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tcBorders>
            <w:noWrap/>
            <w:vAlign w:val="center"/>
          </w:tcPr>
          <w:p w14:paraId="0A35BF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创业中苑</w:t>
            </w:r>
          </w:p>
        </w:tc>
      </w:tr>
      <w:tr w14:paraId="267F5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318555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四区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580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tcBorders>
            <w:noWrap/>
            <w:vAlign w:val="center"/>
          </w:tcPr>
          <w:p w14:paraId="6574D3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泰星</w:t>
            </w:r>
          </w:p>
        </w:tc>
      </w:tr>
      <w:tr w14:paraId="40214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EF31D4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D78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tcBorders>
            <w:noWrap/>
            <w:vAlign w:val="center"/>
          </w:tcPr>
          <w:p w14:paraId="270D09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清流公园</w:t>
            </w:r>
          </w:p>
        </w:tc>
      </w:tr>
      <w:tr w14:paraId="29173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DACCD09">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795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tcBorders>
            <w:noWrap/>
            <w:vAlign w:val="center"/>
          </w:tcPr>
          <w:p w14:paraId="36EE8A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电信</w:t>
            </w:r>
          </w:p>
        </w:tc>
      </w:tr>
      <w:tr w14:paraId="6E0F5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849C8A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194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tcBorders>
            <w:noWrap/>
            <w:vAlign w:val="center"/>
          </w:tcPr>
          <w:p w14:paraId="64B213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换乘中心</w:t>
            </w:r>
          </w:p>
        </w:tc>
      </w:tr>
      <w:tr w14:paraId="1BF4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724530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BE8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tcBorders>
            <w:noWrap/>
            <w:vAlign w:val="center"/>
          </w:tcPr>
          <w:p w14:paraId="20621B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粮库</w:t>
            </w:r>
          </w:p>
        </w:tc>
      </w:tr>
      <w:tr w14:paraId="40E9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157D3E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B6D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tcBorders>
            <w:noWrap/>
            <w:vAlign w:val="center"/>
          </w:tcPr>
          <w:p w14:paraId="66FCE2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路桥</w:t>
            </w:r>
          </w:p>
        </w:tc>
      </w:tr>
      <w:tr w14:paraId="1EF1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8662BB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EA3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tcBorders>
            <w:noWrap/>
            <w:vAlign w:val="center"/>
          </w:tcPr>
          <w:p w14:paraId="052038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银花东区</w:t>
            </w:r>
          </w:p>
        </w:tc>
      </w:tr>
      <w:tr w14:paraId="42D7B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E2420A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A0F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tcBorders>
            <w:noWrap/>
            <w:vAlign w:val="center"/>
          </w:tcPr>
          <w:p w14:paraId="07FF19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油厂</w:t>
            </w:r>
          </w:p>
        </w:tc>
      </w:tr>
      <w:tr w14:paraId="57C16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740270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0F6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tcBorders>
            <w:noWrap/>
            <w:vAlign w:val="center"/>
          </w:tcPr>
          <w:p w14:paraId="61F107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啤酒厂</w:t>
            </w:r>
          </w:p>
        </w:tc>
      </w:tr>
      <w:tr w14:paraId="0641C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2333F0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CB3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tcBorders>
            <w:noWrap/>
            <w:vAlign w:val="center"/>
          </w:tcPr>
          <w:p w14:paraId="4B7AD9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八中</w:t>
            </w:r>
          </w:p>
        </w:tc>
      </w:tr>
      <w:tr w14:paraId="2A349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555D5B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5D34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48</w:t>
            </w:r>
          </w:p>
        </w:tc>
        <w:tc>
          <w:tcPr>
            <w:tcW w:w="0" w:type="auto"/>
            <w:tcBorders>
              <w:top w:val="single" w:color="000000" w:sz="4" w:space="0"/>
              <w:left w:val="single" w:color="000000" w:sz="4" w:space="0"/>
              <w:bottom w:val="single" w:color="000000" w:sz="4" w:space="0"/>
            </w:tcBorders>
            <w:noWrap/>
            <w:vAlign w:val="center"/>
          </w:tcPr>
          <w:p w14:paraId="2560114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会锋公园</w:t>
            </w:r>
          </w:p>
        </w:tc>
      </w:tr>
      <w:tr w14:paraId="7525F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03D118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1E3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tcBorders>
            <w:noWrap/>
            <w:vAlign w:val="center"/>
          </w:tcPr>
          <w:p w14:paraId="13D5F10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盛世华庭</w:t>
            </w:r>
          </w:p>
        </w:tc>
      </w:tr>
      <w:tr w14:paraId="0925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E73CA3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7AB7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tcBorders>
            <w:noWrap/>
            <w:vAlign w:val="center"/>
          </w:tcPr>
          <w:p w14:paraId="75A232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紫薇园</w:t>
            </w:r>
          </w:p>
        </w:tc>
      </w:tr>
      <w:tr w14:paraId="690C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24A927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C69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tcBorders>
            <w:noWrap/>
            <w:vAlign w:val="center"/>
          </w:tcPr>
          <w:p w14:paraId="048DFA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大成国际</w:t>
            </w:r>
          </w:p>
        </w:tc>
      </w:tr>
      <w:tr w14:paraId="3F327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F61793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558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tcBorders>
            <w:noWrap/>
            <w:vAlign w:val="center"/>
          </w:tcPr>
          <w:p w14:paraId="6D17B3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水岸帝景</w:t>
            </w:r>
          </w:p>
        </w:tc>
      </w:tr>
      <w:tr w14:paraId="200E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FC7A6A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CA3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tcBorders>
            <w:noWrap/>
            <w:vAlign w:val="center"/>
          </w:tcPr>
          <w:p w14:paraId="68A5FC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清流西路</w:t>
            </w:r>
          </w:p>
        </w:tc>
      </w:tr>
      <w:tr w14:paraId="5A8D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74C390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63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tcBorders>
            <w:noWrap/>
            <w:vAlign w:val="center"/>
          </w:tcPr>
          <w:p w14:paraId="504171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银花南苑</w:t>
            </w:r>
          </w:p>
        </w:tc>
      </w:tr>
      <w:tr w14:paraId="37ECC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6346D1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五区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1F07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tcBorders>
            <w:noWrap/>
            <w:vAlign w:val="center"/>
          </w:tcPr>
          <w:p w14:paraId="4CC6B0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南园小区</w:t>
            </w:r>
          </w:p>
        </w:tc>
      </w:tr>
      <w:tr w14:paraId="4CF03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07DB43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C59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tcBorders>
            <w:noWrap/>
            <w:vAlign w:val="center"/>
          </w:tcPr>
          <w:p w14:paraId="29FF0C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君家酒店</w:t>
            </w:r>
          </w:p>
        </w:tc>
      </w:tr>
      <w:tr w14:paraId="2BF0E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099576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7C0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tcBorders>
            <w:noWrap/>
            <w:vAlign w:val="center"/>
          </w:tcPr>
          <w:p w14:paraId="27B79CC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管委会计</w:t>
            </w:r>
          </w:p>
        </w:tc>
      </w:tr>
      <w:tr w14:paraId="0BCCC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FFB5AC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133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tcBorders>
            <w:noWrap/>
            <w:vAlign w:val="center"/>
          </w:tcPr>
          <w:p w14:paraId="3DED7E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汇丰雅苑</w:t>
            </w:r>
          </w:p>
        </w:tc>
      </w:tr>
      <w:tr w14:paraId="75390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A00627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19F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59</w:t>
            </w:r>
          </w:p>
        </w:tc>
        <w:tc>
          <w:tcPr>
            <w:tcW w:w="0" w:type="auto"/>
            <w:tcBorders>
              <w:top w:val="single" w:color="000000" w:sz="4" w:space="0"/>
              <w:left w:val="single" w:color="000000" w:sz="4" w:space="0"/>
              <w:bottom w:val="single" w:color="000000" w:sz="4" w:space="0"/>
            </w:tcBorders>
            <w:noWrap/>
            <w:vAlign w:val="center"/>
          </w:tcPr>
          <w:p w14:paraId="372095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彩虹路</w:t>
            </w:r>
          </w:p>
        </w:tc>
      </w:tr>
      <w:tr w14:paraId="4E29C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48A71C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D6C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tcBorders>
            <w:noWrap/>
            <w:vAlign w:val="center"/>
          </w:tcPr>
          <w:p w14:paraId="58A5CB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会峰西路</w:t>
            </w:r>
          </w:p>
        </w:tc>
      </w:tr>
      <w:tr w14:paraId="0B512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9E4BE6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D96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tcBorders>
            <w:noWrap/>
            <w:vAlign w:val="center"/>
          </w:tcPr>
          <w:p w14:paraId="6888A3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山水人家</w:t>
            </w:r>
          </w:p>
        </w:tc>
      </w:tr>
      <w:tr w14:paraId="20C88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2B07B1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F1C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tcBorders>
            <w:noWrap/>
            <w:vAlign w:val="center"/>
          </w:tcPr>
          <w:p w14:paraId="2B09C72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长乐小区</w:t>
            </w:r>
          </w:p>
        </w:tc>
      </w:tr>
      <w:tr w14:paraId="1D646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485F84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B0B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tcBorders>
            <w:noWrap/>
            <w:vAlign w:val="center"/>
          </w:tcPr>
          <w:p w14:paraId="6476EA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滁州学院西门</w:t>
            </w:r>
          </w:p>
        </w:tc>
      </w:tr>
      <w:tr w14:paraId="7A59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49273A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EB5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tcBorders>
            <w:noWrap/>
            <w:vAlign w:val="center"/>
          </w:tcPr>
          <w:p w14:paraId="3EA8E8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南都华府南门</w:t>
            </w:r>
          </w:p>
        </w:tc>
      </w:tr>
      <w:tr w14:paraId="24943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17ABF8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507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tcBorders>
            <w:noWrap/>
            <w:vAlign w:val="center"/>
          </w:tcPr>
          <w:p w14:paraId="07DAC2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浩然国际计</w:t>
            </w:r>
          </w:p>
        </w:tc>
      </w:tr>
      <w:tr w14:paraId="4B832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59E72B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B71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tcBorders>
            <w:noWrap/>
            <w:vAlign w:val="center"/>
          </w:tcPr>
          <w:p w14:paraId="1725540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园林局计</w:t>
            </w:r>
          </w:p>
        </w:tc>
      </w:tr>
      <w:tr w14:paraId="6FA3B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DFBC01F">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82C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tcBorders>
            <w:noWrap/>
            <w:vAlign w:val="center"/>
          </w:tcPr>
          <w:p w14:paraId="40452A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扬子地板厂</w:t>
            </w:r>
          </w:p>
        </w:tc>
      </w:tr>
      <w:tr w14:paraId="3775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2A1337A">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0CC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tcBorders>
            <w:noWrap/>
            <w:vAlign w:val="center"/>
          </w:tcPr>
          <w:p w14:paraId="4A2783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富春园计</w:t>
            </w:r>
          </w:p>
        </w:tc>
      </w:tr>
      <w:tr w14:paraId="1DA9F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0C7ABD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8F24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tcBorders>
            <w:noWrap/>
            <w:vAlign w:val="center"/>
          </w:tcPr>
          <w:p w14:paraId="4F408D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康佳电</w:t>
            </w:r>
          </w:p>
        </w:tc>
      </w:tr>
      <w:tr w14:paraId="139B2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000CB6F">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ED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tcBorders>
            <w:noWrap/>
            <w:vAlign w:val="center"/>
          </w:tcPr>
          <w:p w14:paraId="7D303E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天乐小区</w:t>
            </w:r>
          </w:p>
        </w:tc>
      </w:tr>
      <w:tr w14:paraId="4E191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FB265D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552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tcBorders>
            <w:noWrap/>
            <w:vAlign w:val="center"/>
          </w:tcPr>
          <w:p w14:paraId="09166B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会峰大厦</w:t>
            </w:r>
          </w:p>
        </w:tc>
      </w:tr>
      <w:tr w14:paraId="5A1DE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F110E9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C27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tcBorders>
            <w:noWrap/>
            <w:vAlign w:val="center"/>
          </w:tcPr>
          <w:p w14:paraId="115187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裕坤丽晶城</w:t>
            </w:r>
          </w:p>
        </w:tc>
      </w:tr>
      <w:tr w14:paraId="7E2C4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08771A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六区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5C86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tcBorders>
            <w:noWrap/>
            <w:vAlign w:val="center"/>
          </w:tcPr>
          <w:p w14:paraId="2F6B4E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龙蟠派出所  </w:t>
            </w:r>
          </w:p>
        </w:tc>
      </w:tr>
      <w:tr w14:paraId="3687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3E282F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6DB2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tcBorders>
            <w:noWrap/>
            <w:vAlign w:val="center"/>
          </w:tcPr>
          <w:p w14:paraId="2AEA9F4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人才公寓   </w:t>
            </w:r>
          </w:p>
        </w:tc>
      </w:tr>
      <w:tr w14:paraId="13861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4AFE8BA">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F33A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tcBorders>
            <w:noWrap/>
            <w:vAlign w:val="center"/>
          </w:tcPr>
          <w:p w14:paraId="661028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技术学院   </w:t>
            </w:r>
          </w:p>
        </w:tc>
      </w:tr>
      <w:tr w14:paraId="2DE79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4CCE6B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E1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tcBorders>
            <w:noWrap/>
            <w:vAlign w:val="center"/>
          </w:tcPr>
          <w:p w14:paraId="3FC21B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草塘路  </w:t>
            </w:r>
          </w:p>
        </w:tc>
      </w:tr>
      <w:tr w14:paraId="32CF0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D754E1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E4D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tcBorders>
            <w:noWrap/>
            <w:vAlign w:val="center"/>
          </w:tcPr>
          <w:p w14:paraId="7FCFBE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市委党校 </w:t>
            </w:r>
          </w:p>
        </w:tc>
      </w:tr>
      <w:tr w14:paraId="0B493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3957C5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4253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tcBorders>
            <w:noWrap/>
            <w:vAlign w:val="center"/>
          </w:tcPr>
          <w:p w14:paraId="13F311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技术学院西 </w:t>
            </w:r>
          </w:p>
        </w:tc>
      </w:tr>
      <w:tr w14:paraId="2A349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48E77D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187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tcBorders>
            <w:noWrap/>
            <w:vAlign w:val="center"/>
          </w:tcPr>
          <w:p w14:paraId="40DB1E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儿童医院 </w:t>
            </w:r>
          </w:p>
        </w:tc>
      </w:tr>
      <w:tr w14:paraId="160D5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FB7FCA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70B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tcBorders>
            <w:noWrap/>
            <w:vAlign w:val="center"/>
          </w:tcPr>
          <w:p w14:paraId="76B6D3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党风廉政 </w:t>
            </w:r>
          </w:p>
        </w:tc>
      </w:tr>
      <w:tr w14:paraId="16A1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55B8F1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0F1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tcBorders>
            <w:noWrap/>
            <w:vAlign w:val="center"/>
          </w:tcPr>
          <w:p w14:paraId="72490E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城市学院  </w:t>
            </w:r>
          </w:p>
        </w:tc>
      </w:tr>
      <w:tr w14:paraId="219C2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7CD423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DA8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tcBorders>
            <w:noWrap/>
            <w:vAlign w:val="center"/>
          </w:tcPr>
          <w:p w14:paraId="7ACBAD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意境山城  </w:t>
            </w:r>
          </w:p>
        </w:tc>
      </w:tr>
      <w:tr w14:paraId="15C1D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D1CA8E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2FC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tcBorders>
            <w:noWrap/>
            <w:vAlign w:val="center"/>
          </w:tcPr>
          <w:p w14:paraId="3B760A0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高铁站 </w:t>
            </w:r>
          </w:p>
        </w:tc>
      </w:tr>
      <w:tr w14:paraId="3CE37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1ADEC9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七区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E8A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tcBorders>
            <w:noWrap/>
            <w:vAlign w:val="center"/>
          </w:tcPr>
          <w:p w14:paraId="3878AE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滁州六中</w:t>
            </w:r>
          </w:p>
        </w:tc>
      </w:tr>
      <w:tr w14:paraId="3B8A4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5D5320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033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tcBorders>
            <w:noWrap/>
            <w:vAlign w:val="center"/>
          </w:tcPr>
          <w:p w14:paraId="3AEA47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滁州中学  </w:t>
            </w:r>
          </w:p>
        </w:tc>
      </w:tr>
      <w:tr w14:paraId="4DD26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3DBEB5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A8BA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tcBorders>
            <w:noWrap/>
            <w:vAlign w:val="center"/>
          </w:tcPr>
          <w:p w14:paraId="2827B8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发能国际城</w:t>
            </w:r>
          </w:p>
        </w:tc>
      </w:tr>
      <w:tr w14:paraId="6809F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C0294DA">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F39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tcBorders>
            <w:noWrap/>
            <w:vAlign w:val="center"/>
          </w:tcPr>
          <w:p w14:paraId="740AD9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永乐公园</w:t>
            </w:r>
          </w:p>
        </w:tc>
      </w:tr>
      <w:tr w14:paraId="61488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758BF8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288D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tcBorders>
            <w:noWrap/>
            <w:vAlign w:val="center"/>
          </w:tcPr>
          <w:p w14:paraId="293621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书香雅苑 </w:t>
            </w:r>
          </w:p>
        </w:tc>
      </w:tr>
      <w:tr w14:paraId="365D8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871957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497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tcBorders>
            <w:noWrap/>
            <w:vAlign w:val="center"/>
          </w:tcPr>
          <w:p w14:paraId="789926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龙蟠南苑</w:t>
            </w:r>
          </w:p>
        </w:tc>
      </w:tr>
      <w:tr w14:paraId="19DA8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7B9C24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6024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tcBorders>
            <w:noWrap/>
            <w:vAlign w:val="center"/>
          </w:tcPr>
          <w:p w14:paraId="0A140D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名儒园</w:t>
            </w:r>
          </w:p>
        </w:tc>
      </w:tr>
      <w:tr w14:paraId="75559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E24937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09A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tcBorders>
            <w:noWrap/>
            <w:vAlign w:val="center"/>
          </w:tcPr>
          <w:p w14:paraId="1C41082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爱丽舍宫</w:t>
            </w:r>
          </w:p>
        </w:tc>
      </w:tr>
      <w:tr w14:paraId="7127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1E51DF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八区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79B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tcBorders>
            <w:noWrap/>
            <w:vAlign w:val="center"/>
          </w:tcPr>
          <w:p w14:paraId="691496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阳光都市</w:t>
            </w:r>
          </w:p>
        </w:tc>
      </w:tr>
      <w:tr w14:paraId="3D68F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DA5922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C75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tcBorders>
            <w:noWrap/>
            <w:vAlign w:val="center"/>
          </w:tcPr>
          <w:p w14:paraId="251F6E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政务中心北楼</w:t>
            </w:r>
          </w:p>
        </w:tc>
      </w:tr>
      <w:tr w14:paraId="2A70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3136489">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D14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tcBorders>
            <w:noWrap/>
            <w:vAlign w:val="center"/>
          </w:tcPr>
          <w:p w14:paraId="5E91724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科技馆</w:t>
            </w:r>
          </w:p>
        </w:tc>
      </w:tr>
      <w:tr w14:paraId="05986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BB288B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3E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tcBorders>
            <w:noWrap/>
            <w:vAlign w:val="center"/>
          </w:tcPr>
          <w:p w14:paraId="05D452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博物馆</w:t>
            </w:r>
          </w:p>
        </w:tc>
      </w:tr>
      <w:tr w14:paraId="42476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DFA826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56F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tcBorders>
            <w:noWrap/>
            <w:vAlign w:val="center"/>
          </w:tcPr>
          <w:p w14:paraId="10B289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图书馆</w:t>
            </w:r>
          </w:p>
        </w:tc>
      </w:tr>
      <w:tr w14:paraId="687A8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64DE4C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069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tcBorders>
            <w:noWrap/>
            <w:vAlign w:val="center"/>
          </w:tcPr>
          <w:p w14:paraId="52AD771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都市名苑</w:t>
            </w:r>
          </w:p>
        </w:tc>
      </w:tr>
      <w:tr w14:paraId="10AB9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E40E8A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1AA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tcBorders>
            <w:noWrap/>
            <w:vAlign w:val="center"/>
          </w:tcPr>
          <w:p w14:paraId="211566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电子产业园</w:t>
            </w:r>
          </w:p>
        </w:tc>
      </w:tr>
      <w:tr w14:paraId="560ED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0ACDD2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E2B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tcBorders>
            <w:noWrap/>
            <w:vAlign w:val="center"/>
          </w:tcPr>
          <w:p w14:paraId="4B78C4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凤凰城南</w:t>
            </w:r>
          </w:p>
        </w:tc>
      </w:tr>
      <w:tr w14:paraId="50BA0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AEA567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4D6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tcBorders>
            <w:noWrap/>
            <w:vAlign w:val="center"/>
          </w:tcPr>
          <w:p w14:paraId="222311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卓耕天御</w:t>
            </w:r>
          </w:p>
        </w:tc>
      </w:tr>
      <w:tr w14:paraId="5BEC9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2AF3EB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CEE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tcBorders>
            <w:noWrap/>
            <w:vAlign w:val="center"/>
          </w:tcPr>
          <w:p w14:paraId="38F5BE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同乐苑</w:t>
            </w:r>
          </w:p>
        </w:tc>
      </w:tr>
      <w:tr w14:paraId="41B01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548F12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4AC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tcBorders>
            <w:noWrap/>
            <w:vAlign w:val="center"/>
          </w:tcPr>
          <w:p w14:paraId="37645D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同乐东苑</w:t>
            </w:r>
          </w:p>
        </w:tc>
      </w:tr>
      <w:tr w14:paraId="67F49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103347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九区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1C0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tcBorders>
            <w:noWrap/>
            <w:vAlign w:val="center"/>
          </w:tcPr>
          <w:p w14:paraId="0FC3D8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公安大楼 </w:t>
            </w:r>
          </w:p>
        </w:tc>
      </w:tr>
      <w:tr w14:paraId="52691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CF54E0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6B01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tcBorders>
            <w:noWrap/>
            <w:vAlign w:val="center"/>
          </w:tcPr>
          <w:p w14:paraId="15F110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开润股份 </w:t>
            </w:r>
          </w:p>
        </w:tc>
      </w:tr>
      <w:tr w14:paraId="770F2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7AB435A">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472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tcBorders>
            <w:noWrap/>
            <w:vAlign w:val="center"/>
          </w:tcPr>
          <w:p w14:paraId="3F2B71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恒昌机械共</w:t>
            </w:r>
          </w:p>
        </w:tc>
      </w:tr>
      <w:tr w14:paraId="0DC1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E0EB4F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6DB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tcBorders>
            <w:noWrap/>
            <w:vAlign w:val="center"/>
          </w:tcPr>
          <w:p w14:paraId="1EAA2F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湿地公园共</w:t>
            </w:r>
          </w:p>
        </w:tc>
      </w:tr>
      <w:tr w14:paraId="3DFFF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9C465C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E63D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tcBorders>
            <w:noWrap/>
            <w:vAlign w:val="center"/>
          </w:tcPr>
          <w:p w14:paraId="458145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湿地南门</w:t>
            </w:r>
          </w:p>
        </w:tc>
      </w:tr>
      <w:tr w14:paraId="5310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C41DF2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2C8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tcBorders>
            <w:noWrap/>
            <w:vAlign w:val="center"/>
          </w:tcPr>
          <w:p w14:paraId="03A822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英仕公馆</w:t>
            </w:r>
          </w:p>
        </w:tc>
      </w:tr>
      <w:tr w14:paraId="30FF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3C460D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38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tcBorders>
            <w:noWrap/>
            <w:vAlign w:val="center"/>
          </w:tcPr>
          <w:p w14:paraId="2B98C5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中普广场</w:t>
            </w:r>
          </w:p>
        </w:tc>
      </w:tr>
      <w:tr w14:paraId="5FA35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3F2CDD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996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tcBorders>
            <w:noWrap/>
            <w:vAlign w:val="center"/>
          </w:tcPr>
          <w:p w14:paraId="7529FC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十一中学</w:t>
            </w:r>
          </w:p>
        </w:tc>
      </w:tr>
      <w:tr w14:paraId="097C2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2DB112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914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tcBorders>
            <w:noWrap/>
            <w:vAlign w:val="center"/>
          </w:tcPr>
          <w:p w14:paraId="55C72F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明湖华侨</w:t>
            </w:r>
          </w:p>
        </w:tc>
      </w:tr>
      <w:tr w14:paraId="09C92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204A7F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十区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F2B2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tcBorders>
            <w:noWrap/>
            <w:vAlign w:val="center"/>
          </w:tcPr>
          <w:p w14:paraId="20236C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博西华</w:t>
            </w:r>
          </w:p>
        </w:tc>
      </w:tr>
      <w:tr w14:paraId="123B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3A8D07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B00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tcBorders>
            <w:noWrap/>
            <w:vAlign w:val="center"/>
          </w:tcPr>
          <w:p w14:paraId="6827959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银鹭</w:t>
            </w:r>
          </w:p>
        </w:tc>
      </w:tr>
      <w:tr w14:paraId="6656D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FD02B5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C29B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tcBorders>
            <w:noWrap/>
            <w:vAlign w:val="center"/>
          </w:tcPr>
          <w:p w14:paraId="073DDD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东鹏</w:t>
            </w:r>
          </w:p>
        </w:tc>
      </w:tr>
      <w:tr w14:paraId="2828C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BC64BB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A17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tcBorders>
            <w:noWrap/>
            <w:vAlign w:val="center"/>
          </w:tcPr>
          <w:p w14:paraId="545633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永强</w:t>
            </w:r>
          </w:p>
        </w:tc>
      </w:tr>
      <w:tr w14:paraId="05BB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12A6FF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2AA2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tcBorders>
            <w:noWrap/>
            <w:vAlign w:val="center"/>
          </w:tcPr>
          <w:p w14:paraId="203A98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石庙</w:t>
            </w:r>
          </w:p>
        </w:tc>
      </w:tr>
      <w:tr w14:paraId="2538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A57760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EB1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tcBorders>
            <w:noWrap/>
            <w:vAlign w:val="center"/>
          </w:tcPr>
          <w:p w14:paraId="5B6293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惠科</w:t>
            </w:r>
          </w:p>
        </w:tc>
      </w:tr>
      <w:tr w14:paraId="7C02B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0405D4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84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tcBorders>
            <w:noWrap/>
            <w:vAlign w:val="center"/>
          </w:tcPr>
          <w:p w14:paraId="159B11B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隆基</w:t>
            </w:r>
          </w:p>
        </w:tc>
      </w:tr>
      <w:tr w14:paraId="4BD92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7E0BFCC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818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tcBorders>
            <w:noWrap/>
            <w:vAlign w:val="center"/>
          </w:tcPr>
          <w:p w14:paraId="32D1E5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天鼎丰</w:t>
            </w:r>
          </w:p>
        </w:tc>
      </w:tr>
      <w:tr w14:paraId="43C8B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9B1C4D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77F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tcBorders>
            <w:noWrap/>
            <w:vAlign w:val="center"/>
          </w:tcPr>
          <w:p w14:paraId="387410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嘉美二期</w:t>
            </w:r>
          </w:p>
        </w:tc>
      </w:tr>
      <w:tr w14:paraId="0E542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9EC7DD9">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10E4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tcBorders>
            <w:noWrap/>
            <w:vAlign w:val="center"/>
          </w:tcPr>
          <w:p w14:paraId="22E19B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养元</w:t>
            </w:r>
          </w:p>
        </w:tc>
      </w:tr>
      <w:tr w14:paraId="355D3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5B3F35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十一区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EF7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tcBorders>
            <w:noWrap/>
            <w:vAlign w:val="center"/>
          </w:tcPr>
          <w:p w14:paraId="4E1A8B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菱溪湖公园</w:t>
            </w:r>
          </w:p>
        </w:tc>
      </w:tr>
      <w:tr w14:paraId="39FBA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3A7F2D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52E0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tcBorders>
            <w:noWrap/>
            <w:vAlign w:val="center"/>
          </w:tcPr>
          <w:p w14:paraId="5187F7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清流水韵</w:t>
            </w:r>
          </w:p>
        </w:tc>
      </w:tr>
      <w:tr w14:paraId="0EEC3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ACE2DEF">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DAE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tcBorders>
            <w:noWrap/>
            <w:vAlign w:val="center"/>
          </w:tcPr>
          <w:p w14:paraId="61D19F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清流河公园</w:t>
            </w:r>
          </w:p>
        </w:tc>
      </w:tr>
      <w:tr w14:paraId="371B9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A9BEE7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463D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tcBorders>
            <w:noWrap/>
            <w:vAlign w:val="center"/>
          </w:tcPr>
          <w:p w14:paraId="66D202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皖东医院</w:t>
            </w:r>
          </w:p>
        </w:tc>
      </w:tr>
      <w:tr w14:paraId="6708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F1F926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BEC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tcBorders>
            <w:noWrap/>
            <w:vAlign w:val="center"/>
          </w:tcPr>
          <w:p w14:paraId="25DEEC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城北办事处</w:t>
            </w:r>
          </w:p>
        </w:tc>
      </w:tr>
      <w:tr w14:paraId="7819D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BAD6CD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22C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tcBorders>
            <w:noWrap/>
            <w:vAlign w:val="center"/>
          </w:tcPr>
          <w:p w14:paraId="1A474B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万爱</w:t>
            </w:r>
          </w:p>
        </w:tc>
      </w:tr>
      <w:tr w14:paraId="0B464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EBA2A80">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DF2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tcBorders>
            <w:noWrap/>
            <w:vAlign w:val="center"/>
          </w:tcPr>
          <w:p w14:paraId="7E75B15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泰普饮料</w:t>
            </w:r>
          </w:p>
        </w:tc>
      </w:tr>
      <w:tr w14:paraId="69FF1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292A39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8D8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tcBorders>
            <w:noWrap/>
            <w:vAlign w:val="center"/>
          </w:tcPr>
          <w:p w14:paraId="07D7932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博凯模塑</w:t>
            </w:r>
          </w:p>
        </w:tc>
      </w:tr>
      <w:tr w14:paraId="55686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DA5E69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125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tcBorders>
            <w:noWrap/>
            <w:vAlign w:val="center"/>
          </w:tcPr>
          <w:p w14:paraId="46C6BC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康迈斯</w:t>
            </w:r>
          </w:p>
        </w:tc>
      </w:tr>
      <w:tr w14:paraId="7DEE6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A329B9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028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tcBorders>
            <w:noWrap/>
            <w:vAlign w:val="center"/>
          </w:tcPr>
          <w:p w14:paraId="2AA2BC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鲲鹏模具</w:t>
            </w:r>
          </w:p>
        </w:tc>
      </w:tr>
      <w:tr w14:paraId="0553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C7AA25C">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616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tcBorders>
            <w:noWrap/>
            <w:vAlign w:val="center"/>
          </w:tcPr>
          <w:p w14:paraId="60EFE7E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清流人家</w:t>
            </w:r>
          </w:p>
        </w:tc>
      </w:tr>
      <w:tr w14:paraId="29ACE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603E54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十二区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EFE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tcBorders>
            <w:noWrap/>
            <w:vAlign w:val="center"/>
          </w:tcPr>
          <w:p w14:paraId="0BE490D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琅琊工会</w:t>
            </w:r>
          </w:p>
        </w:tc>
      </w:tr>
      <w:tr w14:paraId="09628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64B61F4">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031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tcBorders>
            <w:noWrap/>
            <w:vAlign w:val="center"/>
          </w:tcPr>
          <w:p w14:paraId="0475905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琅琊区政府</w:t>
            </w:r>
          </w:p>
        </w:tc>
      </w:tr>
      <w:tr w14:paraId="0EF82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31C7D76">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9D5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tcBorders>
            <w:noWrap/>
            <w:vAlign w:val="center"/>
          </w:tcPr>
          <w:p w14:paraId="2095BC9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义乌商贸城</w:t>
            </w:r>
          </w:p>
        </w:tc>
      </w:tr>
      <w:tr w14:paraId="4455C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67883C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E16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tcBorders>
            <w:noWrap/>
            <w:vAlign w:val="center"/>
          </w:tcPr>
          <w:p w14:paraId="432425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扬子转盘 </w:t>
            </w:r>
          </w:p>
        </w:tc>
      </w:tr>
      <w:tr w14:paraId="6B4B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FA5814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94B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tcBorders>
            <w:noWrap/>
            <w:vAlign w:val="center"/>
          </w:tcPr>
          <w:p w14:paraId="205BD3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城东花园 </w:t>
            </w:r>
          </w:p>
        </w:tc>
      </w:tr>
      <w:tr w14:paraId="08C59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7041E1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11B5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tcBorders>
            <w:noWrap/>
            <w:vAlign w:val="center"/>
          </w:tcPr>
          <w:p w14:paraId="67B554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盼盼食品 </w:t>
            </w:r>
          </w:p>
        </w:tc>
      </w:tr>
      <w:tr w14:paraId="6589F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4B710F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1BF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tcBorders>
            <w:noWrap/>
            <w:vAlign w:val="center"/>
          </w:tcPr>
          <w:p w14:paraId="6D287E8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国际商贸城</w:t>
            </w:r>
          </w:p>
        </w:tc>
      </w:tr>
      <w:tr w14:paraId="63132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E75445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D5DD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tcBorders>
            <w:noWrap/>
            <w:vAlign w:val="center"/>
          </w:tcPr>
          <w:p w14:paraId="5C5CEAE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东菱电器 </w:t>
            </w:r>
          </w:p>
        </w:tc>
      </w:tr>
      <w:tr w14:paraId="36F38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3EC7D6CB">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FB6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tcBorders>
            <w:noWrap/>
            <w:vAlign w:val="center"/>
          </w:tcPr>
          <w:p w14:paraId="1FF0D54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 xml:space="preserve">长电科技 </w:t>
            </w:r>
          </w:p>
        </w:tc>
      </w:tr>
      <w:tr w14:paraId="647B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7CF93B7">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C65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tcBorders>
            <w:noWrap/>
            <w:vAlign w:val="center"/>
          </w:tcPr>
          <w:p w14:paraId="744CB7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鑫鼎机械</w:t>
            </w:r>
          </w:p>
        </w:tc>
      </w:tr>
      <w:tr w14:paraId="55CD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restart"/>
            <w:tcBorders>
              <w:top w:val="single" w:color="000000" w:sz="4" w:space="0"/>
              <w:bottom w:val="single" w:color="000000" w:sz="4" w:space="0"/>
              <w:right w:val="single" w:color="000000" w:sz="4" w:space="0"/>
            </w:tcBorders>
            <w:noWrap/>
            <w:vAlign w:val="center"/>
          </w:tcPr>
          <w:p w14:paraId="62235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十三区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EA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tcBorders>
            <w:noWrap/>
            <w:vAlign w:val="center"/>
          </w:tcPr>
          <w:p w14:paraId="39CC2D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洪武汽车</w:t>
            </w:r>
          </w:p>
        </w:tc>
      </w:tr>
      <w:tr w14:paraId="5CE45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68AB659E">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ACF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tcBorders>
            <w:noWrap/>
            <w:vAlign w:val="center"/>
          </w:tcPr>
          <w:p w14:paraId="35976E1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金燕小区</w:t>
            </w:r>
          </w:p>
        </w:tc>
      </w:tr>
      <w:tr w14:paraId="7B499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B5A3DA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391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tcBorders>
            <w:noWrap/>
            <w:vAlign w:val="center"/>
          </w:tcPr>
          <w:p w14:paraId="5B9D26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朝阳工业园</w:t>
            </w:r>
          </w:p>
        </w:tc>
      </w:tr>
      <w:tr w14:paraId="0F823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5855A74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D20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tcBorders>
            <w:noWrap/>
            <w:vAlign w:val="center"/>
          </w:tcPr>
          <w:p w14:paraId="67E07D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嘉美一期</w:t>
            </w:r>
          </w:p>
        </w:tc>
      </w:tr>
      <w:tr w14:paraId="1C7EA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28F70665">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88B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tcBorders>
            <w:noWrap/>
            <w:vAlign w:val="center"/>
          </w:tcPr>
          <w:p w14:paraId="386520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雅客食品</w:t>
            </w:r>
          </w:p>
        </w:tc>
      </w:tr>
      <w:tr w14:paraId="087B6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B85FA32">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626B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tcBorders>
            <w:noWrap/>
            <w:vAlign w:val="center"/>
          </w:tcPr>
          <w:p w14:paraId="0698D3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天大铜业</w:t>
            </w:r>
          </w:p>
        </w:tc>
      </w:tr>
      <w:tr w14:paraId="41890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49C91873">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573E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tcBorders>
            <w:noWrap/>
            <w:vAlign w:val="center"/>
          </w:tcPr>
          <w:p w14:paraId="2C5278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顺鑫盛源</w:t>
            </w:r>
          </w:p>
        </w:tc>
      </w:tr>
      <w:tr w14:paraId="0F6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08B6B668">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1E1D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tcBorders>
            <w:noWrap/>
            <w:vAlign w:val="center"/>
          </w:tcPr>
          <w:p w14:paraId="2EC2CB5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琅琊开发区管委会</w:t>
            </w:r>
          </w:p>
        </w:tc>
      </w:tr>
      <w:tr w14:paraId="1460C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25D40ED">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955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tcBorders>
            <w:noWrap/>
            <w:vAlign w:val="center"/>
          </w:tcPr>
          <w:p w14:paraId="219BC8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安丰机电</w:t>
            </w:r>
          </w:p>
        </w:tc>
      </w:tr>
      <w:tr w14:paraId="660C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vMerge w:val="continue"/>
            <w:tcBorders>
              <w:top w:val="single" w:color="000000" w:sz="4" w:space="0"/>
              <w:bottom w:val="single" w:color="000000" w:sz="4" w:space="0"/>
              <w:right w:val="single" w:color="000000" w:sz="4" w:space="0"/>
            </w:tcBorders>
            <w:noWrap/>
            <w:vAlign w:val="center"/>
          </w:tcPr>
          <w:p w14:paraId="1FFC7581">
            <w:pPr>
              <w:jc w:val="center"/>
              <w:rPr>
                <w:rFonts w:hint="eastAsia" w:ascii="方正仿宋_GB2312" w:hAnsi="方正仿宋_GB2312" w:eastAsia="方正仿宋_GB2312" w:cs="方正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20C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tcBorders>
            <w:noWrap/>
            <w:vAlign w:val="center"/>
          </w:tcPr>
          <w:p w14:paraId="3960288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林楼小区</w:t>
            </w:r>
          </w:p>
        </w:tc>
      </w:tr>
      <w:tr w14:paraId="0B3D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9840" w:type="dxa"/>
            <w:gridSpan w:val="3"/>
            <w:tcBorders>
              <w:top w:val="single" w:color="000000" w:sz="4" w:space="0"/>
              <w:bottom w:val="single" w:color="000000" w:sz="4" w:space="0"/>
            </w:tcBorders>
            <w:noWrap w:val="0"/>
            <w:vAlign w:val="center"/>
          </w:tcPr>
          <w:p w14:paraId="5ECD56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24"/>
                <w:szCs w:val="24"/>
                <w:highlight w:val="none"/>
                <w:u w:val="none"/>
              </w:rPr>
            </w:pPr>
            <w:r>
              <w:rPr>
                <w:rFonts w:hint="eastAsia" w:ascii="方正仿宋_GB2312" w:hAnsi="方正仿宋_GB2312" w:eastAsia="方正仿宋_GB2312" w:cs="方正仿宋_GB2312"/>
                <w:i w:val="0"/>
                <w:iCs w:val="0"/>
                <w:color w:val="auto"/>
                <w:kern w:val="0"/>
                <w:sz w:val="24"/>
                <w:szCs w:val="24"/>
                <w:highlight w:val="none"/>
                <w:u w:val="none"/>
                <w:lang w:val="en-US" w:eastAsia="zh-CN" w:bidi="ar"/>
              </w:rPr>
              <w:t>含：盛世华庭、清流换乘中心、广惠桥、南清四期、石庙小区5个站点。152个站点汇聚到小桥湖停车场（清流路与丰乐路交叉口）</w:t>
            </w:r>
          </w:p>
        </w:tc>
      </w:tr>
    </w:tbl>
    <w:p w14:paraId="48DE88BE">
      <w:pPr>
        <w:rPr>
          <w:rFonts w:hint="eastAsia" w:ascii="仿宋" w:hAnsi="仿宋" w:eastAsia="仿宋" w:cs="仿宋"/>
          <w:color w:val="auto"/>
          <w:sz w:val="30"/>
          <w:szCs w:val="30"/>
          <w:highlight w:val="none"/>
        </w:rPr>
      </w:pPr>
    </w:p>
    <w:bookmarkEnd w:id="666"/>
    <w:bookmarkEnd w:id="667"/>
    <w:bookmarkEnd w:id="668"/>
    <w:p w14:paraId="0BB5CA3D">
      <w:pPr>
        <w:textAlignment w:val="baseline"/>
        <w:rPr>
          <w:rFonts w:ascii="仿宋" w:hAnsi="仿宋" w:eastAsia="仿宋" w:cs="仿宋"/>
          <w:bCs/>
          <w:color w:val="auto"/>
          <w:sz w:val="30"/>
          <w:szCs w:val="30"/>
          <w:highlight w:val="none"/>
        </w:rPr>
      </w:pPr>
    </w:p>
    <w:p w14:paraId="0CBB8EE6">
      <w:pPr>
        <w:textAlignment w:val="baseline"/>
        <w:rPr>
          <w:rFonts w:ascii="仿宋" w:hAnsi="仿宋" w:eastAsia="仿宋" w:cs="仿宋"/>
          <w:bCs/>
          <w:color w:val="auto"/>
          <w:sz w:val="30"/>
          <w:szCs w:val="30"/>
          <w:highlight w:val="none"/>
        </w:rPr>
      </w:pPr>
    </w:p>
    <w:p w14:paraId="560B306F">
      <w:pPr>
        <w:textAlignment w:val="baseline"/>
        <w:rPr>
          <w:rFonts w:hint="eastAsia" w:ascii="仿宋" w:hAnsi="仿宋" w:eastAsia="仿宋" w:cs="仿宋"/>
          <w:bCs/>
          <w:color w:val="auto"/>
          <w:sz w:val="30"/>
          <w:szCs w:val="30"/>
          <w:highlight w:val="none"/>
        </w:rPr>
      </w:pPr>
    </w:p>
    <w:p w14:paraId="6749580B">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br w:type="page"/>
      </w:r>
    </w:p>
    <w:p w14:paraId="07A16614">
      <w:pPr>
        <w:numPr>
          <w:ilvl w:val="0"/>
          <w:numId w:val="0"/>
        </w:numPr>
        <w:spacing w:before="156" w:beforeLines="50" w:after="156" w:afterLines="50"/>
        <w:jc w:val="center"/>
        <w:outlineLvl w:val="0"/>
        <w:rPr>
          <w:rFonts w:hint="eastAsia" w:ascii="宋体"/>
          <w:b/>
          <w:color w:val="auto"/>
          <w:sz w:val="32"/>
          <w:szCs w:val="32"/>
          <w:highlight w:val="none"/>
          <w:lang w:val="en-US" w:eastAsia="zh-CN"/>
        </w:rPr>
      </w:pPr>
      <w:bookmarkStart w:id="671" w:name="_Toc17524"/>
      <w:r>
        <w:rPr>
          <w:rFonts w:hint="eastAsia" w:ascii="宋体"/>
          <w:b/>
          <w:color w:val="auto"/>
          <w:sz w:val="32"/>
          <w:szCs w:val="32"/>
          <w:highlight w:val="none"/>
          <w:lang w:val="en-US" w:eastAsia="zh-CN"/>
        </w:rPr>
        <w:t xml:space="preserve">第五章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合同格式（参考）</w:t>
      </w:r>
      <w:bookmarkEnd w:id="671"/>
    </w:p>
    <w:p w14:paraId="1C1D08E8">
      <w:pPr>
        <w:widowControl/>
        <w:spacing w:line="400" w:lineRule="exact"/>
        <w:ind w:left="360"/>
        <w:jc w:val="center"/>
        <w:textAlignment w:val="baseline"/>
        <w:outlineLvl w:val="1"/>
        <w:rPr>
          <w:rFonts w:hint="eastAsia" w:ascii="宋体"/>
          <w:b/>
          <w:color w:val="auto"/>
          <w:sz w:val="30"/>
          <w:szCs w:val="30"/>
          <w:highlight w:val="none"/>
        </w:rPr>
      </w:pPr>
    </w:p>
    <w:p w14:paraId="5832ADEE">
      <w:pPr>
        <w:widowControl/>
        <w:spacing w:line="400" w:lineRule="exact"/>
        <w:ind w:left="360"/>
        <w:jc w:val="center"/>
        <w:textAlignment w:val="baseline"/>
        <w:outlineLvl w:val="1"/>
        <w:rPr>
          <w:rFonts w:hint="eastAsia" w:ascii="黑体" w:eastAsia="黑体"/>
          <w:b/>
          <w:color w:val="auto"/>
          <w:sz w:val="30"/>
          <w:szCs w:val="30"/>
          <w:highlight w:val="none"/>
        </w:rPr>
      </w:pPr>
      <w:bookmarkStart w:id="672" w:name="_Toc5991"/>
      <w:r>
        <w:rPr>
          <w:rFonts w:hint="eastAsia" w:ascii="宋体"/>
          <w:b/>
          <w:color w:val="auto"/>
          <w:sz w:val="30"/>
          <w:szCs w:val="30"/>
          <w:highlight w:val="none"/>
        </w:rPr>
        <w:t>一</w:t>
      </w:r>
      <w:bookmarkStart w:id="673" w:name="_Toc449028946"/>
      <w:r>
        <w:rPr>
          <w:rFonts w:hint="eastAsia" w:ascii="宋体"/>
          <w:b/>
          <w:color w:val="auto"/>
          <w:sz w:val="30"/>
          <w:szCs w:val="30"/>
          <w:highlight w:val="none"/>
        </w:rPr>
        <w:t>、合同协议书（格式）</w:t>
      </w:r>
      <w:bookmarkEnd w:id="672"/>
      <w:bookmarkEnd w:id="673"/>
    </w:p>
    <w:p w14:paraId="15A746C6">
      <w:pPr>
        <w:spacing w:before="120" w:line="480" w:lineRule="auto"/>
        <w:ind w:left="960"/>
        <w:rPr>
          <w:rFonts w:hint="eastAsia" w:ascii="宋体" w:hAnsi="宋体"/>
          <w:color w:val="auto"/>
          <w:sz w:val="24"/>
          <w:highlight w:val="none"/>
        </w:rPr>
      </w:pPr>
    </w:p>
    <w:p w14:paraId="06A3B562">
      <w:pPr>
        <w:spacing w:before="120" w:line="480" w:lineRule="auto"/>
        <w:ind w:left="960"/>
        <w:rPr>
          <w:rFonts w:hint="eastAsia" w:ascii="宋体" w:hAnsi="宋体"/>
          <w:color w:val="auto"/>
          <w:sz w:val="24"/>
          <w:highlight w:val="none"/>
        </w:rPr>
      </w:pPr>
    </w:p>
    <w:p w14:paraId="4F8BE643">
      <w:pPr>
        <w:spacing w:before="120" w:line="480" w:lineRule="auto"/>
        <w:ind w:left="960"/>
        <w:rPr>
          <w:rFonts w:hint="eastAsia" w:ascii="宋体" w:hAnsi="宋体"/>
          <w:color w:val="auto"/>
          <w:sz w:val="24"/>
          <w:highlight w:val="none"/>
        </w:rPr>
      </w:pPr>
    </w:p>
    <w:p w14:paraId="3DD2F57C">
      <w:pPr>
        <w:spacing w:before="120" w:line="480" w:lineRule="auto"/>
        <w:ind w:left="960"/>
        <w:rPr>
          <w:rFonts w:hint="eastAsia" w:ascii="宋体" w:hAnsi="宋体"/>
          <w:color w:val="auto"/>
          <w:sz w:val="24"/>
          <w:highlight w:val="none"/>
        </w:rPr>
      </w:pPr>
    </w:p>
    <w:p w14:paraId="00D25EC1">
      <w:pPr>
        <w:spacing w:before="120" w:line="480" w:lineRule="auto"/>
        <w:ind w:left="960"/>
        <w:rPr>
          <w:rFonts w:hint="eastAsia" w:ascii="宋体" w:hAnsi="宋体"/>
          <w:color w:val="auto"/>
          <w:sz w:val="24"/>
          <w:highlight w:val="none"/>
        </w:rPr>
      </w:pPr>
    </w:p>
    <w:p w14:paraId="393E8AF6">
      <w:pPr>
        <w:spacing w:before="120" w:line="480" w:lineRule="auto"/>
        <w:ind w:left="960"/>
        <w:rPr>
          <w:rFonts w:hint="eastAsia" w:ascii="宋体" w:hAnsi="宋体"/>
          <w:color w:val="auto"/>
          <w:szCs w:val="21"/>
          <w:highlight w:val="none"/>
        </w:rPr>
      </w:pPr>
      <w:r>
        <w:rPr>
          <w:rFonts w:hint="eastAsia" w:ascii="宋体" w:hAnsi="宋体"/>
          <w:color w:val="auto"/>
          <w:szCs w:val="21"/>
          <w:highlight w:val="none"/>
        </w:rPr>
        <w:t xml:space="preserve">项目名称：    </w:t>
      </w:r>
    </w:p>
    <w:p w14:paraId="5F6646C2">
      <w:pPr>
        <w:spacing w:before="120" w:line="480" w:lineRule="auto"/>
        <w:ind w:left="960"/>
        <w:rPr>
          <w:rFonts w:ascii="宋体" w:hAnsi="宋体"/>
          <w:color w:val="auto"/>
          <w:szCs w:val="21"/>
          <w:highlight w:val="none"/>
        </w:rPr>
      </w:pPr>
      <w:r>
        <w:rPr>
          <w:rFonts w:hint="eastAsia" w:ascii="宋体" w:hAnsi="宋体"/>
          <w:color w:val="auto"/>
          <w:szCs w:val="21"/>
          <w:highlight w:val="none"/>
        </w:rPr>
        <w:t>项目编号：</w:t>
      </w:r>
    </w:p>
    <w:p w14:paraId="63CEF4C4">
      <w:pPr>
        <w:spacing w:before="120" w:line="480" w:lineRule="auto"/>
        <w:ind w:left="960"/>
        <w:rPr>
          <w:rFonts w:ascii="宋体" w:hAnsi="宋体"/>
          <w:color w:val="auto"/>
          <w:szCs w:val="21"/>
          <w:highlight w:val="none"/>
          <w:u w:val="single"/>
        </w:rPr>
      </w:pPr>
      <w:r>
        <w:rPr>
          <w:rFonts w:hint="eastAsia" w:ascii="宋体" w:hAnsi="宋体"/>
          <w:color w:val="auto"/>
          <w:szCs w:val="21"/>
          <w:highlight w:val="none"/>
        </w:rPr>
        <w:t>甲方（</w:t>
      </w:r>
      <w:r>
        <w:rPr>
          <w:rFonts w:hint="eastAsia" w:ascii="宋体" w:hAnsi="宋体"/>
          <w:color w:val="auto"/>
          <w:szCs w:val="21"/>
          <w:highlight w:val="none"/>
          <w:lang w:val="en-US" w:eastAsia="zh-CN"/>
        </w:rPr>
        <w:t>招标</w:t>
      </w:r>
      <w:r>
        <w:rPr>
          <w:rFonts w:hint="eastAsia" w:ascii="宋体" w:hAnsi="宋体"/>
          <w:color w:val="auto"/>
          <w:szCs w:val="21"/>
          <w:highlight w:val="none"/>
        </w:rPr>
        <w:t>人）：</w:t>
      </w:r>
      <w:r>
        <w:rPr>
          <w:rFonts w:hint="eastAsia" w:ascii="宋体" w:hAnsi="宋体"/>
          <w:color w:val="auto"/>
          <w:szCs w:val="21"/>
          <w:highlight w:val="none"/>
          <w:u w:val="single"/>
        </w:rPr>
        <w:t xml:space="preserve">                              </w:t>
      </w:r>
    </w:p>
    <w:p w14:paraId="01FFE275">
      <w:pPr>
        <w:spacing w:before="120" w:line="480" w:lineRule="auto"/>
        <w:ind w:left="960"/>
        <w:rPr>
          <w:rFonts w:ascii="宋体" w:hAnsi="宋体"/>
          <w:color w:val="auto"/>
          <w:szCs w:val="21"/>
          <w:highlight w:val="none"/>
          <w:u w:val="single"/>
        </w:rPr>
      </w:pPr>
      <w:r>
        <w:rPr>
          <w:rFonts w:hint="eastAsia" w:ascii="宋体" w:hAnsi="宋体"/>
          <w:color w:val="auto"/>
          <w:szCs w:val="21"/>
          <w:highlight w:val="none"/>
        </w:rPr>
        <w:t>乙方（中标人）：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0DE0371">
      <w:pPr>
        <w:spacing w:before="120" w:line="480" w:lineRule="auto"/>
        <w:ind w:firstLine="840" w:firstLineChars="4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p>
    <w:p w14:paraId="7B4959CB">
      <w:pPr>
        <w:spacing w:before="120" w:line="480" w:lineRule="auto"/>
        <w:ind w:firstLine="840" w:firstLineChars="4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AB2EE5">
      <w:pPr>
        <w:widowControl/>
        <w:jc w:val="left"/>
        <w:rPr>
          <w:rFonts w:ascii="宋体" w:hAnsi="宋体"/>
          <w:color w:val="auto"/>
          <w:szCs w:val="21"/>
          <w:highlight w:val="none"/>
        </w:rPr>
      </w:pPr>
      <w:r>
        <w:rPr>
          <w:rFonts w:ascii="宋体" w:hAnsi="宋体"/>
          <w:color w:val="auto"/>
          <w:szCs w:val="21"/>
          <w:highlight w:val="none"/>
        </w:rPr>
        <w:br w:type="page"/>
      </w:r>
    </w:p>
    <w:p w14:paraId="5D9B3F91">
      <w:pPr>
        <w:spacing w:line="360" w:lineRule="auto"/>
        <w:ind w:firstLine="435"/>
        <w:rPr>
          <w:rFonts w:ascii="宋体" w:hAnsi="宋体"/>
          <w:color w:val="auto"/>
          <w:szCs w:val="21"/>
          <w:highlight w:val="none"/>
        </w:rPr>
      </w:pPr>
      <w:r>
        <w:rPr>
          <w:rFonts w:hint="eastAsia" w:ascii="宋体" w:hAnsi="宋体"/>
          <w:i/>
          <w:iCs/>
          <w:color w:val="auto"/>
          <w:szCs w:val="21"/>
          <w:highlight w:val="none"/>
          <w:u w:val="single"/>
        </w:rPr>
        <w:t>（</w:t>
      </w:r>
      <w:r>
        <w:rPr>
          <w:rFonts w:hint="eastAsia" w:ascii="宋体" w:hAnsi="宋体"/>
          <w:i/>
          <w:iCs/>
          <w:color w:val="auto"/>
          <w:szCs w:val="21"/>
          <w:highlight w:val="none"/>
          <w:u w:val="single"/>
          <w:lang w:val="en-US" w:eastAsia="zh-CN"/>
        </w:rPr>
        <w:t>招标</w:t>
      </w:r>
      <w:r>
        <w:rPr>
          <w:rFonts w:hint="eastAsia" w:ascii="宋体" w:hAnsi="宋体"/>
          <w:i/>
          <w:iCs/>
          <w:color w:val="auto"/>
          <w:szCs w:val="21"/>
          <w:highlight w:val="none"/>
          <w:u w:val="single"/>
        </w:rPr>
        <w:t>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i/>
          <w:iCs/>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w:t>
      </w:r>
      <w:r>
        <w:rPr>
          <w:rFonts w:hint="eastAsia" w:ascii="宋体" w:hAnsi="宋体"/>
          <w:color w:val="auto"/>
          <w:szCs w:val="21"/>
          <w:highlight w:val="none"/>
          <w:lang w:val="en-US" w:eastAsia="zh-CN"/>
        </w:rPr>
        <w:t>招标文件</w:t>
      </w:r>
      <w:r>
        <w:rPr>
          <w:rFonts w:hint="eastAsia" w:ascii="宋体" w:hAnsi="宋体"/>
          <w:color w:val="auto"/>
          <w:szCs w:val="21"/>
          <w:highlight w:val="none"/>
        </w:rPr>
        <w:t>确定的事项签订本合同。</w:t>
      </w:r>
    </w:p>
    <w:p w14:paraId="25179812">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w:t>
      </w:r>
      <w:r>
        <w:rPr>
          <w:rFonts w:hint="eastAsia" w:ascii="宋体" w:hAnsi="宋体"/>
          <w:color w:val="auto"/>
          <w:szCs w:val="21"/>
          <w:highlight w:val="none"/>
          <w:lang w:val="en-US" w:eastAsia="zh-CN"/>
        </w:rPr>
        <w:t>招标投标法</w:t>
      </w:r>
      <w:r>
        <w:rPr>
          <w:rFonts w:hint="eastAsia" w:ascii="宋体" w:hAnsi="宋体"/>
          <w:color w:val="auto"/>
          <w:szCs w:val="21"/>
          <w:highlight w:val="none"/>
        </w:rPr>
        <w:t>》等相关法律法规之规定，按照平等、自愿、公平和诚实信用的原则，经甲方和乙方协商一致，约定以下合同条款，以兹共同遵守、全面履行。</w:t>
      </w:r>
    </w:p>
    <w:p w14:paraId="5CA2F07B">
      <w:pPr>
        <w:spacing w:line="360" w:lineRule="auto"/>
        <w:ind w:firstLine="437"/>
        <w:outlineLvl w:val="3"/>
        <w:rPr>
          <w:rFonts w:ascii="宋体" w:hAnsi="宋体"/>
          <w:b/>
          <w:bCs/>
          <w:color w:val="auto"/>
          <w:szCs w:val="21"/>
          <w:highlight w:val="none"/>
          <w:lang w:val="zh-CN"/>
        </w:rPr>
      </w:pPr>
      <w:bookmarkStart w:id="674" w:name="_Toc24059"/>
      <w:bookmarkStart w:id="675" w:name="_Toc2232"/>
      <w:bookmarkStart w:id="676" w:name="_Toc3029"/>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674"/>
      <w:bookmarkEnd w:id="675"/>
      <w:bookmarkEnd w:id="676"/>
    </w:p>
    <w:p w14:paraId="011F367F">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4C9AD9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183A2025">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31DAF26">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3C8CC50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36435288">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1.1.5其他相关采购文件。</w:t>
      </w:r>
    </w:p>
    <w:p w14:paraId="6448D42B">
      <w:pPr>
        <w:spacing w:line="360" w:lineRule="auto"/>
        <w:ind w:firstLine="437"/>
        <w:outlineLvl w:val="3"/>
        <w:rPr>
          <w:rFonts w:ascii="宋体" w:hAnsi="宋体"/>
          <w:b/>
          <w:bCs/>
          <w:color w:val="auto"/>
          <w:szCs w:val="21"/>
          <w:highlight w:val="none"/>
          <w:lang w:val="zh-CN"/>
        </w:rPr>
      </w:pPr>
      <w:bookmarkStart w:id="677" w:name="_Toc22185"/>
      <w:bookmarkStart w:id="678" w:name="_Toc6311"/>
      <w:bookmarkStart w:id="679" w:name="_Toc18585"/>
      <w:bookmarkStart w:id="680" w:name="_Toc6773"/>
      <w:bookmarkStart w:id="681" w:name="_Toc2918"/>
      <w:r>
        <w:rPr>
          <w:rFonts w:hint="eastAsia" w:ascii="宋体" w:hAnsi="宋体"/>
          <w:b/>
          <w:bCs/>
          <w:color w:val="auto"/>
          <w:szCs w:val="21"/>
          <w:highlight w:val="none"/>
          <w:lang w:val="zh-CN"/>
        </w:rPr>
        <w:t xml:space="preserve">1.2 </w:t>
      </w:r>
      <w:bookmarkEnd w:id="677"/>
      <w:bookmarkEnd w:id="678"/>
      <w:bookmarkEnd w:id="679"/>
      <w:bookmarkEnd w:id="680"/>
      <w:bookmarkEnd w:id="681"/>
      <w:r>
        <w:rPr>
          <w:rFonts w:hint="eastAsia" w:ascii="宋体" w:hAnsi="宋体"/>
          <w:b/>
          <w:bCs/>
          <w:color w:val="auto"/>
          <w:szCs w:val="21"/>
          <w:highlight w:val="none"/>
          <w:lang w:val="zh-CN"/>
        </w:rPr>
        <w:t>服务</w:t>
      </w:r>
    </w:p>
    <w:p w14:paraId="6C70AAAB">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60DF72E">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详见</w:t>
      </w:r>
      <w:r>
        <w:rPr>
          <w:rFonts w:hint="eastAsia" w:ascii="宋体" w:hAnsi="宋体"/>
          <w:color w:val="auto"/>
          <w:szCs w:val="21"/>
          <w:highlight w:val="none"/>
          <w:u w:val="single"/>
        </w:rPr>
        <w:t xml:space="preserve">第四章采购需求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54CC9F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748BB2">
      <w:pPr>
        <w:spacing w:line="360" w:lineRule="auto"/>
        <w:ind w:firstLine="437"/>
        <w:outlineLvl w:val="3"/>
        <w:rPr>
          <w:rFonts w:ascii="宋体" w:hAnsi="宋体"/>
          <w:b/>
          <w:bCs/>
          <w:color w:val="auto"/>
          <w:szCs w:val="21"/>
          <w:highlight w:val="none"/>
          <w:lang w:val="zh-CN"/>
        </w:rPr>
      </w:pPr>
      <w:bookmarkStart w:id="682" w:name="_Toc21631"/>
      <w:bookmarkStart w:id="683" w:name="_Toc21551"/>
      <w:bookmarkStart w:id="684" w:name="_Toc23292"/>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682"/>
      <w:bookmarkEnd w:id="683"/>
      <w:bookmarkEnd w:id="684"/>
    </w:p>
    <w:p w14:paraId="09CDC4BE">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3C5C477">
      <w:pPr>
        <w:spacing w:line="360" w:lineRule="auto"/>
        <w:ind w:firstLine="437"/>
        <w:outlineLvl w:val="3"/>
        <w:rPr>
          <w:rFonts w:ascii="宋体" w:hAnsi="宋体"/>
          <w:b/>
          <w:bCs/>
          <w:color w:val="auto"/>
          <w:szCs w:val="21"/>
          <w:highlight w:val="none"/>
          <w:lang w:val="zh-CN"/>
        </w:rPr>
      </w:pPr>
      <w:bookmarkStart w:id="685" w:name="_Toc10340"/>
      <w:bookmarkStart w:id="686" w:name="_Toc1814"/>
      <w:bookmarkStart w:id="687" w:name="_Toc22618"/>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685"/>
      <w:bookmarkEnd w:id="686"/>
      <w:bookmarkEnd w:id="687"/>
    </w:p>
    <w:p w14:paraId="1DBC37F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s="Times New Roman"/>
          <w:color w:val="auto"/>
          <w:sz w:val="21"/>
          <w:szCs w:val="21"/>
          <w:highlight w:val="none"/>
          <w:u w:val="single"/>
        </w:rPr>
      </w:pPr>
      <w:r>
        <w:rPr>
          <w:rFonts w:hint="eastAsia" w:cs="Times New Roman"/>
          <w:color w:val="auto"/>
          <w:sz w:val="21"/>
          <w:szCs w:val="21"/>
          <w:highlight w:val="none"/>
        </w:rPr>
        <w:t>1.4.1</w:t>
      </w:r>
      <w:r>
        <w:rPr>
          <w:rFonts w:cs="Times New Roman"/>
          <w:color w:val="auto"/>
          <w:sz w:val="21"/>
          <w:szCs w:val="21"/>
          <w:highlight w:val="none"/>
        </w:rPr>
        <w:t>付款方式：</w:t>
      </w:r>
      <w:r>
        <w:rPr>
          <w:rFonts w:hint="eastAsia" w:cs="Times New Roman"/>
          <w:b/>
          <w:bCs/>
          <w:color w:val="auto"/>
          <w:sz w:val="21"/>
          <w:szCs w:val="21"/>
          <w:highlight w:val="none"/>
          <w:u w:val="single"/>
          <w:lang w:val="en-US" w:eastAsia="zh-CN"/>
        </w:rPr>
        <w:t>根据考核结果按月支付服务费用，服务费用为年中标总价/12。</w:t>
      </w:r>
    </w:p>
    <w:p w14:paraId="79AD3B69">
      <w:pPr>
        <w:spacing w:line="360" w:lineRule="auto"/>
        <w:ind w:firstLine="43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1.4.2发票开具方式：</w:t>
      </w:r>
      <w:r>
        <w:rPr>
          <w:rFonts w:hint="eastAsia" w:ascii="宋体" w:hAnsi="宋体" w:eastAsia="宋体" w:cs="Times New Roman"/>
          <w:color w:val="auto"/>
          <w:szCs w:val="21"/>
          <w:highlight w:val="none"/>
          <w:u w:val="single"/>
          <w:lang w:eastAsia="zh-CN"/>
        </w:rPr>
        <w:t>次月由乙方</w:t>
      </w:r>
      <w:r>
        <w:rPr>
          <w:rFonts w:hint="eastAsia" w:ascii="宋体" w:hAnsi="宋体" w:eastAsia="宋体" w:cs="Times New Roman"/>
          <w:color w:val="auto"/>
          <w:szCs w:val="21"/>
          <w:highlight w:val="none"/>
          <w:u w:val="single"/>
        </w:rPr>
        <w:t>开具</w:t>
      </w:r>
      <w:r>
        <w:rPr>
          <w:rFonts w:hint="eastAsia" w:ascii="宋体" w:hAnsi="宋体" w:eastAsia="宋体" w:cs="Times New Roman"/>
          <w:color w:val="auto"/>
          <w:szCs w:val="21"/>
          <w:highlight w:val="none"/>
          <w:u w:val="single"/>
          <w:lang w:eastAsia="zh-CN"/>
        </w:rPr>
        <w:t>增值税</w:t>
      </w:r>
      <w:r>
        <w:rPr>
          <w:rFonts w:hint="eastAsia" w:ascii="宋体" w:hAnsi="宋体" w:eastAsia="宋体" w:cs="Times New Roman"/>
          <w:color w:val="auto"/>
          <w:szCs w:val="21"/>
          <w:highlight w:val="none"/>
          <w:u w:val="single"/>
        </w:rPr>
        <w:t>（</w:t>
      </w:r>
      <w:r>
        <w:rPr>
          <w:rFonts w:hint="eastAsia" w:ascii="宋体" w:hAnsi="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普通、</w:t>
      </w:r>
      <w:r>
        <w:rPr>
          <w:rFonts w:hint="eastAsia" w:ascii="宋体" w:hAnsi="宋体" w:eastAsia="宋体" w:cs="Times New Roman"/>
          <w:color w:val="auto"/>
          <w:szCs w:val="21"/>
          <w:highlight w:val="none"/>
          <w:u w:val="single"/>
          <w:lang w:eastAsia="zh-CN"/>
        </w:rPr>
        <w:sym w:font="Wingdings 2" w:char="0052"/>
      </w:r>
      <w:r>
        <w:rPr>
          <w:rFonts w:hint="eastAsia" w:ascii="宋体" w:hAnsi="宋体" w:eastAsia="宋体" w:cs="Times New Roman"/>
          <w:color w:val="auto"/>
          <w:szCs w:val="21"/>
          <w:highlight w:val="none"/>
          <w:u w:val="single"/>
        </w:rPr>
        <w:t>专用）发票</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待甲</w:t>
      </w:r>
      <w:r>
        <w:rPr>
          <w:rFonts w:hint="eastAsia" w:ascii="宋体" w:hAnsi="宋体" w:eastAsia="宋体" w:cs="Times New Roman"/>
          <w:color w:val="auto"/>
          <w:szCs w:val="21"/>
          <w:highlight w:val="none"/>
          <w:u w:val="single"/>
        </w:rPr>
        <w:t>方收到发票后</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15】</w:t>
      </w:r>
      <w:r>
        <w:rPr>
          <w:rFonts w:hint="eastAsia" w:ascii="宋体" w:hAnsi="宋体" w:eastAsia="宋体" w:cs="Times New Roman"/>
          <w:color w:val="auto"/>
          <w:szCs w:val="21"/>
          <w:highlight w:val="none"/>
          <w:u w:val="single"/>
        </w:rPr>
        <w:t>日内将相应款项按相应要求支付给乙方。</w:t>
      </w:r>
    </w:p>
    <w:p w14:paraId="367A2032">
      <w:pPr>
        <w:spacing w:line="360" w:lineRule="auto"/>
        <w:ind w:firstLine="437"/>
        <w:outlineLvl w:val="3"/>
        <w:rPr>
          <w:rFonts w:ascii="宋体" w:hAnsi="宋体"/>
          <w:b/>
          <w:bCs/>
          <w:color w:val="auto"/>
          <w:szCs w:val="21"/>
          <w:highlight w:val="none"/>
          <w:lang w:val="zh-CN"/>
        </w:rPr>
      </w:pPr>
      <w:bookmarkStart w:id="688" w:name="_Toc19304"/>
      <w:bookmarkStart w:id="689" w:name="_Toc2846"/>
      <w:bookmarkStart w:id="690" w:name="_Toc3207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688"/>
      <w:bookmarkEnd w:id="689"/>
      <w:bookmarkEnd w:id="690"/>
    </w:p>
    <w:p w14:paraId="14E3C7A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w:t>
      </w:r>
      <w:r>
        <w:rPr>
          <w:rFonts w:hint="eastAsia" w:ascii="宋体" w:hAnsi="宋体" w:eastAsia="宋体" w:cs="Times New Roman"/>
          <w:color w:val="auto"/>
          <w:szCs w:val="21"/>
          <w:highlight w:val="none"/>
        </w:rPr>
        <w:t xml:space="preserve">期限：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90113D">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EA0EAC6">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4006A2">
      <w:pPr>
        <w:spacing w:line="360" w:lineRule="auto"/>
        <w:ind w:firstLine="437"/>
        <w:outlineLvl w:val="3"/>
        <w:rPr>
          <w:rFonts w:ascii="宋体" w:hAnsi="宋体"/>
          <w:b/>
          <w:bCs/>
          <w:color w:val="auto"/>
          <w:szCs w:val="21"/>
          <w:highlight w:val="none"/>
          <w:lang w:val="zh-CN"/>
        </w:rPr>
      </w:pPr>
      <w:bookmarkStart w:id="691" w:name="_Toc27250"/>
      <w:bookmarkStart w:id="692" w:name="_Toc21423"/>
      <w:bookmarkStart w:id="693" w:name="_Toc19554"/>
      <w:r>
        <w:rPr>
          <w:rFonts w:hint="eastAsia" w:ascii="宋体" w:hAnsi="宋体"/>
          <w:b/>
          <w:bCs/>
          <w:color w:val="auto"/>
          <w:szCs w:val="21"/>
          <w:highlight w:val="none"/>
          <w:lang w:val="zh-CN"/>
        </w:rPr>
        <w:t>1.6 违约责任</w:t>
      </w:r>
      <w:bookmarkEnd w:id="691"/>
      <w:bookmarkEnd w:id="692"/>
      <w:bookmarkEnd w:id="693"/>
    </w:p>
    <w:p w14:paraId="62E04EC8">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32006E1F">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5436F305">
      <w:pPr>
        <w:spacing w:line="360" w:lineRule="auto"/>
        <w:ind w:firstLine="435"/>
        <w:rPr>
          <w:rFonts w:hint="eastAsia" w:ascii="宋体" w:hAnsi="宋体" w:eastAsia="宋体"/>
          <w:color w:val="auto"/>
          <w:szCs w:val="21"/>
          <w:highlight w:val="none"/>
          <w:lang w:val="en-US" w:eastAsia="zh-CN"/>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olor w:val="auto"/>
          <w:szCs w:val="21"/>
          <w:highlight w:val="none"/>
          <w:lang w:eastAsia="zh-CN"/>
        </w:rPr>
        <w:t>如因政策性调试技术升级改造，甲方有权免责解除合约。</w:t>
      </w:r>
    </w:p>
    <w:p w14:paraId="12F2A13C">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24A0880">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E768F6">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0BA1FEA7">
      <w:pPr>
        <w:spacing w:line="360" w:lineRule="auto"/>
        <w:ind w:firstLine="437"/>
        <w:outlineLvl w:val="3"/>
        <w:rPr>
          <w:rFonts w:ascii="宋体" w:hAnsi="宋体"/>
          <w:b/>
          <w:bCs/>
          <w:color w:val="auto"/>
          <w:szCs w:val="21"/>
          <w:highlight w:val="none"/>
          <w:lang w:val="zh-CN"/>
        </w:rPr>
      </w:pPr>
      <w:bookmarkStart w:id="694" w:name="_Toc16021"/>
      <w:bookmarkStart w:id="695" w:name="_Toc15583"/>
      <w:bookmarkStart w:id="696" w:name="_Toc28375"/>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694"/>
      <w:bookmarkEnd w:id="695"/>
      <w:bookmarkEnd w:id="696"/>
    </w:p>
    <w:p w14:paraId="02A79CFE">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38EF3739">
      <w:pPr>
        <w:spacing w:line="360" w:lineRule="auto"/>
        <w:ind w:firstLine="435"/>
        <w:rPr>
          <w:rFonts w:ascii="宋体" w:hAnsi="宋体"/>
          <w:color w:val="auto"/>
          <w:szCs w:val="21"/>
          <w:highlight w:val="none"/>
        </w:rPr>
      </w:pPr>
      <w:r>
        <w:rPr>
          <w:rFonts w:hint="eastAsia" w:ascii="宋体" w:hAnsi="宋体"/>
          <w:color w:val="auto"/>
          <w:szCs w:val="21"/>
          <w:highlight w:val="none"/>
        </w:rPr>
        <w:t>1.7.1将争议提交滁州仲裁委员会依申请仲裁时其现行有效的仲裁规则裁决；</w:t>
      </w:r>
    </w:p>
    <w:p w14:paraId="3CAA899C">
      <w:pPr>
        <w:spacing w:line="360" w:lineRule="auto"/>
        <w:ind w:firstLine="435"/>
        <w:rPr>
          <w:rFonts w:ascii="宋体" w:hAnsi="宋体"/>
          <w:color w:val="auto"/>
          <w:szCs w:val="21"/>
          <w:highlight w:val="none"/>
        </w:rPr>
      </w:pPr>
      <w:r>
        <w:rPr>
          <w:rFonts w:hint="eastAsia" w:ascii="宋体" w:hAnsi="宋体"/>
          <w:color w:val="auto"/>
          <w:szCs w:val="21"/>
          <w:highlight w:val="none"/>
        </w:rPr>
        <w:t>1.7.2向甲方（采购人）</w:t>
      </w:r>
      <w:r>
        <w:rPr>
          <w:rFonts w:hint="eastAsia" w:ascii="宋体" w:cs="宋体"/>
          <w:color w:val="auto"/>
          <w:szCs w:val="21"/>
          <w:highlight w:val="none"/>
          <w:u w:val="none" w:color="000000"/>
        </w:rPr>
        <w:t>所在地</w:t>
      </w:r>
      <w:r>
        <w:rPr>
          <w:rFonts w:hint="eastAsia" w:ascii="宋体" w:hAnsi="宋体"/>
          <w:color w:val="auto"/>
          <w:szCs w:val="21"/>
          <w:highlight w:val="none"/>
        </w:rPr>
        <w:t>人民法院起诉。</w:t>
      </w:r>
    </w:p>
    <w:p w14:paraId="44466F80">
      <w:pPr>
        <w:spacing w:line="360" w:lineRule="auto"/>
        <w:ind w:firstLine="437"/>
        <w:outlineLvl w:val="3"/>
        <w:rPr>
          <w:rFonts w:ascii="宋体" w:hAnsi="宋体"/>
          <w:b/>
          <w:bCs/>
          <w:color w:val="auto"/>
          <w:szCs w:val="21"/>
          <w:highlight w:val="none"/>
          <w:lang w:val="zh-CN"/>
        </w:rPr>
      </w:pPr>
      <w:bookmarkStart w:id="697" w:name="_Toc11173"/>
      <w:bookmarkStart w:id="698" w:name="_Toc15322"/>
      <w:bookmarkStart w:id="699" w:name="_Toc7245"/>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697"/>
      <w:bookmarkEnd w:id="698"/>
      <w:bookmarkEnd w:id="699"/>
    </w:p>
    <w:p w14:paraId="04B897CB">
      <w:pPr>
        <w:spacing w:line="360" w:lineRule="auto"/>
        <w:ind w:firstLine="435"/>
        <w:rPr>
          <w:rFonts w:ascii="宋体" w:hAnsi="宋体"/>
          <w:color w:val="auto"/>
          <w:szCs w:val="21"/>
          <w:highlight w:val="none"/>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p>
    <w:p w14:paraId="67C33054">
      <w:pPr>
        <w:autoSpaceDE w:val="0"/>
        <w:autoSpaceDN w:val="0"/>
        <w:adjustRightInd w:val="0"/>
        <w:spacing w:line="560" w:lineRule="exact"/>
        <w:rPr>
          <w:rFonts w:ascii="宋体" w:hAnsi="宋体"/>
          <w:color w:val="auto"/>
          <w:szCs w:val="21"/>
          <w:highlight w:val="none"/>
          <w:lang w:val="zh-CN"/>
        </w:rPr>
      </w:pPr>
    </w:p>
    <w:p w14:paraId="542003E6">
      <w:pPr>
        <w:autoSpaceDE w:val="0"/>
        <w:autoSpaceDN w:val="0"/>
        <w:adjustRightInd w:val="0"/>
        <w:spacing w:line="560" w:lineRule="exact"/>
        <w:rPr>
          <w:rFonts w:ascii="宋体" w:hAnsi="宋体"/>
          <w:color w:val="auto"/>
          <w:szCs w:val="21"/>
          <w:highlight w:val="none"/>
          <w:lang w:val="zh-CN"/>
        </w:rPr>
      </w:pPr>
    </w:p>
    <w:p w14:paraId="4BEC374E">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w:t>
      </w:r>
      <w:r>
        <w:rPr>
          <w:rFonts w:hint="eastAsia" w:ascii="宋体" w:hAnsi="宋体"/>
          <w:bCs/>
          <w:color w:val="auto"/>
          <w:szCs w:val="21"/>
          <w:highlight w:val="none"/>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p>
    <w:p w14:paraId="115E106C">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502148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1D5E6105">
      <w:pPr>
        <w:widowControl/>
        <w:spacing w:line="560" w:lineRule="exact"/>
        <w:jc w:val="left"/>
        <w:rPr>
          <w:rFonts w:ascii="宋体" w:hAnsi="宋体"/>
          <w:bCs/>
          <w:color w:val="auto"/>
          <w:szCs w:val="21"/>
          <w:highlight w:val="none"/>
        </w:rPr>
      </w:pPr>
      <w:bookmarkStart w:id="700" w:name="_Toc331685783"/>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4C29CB7B">
      <w:pPr>
        <w:widowControl/>
        <w:jc w:val="left"/>
        <w:rPr>
          <w:rFonts w:ascii="宋体" w:hAnsi="宋体"/>
          <w:b/>
          <w:color w:val="auto"/>
          <w:szCs w:val="21"/>
          <w:highlight w:val="none"/>
        </w:rPr>
      </w:pPr>
      <w:r>
        <w:rPr>
          <w:rFonts w:ascii="宋体" w:hAnsi="宋体"/>
          <w:b/>
          <w:color w:val="auto"/>
          <w:szCs w:val="21"/>
          <w:highlight w:val="none"/>
        </w:rPr>
        <w:br w:type="page"/>
      </w:r>
    </w:p>
    <w:p w14:paraId="32B10534">
      <w:pPr>
        <w:spacing w:line="360" w:lineRule="auto"/>
        <w:jc w:val="center"/>
        <w:outlineLvl w:val="2"/>
        <w:rPr>
          <w:rFonts w:ascii="宋体" w:hAnsi="宋体"/>
          <w:b/>
          <w:color w:val="auto"/>
          <w:szCs w:val="21"/>
          <w:highlight w:val="none"/>
        </w:rPr>
      </w:pPr>
      <w:bookmarkStart w:id="701" w:name="_Toc28263"/>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bookmarkEnd w:id="700"/>
      <w:bookmarkEnd w:id="701"/>
    </w:p>
    <w:p w14:paraId="65E1C4A1">
      <w:pPr>
        <w:spacing w:line="360" w:lineRule="auto"/>
        <w:ind w:firstLine="437"/>
        <w:outlineLvl w:val="3"/>
        <w:rPr>
          <w:rFonts w:ascii="宋体" w:hAnsi="宋体"/>
          <w:b/>
          <w:bCs/>
          <w:color w:val="auto"/>
          <w:szCs w:val="21"/>
          <w:highlight w:val="none"/>
          <w:lang w:val="zh-CN"/>
        </w:rPr>
      </w:pPr>
      <w:bookmarkStart w:id="702" w:name="_Ref467379094"/>
      <w:bookmarkStart w:id="703" w:name="_Ref467378499"/>
      <w:bookmarkStart w:id="704" w:name="_Toc259093669"/>
      <w:bookmarkStart w:id="705" w:name="_Ref467379214"/>
      <w:bookmarkStart w:id="706" w:name="_Ref467378463"/>
      <w:bookmarkStart w:id="707" w:name="_Ref467379205"/>
      <w:bookmarkStart w:id="708" w:name="_Toc16917"/>
      <w:bookmarkStart w:id="709" w:name="_Ref467379225"/>
      <w:bookmarkStart w:id="710" w:name="_Ref467378404"/>
      <w:bookmarkStart w:id="711" w:name="_Ref467379195"/>
      <w:bookmarkStart w:id="712" w:name="_Toc19614"/>
      <w:bookmarkStart w:id="713" w:name="_Toc279701240"/>
      <w:bookmarkStart w:id="714" w:name="_Ref467379101"/>
      <w:bookmarkStart w:id="715" w:name="_Toc28763"/>
      <w:bookmarkStart w:id="716" w:name="_Toc487900349"/>
      <w:bookmarkStart w:id="717" w:name="_Ref467379109"/>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5EDF6040">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1B7C220C">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065F350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00EA1D9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0E3587C6">
      <w:pPr>
        <w:spacing w:line="360" w:lineRule="auto"/>
        <w:ind w:firstLine="435"/>
        <w:rPr>
          <w:rFonts w:ascii="宋体" w:hAnsi="宋体"/>
          <w:color w:val="auto"/>
          <w:szCs w:val="21"/>
          <w:highlight w:val="none"/>
        </w:rPr>
      </w:pPr>
      <w:bookmarkStart w:id="718"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718"/>
      <w:r>
        <w:rPr>
          <w:rFonts w:hint="eastAsia" w:ascii="宋体" w:hAnsi="宋体"/>
          <w:color w:val="auto"/>
          <w:szCs w:val="21"/>
          <w:highlight w:val="none"/>
        </w:rPr>
        <w:t>；采购人委托采购代理机构代表其与乙方签订合同的，采购人的授权委托书作为合同附件。</w:t>
      </w:r>
    </w:p>
    <w:p w14:paraId="4749D6AA">
      <w:pPr>
        <w:spacing w:line="360" w:lineRule="auto"/>
        <w:ind w:firstLine="435"/>
        <w:rPr>
          <w:rFonts w:ascii="宋体" w:hAnsi="宋体"/>
          <w:color w:val="auto"/>
          <w:szCs w:val="21"/>
          <w:highlight w:val="none"/>
        </w:rPr>
      </w:pPr>
      <w:bookmarkStart w:id="719"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719"/>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EB04F">
      <w:pPr>
        <w:spacing w:line="360" w:lineRule="auto"/>
        <w:ind w:firstLine="435"/>
        <w:rPr>
          <w:rFonts w:ascii="宋体" w:hAnsi="宋体"/>
          <w:color w:val="auto"/>
          <w:szCs w:val="21"/>
          <w:highlight w:val="none"/>
        </w:rPr>
      </w:pPr>
      <w:bookmarkStart w:id="720"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720"/>
    </w:p>
    <w:p w14:paraId="1CC5D055">
      <w:pPr>
        <w:spacing w:line="360" w:lineRule="auto"/>
        <w:ind w:firstLine="437"/>
        <w:outlineLvl w:val="3"/>
        <w:rPr>
          <w:rFonts w:ascii="宋体" w:hAnsi="宋体"/>
          <w:b/>
          <w:bCs/>
          <w:color w:val="auto"/>
          <w:szCs w:val="21"/>
          <w:highlight w:val="none"/>
          <w:lang w:val="zh-CN"/>
        </w:rPr>
      </w:pPr>
      <w:bookmarkStart w:id="721" w:name="_Toc32504"/>
      <w:bookmarkStart w:id="722" w:name="_Toc13336"/>
      <w:bookmarkStart w:id="723" w:name="_Toc27635"/>
      <w:bookmarkStart w:id="724" w:name="_Toc259093670"/>
      <w:bookmarkStart w:id="725" w:name="_Toc487900350"/>
      <w:bookmarkStart w:id="726" w:name="_Toc279701241"/>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721"/>
      <w:bookmarkEnd w:id="722"/>
      <w:bookmarkEnd w:id="723"/>
      <w:bookmarkEnd w:id="724"/>
      <w:bookmarkEnd w:id="725"/>
      <w:bookmarkEnd w:id="726"/>
    </w:p>
    <w:p w14:paraId="1F76A43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4FD2CC32">
      <w:pPr>
        <w:spacing w:line="360" w:lineRule="auto"/>
        <w:ind w:firstLine="437"/>
        <w:outlineLvl w:val="3"/>
        <w:rPr>
          <w:rFonts w:ascii="宋体" w:hAnsi="宋体"/>
          <w:b/>
          <w:bCs/>
          <w:color w:val="auto"/>
          <w:szCs w:val="21"/>
          <w:highlight w:val="none"/>
          <w:lang w:val="zh-CN"/>
        </w:rPr>
      </w:pPr>
      <w:bookmarkStart w:id="727" w:name="_Toc9829"/>
      <w:bookmarkStart w:id="728" w:name="_Toc27853"/>
      <w:bookmarkStart w:id="729" w:name="_Toc259093671"/>
      <w:bookmarkStart w:id="730" w:name="_Toc487900351"/>
      <w:bookmarkStart w:id="731" w:name="_Toc279701242"/>
      <w:bookmarkStart w:id="732" w:name="_Toc31634"/>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727"/>
      <w:bookmarkEnd w:id="728"/>
      <w:bookmarkEnd w:id="729"/>
      <w:bookmarkEnd w:id="730"/>
      <w:bookmarkEnd w:id="731"/>
      <w:bookmarkEnd w:id="732"/>
    </w:p>
    <w:p w14:paraId="4849D257">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24319B6A">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ascii="宋体" w:hAnsi="宋体"/>
          <w:color w:val="auto"/>
          <w:szCs w:val="21"/>
          <w:highlight w:val="none"/>
        </w:rPr>
        <w:t>详见</w:t>
      </w:r>
      <w:r>
        <w:rPr>
          <w:rFonts w:ascii="宋体" w:hAnsi="宋体"/>
          <w:b/>
          <w:i/>
          <w:color w:val="auto"/>
          <w:szCs w:val="21"/>
          <w:highlight w:val="none"/>
          <w:u w:val="single"/>
        </w:rPr>
        <w:t>合同专用条款</w:t>
      </w:r>
      <w:r>
        <w:rPr>
          <w:rFonts w:ascii="宋体" w:hAnsi="宋体"/>
          <w:color w:val="auto"/>
          <w:szCs w:val="21"/>
          <w:highlight w:val="none"/>
        </w:rPr>
        <w:t>。</w:t>
      </w:r>
    </w:p>
    <w:p w14:paraId="7C36B855">
      <w:pPr>
        <w:spacing w:line="360" w:lineRule="auto"/>
        <w:ind w:firstLine="437"/>
        <w:outlineLvl w:val="3"/>
        <w:rPr>
          <w:rFonts w:ascii="宋体" w:hAnsi="宋体"/>
          <w:b/>
          <w:bCs/>
          <w:color w:val="auto"/>
          <w:szCs w:val="21"/>
          <w:highlight w:val="none"/>
          <w:lang w:val="zh-CN"/>
        </w:rPr>
      </w:pPr>
      <w:bookmarkStart w:id="733" w:name="_Ref467378541"/>
      <w:bookmarkStart w:id="734" w:name="_Ref467379527"/>
      <w:bookmarkStart w:id="735" w:name="_Toc487900354"/>
      <w:bookmarkStart w:id="736" w:name="_Toc259093674"/>
      <w:bookmarkStart w:id="737" w:name="_Toc279701245"/>
      <w:bookmarkStart w:id="738" w:name="_Ref467379536"/>
      <w:bookmarkStart w:id="739" w:name="_Ref467379542"/>
      <w:bookmarkStart w:id="740" w:name="_Ref467378591"/>
      <w:bookmarkStart w:id="741" w:name="_Toc26182"/>
      <w:bookmarkStart w:id="742" w:name="_Toc30272"/>
      <w:bookmarkStart w:id="743" w:name="_Toc19074"/>
      <w:r>
        <w:rPr>
          <w:rFonts w:hint="eastAsia" w:ascii="宋体" w:hAnsi="宋体"/>
          <w:b/>
          <w:bCs/>
          <w:color w:val="auto"/>
          <w:szCs w:val="21"/>
          <w:highlight w:val="none"/>
          <w:lang w:val="zh-CN"/>
        </w:rPr>
        <w:t>2.</w:t>
      </w:r>
      <w:bookmarkEnd w:id="733"/>
      <w:bookmarkEnd w:id="734"/>
      <w:bookmarkEnd w:id="735"/>
      <w:bookmarkEnd w:id="736"/>
      <w:bookmarkEnd w:id="737"/>
      <w:bookmarkEnd w:id="738"/>
      <w:bookmarkEnd w:id="739"/>
      <w:bookmarkEnd w:id="740"/>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741"/>
      <w:bookmarkEnd w:id="742"/>
      <w:bookmarkEnd w:id="743"/>
    </w:p>
    <w:p w14:paraId="2D62838D">
      <w:pPr>
        <w:spacing w:line="360" w:lineRule="auto"/>
        <w:ind w:firstLine="435"/>
        <w:rPr>
          <w:rFonts w:ascii="宋体" w:hAnsi="宋体"/>
          <w:color w:val="auto"/>
          <w:szCs w:val="21"/>
          <w:highlight w:val="none"/>
        </w:rPr>
      </w:pPr>
      <w:bookmarkStart w:id="744" w:name="_Toc186431854"/>
      <w:bookmarkStart w:id="745" w:name="_Ref467379793"/>
      <w:bookmarkStart w:id="746" w:name="_Toc279701247"/>
      <w:bookmarkStart w:id="747" w:name="_Ref467379807"/>
      <w:bookmarkStart w:id="748" w:name="_Toc259093676"/>
      <w:bookmarkStart w:id="749" w:name="_Toc487900357"/>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765C3312">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744"/>
      <w:bookmarkStart w:id="750" w:name="_Toc186431855"/>
      <w:r>
        <w:rPr>
          <w:rFonts w:hint="eastAsia" w:ascii="宋体" w:hAnsi="宋体"/>
          <w:color w:val="auto"/>
          <w:szCs w:val="21"/>
          <w:highlight w:val="none"/>
        </w:rPr>
        <w:t>。</w:t>
      </w:r>
    </w:p>
    <w:bookmarkEnd w:id="750"/>
    <w:p w14:paraId="7D218F11">
      <w:pPr>
        <w:spacing w:line="360" w:lineRule="auto"/>
        <w:ind w:firstLine="437"/>
        <w:outlineLvl w:val="3"/>
        <w:rPr>
          <w:rFonts w:ascii="宋体" w:hAnsi="宋体"/>
          <w:b/>
          <w:bCs/>
          <w:color w:val="auto"/>
          <w:szCs w:val="21"/>
          <w:highlight w:val="none"/>
          <w:lang w:val="zh-CN"/>
        </w:rPr>
      </w:pPr>
      <w:bookmarkStart w:id="751" w:name="_Toc7836"/>
      <w:bookmarkStart w:id="752" w:name="_Toc19219"/>
      <w:bookmarkStart w:id="753" w:name="_Toc28451"/>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745"/>
      <w:bookmarkEnd w:id="746"/>
      <w:bookmarkEnd w:id="747"/>
      <w:bookmarkEnd w:id="748"/>
      <w:bookmarkEnd w:id="749"/>
      <w:bookmarkEnd w:id="751"/>
      <w:bookmarkEnd w:id="752"/>
      <w:bookmarkEnd w:id="753"/>
    </w:p>
    <w:p w14:paraId="1A77C14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合同。</w:t>
      </w:r>
    </w:p>
    <w:p w14:paraId="0A1D688A">
      <w:pPr>
        <w:spacing w:line="360" w:lineRule="auto"/>
        <w:ind w:firstLine="437"/>
        <w:outlineLvl w:val="3"/>
        <w:rPr>
          <w:rFonts w:ascii="宋体" w:hAnsi="宋体"/>
          <w:b/>
          <w:bCs/>
          <w:color w:val="auto"/>
          <w:szCs w:val="21"/>
          <w:highlight w:val="none"/>
          <w:lang w:val="zh-CN"/>
        </w:rPr>
      </w:pPr>
      <w:bookmarkStart w:id="754" w:name="_Ref467379863"/>
      <w:bookmarkStart w:id="755" w:name="_Ref467379852"/>
      <w:bookmarkStart w:id="756" w:name="_Ref467379923"/>
      <w:bookmarkStart w:id="757" w:name="_Toc279701248"/>
      <w:bookmarkStart w:id="758" w:name="_Toc259093677"/>
      <w:bookmarkStart w:id="759" w:name="_Toc487900358"/>
      <w:bookmarkStart w:id="760" w:name="_Toc16110"/>
      <w:bookmarkStart w:id="761" w:name="_Toc3225"/>
      <w:bookmarkStart w:id="762" w:name="_Toc774"/>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754"/>
      <w:bookmarkEnd w:id="755"/>
      <w:bookmarkEnd w:id="756"/>
      <w:bookmarkEnd w:id="757"/>
      <w:bookmarkEnd w:id="758"/>
      <w:bookmarkEnd w:id="759"/>
      <w:r>
        <w:rPr>
          <w:rFonts w:ascii="宋体" w:hAnsi="宋体"/>
          <w:b/>
          <w:bCs/>
          <w:color w:val="auto"/>
          <w:szCs w:val="21"/>
          <w:highlight w:val="none"/>
          <w:lang w:val="zh-CN"/>
        </w:rPr>
        <w:t>和保密义务</w:t>
      </w:r>
      <w:bookmarkEnd w:id="760"/>
      <w:bookmarkEnd w:id="761"/>
      <w:bookmarkEnd w:id="762"/>
    </w:p>
    <w:p w14:paraId="1F67D7D8">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164A8E8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1A71BE3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5510E297">
      <w:pPr>
        <w:spacing w:line="360" w:lineRule="auto"/>
        <w:ind w:firstLine="437"/>
        <w:outlineLvl w:val="3"/>
        <w:rPr>
          <w:rFonts w:ascii="宋体" w:hAnsi="宋体"/>
          <w:b/>
          <w:bCs/>
          <w:color w:val="auto"/>
          <w:szCs w:val="21"/>
          <w:highlight w:val="none"/>
          <w:lang w:val="zh-CN"/>
        </w:rPr>
      </w:pPr>
      <w:bookmarkStart w:id="763" w:name="_Toc7860"/>
      <w:r>
        <w:rPr>
          <w:rFonts w:ascii="宋体" w:hAnsi="宋体"/>
          <w:b/>
          <w:bCs/>
          <w:color w:val="auto"/>
          <w:szCs w:val="21"/>
          <w:highlight w:val="none"/>
          <w:lang w:val="zh-CN"/>
        </w:rPr>
        <w:t>2.7 质量保证</w:t>
      </w:r>
      <w:bookmarkEnd w:id="763"/>
    </w:p>
    <w:p w14:paraId="6002CB48">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B748E16">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41DDFD0F">
      <w:pPr>
        <w:spacing w:line="360" w:lineRule="auto"/>
        <w:ind w:firstLine="437"/>
        <w:outlineLvl w:val="3"/>
        <w:rPr>
          <w:rFonts w:ascii="宋体" w:hAnsi="宋体"/>
          <w:b/>
          <w:color w:val="auto"/>
          <w:szCs w:val="21"/>
          <w:highlight w:val="none"/>
        </w:rPr>
      </w:pPr>
      <w:bookmarkStart w:id="764" w:name="_Toc22267"/>
      <w:r>
        <w:rPr>
          <w:rFonts w:hint="eastAsia" w:ascii="宋体" w:hAnsi="宋体"/>
          <w:b/>
          <w:color w:val="auto"/>
          <w:szCs w:val="21"/>
          <w:highlight w:val="none"/>
        </w:rPr>
        <w:t>2.8 延迟履行</w:t>
      </w:r>
      <w:bookmarkEnd w:id="764"/>
    </w:p>
    <w:p w14:paraId="05E02BE7">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0CA5B9E4">
      <w:pPr>
        <w:spacing w:line="360" w:lineRule="auto"/>
        <w:ind w:firstLine="437"/>
        <w:outlineLvl w:val="3"/>
        <w:rPr>
          <w:rFonts w:ascii="宋体" w:hAnsi="宋体"/>
          <w:b/>
          <w:bCs/>
          <w:color w:val="auto"/>
          <w:szCs w:val="21"/>
          <w:highlight w:val="none"/>
          <w:lang w:val="zh-CN"/>
        </w:rPr>
      </w:pPr>
      <w:bookmarkStart w:id="765" w:name="_Toc7502"/>
      <w:bookmarkStart w:id="766" w:name="_Toc279701254"/>
      <w:bookmarkStart w:id="767" w:name="_Toc259093683"/>
      <w:bookmarkStart w:id="768" w:name="_Toc487900364"/>
      <w:bookmarkStart w:id="769" w:name="_Ref467378121"/>
      <w:r>
        <w:rPr>
          <w:rFonts w:ascii="宋体" w:hAnsi="宋体"/>
          <w:b/>
          <w:bCs/>
          <w:color w:val="auto"/>
          <w:szCs w:val="21"/>
          <w:highlight w:val="none"/>
          <w:lang w:val="zh-CN"/>
        </w:rPr>
        <w:t>2.9 合同变更</w:t>
      </w:r>
      <w:bookmarkEnd w:id="765"/>
    </w:p>
    <w:p w14:paraId="44559F6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0262094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770" w:name="_Toc487900369"/>
      <w:bookmarkStart w:id="771" w:name="_Toc259093688"/>
      <w:bookmarkStart w:id="772" w:name="_Toc279701259"/>
    </w:p>
    <w:p w14:paraId="79B4853C">
      <w:pPr>
        <w:spacing w:line="360" w:lineRule="auto"/>
        <w:ind w:firstLine="437"/>
        <w:outlineLvl w:val="3"/>
        <w:rPr>
          <w:rFonts w:ascii="宋体" w:hAnsi="宋体"/>
          <w:b/>
          <w:bCs/>
          <w:color w:val="auto"/>
          <w:szCs w:val="21"/>
          <w:highlight w:val="none"/>
          <w:lang w:val="zh-CN"/>
        </w:rPr>
      </w:pPr>
      <w:bookmarkStart w:id="773" w:name="_Toc10366"/>
      <w:bookmarkStart w:id="774" w:name="_Toc15237"/>
      <w:bookmarkStart w:id="775" w:name="_Toc22955"/>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770"/>
      <w:bookmarkEnd w:id="771"/>
      <w:bookmarkEnd w:id="772"/>
      <w:r>
        <w:rPr>
          <w:rFonts w:ascii="宋体" w:hAnsi="宋体"/>
          <w:b/>
          <w:bCs/>
          <w:color w:val="auto"/>
          <w:szCs w:val="21"/>
          <w:highlight w:val="none"/>
          <w:lang w:val="zh-CN"/>
        </w:rPr>
        <w:t>和分包</w:t>
      </w:r>
      <w:bookmarkEnd w:id="773"/>
      <w:bookmarkEnd w:id="774"/>
      <w:bookmarkEnd w:id="775"/>
    </w:p>
    <w:p w14:paraId="091E2826">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52E782B">
      <w:pPr>
        <w:spacing w:line="360" w:lineRule="auto"/>
        <w:ind w:firstLine="437"/>
        <w:outlineLvl w:val="3"/>
        <w:rPr>
          <w:rFonts w:ascii="宋体" w:hAnsi="宋体"/>
          <w:b/>
          <w:bCs/>
          <w:color w:val="auto"/>
          <w:szCs w:val="21"/>
          <w:highlight w:val="none"/>
          <w:lang w:val="zh-CN"/>
        </w:rPr>
      </w:pPr>
      <w:bookmarkStart w:id="776" w:name="_Toc13566"/>
      <w:bookmarkStart w:id="777" w:name="_Toc16508"/>
      <w:bookmarkStart w:id="778" w:name="_Toc14066"/>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776"/>
      <w:bookmarkEnd w:id="777"/>
      <w:bookmarkEnd w:id="778"/>
    </w:p>
    <w:p w14:paraId="0293B5DE">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2674B6B4">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6A9D1BD4">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69C1A50F">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ascii="宋体" w:hAnsi="宋体"/>
          <w:b/>
          <w:i/>
          <w:color w:val="auto"/>
          <w:szCs w:val="21"/>
          <w:highlight w:val="none"/>
          <w:u w:val="single"/>
        </w:rPr>
        <w:t>合同专用条款</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71C64FEA">
      <w:pPr>
        <w:spacing w:line="360" w:lineRule="auto"/>
        <w:ind w:firstLine="437"/>
        <w:outlineLvl w:val="3"/>
        <w:rPr>
          <w:rFonts w:ascii="宋体" w:hAnsi="宋体"/>
          <w:b/>
          <w:bCs/>
          <w:color w:val="auto"/>
          <w:szCs w:val="21"/>
          <w:highlight w:val="none"/>
          <w:lang w:val="zh-CN"/>
        </w:rPr>
      </w:pPr>
      <w:bookmarkStart w:id="779" w:name="_Toc279701255"/>
      <w:bookmarkStart w:id="780" w:name="_Toc30676"/>
      <w:bookmarkStart w:id="781" w:name="_Toc259093684"/>
      <w:bookmarkStart w:id="782" w:name="_Toc689"/>
      <w:bookmarkStart w:id="783" w:name="_Toc487900365"/>
      <w:bookmarkStart w:id="784" w:name="_Toc6969"/>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779"/>
      <w:bookmarkEnd w:id="780"/>
      <w:bookmarkEnd w:id="781"/>
      <w:bookmarkEnd w:id="782"/>
      <w:bookmarkEnd w:id="783"/>
      <w:bookmarkEnd w:id="784"/>
    </w:p>
    <w:p w14:paraId="6B4CF78B">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767AD541">
      <w:pPr>
        <w:spacing w:line="360" w:lineRule="auto"/>
        <w:ind w:firstLine="437"/>
        <w:outlineLvl w:val="3"/>
        <w:rPr>
          <w:rFonts w:ascii="宋体" w:hAnsi="宋体"/>
          <w:b/>
          <w:bCs/>
          <w:color w:val="auto"/>
          <w:szCs w:val="21"/>
          <w:highlight w:val="none"/>
          <w:lang w:val="zh-CN"/>
        </w:rPr>
      </w:pPr>
      <w:bookmarkStart w:id="785" w:name="_Toc259093687"/>
      <w:bookmarkStart w:id="786" w:name="_Toc487900368"/>
      <w:bookmarkStart w:id="787" w:name="_Toc7102"/>
      <w:bookmarkStart w:id="788" w:name="_Toc16959"/>
      <w:bookmarkStart w:id="789" w:name="_Toc8298"/>
      <w:bookmarkStart w:id="790" w:name="_Toc279701258"/>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785"/>
      <w:bookmarkEnd w:id="786"/>
      <w:bookmarkEnd w:id="787"/>
      <w:bookmarkEnd w:id="788"/>
      <w:bookmarkEnd w:id="789"/>
      <w:bookmarkEnd w:id="790"/>
    </w:p>
    <w:p w14:paraId="0646FBB8">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5EDA29A2">
      <w:pPr>
        <w:spacing w:line="360" w:lineRule="auto"/>
        <w:ind w:firstLine="437"/>
        <w:outlineLvl w:val="3"/>
        <w:rPr>
          <w:rFonts w:ascii="宋体" w:hAnsi="宋体"/>
          <w:b/>
          <w:color w:val="auto"/>
          <w:szCs w:val="21"/>
          <w:highlight w:val="none"/>
        </w:rPr>
      </w:pPr>
      <w:bookmarkStart w:id="791" w:name="_Toc29333"/>
      <w:bookmarkStart w:id="792" w:name="_Toc6134"/>
      <w:bookmarkStart w:id="793" w:name="_Toc15387"/>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791"/>
      <w:bookmarkEnd w:id="792"/>
      <w:bookmarkEnd w:id="793"/>
    </w:p>
    <w:p w14:paraId="16C6DA03">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0D2ED931">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1209575C">
      <w:pPr>
        <w:spacing w:line="360" w:lineRule="auto"/>
        <w:ind w:firstLine="437"/>
        <w:outlineLvl w:val="3"/>
        <w:rPr>
          <w:rFonts w:ascii="宋体" w:hAnsi="宋体"/>
          <w:b/>
          <w:bCs/>
          <w:color w:val="auto"/>
          <w:szCs w:val="21"/>
          <w:highlight w:val="none"/>
          <w:lang w:val="zh-CN"/>
        </w:rPr>
      </w:pPr>
      <w:bookmarkStart w:id="794" w:name="_Toc1125"/>
      <w:bookmarkStart w:id="795" w:name="_Toc6596"/>
      <w:bookmarkStart w:id="796" w:name="_Toc14563"/>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794"/>
      <w:bookmarkEnd w:id="795"/>
      <w:bookmarkEnd w:id="796"/>
    </w:p>
    <w:p w14:paraId="2EAB7BA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ascii="宋体" w:hAnsi="宋体"/>
          <w:b/>
          <w:i/>
          <w:color w:val="auto"/>
          <w:szCs w:val="21"/>
          <w:highlight w:val="none"/>
          <w:u w:val="single"/>
        </w:rPr>
        <w:t>合同专用条款</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ascii="宋体" w:hAnsi="宋体"/>
          <w:b/>
          <w:i/>
          <w:color w:val="auto"/>
          <w:szCs w:val="21"/>
          <w:highlight w:val="none"/>
          <w:u w:val="single"/>
        </w:rPr>
        <w:t>合同专用条款</w:t>
      </w:r>
      <w:r>
        <w:rPr>
          <w:rFonts w:ascii="宋体" w:hAnsi="宋体"/>
          <w:color w:val="auto"/>
          <w:szCs w:val="21"/>
          <w:highlight w:val="none"/>
        </w:rPr>
        <w:t>的约定进行定期验收</w:t>
      </w:r>
      <w:r>
        <w:rPr>
          <w:rFonts w:hint="eastAsia" w:ascii="宋体" w:hAnsi="宋体"/>
          <w:color w:val="auto"/>
          <w:szCs w:val="21"/>
          <w:highlight w:val="none"/>
        </w:rPr>
        <w:t>；</w:t>
      </w:r>
    </w:p>
    <w:p w14:paraId="2906533E">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EF1403">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ascii="宋体" w:hAnsi="宋体"/>
          <w:b/>
          <w:i/>
          <w:color w:val="auto"/>
          <w:szCs w:val="21"/>
          <w:highlight w:val="none"/>
          <w:u w:val="single"/>
        </w:rPr>
        <w:t>合同专用条款</w:t>
      </w:r>
      <w:r>
        <w:rPr>
          <w:rFonts w:hint="eastAsia" w:ascii="宋体" w:hAnsi="宋体"/>
          <w:i/>
          <w:color w:val="auto"/>
          <w:szCs w:val="21"/>
          <w:highlight w:val="none"/>
        </w:rPr>
        <w:t>。</w:t>
      </w:r>
    </w:p>
    <w:bookmarkEnd w:id="766"/>
    <w:bookmarkEnd w:id="767"/>
    <w:bookmarkEnd w:id="768"/>
    <w:bookmarkEnd w:id="769"/>
    <w:p w14:paraId="6CC8DCB3">
      <w:pPr>
        <w:spacing w:line="360" w:lineRule="auto"/>
        <w:ind w:firstLine="437"/>
        <w:outlineLvl w:val="3"/>
        <w:rPr>
          <w:rFonts w:ascii="宋体" w:hAnsi="宋体"/>
          <w:b/>
          <w:bCs/>
          <w:color w:val="auto"/>
          <w:szCs w:val="21"/>
          <w:highlight w:val="none"/>
        </w:rPr>
      </w:pPr>
      <w:bookmarkStart w:id="797" w:name="_Toc279701263"/>
      <w:bookmarkStart w:id="798" w:name="_Toc259093692"/>
      <w:bookmarkStart w:id="799" w:name="_Toc18567"/>
      <w:bookmarkStart w:id="800" w:name="_Toc10330"/>
      <w:bookmarkStart w:id="801" w:name="_Toc12773"/>
      <w:bookmarkStart w:id="802" w:name="_Toc487900373"/>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797"/>
      <w:bookmarkEnd w:id="798"/>
      <w:bookmarkEnd w:id="799"/>
      <w:bookmarkEnd w:id="800"/>
      <w:bookmarkEnd w:id="801"/>
      <w:bookmarkEnd w:id="802"/>
    </w:p>
    <w:p w14:paraId="6D12A6B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36E9096">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BE92C02">
      <w:pPr>
        <w:spacing w:line="360" w:lineRule="auto"/>
        <w:ind w:firstLine="437"/>
        <w:outlineLvl w:val="3"/>
        <w:rPr>
          <w:rFonts w:ascii="宋体" w:hAnsi="宋体"/>
          <w:b/>
          <w:color w:val="auto"/>
          <w:szCs w:val="21"/>
          <w:highlight w:val="none"/>
        </w:rPr>
      </w:pPr>
      <w:bookmarkStart w:id="803" w:name="_Toc19890"/>
      <w:bookmarkStart w:id="804" w:name="_Toc6885"/>
      <w:bookmarkStart w:id="805" w:name="_Toc14001"/>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803"/>
      <w:bookmarkEnd w:id="804"/>
      <w:bookmarkEnd w:id="805"/>
    </w:p>
    <w:p w14:paraId="78B63205">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ascii="宋体" w:hAnsi="宋体"/>
          <w:b/>
          <w:i/>
          <w:color w:val="auto"/>
          <w:szCs w:val="21"/>
          <w:highlight w:val="none"/>
          <w:u w:val="single"/>
        </w:rPr>
        <w:t>合同专用条款</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4C7EB6A0">
      <w:pPr>
        <w:spacing w:line="360" w:lineRule="auto"/>
        <w:jc w:val="center"/>
        <w:outlineLvl w:val="2"/>
        <w:rPr>
          <w:rFonts w:hint="eastAsia" w:ascii="宋体" w:hAnsi="宋体"/>
          <w:b/>
          <w:color w:val="auto"/>
          <w:szCs w:val="21"/>
          <w:highlight w:val="none"/>
        </w:rPr>
      </w:pPr>
      <w:bookmarkStart w:id="806" w:name="_Toc331685784"/>
    </w:p>
    <w:p w14:paraId="21EAAAA7">
      <w:pPr>
        <w:spacing w:line="360" w:lineRule="auto"/>
        <w:jc w:val="center"/>
        <w:outlineLvl w:val="2"/>
        <w:rPr>
          <w:rFonts w:ascii="宋体" w:hAnsi="宋体"/>
          <w:b/>
          <w:color w:val="auto"/>
          <w:szCs w:val="21"/>
          <w:highlight w:val="none"/>
        </w:rPr>
      </w:pPr>
      <w:bookmarkStart w:id="807" w:name="_Toc21650"/>
      <w:r>
        <w:rPr>
          <w:rFonts w:hint="eastAsia" w:ascii="宋体" w:hAnsi="宋体"/>
          <w:b/>
          <w:color w:val="auto"/>
          <w:szCs w:val="21"/>
          <w:highlight w:val="none"/>
        </w:rPr>
        <w:t>第三部分</w:t>
      </w:r>
      <w:r>
        <w:rPr>
          <w:rFonts w:ascii="宋体" w:hAnsi="宋体"/>
          <w:b/>
          <w:color w:val="auto"/>
          <w:szCs w:val="21"/>
          <w:highlight w:val="none"/>
        </w:rPr>
        <w:t xml:space="preserve"> </w:t>
      </w:r>
      <w:r>
        <w:rPr>
          <w:rFonts w:hint="eastAsia" w:ascii="宋体" w:hAnsi="宋体"/>
          <w:b/>
          <w:color w:val="auto"/>
          <w:szCs w:val="21"/>
          <w:highlight w:val="none"/>
        </w:rPr>
        <w:t>合同专用条款</w:t>
      </w:r>
      <w:bookmarkEnd w:id="807"/>
    </w:p>
    <w:p w14:paraId="5D48AA3D">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3FC1B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A3CCBF8">
            <w:pPr>
              <w:jc w:val="center"/>
              <w:rPr>
                <w:rFonts w:ascii="宋体" w:hAnsi="宋体"/>
                <w:b/>
                <w:color w:val="auto"/>
                <w:szCs w:val="21"/>
                <w:highlight w:val="none"/>
              </w:rPr>
            </w:pPr>
            <w:r>
              <w:rPr>
                <w:rFonts w:ascii="宋体" w:hAnsi="宋体"/>
                <w:b/>
                <w:color w:val="auto"/>
                <w:szCs w:val="21"/>
                <w:highlight w:val="none"/>
              </w:rPr>
              <w:t>条款号</w:t>
            </w:r>
          </w:p>
        </w:tc>
        <w:tc>
          <w:tcPr>
            <w:tcW w:w="7569" w:type="dxa"/>
            <w:noWrap w:val="0"/>
            <w:vAlign w:val="center"/>
          </w:tcPr>
          <w:p w14:paraId="47DF0DAC">
            <w:pPr>
              <w:jc w:val="center"/>
              <w:rPr>
                <w:rFonts w:ascii="宋体" w:hAnsi="宋体"/>
                <w:b/>
                <w:color w:val="auto"/>
                <w:szCs w:val="21"/>
                <w:highlight w:val="none"/>
              </w:rPr>
            </w:pPr>
            <w:r>
              <w:rPr>
                <w:rFonts w:ascii="宋体" w:hAnsi="宋体"/>
                <w:b/>
                <w:color w:val="auto"/>
                <w:szCs w:val="21"/>
                <w:highlight w:val="none"/>
              </w:rPr>
              <w:t>约定内容</w:t>
            </w:r>
          </w:p>
        </w:tc>
      </w:tr>
      <w:tr w14:paraId="2B20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6D715B38">
            <w:pPr>
              <w:spacing w:line="560" w:lineRule="exact"/>
              <w:rPr>
                <w:rFonts w:ascii="宋体" w:hAnsi="宋体"/>
                <w:color w:val="auto"/>
                <w:szCs w:val="21"/>
                <w:highlight w:val="none"/>
              </w:rPr>
            </w:pPr>
          </w:p>
        </w:tc>
        <w:tc>
          <w:tcPr>
            <w:tcW w:w="7569" w:type="dxa"/>
            <w:noWrap w:val="0"/>
            <w:vAlign w:val="center"/>
          </w:tcPr>
          <w:p w14:paraId="2BD0B819">
            <w:pPr>
              <w:spacing w:line="560" w:lineRule="exact"/>
              <w:rPr>
                <w:rFonts w:ascii="宋体" w:hAnsi="宋体"/>
                <w:color w:val="auto"/>
                <w:szCs w:val="21"/>
                <w:highlight w:val="none"/>
              </w:rPr>
            </w:pPr>
          </w:p>
        </w:tc>
      </w:tr>
      <w:tr w14:paraId="6017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2B6CB984">
            <w:pPr>
              <w:spacing w:line="560" w:lineRule="exact"/>
              <w:rPr>
                <w:rFonts w:ascii="宋体" w:hAnsi="宋体"/>
                <w:color w:val="auto"/>
                <w:szCs w:val="21"/>
                <w:highlight w:val="none"/>
              </w:rPr>
            </w:pPr>
          </w:p>
        </w:tc>
        <w:tc>
          <w:tcPr>
            <w:tcW w:w="7569" w:type="dxa"/>
            <w:noWrap w:val="0"/>
            <w:vAlign w:val="center"/>
          </w:tcPr>
          <w:p w14:paraId="3E2F0481">
            <w:pPr>
              <w:spacing w:line="560" w:lineRule="exact"/>
              <w:rPr>
                <w:rFonts w:ascii="宋体" w:hAnsi="宋体"/>
                <w:color w:val="auto"/>
                <w:szCs w:val="21"/>
                <w:highlight w:val="none"/>
              </w:rPr>
            </w:pPr>
          </w:p>
        </w:tc>
      </w:tr>
      <w:tr w14:paraId="0BA8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0AA2AE1F">
            <w:pPr>
              <w:spacing w:line="560" w:lineRule="exact"/>
              <w:rPr>
                <w:rFonts w:ascii="宋体" w:hAnsi="宋体"/>
                <w:color w:val="auto"/>
                <w:szCs w:val="21"/>
                <w:highlight w:val="none"/>
              </w:rPr>
            </w:pPr>
          </w:p>
        </w:tc>
        <w:tc>
          <w:tcPr>
            <w:tcW w:w="7569" w:type="dxa"/>
            <w:noWrap w:val="0"/>
            <w:vAlign w:val="center"/>
          </w:tcPr>
          <w:p w14:paraId="73363F10">
            <w:pPr>
              <w:spacing w:line="560" w:lineRule="exact"/>
              <w:rPr>
                <w:rFonts w:ascii="宋体" w:hAnsi="宋体"/>
                <w:color w:val="auto"/>
                <w:szCs w:val="21"/>
                <w:highlight w:val="none"/>
              </w:rPr>
            </w:pPr>
          </w:p>
        </w:tc>
      </w:tr>
      <w:tr w14:paraId="1913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6D1DB661">
            <w:pPr>
              <w:spacing w:line="560" w:lineRule="exact"/>
              <w:rPr>
                <w:rFonts w:ascii="宋体" w:hAnsi="宋体"/>
                <w:color w:val="auto"/>
                <w:szCs w:val="21"/>
                <w:highlight w:val="none"/>
              </w:rPr>
            </w:pPr>
          </w:p>
        </w:tc>
        <w:tc>
          <w:tcPr>
            <w:tcW w:w="7569" w:type="dxa"/>
            <w:noWrap w:val="0"/>
            <w:vAlign w:val="center"/>
          </w:tcPr>
          <w:p w14:paraId="549098F2">
            <w:pPr>
              <w:spacing w:line="560" w:lineRule="exact"/>
              <w:rPr>
                <w:rFonts w:ascii="宋体" w:hAnsi="宋体"/>
                <w:color w:val="auto"/>
                <w:szCs w:val="21"/>
                <w:highlight w:val="none"/>
              </w:rPr>
            </w:pPr>
          </w:p>
        </w:tc>
      </w:tr>
      <w:tr w14:paraId="2EFC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72DEBDAD">
            <w:pPr>
              <w:spacing w:line="560" w:lineRule="exact"/>
              <w:rPr>
                <w:rFonts w:ascii="宋体" w:hAnsi="宋体"/>
                <w:color w:val="auto"/>
                <w:szCs w:val="21"/>
                <w:highlight w:val="none"/>
              </w:rPr>
            </w:pPr>
          </w:p>
        </w:tc>
        <w:tc>
          <w:tcPr>
            <w:tcW w:w="7569" w:type="dxa"/>
            <w:noWrap w:val="0"/>
            <w:vAlign w:val="center"/>
          </w:tcPr>
          <w:p w14:paraId="6BEB4CC0">
            <w:pPr>
              <w:spacing w:line="560" w:lineRule="exact"/>
              <w:rPr>
                <w:rFonts w:ascii="宋体" w:hAnsi="宋体"/>
                <w:color w:val="auto"/>
                <w:szCs w:val="21"/>
                <w:highlight w:val="none"/>
                <w:u w:val="single"/>
              </w:rPr>
            </w:pPr>
          </w:p>
        </w:tc>
      </w:tr>
      <w:tr w14:paraId="62C9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E474E3A">
            <w:pPr>
              <w:spacing w:line="560" w:lineRule="exact"/>
              <w:rPr>
                <w:rFonts w:ascii="宋体" w:hAnsi="宋体"/>
                <w:color w:val="auto"/>
                <w:szCs w:val="21"/>
                <w:highlight w:val="none"/>
              </w:rPr>
            </w:pPr>
          </w:p>
        </w:tc>
        <w:tc>
          <w:tcPr>
            <w:tcW w:w="7569" w:type="dxa"/>
            <w:noWrap w:val="0"/>
            <w:vAlign w:val="center"/>
          </w:tcPr>
          <w:p w14:paraId="5B777970">
            <w:pPr>
              <w:spacing w:line="560" w:lineRule="exact"/>
              <w:rPr>
                <w:rFonts w:ascii="宋体" w:hAnsi="宋体"/>
                <w:color w:val="auto"/>
                <w:szCs w:val="21"/>
                <w:highlight w:val="none"/>
              </w:rPr>
            </w:pPr>
          </w:p>
        </w:tc>
      </w:tr>
      <w:tr w14:paraId="7E4A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2B0C138">
            <w:pPr>
              <w:spacing w:line="560" w:lineRule="exact"/>
              <w:rPr>
                <w:rFonts w:ascii="宋体" w:hAnsi="宋体"/>
                <w:color w:val="auto"/>
                <w:szCs w:val="21"/>
                <w:highlight w:val="none"/>
              </w:rPr>
            </w:pPr>
          </w:p>
        </w:tc>
        <w:tc>
          <w:tcPr>
            <w:tcW w:w="7569" w:type="dxa"/>
            <w:noWrap w:val="0"/>
            <w:vAlign w:val="center"/>
          </w:tcPr>
          <w:p w14:paraId="23AFCF6F">
            <w:pPr>
              <w:spacing w:line="560" w:lineRule="exact"/>
              <w:rPr>
                <w:rFonts w:ascii="宋体" w:hAnsi="宋体"/>
                <w:color w:val="auto"/>
                <w:szCs w:val="21"/>
                <w:highlight w:val="none"/>
                <w:u w:val="single"/>
              </w:rPr>
            </w:pPr>
          </w:p>
        </w:tc>
      </w:tr>
      <w:tr w14:paraId="5DC9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DAFCAF5">
            <w:pPr>
              <w:spacing w:line="560" w:lineRule="exact"/>
              <w:rPr>
                <w:rFonts w:ascii="宋体" w:hAnsi="宋体"/>
                <w:color w:val="auto"/>
                <w:szCs w:val="21"/>
                <w:highlight w:val="none"/>
              </w:rPr>
            </w:pPr>
          </w:p>
        </w:tc>
        <w:tc>
          <w:tcPr>
            <w:tcW w:w="7569" w:type="dxa"/>
            <w:noWrap w:val="0"/>
            <w:vAlign w:val="center"/>
          </w:tcPr>
          <w:p w14:paraId="7CA38C23">
            <w:pPr>
              <w:spacing w:line="560" w:lineRule="exact"/>
              <w:rPr>
                <w:rFonts w:ascii="宋体" w:hAnsi="宋体"/>
                <w:color w:val="auto"/>
                <w:szCs w:val="21"/>
                <w:highlight w:val="none"/>
              </w:rPr>
            </w:pPr>
          </w:p>
        </w:tc>
      </w:tr>
      <w:tr w14:paraId="627C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A5E4C6A">
            <w:pPr>
              <w:spacing w:line="560" w:lineRule="exact"/>
              <w:rPr>
                <w:rFonts w:ascii="宋体" w:hAnsi="宋体"/>
                <w:color w:val="auto"/>
                <w:szCs w:val="21"/>
                <w:highlight w:val="none"/>
              </w:rPr>
            </w:pPr>
          </w:p>
        </w:tc>
        <w:tc>
          <w:tcPr>
            <w:tcW w:w="7569" w:type="dxa"/>
            <w:noWrap w:val="0"/>
            <w:vAlign w:val="center"/>
          </w:tcPr>
          <w:p w14:paraId="140C9C94">
            <w:pPr>
              <w:spacing w:line="560" w:lineRule="exact"/>
              <w:rPr>
                <w:rFonts w:ascii="宋体" w:hAnsi="宋体"/>
                <w:color w:val="auto"/>
                <w:szCs w:val="21"/>
                <w:highlight w:val="none"/>
              </w:rPr>
            </w:pPr>
          </w:p>
        </w:tc>
      </w:tr>
      <w:tr w14:paraId="25C9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2538ED5">
            <w:pPr>
              <w:spacing w:line="560" w:lineRule="exact"/>
              <w:rPr>
                <w:rFonts w:ascii="宋体" w:hAnsi="宋体"/>
                <w:color w:val="auto"/>
                <w:szCs w:val="21"/>
                <w:highlight w:val="none"/>
              </w:rPr>
            </w:pPr>
          </w:p>
        </w:tc>
        <w:tc>
          <w:tcPr>
            <w:tcW w:w="7569" w:type="dxa"/>
            <w:noWrap w:val="0"/>
            <w:vAlign w:val="center"/>
          </w:tcPr>
          <w:p w14:paraId="063938F6">
            <w:pPr>
              <w:spacing w:line="560" w:lineRule="exact"/>
              <w:rPr>
                <w:rFonts w:ascii="宋体" w:hAnsi="宋体"/>
                <w:color w:val="auto"/>
                <w:szCs w:val="21"/>
                <w:highlight w:val="none"/>
              </w:rPr>
            </w:pPr>
          </w:p>
        </w:tc>
      </w:tr>
      <w:tr w14:paraId="535C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188B4E4C">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78D652CE">
            <w:pPr>
              <w:spacing w:line="560" w:lineRule="exact"/>
              <w:rPr>
                <w:rFonts w:ascii="宋体" w:hAnsi="宋体"/>
                <w:color w:val="auto"/>
                <w:szCs w:val="21"/>
                <w:highlight w:val="none"/>
              </w:rPr>
            </w:pPr>
          </w:p>
        </w:tc>
      </w:tr>
      <w:tr w14:paraId="2F39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3AC9EDF9">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693A1361">
            <w:pPr>
              <w:spacing w:line="560" w:lineRule="exact"/>
              <w:rPr>
                <w:rFonts w:ascii="宋体" w:hAnsi="宋体"/>
                <w:color w:val="auto"/>
                <w:szCs w:val="21"/>
                <w:highlight w:val="none"/>
              </w:rPr>
            </w:pPr>
          </w:p>
        </w:tc>
      </w:tr>
    </w:tbl>
    <w:p w14:paraId="3B7F6E2C">
      <w:pPr>
        <w:rPr>
          <w:rFonts w:hint="eastAsia" w:ascii="宋体" w:hAnsi="宋体"/>
          <w:b/>
          <w:color w:val="auto"/>
          <w:szCs w:val="21"/>
          <w:highlight w:val="none"/>
        </w:rPr>
      </w:pPr>
    </w:p>
    <w:bookmarkEnd w:id="806"/>
    <w:p w14:paraId="70CFF35D">
      <w:pPr>
        <w:numPr>
          <w:ilvl w:val="0"/>
          <w:numId w:val="0"/>
        </w:numPr>
        <w:spacing w:before="156" w:beforeLines="50" w:after="156" w:afterLines="50"/>
        <w:jc w:val="both"/>
        <w:outlineLvl w:val="0"/>
        <w:rPr>
          <w:rFonts w:hint="default" w:ascii="宋体"/>
          <w:b/>
          <w:color w:val="auto"/>
          <w:sz w:val="32"/>
          <w:szCs w:val="32"/>
          <w:highlight w:val="none"/>
          <w:lang w:val="en-US" w:eastAsia="zh-CN"/>
        </w:rPr>
      </w:pPr>
    </w:p>
    <w:p w14:paraId="5AACFC35">
      <w:pPr>
        <w:rPr>
          <w:rFonts w:hint="eastAsia" w:ascii="宋体"/>
          <w:b/>
          <w:color w:val="auto"/>
          <w:sz w:val="32"/>
          <w:szCs w:val="32"/>
          <w:highlight w:val="none"/>
        </w:rPr>
      </w:pPr>
    </w:p>
    <w:p w14:paraId="0D3796FB">
      <w:pPr>
        <w:rPr>
          <w:rFonts w:hint="eastAsia" w:ascii="宋体"/>
          <w:b/>
          <w:color w:val="auto"/>
          <w:sz w:val="32"/>
          <w:szCs w:val="32"/>
          <w:highlight w:val="none"/>
        </w:rPr>
      </w:pPr>
      <w:r>
        <w:rPr>
          <w:rFonts w:hint="eastAsia" w:ascii="宋体"/>
          <w:b/>
          <w:color w:val="auto"/>
          <w:sz w:val="32"/>
          <w:szCs w:val="32"/>
          <w:highlight w:val="none"/>
        </w:rPr>
        <w:br w:type="page"/>
      </w:r>
    </w:p>
    <w:p w14:paraId="0943F345">
      <w:pPr>
        <w:spacing w:before="156" w:beforeLines="50" w:after="156" w:afterLines="50"/>
        <w:jc w:val="center"/>
        <w:outlineLvl w:val="0"/>
        <w:rPr>
          <w:rFonts w:hint="eastAsia" w:ascii="宋体"/>
          <w:b/>
          <w:color w:val="auto"/>
          <w:sz w:val="32"/>
          <w:szCs w:val="32"/>
          <w:highlight w:val="none"/>
        </w:rPr>
      </w:pPr>
    </w:p>
    <w:p w14:paraId="3EE927C0">
      <w:pPr>
        <w:spacing w:before="156" w:beforeLines="50" w:after="156" w:afterLines="50"/>
        <w:jc w:val="center"/>
        <w:outlineLvl w:val="0"/>
        <w:rPr>
          <w:rFonts w:hint="eastAsia" w:ascii="宋体"/>
          <w:b/>
          <w:color w:val="auto"/>
          <w:sz w:val="32"/>
          <w:szCs w:val="32"/>
          <w:highlight w:val="none"/>
        </w:rPr>
      </w:pPr>
      <w:bookmarkStart w:id="808" w:name="_Toc4222"/>
      <w:r>
        <w:rPr>
          <w:rFonts w:hint="eastAsia" w:ascii="宋体"/>
          <w:b/>
          <w:color w:val="auto"/>
          <w:sz w:val="32"/>
          <w:szCs w:val="32"/>
          <w:highlight w:val="none"/>
        </w:rPr>
        <w:t>第</w:t>
      </w:r>
      <w:r>
        <w:rPr>
          <w:rFonts w:hint="eastAsia" w:ascii="宋体"/>
          <w:b/>
          <w:color w:val="auto"/>
          <w:sz w:val="32"/>
          <w:szCs w:val="32"/>
          <w:highlight w:val="none"/>
          <w:lang w:val="en-US" w:eastAsia="zh-CN"/>
        </w:rPr>
        <w:t>六</w:t>
      </w:r>
      <w:r>
        <w:rPr>
          <w:rFonts w:hint="eastAsia" w:ascii="宋体"/>
          <w:b/>
          <w:color w:val="auto"/>
          <w:sz w:val="32"/>
          <w:szCs w:val="32"/>
          <w:highlight w:val="none"/>
        </w:rPr>
        <w:t>章  投标文件格式</w:t>
      </w:r>
      <w:bookmarkEnd w:id="808"/>
    </w:p>
    <w:tbl>
      <w:tblPr>
        <w:tblStyle w:val="38"/>
        <w:tblW w:w="1662" w:type="dxa"/>
        <w:tblInd w:w="8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tblGrid>
      <w:tr w14:paraId="1AC2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14:paraId="1D312F92">
            <w:pPr>
              <w:numPr>
                <w:ilvl w:val="0"/>
                <w:numId w:val="0"/>
              </w:numPr>
              <w:jc w:val="center"/>
              <w:outlineLvl w:val="1"/>
              <w:rPr>
                <w:rFonts w:hint="default" w:eastAsia="宋体"/>
                <w:color w:val="auto"/>
                <w:sz w:val="36"/>
                <w:szCs w:val="36"/>
                <w:highlight w:val="none"/>
                <w:vertAlign w:val="baseline"/>
                <w:lang w:val="en-US" w:eastAsia="zh-CN"/>
              </w:rPr>
            </w:pPr>
            <w:r>
              <w:rPr>
                <w:rFonts w:hint="eastAsia" w:ascii="Times New Roman" w:hAnsi="Times New Roman" w:eastAsia="宋体" w:cs="Times New Roman"/>
                <w:color w:val="auto"/>
                <w:sz w:val="28"/>
                <w:szCs w:val="28"/>
                <w:highlight w:val="none"/>
                <w:lang w:val="en-US" w:eastAsia="zh-CN"/>
              </w:rPr>
              <w:t>正本或副本</w:t>
            </w:r>
          </w:p>
        </w:tc>
      </w:tr>
    </w:tbl>
    <w:p w14:paraId="0CE2BDA8">
      <w:pPr>
        <w:spacing w:before="156" w:beforeLines="50" w:after="156" w:afterLines="50"/>
        <w:jc w:val="center"/>
        <w:outlineLvl w:val="0"/>
        <w:rPr>
          <w:rFonts w:hint="eastAsia" w:ascii="宋体"/>
          <w:b/>
          <w:color w:val="auto"/>
          <w:sz w:val="32"/>
          <w:szCs w:val="32"/>
          <w:highlight w:val="none"/>
        </w:rPr>
      </w:pPr>
    </w:p>
    <w:p w14:paraId="791FCB84">
      <w:pPr>
        <w:jc w:val="center"/>
        <w:rPr>
          <w:rFonts w:hint="eastAsia" w:eastAsia="黑体"/>
          <w:color w:val="auto"/>
          <w:sz w:val="20"/>
          <w:highlight w:val="none"/>
        </w:rPr>
      </w:pPr>
    </w:p>
    <w:p w14:paraId="20D9E584">
      <w:pPr>
        <w:rPr>
          <w:rFonts w:hint="eastAsia" w:eastAsia="黑体"/>
          <w:color w:val="auto"/>
          <w:sz w:val="20"/>
          <w:highlight w:val="none"/>
        </w:rPr>
      </w:pPr>
    </w:p>
    <w:p w14:paraId="26BA615C">
      <w:pPr>
        <w:rPr>
          <w:rFonts w:hint="eastAsia" w:eastAsia="黑体"/>
          <w:color w:val="auto"/>
          <w:sz w:val="20"/>
          <w:highlight w:val="none"/>
        </w:rPr>
      </w:pPr>
    </w:p>
    <w:p w14:paraId="59BF50A6">
      <w:pPr>
        <w:rPr>
          <w:rFonts w:hint="eastAsia" w:eastAsia="黑体"/>
          <w:color w:val="auto"/>
          <w:sz w:val="20"/>
          <w:highlight w:val="none"/>
        </w:rPr>
      </w:pPr>
    </w:p>
    <w:p w14:paraId="111F7EB4">
      <w:pPr>
        <w:jc w:val="center"/>
        <w:rPr>
          <w:rFonts w:hint="eastAsia" w:ascii="宋体"/>
          <w:b/>
          <w:color w:val="auto"/>
          <w:sz w:val="44"/>
          <w:szCs w:val="44"/>
          <w:highlight w:val="none"/>
        </w:rPr>
      </w:pPr>
      <w:bookmarkStart w:id="809" w:name="_Toc449028949"/>
      <w:bookmarkStart w:id="810" w:name="_Toc350698753"/>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809"/>
      <w:bookmarkEnd w:id="810"/>
    </w:p>
    <w:p w14:paraId="44FBAEDB">
      <w:pPr>
        <w:jc w:val="center"/>
        <w:rPr>
          <w:rFonts w:hint="eastAsia" w:eastAsia="黑体"/>
          <w:color w:val="auto"/>
          <w:sz w:val="44"/>
          <w:szCs w:val="44"/>
          <w:highlight w:val="none"/>
        </w:rPr>
      </w:pPr>
    </w:p>
    <w:p w14:paraId="007E0B5D">
      <w:pPr>
        <w:jc w:val="center"/>
        <w:rPr>
          <w:rFonts w:hint="eastAsia" w:eastAsia="黑体"/>
          <w:color w:val="auto"/>
          <w:sz w:val="44"/>
          <w:szCs w:val="44"/>
          <w:highlight w:val="none"/>
        </w:rPr>
      </w:pPr>
    </w:p>
    <w:p w14:paraId="406F5141">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044E7964">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74F092CF">
      <w:pPr>
        <w:rPr>
          <w:rFonts w:hint="eastAsia" w:ascii="宋体"/>
          <w:color w:val="auto"/>
          <w:sz w:val="28"/>
          <w:szCs w:val="28"/>
          <w:highlight w:val="none"/>
        </w:rPr>
      </w:pPr>
    </w:p>
    <w:p w14:paraId="693623AD">
      <w:pPr>
        <w:rPr>
          <w:rFonts w:hint="eastAsia" w:ascii="宋体"/>
          <w:color w:val="auto"/>
          <w:sz w:val="28"/>
          <w:szCs w:val="28"/>
          <w:highlight w:val="none"/>
        </w:rPr>
      </w:pPr>
    </w:p>
    <w:p w14:paraId="15066E9F">
      <w:pPr>
        <w:rPr>
          <w:rFonts w:hint="eastAsia" w:ascii="宋体"/>
          <w:color w:val="auto"/>
          <w:sz w:val="28"/>
          <w:szCs w:val="28"/>
          <w:highlight w:val="none"/>
        </w:rPr>
      </w:pPr>
    </w:p>
    <w:p w14:paraId="3B153BA2">
      <w:pPr>
        <w:rPr>
          <w:rFonts w:hint="eastAsia" w:ascii="宋体"/>
          <w:color w:val="auto"/>
          <w:sz w:val="28"/>
          <w:szCs w:val="28"/>
          <w:highlight w:val="none"/>
        </w:rPr>
      </w:pPr>
    </w:p>
    <w:p w14:paraId="7DB59497">
      <w:pPr>
        <w:rPr>
          <w:rFonts w:hint="eastAsia" w:ascii="宋体"/>
          <w:color w:val="auto"/>
          <w:sz w:val="28"/>
          <w:szCs w:val="28"/>
          <w:highlight w:val="none"/>
        </w:rPr>
      </w:pPr>
    </w:p>
    <w:p w14:paraId="77CB8CDE">
      <w:pPr>
        <w:rPr>
          <w:rFonts w:hint="eastAsia" w:ascii="宋体"/>
          <w:color w:val="auto"/>
          <w:sz w:val="28"/>
          <w:szCs w:val="28"/>
          <w:highlight w:val="none"/>
        </w:rPr>
      </w:pPr>
    </w:p>
    <w:p w14:paraId="6B14CD7D">
      <w:pPr>
        <w:jc w:val="center"/>
        <w:rPr>
          <w:rFonts w:hint="eastAsia" w:ascii="宋体"/>
          <w:color w:val="auto"/>
          <w:sz w:val="28"/>
          <w:szCs w:val="28"/>
          <w:highlight w:val="none"/>
          <w:u w:val="single"/>
        </w:rPr>
      </w:pPr>
      <w:r>
        <w:rPr>
          <w:rFonts w:hint="eastAsia" w:ascii="宋体"/>
          <w:color w:val="auto"/>
          <w:sz w:val="28"/>
          <w:szCs w:val="28"/>
          <w:highlight w:val="none"/>
          <w:lang w:val="en-US" w:eastAsia="zh-CN"/>
        </w:rPr>
        <w:t xml:space="preserve"> </w:t>
      </w: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468AD52">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6DA08DB6">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5A38338">
      <w:pPr>
        <w:spacing w:line="720" w:lineRule="auto"/>
        <w:jc w:val="center"/>
        <w:rPr>
          <w:rFonts w:hint="eastAsia" w:ascii="宋体"/>
          <w:b/>
          <w:color w:val="auto"/>
          <w:sz w:val="36"/>
          <w:szCs w:val="36"/>
          <w:highlight w:val="none"/>
        </w:rPr>
      </w:pPr>
    </w:p>
    <w:p w14:paraId="77A6E1DE">
      <w:pPr>
        <w:spacing w:line="400" w:lineRule="exact"/>
        <w:ind w:firstLine="4130" w:firstLineChars="935"/>
        <w:rPr>
          <w:rFonts w:hint="eastAsia"/>
          <w:b/>
          <w:color w:val="auto"/>
          <w:sz w:val="44"/>
          <w:szCs w:val="44"/>
          <w:highlight w:val="none"/>
        </w:rPr>
      </w:pPr>
    </w:p>
    <w:p w14:paraId="61BDEB33">
      <w:pPr>
        <w:spacing w:line="400" w:lineRule="exact"/>
        <w:ind w:firstLine="4130" w:firstLineChars="935"/>
        <w:rPr>
          <w:rFonts w:hint="eastAsia"/>
          <w:b/>
          <w:color w:val="auto"/>
          <w:sz w:val="44"/>
          <w:szCs w:val="44"/>
          <w:highlight w:val="none"/>
        </w:rPr>
      </w:pPr>
    </w:p>
    <w:p w14:paraId="23465B1C">
      <w:pPr>
        <w:spacing w:line="400" w:lineRule="exact"/>
        <w:ind w:firstLine="4130" w:firstLineChars="935"/>
        <w:rPr>
          <w:rFonts w:hint="eastAsia"/>
          <w:b/>
          <w:color w:val="auto"/>
          <w:sz w:val="44"/>
          <w:szCs w:val="44"/>
          <w:highlight w:val="none"/>
        </w:rPr>
      </w:pPr>
    </w:p>
    <w:p w14:paraId="04461508">
      <w:pPr>
        <w:jc w:val="center"/>
        <w:rPr>
          <w:rFonts w:hint="eastAsia"/>
          <w:b/>
          <w:color w:val="auto"/>
          <w:sz w:val="44"/>
          <w:szCs w:val="44"/>
          <w:highlight w:val="none"/>
        </w:rPr>
      </w:pPr>
      <w:r>
        <w:rPr>
          <w:rFonts w:hint="eastAsia"/>
          <w:b/>
          <w:color w:val="auto"/>
          <w:sz w:val="36"/>
          <w:szCs w:val="36"/>
          <w:highlight w:val="none"/>
        </w:rPr>
        <w:t>目   录</w:t>
      </w:r>
    </w:p>
    <w:p w14:paraId="2883F3F2">
      <w:pPr>
        <w:spacing w:line="400" w:lineRule="exact"/>
        <w:ind w:firstLine="562" w:firstLineChars="200"/>
        <w:rPr>
          <w:rFonts w:hint="eastAsia"/>
          <w:b/>
          <w:color w:val="auto"/>
          <w:sz w:val="28"/>
          <w:szCs w:val="28"/>
          <w:highlight w:val="none"/>
        </w:rPr>
      </w:pPr>
    </w:p>
    <w:p w14:paraId="623DE625">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6340ED94">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有效的营业执照</w:t>
      </w:r>
      <w:r>
        <w:rPr>
          <w:rFonts w:hint="eastAsia" w:ascii="宋体" w:hAnsi="宋体" w:cs="宋体"/>
          <w:color w:val="auto"/>
          <w:szCs w:val="21"/>
          <w:highlight w:val="none"/>
          <w:lang w:val="en-US" w:eastAsia="zh-CN"/>
        </w:rPr>
        <w:t>（复印件加盖单位公章）及资质证书</w:t>
      </w:r>
      <w:r>
        <w:rPr>
          <w:rFonts w:hint="eastAsia" w:ascii="宋体"/>
          <w:color w:val="auto"/>
          <w:szCs w:val="21"/>
          <w:highlight w:val="none"/>
        </w:rPr>
        <w:t>；</w:t>
      </w:r>
    </w:p>
    <w:p w14:paraId="2398527C">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3</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3B27469E">
      <w:pPr>
        <w:spacing w:line="500" w:lineRule="exact"/>
        <w:ind w:firstLine="420" w:firstLineChars="200"/>
        <w:jc w:val="left"/>
        <w:rPr>
          <w:rFonts w:hint="eastAsia" w:ascii="宋体" w:cs="Times New Roman"/>
          <w:color w:val="auto"/>
          <w:szCs w:val="21"/>
          <w:highlight w:val="none"/>
          <w:lang w:val="en-US"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4）服务承诺书</w:t>
      </w:r>
      <w:r>
        <w:rPr>
          <w:rFonts w:hint="eastAsia" w:ascii="宋体"/>
          <w:color w:val="auto"/>
          <w:szCs w:val="21"/>
          <w:highlight w:val="none"/>
        </w:rPr>
        <w:t>（格式见附件）；</w:t>
      </w:r>
    </w:p>
    <w:p w14:paraId="0AFA8FEA">
      <w:pPr>
        <w:spacing w:line="440" w:lineRule="exact"/>
        <w:ind w:left="420"/>
        <w:rPr>
          <w:rFonts w:hint="eastAsia" w:ascii="宋体" w:eastAsia="宋体"/>
          <w:color w:val="auto"/>
          <w:szCs w:val="21"/>
          <w:highlight w:val="none"/>
        </w:rPr>
      </w:pPr>
      <w:r>
        <w:rPr>
          <w:rFonts w:hint="eastAsia" w:ascii="宋体" w:eastAsia="宋体"/>
          <w:color w:val="auto"/>
          <w:szCs w:val="21"/>
          <w:highlight w:val="none"/>
        </w:rPr>
        <w:t>（</w:t>
      </w:r>
      <w:r>
        <w:rPr>
          <w:rFonts w:hint="eastAsia" w:ascii="宋体"/>
          <w:color w:val="auto"/>
          <w:szCs w:val="21"/>
          <w:highlight w:val="none"/>
          <w:lang w:val="en-US" w:eastAsia="zh-CN"/>
        </w:rPr>
        <w:t>5</w:t>
      </w:r>
      <w:r>
        <w:rPr>
          <w:rFonts w:hint="eastAsia" w:ascii="宋体" w:eastAsia="宋体"/>
          <w:color w:val="auto"/>
          <w:szCs w:val="21"/>
          <w:highlight w:val="none"/>
        </w:rPr>
        <w:t>）开标一览表（格式见附件）；</w:t>
      </w:r>
    </w:p>
    <w:p w14:paraId="3C5BF934">
      <w:pPr>
        <w:spacing w:line="440" w:lineRule="exact"/>
        <w:ind w:left="420"/>
        <w:rPr>
          <w:rFonts w:hint="eastAsia" w:ascii="宋体" w:eastAsia="宋体"/>
          <w:color w:val="auto"/>
          <w:szCs w:val="21"/>
          <w:highlight w:val="none"/>
        </w:rPr>
      </w:pPr>
      <w:r>
        <w:rPr>
          <w:rFonts w:hint="eastAsia" w:ascii="宋体" w:eastAsia="宋体"/>
          <w:color w:val="auto"/>
          <w:szCs w:val="21"/>
          <w:highlight w:val="none"/>
        </w:rPr>
        <w:t>（</w:t>
      </w:r>
      <w:r>
        <w:rPr>
          <w:rFonts w:hint="eastAsia" w:ascii="宋体"/>
          <w:color w:val="auto"/>
          <w:szCs w:val="21"/>
          <w:highlight w:val="none"/>
          <w:lang w:val="en-US" w:eastAsia="zh-CN"/>
        </w:rPr>
        <w:t>6</w:t>
      </w:r>
      <w:r>
        <w:rPr>
          <w:rFonts w:hint="eastAsia" w:ascii="宋体" w:eastAsia="宋体"/>
          <w:color w:val="auto"/>
          <w:szCs w:val="21"/>
          <w:highlight w:val="none"/>
        </w:rPr>
        <w:t>）投标函（格式见附件）；</w:t>
      </w:r>
    </w:p>
    <w:p w14:paraId="0E51553D">
      <w:pPr>
        <w:spacing w:line="440" w:lineRule="exact"/>
        <w:ind w:left="420"/>
        <w:rPr>
          <w:rFonts w:hint="eastAsia" w:ascii="宋体" w:eastAsia="宋体"/>
          <w:color w:val="auto"/>
          <w:szCs w:val="21"/>
          <w:highlight w:val="none"/>
          <w:lang w:val="en-US" w:eastAsia="zh-CN"/>
        </w:rPr>
      </w:pPr>
      <w:r>
        <w:rPr>
          <w:rFonts w:hint="eastAsia" w:ascii="宋体" w:eastAsia="宋体"/>
          <w:color w:val="auto"/>
          <w:szCs w:val="21"/>
          <w:highlight w:val="none"/>
          <w:lang w:eastAsia="zh-CN"/>
        </w:rPr>
        <w:t>（</w:t>
      </w:r>
      <w:r>
        <w:rPr>
          <w:rFonts w:hint="eastAsia" w:ascii="宋体"/>
          <w:color w:val="auto"/>
          <w:szCs w:val="21"/>
          <w:highlight w:val="none"/>
          <w:lang w:val="en-US" w:eastAsia="zh-CN"/>
        </w:rPr>
        <w:t>7</w:t>
      </w:r>
      <w:r>
        <w:rPr>
          <w:rFonts w:hint="eastAsia" w:ascii="宋体" w:eastAsia="宋体"/>
          <w:color w:val="auto"/>
          <w:szCs w:val="21"/>
          <w:highlight w:val="none"/>
          <w:lang w:val="en-US" w:eastAsia="zh-CN"/>
        </w:rPr>
        <w:t>）分项报价清单</w:t>
      </w:r>
      <w:r>
        <w:rPr>
          <w:rFonts w:hint="eastAsia" w:ascii="宋体" w:eastAsia="宋体"/>
          <w:color w:val="auto"/>
          <w:szCs w:val="21"/>
          <w:highlight w:val="none"/>
        </w:rPr>
        <w:t>（格式见附件）；</w:t>
      </w:r>
    </w:p>
    <w:p w14:paraId="4DF0CD5C">
      <w:pPr>
        <w:spacing w:line="440" w:lineRule="exact"/>
        <w:ind w:left="420"/>
        <w:rPr>
          <w:rFonts w:hint="default" w:ascii="宋体" w:eastAsia="宋体"/>
          <w:color w:val="auto"/>
          <w:szCs w:val="21"/>
          <w:highlight w:val="none"/>
          <w:lang w:val="en-US" w:eastAsia="zh-CN"/>
        </w:rPr>
        <w:sectPr>
          <w:footerReference r:id="rId9" w:type="default"/>
          <w:pgSz w:w="11906" w:h="16838"/>
          <w:pgMar w:top="1440" w:right="1800" w:bottom="1440" w:left="1800" w:header="851" w:footer="992" w:gutter="0"/>
          <w:pgNumType w:fmt="numberInDash"/>
          <w:cols w:space="720" w:num="1"/>
          <w:docGrid w:type="lines" w:linePitch="312" w:charSpace="0"/>
        </w:sectPr>
      </w:pPr>
      <w:r>
        <w:rPr>
          <w:rFonts w:hint="eastAsia" w:ascii="宋体"/>
          <w:color w:val="auto"/>
          <w:szCs w:val="21"/>
          <w:highlight w:val="none"/>
          <w:lang w:val="en-US" w:eastAsia="zh-CN"/>
        </w:rPr>
        <w:t>（8）</w:t>
      </w:r>
      <w:r>
        <w:rPr>
          <w:rFonts w:hint="eastAsia" w:ascii="宋体" w:eastAsia="宋体"/>
          <w:color w:val="auto"/>
          <w:szCs w:val="21"/>
          <w:highlight w:val="none"/>
          <w:lang w:val="en-US" w:eastAsia="zh-CN"/>
        </w:rPr>
        <w:t>投标人认为需要提供的其他证明材料</w:t>
      </w:r>
    </w:p>
    <w:p w14:paraId="6F7C5DE5">
      <w:pPr>
        <w:spacing w:line="360" w:lineRule="auto"/>
        <w:rPr>
          <w:rFonts w:hint="eastAsia"/>
          <w:b/>
          <w:color w:val="auto"/>
          <w:sz w:val="28"/>
          <w:szCs w:val="28"/>
          <w:highlight w:val="none"/>
        </w:rPr>
      </w:pPr>
      <w:r>
        <w:rPr>
          <w:rFonts w:hint="eastAsia"/>
          <w:b/>
          <w:color w:val="auto"/>
          <w:sz w:val="28"/>
          <w:szCs w:val="28"/>
          <w:highlight w:val="none"/>
        </w:rPr>
        <w:t>附件1</w:t>
      </w:r>
    </w:p>
    <w:p w14:paraId="29EBD996">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E697923">
      <w:pPr>
        <w:pStyle w:val="122"/>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0C04B414">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2AE1358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220A37D">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28D2DF33">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2D879F68">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1820B528">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5EE2C447">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43F70C2">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08721397">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0FC89940">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495884">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19DA14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497B4282">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2B6A20B4">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55A12530">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2E33DB6C">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E6D3A55">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7D2E2AA">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8120318">
      <w:pPr>
        <w:spacing w:line="360" w:lineRule="exact"/>
        <w:ind w:firstLine="413" w:firstLineChars="147"/>
        <w:rPr>
          <w:rFonts w:hint="eastAsia"/>
          <w:b/>
          <w:color w:val="auto"/>
          <w:sz w:val="28"/>
          <w:szCs w:val="28"/>
          <w:highlight w:val="none"/>
          <w:u w:val="single"/>
        </w:rPr>
      </w:pPr>
    </w:p>
    <w:p w14:paraId="320D5B50">
      <w:pPr>
        <w:spacing w:line="360" w:lineRule="exact"/>
        <w:ind w:firstLine="413" w:firstLineChars="147"/>
        <w:rPr>
          <w:rFonts w:hint="eastAsia"/>
          <w:b/>
          <w:color w:val="auto"/>
          <w:sz w:val="28"/>
          <w:szCs w:val="28"/>
          <w:highlight w:val="none"/>
          <w:u w:val="single"/>
        </w:rPr>
      </w:pPr>
    </w:p>
    <w:p w14:paraId="5AAE952D">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3687ADB9">
      <w:pPr>
        <w:spacing w:line="360" w:lineRule="auto"/>
        <w:jc w:val="center"/>
        <w:rPr>
          <w:rFonts w:hint="eastAsia"/>
          <w:b/>
          <w:color w:val="auto"/>
          <w:sz w:val="28"/>
          <w:szCs w:val="28"/>
          <w:highlight w:val="none"/>
        </w:rPr>
      </w:pPr>
      <w:bookmarkStart w:id="811" w:name="_Toc440443268"/>
      <w:bookmarkStart w:id="812" w:name="_Toc449028950"/>
      <w:r>
        <w:rPr>
          <w:rFonts w:hint="eastAsia"/>
          <w:b/>
          <w:color w:val="auto"/>
          <w:sz w:val="28"/>
          <w:szCs w:val="28"/>
          <w:highlight w:val="none"/>
        </w:rPr>
        <w:t>诚信投标承诺书 </w:t>
      </w:r>
    </w:p>
    <w:p w14:paraId="38DBFAA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C41F20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1B0E1DF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9A471C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435F1F0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0833004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7C41BD1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法定代表人没有下列情形：①被列入“信用中国”网站“失信被执行人”的；②被列入“信用中国”网站“重大税收违法失信主体”的；③被列入“信用中国”网站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CBC76A9">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3AE64BD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4953883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37BC34C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2052C1D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0FA6B82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254479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6463D4C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168C754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172CCA8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20128169">
      <w:pPr>
        <w:spacing w:line="500" w:lineRule="exact"/>
        <w:ind w:firstLine="420" w:firstLineChars="200"/>
        <w:rPr>
          <w:rFonts w:hint="eastAsia" w:ascii="宋体" w:hAnsi="宋体"/>
          <w:color w:val="auto"/>
          <w:szCs w:val="21"/>
          <w:highlight w:val="none"/>
        </w:rPr>
      </w:pPr>
    </w:p>
    <w:p w14:paraId="6F6C56C6">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0C2CD6E6">
      <w:pPr>
        <w:spacing w:line="360" w:lineRule="auto"/>
        <w:jc w:val="center"/>
        <w:rPr>
          <w:rFonts w:hint="eastAsia"/>
          <w:b/>
          <w:color w:val="auto"/>
          <w:sz w:val="28"/>
          <w:szCs w:val="28"/>
          <w:highlight w:val="none"/>
        </w:rPr>
      </w:pPr>
    </w:p>
    <w:p w14:paraId="34061BFC">
      <w:pPr>
        <w:spacing w:line="360" w:lineRule="exact"/>
        <w:ind w:firstLine="443" w:firstLineChars="147"/>
        <w:rPr>
          <w:rFonts w:hint="eastAsia" w:ascii="宋体"/>
          <w:b/>
          <w:color w:val="auto"/>
          <w:sz w:val="30"/>
          <w:szCs w:val="30"/>
          <w:highlight w:val="none"/>
        </w:rPr>
      </w:pPr>
    </w:p>
    <w:p w14:paraId="4C695D73">
      <w:pPr>
        <w:spacing w:line="360" w:lineRule="exact"/>
        <w:ind w:firstLine="443" w:firstLineChars="147"/>
        <w:rPr>
          <w:rFonts w:hint="eastAsia" w:ascii="宋体"/>
          <w:b/>
          <w:color w:val="auto"/>
          <w:sz w:val="30"/>
          <w:szCs w:val="30"/>
          <w:highlight w:val="none"/>
        </w:rPr>
      </w:pPr>
    </w:p>
    <w:p w14:paraId="0C70EB2D">
      <w:pPr>
        <w:spacing w:line="360" w:lineRule="exact"/>
        <w:ind w:firstLine="443" w:firstLineChars="147"/>
        <w:rPr>
          <w:rFonts w:hint="eastAsia" w:ascii="宋体"/>
          <w:b/>
          <w:color w:val="auto"/>
          <w:sz w:val="30"/>
          <w:szCs w:val="30"/>
          <w:highlight w:val="none"/>
        </w:rPr>
      </w:pPr>
    </w:p>
    <w:p w14:paraId="633888E3">
      <w:pPr>
        <w:spacing w:line="360" w:lineRule="exact"/>
        <w:ind w:firstLine="443" w:firstLineChars="147"/>
        <w:rPr>
          <w:rFonts w:hint="eastAsia" w:ascii="宋体"/>
          <w:b/>
          <w:color w:val="auto"/>
          <w:sz w:val="30"/>
          <w:szCs w:val="30"/>
          <w:highlight w:val="none"/>
        </w:rPr>
      </w:pPr>
    </w:p>
    <w:p w14:paraId="233A1A01">
      <w:pPr>
        <w:spacing w:line="360" w:lineRule="exact"/>
        <w:ind w:firstLine="443" w:firstLineChars="147"/>
        <w:rPr>
          <w:rFonts w:hint="eastAsia" w:ascii="宋体"/>
          <w:b/>
          <w:color w:val="auto"/>
          <w:sz w:val="30"/>
          <w:szCs w:val="30"/>
          <w:highlight w:val="none"/>
        </w:rPr>
      </w:pPr>
    </w:p>
    <w:p w14:paraId="55C52480">
      <w:pPr>
        <w:spacing w:line="360" w:lineRule="exact"/>
        <w:ind w:firstLine="443" w:firstLineChars="147"/>
        <w:rPr>
          <w:rFonts w:hint="eastAsia" w:ascii="宋体"/>
          <w:b/>
          <w:color w:val="auto"/>
          <w:sz w:val="30"/>
          <w:szCs w:val="30"/>
          <w:highlight w:val="none"/>
        </w:rPr>
      </w:pPr>
    </w:p>
    <w:p w14:paraId="25D1E769">
      <w:pPr>
        <w:spacing w:line="360" w:lineRule="exact"/>
        <w:ind w:firstLine="443" w:firstLineChars="147"/>
        <w:rPr>
          <w:rFonts w:hint="eastAsia" w:ascii="宋体"/>
          <w:b/>
          <w:color w:val="auto"/>
          <w:sz w:val="30"/>
          <w:szCs w:val="30"/>
          <w:highlight w:val="none"/>
        </w:rPr>
      </w:pPr>
    </w:p>
    <w:p w14:paraId="47FAF2DF">
      <w:pPr>
        <w:spacing w:line="360" w:lineRule="exact"/>
        <w:ind w:firstLine="443" w:firstLineChars="147"/>
        <w:rPr>
          <w:rFonts w:hint="eastAsia" w:ascii="宋体"/>
          <w:b/>
          <w:color w:val="auto"/>
          <w:sz w:val="30"/>
          <w:szCs w:val="30"/>
          <w:highlight w:val="none"/>
        </w:rPr>
      </w:pPr>
    </w:p>
    <w:p w14:paraId="0DC5DA44">
      <w:pPr>
        <w:rPr>
          <w:rFonts w:hint="eastAsia" w:ascii="宋体"/>
          <w:b/>
          <w:color w:val="auto"/>
          <w:sz w:val="44"/>
          <w:szCs w:val="44"/>
          <w:highlight w:val="none"/>
          <w:lang w:val="en-US" w:eastAsia="zh-CN"/>
        </w:rPr>
      </w:pPr>
      <w:r>
        <w:rPr>
          <w:rFonts w:hint="eastAsia" w:ascii="宋体"/>
          <w:b/>
          <w:color w:val="auto"/>
          <w:sz w:val="44"/>
          <w:szCs w:val="44"/>
          <w:highlight w:val="none"/>
          <w:lang w:val="en-US" w:eastAsia="zh-CN"/>
        </w:rPr>
        <w:br w:type="page"/>
      </w:r>
    </w:p>
    <w:p w14:paraId="0DE7F349">
      <w:pPr>
        <w:spacing w:line="360" w:lineRule="exact"/>
        <w:rPr>
          <w:rFonts w:hint="eastAsia" w:ascii="宋体"/>
          <w:b/>
          <w:color w:val="auto"/>
          <w:sz w:val="30"/>
          <w:szCs w:val="30"/>
          <w:highlight w:val="none"/>
        </w:rPr>
      </w:pPr>
    </w:p>
    <w:bookmarkEnd w:id="811"/>
    <w:bookmarkEnd w:id="812"/>
    <w:p w14:paraId="0FE7A695">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36CC0A0E">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08046785">
      <w:pPr>
        <w:ind w:firstLine="480" w:firstLineChars="200"/>
        <w:rPr>
          <w:rFonts w:hint="eastAsia" w:ascii="宋体"/>
          <w:color w:val="auto"/>
          <w:sz w:val="24"/>
          <w:highlight w:val="none"/>
        </w:rPr>
      </w:pPr>
    </w:p>
    <w:p w14:paraId="0E8D41DA">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722DFF7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6F8B40A5">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49537BBA">
      <w:pPr>
        <w:spacing w:line="600" w:lineRule="exact"/>
        <w:rPr>
          <w:rFonts w:hint="eastAsia" w:ascii="宋体"/>
          <w:color w:val="auto"/>
          <w:sz w:val="24"/>
          <w:highlight w:val="none"/>
        </w:rPr>
      </w:pPr>
      <w:r>
        <w:rPr>
          <w:rFonts w:hint="eastAsia" w:ascii="宋体"/>
          <w:color w:val="auto"/>
          <w:sz w:val="24"/>
          <w:highlight w:val="none"/>
        </w:rPr>
        <w:t> </w:t>
      </w:r>
    </w:p>
    <w:p w14:paraId="7BDCA47E">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4C007AF">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30F625F5">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54259B81">
      <w:pPr>
        <w:pStyle w:val="13"/>
        <w:rPr>
          <w:color w:val="auto"/>
          <w:highlight w:val="none"/>
        </w:rPr>
      </w:pPr>
    </w:p>
    <w:p w14:paraId="6E5FD4E1">
      <w:pPr>
        <w:spacing w:line="400" w:lineRule="exact"/>
        <w:ind w:firstLine="562" w:firstLineChars="200"/>
        <w:rPr>
          <w:rFonts w:hint="eastAsia"/>
          <w:b/>
          <w:color w:val="auto"/>
          <w:sz w:val="28"/>
          <w:szCs w:val="28"/>
          <w:highlight w:val="none"/>
        </w:rPr>
      </w:pPr>
    </w:p>
    <w:p w14:paraId="1B8989FD">
      <w:pPr>
        <w:spacing w:line="400" w:lineRule="exact"/>
        <w:ind w:firstLine="562" w:firstLineChars="200"/>
        <w:rPr>
          <w:rFonts w:hint="eastAsia"/>
          <w:b/>
          <w:color w:val="auto"/>
          <w:sz w:val="28"/>
          <w:szCs w:val="28"/>
          <w:highlight w:val="none"/>
        </w:rPr>
      </w:pPr>
    </w:p>
    <w:p w14:paraId="5E643BD7">
      <w:pPr>
        <w:spacing w:line="400" w:lineRule="exact"/>
        <w:ind w:firstLine="562" w:firstLineChars="200"/>
        <w:rPr>
          <w:rFonts w:hint="eastAsia"/>
          <w:b/>
          <w:color w:val="auto"/>
          <w:sz w:val="28"/>
          <w:szCs w:val="28"/>
          <w:highlight w:val="none"/>
        </w:rPr>
      </w:pPr>
    </w:p>
    <w:p w14:paraId="48730C94">
      <w:pPr>
        <w:spacing w:line="400" w:lineRule="exact"/>
        <w:ind w:firstLine="562" w:firstLineChars="200"/>
        <w:rPr>
          <w:rFonts w:hint="eastAsia"/>
          <w:b/>
          <w:color w:val="auto"/>
          <w:sz w:val="28"/>
          <w:szCs w:val="28"/>
          <w:highlight w:val="none"/>
        </w:rPr>
      </w:pPr>
    </w:p>
    <w:p w14:paraId="6A94DA05">
      <w:pPr>
        <w:spacing w:line="400" w:lineRule="exact"/>
        <w:ind w:firstLine="562" w:firstLineChars="200"/>
        <w:rPr>
          <w:rFonts w:hint="eastAsia"/>
          <w:b/>
          <w:color w:val="auto"/>
          <w:sz w:val="28"/>
          <w:szCs w:val="28"/>
          <w:highlight w:val="none"/>
        </w:rPr>
      </w:pPr>
    </w:p>
    <w:p w14:paraId="23CC1D1E">
      <w:pPr>
        <w:spacing w:line="400" w:lineRule="exact"/>
        <w:ind w:firstLine="562" w:firstLineChars="200"/>
        <w:rPr>
          <w:rFonts w:hint="eastAsia"/>
          <w:b/>
          <w:color w:val="auto"/>
          <w:sz w:val="28"/>
          <w:szCs w:val="28"/>
          <w:highlight w:val="none"/>
        </w:rPr>
      </w:pPr>
    </w:p>
    <w:p w14:paraId="20BFA455">
      <w:pPr>
        <w:spacing w:line="400" w:lineRule="exact"/>
        <w:ind w:firstLine="562" w:firstLineChars="200"/>
        <w:rPr>
          <w:rFonts w:hint="eastAsia"/>
          <w:b/>
          <w:color w:val="auto"/>
          <w:sz w:val="28"/>
          <w:szCs w:val="28"/>
          <w:highlight w:val="none"/>
        </w:rPr>
      </w:pPr>
    </w:p>
    <w:p w14:paraId="33AD660A">
      <w:pPr>
        <w:spacing w:line="400" w:lineRule="exact"/>
        <w:ind w:firstLine="562" w:firstLineChars="200"/>
        <w:rPr>
          <w:rFonts w:hint="eastAsia"/>
          <w:b/>
          <w:color w:val="auto"/>
          <w:sz w:val="28"/>
          <w:szCs w:val="28"/>
          <w:highlight w:val="none"/>
        </w:rPr>
      </w:pPr>
    </w:p>
    <w:p w14:paraId="7FC15F33">
      <w:pPr>
        <w:spacing w:line="400" w:lineRule="exact"/>
        <w:rPr>
          <w:b/>
          <w:color w:val="auto"/>
          <w:sz w:val="28"/>
          <w:szCs w:val="28"/>
          <w:highlight w:val="none"/>
        </w:rPr>
      </w:pPr>
    </w:p>
    <w:p w14:paraId="232AB525">
      <w:pPr>
        <w:pStyle w:val="36"/>
        <w:rPr>
          <w:color w:val="auto"/>
          <w:highlight w:val="none"/>
        </w:rPr>
      </w:pPr>
    </w:p>
    <w:p w14:paraId="730E5FF5">
      <w:pPr>
        <w:spacing w:line="400" w:lineRule="exact"/>
        <w:ind w:firstLine="562" w:firstLineChars="200"/>
        <w:rPr>
          <w:rFonts w:hint="eastAsia"/>
          <w:b/>
          <w:color w:val="auto"/>
          <w:sz w:val="28"/>
          <w:szCs w:val="28"/>
          <w:highlight w:val="none"/>
        </w:rPr>
      </w:pPr>
    </w:p>
    <w:p w14:paraId="54543BC4">
      <w:pPr>
        <w:spacing w:line="440" w:lineRule="exact"/>
        <w:ind w:left="420"/>
        <w:rPr>
          <w:rFonts w:hint="eastAsia" w:ascii="宋体" w:eastAsia="宋体"/>
          <w:color w:val="auto"/>
          <w:szCs w:val="21"/>
          <w:highlight w:val="none"/>
        </w:rPr>
      </w:pPr>
    </w:p>
    <w:p w14:paraId="4C31D9B3">
      <w:pPr>
        <w:spacing w:line="360" w:lineRule="exact"/>
        <w:ind w:firstLine="443" w:firstLineChars="147"/>
        <w:rPr>
          <w:rFonts w:hint="eastAsia" w:ascii="宋体" w:hAnsi="宋体"/>
          <w:b/>
          <w:color w:val="auto"/>
          <w:sz w:val="30"/>
          <w:szCs w:val="30"/>
          <w:highlight w:val="none"/>
        </w:rPr>
      </w:pPr>
    </w:p>
    <w:p w14:paraId="7789CC4C">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18DC1BBA">
      <w:pPr>
        <w:spacing w:line="360" w:lineRule="exact"/>
        <w:ind w:firstLine="443" w:firstLineChars="147"/>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147FAA0F">
      <w:pPr>
        <w:spacing w:line="360" w:lineRule="exact"/>
        <w:ind w:firstLine="472" w:firstLineChars="147"/>
        <w:jc w:val="center"/>
        <w:rPr>
          <w:rFonts w:hint="eastAsia" w:ascii="宋体"/>
          <w:b/>
          <w:color w:val="auto"/>
          <w:sz w:val="32"/>
          <w:szCs w:val="32"/>
          <w:highlight w:val="none"/>
        </w:rPr>
      </w:pPr>
    </w:p>
    <w:p w14:paraId="0A6E3B8C">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2190EFEB">
      <w:pPr>
        <w:spacing w:line="360" w:lineRule="exact"/>
        <w:ind w:firstLine="354" w:firstLineChars="147"/>
        <w:rPr>
          <w:rFonts w:hint="eastAsia" w:ascii="宋体"/>
          <w:b/>
          <w:color w:val="auto"/>
          <w:sz w:val="24"/>
          <w:highlight w:val="none"/>
        </w:rPr>
      </w:pPr>
    </w:p>
    <w:p w14:paraId="5BA37522">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p w14:paraId="5A9EF6D0">
      <w:pPr>
        <w:snapToGrid w:val="0"/>
        <w:spacing w:line="460" w:lineRule="exact"/>
        <w:ind w:left="2940" w:leftChars="1400" w:firstLine="720" w:firstLineChars="300"/>
        <w:rPr>
          <w:rFonts w:hint="eastAsia" w:ascii="宋体"/>
          <w:color w:val="auto"/>
          <w:sz w:val="24"/>
          <w:highlight w:val="none"/>
        </w:rPr>
      </w:pP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410D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14:paraId="618A082F">
            <w:pPr>
              <w:spacing w:line="46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00413867">
            <w:pPr>
              <w:spacing w:line="360" w:lineRule="auto"/>
              <w:jc w:val="left"/>
              <w:rPr>
                <w:rFonts w:hint="eastAsia"/>
                <w:color w:val="auto"/>
                <w:sz w:val="24"/>
                <w:highlight w:val="none"/>
              </w:rPr>
            </w:pPr>
            <w:r>
              <w:rPr>
                <w:rFonts w:hint="eastAsia"/>
                <w:color w:val="auto"/>
                <w:sz w:val="24"/>
                <w:highlight w:val="none"/>
              </w:rPr>
              <w:t xml:space="preserve">         </w:t>
            </w:r>
          </w:p>
        </w:tc>
      </w:tr>
      <w:tr w14:paraId="2201D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13D425F1">
            <w:pPr>
              <w:spacing w:line="46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4D77DB8B">
            <w:pPr>
              <w:rPr>
                <w:rFonts w:hint="eastAsia" w:ascii="宋体"/>
                <w:color w:val="auto"/>
                <w:sz w:val="24"/>
                <w:highlight w:val="none"/>
              </w:rPr>
            </w:pPr>
          </w:p>
        </w:tc>
      </w:tr>
      <w:tr w14:paraId="25D68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383E7910">
            <w:pPr>
              <w:spacing w:line="46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0550CB9E">
            <w:pPr>
              <w:pStyle w:val="19"/>
              <w:spacing w:line="460" w:lineRule="exact"/>
              <w:ind w:left="86" w:leftChars="41"/>
              <w:rPr>
                <w:rFonts w:hint="eastAsia" w:ascii="宋体" w:eastAsia="宋体"/>
                <w:color w:val="auto"/>
                <w:sz w:val="24"/>
                <w:szCs w:val="24"/>
                <w:highlight w:val="none"/>
              </w:rPr>
            </w:pPr>
          </w:p>
        </w:tc>
      </w:tr>
      <w:tr w14:paraId="140C0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14:paraId="76934E2F">
            <w:pPr>
              <w:spacing w:line="360" w:lineRule="auto"/>
              <w:jc w:val="center"/>
              <w:rPr>
                <w:rFonts w:ascii="宋体"/>
                <w:color w:val="auto"/>
                <w:sz w:val="24"/>
                <w:highlight w:val="none"/>
              </w:rPr>
            </w:pPr>
            <w:r>
              <w:rPr>
                <w:rFonts w:hint="eastAsia" w:ascii="宋体"/>
                <w:color w:val="auto"/>
                <w:sz w:val="24"/>
                <w:highlight w:val="none"/>
              </w:rPr>
              <w:t>总投标价\</w:t>
            </w:r>
            <w:r>
              <w:rPr>
                <w:rFonts w:hint="eastAsia" w:ascii="宋体"/>
                <w:color w:val="auto"/>
                <w:sz w:val="24"/>
                <w:highlight w:val="none"/>
                <w:lang w:val="en-US" w:eastAsia="zh-CN"/>
              </w:rPr>
              <w:t>服务</w:t>
            </w:r>
            <w:r>
              <w:rPr>
                <w:rFonts w:hint="eastAsia" w:ascii="宋体"/>
                <w:color w:val="auto"/>
                <w:sz w:val="24"/>
                <w:highlight w:val="none"/>
              </w:rPr>
              <w:t>期</w:t>
            </w:r>
          </w:p>
        </w:tc>
        <w:tc>
          <w:tcPr>
            <w:tcW w:w="6952" w:type="dxa"/>
            <w:tcBorders>
              <w:left w:val="single" w:color="auto" w:sz="12" w:space="0"/>
            </w:tcBorders>
            <w:noWrap w:val="0"/>
            <w:vAlign w:val="center"/>
          </w:tcPr>
          <w:p w14:paraId="3412B3AA">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一年</w:t>
            </w:r>
            <w:r>
              <w:rPr>
                <w:rFonts w:hint="eastAsia" w:ascii="宋体"/>
                <w:color w:val="auto"/>
                <w:sz w:val="24"/>
                <w:highlight w:val="none"/>
              </w:rPr>
              <w:t>；</w:t>
            </w:r>
          </w:p>
          <w:p w14:paraId="3F3B617A">
            <w:pPr>
              <w:keepNext w:val="0"/>
              <w:keepLines w:val="0"/>
              <w:pageBreakBefore w:val="0"/>
              <w:widowControl w:val="0"/>
              <w:kinsoku/>
              <w:wordWrap/>
              <w:overflowPunct/>
              <w:topLinePunct w:val="0"/>
              <w:autoSpaceDE/>
              <w:autoSpaceDN/>
              <w:bidi w:val="0"/>
              <w:adjustRightInd/>
              <w:snapToGrid/>
              <w:spacing w:line="900" w:lineRule="exact"/>
              <w:ind w:firstLine="1200" w:firstLineChars="500"/>
              <w:textAlignment w:val="auto"/>
              <w:rPr>
                <w:rFonts w:hint="eastAsia"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元/年</w:t>
            </w:r>
            <w:r>
              <w:rPr>
                <w:rFonts w:hint="eastAsia" w:ascii="宋体"/>
                <w:color w:val="auto"/>
                <w:sz w:val="24"/>
                <w:highlight w:val="none"/>
                <w:u w:val="single"/>
              </w:rPr>
              <w:t xml:space="preserve">   </w:t>
            </w:r>
            <w:r>
              <w:rPr>
                <w:rFonts w:hint="eastAsia" w:ascii="宋体"/>
                <w:color w:val="auto"/>
                <w:sz w:val="24"/>
                <w:highlight w:val="none"/>
              </w:rPr>
              <w:t>；</w:t>
            </w:r>
          </w:p>
          <w:p w14:paraId="40820443">
            <w:pPr>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color w:val="auto"/>
                <w:sz w:val="24"/>
                <w:highlight w:val="none"/>
                <w:lang w:val="en-US"/>
              </w:rPr>
            </w:pPr>
            <w:r>
              <w:rPr>
                <w:rFonts w:hint="eastAsia" w:ascii="宋体"/>
                <w:color w:val="auto"/>
                <w:sz w:val="24"/>
                <w:highlight w:val="none"/>
                <w:lang w:val="en-US" w:eastAsia="zh-CN"/>
              </w:rPr>
              <w:t>服务期</w:t>
            </w:r>
            <w:r>
              <w:rPr>
                <w:rFonts w:hint="eastAsia" w:ascii="宋体"/>
                <w:color w:val="auto"/>
                <w:sz w:val="24"/>
                <w:highlight w:val="none"/>
              </w:rPr>
              <w:t>：</w:t>
            </w:r>
            <w:r>
              <w:rPr>
                <w:rFonts w:hint="eastAsia" w:ascii="宋体"/>
                <w:color w:val="auto"/>
                <w:sz w:val="24"/>
                <w:highlight w:val="none"/>
                <w:lang w:val="en-US" w:eastAsia="zh-CN"/>
              </w:rPr>
              <w:t>两年，中标方需在7月31前完成开通线路，电话。完成调试并联网运行。不得另收其他费用</w:t>
            </w:r>
          </w:p>
        </w:tc>
      </w:tr>
    </w:tbl>
    <w:p w14:paraId="7C3E7193">
      <w:pPr>
        <w:snapToGrid w:val="0"/>
        <w:spacing w:line="460" w:lineRule="exact"/>
        <w:ind w:left="2940" w:leftChars="1400" w:firstLine="723" w:firstLineChars="300"/>
        <w:rPr>
          <w:rFonts w:hint="eastAsia" w:ascii="宋体"/>
          <w:b/>
          <w:color w:val="auto"/>
          <w:sz w:val="24"/>
          <w:highlight w:val="none"/>
        </w:rPr>
      </w:pPr>
    </w:p>
    <w:p w14:paraId="4B1413CB">
      <w:pPr>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val="en-US" w:eastAsia="zh-CN"/>
        </w:rPr>
        <w:t>盖章</w:t>
      </w:r>
      <w:r>
        <w:rPr>
          <w:rFonts w:hint="eastAsia" w:ascii="宋体"/>
          <w:color w:val="auto"/>
          <w:sz w:val="24"/>
          <w:highlight w:val="none"/>
        </w:rPr>
        <w:t>）：         投标人（盖单位章）：</w:t>
      </w:r>
    </w:p>
    <w:p w14:paraId="4026C82E">
      <w:pPr>
        <w:snapToGrid w:val="0"/>
        <w:spacing w:before="312" w:beforeLines="100" w:after="312" w:afterLines="100" w:line="360" w:lineRule="auto"/>
        <w:jc w:val="center"/>
        <w:rPr>
          <w:rFonts w:cs="Arial"/>
          <w:b/>
          <w:bCs/>
          <w:color w:val="auto"/>
          <w:sz w:val="30"/>
          <w:szCs w:val="30"/>
          <w:highlight w:val="none"/>
        </w:rPr>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52294B36">
      <w:pPr>
        <w:spacing w:line="360" w:lineRule="exact"/>
        <w:ind w:firstLine="443" w:firstLineChars="147"/>
        <w:rPr>
          <w:rFonts w:hint="eastAsia" w:ascii="宋体"/>
          <w:b/>
          <w:color w:val="auto"/>
          <w:sz w:val="30"/>
          <w:szCs w:val="30"/>
          <w:highlight w:val="none"/>
        </w:rPr>
      </w:pPr>
    </w:p>
    <w:p w14:paraId="4180B15E">
      <w:pPr>
        <w:spacing w:line="360" w:lineRule="exact"/>
        <w:ind w:firstLine="443" w:firstLineChars="147"/>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5</w:t>
      </w:r>
    </w:p>
    <w:p w14:paraId="3567F8A3">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06F2CFD5">
      <w:pPr>
        <w:spacing w:line="440" w:lineRule="exact"/>
        <w:rPr>
          <w:rFonts w:hint="eastAsia" w:ascii="宋体"/>
          <w:color w:val="auto"/>
          <w:sz w:val="24"/>
          <w:highlight w:val="none"/>
        </w:rPr>
      </w:pPr>
    </w:p>
    <w:p w14:paraId="0B2ECF28">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标包”的采购。我方授权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6602ADE9">
      <w:pPr>
        <w:spacing w:line="440" w:lineRule="exact"/>
        <w:ind w:firstLine="480" w:firstLineChars="200"/>
        <w:rPr>
          <w:rFonts w:hint="eastAsia" w:ascii="宋体" w:hAnsi="宋体" w:cs="宋体"/>
          <w:b/>
          <w:bCs/>
          <w:color w:val="auto"/>
          <w:kern w:val="0"/>
          <w:sz w:val="24"/>
          <w:szCs w:val="24"/>
          <w:highlight w:val="none"/>
          <w:u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）”项目的货物与服务，总投标价为人民币（大写）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eastAsia="宋体" w:cs="宋体"/>
          <w:b/>
          <w:bCs/>
          <w:color w:val="auto"/>
          <w:kern w:val="0"/>
          <w:sz w:val="24"/>
          <w:szCs w:val="24"/>
          <w:highlight w:val="none"/>
          <w:u w:val="none"/>
          <w:lang w:val="en-US" w:eastAsia="zh-CN"/>
        </w:rPr>
        <w:t>开具增值税</w:t>
      </w:r>
      <w:r>
        <w:rPr>
          <w:rFonts w:hint="eastAsia" w:ascii="宋体" w:hAnsi="宋体" w:eastAsia="宋体" w:cs="宋体"/>
          <w:b/>
          <w:bCs/>
          <w:color w:val="auto"/>
          <w:kern w:val="0"/>
          <w:sz w:val="24"/>
          <w:szCs w:val="24"/>
          <w:highlight w:val="none"/>
          <w:u w:val="single"/>
          <w:lang w:val="en-US" w:eastAsia="zh-CN"/>
        </w:rPr>
        <w:t>专用</w:t>
      </w:r>
      <w:r>
        <w:rPr>
          <w:rFonts w:hint="eastAsia" w:ascii="宋体" w:hAnsi="宋体" w:eastAsia="宋体" w:cs="宋体"/>
          <w:b/>
          <w:bCs/>
          <w:color w:val="auto"/>
          <w:kern w:val="0"/>
          <w:sz w:val="24"/>
          <w:szCs w:val="24"/>
          <w:highlight w:val="none"/>
          <w:u w:val="none"/>
          <w:lang w:val="en-US" w:eastAsia="zh-CN"/>
        </w:rPr>
        <w:t>发票，税率为</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none"/>
          <w:lang w:val="en-US" w:eastAsia="zh-CN"/>
        </w:rPr>
        <w:t>%。</w:t>
      </w:r>
      <w:r>
        <w:rPr>
          <w:rFonts w:hint="eastAsia" w:ascii="宋体" w:hAnsi="宋体" w:cs="宋体"/>
          <w:b/>
          <w:bCs/>
          <w:color w:val="auto"/>
          <w:kern w:val="0"/>
          <w:sz w:val="24"/>
          <w:szCs w:val="24"/>
          <w:highlight w:val="none"/>
          <w:u w:val="none"/>
          <w:lang w:val="en-US" w:eastAsia="zh-CN"/>
        </w:rPr>
        <w:t xml:space="preserve">    </w:t>
      </w:r>
    </w:p>
    <w:p w14:paraId="1FB170EC">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44DC56AB">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DD2C2F0">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0544EC27">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7BA4CB32">
      <w:pPr>
        <w:spacing w:line="440" w:lineRule="exact"/>
        <w:rPr>
          <w:rFonts w:hint="eastAsia" w:ascii="宋体"/>
          <w:color w:val="auto"/>
          <w:sz w:val="24"/>
          <w:highlight w:val="none"/>
        </w:rPr>
      </w:pPr>
      <w:r>
        <w:rPr>
          <w:rFonts w:hint="eastAsia" w:ascii="宋体"/>
          <w:color w:val="auto"/>
          <w:sz w:val="24"/>
          <w:highlight w:val="none"/>
        </w:rPr>
        <w:t> </w:t>
      </w:r>
    </w:p>
    <w:p w14:paraId="4AC659A6">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632D7558">
      <w:pPr>
        <w:spacing w:line="440" w:lineRule="exact"/>
        <w:jc w:val="right"/>
        <w:rPr>
          <w:rFonts w:hint="eastAsia" w:ascii="宋体"/>
          <w:color w:val="auto"/>
          <w:sz w:val="24"/>
          <w:highlight w:val="none"/>
        </w:rPr>
      </w:pPr>
    </w:p>
    <w:p w14:paraId="579030C0">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475146FB">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3C91CA62">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14734FB3">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09834786">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2F34040B">
      <w:pPr>
        <w:spacing w:line="360" w:lineRule="exact"/>
        <w:ind w:firstLine="443" w:firstLineChars="147"/>
        <w:rPr>
          <w:rFonts w:hint="eastAsia" w:ascii="宋体" w:hAnsi="宋体"/>
          <w:b/>
          <w:color w:val="auto"/>
          <w:sz w:val="30"/>
          <w:szCs w:val="30"/>
          <w:highlight w:val="none"/>
        </w:rPr>
      </w:pPr>
    </w:p>
    <w:p w14:paraId="43CC3121">
      <w:pPr>
        <w:spacing w:line="360" w:lineRule="exact"/>
        <w:ind w:firstLine="443" w:firstLineChars="147"/>
        <w:rPr>
          <w:rFonts w:hint="eastAsia" w:ascii="宋体" w:hAnsi="宋体"/>
          <w:b/>
          <w:color w:val="auto"/>
          <w:sz w:val="30"/>
          <w:szCs w:val="30"/>
          <w:highlight w:val="none"/>
        </w:rPr>
      </w:pPr>
    </w:p>
    <w:p w14:paraId="340441FA">
      <w:pPr>
        <w:spacing w:line="360" w:lineRule="exact"/>
        <w:ind w:firstLine="443" w:firstLineChars="147"/>
        <w:rPr>
          <w:rFonts w:hint="eastAsia" w:ascii="宋体" w:hAnsi="宋体"/>
          <w:b/>
          <w:color w:val="auto"/>
          <w:sz w:val="30"/>
          <w:szCs w:val="30"/>
          <w:highlight w:val="none"/>
        </w:rPr>
      </w:pPr>
    </w:p>
    <w:p w14:paraId="0E74EC86">
      <w:pPr>
        <w:spacing w:line="360" w:lineRule="exact"/>
        <w:ind w:firstLine="443" w:firstLineChars="147"/>
        <w:rPr>
          <w:rFonts w:hint="eastAsia" w:ascii="宋体" w:hAnsi="宋体"/>
          <w:b/>
          <w:color w:val="auto"/>
          <w:sz w:val="30"/>
          <w:szCs w:val="30"/>
          <w:highlight w:val="none"/>
        </w:rPr>
      </w:pPr>
    </w:p>
    <w:p w14:paraId="2EAB56CA">
      <w:pPr>
        <w:spacing w:line="360" w:lineRule="exact"/>
        <w:ind w:firstLine="443" w:firstLineChars="147"/>
        <w:rPr>
          <w:rFonts w:hint="eastAsia" w:ascii="宋体" w:hAnsi="宋体"/>
          <w:b/>
          <w:color w:val="auto"/>
          <w:sz w:val="30"/>
          <w:szCs w:val="30"/>
          <w:highlight w:val="none"/>
        </w:rPr>
      </w:pPr>
    </w:p>
    <w:p w14:paraId="04DB5AFD">
      <w:pPr>
        <w:spacing w:line="360" w:lineRule="exact"/>
        <w:ind w:firstLine="443" w:firstLineChars="147"/>
        <w:rPr>
          <w:rFonts w:hint="eastAsia" w:ascii="宋体" w:hAnsi="宋体"/>
          <w:b/>
          <w:color w:val="auto"/>
          <w:sz w:val="30"/>
          <w:szCs w:val="30"/>
          <w:highlight w:val="none"/>
        </w:rPr>
      </w:pPr>
    </w:p>
    <w:p w14:paraId="760716D4">
      <w:pPr>
        <w:spacing w:line="360" w:lineRule="exact"/>
        <w:ind w:firstLine="443" w:firstLineChars="147"/>
        <w:rPr>
          <w:rFonts w:hint="eastAsia" w:ascii="宋体" w:hAnsi="宋体"/>
          <w:b/>
          <w:color w:val="auto"/>
          <w:sz w:val="30"/>
          <w:szCs w:val="30"/>
          <w:highlight w:val="none"/>
        </w:rPr>
      </w:pPr>
    </w:p>
    <w:p w14:paraId="1F7FA614">
      <w:pPr>
        <w:spacing w:line="360" w:lineRule="exact"/>
        <w:ind w:firstLine="443" w:firstLineChars="147"/>
        <w:rPr>
          <w:rFonts w:hint="eastAsia" w:ascii="宋体" w:hAnsi="宋体"/>
          <w:b/>
          <w:color w:val="auto"/>
          <w:sz w:val="30"/>
          <w:szCs w:val="30"/>
          <w:highlight w:val="none"/>
        </w:rPr>
      </w:pPr>
    </w:p>
    <w:p w14:paraId="14F02E71">
      <w:pPr>
        <w:spacing w:line="360" w:lineRule="exact"/>
        <w:ind w:firstLine="443" w:firstLineChars="147"/>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6</w:t>
      </w:r>
    </w:p>
    <w:p w14:paraId="592F788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36"/>
          <w:szCs w:val="36"/>
          <w:highlight w:val="none"/>
        </w:rPr>
        <w:t>分项报价清单</w:t>
      </w:r>
    </w:p>
    <w:tbl>
      <w:tblPr>
        <w:tblStyle w:val="37"/>
        <w:tblW w:w="9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906"/>
        <w:gridCol w:w="1063"/>
        <w:gridCol w:w="1075"/>
        <w:gridCol w:w="1059"/>
        <w:gridCol w:w="1063"/>
      </w:tblGrid>
      <w:tr w14:paraId="11DAD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643" w:type="dxa"/>
            <w:noWrap w:val="0"/>
            <w:vAlign w:val="center"/>
          </w:tcPr>
          <w:p w14:paraId="6F355468">
            <w:pPr>
              <w:spacing w:line="30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序号</w:t>
            </w:r>
          </w:p>
        </w:tc>
        <w:tc>
          <w:tcPr>
            <w:tcW w:w="2038" w:type="dxa"/>
            <w:tcBorders>
              <w:right w:val="single" w:color="auto" w:sz="4" w:space="0"/>
            </w:tcBorders>
            <w:noWrap w:val="0"/>
            <w:vAlign w:val="center"/>
          </w:tcPr>
          <w:p w14:paraId="33BB1035">
            <w:pPr>
              <w:spacing w:line="30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名称</w:t>
            </w:r>
          </w:p>
        </w:tc>
        <w:tc>
          <w:tcPr>
            <w:tcW w:w="1242" w:type="dxa"/>
            <w:tcBorders>
              <w:left w:val="single" w:color="auto" w:sz="4" w:space="0"/>
            </w:tcBorders>
            <w:noWrap w:val="0"/>
            <w:vAlign w:val="center"/>
          </w:tcPr>
          <w:p w14:paraId="02067DF7">
            <w:pPr>
              <w:spacing w:line="300" w:lineRule="exact"/>
              <w:jc w:val="center"/>
              <w:rPr>
                <w:rFonts w:hint="default" w:ascii="宋体" w:hAnsi="宋体" w:eastAsia="宋体"/>
                <w:color w:val="auto"/>
                <w:kern w:val="2"/>
                <w:sz w:val="21"/>
                <w:szCs w:val="21"/>
                <w:highlight w:val="none"/>
                <w:lang w:val="en-US" w:eastAsia="zh-CN" w:bidi="ar-SA"/>
              </w:rPr>
            </w:pPr>
            <w:r>
              <w:rPr>
                <w:rFonts w:hint="eastAsia" w:ascii="宋体" w:hAnsi="宋体" w:eastAsia="宋体"/>
                <w:color w:val="auto"/>
                <w:szCs w:val="21"/>
                <w:highlight w:val="none"/>
                <w:lang w:val="en-US" w:eastAsia="zh-CN"/>
              </w:rPr>
              <w:t xml:space="preserve"> 技术要求</w:t>
            </w:r>
          </w:p>
        </w:tc>
        <w:tc>
          <w:tcPr>
            <w:tcW w:w="906" w:type="dxa"/>
            <w:noWrap w:val="0"/>
            <w:vAlign w:val="center"/>
          </w:tcPr>
          <w:p w14:paraId="1EAEB81B">
            <w:pPr>
              <w:spacing w:line="30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单位</w:t>
            </w:r>
          </w:p>
        </w:tc>
        <w:tc>
          <w:tcPr>
            <w:tcW w:w="1063" w:type="dxa"/>
            <w:noWrap w:val="0"/>
            <w:vAlign w:val="center"/>
          </w:tcPr>
          <w:p w14:paraId="7BFE5CEF">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color w:val="auto"/>
                <w:szCs w:val="21"/>
                <w:highlight w:val="none"/>
              </w:rPr>
              <w:t>数量</w:t>
            </w:r>
          </w:p>
        </w:tc>
        <w:tc>
          <w:tcPr>
            <w:tcW w:w="1075" w:type="dxa"/>
            <w:tcBorders>
              <w:left w:val="single" w:color="auto" w:sz="4" w:space="0"/>
            </w:tcBorders>
            <w:noWrap w:val="0"/>
            <w:vAlign w:val="center"/>
          </w:tcPr>
          <w:p w14:paraId="318136B7">
            <w:pPr>
              <w:spacing w:line="300" w:lineRule="exact"/>
              <w:jc w:val="center"/>
              <w:rPr>
                <w:rFonts w:hint="eastAsia"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综合</w:t>
            </w:r>
            <w:r>
              <w:rPr>
                <w:rFonts w:hint="eastAsia" w:ascii="宋体" w:hAnsi="宋体"/>
                <w:color w:val="auto"/>
                <w:szCs w:val="21"/>
                <w:highlight w:val="none"/>
              </w:rPr>
              <w:t>单价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1059" w:type="dxa"/>
            <w:noWrap w:val="0"/>
            <w:vAlign w:val="center"/>
          </w:tcPr>
          <w:p w14:paraId="4D0F6CA7">
            <w:pPr>
              <w:spacing w:line="30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合价（元）</w:t>
            </w:r>
          </w:p>
        </w:tc>
        <w:tc>
          <w:tcPr>
            <w:tcW w:w="1063" w:type="dxa"/>
            <w:noWrap w:val="0"/>
            <w:vAlign w:val="center"/>
          </w:tcPr>
          <w:p w14:paraId="5E893755">
            <w:pPr>
              <w:spacing w:line="300" w:lineRule="exact"/>
              <w:ind w:left="-80" w:leftChars="-38" w:right="-94" w:rightChars="-45"/>
              <w:jc w:val="center"/>
              <w:rPr>
                <w:rFonts w:hint="eastAsia"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备注</w:t>
            </w:r>
          </w:p>
        </w:tc>
      </w:tr>
      <w:tr w14:paraId="567B1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49FEC0E5">
            <w:pPr>
              <w:jc w:val="center"/>
              <w:textAlignment w:val="baseline"/>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038" w:type="dxa"/>
            <w:tcBorders>
              <w:right w:val="single" w:color="auto" w:sz="4" w:space="0"/>
            </w:tcBorders>
            <w:shd w:val="clear" w:color="auto" w:fill="auto"/>
            <w:noWrap w:val="0"/>
            <w:vAlign w:val="center"/>
          </w:tcPr>
          <w:p w14:paraId="5BF60E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互联网专线</w:t>
            </w:r>
          </w:p>
        </w:tc>
        <w:tc>
          <w:tcPr>
            <w:tcW w:w="1242" w:type="dxa"/>
            <w:tcBorders>
              <w:left w:val="single" w:color="auto" w:sz="4" w:space="0"/>
            </w:tcBorders>
            <w:shd w:val="clear" w:color="auto" w:fill="auto"/>
            <w:noWrap w:val="0"/>
            <w:vAlign w:val="center"/>
          </w:tcPr>
          <w:p w14:paraId="3F4C61C2">
            <w:pPr>
              <w:spacing w:line="3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2004FC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条</w:t>
            </w:r>
          </w:p>
        </w:tc>
        <w:tc>
          <w:tcPr>
            <w:tcW w:w="1063" w:type="dxa"/>
            <w:shd w:val="clear" w:color="auto" w:fill="auto"/>
            <w:noWrap w:val="0"/>
            <w:vAlign w:val="center"/>
          </w:tcPr>
          <w:p w14:paraId="64958B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75" w:type="dxa"/>
            <w:tcBorders>
              <w:left w:val="single" w:color="auto" w:sz="4" w:space="0"/>
            </w:tcBorders>
            <w:noWrap w:val="0"/>
            <w:vAlign w:val="center"/>
          </w:tcPr>
          <w:p w14:paraId="76A00E3C">
            <w:pPr>
              <w:spacing w:line="300" w:lineRule="exact"/>
              <w:rPr>
                <w:rFonts w:hint="eastAsia" w:ascii="宋体" w:hAnsi="宋体"/>
                <w:color w:val="auto"/>
                <w:sz w:val="24"/>
                <w:highlight w:val="none"/>
              </w:rPr>
            </w:pPr>
          </w:p>
        </w:tc>
        <w:tc>
          <w:tcPr>
            <w:tcW w:w="1059" w:type="dxa"/>
            <w:noWrap w:val="0"/>
            <w:vAlign w:val="center"/>
          </w:tcPr>
          <w:p w14:paraId="67560EF0">
            <w:pPr>
              <w:spacing w:line="300" w:lineRule="exact"/>
              <w:rPr>
                <w:rFonts w:hint="eastAsia" w:ascii="宋体" w:hAnsi="宋体"/>
                <w:color w:val="auto"/>
                <w:sz w:val="24"/>
                <w:highlight w:val="none"/>
              </w:rPr>
            </w:pPr>
          </w:p>
        </w:tc>
        <w:tc>
          <w:tcPr>
            <w:tcW w:w="1063" w:type="dxa"/>
            <w:noWrap w:val="0"/>
            <w:vAlign w:val="top"/>
          </w:tcPr>
          <w:p w14:paraId="793FEEC3">
            <w:pPr>
              <w:spacing w:line="300" w:lineRule="exact"/>
              <w:rPr>
                <w:rFonts w:hint="eastAsia" w:ascii="宋体" w:hAnsi="宋体"/>
                <w:color w:val="auto"/>
                <w:sz w:val="24"/>
                <w:highlight w:val="none"/>
              </w:rPr>
            </w:pPr>
          </w:p>
        </w:tc>
      </w:tr>
      <w:tr w14:paraId="383BB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64816FCC">
            <w:pPr>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038" w:type="dxa"/>
            <w:tcBorders>
              <w:right w:val="single" w:color="auto" w:sz="4" w:space="0"/>
            </w:tcBorders>
            <w:shd w:val="clear" w:color="auto" w:fill="auto"/>
            <w:noWrap w:val="0"/>
            <w:vAlign w:val="center"/>
          </w:tcPr>
          <w:p w14:paraId="29B538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固话</w:t>
            </w:r>
          </w:p>
        </w:tc>
        <w:tc>
          <w:tcPr>
            <w:tcW w:w="1242" w:type="dxa"/>
            <w:tcBorders>
              <w:left w:val="single" w:color="auto" w:sz="4" w:space="0"/>
            </w:tcBorders>
            <w:shd w:val="clear" w:color="auto" w:fill="auto"/>
            <w:noWrap w:val="0"/>
            <w:vAlign w:val="center"/>
          </w:tcPr>
          <w:p w14:paraId="79A18170">
            <w:pPr>
              <w:spacing w:line="300" w:lineRule="exact"/>
              <w:jc w:val="center"/>
              <w:rPr>
                <w:rFonts w:hint="default" w:ascii="宋体" w:hAnsi="宋体" w:eastAsia="宋体"/>
                <w:color w:val="auto"/>
                <w:kern w:val="2"/>
                <w:sz w:val="24"/>
                <w:szCs w:val="24"/>
                <w:highlight w:val="none"/>
                <w:lang w:val="en-US" w:eastAsia="zh-CN" w:bidi="ar-SA"/>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10ED14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部</w:t>
            </w:r>
          </w:p>
        </w:tc>
        <w:tc>
          <w:tcPr>
            <w:tcW w:w="1063" w:type="dxa"/>
            <w:shd w:val="clear" w:color="auto" w:fill="auto"/>
            <w:noWrap w:val="0"/>
            <w:vAlign w:val="center"/>
          </w:tcPr>
          <w:p w14:paraId="3740E2F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w:t>
            </w:r>
          </w:p>
        </w:tc>
        <w:tc>
          <w:tcPr>
            <w:tcW w:w="1075" w:type="dxa"/>
            <w:tcBorders>
              <w:left w:val="single" w:color="auto" w:sz="4" w:space="0"/>
            </w:tcBorders>
            <w:noWrap w:val="0"/>
            <w:vAlign w:val="center"/>
          </w:tcPr>
          <w:p w14:paraId="756A6EC1">
            <w:pPr>
              <w:spacing w:line="300" w:lineRule="exact"/>
              <w:rPr>
                <w:rFonts w:hint="eastAsia" w:ascii="宋体" w:hAnsi="宋体"/>
                <w:color w:val="auto"/>
                <w:sz w:val="24"/>
                <w:highlight w:val="none"/>
              </w:rPr>
            </w:pPr>
          </w:p>
        </w:tc>
        <w:tc>
          <w:tcPr>
            <w:tcW w:w="1059" w:type="dxa"/>
            <w:noWrap w:val="0"/>
            <w:vAlign w:val="center"/>
          </w:tcPr>
          <w:p w14:paraId="22256813">
            <w:pPr>
              <w:spacing w:line="300" w:lineRule="exact"/>
              <w:rPr>
                <w:rFonts w:hint="eastAsia" w:ascii="宋体" w:hAnsi="宋体"/>
                <w:color w:val="auto"/>
                <w:sz w:val="24"/>
                <w:highlight w:val="none"/>
              </w:rPr>
            </w:pPr>
          </w:p>
        </w:tc>
        <w:tc>
          <w:tcPr>
            <w:tcW w:w="1063" w:type="dxa"/>
            <w:noWrap w:val="0"/>
            <w:vAlign w:val="top"/>
          </w:tcPr>
          <w:p w14:paraId="4A52B562">
            <w:pPr>
              <w:spacing w:line="300" w:lineRule="exact"/>
              <w:rPr>
                <w:rFonts w:hint="eastAsia" w:ascii="宋体" w:hAnsi="宋体"/>
                <w:color w:val="auto"/>
                <w:sz w:val="24"/>
                <w:highlight w:val="none"/>
              </w:rPr>
            </w:pPr>
          </w:p>
        </w:tc>
      </w:tr>
      <w:tr w14:paraId="73312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5607A103">
            <w:pPr>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2038" w:type="dxa"/>
            <w:tcBorders>
              <w:right w:val="single" w:color="auto" w:sz="4" w:space="0"/>
            </w:tcBorders>
            <w:shd w:val="clear" w:color="auto" w:fill="auto"/>
            <w:noWrap w:val="0"/>
            <w:vAlign w:val="center"/>
          </w:tcPr>
          <w:p w14:paraId="423168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电路</w:t>
            </w:r>
          </w:p>
        </w:tc>
        <w:tc>
          <w:tcPr>
            <w:tcW w:w="1242" w:type="dxa"/>
            <w:tcBorders>
              <w:left w:val="single" w:color="auto" w:sz="4" w:space="0"/>
            </w:tcBorders>
            <w:shd w:val="clear" w:color="auto" w:fill="auto"/>
            <w:noWrap w:val="0"/>
            <w:vAlign w:val="center"/>
          </w:tcPr>
          <w:p w14:paraId="5C81B8B9">
            <w:pPr>
              <w:spacing w:line="3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726F46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条</w:t>
            </w:r>
          </w:p>
        </w:tc>
        <w:tc>
          <w:tcPr>
            <w:tcW w:w="1063" w:type="dxa"/>
            <w:shd w:val="clear" w:color="auto" w:fill="auto"/>
            <w:noWrap w:val="0"/>
            <w:vAlign w:val="center"/>
          </w:tcPr>
          <w:p w14:paraId="5E9620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152</w:t>
            </w:r>
          </w:p>
        </w:tc>
        <w:tc>
          <w:tcPr>
            <w:tcW w:w="1075" w:type="dxa"/>
            <w:tcBorders>
              <w:left w:val="single" w:color="auto" w:sz="4" w:space="0"/>
            </w:tcBorders>
            <w:noWrap w:val="0"/>
            <w:vAlign w:val="center"/>
          </w:tcPr>
          <w:p w14:paraId="39BD48FF">
            <w:pPr>
              <w:spacing w:line="300" w:lineRule="exact"/>
              <w:rPr>
                <w:rFonts w:hint="eastAsia" w:ascii="宋体" w:hAnsi="宋体"/>
                <w:color w:val="auto"/>
                <w:sz w:val="24"/>
                <w:highlight w:val="none"/>
              </w:rPr>
            </w:pPr>
          </w:p>
        </w:tc>
        <w:tc>
          <w:tcPr>
            <w:tcW w:w="1059" w:type="dxa"/>
            <w:noWrap w:val="0"/>
            <w:vAlign w:val="center"/>
          </w:tcPr>
          <w:p w14:paraId="13E3DE4F">
            <w:pPr>
              <w:spacing w:line="300" w:lineRule="exact"/>
              <w:rPr>
                <w:rFonts w:hint="eastAsia" w:ascii="宋体" w:hAnsi="宋体"/>
                <w:color w:val="auto"/>
                <w:sz w:val="24"/>
                <w:highlight w:val="none"/>
              </w:rPr>
            </w:pPr>
          </w:p>
        </w:tc>
        <w:tc>
          <w:tcPr>
            <w:tcW w:w="1063" w:type="dxa"/>
            <w:noWrap w:val="0"/>
            <w:vAlign w:val="top"/>
          </w:tcPr>
          <w:p w14:paraId="21371EF5">
            <w:pPr>
              <w:spacing w:line="300" w:lineRule="exact"/>
              <w:rPr>
                <w:rFonts w:hint="eastAsia" w:ascii="宋体" w:hAnsi="宋体"/>
                <w:color w:val="auto"/>
                <w:sz w:val="24"/>
                <w:highlight w:val="none"/>
              </w:rPr>
            </w:pPr>
          </w:p>
        </w:tc>
      </w:tr>
      <w:tr w14:paraId="38EA8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2E1881B7">
            <w:pPr>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2038" w:type="dxa"/>
            <w:tcBorders>
              <w:right w:val="single" w:color="auto" w:sz="4" w:space="0"/>
            </w:tcBorders>
            <w:shd w:val="clear" w:color="auto" w:fill="auto"/>
            <w:noWrap w:val="0"/>
            <w:vAlign w:val="center"/>
          </w:tcPr>
          <w:p w14:paraId="1F3637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汇聚线路</w:t>
            </w:r>
          </w:p>
        </w:tc>
        <w:tc>
          <w:tcPr>
            <w:tcW w:w="1242" w:type="dxa"/>
            <w:tcBorders>
              <w:left w:val="single" w:color="auto" w:sz="4" w:space="0"/>
            </w:tcBorders>
            <w:shd w:val="clear" w:color="auto" w:fill="auto"/>
            <w:noWrap w:val="0"/>
            <w:vAlign w:val="center"/>
          </w:tcPr>
          <w:p w14:paraId="1016AC69">
            <w:pPr>
              <w:spacing w:line="3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17C921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条</w:t>
            </w:r>
          </w:p>
        </w:tc>
        <w:tc>
          <w:tcPr>
            <w:tcW w:w="1063" w:type="dxa"/>
            <w:shd w:val="clear" w:color="auto" w:fill="auto"/>
            <w:noWrap w:val="0"/>
            <w:vAlign w:val="center"/>
          </w:tcPr>
          <w:p w14:paraId="397A78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075" w:type="dxa"/>
            <w:tcBorders>
              <w:left w:val="single" w:color="auto" w:sz="4" w:space="0"/>
            </w:tcBorders>
            <w:noWrap w:val="0"/>
            <w:vAlign w:val="center"/>
          </w:tcPr>
          <w:p w14:paraId="5897877E">
            <w:pPr>
              <w:spacing w:line="300" w:lineRule="exact"/>
              <w:rPr>
                <w:rFonts w:hint="eastAsia" w:ascii="宋体" w:hAnsi="宋体"/>
                <w:color w:val="auto"/>
                <w:sz w:val="24"/>
                <w:highlight w:val="none"/>
              </w:rPr>
            </w:pPr>
          </w:p>
        </w:tc>
        <w:tc>
          <w:tcPr>
            <w:tcW w:w="1059" w:type="dxa"/>
            <w:noWrap w:val="0"/>
            <w:vAlign w:val="center"/>
          </w:tcPr>
          <w:p w14:paraId="6368DF3F">
            <w:pPr>
              <w:spacing w:line="300" w:lineRule="exact"/>
              <w:rPr>
                <w:rFonts w:hint="eastAsia" w:ascii="宋体" w:hAnsi="宋体"/>
                <w:color w:val="auto"/>
                <w:sz w:val="24"/>
                <w:highlight w:val="none"/>
              </w:rPr>
            </w:pPr>
          </w:p>
        </w:tc>
        <w:tc>
          <w:tcPr>
            <w:tcW w:w="1063" w:type="dxa"/>
            <w:noWrap w:val="0"/>
            <w:vAlign w:val="top"/>
          </w:tcPr>
          <w:p w14:paraId="288DC6EF">
            <w:pPr>
              <w:spacing w:line="300" w:lineRule="exact"/>
              <w:rPr>
                <w:rFonts w:hint="eastAsia" w:ascii="宋体" w:hAnsi="宋体"/>
                <w:color w:val="auto"/>
                <w:sz w:val="24"/>
                <w:highlight w:val="none"/>
              </w:rPr>
            </w:pPr>
          </w:p>
        </w:tc>
      </w:tr>
      <w:tr w14:paraId="13D49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0A56B2D0">
            <w:pPr>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2038" w:type="dxa"/>
            <w:tcBorders>
              <w:right w:val="single" w:color="auto" w:sz="4" w:space="0"/>
            </w:tcBorders>
            <w:shd w:val="clear" w:color="auto" w:fill="auto"/>
            <w:noWrap w:val="0"/>
            <w:vAlign w:val="center"/>
          </w:tcPr>
          <w:p w14:paraId="6F2A18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移网</w:t>
            </w:r>
          </w:p>
        </w:tc>
        <w:tc>
          <w:tcPr>
            <w:tcW w:w="1242" w:type="dxa"/>
            <w:tcBorders>
              <w:left w:val="single" w:color="auto" w:sz="4" w:space="0"/>
            </w:tcBorders>
            <w:shd w:val="clear" w:color="auto" w:fill="auto"/>
            <w:noWrap w:val="0"/>
            <w:vAlign w:val="center"/>
          </w:tcPr>
          <w:p w14:paraId="430ABA9F">
            <w:pPr>
              <w:spacing w:line="3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45DFC1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户</w:t>
            </w:r>
          </w:p>
        </w:tc>
        <w:tc>
          <w:tcPr>
            <w:tcW w:w="1063" w:type="dxa"/>
            <w:shd w:val="clear" w:color="auto" w:fill="auto"/>
            <w:noWrap w:val="0"/>
            <w:vAlign w:val="center"/>
          </w:tcPr>
          <w:p w14:paraId="6BD61A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75" w:type="dxa"/>
            <w:tcBorders>
              <w:left w:val="single" w:color="auto" w:sz="4" w:space="0"/>
            </w:tcBorders>
            <w:noWrap w:val="0"/>
            <w:vAlign w:val="center"/>
          </w:tcPr>
          <w:p w14:paraId="4D32FAAC">
            <w:pPr>
              <w:spacing w:line="300" w:lineRule="exact"/>
              <w:rPr>
                <w:rFonts w:hint="eastAsia" w:ascii="宋体" w:hAnsi="宋体"/>
                <w:color w:val="auto"/>
                <w:sz w:val="24"/>
                <w:highlight w:val="none"/>
              </w:rPr>
            </w:pPr>
          </w:p>
        </w:tc>
        <w:tc>
          <w:tcPr>
            <w:tcW w:w="1059" w:type="dxa"/>
            <w:noWrap w:val="0"/>
            <w:vAlign w:val="center"/>
          </w:tcPr>
          <w:p w14:paraId="0C798E64">
            <w:pPr>
              <w:spacing w:line="300" w:lineRule="exact"/>
              <w:rPr>
                <w:rFonts w:hint="eastAsia" w:ascii="宋体" w:hAnsi="宋体"/>
                <w:color w:val="auto"/>
                <w:sz w:val="24"/>
                <w:highlight w:val="none"/>
              </w:rPr>
            </w:pPr>
          </w:p>
        </w:tc>
        <w:tc>
          <w:tcPr>
            <w:tcW w:w="1063" w:type="dxa"/>
            <w:noWrap w:val="0"/>
            <w:vAlign w:val="top"/>
          </w:tcPr>
          <w:p w14:paraId="0B466020">
            <w:pPr>
              <w:spacing w:line="300" w:lineRule="exact"/>
              <w:rPr>
                <w:rFonts w:hint="eastAsia" w:ascii="宋体" w:hAnsi="宋体"/>
                <w:color w:val="auto"/>
                <w:sz w:val="24"/>
                <w:highlight w:val="none"/>
              </w:rPr>
            </w:pPr>
          </w:p>
        </w:tc>
      </w:tr>
      <w:tr w14:paraId="3FAD2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643" w:type="dxa"/>
            <w:shd w:val="clear" w:color="auto" w:fill="auto"/>
            <w:noWrap w:val="0"/>
            <w:vAlign w:val="center"/>
          </w:tcPr>
          <w:p w14:paraId="7390DEB7">
            <w:pPr>
              <w:jc w:val="center"/>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2038" w:type="dxa"/>
            <w:tcBorders>
              <w:right w:val="single" w:color="auto" w:sz="4" w:space="0"/>
            </w:tcBorders>
            <w:shd w:val="clear" w:color="auto" w:fill="auto"/>
            <w:noWrap w:val="0"/>
            <w:vAlign w:val="center"/>
          </w:tcPr>
          <w:p w14:paraId="09854F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防火墙</w:t>
            </w:r>
          </w:p>
        </w:tc>
        <w:tc>
          <w:tcPr>
            <w:tcW w:w="1242" w:type="dxa"/>
            <w:tcBorders>
              <w:left w:val="single" w:color="auto" w:sz="4" w:space="0"/>
            </w:tcBorders>
            <w:shd w:val="clear" w:color="auto" w:fill="auto"/>
            <w:noWrap w:val="0"/>
            <w:vAlign w:val="center"/>
          </w:tcPr>
          <w:p w14:paraId="070EB1C2">
            <w:pPr>
              <w:spacing w:line="3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符合招标文件要求</w:t>
            </w:r>
          </w:p>
        </w:tc>
        <w:tc>
          <w:tcPr>
            <w:tcW w:w="906" w:type="dxa"/>
            <w:shd w:val="clear" w:color="auto" w:fill="auto"/>
            <w:noWrap w:val="0"/>
            <w:vAlign w:val="center"/>
          </w:tcPr>
          <w:p w14:paraId="3B3F7B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台</w:t>
            </w:r>
          </w:p>
        </w:tc>
        <w:tc>
          <w:tcPr>
            <w:tcW w:w="1063" w:type="dxa"/>
            <w:shd w:val="clear" w:color="auto" w:fill="auto"/>
            <w:noWrap w:val="0"/>
            <w:vAlign w:val="center"/>
          </w:tcPr>
          <w:p w14:paraId="7AF60C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75" w:type="dxa"/>
            <w:tcBorders>
              <w:left w:val="single" w:color="auto" w:sz="4" w:space="0"/>
            </w:tcBorders>
            <w:noWrap w:val="0"/>
            <w:vAlign w:val="center"/>
          </w:tcPr>
          <w:p w14:paraId="492A45A7">
            <w:pPr>
              <w:spacing w:line="300" w:lineRule="exact"/>
              <w:rPr>
                <w:rFonts w:hint="eastAsia" w:ascii="宋体" w:hAnsi="宋体"/>
                <w:color w:val="auto"/>
                <w:sz w:val="24"/>
                <w:highlight w:val="none"/>
              </w:rPr>
            </w:pPr>
          </w:p>
        </w:tc>
        <w:tc>
          <w:tcPr>
            <w:tcW w:w="1059" w:type="dxa"/>
            <w:noWrap w:val="0"/>
            <w:vAlign w:val="center"/>
          </w:tcPr>
          <w:p w14:paraId="28877099">
            <w:pPr>
              <w:spacing w:line="300" w:lineRule="exact"/>
              <w:rPr>
                <w:rFonts w:hint="eastAsia" w:ascii="宋体" w:hAnsi="宋体"/>
                <w:color w:val="auto"/>
                <w:sz w:val="24"/>
                <w:highlight w:val="none"/>
              </w:rPr>
            </w:pPr>
          </w:p>
        </w:tc>
        <w:tc>
          <w:tcPr>
            <w:tcW w:w="1063" w:type="dxa"/>
            <w:noWrap w:val="0"/>
            <w:vAlign w:val="top"/>
          </w:tcPr>
          <w:p w14:paraId="3359A5D5">
            <w:pPr>
              <w:spacing w:line="300" w:lineRule="exact"/>
              <w:rPr>
                <w:rFonts w:hint="eastAsia" w:ascii="宋体" w:hAnsi="宋体"/>
                <w:color w:val="auto"/>
                <w:sz w:val="24"/>
                <w:highlight w:val="none"/>
              </w:rPr>
            </w:pPr>
          </w:p>
        </w:tc>
      </w:tr>
      <w:tr w14:paraId="335C9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089" w:type="dxa"/>
            <w:gridSpan w:val="8"/>
            <w:noWrap w:val="0"/>
            <w:vAlign w:val="top"/>
          </w:tcPr>
          <w:p w14:paraId="7B45729C">
            <w:pPr>
              <w:spacing w:line="300" w:lineRule="exact"/>
              <w:rPr>
                <w:rFonts w:hint="eastAsia" w:ascii="宋体" w:hAnsi="宋体"/>
                <w:color w:val="auto"/>
                <w:sz w:val="24"/>
                <w:highlight w:val="none"/>
              </w:rPr>
            </w:pPr>
            <w:r>
              <w:rPr>
                <w:rFonts w:hint="eastAsia" w:ascii="宋体" w:hAnsi="宋体"/>
                <w:b/>
                <w:color w:val="auto"/>
                <w:sz w:val="24"/>
                <w:highlight w:val="none"/>
              </w:rPr>
              <w:t>投标报价：</w:t>
            </w:r>
            <w:r>
              <w:rPr>
                <w:rFonts w:hint="eastAsia" w:ascii="宋体" w:hAnsi="宋体"/>
                <w:b/>
                <w:color w:val="auto"/>
                <w:sz w:val="24"/>
                <w:highlight w:val="none"/>
                <w:u w:val="single"/>
              </w:rPr>
              <w:t xml:space="preserve">               </w:t>
            </w:r>
            <w:r>
              <w:rPr>
                <w:rFonts w:hint="eastAsia" w:ascii="宋体" w:hAnsi="宋体"/>
                <w:b/>
                <w:color w:val="auto"/>
                <w:sz w:val="24"/>
                <w:highlight w:val="none"/>
              </w:rPr>
              <w:t>元；小写：</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元；（填入投标函和开标一览表）</w:t>
            </w:r>
          </w:p>
        </w:tc>
      </w:tr>
    </w:tbl>
    <w:p w14:paraId="1EF79CEF">
      <w:pPr>
        <w:pStyle w:val="35"/>
        <w:ind w:firstLine="210"/>
        <w:rPr>
          <w:rFonts w:hint="eastAsia"/>
          <w:color w:val="auto"/>
          <w:highlight w:val="none"/>
        </w:rPr>
      </w:pPr>
    </w:p>
    <w:p w14:paraId="56F359F2">
      <w:pPr>
        <w:spacing w:line="360" w:lineRule="auto"/>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lang w:val="en-US" w:eastAsia="zh-CN"/>
        </w:rPr>
        <w:t>盖章</w:t>
      </w:r>
      <w:r>
        <w:rPr>
          <w:rFonts w:hint="eastAsia" w:ascii="宋体"/>
          <w:color w:val="auto"/>
          <w:sz w:val="24"/>
          <w:highlight w:val="none"/>
        </w:rPr>
        <w:t>）：</w:t>
      </w:r>
      <w:r>
        <w:rPr>
          <w:rFonts w:hint="eastAsia" w:ascii="宋体"/>
          <w:color w:val="auto"/>
          <w:sz w:val="24"/>
          <w:highlight w:val="none"/>
          <w:u w:val="single"/>
        </w:rPr>
        <w:t xml:space="preserve">                                </w:t>
      </w:r>
    </w:p>
    <w:p w14:paraId="58E1958C">
      <w:pPr>
        <w:spacing w:line="360" w:lineRule="auto"/>
        <w:rPr>
          <w:rFonts w:hint="eastAsia" w:ascii="宋体"/>
          <w:color w:val="auto"/>
          <w:sz w:val="24"/>
          <w:highlight w:val="none"/>
        </w:rPr>
      </w:pPr>
      <w:r>
        <w:rPr>
          <w:rFonts w:hint="eastAsia" w:ascii="宋体"/>
          <w:color w:val="auto"/>
          <w:sz w:val="24"/>
          <w:highlight w:val="none"/>
        </w:rPr>
        <w:t>法定代表人 (签</w:t>
      </w:r>
      <w:r>
        <w:rPr>
          <w:rFonts w:hint="eastAsia" w:ascii="宋体"/>
          <w:color w:val="auto"/>
          <w:sz w:val="24"/>
          <w:highlight w:val="none"/>
          <w:lang w:val="en-US" w:eastAsia="zh-CN"/>
        </w:rPr>
        <w:t>字或盖</w:t>
      </w:r>
      <w:r>
        <w:rPr>
          <w:rFonts w:hint="eastAsia" w:ascii="宋体"/>
          <w:color w:val="auto"/>
          <w:sz w:val="24"/>
          <w:highlight w:val="none"/>
        </w:rPr>
        <w:t>章)：</w:t>
      </w:r>
      <w:r>
        <w:rPr>
          <w:rFonts w:hint="eastAsia" w:ascii="宋体"/>
          <w:color w:val="auto"/>
          <w:sz w:val="24"/>
          <w:highlight w:val="none"/>
          <w:u w:val="single"/>
        </w:rPr>
        <w:t xml:space="preserve">                          </w:t>
      </w:r>
    </w:p>
    <w:p w14:paraId="662682CA">
      <w:pPr>
        <w:spacing w:line="360" w:lineRule="auto"/>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7594E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36"/>
          <w:szCs w:val="36"/>
          <w:highlight w:val="none"/>
          <w:lang w:val="en-US" w:eastAsia="zh-CN" w:bidi="ar"/>
        </w:rPr>
        <w:sectPr>
          <w:pgSz w:w="11905" w:h="16838"/>
          <w:pgMar w:top="1440" w:right="1080" w:bottom="1440" w:left="1080" w:header="851" w:footer="992" w:gutter="0"/>
          <w:pgNumType w:fmt="decimal"/>
          <w:cols w:space="720" w:num="1"/>
          <w:rtlGutter w:val="0"/>
          <w:docGrid w:type="lines" w:linePitch="325" w:charSpace="0"/>
        </w:sectPr>
      </w:pPr>
    </w:p>
    <w:p w14:paraId="1DEAAD90">
      <w:pPr>
        <w:spacing w:line="360" w:lineRule="exact"/>
        <w:ind w:firstLine="443" w:firstLineChars="147"/>
        <w:rPr>
          <w:rFonts w:hint="eastAsia" w:ascii="宋体" w:hAnsi="宋体"/>
          <w:b/>
          <w:color w:val="auto"/>
          <w:sz w:val="30"/>
          <w:szCs w:val="30"/>
          <w:highlight w:val="none"/>
        </w:rPr>
      </w:pPr>
    </w:p>
    <w:p w14:paraId="125B2E04">
      <w:pPr>
        <w:spacing w:line="360" w:lineRule="exact"/>
        <w:ind w:firstLine="443" w:firstLineChars="147"/>
        <w:rPr>
          <w:rFonts w:hint="eastAsia" w:ascii="宋体" w:hAnsi="宋体"/>
          <w:b/>
          <w:color w:val="auto"/>
          <w:sz w:val="30"/>
          <w:szCs w:val="30"/>
          <w:highlight w:val="none"/>
        </w:rPr>
      </w:pPr>
    </w:p>
    <w:bookmarkEnd w:id="669"/>
    <w:bookmarkEnd w:id="670"/>
    <w:p w14:paraId="3FE0C84E">
      <w:pPr>
        <w:spacing w:line="440" w:lineRule="exact"/>
        <w:jc w:val="center"/>
        <w:outlineLvl w:val="0"/>
        <w:rPr>
          <w:rFonts w:hint="eastAsia" w:ascii="宋体"/>
          <w:b/>
          <w:color w:val="auto"/>
          <w:sz w:val="32"/>
          <w:szCs w:val="32"/>
          <w:highlight w:val="none"/>
        </w:rPr>
      </w:pPr>
      <w:bookmarkStart w:id="813" w:name="_Toc58430333"/>
      <w:bookmarkStart w:id="814" w:name="_Toc16798"/>
      <w:bookmarkStart w:id="815" w:name="_Toc449028957"/>
      <w:r>
        <w:rPr>
          <w:rFonts w:hint="eastAsia" w:ascii="宋体"/>
          <w:b/>
          <w:color w:val="auto"/>
          <w:sz w:val="32"/>
          <w:szCs w:val="32"/>
          <w:highlight w:val="none"/>
          <w:lang w:val="en-US" w:eastAsia="zh-CN"/>
        </w:rPr>
        <w:t>招标人</w:t>
      </w:r>
      <w:r>
        <w:rPr>
          <w:rFonts w:hint="eastAsia" w:ascii="宋体"/>
          <w:b/>
          <w:color w:val="auto"/>
          <w:sz w:val="32"/>
          <w:szCs w:val="32"/>
          <w:highlight w:val="none"/>
        </w:rPr>
        <w:t>、</w:t>
      </w: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代理机构对本招标文件的确认</w:t>
      </w:r>
      <w:bookmarkEnd w:id="813"/>
      <w:bookmarkEnd w:id="814"/>
      <w:bookmarkEnd w:id="815"/>
    </w:p>
    <w:p w14:paraId="0A0C2A06">
      <w:pPr>
        <w:spacing w:line="440" w:lineRule="exact"/>
        <w:rPr>
          <w:rFonts w:hint="eastAsia" w:ascii="宋体"/>
          <w:color w:val="auto"/>
          <w:sz w:val="24"/>
          <w:highlight w:val="none"/>
          <w:u w:val="single"/>
        </w:rPr>
      </w:pPr>
    </w:p>
    <w:tbl>
      <w:tblPr>
        <w:tblStyle w:val="37"/>
        <w:tblW w:w="0" w:type="auto"/>
        <w:jc w:val="center"/>
        <w:tblLayout w:type="fixed"/>
        <w:tblCellMar>
          <w:top w:w="0" w:type="dxa"/>
          <w:left w:w="108" w:type="dxa"/>
          <w:bottom w:w="0" w:type="dxa"/>
          <w:right w:w="108" w:type="dxa"/>
        </w:tblCellMar>
      </w:tblPr>
      <w:tblGrid>
        <w:gridCol w:w="9374"/>
      </w:tblGrid>
      <w:tr w14:paraId="5A084C77">
        <w:tblPrEx>
          <w:tblCellMar>
            <w:top w:w="0" w:type="dxa"/>
            <w:left w:w="108" w:type="dxa"/>
            <w:bottom w:w="0" w:type="dxa"/>
            <w:right w:w="108" w:type="dxa"/>
          </w:tblCellMar>
        </w:tblPrEx>
        <w:trPr>
          <w:trHeight w:val="4493"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771F87C9">
            <w:pPr>
              <w:spacing w:line="440" w:lineRule="exact"/>
              <w:ind w:firstLine="560" w:firstLineChars="200"/>
              <w:rPr>
                <w:rFonts w:hint="eastAsia" w:ascii="宋体" w:cs="宋体"/>
                <w:color w:val="auto"/>
                <w:sz w:val="28"/>
                <w:szCs w:val="28"/>
                <w:highlight w:val="none"/>
              </w:rPr>
            </w:pPr>
          </w:p>
          <w:p w14:paraId="727A3672">
            <w:pPr>
              <w:spacing w:line="360" w:lineRule="auto"/>
              <w:ind w:firstLine="560" w:firstLineChars="200"/>
              <w:rPr>
                <w:rFonts w:hint="eastAsia" w:ascii="宋体" w:hAnsi="宋体" w:cs="宋体"/>
                <w:color w:val="auto"/>
                <w:sz w:val="28"/>
                <w:szCs w:val="28"/>
                <w:highlight w:val="none"/>
              </w:rPr>
            </w:pPr>
            <w:r>
              <w:rPr>
                <w:rFonts w:hint="eastAsia" w:ascii="宋体" w:cs="宋体"/>
                <w:color w:val="auto"/>
                <w:sz w:val="28"/>
                <w:szCs w:val="28"/>
                <w:highlight w:val="none"/>
              </w:rPr>
              <w:t>我单位对</w:t>
            </w:r>
            <w:r>
              <w:rPr>
                <w:rFonts w:hint="eastAsia" w:ascii="宋体" w:cs="宋体"/>
                <w:color w:val="auto"/>
                <w:sz w:val="28"/>
                <w:szCs w:val="28"/>
                <w:highlight w:val="none"/>
                <w:u w:val="single"/>
                <w:lang w:val="en-US" w:eastAsia="zh-CN"/>
              </w:rPr>
              <w:t>滁州市城泊车辆服务有限公司数据专线与互联网专线宽带等服务项目</w:t>
            </w:r>
            <w:r>
              <w:rPr>
                <w:rFonts w:hint="eastAsia" w:ascii="宋体" w:cs="宋体"/>
                <w:color w:val="auto"/>
                <w:sz w:val="28"/>
                <w:szCs w:val="28"/>
                <w:highlight w:val="none"/>
              </w:rPr>
              <w:t>的招标文件进行确认。</w:t>
            </w:r>
          </w:p>
          <w:p w14:paraId="58BBD983">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招标单位：</w:t>
            </w:r>
            <w:r>
              <w:rPr>
                <w:rFonts w:hint="eastAsia" w:ascii="宋体" w:hAnsi="宋体" w:cs="宋体"/>
                <w:color w:val="auto"/>
                <w:sz w:val="28"/>
                <w:szCs w:val="28"/>
                <w:highlight w:val="none"/>
                <w:lang w:eastAsia="zh-CN"/>
              </w:rPr>
              <w:t>滁州市城泊车辆服务有限公司</w:t>
            </w:r>
          </w:p>
          <w:p w14:paraId="59648FA3">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lang w:val="en-US" w:eastAsia="zh-CN"/>
              </w:rPr>
              <w:t>李其圣</w:t>
            </w:r>
          </w:p>
          <w:p w14:paraId="27242AC9">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15305509612</w:t>
            </w:r>
          </w:p>
          <w:p w14:paraId="274C3374">
            <w:pPr>
              <w:spacing w:line="540" w:lineRule="exact"/>
              <w:ind w:firstLine="7140" w:firstLineChars="2550"/>
              <w:rPr>
                <w:rFonts w:hint="eastAsia" w:ascii="宋体" w:cs="宋体"/>
                <w:color w:val="auto"/>
                <w:sz w:val="28"/>
                <w:szCs w:val="28"/>
                <w:highlight w:val="none"/>
              </w:rPr>
            </w:pPr>
          </w:p>
          <w:p w14:paraId="3962A467">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5C6AA4CC">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7</w:t>
            </w:r>
            <w:r>
              <w:rPr>
                <w:rFonts w:hint="eastAsia" w:ascii="宋体" w:cs="宋体"/>
                <w:color w:val="auto"/>
                <w:sz w:val="28"/>
                <w:szCs w:val="28"/>
                <w:highlight w:val="none"/>
              </w:rPr>
              <w:t>月</w:t>
            </w:r>
          </w:p>
        </w:tc>
      </w:tr>
      <w:tr w14:paraId="153731D7">
        <w:tblPrEx>
          <w:tblCellMar>
            <w:top w:w="0" w:type="dxa"/>
            <w:left w:w="108" w:type="dxa"/>
            <w:bottom w:w="0" w:type="dxa"/>
            <w:right w:w="108" w:type="dxa"/>
          </w:tblCellMar>
        </w:tblPrEx>
        <w:trPr>
          <w:trHeight w:val="5310"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18F597BF">
            <w:pPr>
              <w:spacing w:line="440" w:lineRule="exact"/>
              <w:rPr>
                <w:rFonts w:hint="eastAsia" w:ascii="宋体" w:cs="宋体"/>
                <w:color w:val="auto"/>
                <w:sz w:val="28"/>
                <w:szCs w:val="28"/>
                <w:highlight w:val="none"/>
              </w:rPr>
            </w:pPr>
          </w:p>
          <w:p w14:paraId="566645CD">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招标代理机构：</w:t>
            </w:r>
            <w:r>
              <w:rPr>
                <w:rFonts w:hint="eastAsia" w:ascii="宋体" w:cs="宋体"/>
                <w:color w:val="auto"/>
                <w:sz w:val="28"/>
                <w:szCs w:val="28"/>
                <w:highlight w:val="none"/>
                <w:lang w:eastAsia="zh-CN"/>
              </w:rPr>
              <w:t>滁州市城投工程咨询管理有限公司</w:t>
            </w:r>
          </w:p>
          <w:p w14:paraId="730FDAA7">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经办人：</w:t>
            </w:r>
            <w:r>
              <w:rPr>
                <w:rFonts w:hint="eastAsia" w:ascii="宋体" w:cs="宋体"/>
                <w:color w:val="auto"/>
                <w:sz w:val="28"/>
                <w:szCs w:val="28"/>
                <w:highlight w:val="none"/>
                <w:lang w:eastAsia="zh-CN"/>
              </w:rPr>
              <w:t>曹思敏</w:t>
            </w:r>
          </w:p>
          <w:p w14:paraId="27094934">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电  话：</w:t>
            </w:r>
            <w:r>
              <w:rPr>
                <w:rFonts w:hint="eastAsia" w:ascii="宋体" w:cs="宋体"/>
                <w:color w:val="auto"/>
                <w:sz w:val="28"/>
                <w:szCs w:val="28"/>
                <w:highlight w:val="none"/>
                <w:lang w:eastAsia="zh-CN"/>
              </w:rPr>
              <w:t>0550-3519516、18712012204</w:t>
            </w:r>
          </w:p>
          <w:p w14:paraId="48D7841B">
            <w:pPr>
              <w:spacing w:line="520" w:lineRule="exact"/>
              <w:ind w:firstLine="6300" w:firstLineChars="2250"/>
              <w:rPr>
                <w:rFonts w:hint="eastAsia" w:ascii="宋体" w:cs="宋体"/>
                <w:color w:val="auto"/>
                <w:sz w:val="28"/>
                <w:szCs w:val="28"/>
                <w:highlight w:val="none"/>
              </w:rPr>
            </w:pPr>
          </w:p>
          <w:p w14:paraId="534A3959">
            <w:pPr>
              <w:pStyle w:val="36"/>
              <w:rPr>
                <w:rFonts w:hint="eastAsia"/>
                <w:color w:val="auto"/>
                <w:highlight w:val="none"/>
              </w:rPr>
            </w:pPr>
          </w:p>
          <w:p w14:paraId="3107D450">
            <w:pPr>
              <w:spacing w:line="520" w:lineRule="exact"/>
              <w:ind w:firstLine="6580" w:firstLineChars="2350"/>
              <w:rPr>
                <w:rFonts w:hint="eastAsia" w:ascii="宋体" w:cs="宋体"/>
                <w:color w:val="auto"/>
                <w:sz w:val="28"/>
                <w:szCs w:val="28"/>
                <w:highlight w:val="none"/>
              </w:rPr>
            </w:pPr>
          </w:p>
          <w:p w14:paraId="069F4B12">
            <w:pPr>
              <w:spacing w:line="52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08CEDDAB">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7</w:t>
            </w:r>
            <w:r>
              <w:rPr>
                <w:rFonts w:hint="eastAsia" w:ascii="宋体" w:cs="宋体"/>
                <w:color w:val="auto"/>
                <w:sz w:val="28"/>
                <w:szCs w:val="28"/>
                <w:highlight w:val="none"/>
              </w:rPr>
              <w:t>月</w:t>
            </w:r>
          </w:p>
        </w:tc>
      </w:tr>
      <w:bookmarkEnd w:id="0"/>
    </w:tbl>
    <w:p w14:paraId="5A8761D4">
      <w:pPr>
        <w:rPr>
          <w:color w:val="auto"/>
          <w:highlight w:val="none"/>
        </w:rPr>
      </w:pPr>
    </w:p>
    <w:sectPr>
      <w:headerReference r:id="rId12" w:type="default"/>
      <w:footerReference r:id="rId13"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7CC7BE1-E6F7-4086-BD2C-62CA38B93F53}"/>
  </w:font>
  <w:font w:name="黑体">
    <w:panose1 w:val="02010609060101010101"/>
    <w:charset w:val="86"/>
    <w:family w:val="auto"/>
    <w:pitch w:val="default"/>
    <w:sig w:usb0="800002BF" w:usb1="38CF7CFA" w:usb2="00000016" w:usb3="00000000" w:csb0="00040001" w:csb1="00000000"/>
    <w:embedRegular r:id="rId2" w:fontKey="{348272F2-F784-4926-B29B-E2076C9BE8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D8978C1F-CF62-4508-947D-33A2E82DDA39}"/>
  </w:font>
  <w:font w:name="仿宋">
    <w:panose1 w:val="02010609060101010101"/>
    <w:charset w:val="86"/>
    <w:family w:val="modern"/>
    <w:pitch w:val="default"/>
    <w:sig w:usb0="800002BF" w:usb1="38CF7CFA" w:usb2="00000016" w:usb3="00000000" w:csb0="00040001" w:csb1="00000000"/>
    <w:embedRegular r:id="rId4" w:fontKey="{84608C57-377D-440D-9097-FF52E61BBAEF}"/>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Segoe Print"/>
    <w:panose1 w:val="020B0604020202020204"/>
    <w:charset w:val="00"/>
    <w:family w:val="swiss"/>
    <w:pitch w:val="default"/>
    <w:sig w:usb0="00000000" w:usb1="00000000" w:usb2="00000000" w:usb3="00000000" w:csb0="4001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方正仿宋_GB2312">
    <w:panose1 w:val="02000000000000000000"/>
    <w:charset w:val="86"/>
    <w:family w:val="auto"/>
    <w:pitch w:val="default"/>
    <w:sig w:usb0="A00002BF" w:usb1="184F6CFA" w:usb2="00000012" w:usb3="00000000" w:csb0="00040001" w:csb1="00000000"/>
    <w:embedRegular r:id="rId5" w:fontKey="{85A2A9AE-5447-4B6B-A526-D034E6B3DDF4}"/>
  </w:font>
  <w:font w:name="Wingdings 2">
    <w:panose1 w:val="05020102010507070707"/>
    <w:charset w:val="00"/>
    <w:family w:val="auto"/>
    <w:pitch w:val="default"/>
    <w:sig w:usb0="00000000" w:usb1="00000000" w:usb2="00000000" w:usb3="00000000" w:csb0="80000000" w:csb1="00000000"/>
    <w:embedRegular r:id="rId6" w:fontKey="{FD64D3FF-EF15-478F-AC9B-C3F03FC56912}"/>
  </w:font>
  <w:font w:name="宋体-18030">
    <w:altName w:val="宋体"/>
    <w:panose1 w:val="02010609060101010101"/>
    <w:charset w:val="86"/>
    <w:family w:val="modern"/>
    <w:pitch w:val="default"/>
    <w:sig w:usb0="00000000" w:usb1="00000000" w:usb2="000A005E" w:usb3="00000000" w:csb0="00040001" w:csb1="00000000"/>
    <w:embedRegular r:id="rId7" w:fontKey="{CD88A26B-8996-4BFA-AD28-9875F03FB9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99A8">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9FD2">
    <w:pPr>
      <w:pStyle w:val="23"/>
      <w:framePr w:wrap="around" w:vAnchor="text" w:hAnchor="margin" w:xAlign="center" w:y="1"/>
      <w:tabs>
        <w:tab w:val="clear" w:pos="4153"/>
        <w:tab w:val="clear" w:pos="8306"/>
      </w:tabs>
      <w:rPr>
        <w:rStyle w:val="41"/>
      </w:rPr>
    </w:pPr>
    <w:r>
      <w:fldChar w:fldCharType="begin"/>
    </w:r>
    <w:r>
      <w:rPr>
        <w:rStyle w:val="41"/>
      </w:rPr>
      <w:instrText xml:space="preserve">PAGE  </w:instrText>
    </w:r>
    <w:r>
      <w:fldChar w:fldCharType="separate"/>
    </w:r>
    <w:r>
      <w:t xml:space="preserve"> </w:t>
    </w:r>
    <w:r>
      <w:fldChar w:fldCharType="end"/>
    </w:r>
  </w:p>
  <w:p w14:paraId="4FBD729B">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B572">
    <w:pPr>
      <w:pStyle w:val="23"/>
      <w:framePr w:wrap="around" w:vAnchor="text" w:hAnchor="margin" w:xAlign="center" w:y="1"/>
      <w:tabs>
        <w:tab w:val="clear" w:pos="4153"/>
        <w:tab w:val="clear" w:pos="8306"/>
      </w:tabs>
      <w:rPr>
        <w:rStyle w:val="41"/>
        <w:rFonts w:hint="eastAsia"/>
      </w:rPr>
    </w:pPr>
  </w:p>
  <w:p w14:paraId="7F09E75A">
    <w:pPr>
      <w:pStyle w:val="23"/>
      <w:tabs>
        <w:tab w:val="clear" w:pos="4153"/>
        <w:tab w:val="clear" w:pos="8306"/>
      </w:tabs>
      <w:rPr>
        <w:rFonts w:hint="eastAsia"/>
        <w:szCs w:val="21"/>
      </w:rPr>
    </w:pPr>
  </w:p>
  <w:p w14:paraId="2C26D3AE">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09D3">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9738D">
                          <w:pPr>
                            <w:pStyle w:val="2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5C9738D">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AC1B">
    <w:pPr>
      <w:pStyle w:val="23"/>
      <w:tabs>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2675F0">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112675F0">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F11B">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568D2A">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F568D2A">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6800">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650BE0">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3D650BE0">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1E3E">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9A2F">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7C97">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1F68">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chineseCountingThousand"/>
      <w:pStyle w:val="119"/>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
    <w:nsid w:val="18995355"/>
    <w:multiLevelType w:val="multilevel"/>
    <w:tmpl w:val="18995355"/>
    <w:lvl w:ilvl="0" w:tentative="0">
      <w:start w:val="1"/>
      <w:numFmt w:val="decimal"/>
      <w:pStyle w:val="10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23379E"/>
    <w:multiLevelType w:val="multilevel"/>
    <w:tmpl w:val="2323379E"/>
    <w:lvl w:ilvl="0" w:tentative="0">
      <w:start w:val="1"/>
      <w:numFmt w:val="chineseCountingThousand"/>
      <w:pStyle w:val="3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857717"/>
    <w:multiLevelType w:val="multilevel"/>
    <w:tmpl w:val="26857717"/>
    <w:lvl w:ilvl="0" w:tentative="0">
      <w:start w:val="1"/>
      <w:numFmt w:val="chineseCountingThousand"/>
      <w:pStyle w:val="102"/>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4">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6CB11212"/>
    <w:multiLevelType w:val="multilevel"/>
    <w:tmpl w:val="6CB11212"/>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TMzYTUwMDQ2NGI5ZjlmZDhiN2FjZGE2OTYyZDY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0B91"/>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07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317BAC"/>
    <w:rsid w:val="0156352C"/>
    <w:rsid w:val="0160078A"/>
    <w:rsid w:val="016025FC"/>
    <w:rsid w:val="01727AD4"/>
    <w:rsid w:val="018C519F"/>
    <w:rsid w:val="01910A08"/>
    <w:rsid w:val="01A56261"/>
    <w:rsid w:val="01CE57B8"/>
    <w:rsid w:val="01E00D2D"/>
    <w:rsid w:val="01EB68FC"/>
    <w:rsid w:val="01F30A1B"/>
    <w:rsid w:val="02136A35"/>
    <w:rsid w:val="02184C85"/>
    <w:rsid w:val="02263E9A"/>
    <w:rsid w:val="02276CDB"/>
    <w:rsid w:val="02602E58"/>
    <w:rsid w:val="026A14A8"/>
    <w:rsid w:val="0284108D"/>
    <w:rsid w:val="02846ED2"/>
    <w:rsid w:val="029F0F02"/>
    <w:rsid w:val="02AB3F80"/>
    <w:rsid w:val="02F92D08"/>
    <w:rsid w:val="02FF011F"/>
    <w:rsid w:val="0306625F"/>
    <w:rsid w:val="0314369E"/>
    <w:rsid w:val="032B6C3A"/>
    <w:rsid w:val="03433F84"/>
    <w:rsid w:val="034D4E02"/>
    <w:rsid w:val="03636F78"/>
    <w:rsid w:val="038E49F0"/>
    <w:rsid w:val="038F7198"/>
    <w:rsid w:val="03905CE5"/>
    <w:rsid w:val="03925EFB"/>
    <w:rsid w:val="03960557"/>
    <w:rsid w:val="03AC7D7B"/>
    <w:rsid w:val="03B41164"/>
    <w:rsid w:val="03B659B7"/>
    <w:rsid w:val="03BE2FFA"/>
    <w:rsid w:val="03C055D4"/>
    <w:rsid w:val="03DD3993"/>
    <w:rsid w:val="03E33071"/>
    <w:rsid w:val="03E56DE9"/>
    <w:rsid w:val="04215F12"/>
    <w:rsid w:val="04221DEB"/>
    <w:rsid w:val="043072F8"/>
    <w:rsid w:val="043F0BEF"/>
    <w:rsid w:val="0441254B"/>
    <w:rsid w:val="044874C7"/>
    <w:rsid w:val="044B0EDF"/>
    <w:rsid w:val="04650E5C"/>
    <w:rsid w:val="04673CA2"/>
    <w:rsid w:val="04775A3C"/>
    <w:rsid w:val="047A7CF9"/>
    <w:rsid w:val="04BD2AAB"/>
    <w:rsid w:val="04C00E1E"/>
    <w:rsid w:val="04C90D1F"/>
    <w:rsid w:val="050138D2"/>
    <w:rsid w:val="05037796"/>
    <w:rsid w:val="05072DB3"/>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E7569"/>
    <w:rsid w:val="06797E31"/>
    <w:rsid w:val="069717B9"/>
    <w:rsid w:val="06D0451E"/>
    <w:rsid w:val="06DA6FC6"/>
    <w:rsid w:val="06EB6E0C"/>
    <w:rsid w:val="06F34B4B"/>
    <w:rsid w:val="06FF299A"/>
    <w:rsid w:val="070A729C"/>
    <w:rsid w:val="07342561"/>
    <w:rsid w:val="073C599D"/>
    <w:rsid w:val="073E5575"/>
    <w:rsid w:val="074128B0"/>
    <w:rsid w:val="074A10F8"/>
    <w:rsid w:val="074D3623"/>
    <w:rsid w:val="0761194E"/>
    <w:rsid w:val="076432D3"/>
    <w:rsid w:val="0781151E"/>
    <w:rsid w:val="07B54D24"/>
    <w:rsid w:val="07B63215"/>
    <w:rsid w:val="07B77A9C"/>
    <w:rsid w:val="07BC624E"/>
    <w:rsid w:val="07DC7A53"/>
    <w:rsid w:val="07F729B9"/>
    <w:rsid w:val="08000695"/>
    <w:rsid w:val="08081FA5"/>
    <w:rsid w:val="080B7557"/>
    <w:rsid w:val="08181E21"/>
    <w:rsid w:val="08184EC7"/>
    <w:rsid w:val="081C0B89"/>
    <w:rsid w:val="082B48A9"/>
    <w:rsid w:val="082D6348"/>
    <w:rsid w:val="084F5179"/>
    <w:rsid w:val="085264A2"/>
    <w:rsid w:val="085D7896"/>
    <w:rsid w:val="08684A24"/>
    <w:rsid w:val="0878647D"/>
    <w:rsid w:val="08924472"/>
    <w:rsid w:val="08A62997"/>
    <w:rsid w:val="08A969C4"/>
    <w:rsid w:val="08AB19DA"/>
    <w:rsid w:val="08AF6108"/>
    <w:rsid w:val="08B001C4"/>
    <w:rsid w:val="08B5409A"/>
    <w:rsid w:val="08D00FFA"/>
    <w:rsid w:val="08EF5F46"/>
    <w:rsid w:val="090441B5"/>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A6314"/>
    <w:rsid w:val="0B212C3A"/>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271088"/>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B63A18"/>
    <w:rsid w:val="0CBD3A66"/>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110D22"/>
    <w:rsid w:val="0E554C8F"/>
    <w:rsid w:val="0E5A2C39"/>
    <w:rsid w:val="0E736B11"/>
    <w:rsid w:val="0E7F3562"/>
    <w:rsid w:val="0E8E126E"/>
    <w:rsid w:val="0EBD2885"/>
    <w:rsid w:val="0EC34B2B"/>
    <w:rsid w:val="0ECA6B2D"/>
    <w:rsid w:val="0ECB5D10"/>
    <w:rsid w:val="0ECC1E18"/>
    <w:rsid w:val="0EDD18AD"/>
    <w:rsid w:val="0EE11257"/>
    <w:rsid w:val="0EE35EF2"/>
    <w:rsid w:val="0EEE7499"/>
    <w:rsid w:val="0EFA5849"/>
    <w:rsid w:val="0F16254C"/>
    <w:rsid w:val="0F1E6594"/>
    <w:rsid w:val="0F295746"/>
    <w:rsid w:val="0F2B6888"/>
    <w:rsid w:val="0F4F5F19"/>
    <w:rsid w:val="0F547B71"/>
    <w:rsid w:val="0F590199"/>
    <w:rsid w:val="0F7936CC"/>
    <w:rsid w:val="0F882744"/>
    <w:rsid w:val="0F8F3081"/>
    <w:rsid w:val="0FA5195F"/>
    <w:rsid w:val="0FAD4701"/>
    <w:rsid w:val="0FC621C4"/>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7C7ED8"/>
    <w:rsid w:val="12864FA7"/>
    <w:rsid w:val="12957C2C"/>
    <w:rsid w:val="12CC7D65"/>
    <w:rsid w:val="12F466E5"/>
    <w:rsid w:val="12FB3F33"/>
    <w:rsid w:val="130D010A"/>
    <w:rsid w:val="130E5DFE"/>
    <w:rsid w:val="1318492B"/>
    <w:rsid w:val="13195D86"/>
    <w:rsid w:val="133415D2"/>
    <w:rsid w:val="13390EFF"/>
    <w:rsid w:val="134659BB"/>
    <w:rsid w:val="13534D6F"/>
    <w:rsid w:val="135D699C"/>
    <w:rsid w:val="1362355A"/>
    <w:rsid w:val="136B46BF"/>
    <w:rsid w:val="136F470A"/>
    <w:rsid w:val="13860D94"/>
    <w:rsid w:val="138A779A"/>
    <w:rsid w:val="138D2BCA"/>
    <w:rsid w:val="139879D4"/>
    <w:rsid w:val="13A12FBB"/>
    <w:rsid w:val="13C44C6D"/>
    <w:rsid w:val="13EB044B"/>
    <w:rsid w:val="13F53078"/>
    <w:rsid w:val="13FD017F"/>
    <w:rsid w:val="1400703C"/>
    <w:rsid w:val="14024E31"/>
    <w:rsid w:val="14162AF4"/>
    <w:rsid w:val="142F0857"/>
    <w:rsid w:val="1436652A"/>
    <w:rsid w:val="1437543F"/>
    <w:rsid w:val="1444680B"/>
    <w:rsid w:val="14473B09"/>
    <w:rsid w:val="14526E7B"/>
    <w:rsid w:val="145853B5"/>
    <w:rsid w:val="147246C9"/>
    <w:rsid w:val="14834C84"/>
    <w:rsid w:val="14840D97"/>
    <w:rsid w:val="14861F22"/>
    <w:rsid w:val="148D4AEF"/>
    <w:rsid w:val="14A32AD4"/>
    <w:rsid w:val="14CA62B3"/>
    <w:rsid w:val="14CF3D47"/>
    <w:rsid w:val="14D94AE9"/>
    <w:rsid w:val="14E1184E"/>
    <w:rsid w:val="14EB2AE0"/>
    <w:rsid w:val="14F50E56"/>
    <w:rsid w:val="14F7288F"/>
    <w:rsid w:val="14FC59FF"/>
    <w:rsid w:val="15063688"/>
    <w:rsid w:val="15175270"/>
    <w:rsid w:val="151E65FF"/>
    <w:rsid w:val="15336151"/>
    <w:rsid w:val="156275CE"/>
    <w:rsid w:val="157952EA"/>
    <w:rsid w:val="157B75AD"/>
    <w:rsid w:val="15876E40"/>
    <w:rsid w:val="158C2DC7"/>
    <w:rsid w:val="15A718D7"/>
    <w:rsid w:val="15BF64B6"/>
    <w:rsid w:val="15D975F0"/>
    <w:rsid w:val="15EC6D9F"/>
    <w:rsid w:val="15F64207"/>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E86EC4"/>
    <w:rsid w:val="16F21AF1"/>
    <w:rsid w:val="16F45869"/>
    <w:rsid w:val="17025136"/>
    <w:rsid w:val="17080CB3"/>
    <w:rsid w:val="17104E33"/>
    <w:rsid w:val="172779EC"/>
    <w:rsid w:val="172C5003"/>
    <w:rsid w:val="17435B9A"/>
    <w:rsid w:val="17481711"/>
    <w:rsid w:val="17530278"/>
    <w:rsid w:val="175B1444"/>
    <w:rsid w:val="17654405"/>
    <w:rsid w:val="1770488D"/>
    <w:rsid w:val="177251DB"/>
    <w:rsid w:val="179F403B"/>
    <w:rsid w:val="17B46DA6"/>
    <w:rsid w:val="17E07B23"/>
    <w:rsid w:val="17EA1B3B"/>
    <w:rsid w:val="17F04282"/>
    <w:rsid w:val="181D21AB"/>
    <w:rsid w:val="18241EFA"/>
    <w:rsid w:val="182551D2"/>
    <w:rsid w:val="18302625"/>
    <w:rsid w:val="183C5221"/>
    <w:rsid w:val="184B770B"/>
    <w:rsid w:val="18716A45"/>
    <w:rsid w:val="188056B2"/>
    <w:rsid w:val="1887731B"/>
    <w:rsid w:val="18A312F5"/>
    <w:rsid w:val="18A71570"/>
    <w:rsid w:val="18AF5EEB"/>
    <w:rsid w:val="18B06992"/>
    <w:rsid w:val="18BF29A5"/>
    <w:rsid w:val="18C43019"/>
    <w:rsid w:val="18CB43A7"/>
    <w:rsid w:val="18D95C4B"/>
    <w:rsid w:val="18E33521"/>
    <w:rsid w:val="18EB67F8"/>
    <w:rsid w:val="18FA4C8D"/>
    <w:rsid w:val="18FF7748"/>
    <w:rsid w:val="19133920"/>
    <w:rsid w:val="19296091"/>
    <w:rsid w:val="192A5A0F"/>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9F789A"/>
    <w:rsid w:val="1AA37850"/>
    <w:rsid w:val="1AA650CC"/>
    <w:rsid w:val="1AA864FA"/>
    <w:rsid w:val="1AB97B24"/>
    <w:rsid w:val="1AC90DBB"/>
    <w:rsid w:val="1AD930B1"/>
    <w:rsid w:val="1AFA71C6"/>
    <w:rsid w:val="1B267FBB"/>
    <w:rsid w:val="1B3C77DE"/>
    <w:rsid w:val="1B3E1360"/>
    <w:rsid w:val="1B453F87"/>
    <w:rsid w:val="1B4A02FA"/>
    <w:rsid w:val="1B6D0A69"/>
    <w:rsid w:val="1B7D2468"/>
    <w:rsid w:val="1B886580"/>
    <w:rsid w:val="1BAB30F2"/>
    <w:rsid w:val="1BB64807"/>
    <w:rsid w:val="1BC45815"/>
    <w:rsid w:val="1BC62263"/>
    <w:rsid w:val="1BCA6B98"/>
    <w:rsid w:val="1BEC2FB3"/>
    <w:rsid w:val="1BEE345E"/>
    <w:rsid w:val="1BF209FD"/>
    <w:rsid w:val="1BF530EC"/>
    <w:rsid w:val="1C044843"/>
    <w:rsid w:val="1C165429"/>
    <w:rsid w:val="1C4C7B54"/>
    <w:rsid w:val="1C6D30D8"/>
    <w:rsid w:val="1C7911F1"/>
    <w:rsid w:val="1C7B60E4"/>
    <w:rsid w:val="1CCB47C0"/>
    <w:rsid w:val="1CE27F12"/>
    <w:rsid w:val="1CF3330B"/>
    <w:rsid w:val="1D0C2883"/>
    <w:rsid w:val="1D3B1144"/>
    <w:rsid w:val="1D44297A"/>
    <w:rsid w:val="1D4E4561"/>
    <w:rsid w:val="1D703128"/>
    <w:rsid w:val="1D7C5FBA"/>
    <w:rsid w:val="1D81336E"/>
    <w:rsid w:val="1D8B67FB"/>
    <w:rsid w:val="1D9F19C4"/>
    <w:rsid w:val="1DA575B0"/>
    <w:rsid w:val="1DAF24EA"/>
    <w:rsid w:val="1DB375C5"/>
    <w:rsid w:val="1DB46449"/>
    <w:rsid w:val="1DBC69B5"/>
    <w:rsid w:val="1DC332DD"/>
    <w:rsid w:val="1DDB0E18"/>
    <w:rsid w:val="1DE80C95"/>
    <w:rsid w:val="1DEF6D8A"/>
    <w:rsid w:val="1E061E25"/>
    <w:rsid w:val="1E226345"/>
    <w:rsid w:val="1E24594C"/>
    <w:rsid w:val="1E37428D"/>
    <w:rsid w:val="1E3A6C06"/>
    <w:rsid w:val="1E424E8A"/>
    <w:rsid w:val="1E6C5E06"/>
    <w:rsid w:val="1E7054DA"/>
    <w:rsid w:val="1E736290"/>
    <w:rsid w:val="1E8C6387"/>
    <w:rsid w:val="1E9A6CF6"/>
    <w:rsid w:val="1EAA4A5F"/>
    <w:rsid w:val="1EB06519"/>
    <w:rsid w:val="1EB458DE"/>
    <w:rsid w:val="1EC00497"/>
    <w:rsid w:val="1EDA5344"/>
    <w:rsid w:val="1EE613D0"/>
    <w:rsid w:val="1EF1268E"/>
    <w:rsid w:val="1EF21855"/>
    <w:rsid w:val="1EF501D6"/>
    <w:rsid w:val="1F1830CB"/>
    <w:rsid w:val="1F1D4CEA"/>
    <w:rsid w:val="1F3431EF"/>
    <w:rsid w:val="1F412ACD"/>
    <w:rsid w:val="1F896D6A"/>
    <w:rsid w:val="1FA51C58"/>
    <w:rsid w:val="1FA7649E"/>
    <w:rsid w:val="1FAE0E8A"/>
    <w:rsid w:val="1FBE7B22"/>
    <w:rsid w:val="1FCD4EA9"/>
    <w:rsid w:val="20061562"/>
    <w:rsid w:val="200A7EAB"/>
    <w:rsid w:val="2017317A"/>
    <w:rsid w:val="201D0468"/>
    <w:rsid w:val="202625AA"/>
    <w:rsid w:val="202857A9"/>
    <w:rsid w:val="202D76F6"/>
    <w:rsid w:val="203D7B26"/>
    <w:rsid w:val="20983E85"/>
    <w:rsid w:val="20B10327"/>
    <w:rsid w:val="20B15A28"/>
    <w:rsid w:val="20C655D1"/>
    <w:rsid w:val="20C77B4A"/>
    <w:rsid w:val="20C92795"/>
    <w:rsid w:val="20D65FDF"/>
    <w:rsid w:val="20DB0CE4"/>
    <w:rsid w:val="20E961FA"/>
    <w:rsid w:val="211A14D6"/>
    <w:rsid w:val="211F34E2"/>
    <w:rsid w:val="2132735C"/>
    <w:rsid w:val="21564CC5"/>
    <w:rsid w:val="21725E20"/>
    <w:rsid w:val="217F21D3"/>
    <w:rsid w:val="21894835"/>
    <w:rsid w:val="219F6403"/>
    <w:rsid w:val="21A148C9"/>
    <w:rsid w:val="21A84B20"/>
    <w:rsid w:val="21A97250"/>
    <w:rsid w:val="21D06ED2"/>
    <w:rsid w:val="21D547D9"/>
    <w:rsid w:val="21E36C06"/>
    <w:rsid w:val="21F841CB"/>
    <w:rsid w:val="22094970"/>
    <w:rsid w:val="2224426F"/>
    <w:rsid w:val="223B07F0"/>
    <w:rsid w:val="224C10D0"/>
    <w:rsid w:val="225222AD"/>
    <w:rsid w:val="22541289"/>
    <w:rsid w:val="22560474"/>
    <w:rsid w:val="225C24EF"/>
    <w:rsid w:val="226433E0"/>
    <w:rsid w:val="22685BE4"/>
    <w:rsid w:val="22786DC6"/>
    <w:rsid w:val="22951269"/>
    <w:rsid w:val="22952C4B"/>
    <w:rsid w:val="22A07A2E"/>
    <w:rsid w:val="22AE1FD7"/>
    <w:rsid w:val="22B00DA9"/>
    <w:rsid w:val="22B12860"/>
    <w:rsid w:val="22B1460E"/>
    <w:rsid w:val="22F10EAE"/>
    <w:rsid w:val="230D3F37"/>
    <w:rsid w:val="231128EB"/>
    <w:rsid w:val="23307C29"/>
    <w:rsid w:val="233415C5"/>
    <w:rsid w:val="234C07DB"/>
    <w:rsid w:val="23566F63"/>
    <w:rsid w:val="2362143C"/>
    <w:rsid w:val="23645B24"/>
    <w:rsid w:val="2386225E"/>
    <w:rsid w:val="23887A65"/>
    <w:rsid w:val="238E2BA1"/>
    <w:rsid w:val="239A6033"/>
    <w:rsid w:val="23A418A2"/>
    <w:rsid w:val="23AE1EA3"/>
    <w:rsid w:val="23C40371"/>
    <w:rsid w:val="23D11B74"/>
    <w:rsid w:val="23D5432C"/>
    <w:rsid w:val="23EB3B50"/>
    <w:rsid w:val="23EE71CC"/>
    <w:rsid w:val="2404346B"/>
    <w:rsid w:val="24172B97"/>
    <w:rsid w:val="241C5D1B"/>
    <w:rsid w:val="24292475"/>
    <w:rsid w:val="242977C5"/>
    <w:rsid w:val="24351601"/>
    <w:rsid w:val="24375486"/>
    <w:rsid w:val="24390A60"/>
    <w:rsid w:val="243E33BC"/>
    <w:rsid w:val="246F7026"/>
    <w:rsid w:val="247B31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B7744"/>
    <w:rsid w:val="2651082C"/>
    <w:rsid w:val="267E7EE2"/>
    <w:rsid w:val="26A804CA"/>
    <w:rsid w:val="26C66AA9"/>
    <w:rsid w:val="26DD1E76"/>
    <w:rsid w:val="26F64CE5"/>
    <w:rsid w:val="26F87EF2"/>
    <w:rsid w:val="270671A8"/>
    <w:rsid w:val="271703C5"/>
    <w:rsid w:val="27351CB2"/>
    <w:rsid w:val="27361586"/>
    <w:rsid w:val="275163C0"/>
    <w:rsid w:val="277D1B2D"/>
    <w:rsid w:val="27835FFC"/>
    <w:rsid w:val="2794279E"/>
    <w:rsid w:val="279E7050"/>
    <w:rsid w:val="27A466B8"/>
    <w:rsid w:val="27AF6D80"/>
    <w:rsid w:val="27B0198F"/>
    <w:rsid w:val="27B92AB7"/>
    <w:rsid w:val="27D43FB1"/>
    <w:rsid w:val="27DE552A"/>
    <w:rsid w:val="27E022D4"/>
    <w:rsid w:val="27EA3BC0"/>
    <w:rsid w:val="27F84A8D"/>
    <w:rsid w:val="27FC3AE4"/>
    <w:rsid w:val="28065AFB"/>
    <w:rsid w:val="280C4E96"/>
    <w:rsid w:val="281B7D88"/>
    <w:rsid w:val="282E4FCE"/>
    <w:rsid w:val="28342B35"/>
    <w:rsid w:val="2834568E"/>
    <w:rsid w:val="283F0442"/>
    <w:rsid w:val="284E32AF"/>
    <w:rsid w:val="28520641"/>
    <w:rsid w:val="286D1F27"/>
    <w:rsid w:val="287E1436"/>
    <w:rsid w:val="28924EE2"/>
    <w:rsid w:val="28975940"/>
    <w:rsid w:val="28A2738B"/>
    <w:rsid w:val="28A86838"/>
    <w:rsid w:val="28C4031B"/>
    <w:rsid w:val="28CB6760"/>
    <w:rsid w:val="28DA7C9C"/>
    <w:rsid w:val="28EC71CA"/>
    <w:rsid w:val="28F811E9"/>
    <w:rsid w:val="290B259E"/>
    <w:rsid w:val="291D0C4F"/>
    <w:rsid w:val="2924258A"/>
    <w:rsid w:val="29274E04"/>
    <w:rsid w:val="293F46A3"/>
    <w:rsid w:val="296D1EE4"/>
    <w:rsid w:val="29944EB8"/>
    <w:rsid w:val="299C4433"/>
    <w:rsid w:val="29DB4666"/>
    <w:rsid w:val="29E4351B"/>
    <w:rsid w:val="29E736D3"/>
    <w:rsid w:val="29EC0622"/>
    <w:rsid w:val="29F90BEA"/>
    <w:rsid w:val="29FB1FE8"/>
    <w:rsid w:val="29FE68AE"/>
    <w:rsid w:val="2A031B89"/>
    <w:rsid w:val="2A070C32"/>
    <w:rsid w:val="2A0B0AA8"/>
    <w:rsid w:val="2A1F6D8E"/>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553EE9"/>
    <w:rsid w:val="2B674404"/>
    <w:rsid w:val="2B6E1B3C"/>
    <w:rsid w:val="2B801021"/>
    <w:rsid w:val="2B91322F"/>
    <w:rsid w:val="2B9A7696"/>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EF46B1"/>
    <w:rsid w:val="2CF220D0"/>
    <w:rsid w:val="2D032370"/>
    <w:rsid w:val="2D056154"/>
    <w:rsid w:val="2D094BEA"/>
    <w:rsid w:val="2D2A52C6"/>
    <w:rsid w:val="2D4D7629"/>
    <w:rsid w:val="2D880661"/>
    <w:rsid w:val="2D8F1DD6"/>
    <w:rsid w:val="2D915A33"/>
    <w:rsid w:val="2D954534"/>
    <w:rsid w:val="2D9800A5"/>
    <w:rsid w:val="2DC3712A"/>
    <w:rsid w:val="2DE171DF"/>
    <w:rsid w:val="2DEF1551"/>
    <w:rsid w:val="2E0200C9"/>
    <w:rsid w:val="2E3C6ABB"/>
    <w:rsid w:val="2E4345B4"/>
    <w:rsid w:val="2E5A3DAC"/>
    <w:rsid w:val="2E5D53FD"/>
    <w:rsid w:val="2E61599C"/>
    <w:rsid w:val="2E6332CF"/>
    <w:rsid w:val="2E6D3D40"/>
    <w:rsid w:val="2EA63495"/>
    <w:rsid w:val="2EBA0298"/>
    <w:rsid w:val="2EBF09B3"/>
    <w:rsid w:val="2EC3662C"/>
    <w:rsid w:val="2ED22F7C"/>
    <w:rsid w:val="2ED73784"/>
    <w:rsid w:val="2EDF3673"/>
    <w:rsid w:val="2EE213C2"/>
    <w:rsid w:val="2EFC30B5"/>
    <w:rsid w:val="2F4857D3"/>
    <w:rsid w:val="2F486989"/>
    <w:rsid w:val="2F653004"/>
    <w:rsid w:val="2F684953"/>
    <w:rsid w:val="2F8135BA"/>
    <w:rsid w:val="2F8D622E"/>
    <w:rsid w:val="2F9037FD"/>
    <w:rsid w:val="2F917CA1"/>
    <w:rsid w:val="2F982E42"/>
    <w:rsid w:val="2FCB7EDC"/>
    <w:rsid w:val="2FD951A4"/>
    <w:rsid w:val="2FE60F0B"/>
    <w:rsid w:val="2FFE3400"/>
    <w:rsid w:val="301663F8"/>
    <w:rsid w:val="301B0290"/>
    <w:rsid w:val="303C4D07"/>
    <w:rsid w:val="306461F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005B5"/>
    <w:rsid w:val="317118EE"/>
    <w:rsid w:val="318555E4"/>
    <w:rsid w:val="318A3760"/>
    <w:rsid w:val="31C84C92"/>
    <w:rsid w:val="31D163B5"/>
    <w:rsid w:val="31D976DD"/>
    <w:rsid w:val="31DE4220"/>
    <w:rsid w:val="31E71DFA"/>
    <w:rsid w:val="3201528F"/>
    <w:rsid w:val="322F3FB8"/>
    <w:rsid w:val="32391589"/>
    <w:rsid w:val="32454D73"/>
    <w:rsid w:val="324C06E6"/>
    <w:rsid w:val="324C4353"/>
    <w:rsid w:val="32537654"/>
    <w:rsid w:val="327775A4"/>
    <w:rsid w:val="32794A1C"/>
    <w:rsid w:val="327B7589"/>
    <w:rsid w:val="32931F82"/>
    <w:rsid w:val="32B10314"/>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D18BD"/>
    <w:rsid w:val="33A37FA3"/>
    <w:rsid w:val="33B73A4E"/>
    <w:rsid w:val="33B946F2"/>
    <w:rsid w:val="33B95A18"/>
    <w:rsid w:val="33D4718D"/>
    <w:rsid w:val="33DC0716"/>
    <w:rsid w:val="33E54418"/>
    <w:rsid w:val="33F07509"/>
    <w:rsid w:val="33F627C9"/>
    <w:rsid w:val="340467E0"/>
    <w:rsid w:val="341A5E10"/>
    <w:rsid w:val="34272982"/>
    <w:rsid w:val="342804A8"/>
    <w:rsid w:val="343C7EFD"/>
    <w:rsid w:val="34472085"/>
    <w:rsid w:val="34545741"/>
    <w:rsid w:val="34572B3B"/>
    <w:rsid w:val="346D0033"/>
    <w:rsid w:val="3474193F"/>
    <w:rsid w:val="347A4AA6"/>
    <w:rsid w:val="347C3D10"/>
    <w:rsid w:val="34825E0A"/>
    <w:rsid w:val="34BA5036"/>
    <w:rsid w:val="34BC5AFA"/>
    <w:rsid w:val="34C24459"/>
    <w:rsid w:val="34C91AA1"/>
    <w:rsid w:val="34D337DA"/>
    <w:rsid w:val="34D6600F"/>
    <w:rsid w:val="34EE34A0"/>
    <w:rsid w:val="34FA7F15"/>
    <w:rsid w:val="34FB24F0"/>
    <w:rsid w:val="352930DB"/>
    <w:rsid w:val="353B59DD"/>
    <w:rsid w:val="35534E88"/>
    <w:rsid w:val="35633752"/>
    <w:rsid w:val="3569521C"/>
    <w:rsid w:val="35823489"/>
    <w:rsid w:val="35897E8C"/>
    <w:rsid w:val="35953A4C"/>
    <w:rsid w:val="35A66D4C"/>
    <w:rsid w:val="35A734CE"/>
    <w:rsid w:val="35B5404A"/>
    <w:rsid w:val="35CA6E6E"/>
    <w:rsid w:val="35F950CF"/>
    <w:rsid w:val="35FA1CB2"/>
    <w:rsid w:val="36050AA1"/>
    <w:rsid w:val="361E1B63"/>
    <w:rsid w:val="361E6D32"/>
    <w:rsid w:val="36301896"/>
    <w:rsid w:val="36320657"/>
    <w:rsid w:val="36321AB2"/>
    <w:rsid w:val="36673AC2"/>
    <w:rsid w:val="3683401A"/>
    <w:rsid w:val="368D4567"/>
    <w:rsid w:val="369D7707"/>
    <w:rsid w:val="36AB2FBA"/>
    <w:rsid w:val="36C3270A"/>
    <w:rsid w:val="36FF4B7D"/>
    <w:rsid w:val="371448CE"/>
    <w:rsid w:val="371D2877"/>
    <w:rsid w:val="372A0A3B"/>
    <w:rsid w:val="372A4537"/>
    <w:rsid w:val="373C4996"/>
    <w:rsid w:val="374A1E98"/>
    <w:rsid w:val="37533C0B"/>
    <w:rsid w:val="375F68D7"/>
    <w:rsid w:val="37794D4F"/>
    <w:rsid w:val="37A02925"/>
    <w:rsid w:val="37B3277F"/>
    <w:rsid w:val="37B34CA4"/>
    <w:rsid w:val="37BD7469"/>
    <w:rsid w:val="37D9327F"/>
    <w:rsid w:val="37E93A81"/>
    <w:rsid w:val="37ED7A3F"/>
    <w:rsid w:val="37F75EE1"/>
    <w:rsid w:val="38172D0E"/>
    <w:rsid w:val="38317A04"/>
    <w:rsid w:val="38430BE0"/>
    <w:rsid w:val="384B5B0E"/>
    <w:rsid w:val="38547ABE"/>
    <w:rsid w:val="38591578"/>
    <w:rsid w:val="385B0E4C"/>
    <w:rsid w:val="385C66C2"/>
    <w:rsid w:val="38645F08"/>
    <w:rsid w:val="38697E97"/>
    <w:rsid w:val="387168C2"/>
    <w:rsid w:val="387548B4"/>
    <w:rsid w:val="3888121E"/>
    <w:rsid w:val="389B1BDF"/>
    <w:rsid w:val="38A1659F"/>
    <w:rsid w:val="38AF2F46"/>
    <w:rsid w:val="38C95821"/>
    <w:rsid w:val="38F02478"/>
    <w:rsid w:val="390239BE"/>
    <w:rsid w:val="39180C1C"/>
    <w:rsid w:val="392A1B36"/>
    <w:rsid w:val="392A34F7"/>
    <w:rsid w:val="392A4E38"/>
    <w:rsid w:val="393A6E69"/>
    <w:rsid w:val="39675500"/>
    <w:rsid w:val="396B1563"/>
    <w:rsid w:val="39754190"/>
    <w:rsid w:val="39BF57BB"/>
    <w:rsid w:val="39CB3512"/>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615DAA"/>
    <w:rsid w:val="3B944458"/>
    <w:rsid w:val="3B954675"/>
    <w:rsid w:val="3B9823B7"/>
    <w:rsid w:val="3BAF7463"/>
    <w:rsid w:val="3BB271C7"/>
    <w:rsid w:val="3BB557AB"/>
    <w:rsid w:val="3BBF5B96"/>
    <w:rsid w:val="3BC744EA"/>
    <w:rsid w:val="3BCE135D"/>
    <w:rsid w:val="3BD60968"/>
    <w:rsid w:val="3C4414D2"/>
    <w:rsid w:val="3C487FE4"/>
    <w:rsid w:val="3C595B04"/>
    <w:rsid w:val="3C5C17D2"/>
    <w:rsid w:val="3C5F42F8"/>
    <w:rsid w:val="3C6C0F9B"/>
    <w:rsid w:val="3C7301F1"/>
    <w:rsid w:val="3C7356FA"/>
    <w:rsid w:val="3C860462"/>
    <w:rsid w:val="3C9506A5"/>
    <w:rsid w:val="3CA1704A"/>
    <w:rsid w:val="3CCA5D29"/>
    <w:rsid w:val="3CD4741F"/>
    <w:rsid w:val="3CFB3A43"/>
    <w:rsid w:val="3CFB661F"/>
    <w:rsid w:val="3D0B626C"/>
    <w:rsid w:val="3D0F4D1C"/>
    <w:rsid w:val="3D167A38"/>
    <w:rsid w:val="3D1F4715"/>
    <w:rsid w:val="3D487A50"/>
    <w:rsid w:val="3D5139EC"/>
    <w:rsid w:val="3D7A6218"/>
    <w:rsid w:val="3D8552FA"/>
    <w:rsid w:val="3D8C367A"/>
    <w:rsid w:val="3DB039E8"/>
    <w:rsid w:val="3DCF2188"/>
    <w:rsid w:val="3DD1570D"/>
    <w:rsid w:val="3DDE7492"/>
    <w:rsid w:val="3DF2026B"/>
    <w:rsid w:val="3DF80EEB"/>
    <w:rsid w:val="3DFA1107"/>
    <w:rsid w:val="3DFF04CC"/>
    <w:rsid w:val="3E0E6961"/>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7E18C4"/>
    <w:rsid w:val="3F821E5A"/>
    <w:rsid w:val="3F826617"/>
    <w:rsid w:val="3F882148"/>
    <w:rsid w:val="3FAD5B09"/>
    <w:rsid w:val="3FAF5707"/>
    <w:rsid w:val="3FD61700"/>
    <w:rsid w:val="3FD85683"/>
    <w:rsid w:val="3FF130F6"/>
    <w:rsid w:val="3FFA5B87"/>
    <w:rsid w:val="3FFF6096"/>
    <w:rsid w:val="40044B90"/>
    <w:rsid w:val="40153FD6"/>
    <w:rsid w:val="402042D4"/>
    <w:rsid w:val="40273D0A"/>
    <w:rsid w:val="40310071"/>
    <w:rsid w:val="4045485F"/>
    <w:rsid w:val="407E6CF4"/>
    <w:rsid w:val="4081166C"/>
    <w:rsid w:val="40A01D3A"/>
    <w:rsid w:val="40C652D1"/>
    <w:rsid w:val="40C92CD2"/>
    <w:rsid w:val="40EE1315"/>
    <w:rsid w:val="410B7187"/>
    <w:rsid w:val="411249BA"/>
    <w:rsid w:val="41166258"/>
    <w:rsid w:val="414172BF"/>
    <w:rsid w:val="414C7ECC"/>
    <w:rsid w:val="416A190F"/>
    <w:rsid w:val="416E7E42"/>
    <w:rsid w:val="416F3BBA"/>
    <w:rsid w:val="418770B8"/>
    <w:rsid w:val="41AD023F"/>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C26869"/>
    <w:rsid w:val="42DD6902"/>
    <w:rsid w:val="42ED02B3"/>
    <w:rsid w:val="42FE6FA4"/>
    <w:rsid w:val="43040332"/>
    <w:rsid w:val="430F518E"/>
    <w:rsid w:val="43152860"/>
    <w:rsid w:val="431762B8"/>
    <w:rsid w:val="431A4176"/>
    <w:rsid w:val="431B17D2"/>
    <w:rsid w:val="434A043B"/>
    <w:rsid w:val="43560B8E"/>
    <w:rsid w:val="43607C5E"/>
    <w:rsid w:val="43772A58"/>
    <w:rsid w:val="438761B4"/>
    <w:rsid w:val="4389474A"/>
    <w:rsid w:val="43923B90"/>
    <w:rsid w:val="43A4707C"/>
    <w:rsid w:val="43D67B4D"/>
    <w:rsid w:val="43DF0926"/>
    <w:rsid w:val="43E20644"/>
    <w:rsid w:val="43F15324"/>
    <w:rsid w:val="440B706C"/>
    <w:rsid w:val="44110F59"/>
    <w:rsid w:val="441A605F"/>
    <w:rsid w:val="441D70DF"/>
    <w:rsid w:val="441E176A"/>
    <w:rsid w:val="44292D63"/>
    <w:rsid w:val="443B0E5E"/>
    <w:rsid w:val="4445330B"/>
    <w:rsid w:val="44484B78"/>
    <w:rsid w:val="44550816"/>
    <w:rsid w:val="445826E4"/>
    <w:rsid w:val="44592AFA"/>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675331"/>
    <w:rsid w:val="458021A9"/>
    <w:rsid w:val="45834749"/>
    <w:rsid w:val="458D7ACD"/>
    <w:rsid w:val="45AB63C3"/>
    <w:rsid w:val="45D73ADC"/>
    <w:rsid w:val="45D93CF8"/>
    <w:rsid w:val="45F20395"/>
    <w:rsid w:val="45FE72BB"/>
    <w:rsid w:val="45FE7CC8"/>
    <w:rsid w:val="46053A9B"/>
    <w:rsid w:val="460A3EB2"/>
    <w:rsid w:val="46121C64"/>
    <w:rsid w:val="46162856"/>
    <w:rsid w:val="46226EB0"/>
    <w:rsid w:val="46326FF4"/>
    <w:rsid w:val="4658671E"/>
    <w:rsid w:val="465C2A22"/>
    <w:rsid w:val="466E205D"/>
    <w:rsid w:val="467911B3"/>
    <w:rsid w:val="46812B8D"/>
    <w:rsid w:val="46832413"/>
    <w:rsid w:val="46885E2A"/>
    <w:rsid w:val="469849D2"/>
    <w:rsid w:val="469F2601"/>
    <w:rsid w:val="46A82FBF"/>
    <w:rsid w:val="46AB40C3"/>
    <w:rsid w:val="46BA58D8"/>
    <w:rsid w:val="46C439A8"/>
    <w:rsid w:val="46CE7995"/>
    <w:rsid w:val="46D7323F"/>
    <w:rsid w:val="46E0501A"/>
    <w:rsid w:val="46F10BCE"/>
    <w:rsid w:val="46FC1214"/>
    <w:rsid w:val="47021DBA"/>
    <w:rsid w:val="47116AAD"/>
    <w:rsid w:val="471F2FD5"/>
    <w:rsid w:val="475D3DAD"/>
    <w:rsid w:val="47705F96"/>
    <w:rsid w:val="479C5383"/>
    <w:rsid w:val="479F646B"/>
    <w:rsid w:val="47A56FB4"/>
    <w:rsid w:val="47AD7CF1"/>
    <w:rsid w:val="47B9547A"/>
    <w:rsid w:val="47D67F88"/>
    <w:rsid w:val="4803505C"/>
    <w:rsid w:val="480831B5"/>
    <w:rsid w:val="480D66CD"/>
    <w:rsid w:val="480F105A"/>
    <w:rsid w:val="48194880"/>
    <w:rsid w:val="482254E2"/>
    <w:rsid w:val="482849BA"/>
    <w:rsid w:val="483D056E"/>
    <w:rsid w:val="483F2BC9"/>
    <w:rsid w:val="485A1120"/>
    <w:rsid w:val="48A7549C"/>
    <w:rsid w:val="48B545A9"/>
    <w:rsid w:val="48BA15B1"/>
    <w:rsid w:val="48C93BB0"/>
    <w:rsid w:val="48D273AC"/>
    <w:rsid w:val="48D76D49"/>
    <w:rsid w:val="48E97759"/>
    <w:rsid w:val="491F1E48"/>
    <w:rsid w:val="492139EC"/>
    <w:rsid w:val="492359B6"/>
    <w:rsid w:val="49337978"/>
    <w:rsid w:val="495D26EB"/>
    <w:rsid w:val="49600707"/>
    <w:rsid w:val="49656EDC"/>
    <w:rsid w:val="49793828"/>
    <w:rsid w:val="4987138C"/>
    <w:rsid w:val="49883A6B"/>
    <w:rsid w:val="49B91793"/>
    <w:rsid w:val="49C37596"/>
    <w:rsid w:val="49CD147E"/>
    <w:rsid w:val="49CF169A"/>
    <w:rsid w:val="49D348F2"/>
    <w:rsid w:val="49E204D8"/>
    <w:rsid w:val="49FA66B9"/>
    <w:rsid w:val="4A0D3F70"/>
    <w:rsid w:val="4A103FF4"/>
    <w:rsid w:val="4A1277D9"/>
    <w:rsid w:val="4A2F2139"/>
    <w:rsid w:val="4A5D0A54"/>
    <w:rsid w:val="4A666565"/>
    <w:rsid w:val="4A7B56F5"/>
    <w:rsid w:val="4A7B66E4"/>
    <w:rsid w:val="4A7D5113"/>
    <w:rsid w:val="4A7F4FCB"/>
    <w:rsid w:val="4A812A30"/>
    <w:rsid w:val="4A89523C"/>
    <w:rsid w:val="4AB019AF"/>
    <w:rsid w:val="4AC54E91"/>
    <w:rsid w:val="4AD30D16"/>
    <w:rsid w:val="4AD5154D"/>
    <w:rsid w:val="4AEA3364"/>
    <w:rsid w:val="4AF73617"/>
    <w:rsid w:val="4AFB71B8"/>
    <w:rsid w:val="4B101F6A"/>
    <w:rsid w:val="4B3F45FD"/>
    <w:rsid w:val="4B593BC4"/>
    <w:rsid w:val="4B6A463C"/>
    <w:rsid w:val="4B7B477B"/>
    <w:rsid w:val="4B82385F"/>
    <w:rsid w:val="4B902FB1"/>
    <w:rsid w:val="4B9E0E3F"/>
    <w:rsid w:val="4BB63B5B"/>
    <w:rsid w:val="4BB9615E"/>
    <w:rsid w:val="4BCC283D"/>
    <w:rsid w:val="4BD35E6D"/>
    <w:rsid w:val="4BDC1E4C"/>
    <w:rsid w:val="4BE1231B"/>
    <w:rsid w:val="4BFF5353"/>
    <w:rsid w:val="4C1F6EFC"/>
    <w:rsid w:val="4C2F265F"/>
    <w:rsid w:val="4C4E758C"/>
    <w:rsid w:val="4C5B5DF1"/>
    <w:rsid w:val="4C6D6DCE"/>
    <w:rsid w:val="4C752052"/>
    <w:rsid w:val="4C7D3694"/>
    <w:rsid w:val="4C9F27AB"/>
    <w:rsid w:val="4CBD4A44"/>
    <w:rsid w:val="4CD40D75"/>
    <w:rsid w:val="4CDE3815"/>
    <w:rsid w:val="4CED2983"/>
    <w:rsid w:val="4D0D2958"/>
    <w:rsid w:val="4D145493"/>
    <w:rsid w:val="4D2D4855"/>
    <w:rsid w:val="4D393332"/>
    <w:rsid w:val="4D3B01A7"/>
    <w:rsid w:val="4D4746C5"/>
    <w:rsid w:val="4D4D1254"/>
    <w:rsid w:val="4D502AF2"/>
    <w:rsid w:val="4D5A74CD"/>
    <w:rsid w:val="4D6759FB"/>
    <w:rsid w:val="4D6E3517"/>
    <w:rsid w:val="4D950505"/>
    <w:rsid w:val="4DB14B03"/>
    <w:rsid w:val="4DB639B0"/>
    <w:rsid w:val="4DB7491F"/>
    <w:rsid w:val="4DE70682"/>
    <w:rsid w:val="4DF53699"/>
    <w:rsid w:val="4DFD50C1"/>
    <w:rsid w:val="4E2B70BB"/>
    <w:rsid w:val="4E4645AE"/>
    <w:rsid w:val="4E496865"/>
    <w:rsid w:val="4E58321E"/>
    <w:rsid w:val="4E6B2193"/>
    <w:rsid w:val="4E9B1B4B"/>
    <w:rsid w:val="4EB91CD7"/>
    <w:rsid w:val="4EBD2F8E"/>
    <w:rsid w:val="4EDE7C89"/>
    <w:rsid w:val="4EE72FE2"/>
    <w:rsid w:val="4EFF135C"/>
    <w:rsid w:val="4F035942"/>
    <w:rsid w:val="4F0E00E7"/>
    <w:rsid w:val="4F0F2376"/>
    <w:rsid w:val="4F22412F"/>
    <w:rsid w:val="4F285863"/>
    <w:rsid w:val="4F2A1121"/>
    <w:rsid w:val="4F554CA4"/>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046E2"/>
    <w:rsid w:val="5038679F"/>
    <w:rsid w:val="50463D38"/>
    <w:rsid w:val="5047222E"/>
    <w:rsid w:val="5052628A"/>
    <w:rsid w:val="50670571"/>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DC1903"/>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A407A2"/>
    <w:rsid w:val="52B8492E"/>
    <w:rsid w:val="52CD201A"/>
    <w:rsid w:val="52DB316A"/>
    <w:rsid w:val="52DF5523"/>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30AC6"/>
    <w:rsid w:val="543640C4"/>
    <w:rsid w:val="544A3495"/>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60501F2"/>
    <w:rsid w:val="564447FE"/>
    <w:rsid w:val="56466840"/>
    <w:rsid w:val="565467A5"/>
    <w:rsid w:val="56644224"/>
    <w:rsid w:val="5666680E"/>
    <w:rsid w:val="5669634B"/>
    <w:rsid w:val="56735DD8"/>
    <w:rsid w:val="567A473C"/>
    <w:rsid w:val="5685797A"/>
    <w:rsid w:val="568C1A21"/>
    <w:rsid w:val="569F4D37"/>
    <w:rsid w:val="569F71AC"/>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39CD"/>
    <w:rsid w:val="57DB745C"/>
    <w:rsid w:val="57FF0946"/>
    <w:rsid w:val="58075B26"/>
    <w:rsid w:val="580A355F"/>
    <w:rsid w:val="58127ED2"/>
    <w:rsid w:val="58172F6B"/>
    <w:rsid w:val="58281E5B"/>
    <w:rsid w:val="582C247D"/>
    <w:rsid w:val="583D29A8"/>
    <w:rsid w:val="58406187"/>
    <w:rsid w:val="58463650"/>
    <w:rsid w:val="584E5C05"/>
    <w:rsid w:val="58537A63"/>
    <w:rsid w:val="58643CC2"/>
    <w:rsid w:val="588075E9"/>
    <w:rsid w:val="588C2AEC"/>
    <w:rsid w:val="58CA7BFC"/>
    <w:rsid w:val="58E83887"/>
    <w:rsid w:val="58F90DE0"/>
    <w:rsid w:val="59023C1C"/>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9F6F5B"/>
    <w:rsid w:val="59A27420"/>
    <w:rsid w:val="59AD1F85"/>
    <w:rsid w:val="59D654A8"/>
    <w:rsid w:val="59D80CBB"/>
    <w:rsid w:val="5A011459"/>
    <w:rsid w:val="5A013CE4"/>
    <w:rsid w:val="5A0141A4"/>
    <w:rsid w:val="5A053904"/>
    <w:rsid w:val="5A196B54"/>
    <w:rsid w:val="5A1E47AC"/>
    <w:rsid w:val="5A447687"/>
    <w:rsid w:val="5A4C2893"/>
    <w:rsid w:val="5A5F6122"/>
    <w:rsid w:val="5A603305"/>
    <w:rsid w:val="5A701838"/>
    <w:rsid w:val="5A8156DE"/>
    <w:rsid w:val="5A84202D"/>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701E0"/>
    <w:rsid w:val="5BB926FC"/>
    <w:rsid w:val="5BF54320"/>
    <w:rsid w:val="5C1633F6"/>
    <w:rsid w:val="5C246971"/>
    <w:rsid w:val="5C4867F4"/>
    <w:rsid w:val="5C6737F1"/>
    <w:rsid w:val="5C9C18B0"/>
    <w:rsid w:val="5C9E7970"/>
    <w:rsid w:val="5CBD1826"/>
    <w:rsid w:val="5CC37F37"/>
    <w:rsid w:val="5CE943C9"/>
    <w:rsid w:val="5CF96FBB"/>
    <w:rsid w:val="5CFD1C22"/>
    <w:rsid w:val="5D044DFB"/>
    <w:rsid w:val="5D2A3C5C"/>
    <w:rsid w:val="5D2E4206"/>
    <w:rsid w:val="5D6F2B20"/>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586CB4"/>
    <w:rsid w:val="5E6C7060"/>
    <w:rsid w:val="5E95099F"/>
    <w:rsid w:val="5EA7453C"/>
    <w:rsid w:val="5EAE0F71"/>
    <w:rsid w:val="5EC05E18"/>
    <w:rsid w:val="5ED27BE1"/>
    <w:rsid w:val="5ED35BB4"/>
    <w:rsid w:val="5ED75612"/>
    <w:rsid w:val="5F1F1B33"/>
    <w:rsid w:val="5F2136D8"/>
    <w:rsid w:val="5F2D0AE0"/>
    <w:rsid w:val="5F432EF8"/>
    <w:rsid w:val="5F47659C"/>
    <w:rsid w:val="5F526256"/>
    <w:rsid w:val="5F555D46"/>
    <w:rsid w:val="5F7E529D"/>
    <w:rsid w:val="5FA6034F"/>
    <w:rsid w:val="5FB40CBE"/>
    <w:rsid w:val="5FC2239B"/>
    <w:rsid w:val="5FCA04E2"/>
    <w:rsid w:val="5FDF1F8A"/>
    <w:rsid w:val="5FE356A8"/>
    <w:rsid w:val="5FF40024"/>
    <w:rsid w:val="602676E1"/>
    <w:rsid w:val="602E4F74"/>
    <w:rsid w:val="603418A5"/>
    <w:rsid w:val="60366D51"/>
    <w:rsid w:val="604D4C6F"/>
    <w:rsid w:val="606002D2"/>
    <w:rsid w:val="60936B26"/>
    <w:rsid w:val="60A457EB"/>
    <w:rsid w:val="60A74497"/>
    <w:rsid w:val="60B61030"/>
    <w:rsid w:val="60BE1C9B"/>
    <w:rsid w:val="60C356C4"/>
    <w:rsid w:val="60E92BEA"/>
    <w:rsid w:val="60FF41BB"/>
    <w:rsid w:val="61020C7F"/>
    <w:rsid w:val="61132CD2"/>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9D0C24"/>
    <w:rsid w:val="62C610B8"/>
    <w:rsid w:val="62E224E8"/>
    <w:rsid w:val="62FE497B"/>
    <w:rsid w:val="62FF03D9"/>
    <w:rsid w:val="62FF64C2"/>
    <w:rsid w:val="630E4B89"/>
    <w:rsid w:val="63352116"/>
    <w:rsid w:val="63377DE5"/>
    <w:rsid w:val="633C769A"/>
    <w:rsid w:val="63452A53"/>
    <w:rsid w:val="63485127"/>
    <w:rsid w:val="635B58F5"/>
    <w:rsid w:val="637531A0"/>
    <w:rsid w:val="63966FB4"/>
    <w:rsid w:val="63973036"/>
    <w:rsid w:val="639B6291"/>
    <w:rsid w:val="639C2D33"/>
    <w:rsid w:val="63A105E6"/>
    <w:rsid w:val="63AD6150"/>
    <w:rsid w:val="63C96D02"/>
    <w:rsid w:val="63D36046"/>
    <w:rsid w:val="63D6255C"/>
    <w:rsid w:val="63E61F5F"/>
    <w:rsid w:val="63F00811"/>
    <w:rsid w:val="63F657AA"/>
    <w:rsid w:val="64065861"/>
    <w:rsid w:val="64144421"/>
    <w:rsid w:val="643A7DF2"/>
    <w:rsid w:val="644D7933"/>
    <w:rsid w:val="645152C2"/>
    <w:rsid w:val="64607667"/>
    <w:rsid w:val="64800394"/>
    <w:rsid w:val="648814BB"/>
    <w:rsid w:val="64975171"/>
    <w:rsid w:val="649A4B3B"/>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2159"/>
    <w:rsid w:val="656E7B61"/>
    <w:rsid w:val="657753A5"/>
    <w:rsid w:val="657A5833"/>
    <w:rsid w:val="65812DF0"/>
    <w:rsid w:val="65842EE1"/>
    <w:rsid w:val="659B022A"/>
    <w:rsid w:val="65A767B0"/>
    <w:rsid w:val="65AE3104"/>
    <w:rsid w:val="65B838A4"/>
    <w:rsid w:val="65C94D98"/>
    <w:rsid w:val="6602534E"/>
    <w:rsid w:val="66065FEC"/>
    <w:rsid w:val="660A5F17"/>
    <w:rsid w:val="66332DC3"/>
    <w:rsid w:val="6639006E"/>
    <w:rsid w:val="663C7C5F"/>
    <w:rsid w:val="663F505A"/>
    <w:rsid w:val="663F7785"/>
    <w:rsid w:val="664804B3"/>
    <w:rsid w:val="665E7BD6"/>
    <w:rsid w:val="66632EA0"/>
    <w:rsid w:val="66633E9A"/>
    <w:rsid w:val="66651C8A"/>
    <w:rsid w:val="66656C51"/>
    <w:rsid w:val="66664CDC"/>
    <w:rsid w:val="668D3AA7"/>
    <w:rsid w:val="668D6304"/>
    <w:rsid w:val="669C6028"/>
    <w:rsid w:val="669F0689"/>
    <w:rsid w:val="66A87A0F"/>
    <w:rsid w:val="66B20509"/>
    <w:rsid w:val="66B7573D"/>
    <w:rsid w:val="66C50541"/>
    <w:rsid w:val="66C509D5"/>
    <w:rsid w:val="66DA2CB3"/>
    <w:rsid w:val="66F40793"/>
    <w:rsid w:val="6717038D"/>
    <w:rsid w:val="671706D3"/>
    <w:rsid w:val="672F48CC"/>
    <w:rsid w:val="6730396A"/>
    <w:rsid w:val="67346B89"/>
    <w:rsid w:val="6751773B"/>
    <w:rsid w:val="67801EB9"/>
    <w:rsid w:val="67A71109"/>
    <w:rsid w:val="67C76B2D"/>
    <w:rsid w:val="67CE0D8B"/>
    <w:rsid w:val="67EE2A60"/>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123E71"/>
    <w:rsid w:val="69280C5E"/>
    <w:rsid w:val="693A3226"/>
    <w:rsid w:val="693E4935"/>
    <w:rsid w:val="694D54E1"/>
    <w:rsid w:val="69831701"/>
    <w:rsid w:val="699944EC"/>
    <w:rsid w:val="69995724"/>
    <w:rsid w:val="69B47EE5"/>
    <w:rsid w:val="69C4686C"/>
    <w:rsid w:val="6A176F2F"/>
    <w:rsid w:val="6A23687A"/>
    <w:rsid w:val="6A240036"/>
    <w:rsid w:val="6A372756"/>
    <w:rsid w:val="6A3B19C7"/>
    <w:rsid w:val="6A3C6480"/>
    <w:rsid w:val="6A4B20C8"/>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36F9E"/>
    <w:rsid w:val="6B311795"/>
    <w:rsid w:val="6B4849B1"/>
    <w:rsid w:val="6B4D0219"/>
    <w:rsid w:val="6BA17867"/>
    <w:rsid w:val="6BA8544F"/>
    <w:rsid w:val="6BB141CE"/>
    <w:rsid w:val="6BBA58AE"/>
    <w:rsid w:val="6BBE4C73"/>
    <w:rsid w:val="6BD45513"/>
    <w:rsid w:val="6BEF0C80"/>
    <w:rsid w:val="6BF41DBA"/>
    <w:rsid w:val="6C102618"/>
    <w:rsid w:val="6C1F3963"/>
    <w:rsid w:val="6C1F5711"/>
    <w:rsid w:val="6C276CBC"/>
    <w:rsid w:val="6C2A0D97"/>
    <w:rsid w:val="6C3664AD"/>
    <w:rsid w:val="6C3D203B"/>
    <w:rsid w:val="6C477211"/>
    <w:rsid w:val="6C62746F"/>
    <w:rsid w:val="6C7B0D4F"/>
    <w:rsid w:val="6C7C7008"/>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A94419"/>
    <w:rsid w:val="6DB3108B"/>
    <w:rsid w:val="6DBD5004"/>
    <w:rsid w:val="6DC63E68"/>
    <w:rsid w:val="6DCF4F15"/>
    <w:rsid w:val="6DD447A6"/>
    <w:rsid w:val="6DEF4626"/>
    <w:rsid w:val="6E066FBB"/>
    <w:rsid w:val="6E1152C9"/>
    <w:rsid w:val="6E4678CD"/>
    <w:rsid w:val="6E531FEA"/>
    <w:rsid w:val="6E5C6B75"/>
    <w:rsid w:val="6E6D037E"/>
    <w:rsid w:val="6E95214E"/>
    <w:rsid w:val="6E9B7282"/>
    <w:rsid w:val="6EA3225C"/>
    <w:rsid w:val="6EA84CF4"/>
    <w:rsid w:val="6EAA5881"/>
    <w:rsid w:val="6EAC10F7"/>
    <w:rsid w:val="6EB135A6"/>
    <w:rsid w:val="6EBF1FE4"/>
    <w:rsid w:val="6EC5163F"/>
    <w:rsid w:val="6F003A11"/>
    <w:rsid w:val="6F0A08FB"/>
    <w:rsid w:val="6F153111"/>
    <w:rsid w:val="6F1D062A"/>
    <w:rsid w:val="6F3B3D99"/>
    <w:rsid w:val="6F415A91"/>
    <w:rsid w:val="6F5479EB"/>
    <w:rsid w:val="6F5558BD"/>
    <w:rsid w:val="6F5C177F"/>
    <w:rsid w:val="6F5E47A3"/>
    <w:rsid w:val="6F622446"/>
    <w:rsid w:val="6F6373A3"/>
    <w:rsid w:val="6F6B6EC0"/>
    <w:rsid w:val="6F866FBD"/>
    <w:rsid w:val="6F870169"/>
    <w:rsid w:val="6F8B1310"/>
    <w:rsid w:val="6F927913"/>
    <w:rsid w:val="6F9D176F"/>
    <w:rsid w:val="6F9E1043"/>
    <w:rsid w:val="6FA13625"/>
    <w:rsid w:val="6FA523D2"/>
    <w:rsid w:val="6FA77FDB"/>
    <w:rsid w:val="6FBB1BF5"/>
    <w:rsid w:val="6FBB5193"/>
    <w:rsid w:val="6FDE7692"/>
    <w:rsid w:val="6FE3114C"/>
    <w:rsid w:val="6FE77690"/>
    <w:rsid w:val="6FE949B4"/>
    <w:rsid w:val="6FF6159B"/>
    <w:rsid w:val="6FF8081F"/>
    <w:rsid w:val="70006E11"/>
    <w:rsid w:val="70032313"/>
    <w:rsid w:val="70057314"/>
    <w:rsid w:val="700A492A"/>
    <w:rsid w:val="701049D0"/>
    <w:rsid w:val="701653C9"/>
    <w:rsid w:val="70195AED"/>
    <w:rsid w:val="702F13E2"/>
    <w:rsid w:val="70335C2F"/>
    <w:rsid w:val="704C1556"/>
    <w:rsid w:val="705D5373"/>
    <w:rsid w:val="7063655E"/>
    <w:rsid w:val="70724B95"/>
    <w:rsid w:val="707D50FC"/>
    <w:rsid w:val="707E0FD5"/>
    <w:rsid w:val="70867402"/>
    <w:rsid w:val="708741CD"/>
    <w:rsid w:val="70A95654"/>
    <w:rsid w:val="70C312D3"/>
    <w:rsid w:val="70D43718"/>
    <w:rsid w:val="70F73101"/>
    <w:rsid w:val="7116172E"/>
    <w:rsid w:val="71241D10"/>
    <w:rsid w:val="712437CA"/>
    <w:rsid w:val="712D0854"/>
    <w:rsid w:val="713B389B"/>
    <w:rsid w:val="7142463B"/>
    <w:rsid w:val="71910D2E"/>
    <w:rsid w:val="71A010A2"/>
    <w:rsid w:val="71AC2056"/>
    <w:rsid w:val="71C1345D"/>
    <w:rsid w:val="71CB2462"/>
    <w:rsid w:val="71D445CE"/>
    <w:rsid w:val="71DA38CD"/>
    <w:rsid w:val="71E25B41"/>
    <w:rsid w:val="71F650B9"/>
    <w:rsid w:val="71FB277D"/>
    <w:rsid w:val="720F6001"/>
    <w:rsid w:val="72473CB6"/>
    <w:rsid w:val="72686E3D"/>
    <w:rsid w:val="727A26CE"/>
    <w:rsid w:val="72983176"/>
    <w:rsid w:val="72AB51FE"/>
    <w:rsid w:val="72BB276F"/>
    <w:rsid w:val="72BE2D27"/>
    <w:rsid w:val="72C70099"/>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5B4F58"/>
    <w:rsid w:val="74820F49"/>
    <w:rsid w:val="748527D2"/>
    <w:rsid w:val="74921493"/>
    <w:rsid w:val="74A509B1"/>
    <w:rsid w:val="74B01B4A"/>
    <w:rsid w:val="74CA3328"/>
    <w:rsid w:val="74DF4B7F"/>
    <w:rsid w:val="74DF4EF4"/>
    <w:rsid w:val="74F62CED"/>
    <w:rsid w:val="74F83595"/>
    <w:rsid w:val="75120509"/>
    <w:rsid w:val="75133BF1"/>
    <w:rsid w:val="7518727D"/>
    <w:rsid w:val="752173ED"/>
    <w:rsid w:val="7530273D"/>
    <w:rsid w:val="75355FA6"/>
    <w:rsid w:val="75370EA5"/>
    <w:rsid w:val="7538094B"/>
    <w:rsid w:val="753D4E5A"/>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A9503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36589"/>
    <w:rsid w:val="782550BD"/>
    <w:rsid w:val="78261305"/>
    <w:rsid w:val="784974F5"/>
    <w:rsid w:val="784B19A6"/>
    <w:rsid w:val="78540E39"/>
    <w:rsid w:val="78681083"/>
    <w:rsid w:val="787A1AC1"/>
    <w:rsid w:val="788B24B1"/>
    <w:rsid w:val="789079E5"/>
    <w:rsid w:val="7891016B"/>
    <w:rsid w:val="789B0816"/>
    <w:rsid w:val="78A04C44"/>
    <w:rsid w:val="78C338C8"/>
    <w:rsid w:val="78E72828"/>
    <w:rsid w:val="78EA7B9F"/>
    <w:rsid w:val="79224F56"/>
    <w:rsid w:val="79336CA0"/>
    <w:rsid w:val="793A7966"/>
    <w:rsid w:val="793B1C09"/>
    <w:rsid w:val="7947274B"/>
    <w:rsid w:val="797B41A3"/>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110428"/>
    <w:rsid w:val="7B113011"/>
    <w:rsid w:val="7B205002"/>
    <w:rsid w:val="7B220D7A"/>
    <w:rsid w:val="7B276391"/>
    <w:rsid w:val="7B2F5349"/>
    <w:rsid w:val="7B4707E1"/>
    <w:rsid w:val="7B5666FB"/>
    <w:rsid w:val="7B5C232E"/>
    <w:rsid w:val="7B5E12BB"/>
    <w:rsid w:val="7B637C47"/>
    <w:rsid w:val="7BA43E85"/>
    <w:rsid w:val="7BAB6FC2"/>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9C44FE"/>
    <w:rsid w:val="7CA31C79"/>
    <w:rsid w:val="7CB53251"/>
    <w:rsid w:val="7CB62D19"/>
    <w:rsid w:val="7CD93821"/>
    <w:rsid w:val="7CD95805"/>
    <w:rsid w:val="7D13314E"/>
    <w:rsid w:val="7D230DDA"/>
    <w:rsid w:val="7D365DD8"/>
    <w:rsid w:val="7D3A23FC"/>
    <w:rsid w:val="7D5E1E12"/>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link w:val="57"/>
    <w:autoRedefine/>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9"/>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0"/>
    <w:autoRedefine/>
    <w:qFormat/>
    <w:uiPriority w:val="0"/>
    <w:pPr>
      <w:keepNext/>
      <w:keepLines/>
      <w:spacing w:before="240" w:after="64" w:line="320" w:lineRule="auto"/>
      <w:outlineLvl w:val="6"/>
    </w:pPr>
    <w:rPr>
      <w:b/>
      <w:bCs/>
      <w:sz w:val="24"/>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9">
    <w:name w:val="toc 7"/>
    <w:basedOn w:val="1"/>
    <w:next w:val="1"/>
    <w:autoRedefine/>
    <w:qFormat/>
    <w:uiPriority w:val="39"/>
    <w:pPr>
      <w:ind w:left="1260"/>
      <w:jc w:val="left"/>
    </w:pPr>
    <w:rPr>
      <w:sz w:val="18"/>
      <w:szCs w:val="18"/>
    </w:rPr>
  </w:style>
  <w:style w:type="paragraph" w:styleId="10">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1">
    <w:name w:val="Normal Indent"/>
    <w:basedOn w:val="1"/>
    <w:autoRedefine/>
    <w:qFormat/>
    <w:uiPriority w:val="0"/>
    <w:pPr>
      <w:adjustRightInd w:val="0"/>
      <w:spacing w:line="360" w:lineRule="atLeast"/>
      <w:ind w:firstLine="482"/>
      <w:textAlignment w:val="baseline"/>
    </w:pPr>
    <w:rPr>
      <w:kern w:val="0"/>
      <w:sz w:val="24"/>
      <w:szCs w:val="20"/>
    </w:rPr>
  </w:style>
  <w:style w:type="paragraph" w:styleId="12">
    <w:name w:val="annotation text"/>
    <w:basedOn w:val="1"/>
    <w:link w:val="61"/>
    <w:autoRedefine/>
    <w:qFormat/>
    <w:uiPriority w:val="0"/>
    <w:pPr>
      <w:jc w:val="left"/>
    </w:pPr>
  </w:style>
  <w:style w:type="paragraph" w:styleId="13">
    <w:name w:val="Body Text"/>
    <w:basedOn w:val="1"/>
    <w:autoRedefine/>
    <w:semiHidden/>
    <w:qFormat/>
    <w:uiPriority w:val="0"/>
    <w:pPr>
      <w:spacing w:after="120"/>
    </w:pPr>
  </w:style>
  <w:style w:type="paragraph" w:styleId="14">
    <w:name w:val="Body Text Indent"/>
    <w:basedOn w:val="1"/>
    <w:next w:val="15"/>
    <w:link w:val="54"/>
    <w:autoRedefine/>
    <w:qFormat/>
    <w:uiPriority w:val="0"/>
    <w:pPr>
      <w:spacing w:after="120"/>
      <w:ind w:left="200" w:leftChars="200"/>
    </w:pPr>
  </w:style>
  <w:style w:type="paragraph" w:styleId="15">
    <w:name w:val="envelope return"/>
    <w:basedOn w:val="1"/>
    <w:next w:val="9"/>
    <w:autoRedefine/>
    <w:qFormat/>
    <w:uiPriority w:val="0"/>
    <w:pPr>
      <w:snapToGrid w:val="0"/>
    </w:pPr>
    <w:rPr>
      <w:rFonts w:ascii="Arial" w:hAnsi="Arial"/>
    </w:rPr>
  </w:style>
  <w:style w:type="paragraph" w:styleId="16">
    <w:name w:val="index 4"/>
    <w:basedOn w:val="1"/>
    <w:next w:val="1"/>
    <w:qFormat/>
    <w:uiPriority w:val="99"/>
    <w:pPr>
      <w:ind w:left="600" w:leftChars="600"/>
    </w:pPr>
    <w:rPr>
      <w:rFonts w:ascii="Times New Roman" w:hAnsi="Times New Roman" w:eastAsia="宋体" w:cs="Times New Roman"/>
    </w:rPr>
  </w:style>
  <w:style w:type="paragraph" w:styleId="17">
    <w:name w:val="toc 3"/>
    <w:basedOn w:val="1"/>
    <w:next w:val="1"/>
    <w:autoRedefine/>
    <w:qFormat/>
    <w:uiPriority w:val="39"/>
    <w:pPr>
      <w:tabs>
        <w:tab w:val="right" w:leader="dot" w:pos="9288"/>
      </w:tabs>
      <w:ind w:left="400" w:leftChars="400"/>
    </w:pPr>
    <w:rPr>
      <w:rFonts w:ascii="宋体"/>
    </w:rPr>
  </w:style>
  <w:style w:type="paragraph" w:styleId="18">
    <w:name w:val="Plain Text"/>
    <w:basedOn w:val="1"/>
    <w:next w:val="1"/>
    <w:link w:val="62"/>
    <w:autoRedefine/>
    <w:qFormat/>
    <w:uiPriority w:val="99"/>
    <w:rPr>
      <w:rFonts w:ascii="宋体"/>
      <w:color w:val="000000"/>
      <w:szCs w:val="20"/>
      <w:u w:val="none" w:color="000000"/>
    </w:rPr>
  </w:style>
  <w:style w:type="paragraph" w:styleId="19">
    <w:name w:val="Date"/>
    <w:basedOn w:val="1"/>
    <w:next w:val="1"/>
    <w:link w:val="63"/>
    <w:autoRedefine/>
    <w:qFormat/>
    <w:uiPriority w:val="0"/>
    <w:rPr>
      <w:rFonts w:ascii="Arial" w:hAnsi="Arial" w:eastAsia="仿宋_GB2312"/>
      <w:color w:val="000000"/>
      <w:sz w:val="32"/>
      <w:szCs w:val="20"/>
      <w:u w:val="none" w:color="000000"/>
    </w:rPr>
  </w:style>
  <w:style w:type="paragraph" w:styleId="20">
    <w:name w:val="Body Text Indent 2"/>
    <w:basedOn w:val="1"/>
    <w:link w:val="64"/>
    <w:autoRedefine/>
    <w:qFormat/>
    <w:uiPriority w:val="0"/>
    <w:pPr>
      <w:spacing w:after="120" w:line="480" w:lineRule="auto"/>
      <w:ind w:left="420" w:leftChars="200"/>
    </w:pPr>
  </w:style>
  <w:style w:type="paragraph" w:styleId="21">
    <w:name w:val="endnote text"/>
    <w:basedOn w:val="1"/>
    <w:autoRedefine/>
    <w:qFormat/>
    <w:uiPriority w:val="99"/>
    <w:pPr>
      <w:snapToGrid w:val="0"/>
    </w:pPr>
    <w:rPr>
      <w:rFonts w:ascii="仿宋" w:hAnsi="仿宋"/>
    </w:rPr>
  </w:style>
  <w:style w:type="paragraph" w:styleId="22">
    <w:name w:val="Balloon Text"/>
    <w:basedOn w:val="1"/>
    <w:link w:val="65"/>
    <w:autoRedefine/>
    <w:qFormat/>
    <w:uiPriority w:val="0"/>
    <w:rPr>
      <w:sz w:val="18"/>
      <w:szCs w:val="18"/>
    </w:rPr>
  </w:style>
  <w:style w:type="paragraph" w:styleId="23">
    <w:name w:val="footer"/>
    <w:basedOn w:val="1"/>
    <w:link w:val="66"/>
    <w:autoRedefine/>
    <w:qFormat/>
    <w:uiPriority w:val="0"/>
    <w:pPr>
      <w:tabs>
        <w:tab w:val="center" w:pos="4153"/>
        <w:tab w:val="right" w:pos="8306"/>
      </w:tabs>
      <w:snapToGrid w:val="0"/>
      <w:jc w:val="left"/>
    </w:pPr>
    <w:rPr>
      <w:sz w:val="18"/>
      <w:szCs w:val="18"/>
    </w:rPr>
  </w:style>
  <w:style w:type="paragraph" w:styleId="24">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Subtitle"/>
    <w:basedOn w:val="1"/>
    <w:next w:val="1"/>
    <w:autoRedefine/>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autoRedefine/>
    <w:qFormat/>
    <w:uiPriority w:val="39"/>
    <w:pPr>
      <w:ind w:left="200" w:leftChars="200"/>
    </w:pPr>
  </w:style>
  <w:style w:type="paragraph" w:styleId="30">
    <w:name w:val="Normal (Web)"/>
    <w:basedOn w:val="1"/>
    <w:next w:val="3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文字 8"/>
    <w:basedOn w:val="1"/>
    <w:next w:val="1"/>
    <w:autoRedefine/>
    <w:qFormat/>
    <w:uiPriority w:val="0"/>
    <w:pPr>
      <w:ind w:left="240"/>
    </w:pPr>
    <w:rPr>
      <w:sz w:val="16"/>
    </w:rPr>
  </w:style>
  <w:style w:type="paragraph" w:styleId="32">
    <w:name w:val="index 1"/>
    <w:basedOn w:val="1"/>
    <w:next w:val="1"/>
    <w:autoRedefine/>
    <w:qFormat/>
    <w:uiPriority w:val="0"/>
    <w:pPr>
      <w:jc w:val="center"/>
    </w:pPr>
    <w:rPr>
      <w:rFonts w:ascii="Arial" w:hAnsi="Arial" w:eastAsia="Arial" w:cs="Arial"/>
      <w:b/>
      <w:bCs/>
      <w:sz w:val="28"/>
    </w:rPr>
  </w:style>
  <w:style w:type="paragraph" w:styleId="33">
    <w:name w:val="Title"/>
    <w:basedOn w:val="1"/>
    <w:next w:val="1"/>
    <w:autoRedefine/>
    <w:qFormat/>
    <w:uiPriority w:val="0"/>
    <w:pPr>
      <w:numPr>
        <w:ilvl w:val="0"/>
        <w:numId w:val="4"/>
      </w:numPr>
      <w:spacing w:line="360" w:lineRule="auto"/>
      <w:jc w:val="left"/>
      <w:outlineLvl w:val="0"/>
    </w:pPr>
    <w:rPr>
      <w:rFonts w:ascii="Cambria" w:hAnsi="Cambria" w:cs="Times New Roman"/>
      <w:b/>
      <w:bCs/>
      <w:sz w:val="28"/>
      <w:szCs w:val="32"/>
    </w:rPr>
  </w:style>
  <w:style w:type="paragraph" w:styleId="34">
    <w:name w:val="annotation subject"/>
    <w:basedOn w:val="12"/>
    <w:next w:val="12"/>
    <w:link w:val="68"/>
    <w:autoRedefine/>
    <w:qFormat/>
    <w:uiPriority w:val="0"/>
    <w:rPr>
      <w:b/>
      <w:bCs/>
    </w:rPr>
  </w:style>
  <w:style w:type="paragraph" w:styleId="35">
    <w:name w:val="Body Text First Indent"/>
    <w:basedOn w:val="13"/>
    <w:qFormat/>
    <w:uiPriority w:val="0"/>
    <w:pPr>
      <w:ind w:firstLine="420" w:firstLineChars="100"/>
    </w:pPr>
    <w:rPr>
      <w:rFonts w:ascii="Times New Roman" w:hAnsi="Times New Roman" w:eastAsia="宋体" w:cs="Times New Roman"/>
    </w:rPr>
  </w:style>
  <w:style w:type="paragraph" w:styleId="36">
    <w:name w:val="Body Text First Indent 2"/>
    <w:basedOn w:val="14"/>
    <w:next w:val="1"/>
    <w:link w:val="55"/>
    <w:autoRedefine/>
    <w:qFormat/>
    <w:uiPriority w:val="0"/>
    <w:pPr>
      <w:ind w:left="420"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autoRedefine/>
    <w:qFormat/>
    <w:uiPriority w:val="0"/>
  </w:style>
  <w:style w:type="character" w:styleId="42">
    <w:name w:val="FollowedHyperlink"/>
    <w:autoRedefine/>
    <w:qFormat/>
    <w:uiPriority w:val="0"/>
    <w:rPr>
      <w:color w:val="333333"/>
      <w:u w:val="none"/>
    </w:rPr>
  </w:style>
  <w:style w:type="character" w:styleId="43">
    <w:name w:val="Emphasis"/>
    <w:autoRedefine/>
    <w:qFormat/>
    <w:uiPriority w:val="20"/>
    <w:rPr>
      <w:i/>
      <w:iCs/>
    </w:rPr>
  </w:style>
  <w:style w:type="character" w:styleId="44">
    <w:name w:val="HTML Definition"/>
    <w:autoRedefine/>
    <w:qFormat/>
    <w:uiPriority w:val="0"/>
  </w:style>
  <w:style w:type="character" w:styleId="45">
    <w:name w:val="HTML Typewriter"/>
    <w:autoRedefine/>
    <w:qFormat/>
    <w:uiPriority w:val="0"/>
    <w:rPr>
      <w:rFonts w:ascii="monospace" w:hAnsi="monospace" w:eastAsia="monospace" w:cs="monospace"/>
      <w:sz w:val="20"/>
    </w:rPr>
  </w:style>
  <w:style w:type="character" w:styleId="46">
    <w:name w:val="HTML Acronym"/>
    <w:autoRedefine/>
    <w:qFormat/>
    <w:uiPriority w:val="0"/>
  </w:style>
  <w:style w:type="character" w:styleId="47">
    <w:name w:val="HTML Variable"/>
    <w:autoRedefine/>
    <w:qFormat/>
    <w:uiPriority w:val="0"/>
  </w:style>
  <w:style w:type="character" w:styleId="48">
    <w:name w:val="Hyperlink"/>
    <w:autoRedefine/>
    <w:qFormat/>
    <w:uiPriority w:val="99"/>
    <w:rPr>
      <w:color w:val="333333"/>
      <w:u w:val="none"/>
    </w:rPr>
  </w:style>
  <w:style w:type="character" w:styleId="49">
    <w:name w:val="HTML Code"/>
    <w:autoRedefine/>
    <w:qFormat/>
    <w:uiPriority w:val="0"/>
    <w:rPr>
      <w:rFonts w:hint="default" w:ascii="monospace" w:hAnsi="monospace" w:eastAsia="monospace" w:cs="monospace"/>
      <w:sz w:val="20"/>
    </w:rPr>
  </w:style>
  <w:style w:type="character" w:styleId="50">
    <w:name w:val="annotation reference"/>
    <w:autoRedefine/>
    <w:qFormat/>
    <w:uiPriority w:val="0"/>
    <w:rPr>
      <w:sz w:val="21"/>
      <w:szCs w:val="21"/>
    </w:rPr>
  </w:style>
  <w:style w:type="character" w:styleId="51">
    <w:name w:val="HTML Cite"/>
    <w:autoRedefine/>
    <w:qFormat/>
    <w:uiPriority w:val="0"/>
  </w:style>
  <w:style w:type="character" w:styleId="52">
    <w:name w:val="HTML Keyboard"/>
    <w:autoRedefine/>
    <w:qFormat/>
    <w:uiPriority w:val="0"/>
    <w:rPr>
      <w:rFonts w:hint="default" w:ascii="monospace" w:hAnsi="monospace" w:eastAsia="monospace" w:cs="monospace"/>
      <w:sz w:val="20"/>
    </w:rPr>
  </w:style>
  <w:style w:type="character" w:styleId="53">
    <w:name w:val="HTML Sample"/>
    <w:autoRedefine/>
    <w:qFormat/>
    <w:uiPriority w:val="0"/>
    <w:rPr>
      <w:rFonts w:hint="default" w:ascii="monospace" w:hAnsi="monospace" w:eastAsia="monospace" w:cs="monospace"/>
    </w:rPr>
  </w:style>
  <w:style w:type="character" w:customStyle="1" w:styleId="54">
    <w:name w:val="正文文本缩进 字符"/>
    <w:link w:val="14"/>
    <w:autoRedefine/>
    <w:qFormat/>
    <w:uiPriority w:val="0"/>
    <w:rPr>
      <w:kern w:val="2"/>
      <w:sz w:val="21"/>
      <w:szCs w:val="24"/>
    </w:rPr>
  </w:style>
  <w:style w:type="character" w:customStyle="1" w:styleId="55">
    <w:name w:val="正文文本首行缩进 2 字符"/>
    <w:link w:val="36"/>
    <w:autoRedefine/>
    <w:qFormat/>
    <w:uiPriority w:val="0"/>
  </w:style>
  <w:style w:type="character" w:customStyle="1" w:styleId="56">
    <w:name w:val="标题 1 字符"/>
    <w:link w:val="2"/>
    <w:autoRedefine/>
    <w:qFormat/>
    <w:uiPriority w:val="0"/>
    <w:rPr>
      <w:b/>
      <w:bCs/>
      <w:kern w:val="44"/>
      <w:sz w:val="44"/>
      <w:szCs w:val="44"/>
    </w:rPr>
  </w:style>
  <w:style w:type="character" w:customStyle="1" w:styleId="57">
    <w:name w:val="标题 4 字符"/>
    <w:link w:val="5"/>
    <w:autoRedefine/>
    <w:qFormat/>
    <w:locked/>
    <w:uiPriority w:val="0"/>
    <w:rPr>
      <w:rFonts w:ascii="Arial" w:hAnsi="Arial" w:eastAsia="黑体"/>
      <w:b/>
      <w:bCs/>
      <w:color w:val="000000"/>
      <w:sz w:val="28"/>
      <w:szCs w:val="28"/>
      <w:u w:val="none" w:color="000000"/>
      <w:lang w:val="en-US" w:eastAsia="zh-CN" w:bidi="ar-SA"/>
    </w:rPr>
  </w:style>
  <w:style w:type="character" w:customStyle="1" w:styleId="58">
    <w:name w:val="标题 5 字符"/>
    <w:link w:val="6"/>
    <w:autoRedefine/>
    <w:semiHidden/>
    <w:qFormat/>
    <w:uiPriority w:val="0"/>
    <w:rPr>
      <w:b/>
      <w:bCs/>
      <w:kern w:val="2"/>
      <w:sz w:val="28"/>
      <w:szCs w:val="28"/>
    </w:rPr>
  </w:style>
  <w:style w:type="character" w:customStyle="1" w:styleId="59">
    <w:name w:val="标题 6 字符"/>
    <w:link w:val="7"/>
    <w:autoRedefine/>
    <w:semiHidden/>
    <w:qFormat/>
    <w:uiPriority w:val="0"/>
    <w:rPr>
      <w:rFonts w:ascii="Cambria" w:hAnsi="Cambria" w:eastAsia="宋体" w:cs="Times New Roman"/>
      <w:b/>
      <w:bCs/>
      <w:kern w:val="2"/>
      <w:sz w:val="24"/>
      <w:szCs w:val="24"/>
    </w:rPr>
  </w:style>
  <w:style w:type="character" w:customStyle="1" w:styleId="60">
    <w:name w:val="标题 7 字符"/>
    <w:link w:val="8"/>
    <w:autoRedefine/>
    <w:semiHidden/>
    <w:qFormat/>
    <w:uiPriority w:val="0"/>
    <w:rPr>
      <w:b/>
      <w:bCs/>
      <w:kern w:val="2"/>
      <w:sz w:val="24"/>
      <w:szCs w:val="24"/>
    </w:rPr>
  </w:style>
  <w:style w:type="character" w:customStyle="1" w:styleId="61">
    <w:name w:val="批注文字 字符"/>
    <w:link w:val="12"/>
    <w:autoRedefine/>
    <w:qFormat/>
    <w:uiPriority w:val="0"/>
    <w:rPr>
      <w:kern w:val="2"/>
      <w:sz w:val="21"/>
      <w:szCs w:val="24"/>
    </w:rPr>
  </w:style>
  <w:style w:type="character" w:customStyle="1" w:styleId="62">
    <w:name w:val="纯文本 字符"/>
    <w:link w:val="18"/>
    <w:autoRedefine/>
    <w:qFormat/>
    <w:uiPriority w:val="99"/>
    <w:rPr>
      <w:rFonts w:ascii="宋体" w:eastAsia="宋体"/>
      <w:color w:val="000000"/>
      <w:kern w:val="2"/>
      <w:sz w:val="21"/>
      <w:u w:val="none" w:color="000000"/>
      <w:lang w:val="en-US" w:eastAsia="zh-CN" w:bidi="ar-SA"/>
    </w:rPr>
  </w:style>
  <w:style w:type="character" w:customStyle="1" w:styleId="63">
    <w:name w:val="日期 字符"/>
    <w:link w:val="19"/>
    <w:autoRedefine/>
    <w:qFormat/>
    <w:uiPriority w:val="0"/>
    <w:rPr>
      <w:rFonts w:ascii="Arial" w:hAnsi="Arial" w:eastAsia="仿宋_GB2312"/>
      <w:color w:val="000000"/>
      <w:kern w:val="2"/>
      <w:sz w:val="32"/>
      <w:u w:val="none" w:color="000000"/>
    </w:rPr>
  </w:style>
  <w:style w:type="character" w:customStyle="1" w:styleId="64">
    <w:name w:val="正文文本缩进 2 字符"/>
    <w:link w:val="20"/>
    <w:autoRedefine/>
    <w:qFormat/>
    <w:uiPriority w:val="0"/>
    <w:rPr>
      <w:kern w:val="2"/>
      <w:sz w:val="21"/>
      <w:szCs w:val="24"/>
    </w:rPr>
  </w:style>
  <w:style w:type="character" w:customStyle="1" w:styleId="65">
    <w:name w:val="批注框文本 字符"/>
    <w:link w:val="22"/>
    <w:autoRedefine/>
    <w:qFormat/>
    <w:uiPriority w:val="0"/>
    <w:rPr>
      <w:kern w:val="2"/>
      <w:sz w:val="18"/>
      <w:szCs w:val="18"/>
    </w:rPr>
  </w:style>
  <w:style w:type="character" w:customStyle="1" w:styleId="66">
    <w:name w:val="页脚 字符"/>
    <w:link w:val="23"/>
    <w:autoRedefine/>
    <w:qFormat/>
    <w:locked/>
    <w:uiPriority w:val="0"/>
    <w:rPr>
      <w:kern w:val="2"/>
      <w:sz w:val="18"/>
      <w:szCs w:val="18"/>
    </w:rPr>
  </w:style>
  <w:style w:type="character" w:customStyle="1" w:styleId="67">
    <w:name w:val="页眉 字符"/>
    <w:link w:val="24"/>
    <w:autoRedefine/>
    <w:qFormat/>
    <w:locked/>
    <w:uiPriority w:val="0"/>
    <w:rPr>
      <w:kern w:val="2"/>
      <w:sz w:val="18"/>
      <w:szCs w:val="18"/>
    </w:rPr>
  </w:style>
  <w:style w:type="character" w:customStyle="1" w:styleId="68">
    <w:name w:val="批注主题 字符"/>
    <w:link w:val="34"/>
    <w:autoRedefine/>
    <w:qFormat/>
    <w:uiPriority w:val="0"/>
    <w:rPr>
      <w:b/>
      <w:bCs/>
      <w:kern w:val="2"/>
      <w:sz w:val="21"/>
      <w:szCs w:val="24"/>
    </w:rPr>
  </w:style>
  <w:style w:type="character" w:customStyle="1" w:styleId="69">
    <w:name w:val="font121"/>
    <w:autoRedefine/>
    <w:qFormat/>
    <w:uiPriority w:val="0"/>
    <w:rPr>
      <w:rFonts w:hint="eastAsia" w:ascii="宋体" w:hAnsi="宋体" w:eastAsia="宋体" w:cs="宋体"/>
      <w:color w:val="000000"/>
      <w:sz w:val="24"/>
      <w:szCs w:val="24"/>
      <w:u w:val="none"/>
    </w:rPr>
  </w:style>
  <w:style w:type="character" w:customStyle="1" w:styleId="70">
    <w:name w:val="font141"/>
    <w:autoRedefine/>
    <w:qFormat/>
    <w:uiPriority w:val="0"/>
    <w:rPr>
      <w:rFonts w:ascii="Arial" w:hAnsi="Arial" w:cs="Arial"/>
      <w:color w:val="000000"/>
      <w:sz w:val="24"/>
      <w:szCs w:val="24"/>
      <w:u w:val="none"/>
    </w:rPr>
  </w:style>
  <w:style w:type="character" w:customStyle="1" w:styleId="71">
    <w:name w:val="_37aak"/>
    <w:autoRedefine/>
    <w:qFormat/>
    <w:uiPriority w:val="0"/>
  </w:style>
  <w:style w:type="character" w:customStyle="1" w:styleId="72">
    <w:name w:val="图表 Char"/>
    <w:link w:val="73"/>
    <w:autoRedefine/>
    <w:qFormat/>
    <w:uiPriority w:val="0"/>
    <w:rPr>
      <w:kern w:val="2"/>
      <w:sz w:val="21"/>
      <w:szCs w:val="21"/>
    </w:rPr>
  </w:style>
  <w:style w:type="paragraph" w:customStyle="1" w:styleId="73">
    <w:name w:val="图表"/>
    <w:basedOn w:val="1"/>
    <w:next w:val="1"/>
    <w:link w:val="72"/>
    <w:autoRedefine/>
    <w:qFormat/>
    <w:uiPriority w:val="0"/>
    <w:pPr>
      <w:jc w:val="center"/>
    </w:pPr>
    <w:rPr>
      <w:szCs w:val="21"/>
    </w:rPr>
  </w:style>
  <w:style w:type="character" w:customStyle="1" w:styleId="74">
    <w:name w:val="font01"/>
    <w:basedOn w:val="39"/>
    <w:autoRedefine/>
    <w:qFormat/>
    <w:uiPriority w:val="0"/>
    <w:rPr>
      <w:rFonts w:hint="eastAsia" w:ascii="宋体" w:hAnsi="宋体" w:eastAsia="宋体" w:cs="宋体"/>
      <w:color w:val="000000"/>
      <w:sz w:val="22"/>
      <w:szCs w:val="22"/>
      <w:u w:val="none"/>
    </w:rPr>
  </w:style>
  <w:style w:type="character" w:customStyle="1" w:styleId="75">
    <w:name w:val="hover4"/>
    <w:autoRedefine/>
    <w:qFormat/>
    <w:uiPriority w:val="0"/>
    <w:rPr>
      <w:color w:val="2590EB"/>
      <w:shd w:val="clear" w:color="auto" w:fill="E9F4FD"/>
    </w:rPr>
  </w:style>
  <w:style w:type="character" w:customStyle="1" w:styleId="76">
    <w:name w:val="font101"/>
    <w:autoRedefine/>
    <w:qFormat/>
    <w:uiPriority w:val="0"/>
    <w:rPr>
      <w:rFonts w:hint="eastAsia" w:ascii="宋体" w:hAnsi="宋体" w:eastAsia="宋体" w:cs="宋体"/>
      <w:color w:val="000000"/>
      <w:sz w:val="18"/>
      <w:szCs w:val="18"/>
      <w:u w:val="none"/>
    </w:rPr>
  </w:style>
  <w:style w:type="character" w:customStyle="1" w:styleId="77">
    <w:name w:val="font161"/>
    <w:autoRedefine/>
    <w:qFormat/>
    <w:uiPriority w:val="0"/>
    <w:rPr>
      <w:rFonts w:hint="eastAsia" w:ascii="宋体" w:hAnsi="宋体" w:eastAsia="宋体" w:cs="宋体"/>
      <w:b/>
      <w:bCs/>
      <w:color w:val="333333"/>
      <w:sz w:val="27"/>
      <w:szCs w:val="27"/>
      <w:u w:val="none"/>
    </w:rPr>
  </w:style>
  <w:style w:type="character" w:customStyle="1" w:styleId="78">
    <w:name w:val="first-child"/>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sz w:val="24"/>
      <w:szCs w:val="22"/>
    </w:rPr>
  </w:style>
  <w:style w:type="character" w:customStyle="1" w:styleId="81">
    <w:name w:val="font131"/>
    <w:autoRedefine/>
    <w:qFormat/>
    <w:uiPriority w:val="0"/>
    <w:rPr>
      <w:rFonts w:ascii="仿宋" w:hAnsi="仿宋" w:eastAsia="仿宋" w:cs="仿宋"/>
      <w:color w:val="000000"/>
      <w:sz w:val="24"/>
      <w:szCs w:val="24"/>
      <w:u w:val="none"/>
    </w:rPr>
  </w:style>
  <w:style w:type="character" w:customStyle="1" w:styleId="82">
    <w:name w:val="font181"/>
    <w:autoRedefine/>
    <w:qFormat/>
    <w:uiPriority w:val="0"/>
    <w:rPr>
      <w:rFonts w:hint="eastAsia" w:ascii="宋体" w:hAnsi="宋体" w:eastAsia="宋体" w:cs="宋体"/>
      <w:color w:val="1A66B3"/>
      <w:sz w:val="18"/>
      <w:szCs w:val="18"/>
      <w:u w:val="none"/>
    </w:rPr>
  </w:style>
  <w:style w:type="character" w:customStyle="1" w:styleId="83">
    <w:name w:val="hover3"/>
    <w:autoRedefine/>
    <w:qFormat/>
    <w:uiPriority w:val="0"/>
  </w:style>
  <w:style w:type="character" w:customStyle="1" w:styleId="84">
    <w:name w:val="font112"/>
    <w:autoRedefine/>
    <w:qFormat/>
    <w:uiPriority w:val="0"/>
    <w:rPr>
      <w:rFonts w:ascii="Verdana" w:hAnsi="Verdana" w:cs="Verdana"/>
      <w:color w:val="000000"/>
      <w:sz w:val="18"/>
      <w:szCs w:val="18"/>
      <w:u w:val="none"/>
    </w:rPr>
  </w:style>
  <w:style w:type="character" w:customStyle="1" w:styleId="85">
    <w:name w:val="font81"/>
    <w:autoRedefine/>
    <w:qFormat/>
    <w:uiPriority w:val="0"/>
    <w:rPr>
      <w:rFonts w:hint="default" w:ascii="Verdana" w:hAnsi="Verdana" w:cs="Verdana"/>
      <w:color w:val="000000"/>
      <w:sz w:val="18"/>
      <w:szCs w:val="18"/>
      <w:u w:val="none"/>
    </w:rPr>
  </w:style>
  <w:style w:type="character" w:customStyle="1" w:styleId="86">
    <w:name w:val="hover"/>
    <w:autoRedefine/>
    <w:qFormat/>
    <w:uiPriority w:val="0"/>
    <w:rPr>
      <w:color w:val="2590EB"/>
      <w:shd w:val="clear" w:color="auto" w:fill="E9F4FD"/>
    </w:rPr>
  </w:style>
  <w:style w:type="character" w:customStyle="1" w:styleId="87">
    <w:name w:val="font41"/>
    <w:autoRedefine/>
    <w:qFormat/>
    <w:uiPriority w:val="0"/>
    <w:rPr>
      <w:rFonts w:hint="eastAsia" w:ascii="宋体" w:hAnsi="宋体" w:eastAsia="宋体" w:cs="宋体"/>
      <w:color w:val="000000"/>
      <w:sz w:val="22"/>
      <w:szCs w:val="22"/>
      <w:u w:val="none"/>
    </w:rPr>
  </w:style>
  <w:style w:type="character" w:customStyle="1" w:styleId="88">
    <w:name w:val="hover2"/>
    <w:autoRedefine/>
    <w:qFormat/>
    <w:uiPriority w:val="0"/>
    <w:rPr>
      <w:color w:val="2590EB"/>
    </w:rPr>
  </w:style>
  <w:style w:type="character" w:customStyle="1" w:styleId="89">
    <w:name w:val="hover1"/>
    <w:autoRedefine/>
    <w:qFormat/>
    <w:uiPriority w:val="0"/>
    <w:rPr>
      <w:color w:val="2590EB"/>
    </w:rPr>
  </w:style>
  <w:style w:type="character" w:customStyle="1" w:styleId="90">
    <w:name w:val="first-child1"/>
    <w:autoRedefine/>
    <w:qFormat/>
    <w:uiPriority w:val="0"/>
  </w:style>
  <w:style w:type="character" w:customStyle="1" w:styleId="91">
    <w:name w:val="selected"/>
    <w:autoRedefine/>
    <w:qFormat/>
    <w:uiPriority w:val="0"/>
    <w:rPr>
      <w:shd w:val="clear" w:color="auto" w:fill="B00006"/>
    </w:rPr>
  </w:style>
  <w:style w:type="character" w:customStyle="1" w:styleId="92">
    <w:name w:val="gpa"/>
    <w:autoRedefine/>
    <w:qFormat/>
    <w:uiPriority w:val="0"/>
    <w:rPr>
      <w:rFonts w:ascii="Arial" w:hAnsi="Arial" w:cs="Arial"/>
      <w:sz w:val="15"/>
      <w:szCs w:val="15"/>
    </w:rPr>
  </w:style>
  <w:style w:type="character" w:customStyle="1" w:styleId="93">
    <w:name w:val="apple-converted-space"/>
    <w:autoRedefine/>
    <w:qFormat/>
    <w:uiPriority w:val="0"/>
  </w:style>
  <w:style w:type="character" w:customStyle="1" w:styleId="94">
    <w:name w:val="列出段落 Char"/>
    <w:link w:val="95"/>
    <w:autoRedefine/>
    <w:qFormat/>
    <w:locked/>
    <w:uiPriority w:val="0"/>
    <w:rPr>
      <w:rFonts w:ascii="Calibri" w:hAnsi="Calibri" w:eastAsia="宋体"/>
      <w:kern w:val="2"/>
      <w:sz w:val="21"/>
      <w:szCs w:val="22"/>
      <w:lang w:val="en-US" w:eastAsia="zh-CN" w:bidi="ar-SA"/>
    </w:rPr>
  </w:style>
  <w:style w:type="paragraph" w:customStyle="1" w:styleId="95">
    <w:name w:val="List Paragraph1"/>
    <w:basedOn w:val="1"/>
    <w:link w:val="94"/>
    <w:autoRedefine/>
    <w:qFormat/>
    <w:uiPriority w:val="0"/>
    <w:pPr>
      <w:spacing w:line="312" w:lineRule="auto"/>
      <w:ind w:firstLine="420" w:firstLineChars="200"/>
    </w:pPr>
    <w:rPr>
      <w:rFonts w:ascii="Calibri" w:hAnsi="Calibri"/>
      <w:szCs w:val="22"/>
    </w:rPr>
  </w:style>
  <w:style w:type="character" w:customStyle="1" w:styleId="96">
    <w:name w:val="displayarti"/>
    <w:autoRedefine/>
    <w:qFormat/>
    <w:uiPriority w:val="0"/>
    <w:rPr>
      <w:color w:val="FFFFFF"/>
      <w:shd w:val="clear" w:color="auto" w:fill="A00000"/>
    </w:rPr>
  </w:style>
  <w:style w:type="character" w:customStyle="1" w:styleId="97">
    <w:name w:val="正文首行缩进 2 Char1"/>
    <w:autoRedefine/>
    <w:qFormat/>
    <w:uiPriority w:val="0"/>
  </w:style>
  <w:style w:type="character" w:customStyle="1" w:styleId="98">
    <w:name w:val="layui-this"/>
    <w:autoRedefine/>
    <w:qFormat/>
    <w:uiPriority w:val="0"/>
    <w:rPr>
      <w:bdr w:val="single" w:color="EEEEEE" w:sz="6" w:space="0"/>
      <w:shd w:val="clear" w:color="auto" w:fill="FFFFFF"/>
    </w:rPr>
  </w:style>
  <w:style w:type="character" w:customStyle="1" w:styleId="99">
    <w:name w:val="font151"/>
    <w:autoRedefine/>
    <w:qFormat/>
    <w:uiPriority w:val="0"/>
    <w:rPr>
      <w:rFonts w:hint="default" w:ascii="Verdana" w:hAnsi="Verdana" w:cs="Verdana"/>
      <w:b/>
      <w:bCs/>
      <w:color w:val="333333"/>
      <w:sz w:val="27"/>
      <w:szCs w:val="27"/>
      <w:u w:val="none"/>
    </w:rPr>
  </w:style>
  <w:style w:type="character" w:customStyle="1" w:styleId="100">
    <w:name w:val="font171"/>
    <w:autoRedefine/>
    <w:qFormat/>
    <w:uiPriority w:val="0"/>
    <w:rPr>
      <w:rFonts w:hint="eastAsia" w:ascii="宋体" w:hAnsi="宋体" w:eastAsia="宋体" w:cs="宋体"/>
      <w:color w:val="646464"/>
      <w:sz w:val="18"/>
      <w:szCs w:val="18"/>
      <w:u w:val="none"/>
    </w:rPr>
  </w:style>
  <w:style w:type="character" w:customStyle="1" w:styleId="101">
    <w:name w:val="hover7"/>
    <w:autoRedefine/>
    <w:qFormat/>
    <w:uiPriority w:val="0"/>
    <w:rPr>
      <w:color w:val="315EFB"/>
    </w:rPr>
  </w:style>
  <w:style w:type="paragraph" w:customStyle="1" w:styleId="102">
    <w:name w:val="列表2"/>
    <w:basedOn w:val="1"/>
    <w:next w:val="1"/>
    <w:autoRedefine/>
    <w:qFormat/>
    <w:uiPriority w:val="0"/>
    <w:pPr>
      <w:numPr>
        <w:ilvl w:val="0"/>
        <w:numId w:val="5"/>
      </w:numPr>
      <w:spacing w:line="200" w:lineRule="atLeast"/>
    </w:pPr>
    <w:rPr>
      <w:rFonts w:eastAsia="仿宋"/>
      <w:sz w:val="28"/>
    </w:rPr>
  </w:style>
  <w:style w:type="paragraph" w:customStyle="1" w:styleId="103">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标题4"/>
    <w:basedOn w:val="1"/>
    <w:autoRedefine/>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5">
    <w:name w:val="Char"/>
    <w:basedOn w:val="1"/>
    <w:next w:val="1"/>
    <w:autoRedefine/>
    <w:qFormat/>
    <w:uiPriority w:val="0"/>
    <w:pPr>
      <w:widowControl/>
      <w:spacing w:line="360" w:lineRule="auto"/>
      <w:jc w:val="left"/>
    </w:pPr>
    <w:rPr>
      <w:kern w:val="0"/>
      <w:szCs w:val="20"/>
      <w:lang w:eastAsia="en-US"/>
    </w:rPr>
  </w:style>
  <w:style w:type="paragraph" w:customStyle="1" w:styleId="106">
    <w:name w:val="样式1"/>
    <w:basedOn w:val="1"/>
    <w:autoRedefine/>
    <w:qFormat/>
    <w:uiPriority w:val="0"/>
    <w:pPr>
      <w:spacing w:line="360" w:lineRule="auto"/>
      <w:jc w:val="center"/>
    </w:pPr>
    <w:rPr>
      <w:rFonts w:ascii="Times New Roman" w:hAnsi="Times New Roman" w:cs="Times New Roman"/>
      <w:b/>
      <w:sz w:val="30"/>
      <w:szCs w:val="30"/>
    </w:rPr>
  </w:style>
  <w:style w:type="paragraph" w:customStyle="1" w:styleId="107">
    <w:name w:val=" Char Char Char Char"/>
    <w:basedOn w:val="1"/>
    <w:autoRedefine/>
    <w:qFormat/>
    <w:uiPriority w:val="0"/>
    <w:rPr>
      <w:rFonts w:ascii="Tahoma" w:hAnsi="Tahoma"/>
      <w:sz w:val="24"/>
      <w:szCs w:val="20"/>
    </w:rPr>
  </w:style>
  <w:style w:type="paragraph" w:customStyle="1" w:styleId="108">
    <w:name w:val="_Style 4"/>
    <w:basedOn w:val="1"/>
    <w:autoRedefine/>
    <w:qFormat/>
    <w:uiPriority w:val="34"/>
    <w:pPr>
      <w:adjustRightInd w:val="0"/>
      <w:ind w:firstLine="420" w:firstLineChars="200"/>
      <w:jc w:val="left"/>
      <w:textAlignment w:val="baseline"/>
    </w:pPr>
    <w:rPr>
      <w:kern w:val="0"/>
      <w:szCs w:val="20"/>
    </w:rPr>
  </w:style>
  <w:style w:type="paragraph" w:customStyle="1" w:styleId="109">
    <w:name w:val="列出段落2"/>
    <w:basedOn w:val="1"/>
    <w:autoRedefine/>
    <w:qFormat/>
    <w:uiPriority w:val="0"/>
    <w:pPr>
      <w:ind w:firstLine="420" w:firstLineChars="200"/>
    </w:pPr>
    <w:rPr>
      <w:rFonts w:ascii="Calibri" w:hAnsi="Calibri"/>
      <w:szCs w:val="22"/>
    </w:rPr>
  </w:style>
  <w:style w:type="paragraph" w:customStyle="1" w:styleId="11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11">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2">
    <w:name w:val="_Style 10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Table Paragraph"/>
    <w:basedOn w:val="1"/>
    <w:autoRedefine/>
    <w:qFormat/>
    <w:uiPriority w:val="1"/>
    <w:rPr>
      <w:rFonts w:ascii="宋体" w:hAnsi="宋体" w:eastAsia="宋体" w:cs="宋体"/>
      <w:lang w:val="zh-CN" w:eastAsia="zh-CN" w:bidi="zh-CN"/>
    </w:rPr>
  </w:style>
  <w:style w:type="paragraph" w:customStyle="1" w:styleId="114">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5">
    <w:name w:val="列出段落1"/>
    <w:basedOn w:val="1"/>
    <w:autoRedefine/>
    <w:qFormat/>
    <w:uiPriority w:val="34"/>
    <w:pPr>
      <w:ind w:firstLine="420" w:firstLineChars="200"/>
    </w:pPr>
  </w:style>
  <w:style w:type="paragraph" w:customStyle="1" w:styleId="116">
    <w:name w:val="Char Char Char Char Char Char Char1 Char"/>
    <w:basedOn w:val="1"/>
    <w:autoRedefine/>
    <w:qFormat/>
    <w:uiPriority w:val="0"/>
    <w:rPr>
      <w:rFonts w:ascii="Tahoma" w:hAnsi="Tahoma"/>
      <w:sz w:val="24"/>
      <w:szCs w:val="20"/>
    </w:rPr>
  </w:style>
  <w:style w:type="paragraph" w:styleId="117">
    <w:name w:val="List Paragraph"/>
    <w:basedOn w:val="1"/>
    <w:autoRedefine/>
    <w:qFormat/>
    <w:uiPriority w:val="0"/>
    <w:pPr>
      <w:spacing w:line="360" w:lineRule="auto"/>
      <w:ind w:firstLine="420" w:firstLineChars="200"/>
    </w:pPr>
    <w:rPr>
      <w:rFonts w:ascii="宋体" w:hAnsi="宋体" w:cs="宋体"/>
      <w:sz w:val="24"/>
    </w:rPr>
  </w:style>
  <w:style w:type="paragraph" w:customStyle="1" w:styleId="118">
    <w:name w:val="List Paragraph2"/>
    <w:basedOn w:val="1"/>
    <w:autoRedefine/>
    <w:qFormat/>
    <w:uiPriority w:val="0"/>
    <w:pPr>
      <w:spacing w:line="360" w:lineRule="auto"/>
      <w:ind w:firstLine="420"/>
    </w:pPr>
    <w:rPr>
      <w:color w:val="000000"/>
      <w:sz w:val="24"/>
      <w:szCs w:val="21"/>
    </w:rPr>
  </w:style>
  <w:style w:type="paragraph" w:customStyle="1" w:styleId="119">
    <w:name w:val="（无样式）"/>
    <w:basedOn w:val="1"/>
    <w:autoRedefine/>
    <w:qFormat/>
    <w:uiPriority w:val="0"/>
    <w:pPr>
      <w:widowControl/>
      <w:numPr>
        <w:ilvl w:val="0"/>
        <w:numId w:val="7"/>
      </w:numPr>
      <w:spacing w:line="360" w:lineRule="auto"/>
      <w:ind w:firstLine="0"/>
    </w:pPr>
    <w:rPr>
      <w:sz w:val="24"/>
      <w:szCs w:val="20"/>
    </w:rPr>
  </w:style>
  <w:style w:type="paragraph" w:customStyle="1" w:styleId="120">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21">
    <w:name w:val="标题3-副本"/>
    <w:basedOn w:val="26"/>
    <w:autoRedefine/>
    <w:qFormat/>
    <w:uiPriority w:val="0"/>
    <w:pPr>
      <w:numPr>
        <w:ilvl w:val="0"/>
        <w:numId w:val="0"/>
      </w:numPr>
      <w:ind w:left="840"/>
    </w:pPr>
  </w:style>
  <w:style w:type="paragraph" w:customStyle="1" w:styleId="122">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123">
    <w:name w:val="_Style 2"/>
    <w:basedOn w:val="1"/>
    <w:autoRedefine/>
    <w:qFormat/>
    <w:uiPriority w:val="0"/>
  </w:style>
  <w:style w:type="paragraph" w:customStyle="1" w:styleId="124">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2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6">
    <w:name w:val=" Char"/>
    <w:basedOn w:val="1"/>
    <w:autoRedefine/>
    <w:qFormat/>
    <w:uiPriority w:val="0"/>
  </w:style>
  <w:style w:type="paragraph" w:customStyle="1" w:styleId="127">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8">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29">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30">
    <w:name w:val="_Style 118"/>
    <w:basedOn w:val="1"/>
    <w:next w:val="1"/>
    <w:autoRedefine/>
    <w:qFormat/>
    <w:uiPriority w:val="0"/>
    <w:pPr>
      <w:pBdr>
        <w:top w:val="single" w:color="auto" w:sz="6" w:space="1"/>
      </w:pBdr>
      <w:jc w:val="center"/>
    </w:pPr>
    <w:rPr>
      <w:rFonts w:ascii="Arial" w:eastAsia="宋体"/>
      <w:vanish/>
      <w:sz w:val="16"/>
    </w:rPr>
  </w:style>
  <w:style w:type="character" w:customStyle="1" w:styleId="131">
    <w:name w:val="num"/>
    <w:basedOn w:val="39"/>
    <w:autoRedefine/>
    <w:qFormat/>
    <w:uiPriority w:val="0"/>
    <w:rPr>
      <w:b/>
      <w:bCs/>
      <w:color w:val="FF7800"/>
    </w:rPr>
  </w:style>
  <w:style w:type="character" w:customStyle="1" w:styleId="132">
    <w:name w:val="a-desc"/>
    <w:basedOn w:val="39"/>
    <w:autoRedefine/>
    <w:qFormat/>
    <w:uiPriority w:val="0"/>
    <w:rPr>
      <w:color w:val="315EFB"/>
    </w:rPr>
  </w:style>
  <w:style w:type="character" w:customStyle="1" w:styleId="133">
    <w:name w:val="bg"/>
    <w:basedOn w:val="39"/>
    <w:autoRedefine/>
    <w:qFormat/>
    <w:uiPriority w:val="0"/>
    <w:rPr>
      <w:shd w:val="clear" w:color="auto" w:fill="000000"/>
    </w:rPr>
  </w:style>
  <w:style w:type="character" w:customStyle="1" w:styleId="134">
    <w:name w:val="bg1"/>
    <w:basedOn w:val="39"/>
    <w:autoRedefine/>
    <w:qFormat/>
    <w:uiPriority w:val="0"/>
    <w:rPr>
      <w:shd w:val="clear" w:color="auto" w:fill="000000"/>
    </w:rPr>
  </w:style>
  <w:style w:type="character" w:customStyle="1" w:styleId="135">
    <w:name w:val="bg2"/>
    <w:basedOn w:val="39"/>
    <w:autoRedefine/>
    <w:qFormat/>
    <w:uiPriority w:val="0"/>
    <w:rPr>
      <w:shd w:val="clear" w:color="auto" w:fill="000000"/>
    </w:rPr>
  </w:style>
  <w:style w:type="character" w:customStyle="1" w:styleId="136">
    <w:name w:val="iknow-qb-ad-sou-icon"/>
    <w:basedOn w:val="39"/>
    <w:autoRedefine/>
    <w:qFormat/>
    <w:uiPriority w:val="0"/>
  </w:style>
  <w:style w:type="character" w:customStyle="1" w:styleId="137">
    <w:name w:val="del-btn"/>
    <w:basedOn w:val="39"/>
    <w:autoRedefine/>
    <w:qFormat/>
    <w:uiPriority w:val="0"/>
  </w:style>
  <w:style w:type="character" w:customStyle="1" w:styleId="138">
    <w:name w:val="del-btn1"/>
    <w:basedOn w:val="39"/>
    <w:autoRedefine/>
    <w:qFormat/>
    <w:uiPriority w:val="0"/>
  </w:style>
  <w:style w:type="character" w:customStyle="1" w:styleId="139">
    <w:name w:val="del-btn2"/>
    <w:basedOn w:val="39"/>
    <w:autoRedefine/>
    <w:qFormat/>
    <w:uiPriority w:val="0"/>
  </w:style>
  <w:style w:type="character" w:customStyle="1" w:styleId="140">
    <w:name w:val="answer-title"/>
    <w:basedOn w:val="39"/>
    <w:autoRedefine/>
    <w:qFormat/>
    <w:uiPriority w:val="0"/>
  </w:style>
  <w:style w:type="character" w:customStyle="1" w:styleId="141">
    <w:name w:val="new-icon2"/>
    <w:basedOn w:val="39"/>
    <w:autoRedefine/>
    <w:qFormat/>
    <w:uiPriority w:val="0"/>
  </w:style>
  <w:style w:type="character" w:customStyle="1" w:styleId="142">
    <w:name w:val="new-icon3"/>
    <w:basedOn w:val="39"/>
    <w:autoRedefine/>
    <w:qFormat/>
    <w:uiPriority w:val="0"/>
  </w:style>
  <w:style w:type="character" w:customStyle="1" w:styleId="143">
    <w:name w:val="green"/>
    <w:basedOn w:val="39"/>
    <w:autoRedefine/>
    <w:qFormat/>
    <w:uiPriority w:val="0"/>
    <w:rPr>
      <w:color w:val="3B6FFF"/>
    </w:rPr>
  </w:style>
  <w:style w:type="character" w:customStyle="1" w:styleId="144">
    <w:name w:val="green1"/>
    <w:basedOn w:val="39"/>
    <w:autoRedefine/>
    <w:qFormat/>
    <w:uiPriority w:val="0"/>
    <w:rPr>
      <w:color w:val="3B6FFF"/>
    </w:rPr>
  </w:style>
  <w:style w:type="character" w:customStyle="1" w:styleId="145">
    <w:name w:val="green2"/>
    <w:basedOn w:val="39"/>
    <w:autoRedefine/>
    <w:qFormat/>
    <w:uiPriority w:val="0"/>
    <w:rPr>
      <w:color w:val="4DC86F"/>
    </w:rPr>
  </w:style>
  <w:style w:type="character" w:customStyle="1" w:styleId="146">
    <w:name w:val="green3"/>
    <w:basedOn w:val="39"/>
    <w:autoRedefine/>
    <w:qFormat/>
    <w:uiPriority w:val="0"/>
    <w:rPr>
      <w:color w:val="4DC86F"/>
    </w:rPr>
  </w:style>
  <w:style w:type="character" w:customStyle="1" w:styleId="147">
    <w:name w:val="answer-title2"/>
    <w:basedOn w:val="39"/>
    <w:autoRedefine/>
    <w:qFormat/>
    <w:uiPriority w:val="0"/>
  </w:style>
  <w:style w:type="character" w:customStyle="1" w:styleId="148">
    <w:name w:val="new-icon"/>
    <w:basedOn w:val="39"/>
    <w:autoRedefine/>
    <w:qFormat/>
    <w:uiPriority w:val="0"/>
  </w:style>
  <w:style w:type="character" w:customStyle="1" w:styleId="149">
    <w:name w:val="new-icon1"/>
    <w:basedOn w:val="39"/>
    <w:autoRedefine/>
    <w:qFormat/>
    <w:uiPriority w:val="0"/>
  </w:style>
  <w:style w:type="character" w:customStyle="1" w:styleId="150">
    <w:name w:val="font31"/>
    <w:basedOn w:val="39"/>
    <w:autoRedefine/>
    <w:qFormat/>
    <w:uiPriority w:val="0"/>
    <w:rPr>
      <w:rFonts w:hint="eastAsia" w:ascii="宋体" w:hAnsi="宋体" w:eastAsia="宋体" w:cs="宋体"/>
      <w:color w:val="000000"/>
      <w:sz w:val="21"/>
      <w:szCs w:val="21"/>
      <w:u w:val="none"/>
    </w:rPr>
  </w:style>
  <w:style w:type="character" w:customStyle="1" w:styleId="151">
    <w:name w:val="font51"/>
    <w:basedOn w:val="39"/>
    <w:autoRedefine/>
    <w:qFormat/>
    <w:uiPriority w:val="0"/>
    <w:rPr>
      <w:rFonts w:hint="default" w:ascii="Times New Roman" w:hAnsi="Times New Roman" w:cs="Times New Roman"/>
      <w:color w:val="000000"/>
      <w:sz w:val="21"/>
      <w:szCs w:val="21"/>
      <w:u w:val="none"/>
    </w:rPr>
  </w:style>
  <w:style w:type="paragraph" w:customStyle="1" w:styleId="152">
    <w:name w:val="TableOfAuthoring"/>
    <w:basedOn w:val="1"/>
    <w:qFormat/>
    <w:uiPriority w:val="0"/>
    <w:pPr>
      <w:ind w:left="420" w:leftChars="200"/>
      <w:jc w:val="both"/>
    </w:pPr>
    <w:rPr>
      <w:rFonts w:ascii="Calibri" w:hAnsi="Calibri" w:eastAsia="仿宋_GB2312"/>
      <w:kern w:val="2"/>
      <w:sz w:val="32"/>
      <w:szCs w:val="32"/>
      <w:lang w:val="en-US" w:eastAsia="zh-CN" w:bidi="ar-SA"/>
    </w:rPr>
  </w:style>
  <w:style w:type="paragraph" w:customStyle="1" w:styleId="15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11087</Words>
  <Characters>12094</Characters>
  <Lines>358</Lines>
  <Paragraphs>100</Paragraphs>
  <TotalTime>6</TotalTime>
  <ScaleCrop>false</ScaleCrop>
  <LinksUpToDate>false</LinksUpToDate>
  <CharactersWithSpaces>12555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2025-05-23T01:13:00Z</cp:lastPrinted>
  <dcterms:modified xsi:type="dcterms:W3CDTF">2025-07-21T09:49:10Z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8B2F69E389484E189CF7789DDC6E20E4_13</vt:lpwstr>
  </property>
  <property fmtid="{D5CDD505-2E9C-101B-9397-08002B2CF9AE}" pid="4" name="KSOTemplateDocerSaveRecord">
    <vt:lpwstr>eyJoZGlkIjoiZWIyYTkxYWMwZmMyYTc0NDcxNzE0MGFlOTUzMjFjNjQiLCJ1c2VySWQiOiI1MjYzMTQ5MTEifQ==</vt:lpwstr>
  </property>
</Properties>
</file>