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67CE">
      <w:pPr>
        <w:rPr>
          <w:color w:val="auto"/>
          <w:highlight w:val="none"/>
        </w:rPr>
      </w:pPr>
    </w:p>
    <w:p w14:paraId="5A4E2A9C">
      <w:pPr>
        <w:pStyle w:val="22"/>
        <w:rPr>
          <w:color w:val="auto"/>
          <w:highlight w:val="none"/>
        </w:rPr>
      </w:pPr>
    </w:p>
    <w:p w14:paraId="2BF9A3DE">
      <w:pPr>
        <w:pStyle w:val="22"/>
        <w:rPr>
          <w:color w:val="auto"/>
          <w:highlight w:val="none"/>
        </w:rPr>
      </w:pPr>
    </w:p>
    <w:p w14:paraId="6438F8EF">
      <w:pPr>
        <w:pStyle w:val="22"/>
        <w:ind w:left="0" w:leftChars="0" w:firstLine="0" w:firstLineChars="0"/>
        <w:rPr>
          <w:color w:val="auto"/>
          <w:highlight w:val="none"/>
        </w:rPr>
      </w:pPr>
    </w:p>
    <w:p w14:paraId="2B6A0699">
      <w:pPr>
        <w:rPr>
          <w:color w:val="auto"/>
          <w:highlight w:val="none"/>
        </w:rPr>
      </w:pPr>
    </w:p>
    <w:p w14:paraId="2917507F">
      <w:pPr>
        <w:adjustRightInd w:val="0"/>
        <w:snapToGrid w:val="0"/>
        <w:spacing w:line="360" w:lineRule="auto"/>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rPr>
        <w:t>滁州市自来水有限公司水厂水质保障提升改造项目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三次）</w:t>
      </w:r>
    </w:p>
    <w:p w14:paraId="735DA0B1">
      <w:pPr>
        <w:adjustRightInd w:val="0"/>
        <w:snapToGrid w:val="0"/>
        <w:spacing w:line="360" w:lineRule="auto"/>
        <w:rPr>
          <w:rFonts w:ascii="宋体" w:hAnsi="宋体" w:cs="宋体"/>
          <w:color w:val="auto"/>
          <w:szCs w:val="21"/>
          <w:highlight w:val="none"/>
        </w:rPr>
      </w:pPr>
    </w:p>
    <w:p w14:paraId="4B38ED15">
      <w:pPr>
        <w:pStyle w:val="15"/>
        <w:rPr>
          <w:color w:val="auto"/>
          <w:highlight w:val="none"/>
        </w:rPr>
      </w:pPr>
    </w:p>
    <w:p w14:paraId="144A8F2A">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249F9790">
      <w:pPr>
        <w:jc w:val="center"/>
        <w:rPr>
          <w:rFonts w:hint="default" w:ascii="宋体" w:hAnsi="宋体" w:eastAsia="宋体" w:cs="宋体"/>
          <w:color w:val="auto"/>
          <w:sz w:val="72"/>
          <w:szCs w:val="72"/>
          <w:highlight w:val="none"/>
          <w:lang w:val="en-US" w:eastAsia="zh-CN"/>
        </w:rPr>
      </w:pPr>
      <w:r>
        <w:rPr>
          <w:rFonts w:hint="eastAsia"/>
          <w:color w:val="auto"/>
          <w:sz w:val="28"/>
          <w:szCs w:val="28"/>
          <w:highlight w:val="none"/>
        </w:rPr>
        <w:t>项目编号：czsjgc2025</w:t>
      </w:r>
      <w:r>
        <w:rPr>
          <w:rFonts w:hint="eastAsia"/>
          <w:color w:val="auto"/>
          <w:sz w:val="28"/>
          <w:szCs w:val="28"/>
          <w:highlight w:val="none"/>
          <w:lang w:val="en-US" w:eastAsia="zh-CN"/>
        </w:rPr>
        <w:t>11-003</w:t>
      </w:r>
    </w:p>
    <w:p w14:paraId="43C4512B">
      <w:pPr>
        <w:spacing w:line="540" w:lineRule="exact"/>
        <w:rPr>
          <w:rFonts w:ascii="宋体" w:hAnsi="宋体" w:cs="宋体"/>
          <w:color w:val="auto"/>
          <w:szCs w:val="21"/>
          <w:highlight w:val="none"/>
        </w:rPr>
      </w:pPr>
    </w:p>
    <w:p w14:paraId="2C53565B">
      <w:pPr>
        <w:spacing w:line="540" w:lineRule="exact"/>
        <w:ind w:firstLine="437"/>
        <w:rPr>
          <w:rFonts w:ascii="宋体" w:hAnsi="宋体" w:cs="宋体"/>
          <w:color w:val="auto"/>
          <w:szCs w:val="21"/>
          <w:highlight w:val="none"/>
        </w:rPr>
      </w:pPr>
    </w:p>
    <w:p w14:paraId="4F668843">
      <w:pPr>
        <w:spacing w:line="540" w:lineRule="exact"/>
        <w:rPr>
          <w:rFonts w:ascii="宋体" w:hAnsi="宋体" w:cs="宋体"/>
          <w:color w:val="auto"/>
          <w:szCs w:val="21"/>
          <w:highlight w:val="none"/>
        </w:rPr>
      </w:pPr>
    </w:p>
    <w:p w14:paraId="4255C108">
      <w:pPr>
        <w:pStyle w:val="22"/>
        <w:rPr>
          <w:color w:val="auto"/>
          <w:highlight w:val="none"/>
        </w:rPr>
      </w:pPr>
    </w:p>
    <w:p w14:paraId="7161187C">
      <w:pPr>
        <w:rPr>
          <w:color w:val="auto"/>
          <w:highlight w:val="none"/>
        </w:rPr>
      </w:pPr>
    </w:p>
    <w:p w14:paraId="6248B30C">
      <w:pPr>
        <w:rPr>
          <w:color w:val="auto"/>
          <w:highlight w:val="none"/>
        </w:rPr>
      </w:pPr>
    </w:p>
    <w:p w14:paraId="0712B25F">
      <w:pPr>
        <w:spacing w:line="540" w:lineRule="exact"/>
        <w:rPr>
          <w:rFonts w:ascii="宋体" w:hAnsi="宋体" w:cs="宋体"/>
          <w:color w:val="auto"/>
          <w:szCs w:val="21"/>
          <w:highlight w:val="none"/>
        </w:rPr>
      </w:pPr>
    </w:p>
    <w:p w14:paraId="0C9F45EF">
      <w:pPr>
        <w:spacing w:line="540" w:lineRule="exact"/>
        <w:rPr>
          <w:rFonts w:ascii="宋体" w:hAnsi="宋体" w:cs="宋体"/>
          <w:color w:val="auto"/>
          <w:szCs w:val="21"/>
          <w:highlight w:val="none"/>
        </w:rPr>
      </w:pPr>
    </w:p>
    <w:p w14:paraId="5D2DAF2E">
      <w:pPr>
        <w:spacing w:line="540" w:lineRule="exact"/>
        <w:rPr>
          <w:rFonts w:ascii="宋体" w:hAnsi="宋体" w:cs="宋体"/>
          <w:color w:val="auto"/>
          <w:szCs w:val="21"/>
          <w:highlight w:val="none"/>
        </w:rPr>
      </w:pPr>
    </w:p>
    <w:p w14:paraId="641ACD1F">
      <w:pPr>
        <w:pStyle w:val="22"/>
        <w:rPr>
          <w:rFonts w:ascii="宋体" w:hAnsi="宋体" w:cs="宋体"/>
          <w:color w:val="auto"/>
          <w:szCs w:val="21"/>
          <w:highlight w:val="none"/>
        </w:rPr>
      </w:pPr>
    </w:p>
    <w:p w14:paraId="0CAC6AF2">
      <w:pPr>
        <w:rPr>
          <w:rFonts w:ascii="宋体" w:hAnsi="宋体" w:cs="宋体"/>
          <w:color w:val="auto"/>
          <w:szCs w:val="21"/>
          <w:highlight w:val="none"/>
        </w:rPr>
      </w:pPr>
    </w:p>
    <w:p w14:paraId="53B87FE7">
      <w:pPr>
        <w:pStyle w:val="22"/>
        <w:rPr>
          <w:rFonts w:ascii="宋体" w:hAnsi="宋体" w:cs="宋体"/>
          <w:color w:val="auto"/>
          <w:szCs w:val="21"/>
          <w:highlight w:val="none"/>
        </w:rPr>
      </w:pPr>
    </w:p>
    <w:p w14:paraId="2E6B6F55">
      <w:pPr>
        <w:rPr>
          <w:rFonts w:ascii="宋体" w:hAnsi="宋体" w:cs="宋体"/>
          <w:color w:val="auto"/>
          <w:szCs w:val="21"/>
          <w:highlight w:val="none"/>
        </w:rPr>
      </w:pPr>
    </w:p>
    <w:p w14:paraId="60B8B6FF">
      <w:pPr>
        <w:pStyle w:val="22"/>
        <w:rPr>
          <w:rFonts w:ascii="宋体" w:hAnsi="宋体" w:cs="宋体"/>
          <w:color w:val="auto"/>
          <w:szCs w:val="21"/>
          <w:highlight w:val="none"/>
        </w:rPr>
      </w:pPr>
    </w:p>
    <w:p w14:paraId="2D84DC25">
      <w:pPr>
        <w:rPr>
          <w:color w:val="auto"/>
          <w:highlight w:val="none"/>
        </w:rPr>
      </w:pPr>
    </w:p>
    <w:p w14:paraId="74534041">
      <w:pPr>
        <w:adjustRightInd w:val="0"/>
        <w:snapToGrid w:val="0"/>
        <w:spacing w:line="480" w:lineRule="auto"/>
        <w:ind w:firstLine="437"/>
        <w:rPr>
          <w:rFonts w:ascii="宋体" w:hAnsi="宋体" w:cs="宋体"/>
          <w:color w:val="auto"/>
          <w:szCs w:val="21"/>
          <w:highlight w:val="none"/>
        </w:rPr>
      </w:pPr>
    </w:p>
    <w:p w14:paraId="20780F3C">
      <w:pPr>
        <w:widowControl/>
        <w:spacing w:before="120" w:beforeLines="50" w:after="120" w:afterLines="50" w:line="640" w:lineRule="exact"/>
        <w:jc w:val="center"/>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招标单位：</w:t>
      </w:r>
      <w:r>
        <w:rPr>
          <w:rFonts w:hint="eastAsia" w:ascii="宋体" w:hAnsi="宋体" w:cs="宋体"/>
          <w:b/>
          <w:bCs/>
          <w:color w:val="auto"/>
          <w:sz w:val="28"/>
          <w:szCs w:val="28"/>
          <w:highlight w:val="none"/>
          <w:u w:val="single"/>
        </w:rPr>
        <w:t xml:space="preserve"> 滁州市自来水有限公司  </w:t>
      </w:r>
      <w:r>
        <w:rPr>
          <w:rFonts w:hint="eastAsia" w:ascii="宋体" w:hAnsi="宋体" w:cs="宋体"/>
          <w:b/>
          <w:bCs/>
          <w:color w:val="auto"/>
          <w:sz w:val="28"/>
          <w:szCs w:val="28"/>
          <w:highlight w:val="none"/>
        </w:rPr>
        <w:t>（盖章）</w:t>
      </w:r>
    </w:p>
    <w:p w14:paraId="2EB34561">
      <w:pPr>
        <w:widowControl/>
        <w:spacing w:before="120" w:beforeLines="50" w:after="120" w:afterLines="50" w:line="640" w:lineRule="exact"/>
        <w:jc w:val="center"/>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代理机构：</w:t>
      </w:r>
      <w:r>
        <w:rPr>
          <w:rFonts w:hint="eastAsia" w:ascii="宋体" w:hAnsi="宋体" w:cs="宋体"/>
          <w:b/>
          <w:bCs/>
          <w:color w:val="auto"/>
          <w:sz w:val="28"/>
          <w:szCs w:val="28"/>
          <w:highlight w:val="none"/>
          <w:u w:val="single"/>
        </w:rPr>
        <w:t>滁州市城投工程咨询管理有限公司</w:t>
      </w:r>
      <w:r>
        <w:rPr>
          <w:rFonts w:hint="eastAsia" w:ascii="宋体" w:hAnsi="宋体" w:cs="宋体"/>
          <w:b/>
          <w:bCs/>
          <w:color w:val="auto"/>
          <w:sz w:val="28"/>
          <w:szCs w:val="28"/>
          <w:highlight w:val="none"/>
        </w:rPr>
        <w:t>（盖章）</w:t>
      </w:r>
    </w:p>
    <w:p w14:paraId="1C1FB437">
      <w:pPr>
        <w:widowControl/>
        <w:spacing w:before="120" w:beforeLines="50" w:after="120" w:afterLines="50" w:line="640" w:lineRule="exact"/>
        <w:jc w:val="center"/>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u w:val="single"/>
        </w:rPr>
        <w:t xml:space="preserve">2025 </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11</w:t>
      </w:r>
      <w:r>
        <w:rPr>
          <w:rFonts w:hint="eastAsia" w:ascii="宋体" w:hAnsi="宋体" w:cs="宋体"/>
          <w:b/>
          <w:bCs/>
          <w:color w:val="auto"/>
          <w:sz w:val="28"/>
          <w:szCs w:val="28"/>
          <w:highlight w:val="none"/>
        </w:rPr>
        <w:t>月</w:t>
      </w:r>
    </w:p>
    <w:p w14:paraId="6D832F7F">
      <w:pPr>
        <w:pStyle w:val="54"/>
        <w:adjustRightInd w:val="0"/>
        <w:snapToGrid w:val="0"/>
        <w:spacing w:before="120" w:beforeLines="50" w:after="120" w:afterLines="50" w:line="240" w:lineRule="auto"/>
        <w:ind w:right="210" w:rightChars="100"/>
        <w:jc w:val="center"/>
        <w:rPr>
          <w:color w:val="auto"/>
          <w:sz w:val="52"/>
          <w:highlight w:val="none"/>
        </w:rPr>
      </w:pPr>
      <w:r>
        <w:rPr>
          <w:color w:val="auto"/>
          <w:sz w:val="52"/>
          <w:highlight w:val="none"/>
          <w:lang w:val="zh-CN"/>
        </w:rPr>
        <w:br w:type="page"/>
      </w: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14:paraId="64519893">
      <w:pPr>
        <w:pStyle w:val="19"/>
        <w:tabs>
          <w:tab w:val="right" w:leader="dot" w:pos="9880"/>
        </w:tabs>
        <w:spacing w:line="520" w:lineRule="exact"/>
        <w:ind w:left="218" w:leftChars="104"/>
        <w:rPr>
          <w:rFonts w:ascii="宋体" w:hAnsi="宋体" w:cs="宋体"/>
          <w:b w:val="0"/>
          <w:bCs w:val="0"/>
          <w:caps w:val="0"/>
          <w:color w:val="auto"/>
          <w:sz w:val="24"/>
          <w:szCs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"_Toc95223332"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p>
    <w:p w14:paraId="005FBAAC">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val="en-US" w:eastAsia="zh-CN"/>
        </w:rPr>
      </w:pPr>
      <w:r>
        <w:rPr>
          <w:color w:val="auto"/>
          <w:highlight w:val="none"/>
        </w:rPr>
        <w:fldChar w:fldCharType="begin"/>
      </w:r>
      <w:r>
        <w:rPr>
          <w:color w:val="auto"/>
          <w:highlight w:val="none"/>
        </w:rPr>
        <w:instrText xml:space="preserve"> HYPERLINK \l "_Toc95223333"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745B3FA8">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"_Toc95223391" </w:instrText>
      </w:r>
      <w:r>
        <w:rPr>
          <w:color w:val="auto"/>
          <w:highlight w:val="none"/>
        </w:rPr>
        <w:fldChar w:fldCharType="separate"/>
      </w:r>
      <w:r>
        <w:rPr>
          <w:rFonts w:hint="eastAsia" w:ascii="宋体" w:hAnsi="宋体" w:cs="宋体"/>
          <w:color w:val="auto"/>
          <w:sz w:val="24"/>
          <w:szCs w:val="24"/>
          <w:highlight w:val="none"/>
        </w:rPr>
        <w:t>第三章 资格审查办法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Style w:val="33"/>
          <w:rFonts w:hint="eastAsia" w:ascii="宋体" w:hAnsi="宋体" w:cs="宋体"/>
          <w:color w:val="auto"/>
          <w:sz w:val="24"/>
          <w:szCs w:val="24"/>
          <w:highlight w:val="none"/>
          <w:lang w:val="en-US" w:eastAsia="zh-CN"/>
        </w:rPr>
        <w:t>8</w:t>
      </w:r>
    </w:p>
    <w:p w14:paraId="0FE588EE">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"_Toc95223428" </w:instrText>
      </w:r>
      <w:r>
        <w:rPr>
          <w:color w:val="auto"/>
          <w:highlight w:val="none"/>
        </w:rPr>
        <w:fldChar w:fldCharType="separate"/>
      </w:r>
      <w:r>
        <w:rPr>
          <w:rFonts w:hint="eastAsia" w:ascii="宋体" w:hAnsi="宋体" w:cs="宋体"/>
          <w:color w:val="auto"/>
          <w:sz w:val="24"/>
          <w:szCs w:val="24"/>
          <w:highlight w:val="none"/>
        </w:rPr>
        <w:t>第四章 评标办法（综合评估法）</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fldChar w:fldCharType="end"/>
      </w:r>
      <w:r>
        <w:rPr>
          <w:rStyle w:val="33"/>
          <w:rFonts w:hint="eastAsia" w:ascii="宋体" w:hAnsi="宋体" w:cs="宋体"/>
          <w:color w:val="auto"/>
          <w:sz w:val="24"/>
          <w:szCs w:val="24"/>
          <w:highlight w:val="none"/>
          <w:lang w:val="en-US" w:eastAsia="zh-CN"/>
        </w:rPr>
        <w:t>2</w:t>
      </w:r>
    </w:p>
    <w:p w14:paraId="3E1FA042">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"_Toc95223458" </w:instrText>
      </w:r>
      <w:r>
        <w:rPr>
          <w:color w:val="auto"/>
          <w:highlight w:val="none"/>
        </w:rPr>
        <w:fldChar w:fldCharType="separate"/>
      </w:r>
      <w:r>
        <w:rPr>
          <w:rFonts w:hint="eastAsia" w:ascii="宋体" w:hAnsi="宋体" w:cs="宋体"/>
          <w:color w:val="auto"/>
          <w:sz w:val="24"/>
          <w:szCs w:val="24"/>
          <w:highlight w:val="none"/>
        </w:rPr>
        <w:t>第五章 合同条款及格式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fldChar w:fldCharType="end"/>
      </w:r>
      <w:r>
        <w:rPr>
          <w:rStyle w:val="33"/>
          <w:rFonts w:hint="eastAsia" w:ascii="宋体" w:hAnsi="宋体" w:cs="宋体"/>
          <w:color w:val="auto"/>
          <w:sz w:val="24"/>
          <w:szCs w:val="24"/>
          <w:highlight w:val="none"/>
          <w:lang w:val="en-US" w:eastAsia="zh-CN"/>
        </w:rPr>
        <w:t>3</w:t>
      </w:r>
    </w:p>
    <w:p w14:paraId="5A185DBE">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"_Toc95223515" </w:instrText>
      </w:r>
      <w:r>
        <w:rPr>
          <w:color w:val="auto"/>
          <w:highlight w:val="none"/>
        </w:rPr>
        <w:fldChar w:fldCharType="separate"/>
      </w:r>
      <w:r>
        <w:rPr>
          <w:rFonts w:hint="eastAsia" w:ascii="宋体" w:hAnsi="宋体" w:cs="宋体"/>
          <w:color w:val="auto"/>
          <w:kern w:val="44"/>
          <w:sz w:val="24"/>
          <w:szCs w:val="24"/>
          <w:highlight w:val="none"/>
        </w:rPr>
        <w:t>第六章 工程量清单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Style w:val="33"/>
          <w:rFonts w:hint="eastAsia" w:ascii="宋体" w:hAnsi="宋体" w:cs="宋体"/>
          <w:color w:val="auto"/>
          <w:sz w:val="24"/>
          <w:szCs w:val="24"/>
          <w:highlight w:val="none"/>
          <w:lang w:val="en-US" w:eastAsia="zh-CN"/>
        </w:rPr>
        <w:t>8</w:t>
      </w:r>
    </w:p>
    <w:p w14:paraId="69CB1FD9">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"_Toc95223522" </w:instrText>
      </w:r>
      <w:r>
        <w:rPr>
          <w:color w:val="auto"/>
          <w:highlight w:val="none"/>
        </w:rPr>
        <w:fldChar w:fldCharType="separate"/>
      </w:r>
      <w:r>
        <w:rPr>
          <w:rFonts w:hint="eastAsia" w:ascii="宋体" w:hAnsi="宋体" w:cs="宋体"/>
          <w:color w:val="auto"/>
          <w:kern w:val="44"/>
          <w:sz w:val="24"/>
          <w:szCs w:val="24"/>
          <w:highlight w:val="none"/>
        </w:rPr>
        <w:t>第七章 图  纸</w:t>
      </w:r>
      <w:r>
        <w:rPr>
          <w:rFonts w:hint="eastAsia" w:ascii="宋体" w:hAnsi="宋体" w:cs="宋体"/>
          <w:color w:val="auto"/>
          <w:sz w:val="24"/>
          <w:szCs w:val="24"/>
          <w:highlight w:val="none"/>
        </w:rPr>
        <w:tab/>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07A47A93">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"_Toc95223525" </w:instrText>
      </w:r>
      <w:r>
        <w:rPr>
          <w:color w:val="auto"/>
          <w:highlight w:val="none"/>
        </w:rPr>
        <w:fldChar w:fldCharType="separate"/>
      </w:r>
      <w:r>
        <w:rPr>
          <w:rFonts w:hint="eastAsia" w:ascii="宋体" w:hAnsi="宋体" w:cs="宋体"/>
          <w:color w:val="auto"/>
          <w:kern w:val="44"/>
          <w:sz w:val="24"/>
          <w:szCs w:val="24"/>
          <w:highlight w:val="none"/>
        </w:rPr>
        <w:t>第八章 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4EB95783">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highlight w:val="none"/>
          <w:lang w:eastAsia="zh-CN"/>
        </w:rPr>
      </w:pPr>
      <w:r>
        <w:rPr>
          <w:color w:val="auto"/>
          <w:highlight w:val="none"/>
        </w:rPr>
        <w:fldChar w:fldCharType="begin"/>
      </w:r>
      <w:r>
        <w:rPr>
          <w:color w:val="auto"/>
          <w:highlight w:val="none"/>
        </w:rPr>
        <w:instrText xml:space="preserve"> HYPERLINK \l "_Toc95223531" </w:instrText>
      </w:r>
      <w:r>
        <w:rPr>
          <w:color w:val="auto"/>
          <w:highlight w:val="none"/>
        </w:rPr>
        <w:fldChar w:fldCharType="separate"/>
      </w:r>
      <w:r>
        <w:rPr>
          <w:rFonts w:hint="eastAsia" w:ascii="宋体" w:hAnsi="宋体" w:cs="宋体"/>
          <w:color w:val="auto"/>
          <w:sz w:val="24"/>
          <w:szCs w:val="24"/>
          <w:highlight w:val="none"/>
        </w:rPr>
        <w:t>第九章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r>
        <w:rPr>
          <w:rStyle w:val="33"/>
          <w:rFonts w:hint="eastAsia" w:ascii="宋体" w:hAnsi="宋体" w:cs="宋体"/>
          <w:color w:val="auto"/>
          <w:sz w:val="24"/>
          <w:szCs w:val="24"/>
          <w:highlight w:val="none"/>
          <w:lang w:val="en-US" w:eastAsia="zh-CN"/>
        </w:rPr>
        <w:t>2</w:t>
      </w:r>
    </w:p>
    <w:p w14:paraId="5A8CFD27">
      <w:pPr>
        <w:pStyle w:val="19"/>
        <w:tabs>
          <w:tab w:val="right" w:leader="dot" w:pos="9880"/>
        </w:tabs>
        <w:spacing w:line="520" w:lineRule="exact"/>
        <w:ind w:left="218" w:leftChars="104"/>
        <w:rPr>
          <w:rFonts w:hint="default" w:ascii="宋体" w:hAnsi="宋体" w:eastAsia="宋体" w:cs="宋体"/>
          <w:b w:val="0"/>
          <w:bCs w:val="0"/>
          <w:caps w:val="0"/>
          <w:color w:val="auto"/>
          <w:sz w:val="24"/>
          <w:szCs w:val="24"/>
          <w:highlight w:val="none"/>
          <w:lang w:val="en-US" w:eastAsia="zh-CN"/>
        </w:rPr>
      </w:pPr>
      <w:r>
        <w:rPr>
          <w:color w:val="auto"/>
          <w:highlight w:val="none"/>
        </w:rPr>
        <w:fldChar w:fldCharType="begin"/>
      </w:r>
      <w:r>
        <w:rPr>
          <w:color w:val="auto"/>
          <w:highlight w:val="none"/>
        </w:rPr>
        <w:instrText xml:space="preserve"> HYPERLINK \l "_Toc95223547" </w:instrText>
      </w:r>
      <w:r>
        <w:rPr>
          <w:color w:val="auto"/>
          <w:highlight w:val="none"/>
        </w:rPr>
        <w:fldChar w:fldCharType="separate"/>
      </w:r>
      <w:r>
        <w:rPr>
          <w:rFonts w:hint="eastAsia" w:ascii="宋体" w:hAnsi="宋体" w:cs="宋体"/>
          <w:color w:val="auto"/>
          <w:sz w:val="24"/>
          <w:szCs w:val="24"/>
          <w:highlight w:val="none"/>
        </w:rPr>
        <w:t>第十章 招标人、招标代理机构对本招标文件的确认</w:t>
      </w:r>
      <w:bookmarkStart w:id="0" w:name="_Hlt95223551"/>
      <w:bookmarkStart w:id="1" w:name="_Hlt95223550"/>
      <w:r>
        <w:rPr>
          <w:rFonts w:hint="eastAsia" w:ascii="宋体" w:hAnsi="宋体" w:cs="宋体"/>
          <w:color w:val="auto"/>
          <w:sz w:val="24"/>
          <w:szCs w:val="24"/>
          <w:highlight w:val="none"/>
        </w:rPr>
        <w:tab/>
      </w:r>
      <w:bookmarkEnd w:id="0"/>
      <w:bookmarkEnd w:id="1"/>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Style w:val="33"/>
          <w:rFonts w:hint="eastAsia" w:ascii="宋体" w:hAnsi="宋体" w:cs="宋体"/>
          <w:color w:val="auto"/>
          <w:sz w:val="24"/>
          <w:szCs w:val="24"/>
          <w:highlight w:val="none"/>
          <w:lang w:val="en-US" w:eastAsia="zh-CN"/>
        </w:rPr>
        <w:t>63</w:t>
      </w:r>
    </w:p>
    <w:p w14:paraId="526E3C57">
      <w:pPr>
        <w:pStyle w:val="2"/>
        <w:spacing w:line="520" w:lineRule="exact"/>
        <w:ind w:left="218" w:leftChars="104"/>
        <w:rPr>
          <w:rFonts w:ascii="宋体" w:hAnsi="宋体" w:cs="宋体"/>
          <w:color w:val="auto"/>
          <w:highlight w:val="none"/>
        </w:rPr>
      </w:pPr>
      <w:r>
        <w:rPr>
          <w:rFonts w:hint="eastAsia" w:ascii="宋体" w:hAnsi="宋体" w:cs="宋体"/>
          <w:color w:val="auto"/>
          <w:highlight w:val="none"/>
          <w:lang w:val="zh-CN"/>
        </w:rPr>
        <w:fldChar w:fldCharType="end"/>
      </w:r>
      <w:bookmarkStart w:id="2" w:name="_Toc95223332"/>
    </w:p>
    <w:p w14:paraId="2B42598A">
      <w:pPr>
        <w:rPr>
          <w:color w:val="auto"/>
          <w:highlight w:val="none"/>
        </w:rPr>
        <w:sectPr>
          <w:footnotePr>
            <w:numFmt w:val="decimalEnclosedCircleChinese"/>
            <w:numRestart w:val="eachPage"/>
          </w:footnotePr>
          <w:pgSz w:w="11910" w:h="16840"/>
          <w:pgMar w:top="1474" w:right="660" w:bottom="1474" w:left="1120" w:header="0" w:footer="833" w:gutter="0"/>
          <w:cols w:space="720" w:num="1"/>
          <w:docGrid w:linePitch="271" w:charSpace="0"/>
        </w:sectPr>
      </w:pPr>
    </w:p>
    <w:p w14:paraId="3D0DF8BC">
      <w:pPr>
        <w:pStyle w:val="2"/>
        <w:spacing w:before="156" w:beforeLines="50" w:after="156" w:afterLines="50" w:line="360" w:lineRule="auto"/>
        <w:jc w:val="center"/>
        <w:rPr>
          <w:rFonts w:ascii="宋体" w:hAnsi="宋体" w:cs="宋体"/>
          <w:color w:val="auto"/>
          <w:sz w:val="36"/>
          <w:szCs w:val="36"/>
          <w:highlight w:val="none"/>
          <w:lang w:val="zh-CN"/>
        </w:rPr>
      </w:pPr>
      <w:r>
        <w:rPr>
          <w:rFonts w:hint="eastAsia" w:ascii="宋体" w:hAnsi="宋体" w:cs="宋体"/>
          <w:color w:val="auto"/>
          <w:sz w:val="36"/>
          <w:szCs w:val="36"/>
          <w:highlight w:val="none"/>
        </w:rPr>
        <w:t>第一章  招标公告</w:t>
      </w:r>
      <w:bookmarkEnd w:id="2"/>
    </w:p>
    <w:p w14:paraId="3614B7EF">
      <w:pPr>
        <w:pStyle w:val="22"/>
        <w:spacing w:before="93" w:beforeLines="30" w:after="93" w:afterLines="30" w:line="360" w:lineRule="auto"/>
        <w:ind w:left="0" w:leftChars="0" w:firstLine="0" w:firstLineChars="0"/>
        <w:jc w:val="center"/>
        <w:rPr>
          <w:rFonts w:hint="eastAsia"/>
          <w:b/>
          <w:color w:val="auto"/>
          <w:sz w:val="28"/>
          <w:szCs w:val="28"/>
          <w:highlight w:val="none"/>
        </w:rPr>
      </w:pPr>
      <w:r>
        <w:rPr>
          <w:rFonts w:hint="eastAsia"/>
          <w:b/>
          <w:color w:val="auto"/>
          <w:sz w:val="28"/>
          <w:szCs w:val="28"/>
          <w:highlight w:val="none"/>
        </w:rPr>
        <w:t>滁州市自来水有限公司水厂水质保障提升</w:t>
      </w:r>
      <w:r>
        <w:rPr>
          <w:rFonts w:hint="eastAsia"/>
          <w:b/>
          <w:color w:val="auto"/>
          <w:sz w:val="28"/>
          <w:szCs w:val="28"/>
          <w:highlight w:val="none"/>
          <w:lang w:val="en-US" w:eastAsia="zh-CN"/>
        </w:rPr>
        <w:t>改造</w:t>
      </w:r>
      <w:r>
        <w:rPr>
          <w:rFonts w:hint="eastAsia"/>
          <w:b/>
          <w:color w:val="auto"/>
          <w:sz w:val="28"/>
          <w:szCs w:val="28"/>
          <w:highlight w:val="none"/>
        </w:rPr>
        <w:t>项目</w:t>
      </w:r>
      <w:r>
        <w:rPr>
          <w:rFonts w:hint="eastAsia"/>
          <w:b/>
          <w:color w:val="auto"/>
          <w:sz w:val="28"/>
          <w:szCs w:val="28"/>
          <w:highlight w:val="none"/>
          <w:lang w:eastAsia="zh-CN"/>
        </w:rPr>
        <w:t>（</w:t>
      </w:r>
      <w:r>
        <w:rPr>
          <w:rFonts w:hint="eastAsia"/>
          <w:b/>
          <w:color w:val="auto"/>
          <w:sz w:val="28"/>
          <w:szCs w:val="28"/>
          <w:highlight w:val="none"/>
          <w:lang w:val="en-US" w:eastAsia="zh-CN"/>
        </w:rPr>
        <w:t>三次）</w:t>
      </w:r>
      <w:r>
        <w:rPr>
          <w:rFonts w:hint="eastAsia"/>
          <w:b/>
          <w:color w:val="auto"/>
          <w:sz w:val="28"/>
          <w:szCs w:val="28"/>
          <w:highlight w:val="none"/>
        </w:rPr>
        <w:t>招标公告信息</w:t>
      </w:r>
    </w:p>
    <w:p w14:paraId="4E9769F3">
      <w:pPr>
        <w:pStyle w:val="22"/>
        <w:spacing w:before="93" w:beforeLines="30" w:after="93" w:afterLines="30" w:line="360" w:lineRule="auto"/>
        <w:ind w:left="0" w:leftChars="0" w:firstLine="0" w:firstLineChars="0"/>
        <w:jc w:val="center"/>
        <w:rPr>
          <w:b/>
          <w:color w:val="auto"/>
          <w:sz w:val="28"/>
          <w:szCs w:val="28"/>
          <w:highlight w:val="none"/>
        </w:rPr>
      </w:pPr>
      <w:r>
        <w:rPr>
          <w:rFonts w:hint="eastAsia"/>
          <w:b/>
          <w:color w:val="auto"/>
          <w:sz w:val="28"/>
          <w:szCs w:val="28"/>
          <w:highlight w:val="none"/>
        </w:rPr>
        <w:t>（电子招标投标）</w:t>
      </w:r>
    </w:p>
    <w:tbl>
      <w:tblPr>
        <w:tblStyle w:val="23"/>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217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4C976F01">
            <w:pPr>
              <w:spacing w:line="52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25BE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D4D44C7">
            <w:pPr>
              <w:spacing w:line="52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tcPr>
          <w:p w14:paraId="77D99EE6">
            <w:pPr>
              <w:spacing w:line="520" w:lineRule="exact"/>
              <w:jc w:val="left"/>
              <w:rPr>
                <w:rFonts w:hint="default" w:ascii="宋体" w:hAnsi="宋体" w:eastAsia="宋体" w:cs="宋体"/>
                <w:bCs/>
                <w:color w:val="auto"/>
                <w:kern w:val="1"/>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三次）</w:t>
            </w:r>
          </w:p>
        </w:tc>
      </w:tr>
      <w:tr w14:paraId="03F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ACF22EE">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vAlign w:val="center"/>
          </w:tcPr>
          <w:p w14:paraId="4A1D4122">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滁州市琅琊区发展和改革委员会</w:t>
            </w:r>
          </w:p>
        </w:tc>
      </w:tr>
      <w:tr w14:paraId="615B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FB4B12C">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vAlign w:val="center"/>
          </w:tcPr>
          <w:p w14:paraId="23CA039C">
            <w:pPr>
              <w:widowControl/>
              <w:spacing w:line="5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琅琊区发展改革委项目备案表</w:t>
            </w:r>
            <w:r>
              <w:rPr>
                <w:rFonts w:hint="eastAsia" w:ascii="宋体" w:hAnsi="宋体" w:cs="宋体"/>
                <w:color w:val="auto"/>
                <w:szCs w:val="21"/>
                <w:highlight w:val="none"/>
                <w:lang w:eastAsia="zh-CN"/>
              </w:rPr>
              <w:t>（2509-341102-04-02-780596）</w:t>
            </w:r>
          </w:p>
        </w:tc>
      </w:tr>
      <w:tr w14:paraId="24A7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75" w:type="dxa"/>
            <w:vAlign w:val="center"/>
          </w:tcPr>
          <w:p w14:paraId="1D72E020">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vAlign w:val="center"/>
          </w:tcPr>
          <w:p w14:paraId="78E6744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2EB5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D7063FB">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vAlign w:val="center"/>
          </w:tcPr>
          <w:p w14:paraId="4D2C4E69">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755F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0B093B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vAlign w:val="center"/>
          </w:tcPr>
          <w:p w14:paraId="4159EFAA">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0D92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A04C30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vAlign w:val="center"/>
          </w:tcPr>
          <w:p w14:paraId="06DCB41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020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1B49ECA">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vAlign w:val="center"/>
          </w:tcPr>
          <w:p w14:paraId="011BAAB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公开招标</w:t>
            </w:r>
          </w:p>
        </w:tc>
      </w:tr>
      <w:tr w14:paraId="10AE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2BDE324">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vAlign w:val="center"/>
          </w:tcPr>
          <w:p w14:paraId="372BC38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综合评估法</w:t>
            </w:r>
          </w:p>
        </w:tc>
      </w:tr>
      <w:tr w14:paraId="5772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49DC8D85">
            <w:pPr>
              <w:widowControl/>
              <w:spacing w:line="52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15DD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92ADCA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vAlign w:val="center"/>
          </w:tcPr>
          <w:p w14:paraId="19A5237D">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三次）</w:t>
            </w:r>
          </w:p>
        </w:tc>
      </w:tr>
      <w:tr w14:paraId="1A7F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DAA029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vAlign w:val="center"/>
          </w:tcPr>
          <w:p w14:paraId="18FB7750">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11-003</w:t>
            </w:r>
          </w:p>
        </w:tc>
      </w:tr>
      <w:tr w14:paraId="6769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ECE4A7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vAlign w:val="center"/>
          </w:tcPr>
          <w:p w14:paraId="5EDB33D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一个标段</w:t>
            </w:r>
          </w:p>
        </w:tc>
      </w:tr>
      <w:tr w14:paraId="2D57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3F99BA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vAlign w:val="center"/>
          </w:tcPr>
          <w:p w14:paraId="0113C434">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11-003</w:t>
            </w:r>
          </w:p>
        </w:tc>
      </w:tr>
      <w:tr w14:paraId="1EC8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A697C74">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vAlign w:val="center"/>
          </w:tcPr>
          <w:p w14:paraId="13EF16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滁州市内</w:t>
            </w:r>
          </w:p>
        </w:tc>
      </w:tr>
      <w:tr w14:paraId="7DE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32E66C1">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vAlign w:val="center"/>
          </w:tcPr>
          <w:p w14:paraId="3FA179F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滁州西涧湖水厂二车间设计规模10万吨/日、三水厂设计规模</w:t>
            </w:r>
            <w:r>
              <w:rPr>
                <w:rFonts w:ascii="宋体" w:hAnsi="宋体" w:cs="宋体"/>
                <w:color w:val="auto"/>
                <w:szCs w:val="21"/>
                <w:highlight w:val="none"/>
              </w:rPr>
              <w:t>15</w:t>
            </w:r>
            <w:r>
              <w:rPr>
                <w:rFonts w:hint="eastAsia" w:ascii="宋体" w:hAnsi="宋体" w:cs="宋体"/>
                <w:color w:val="auto"/>
                <w:szCs w:val="21"/>
                <w:highlight w:val="none"/>
              </w:rPr>
              <w:t>万吨/日、四水厂设计规模20万吨/日，自来水生产均采用混凝-沉淀-过滤-消毒常规工艺。本次建设内容包含但不限于增加二氧化碳投加工艺、精准加药系统改造、原水新增高锰酸钾复合盐及粉炭投加系统、滤池气浮工艺等。</w:t>
            </w:r>
          </w:p>
        </w:tc>
      </w:tr>
      <w:tr w14:paraId="1E9D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EF2E27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vAlign w:val="center"/>
          </w:tcPr>
          <w:p w14:paraId="74C798C1">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约</w:t>
            </w:r>
            <w:r>
              <w:rPr>
                <w:rFonts w:ascii="宋体" w:hAnsi="宋体" w:cs="宋体"/>
                <w:color w:val="auto"/>
                <w:szCs w:val="21"/>
                <w:highlight w:val="none"/>
              </w:rPr>
              <w:t>818</w:t>
            </w:r>
            <w:r>
              <w:rPr>
                <w:rFonts w:hint="eastAsia" w:ascii="宋体" w:hAnsi="宋体" w:cs="宋体"/>
                <w:color w:val="auto"/>
                <w:szCs w:val="21"/>
                <w:highlight w:val="none"/>
              </w:rPr>
              <w:t>万元</w:t>
            </w:r>
          </w:p>
        </w:tc>
      </w:tr>
      <w:tr w14:paraId="3A7B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FD1A3F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vAlign w:val="center"/>
          </w:tcPr>
          <w:p w14:paraId="3ECCE6E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详见招标文件</w:t>
            </w:r>
          </w:p>
        </w:tc>
      </w:tr>
      <w:tr w14:paraId="5F8C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C6E3D0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vAlign w:val="center"/>
          </w:tcPr>
          <w:p w14:paraId="4E68A46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本项目为设计采购施工一体化项目，具体内容详见《技术要求》及发布的初步设计文件。</w:t>
            </w:r>
          </w:p>
        </w:tc>
      </w:tr>
      <w:tr w14:paraId="011A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75" w:type="dxa"/>
            <w:vAlign w:val="center"/>
          </w:tcPr>
          <w:p w14:paraId="6785C45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vAlign w:val="center"/>
          </w:tcPr>
          <w:p w14:paraId="3B81313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市政公用工程</w:t>
            </w:r>
          </w:p>
        </w:tc>
      </w:tr>
      <w:tr w14:paraId="581D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246410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vAlign w:val="center"/>
          </w:tcPr>
          <w:p w14:paraId="52385D8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3E3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3CE94F7B">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FE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E1AEFF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vAlign w:val="center"/>
          </w:tcPr>
          <w:p w14:paraId="31E149F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同时满足下列（1）和（2）：</w:t>
            </w:r>
          </w:p>
          <w:p w14:paraId="71E6D56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（1）投标人须具备工程设计综合资质或工程设计市政行业甲级资质或工程设计市政行业（给水工程）专业甲级资质；</w:t>
            </w:r>
          </w:p>
          <w:p w14:paraId="4C47C38C">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（2）投标人须具备机电工程施工总承包三级（或以上）资质； </w:t>
            </w:r>
          </w:p>
        </w:tc>
      </w:tr>
      <w:tr w14:paraId="008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FFAD0FB">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项目负责人资格要求</w:t>
            </w:r>
          </w:p>
        </w:tc>
        <w:tc>
          <w:tcPr>
            <w:tcW w:w="8313" w:type="dxa"/>
            <w:vAlign w:val="center"/>
          </w:tcPr>
          <w:p w14:paraId="06B0751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（1）设计项目负责人：同时</w:t>
            </w:r>
            <w:r>
              <w:rPr>
                <w:rFonts w:hint="eastAsia" w:cs="宋体"/>
                <w:color w:val="auto"/>
                <w:szCs w:val="21"/>
                <w:highlight w:val="none"/>
              </w:rPr>
              <w:t>具备</w:t>
            </w:r>
            <w:r>
              <w:rPr>
                <w:rFonts w:hint="eastAsia"/>
                <w:color w:val="auto"/>
                <w:szCs w:val="21"/>
                <w:highlight w:val="none"/>
              </w:rPr>
              <w:t>注册公用设备工程师（给排水）证书和给排水专业高级</w:t>
            </w:r>
            <w:r>
              <w:rPr>
                <w:rFonts w:hint="eastAsia" w:ascii="宋体" w:hAnsi="宋体" w:cs="宋体"/>
                <w:color w:val="auto"/>
                <w:szCs w:val="21"/>
                <w:highlight w:val="none"/>
              </w:rPr>
              <w:t>（或以上）职称证书；</w:t>
            </w:r>
          </w:p>
          <w:p w14:paraId="3FDFFFF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（2）项目经理：投标人拟委任项目经理须具备机电工程专业二级（或以上）注册建造师资格</w:t>
            </w:r>
            <w:r>
              <w:rPr>
                <w:rFonts w:hint="eastAsia"/>
                <w:color w:val="auto"/>
                <w:szCs w:val="21"/>
                <w:highlight w:val="none"/>
              </w:rPr>
              <w:t>，同时具备有效的安全生产考核合格(B类)证书</w:t>
            </w:r>
            <w:r>
              <w:rPr>
                <w:rFonts w:hint="eastAsia" w:ascii="宋体" w:hAnsi="宋体" w:cs="宋体"/>
                <w:color w:val="auto"/>
                <w:szCs w:val="21"/>
                <w:highlight w:val="none"/>
              </w:rPr>
              <w:t>。本项目不接受投标截止时间前六个月内在滁州市区域内办理过项目经理（建造师）变更备案手续的原项目经理（建造师）作为拟任项目经理（建造师）参加投标。</w:t>
            </w:r>
          </w:p>
        </w:tc>
      </w:tr>
      <w:tr w14:paraId="239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642966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vAlign w:val="center"/>
          </w:tcPr>
          <w:p w14:paraId="7132666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1.投标人存在以下情形之一的，不得被确定为中标人：</w:t>
            </w:r>
          </w:p>
          <w:p w14:paraId="274A15A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6ED547C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15CA9A9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3E2B1A79">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487D2F06">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0D8F6DB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5C20597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16E781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2D2DE4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7D4BFC1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F46BF3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w:t>
            </w:r>
            <w:r>
              <w:rPr>
                <w:rFonts w:hint="eastAsia" w:ascii="宋体" w:hAnsi="宋体" w:cs="宋体"/>
                <w:color w:val="auto"/>
                <w:kern w:val="0"/>
                <w:szCs w:val="21"/>
                <w:highlight w:val="none"/>
              </w:rPr>
              <w:t>接受</w:t>
            </w:r>
            <w:r>
              <w:rPr>
                <w:rFonts w:hint="eastAsia" w:ascii="宋体" w:hAnsi="宋体" w:cs="宋体"/>
                <w:color w:val="auto"/>
                <w:szCs w:val="21"/>
                <w:highlight w:val="none"/>
              </w:rPr>
              <w:t>其被确定为中标人。</w:t>
            </w:r>
          </w:p>
          <w:p w14:paraId="12B2E82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备注：第1、2条按照附件1“关于联合惩戒失信行为加强信用查询管理的通知”查询或承诺。</w:t>
            </w:r>
          </w:p>
        </w:tc>
      </w:tr>
      <w:tr w14:paraId="5BE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04B7D88">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vAlign w:val="center"/>
          </w:tcPr>
          <w:p w14:paraId="2D85CEA6">
            <w:pPr>
              <w:widowControl/>
              <w:adjustRightInd w:val="0"/>
              <w:snapToGrid w:val="0"/>
              <w:spacing w:line="560" w:lineRule="exact"/>
              <w:jc w:val="left"/>
              <w:rPr>
                <w:rFonts w:ascii="宋体" w:hAnsi="宋体" w:cs="宋体"/>
                <w:color w:val="auto"/>
                <w:kern w:val="0"/>
                <w:highlight w:val="none"/>
              </w:rPr>
            </w:pPr>
            <w:r>
              <w:rPr>
                <w:rFonts w:hint="eastAsia"/>
                <w:color w:val="auto"/>
                <w:highlight w:val="none"/>
              </w:rPr>
              <w:t>本次招标</w:t>
            </w:r>
            <w:r>
              <w:rPr>
                <w:rFonts w:hint="eastAsia" w:ascii="宋体" w:hAnsi="宋体" w:cs="宋体"/>
                <w:color w:val="auto"/>
                <w:kern w:val="0"/>
                <w:highlight w:val="none"/>
              </w:rPr>
              <w:t>接受</w:t>
            </w:r>
            <w:r>
              <w:rPr>
                <w:rFonts w:hint="eastAsia"/>
                <w:color w:val="auto"/>
                <w:highlight w:val="none"/>
              </w:rPr>
              <w:t>联合体投标</w:t>
            </w:r>
            <w:r>
              <w:rPr>
                <w:rFonts w:hint="eastAsia" w:ascii="宋体" w:hAnsi="宋体" w:cs="宋体"/>
                <w:color w:val="auto"/>
                <w:kern w:val="0"/>
                <w:highlight w:val="none"/>
              </w:rPr>
              <w:t>，应满足下列要求：</w:t>
            </w:r>
          </w:p>
          <w:p w14:paraId="42C3025A">
            <w:pPr>
              <w:widowControl/>
              <w:adjustRightInd w:val="0"/>
              <w:snapToGrid w:val="0"/>
              <w:spacing w:line="56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本项目设计内容由具备工程设计综合资质或工程设计市政行业甲级资质或工程设计市政行业（给水工程）专业甲级资质的企业担任，该设计单位作为联合体牵头方，并派设计项目负责人；本项目施工内容由具备机电工程施工总承包三级（或以上）资质的企业担任，该施工单位作为联合体成员方，并派项目经理；本项目采购内容由具有独立承担民事责任能力的企业担任，可以由设计单位或施工单位兼任，该采购单位作为联合体成员方，承担本项目的所有设备采购、项目管理、沟通协调等内容。</w:t>
            </w:r>
          </w:p>
          <w:p w14:paraId="1A273668">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 xml:space="preserve">联合体（牵头方和成员方）总数不得超过 </w:t>
            </w:r>
            <w:r>
              <w:rPr>
                <w:rFonts w:hint="eastAsia" w:ascii="宋体" w:hAnsi="宋体" w:cs="宋体"/>
                <w:b/>
                <w:color w:val="auto"/>
                <w:kern w:val="0"/>
                <w:szCs w:val="21"/>
                <w:highlight w:val="none"/>
                <w:u w:val="single"/>
              </w:rPr>
              <w:t>3</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25B99C68">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7DDB7C91">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34FBD03D">
            <w:pPr>
              <w:spacing w:line="560" w:lineRule="exact"/>
              <w:jc w:val="left"/>
              <w:rPr>
                <w:rFonts w:hint="default"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此条本项目不采用）</w:t>
            </w:r>
          </w:p>
          <w:p w14:paraId="59636002">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p>
        </w:tc>
      </w:tr>
      <w:tr w14:paraId="46C4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5A8BB6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vAlign w:val="center"/>
          </w:tcPr>
          <w:p w14:paraId="30AA09E0">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6F7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B893E5">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vAlign w:val="center"/>
          </w:tcPr>
          <w:p w14:paraId="4DD80F0F">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tc>
      </w:tr>
      <w:tr w14:paraId="618D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591C981A">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4D0F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1C2F9E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vAlign w:val="center"/>
          </w:tcPr>
          <w:p w14:paraId="62E62C43">
            <w:pPr>
              <w:widowControl/>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2025年</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5</w:t>
            </w:r>
            <w:r>
              <w:rPr>
                <w:rFonts w:hint="eastAsia" w:ascii="宋体" w:hAnsi="宋体" w:cs="宋体"/>
                <w:bCs/>
                <w:snapToGrid w:val="0"/>
                <w:color w:val="auto"/>
                <w:kern w:val="0"/>
                <w:szCs w:val="21"/>
                <w:highlight w:val="none"/>
              </w:rPr>
              <w:t>日17时 00分至2025年</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26</w:t>
            </w:r>
            <w:r>
              <w:rPr>
                <w:rFonts w:hint="eastAsia" w:ascii="宋体" w:hAnsi="宋体" w:cs="宋体"/>
                <w:bCs/>
                <w:snapToGrid w:val="0"/>
                <w:color w:val="auto"/>
                <w:kern w:val="0"/>
                <w:szCs w:val="21"/>
                <w:highlight w:val="none"/>
              </w:rPr>
              <w:t>日8时00分。</w:t>
            </w:r>
          </w:p>
        </w:tc>
      </w:tr>
      <w:tr w14:paraId="2B0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768EDA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vAlign w:val="center"/>
          </w:tcPr>
          <w:p w14:paraId="6AA2FE77">
            <w:pPr>
              <w:adjustRightInd w:val="0"/>
              <w:snapToGrid w:val="0"/>
              <w:spacing w:line="52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1.潜在投标人须登录</w:t>
            </w:r>
            <w:r>
              <w:rPr>
                <w:rFonts w:hint="eastAsia" w:ascii="宋体" w:hAnsi="宋体" w:cs="宋体"/>
                <w:bCs/>
                <w:snapToGrid w:val="0"/>
                <w:color w:val="auto"/>
                <w:kern w:val="0"/>
                <w:szCs w:val="21"/>
                <w:highlight w:val="none"/>
                <w:u w:val="single"/>
              </w:rPr>
              <w:t>滁州市公共资源交易中心网站（http://ggzy.chuzhou.gov.cn/）</w:t>
            </w:r>
            <w:r>
              <w:rPr>
                <w:rFonts w:hint="eastAsia" w:ascii="宋体" w:hAnsi="宋体" w:cs="宋体"/>
                <w:bCs/>
                <w:snapToGrid w:val="0"/>
                <w:color w:val="auto"/>
                <w:kern w:val="0"/>
                <w:szCs w:val="21"/>
                <w:highlight w:val="none"/>
              </w:rPr>
              <w:t>查阅并下载电子招标文件。</w:t>
            </w:r>
          </w:p>
          <w:p w14:paraId="0E453498">
            <w:pPr>
              <w:widowControl/>
              <w:wordWrap w:val="0"/>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2.招标文件获取过程中有任何疑问，请在工作时间（工作时间：工作日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p>
        </w:tc>
      </w:tr>
      <w:tr w14:paraId="7E78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4600BD3">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vAlign w:val="center"/>
          </w:tcPr>
          <w:p w14:paraId="51D9D524">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p>
        </w:tc>
      </w:tr>
      <w:tr w14:paraId="2BA5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F80665C">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vAlign w:val="center"/>
          </w:tcPr>
          <w:p w14:paraId="5E614AD4">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日8时00分</w:t>
            </w:r>
          </w:p>
        </w:tc>
      </w:tr>
      <w:tr w14:paraId="162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2411EE3">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vAlign w:val="center"/>
          </w:tcPr>
          <w:p w14:paraId="572D966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投标人应在投标截止时间前通过滁州市公共资源交易中心交易系统递交电子投标文件。</w:t>
            </w:r>
          </w:p>
        </w:tc>
      </w:tr>
      <w:tr w14:paraId="1F10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75" w:type="dxa"/>
            <w:vAlign w:val="center"/>
          </w:tcPr>
          <w:p w14:paraId="303D1065">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8313" w:type="dxa"/>
            <w:vAlign w:val="center"/>
          </w:tcPr>
          <w:p w14:paraId="56E9A2EC">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日8时00分</w:t>
            </w:r>
          </w:p>
        </w:tc>
      </w:tr>
      <w:tr w14:paraId="362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vAlign w:val="center"/>
          </w:tcPr>
          <w:p w14:paraId="66C78376">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8313" w:type="dxa"/>
            <w:vAlign w:val="center"/>
          </w:tcPr>
          <w:p w14:paraId="7D5E7DD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color w:val="auto"/>
                <w:highlight w:val="none"/>
              </w:rPr>
              <w:fldChar w:fldCharType="begin"/>
            </w:r>
            <w:r>
              <w:rPr>
                <w:color w:val="auto"/>
                <w:highlight w:val="none"/>
              </w:rPr>
              <w:instrText xml:space="preserve"> HYPERLINK "https://ggzy.chuzhou.gov.cn/BidOpening/bidopeninghallaction/hall/login）。操作手册见" </w:instrText>
            </w:r>
            <w:r>
              <w:rPr>
                <w:color w:val="auto"/>
                <w:highlight w:val="none"/>
              </w:rPr>
              <w:fldChar w:fldCharType="separate"/>
            </w:r>
            <w:r>
              <w:rPr>
                <w:rStyle w:val="33"/>
                <w:rFonts w:hint="eastAsia" w:ascii="宋体" w:hAnsi="宋体" w:cs="宋体"/>
                <w:color w:val="auto"/>
                <w:kern w:val="0"/>
                <w:szCs w:val="21"/>
                <w:highlight w:val="none"/>
              </w:rPr>
              <w:t>https://ggzy.chuzhou.gov.cn/BidOpening/bidopeninghallaction/hall/login）。操作手册见</w:t>
            </w:r>
            <w:r>
              <w:rPr>
                <w:rStyle w:val="33"/>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https://ggzy.chuzhou.gov.cn/fwzn/011006/20240510/f0637388-583d-4c69-8331-05b6adfcf24d.html。</w:t>
            </w:r>
          </w:p>
        </w:tc>
      </w:tr>
      <w:tr w14:paraId="54C2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65DDD6B">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8313" w:type="dxa"/>
            <w:vAlign w:val="center"/>
          </w:tcPr>
          <w:p w14:paraId="10F9F25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0元</w:t>
            </w:r>
          </w:p>
        </w:tc>
      </w:tr>
      <w:tr w14:paraId="0BB4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3B4C555">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vAlign w:val="center"/>
          </w:tcPr>
          <w:p w14:paraId="66F5AC36">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本次招标公告同时在滁州市公共资源交易中心、安徽省公共资源交易监管网、安徽省招标投标信息网等网站发布。</w:t>
            </w:r>
          </w:p>
        </w:tc>
      </w:tr>
      <w:tr w14:paraId="2A16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4B0902F">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投标人提出异议的截止时间及方式</w:t>
            </w:r>
          </w:p>
        </w:tc>
        <w:tc>
          <w:tcPr>
            <w:tcW w:w="8313" w:type="dxa"/>
            <w:vAlign w:val="center"/>
          </w:tcPr>
          <w:p w14:paraId="6B0943F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如投标人对招标文件有异议，请于2025年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日8时（投标截止10日）前在滁州市公共资源交易中心网电子交易系统中在线进行异议，具体操作步骤和程序请参见服务指南&gt;交易须知&gt;在线异议、质疑和投诉操作手册。</w:t>
            </w:r>
          </w:p>
        </w:tc>
      </w:tr>
      <w:tr w14:paraId="4173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AF102F2">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受理异议的联系人及联系方式</w:t>
            </w:r>
          </w:p>
        </w:tc>
        <w:tc>
          <w:tcPr>
            <w:tcW w:w="8313" w:type="dxa"/>
            <w:vAlign w:val="center"/>
          </w:tcPr>
          <w:p w14:paraId="43F43C77">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联系人：黄胜前、杨韦     联系方式:0550-3068029、0550-3519590               </w:t>
            </w:r>
          </w:p>
        </w:tc>
      </w:tr>
      <w:tr w14:paraId="1985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29AB6B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投标人提出投诉的方式</w:t>
            </w:r>
          </w:p>
        </w:tc>
        <w:tc>
          <w:tcPr>
            <w:tcW w:w="8313" w:type="dxa"/>
          </w:tcPr>
          <w:p w14:paraId="56A35A9F">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kern w:val="0"/>
                <w:szCs w:val="21"/>
                <w:highlight w:val="none"/>
              </w:rPr>
              <w:t>https://ggzy.chuzhou.gov.cn/fwzn/011001/serviceGuide.html</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；投诉书格式等内容参见服务指南&gt;办事指南&gt;投标人服务&gt;投诉受理一次告知书https://ggzy.chuzhou.gov.cn/fwzn/011001/011001001/011001001003/20211022/4b7d87ec-2c58-49b0-b76c-3a6277377930.html。</w:t>
            </w:r>
          </w:p>
        </w:tc>
      </w:tr>
      <w:tr w14:paraId="0810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7ED5425E">
            <w:pPr>
              <w:widowControl/>
              <w:spacing w:line="52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6DD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668BEC8">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8313" w:type="dxa"/>
            <w:vAlign w:val="center"/>
          </w:tcPr>
          <w:p w14:paraId="5EB27C97">
            <w:pPr>
              <w:widowControl/>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投标保证金的金额：</w:t>
            </w:r>
            <w:r>
              <w:rPr>
                <w:rFonts w:ascii="宋体" w:hAnsi="宋体" w:cs="宋体"/>
                <w:color w:val="auto"/>
                <w:kern w:val="0"/>
                <w:szCs w:val="21"/>
                <w:highlight w:val="none"/>
              </w:rPr>
              <w:t>16</w:t>
            </w:r>
            <w:r>
              <w:rPr>
                <w:rFonts w:hint="eastAsia" w:ascii="宋体" w:hAnsi="宋体" w:cs="宋体"/>
                <w:color w:val="auto"/>
                <w:kern w:val="0"/>
                <w:szCs w:val="21"/>
                <w:highlight w:val="none"/>
              </w:rPr>
              <w:t>万元，要求投标人提交投标保证金。</w:t>
            </w:r>
          </w:p>
        </w:tc>
      </w:tr>
      <w:tr w14:paraId="61C8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EB5E3E">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vAlign w:val="center"/>
          </w:tcPr>
          <w:p w14:paraId="3A96F597">
            <w:pPr>
              <w:widowControl/>
              <w:spacing w:line="520" w:lineRule="exact"/>
              <w:jc w:val="left"/>
              <w:rPr>
                <w:rFonts w:ascii="宋体" w:hAnsi="宋体" w:cs="宋体"/>
                <w:color w:val="auto"/>
                <w:kern w:val="0"/>
                <w:szCs w:val="21"/>
                <w:highlight w:val="none"/>
              </w:rPr>
            </w:pPr>
            <w:bookmarkStart w:id="3" w:name="OLE_LINK71"/>
            <w:bookmarkStart w:id="4" w:name="OLE_LINK66"/>
            <w:bookmarkStart w:id="5" w:name="OLE_LINK62"/>
            <w:bookmarkStart w:id="6" w:name="OLE_LINK69"/>
            <w:bookmarkStart w:id="7" w:name="OLE_LINK61"/>
            <w:r>
              <w:rPr>
                <w:rFonts w:hint="eastAsia" w:ascii="宋体" w:hAnsi="宋体" w:cs="MS Mincho"/>
                <w:color w:val="auto"/>
                <w:kern w:val="0"/>
                <w:szCs w:val="21"/>
                <w:highlight w:val="none"/>
              </w:rPr>
              <w:t>支持现金（银行转账、银行电汇等）、非现金形式（支票、银行汇票、本票等）、电子保函、纸质保函（纸质银行保函、纸质担保机构担保、纸质保证保险等）。</w:t>
            </w:r>
            <w:bookmarkEnd w:id="3"/>
            <w:bookmarkEnd w:id="4"/>
            <w:bookmarkEnd w:id="5"/>
            <w:bookmarkEnd w:id="6"/>
            <w:bookmarkEnd w:id="7"/>
          </w:p>
        </w:tc>
      </w:tr>
      <w:tr w14:paraId="379C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78145A6">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vAlign w:val="center"/>
          </w:tcPr>
          <w:p w14:paraId="1A59323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FB5708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27E3517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开户行：中国银行滁州分行 </w:t>
            </w:r>
          </w:p>
          <w:p w14:paraId="263368F4">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179715706735</w:t>
            </w:r>
            <w:r>
              <w:rPr>
                <w:rFonts w:hint="eastAsia" w:ascii="宋体" w:hAnsi="宋体" w:cs="宋体"/>
                <w:color w:val="auto"/>
                <w:kern w:val="0"/>
                <w:szCs w:val="21"/>
                <w:highlight w:val="none"/>
              </w:rPr>
              <w:t xml:space="preserve"> </w:t>
            </w:r>
          </w:p>
          <w:p w14:paraId="7559ACE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②户  名：滁州市公共资源交易中心</w:t>
            </w:r>
          </w:p>
          <w:p w14:paraId="40ABD60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开户行：中国农业银行滁州中都支行</w:t>
            </w:r>
          </w:p>
          <w:p w14:paraId="2DD84B7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123340010400044210000000110</w:t>
            </w:r>
            <w:r>
              <w:rPr>
                <w:rFonts w:hint="eastAsia" w:ascii="宋体" w:hAnsi="宋体" w:cs="宋体"/>
                <w:color w:val="auto"/>
                <w:kern w:val="0"/>
                <w:szCs w:val="21"/>
                <w:highlight w:val="none"/>
              </w:rPr>
              <w:t xml:space="preserve">    </w:t>
            </w:r>
          </w:p>
          <w:p w14:paraId="2B6FE15C">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采用现金形式缴纳保证金时须在交易附言中注明：“czsjgc2025</w:t>
            </w:r>
            <w:r>
              <w:rPr>
                <w:rFonts w:hint="eastAsia" w:ascii="宋体" w:hAnsi="宋体" w:cs="宋体"/>
                <w:color w:val="auto"/>
                <w:kern w:val="0"/>
                <w:szCs w:val="21"/>
                <w:highlight w:val="none"/>
                <w:lang w:val="en-US" w:eastAsia="zh-CN"/>
              </w:rPr>
              <w:t>11-003</w:t>
            </w:r>
            <w:r>
              <w:rPr>
                <w:rFonts w:hint="eastAsia" w:ascii="宋体" w:hAnsi="宋体" w:cs="宋体"/>
                <w:color w:val="auto"/>
                <w:kern w:val="0"/>
                <w:szCs w:val="21"/>
                <w:highlight w:val="none"/>
              </w:rPr>
              <w:t>项目投标保证金”。</w:t>
            </w:r>
          </w:p>
          <w:p w14:paraId="5CC107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2）采用支票、银行汇票、本票等非现金形式提交投标保证金时，投标人应在付款人开户行申请书附言处注明“czsjgc2025</w:t>
            </w:r>
            <w:r>
              <w:rPr>
                <w:rFonts w:hint="eastAsia" w:ascii="宋体" w:hAnsi="宋体" w:cs="宋体"/>
                <w:color w:val="auto"/>
                <w:kern w:val="0"/>
                <w:szCs w:val="21"/>
                <w:highlight w:val="none"/>
                <w:lang w:val="en-US" w:eastAsia="zh-CN"/>
              </w:rPr>
              <w:t>11-003</w:t>
            </w:r>
            <w:r>
              <w:rPr>
                <w:rFonts w:hint="eastAsia" w:ascii="宋体" w:hAnsi="宋体" w:cs="宋体"/>
                <w:color w:val="auto"/>
                <w:kern w:val="0"/>
                <w:szCs w:val="21"/>
                <w:highlight w:val="none"/>
              </w:rPr>
              <w:t>项目投标保证金”字样，应确保收款人开户行进账单完整反映交易附言内容，由此导致无法识别投标保证金对应的投标项目，其后果由投标人负责。</w:t>
            </w:r>
          </w:p>
          <w:p w14:paraId="4EFFD65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5C39CC7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08A183B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w:t>
            </w:r>
            <w:r>
              <w:rPr>
                <w:rFonts w:hint="eastAsia" w:ascii="宋体" w:hAnsi="宋体" w:cs="宋体"/>
                <w:color w:val="auto"/>
                <w:kern w:val="0"/>
                <w:szCs w:val="21"/>
                <w:highlight w:val="none"/>
                <w:u w:val="none"/>
              </w:rPr>
              <w:t>滁州市公共资源交易中心金融服务平台</w:t>
            </w:r>
            <w:r>
              <w:rPr>
                <w:rFonts w:hint="eastAsia" w:ascii="宋体" w:hAnsi="宋体" w:cs="宋体"/>
                <w:color w:val="auto"/>
                <w:kern w:val="0"/>
                <w:szCs w:val="21"/>
                <w:highlight w:val="none"/>
              </w:rPr>
              <w:t>对接的电子保函，否则视为投标保证金未按规定要求缴纳。</w:t>
            </w:r>
          </w:p>
          <w:p w14:paraId="521791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6367E92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2E1170C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013BBF7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4)采用纸质保函形式具体要求如下：</w:t>
            </w:r>
          </w:p>
          <w:p w14:paraId="476CA4E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该保函应当是无条件见索即付的银行保函、保证保险、担保机构保函，保函期限必须大于或等于投标有效期，受益人应为招标人。投标人存在投标保证金不予退还的情形，采用纸质保函形式的将由招标人予以追缴；投标人须将采用的纸质保函原件扫描件编入投标文件。</w:t>
            </w:r>
          </w:p>
          <w:p w14:paraId="6F28CC4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1B185334">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③投标人提交的纸质保函，必须明确载明有效的查询途径(包括电话、网址链接及查询方式)。</w:t>
            </w:r>
          </w:p>
          <w:p w14:paraId="0D4073E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采用纸质保函，未按照上述要求提供材料或提供的材料不符合要求的，其投标无效；存在弄虚作假的，由招标人报招标投标行政监督部门依法处理。</w:t>
            </w:r>
          </w:p>
          <w:p w14:paraId="1D519BD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76B81A4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53898C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15AA21B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1412007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0557A67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141AA98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C335A9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04050D5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137205F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3E71DEB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不适用</w:t>
            </w:r>
          </w:p>
        </w:tc>
      </w:tr>
      <w:tr w14:paraId="420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C4BC57">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备注</w:t>
            </w:r>
          </w:p>
        </w:tc>
        <w:tc>
          <w:tcPr>
            <w:tcW w:w="8313" w:type="dxa"/>
            <w:vAlign w:val="center"/>
          </w:tcPr>
          <w:p w14:paraId="365C3BA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.投标人为联合体投标的，保证金由牵头人基本账户转入交易中心账户或由牵头人办理投标担保。</w:t>
            </w:r>
          </w:p>
          <w:p w14:paraId="3B49CF0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34656036">
            <w:pPr>
              <w:widowControl/>
              <w:spacing w:line="560" w:lineRule="exact"/>
              <w:jc w:val="left"/>
              <w:rPr>
                <w:rFonts w:ascii="宋体" w:hAnsi="宋体" w:cs="宋体"/>
                <w:b/>
                <w:color w:val="auto"/>
                <w:kern w:val="0"/>
                <w:szCs w:val="21"/>
                <w:highlight w:val="none"/>
              </w:rPr>
            </w:pPr>
            <w:r>
              <w:rPr>
                <w:rFonts w:hint="eastAsia" w:ascii="宋体" w:hAnsi="宋体" w:cs="宋体"/>
                <w:color w:val="auto"/>
                <w:kern w:val="0"/>
                <w:szCs w:val="21"/>
                <w:highlight w:val="none"/>
              </w:rPr>
              <w:t>3.投标人采用虚假银行保函、担保机构担保、保证保险方式提交投标保证金的，应依法承担弄虚作假、骗取中标的法律责任。</w:t>
            </w:r>
          </w:p>
        </w:tc>
      </w:tr>
      <w:tr w14:paraId="16F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149AC6CB">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其他说明</w:t>
            </w:r>
          </w:p>
        </w:tc>
      </w:tr>
      <w:tr w14:paraId="566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482EA9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重要说明</w:t>
            </w:r>
          </w:p>
        </w:tc>
        <w:tc>
          <w:tcPr>
            <w:tcW w:w="8313" w:type="dxa"/>
            <w:vAlign w:val="center"/>
          </w:tcPr>
          <w:p w14:paraId="601F6F9D">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74116C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072F08BC">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B623CD2">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7C78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17C7B4C">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特别提示</w:t>
            </w:r>
          </w:p>
          <w:p w14:paraId="512181EA">
            <w:pPr>
              <w:pStyle w:val="22"/>
              <w:spacing w:line="520" w:lineRule="exact"/>
              <w:rPr>
                <w:rFonts w:ascii="宋体" w:hAnsi="宋体" w:cs="宋体"/>
                <w:color w:val="auto"/>
                <w:szCs w:val="21"/>
                <w:highlight w:val="none"/>
              </w:rPr>
            </w:pPr>
          </w:p>
        </w:tc>
        <w:tc>
          <w:tcPr>
            <w:tcW w:w="8313" w:type="dxa"/>
            <w:vAlign w:val="center"/>
          </w:tcPr>
          <w:p w14:paraId="14750504">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本项目投标保证金、履约保证金、工程质量保证金、农民工工资保证金均支持保函使用。以现金形式提交保证金的，应当同时退还保证金本金和银行同期存款利息。</w:t>
            </w:r>
          </w:p>
          <w:p w14:paraId="66622B8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2B90009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28C450B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45ABC7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09BD6D41">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4B23EB25">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77DA39AD">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1DBA2769">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33EC1DDC">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0C220FA3">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301D62F2">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11.若存在不予退还投标人投标保证金的情形，银行转账的，由市公共资源交易中心代为收缴，递交保函的，由招标人予以追缴。</w:t>
            </w:r>
          </w:p>
          <w:p w14:paraId="7EAB4C1B">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09F5391">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137C6734">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37EE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6FAA7417">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74B7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1AD530D">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8313" w:type="dxa"/>
            <w:vAlign w:val="center"/>
          </w:tcPr>
          <w:p w14:paraId="675D178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滁州市自来水有限公司</w:t>
            </w:r>
          </w:p>
        </w:tc>
      </w:tr>
      <w:tr w14:paraId="1FD0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5F53D95">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8313" w:type="dxa"/>
            <w:vAlign w:val="center"/>
          </w:tcPr>
          <w:p w14:paraId="622A28AE">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滁州市清流路389号</w:t>
            </w:r>
          </w:p>
        </w:tc>
      </w:tr>
      <w:tr w14:paraId="2D07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4318BE">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8313" w:type="dxa"/>
            <w:vAlign w:val="center"/>
          </w:tcPr>
          <w:p w14:paraId="2E92380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黄胜前</w:t>
            </w:r>
          </w:p>
        </w:tc>
      </w:tr>
      <w:tr w14:paraId="2447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E4012F2">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8313" w:type="dxa"/>
            <w:vAlign w:val="center"/>
          </w:tcPr>
          <w:p w14:paraId="634C83F0">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0550-3068029</w:t>
            </w:r>
          </w:p>
        </w:tc>
      </w:tr>
      <w:tr w14:paraId="4249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28ACB77">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8313" w:type="dxa"/>
            <w:vAlign w:val="center"/>
          </w:tcPr>
          <w:p w14:paraId="0EE08319">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7DE1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1FB7CA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8313" w:type="dxa"/>
            <w:vAlign w:val="center"/>
          </w:tcPr>
          <w:p w14:paraId="7AB6A385">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滁州市龙蟠大道109号房产商务大厦6楼620室</w:t>
            </w:r>
          </w:p>
        </w:tc>
      </w:tr>
      <w:tr w14:paraId="41E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46499EF">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w:t>
            </w:r>
          </w:p>
          <w:p w14:paraId="3E163D8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联系人</w:t>
            </w:r>
          </w:p>
        </w:tc>
        <w:tc>
          <w:tcPr>
            <w:tcW w:w="8313" w:type="dxa"/>
            <w:vAlign w:val="center"/>
          </w:tcPr>
          <w:p w14:paraId="5D4C98B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杨韦</w:t>
            </w:r>
          </w:p>
        </w:tc>
      </w:tr>
      <w:tr w14:paraId="1D4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9C326A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8313" w:type="dxa"/>
            <w:vAlign w:val="center"/>
          </w:tcPr>
          <w:p w14:paraId="228FFFD9">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0550-3519590、18005501210</w:t>
            </w:r>
          </w:p>
        </w:tc>
      </w:tr>
      <w:tr w14:paraId="37AC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EE78D6D">
            <w:pPr>
              <w:widowControl/>
              <w:spacing w:line="520" w:lineRule="exact"/>
              <w:jc w:val="center"/>
              <w:rPr>
                <w:rFonts w:ascii="宋体" w:hAnsi="宋体" w:cs="宋体"/>
                <w:bCs/>
                <w:color w:val="auto"/>
                <w:spacing w:val="-6"/>
                <w:szCs w:val="21"/>
                <w:highlight w:val="none"/>
              </w:rPr>
            </w:pPr>
            <w:bookmarkStart w:id="8" w:name="_Toc506107267"/>
            <w:bookmarkStart w:id="9" w:name="_Toc247085687"/>
            <w:bookmarkStart w:id="10" w:name="_Toc60061431"/>
            <w:bookmarkStart w:id="11" w:name="_Toc144974495"/>
            <w:bookmarkStart w:id="12" w:name="_Toc179632544"/>
            <w:bookmarkStart w:id="13" w:name="_Toc95223333"/>
            <w:bookmarkStart w:id="14" w:name="_Toc246996173"/>
            <w:bookmarkStart w:id="15" w:name="_Toc246996916"/>
            <w:bookmarkStart w:id="16" w:name="_Toc152045527"/>
            <w:bookmarkStart w:id="17" w:name="_Toc15058844"/>
            <w:bookmarkStart w:id="18" w:name="_Toc324404813"/>
            <w:bookmarkStart w:id="19" w:name="_Toc152042303"/>
            <w:r>
              <w:rPr>
                <w:rFonts w:hint="eastAsia" w:ascii="宋体" w:hAnsi="宋体" w:cs="宋体"/>
                <w:bCs/>
                <w:color w:val="auto"/>
                <w:spacing w:val="-6"/>
                <w:szCs w:val="21"/>
                <w:highlight w:val="none"/>
              </w:rPr>
              <w:t>招标投标行政监督部门</w:t>
            </w:r>
          </w:p>
        </w:tc>
        <w:tc>
          <w:tcPr>
            <w:tcW w:w="8313" w:type="dxa"/>
            <w:vAlign w:val="center"/>
          </w:tcPr>
          <w:p w14:paraId="770BE22D">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滁州市公共资源交易监督管理局</w:t>
            </w:r>
          </w:p>
        </w:tc>
      </w:tr>
    </w:tbl>
    <w:p w14:paraId="6379B512">
      <w:pPr>
        <w:pStyle w:val="2"/>
        <w:spacing w:before="156" w:beforeLines="50" w:after="156" w:afterLines="5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第二章 投标人须知</w:t>
      </w:r>
      <w:bookmarkEnd w:id="8"/>
      <w:bookmarkEnd w:id="9"/>
      <w:bookmarkEnd w:id="10"/>
      <w:bookmarkEnd w:id="11"/>
      <w:bookmarkEnd w:id="12"/>
      <w:bookmarkEnd w:id="13"/>
      <w:bookmarkEnd w:id="14"/>
      <w:bookmarkEnd w:id="15"/>
      <w:bookmarkEnd w:id="16"/>
      <w:bookmarkEnd w:id="17"/>
      <w:bookmarkEnd w:id="18"/>
      <w:bookmarkEnd w:id="19"/>
    </w:p>
    <w:p w14:paraId="0E6D96AE">
      <w:pPr>
        <w:pStyle w:val="3"/>
        <w:adjustRightInd w:val="0"/>
        <w:snapToGrid w:val="0"/>
        <w:spacing w:before="93" w:beforeLines="30" w:after="93" w:afterLines="30" w:line="360" w:lineRule="auto"/>
        <w:jc w:val="center"/>
        <w:rPr>
          <w:rFonts w:ascii="宋体" w:hAnsi="宋体" w:eastAsia="宋体" w:cs="宋体"/>
          <w:color w:val="auto"/>
          <w:sz w:val="28"/>
          <w:szCs w:val="28"/>
          <w:highlight w:val="none"/>
        </w:rPr>
      </w:pPr>
      <w:bookmarkStart w:id="20" w:name="_Toc247085688"/>
      <w:bookmarkStart w:id="21" w:name="_Toc60061432"/>
      <w:bookmarkStart w:id="22" w:name="_Toc506107268"/>
      <w:bookmarkStart w:id="23" w:name="_Toc246996917"/>
      <w:bookmarkStart w:id="24" w:name="_Toc152042304"/>
      <w:bookmarkStart w:id="25" w:name="_Toc15058845"/>
      <w:bookmarkStart w:id="26" w:name="_Toc324404814"/>
      <w:bookmarkStart w:id="27" w:name="_Toc83301687"/>
      <w:bookmarkStart w:id="28" w:name="_Toc246996174"/>
      <w:bookmarkStart w:id="29" w:name="_Toc144974496"/>
      <w:bookmarkStart w:id="30" w:name="_Toc179632545"/>
      <w:bookmarkStart w:id="31" w:name="_Toc95223334"/>
      <w:bookmarkStart w:id="32" w:name="_Toc152045528"/>
      <w:r>
        <w:rPr>
          <w:rFonts w:hint="eastAsia" w:ascii="宋体" w:hAnsi="宋体" w:eastAsia="宋体" w:cs="宋体"/>
          <w:color w:val="auto"/>
          <w:sz w:val="28"/>
          <w:szCs w:val="28"/>
          <w:highlight w:val="none"/>
        </w:rPr>
        <w:t>投标人须知前附表</w:t>
      </w:r>
      <w:bookmarkEnd w:id="20"/>
      <w:bookmarkEnd w:id="21"/>
      <w:bookmarkEnd w:id="22"/>
      <w:bookmarkEnd w:id="23"/>
      <w:bookmarkEnd w:id="24"/>
      <w:bookmarkEnd w:id="25"/>
      <w:bookmarkEnd w:id="26"/>
      <w:bookmarkEnd w:id="27"/>
      <w:bookmarkEnd w:id="28"/>
      <w:bookmarkEnd w:id="29"/>
      <w:bookmarkEnd w:id="30"/>
      <w:bookmarkEnd w:id="31"/>
      <w:bookmarkEnd w:id="32"/>
    </w:p>
    <w:tbl>
      <w:tblPr>
        <w:tblStyle w:val="23"/>
        <w:tblW w:w="0" w:type="auto"/>
        <w:jc w:val="center"/>
        <w:tblLayout w:type="fixed"/>
        <w:tblCellMar>
          <w:top w:w="0" w:type="dxa"/>
          <w:left w:w="108" w:type="dxa"/>
          <w:bottom w:w="0" w:type="dxa"/>
          <w:right w:w="108" w:type="dxa"/>
        </w:tblCellMar>
      </w:tblPr>
      <w:tblGrid>
        <w:gridCol w:w="970"/>
        <w:gridCol w:w="2160"/>
        <w:gridCol w:w="7305"/>
      </w:tblGrid>
      <w:tr w14:paraId="599DBB54">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4936A9A">
            <w:pPr>
              <w:adjustRightInd w:val="0"/>
              <w:snapToGrid w:val="0"/>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AED6AD0">
            <w:pPr>
              <w:adjustRightInd w:val="0"/>
              <w:snapToGrid w:val="0"/>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305" w:type="dxa"/>
            <w:tcBorders>
              <w:top w:val="single" w:color="auto" w:sz="4" w:space="0"/>
              <w:left w:val="single" w:color="auto" w:sz="4" w:space="0"/>
              <w:bottom w:val="single" w:color="auto" w:sz="4" w:space="0"/>
              <w:right w:val="single" w:color="auto" w:sz="4" w:space="0"/>
            </w:tcBorders>
            <w:vAlign w:val="center"/>
          </w:tcPr>
          <w:p w14:paraId="1470AB13">
            <w:pPr>
              <w:adjustRightInd w:val="0"/>
              <w:snapToGrid w:val="0"/>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0ED62DAE">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007F87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160" w:type="dxa"/>
            <w:tcBorders>
              <w:top w:val="single" w:color="auto" w:sz="4" w:space="0"/>
              <w:left w:val="single" w:color="auto" w:sz="4" w:space="0"/>
              <w:bottom w:val="single" w:color="auto" w:sz="4" w:space="0"/>
              <w:right w:val="single" w:color="auto" w:sz="4" w:space="0"/>
            </w:tcBorders>
            <w:vAlign w:val="center"/>
          </w:tcPr>
          <w:p w14:paraId="2CCE900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305" w:type="dxa"/>
            <w:tcBorders>
              <w:top w:val="single" w:color="auto" w:sz="4" w:space="0"/>
              <w:left w:val="single" w:color="auto" w:sz="4" w:space="0"/>
              <w:bottom w:val="single" w:color="auto" w:sz="4" w:space="0"/>
              <w:right w:val="single" w:color="auto" w:sz="4" w:space="0"/>
            </w:tcBorders>
            <w:vAlign w:val="center"/>
          </w:tcPr>
          <w:p w14:paraId="4D0AC526">
            <w:pPr>
              <w:pStyle w:val="50"/>
              <w:adjustRightInd w:val="0"/>
              <w:snapToGrid w:val="0"/>
              <w:spacing w:line="560" w:lineRule="exact"/>
              <w:jc w:val="left"/>
              <w:rPr>
                <w:rFonts w:ascii="宋体" w:hAnsi="宋体" w:cs="宋体"/>
                <w:color w:val="auto"/>
                <w:kern w:val="2"/>
                <w:highlight w:val="none"/>
              </w:rPr>
            </w:pPr>
            <w:r>
              <w:rPr>
                <w:rFonts w:hint="eastAsia" w:ascii="宋体" w:hAnsi="宋体" w:cs="宋体"/>
                <w:color w:val="auto"/>
                <w:highlight w:val="none"/>
              </w:rPr>
              <w:t>见招标公告</w:t>
            </w:r>
          </w:p>
        </w:tc>
      </w:tr>
      <w:tr w14:paraId="0CF8A53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6BF2F6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160" w:type="dxa"/>
            <w:tcBorders>
              <w:top w:val="single" w:color="auto" w:sz="4" w:space="0"/>
              <w:left w:val="single" w:color="auto" w:sz="4" w:space="0"/>
              <w:bottom w:val="single" w:color="auto" w:sz="4" w:space="0"/>
              <w:right w:val="single" w:color="auto" w:sz="4" w:space="0"/>
            </w:tcBorders>
            <w:vAlign w:val="center"/>
          </w:tcPr>
          <w:p w14:paraId="5B7ABA1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305" w:type="dxa"/>
            <w:tcBorders>
              <w:top w:val="single" w:color="auto" w:sz="4" w:space="0"/>
              <w:left w:val="single" w:color="auto" w:sz="4" w:space="0"/>
              <w:bottom w:val="single" w:color="auto" w:sz="4" w:space="0"/>
              <w:right w:val="single" w:color="auto" w:sz="4" w:space="0"/>
            </w:tcBorders>
            <w:vAlign w:val="center"/>
          </w:tcPr>
          <w:p w14:paraId="5391E22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690327F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5D49593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160" w:type="dxa"/>
            <w:tcBorders>
              <w:top w:val="single" w:color="auto" w:sz="4" w:space="0"/>
              <w:left w:val="single" w:color="auto" w:sz="4" w:space="0"/>
              <w:bottom w:val="single" w:color="auto" w:sz="4" w:space="0"/>
              <w:right w:val="single" w:color="auto" w:sz="4" w:space="0"/>
            </w:tcBorders>
            <w:vAlign w:val="center"/>
          </w:tcPr>
          <w:p w14:paraId="374C47D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7305" w:type="dxa"/>
            <w:tcBorders>
              <w:top w:val="single" w:color="auto" w:sz="4" w:space="0"/>
              <w:left w:val="single" w:color="auto" w:sz="4" w:space="0"/>
              <w:bottom w:val="single" w:color="auto" w:sz="4" w:space="0"/>
              <w:right w:val="single" w:color="auto" w:sz="4" w:space="0"/>
            </w:tcBorders>
            <w:vAlign w:val="center"/>
          </w:tcPr>
          <w:p w14:paraId="4E75B4A0">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162F1F22">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09CD9D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160" w:type="dxa"/>
            <w:tcBorders>
              <w:top w:val="single" w:color="auto" w:sz="4" w:space="0"/>
              <w:left w:val="single" w:color="auto" w:sz="4" w:space="0"/>
              <w:bottom w:val="single" w:color="auto" w:sz="4" w:space="0"/>
              <w:right w:val="single" w:color="auto" w:sz="4" w:space="0"/>
            </w:tcBorders>
            <w:vAlign w:val="center"/>
          </w:tcPr>
          <w:p w14:paraId="77DC1DE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305" w:type="dxa"/>
            <w:tcBorders>
              <w:top w:val="single" w:color="auto" w:sz="4" w:space="0"/>
              <w:left w:val="single" w:color="auto" w:sz="4" w:space="0"/>
              <w:bottom w:val="single" w:color="auto" w:sz="4" w:space="0"/>
              <w:right w:val="single" w:color="auto" w:sz="4" w:space="0"/>
            </w:tcBorders>
            <w:vAlign w:val="center"/>
          </w:tcPr>
          <w:p w14:paraId="0CD7EB2B">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790F11CC">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E4D9AC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60" w:type="dxa"/>
            <w:tcBorders>
              <w:top w:val="single" w:color="auto" w:sz="4" w:space="0"/>
              <w:left w:val="single" w:color="auto" w:sz="4" w:space="0"/>
              <w:bottom w:val="single" w:color="auto" w:sz="4" w:space="0"/>
              <w:right w:val="single" w:color="auto" w:sz="4" w:space="0"/>
            </w:tcBorders>
            <w:vAlign w:val="center"/>
          </w:tcPr>
          <w:p w14:paraId="7A92431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资金来源及出资比例</w:t>
            </w:r>
          </w:p>
        </w:tc>
        <w:tc>
          <w:tcPr>
            <w:tcW w:w="7305" w:type="dxa"/>
            <w:tcBorders>
              <w:top w:val="single" w:color="auto" w:sz="4" w:space="0"/>
              <w:left w:val="single" w:color="auto" w:sz="4" w:space="0"/>
              <w:bottom w:val="single" w:color="auto" w:sz="4" w:space="0"/>
              <w:right w:val="single" w:color="auto" w:sz="4" w:space="0"/>
            </w:tcBorders>
            <w:vAlign w:val="center"/>
          </w:tcPr>
          <w:p w14:paraId="220E3FC4">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11BA425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3E3B84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160" w:type="dxa"/>
            <w:tcBorders>
              <w:top w:val="single" w:color="auto" w:sz="4" w:space="0"/>
              <w:left w:val="single" w:color="auto" w:sz="4" w:space="0"/>
              <w:bottom w:val="single" w:color="auto" w:sz="4" w:space="0"/>
              <w:right w:val="single" w:color="auto" w:sz="4" w:space="0"/>
            </w:tcBorders>
            <w:vAlign w:val="center"/>
          </w:tcPr>
          <w:p w14:paraId="5D2C66C1">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305" w:type="dxa"/>
            <w:tcBorders>
              <w:top w:val="single" w:color="auto" w:sz="4" w:space="0"/>
              <w:left w:val="single" w:color="auto" w:sz="4" w:space="0"/>
              <w:bottom w:val="single" w:color="auto" w:sz="4" w:space="0"/>
              <w:right w:val="single" w:color="auto" w:sz="4" w:space="0"/>
            </w:tcBorders>
            <w:vAlign w:val="center"/>
          </w:tcPr>
          <w:p w14:paraId="4B203545">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51AC9623">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240468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160" w:type="dxa"/>
            <w:tcBorders>
              <w:top w:val="single" w:color="auto" w:sz="4" w:space="0"/>
              <w:left w:val="single" w:color="auto" w:sz="4" w:space="0"/>
              <w:bottom w:val="single" w:color="auto" w:sz="4" w:space="0"/>
              <w:right w:val="single" w:color="auto" w:sz="4" w:space="0"/>
            </w:tcBorders>
            <w:vAlign w:val="center"/>
          </w:tcPr>
          <w:p w14:paraId="7457526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305" w:type="dxa"/>
            <w:tcBorders>
              <w:top w:val="single" w:color="auto" w:sz="4" w:space="0"/>
              <w:left w:val="single" w:color="auto" w:sz="4" w:space="0"/>
              <w:bottom w:val="single" w:color="auto" w:sz="4" w:space="0"/>
              <w:right w:val="single" w:color="auto" w:sz="4" w:space="0"/>
            </w:tcBorders>
            <w:vAlign w:val="center"/>
          </w:tcPr>
          <w:p w14:paraId="1B3D28C6">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本项目为设计采购施工一体化项目，具体内容详见《技术要求》及发布的初步设计文件。</w:t>
            </w:r>
          </w:p>
        </w:tc>
      </w:tr>
      <w:tr w14:paraId="0FE8345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86FDF6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160" w:type="dxa"/>
            <w:tcBorders>
              <w:top w:val="single" w:color="auto" w:sz="4" w:space="0"/>
              <w:left w:val="single" w:color="auto" w:sz="4" w:space="0"/>
              <w:bottom w:val="single" w:color="auto" w:sz="4" w:space="0"/>
              <w:right w:val="single" w:color="auto" w:sz="4" w:space="0"/>
            </w:tcBorders>
            <w:vAlign w:val="center"/>
          </w:tcPr>
          <w:p w14:paraId="344CCDC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7305" w:type="dxa"/>
            <w:tcBorders>
              <w:top w:val="single" w:color="auto" w:sz="4" w:space="0"/>
              <w:left w:val="single" w:color="auto" w:sz="4" w:space="0"/>
              <w:bottom w:val="single" w:color="auto" w:sz="4" w:space="0"/>
              <w:right w:val="single" w:color="auto" w:sz="4" w:space="0"/>
            </w:tcBorders>
            <w:vAlign w:val="center"/>
          </w:tcPr>
          <w:p w14:paraId="766DFF1B">
            <w:pPr>
              <w:adjustRightInd w:val="0"/>
              <w:snapToGrid w:val="0"/>
              <w:spacing w:line="560" w:lineRule="exact"/>
              <w:rPr>
                <w:rFonts w:ascii="宋体" w:hAnsi="宋体" w:cs="宋体"/>
                <w:b/>
                <w:color w:val="auto"/>
                <w:szCs w:val="21"/>
                <w:highlight w:val="none"/>
              </w:rPr>
            </w:pPr>
            <w:r>
              <w:rPr>
                <w:rFonts w:hint="eastAsia" w:ascii="宋体" w:hAnsi="宋体" w:cs="宋体"/>
                <w:b/>
                <w:color w:val="auto"/>
                <w:szCs w:val="21"/>
                <w:highlight w:val="none"/>
              </w:rPr>
              <w:t>计划工期：自合同签订之日起</w:t>
            </w:r>
            <w:r>
              <w:rPr>
                <w:rFonts w:hint="eastAsia" w:ascii="宋体" w:hAnsi="宋体" w:cs="宋体"/>
                <w:b/>
                <w:color w:val="auto"/>
                <w:szCs w:val="21"/>
                <w:highlight w:val="none"/>
                <w:u w:val="none"/>
              </w:rPr>
              <w:t>5个日历天完成初步设计的优化，10个日历天完成施工图设计并通过相关部门的</w:t>
            </w:r>
            <w:r>
              <w:rPr>
                <w:rFonts w:hint="eastAsia" w:ascii="宋体" w:hAnsi="宋体" w:cs="宋体"/>
                <w:b/>
                <w:color w:val="auto"/>
                <w:szCs w:val="21"/>
                <w:highlight w:val="none"/>
              </w:rPr>
              <w:t>审核；自开工之日起90日历天完成施工并通过验收。</w:t>
            </w:r>
          </w:p>
          <w:p w14:paraId="312D5EA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计划开工日期：双方签订合同时明确（具体开工日期以开工通知为准）                   </w:t>
            </w:r>
          </w:p>
          <w:p w14:paraId="680C2E5D">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计划竣工日期：双方签订合同时明确</w:t>
            </w:r>
          </w:p>
          <w:p w14:paraId="417A0CA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注：投标人自报的承诺工期为考核标准，因施工单位原因导致的工期延误，按5000元/天处以违约金，工期提前不奖励。</w:t>
            </w:r>
          </w:p>
        </w:tc>
      </w:tr>
      <w:tr w14:paraId="0E18992C">
        <w:tblPrEx>
          <w:tblCellMar>
            <w:top w:w="0" w:type="dxa"/>
            <w:left w:w="108" w:type="dxa"/>
            <w:bottom w:w="0" w:type="dxa"/>
            <w:right w:w="108" w:type="dxa"/>
          </w:tblCellMar>
        </w:tblPrEx>
        <w:trPr>
          <w:trHeight w:val="46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F1ECFC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160" w:type="dxa"/>
            <w:tcBorders>
              <w:top w:val="single" w:color="auto" w:sz="4" w:space="0"/>
              <w:left w:val="single" w:color="auto" w:sz="4" w:space="0"/>
              <w:bottom w:val="single" w:color="auto" w:sz="4" w:space="0"/>
              <w:right w:val="single" w:color="auto" w:sz="4" w:space="0"/>
            </w:tcBorders>
            <w:vAlign w:val="center"/>
          </w:tcPr>
          <w:p w14:paraId="453C294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305" w:type="dxa"/>
            <w:tcBorders>
              <w:top w:val="single" w:color="auto" w:sz="4" w:space="0"/>
              <w:left w:val="single" w:color="auto" w:sz="4" w:space="0"/>
              <w:bottom w:val="single" w:color="auto" w:sz="4" w:space="0"/>
              <w:right w:val="single" w:color="auto" w:sz="4" w:space="0"/>
            </w:tcBorders>
            <w:vAlign w:val="center"/>
          </w:tcPr>
          <w:p w14:paraId="0D113BB3">
            <w:pPr>
              <w:adjustRightInd w:val="0"/>
              <w:snapToGrid w:val="0"/>
              <w:spacing w:line="560" w:lineRule="exac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.设计质量要求：符合相关规范、国家政策、法规和本项目设计任务的要求，并通过图审。</w:t>
            </w:r>
          </w:p>
          <w:p w14:paraId="0834E9C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2.施工质量要求：工程质量必须达到国家工程施工质量验收合格标准。</w:t>
            </w:r>
          </w:p>
          <w:p w14:paraId="2387423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3.保修要求：按建设部【2000】80号令保修。</w:t>
            </w:r>
          </w:p>
          <w:p w14:paraId="293F0EFC">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4.质量保证期及缺陷责任期：严格执行国家、省、市及本项目招标文件相关规定。</w:t>
            </w:r>
          </w:p>
          <w:p w14:paraId="082398C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5.相关规范、标准以及《建设标准强制性条文》要求的相关强制性标准。</w:t>
            </w:r>
          </w:p>
        </w:tc>
      </w:tr>
      <w:tr w14:paraId="7DE7B558">
        <w:tblPrEx>
          <w:tblCellMar>
            <w:top w:w="0" w:type="dxa"/>
            <w:left w:w="108" w:type="dxa"/>
            <w:bottom w:w="0" w:type="dxa"/>
            <w:right w:w="108" w:type="dxa"/>
          </w:tblCellMar>
        </w:tblPrEx>
        <w:trPr>
          <w:trHeight w:val="1232" w:hRule="atLeast"/>
          <w:jc w:val="center"/>
        </w:trPr>
        <w:tc>
          <w:tcPr>
            <w:tcW w:w="970" w:type="dxa"/>
            <w:tcBorders>
              <w:top w:val="single" w:color="auto" w:sz="4" w:space="0"/>
              <w:left w:val="single" w:color="auto" w:sz="4" w:space="0"/>
              <w:right w:val="single" w:color="auto" w:sz="4" w:space="0"/>
            </w:tcBorders>
            <w:vAlign w:val="center"/>
          </w:tcPr>
          <w:p w14:paraId="09C9458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160" w:type="dxa"/>
            <w:tcBorders>
              <w:top w:val="single" w:color="auto" w:sz="4" w:space="0"/>
              <w:left w:val="single" w:color="auto" w:sz="4" w:space="0"/>
              <w:bottom w:val="single" w:color="auto" w:sz="4" w:space="0"/>
              <w:right w:val="single" w:color="auto" w:sz="4" w:space="0"/>
            </w:tcBorders>
            <w:vAlign w:val="center"/>
          </w:tcPr>
          <w:p w14:paraId="06F9AB7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305" w:type="dxa"/>
            <w:tcBorders>
              <w:top w:val="single" w:color="auto" w:sz="4" w:space="0"/>
              <w:left w:val="single" w:color="auto" w:sz="4" w:space="0"/>
              <w:bottom w:val="single" w:color="auto" w:sz="4" w:space="0"/>
              <w:right w:val="single" w:color="auto" w:sz="4" w:space="0"/>
            </w:tcBorders>
            <w:vAlign w:val="center"/>
          </w:tcPr>
          <w:p w14:paraId="564A63B6">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F1A2E81">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D1A209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160" w:type="dxa"/>
            <w:tcBorders>
              <w:top w:val="single" w:color="auto" w:sz="4" w:space="0"/>
              <w:left w:val="single" w:color="auto" w:sz="4" w:space="0"/>
              <w:bottom w:val="single" w:color="auto" w:sz="4" w:space="0"/>
              <w:right w:val="single" w:color="auto" w:sz="4" w:space="0"/>
            </w:tcBorders>
            <w:vAlign w:val="center"/>
          </w:tcPr>
          <w:p w14:paraId="547FF324">
            <w:pPr>
              <w:adjustRightInd w:val="0"/>
              <w:snapToGrid w:val="0"/>
              <w:spacing w:line="56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是否接受联合体投标</w:t>
            </w:r>
          </w:p>
        </w:tc>
        <w:tc>
          <w:tcPr>
            <w:tcW w:w="7305" w:type="dxa"/>
            <w:tcBorders>
              <w:top w:val="single" w:color="auto" w:sz="4" w:space="0"/>
              <w:left w:val="single" w:color="auto" w:sz="4" w:space="0"/>
              <w:bottom w:val="single" w:color="auto" w:sz="4" w:space="0"/>
              <w:right w:val="single" w:color="auto" w:sz="4" w:space="0"/>
            </w:tcBorders>
            <w:vAlign w:val="center"/>
          </w:tcPr>
          <w:p w14:paraId="6324945F">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详见招标公告</w:t>
            </w:r>
          </w:p>
        </w:tc>
      </w:tr>
      <w:tr w14:paraId="6177A7F7">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E90B9D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160" w:type="dxa"/>
            <w:tcBorders>
              <w:top w:val="single" w:color="auto" w:sz="4" w:space="0"/>
              <w:left w:val="single" w:color="auto" w:sz="4" w:space="0"/>
              <w:bottom w:val="single" w:color="auto" w:sz="4" w:space="0"/>
              <w:right w:val="single" w:color="auto" w:sz="4" w:space="0"/>
            </w:tcBorders>
            <w:vAlign w:val="center"/>
          </w:tcPr>
          <w:p w14:paraId="797A813A">
            <w:pPr>
              <w:adjustRightInd w:val="0"/>
              <w:snapToGrid w:val="0"/>
              <w:spacing w:line="56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投标人不得存在的其他关联情形</w:t>
            </w:r>
          </w:p>
        </w:tc>
        <w:tc>
          <w:tcPr>
            <w:tcW w:w="7305" w:type="dxa"/>
            <w:tcBorders>
              <w:top w:val="single" w:color="auto" w:sz="4" w:space="0"/>
              <w:left w:val="single" w:color="auto" w:sz="4" w:space="0"/>
              <w:bottom w:val="single" w:color="auto" w:sz="4" w:space="0"/>
              <w:right w:val="single" w:color="auto" w:sz="4" w:space="0"/>
            </w:tcBorders>
            <w:vAlign w:val="center"/>
          </w:tcPr>
          <w:p w14:paraId="7445DBE1">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详见招标公告</w:t>
            </w:r>
          </w:p>
        </w:tc>
      </w:tr>
      <w:tr w14:paraId="7717A820">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AE9F49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160" w:type="dxa"/>
            <w:tcBorders>
              <w:top w:val="single" w:color="auto" w:sz="4" w:space="0"/>
              <w:left w:val="single" w:color="auto" w:sz="4" w:space="0"/>
              <w:bottom w:val="single" w:color="auto" w:sz="4" w:space="0"/>
              <w:right w:val="single" w:color="auto" w:sz="4" w:space="0"/>
            </w:tcBorders>
            <w:vAlign w:val="center"/>
          </w:tcPr>
          <w:p w14:paraId="53AF0A00">
            <w:pPr>
              <w:adjustRightInd w:val="0"/>
              <w:snapToGrid w:val="0"/>
              <w:spacing w:line="56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305" w:type="dxa"/>
            <w:tcBorders>
              <w:top w:val="single" w:color="auto" w:sz="4" w:space="0"/>
              <w:left w:val="single" w:color="auto" w:sz="4" w:space="0"/>
              <w:bottom w:val="single" w:color="auto" w:sz="4" w:space="0"/>
              <w:right w:val="single" w:color="auto" w:sz="4" w:space="0"/>
            </w:tcBorders>
            <w:vAlign w:val="center"/>
          </w:tcPr>
          <w:p w14:paraId="55C925BA">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pacing w:val="-4"/>
                <w:kern w:val="0"/>
                <w:sz w:val="21"/>
                <w:szCs w:val="21"/>
                <w:highlight w:val="none"/>
              </w:rPr>
              <w:t>不组织，投标人自行组织踏勘</w:t>
            </w:r>
            <w:r>
              <w:rPr>
                <w:rFonts w:hint="eastAsia" w:hAnsi="宋体" w:cs="宋体"/>
                <w:color w:val="auto"/>
                <w:sz w:val="21"/>
                <w:szCs w:val="21"/>
                <w:highlight w:val="none"/>
              </w:rPr>
              <w:t>；</w:t>
            </w:r>
          </w:p>
        </w:tc>
      </w:tr>
      <w:tr w14:paraId="0BC16163">
        <w:tblPrEx>
          <w:tblCellMar>
            <w:top w:w="0" w:type="dxa"/>
            <w:left w:w="108" w:type="dxa"/>
            <w:bottom w:w="0" w:type="dxa"/>
            <w:right w:w="108" w:type="dxa"/>
          </w:tblCellMar>
        </w:tblPrEx>
        <w:trPr>
          <w:trHeight w:val="61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72A5E0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160" w:type="dxa"/>
            <w:tcBorders>
              <w:top w:val="single" w:color="auto" w:sz="4" w:space="0"/>
              <w:left w:val="single" w:color="auto" w:sz="4" w:space="0"/>
              <w:bottom w:val="single" w:color="auto" w:sz="4" w:space="0"/>
              <w:right w:val="single" w:color="auto" w:sz="4" w:space="0"/>
            </w:tcBorders>
            <w:vAlign w:val="center"/>
          </w:tcPr>
          <w:p w14:paraId="7B7CC603">
            <w:pPr>
              <w:adjustRightInd w:val="0"/>
              <w:snapToGrid w:val="0"/>
              <w:spacing w:line="56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305" w:type="dxa"/>
            <w:tcBorders>
              <w:top w:val="single" w:color="auto" w:sz="4" w:space="0"/>
              <w:left w:val="single" w:color="auto" w:sz="4" w:space="0"/>
              <w:bottom w:val="single" w:color="auto" w:sz="4" w:space="0"/>
              <w:right w:val="single" w:color="auto" w:sz="4" w:space="0"/>
            </w:tcBorders>
            <w:vAlign w:val="center"/>
          </w:tcPr>
          <w:p w14:paraId="7C134954">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 xml:space="preserve">；  </w:t>
            </w:r>
          </w:p>
        </w:tc>
      </w:tr>
      <w:tr w14:paraId="77BCB7D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2492C61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160" w:type="dxa"/>
            <w:tcBorders>
              <w:top w:val="single" w:color="auto" w:sz="4" w:space="0"/>
              <w:left w:val="single" w:color="auto" w:sz="4" w:space="0"/>
              <w:bottom w:val="single" w:color="auto" w:sz="4" w:space="0"/>
              <w:right w:val="single" w:color="auto" w:sz="4" w:space="0"/>
            </w:tcBorders>
            <w:vAlign w:val="center"/>
          </w:tcPr>
          <w:p w14:paraId="340F8CA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7305" w:type="dxa"/>
            <w:tcBorders>
              <w:top w:val="single" w:color="auto" w:sz="4" w:space="0"/>
              <w:left w:val="single" w:color="auto" w:sz="4" w:space="0"/>
              <w:bottom w:val="single" w:color="auto" w:sz="4" w:space="0"/>
              <w:right w:val="single" w:color="auto" w:sz="4" w:space="0"/>
            </w:tcBorders>
            <w:vAlign w:val="center"/>
          </w:tcPr>
          <w:p w14:paraId="21385F46">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时间：/   </w:t>
            </w:r>
          </w:p>
          <w:p w14:paraId="04BA3F03">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形式：/     </w:t>
            </w:r>
          </w:p>
        </w:tc>
      </w:tr>
      <w:tr w14:paraId="462E793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11777BF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160" w:type="dxa"/>
            <w:tcBorders>
              <w:top w:val="single" w:color="auto" w:sz="4" w:space="0"/>
              <w:left w:val="single" w:color="auto" w:sz="4" w:space="0"/>
              <w:bottom w:val="single" w:color="auto" w:sz="4" w:space="0"/>
              <w:right w:val="single" w:color="auto" w:sz="4" w:space="0"/>
            </w:tcBorders>
            <w:vAlign w:val="center"/>
          </w:tcPr>
          <w:p w14:paraId="7864767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305" w:type="dxa"/>
            <w:tcBorders>
              <w:top w:val="single" w:color="auto" w:sz="4" w:space="0"/>
              <w:left w:val="single" w:color="auto" w:sz="4" w:space="0"/>
              <w:bottom w:val="single" w:color="auto" w:sz="4" w:space="0"/>
              <w:right w:val="single" w:color="auto" w:sz="4" w:space="0"/>
            </w:tcBorders>
            <w:vAlign w:val="center"/>
          </w:tcPr>
          <w:p w14:paraId="786C8E83">
            <w:pPr>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szCs w:val="21"/>
                <w:highlight w:val="none"/>
              </w:rPr>
              <w:t>不允许</w:t>
            </w:r>
          </w:p>
        </w:tc>
      </w:tr>
      <w:tr w14:paraId="5D1FBAD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97B10F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160" w:type="dxa"/>
            <w:tcBorders>
              <w:top w:val="single" w:color="auto" w:sz="4" w:space="0"/>
              <w:left w:val="single" w:color="auto" w:sz="4" w:space="0"/>
              <w:bottom w:val="single" w:color="auto" w:sz="4" w:space="0"/>
              <w:right w:val="single" w:color="auto" w:sz="4" w:space="0"/>
            </w:tcBorders>
            <w:vAlign w:val="center"/>
          </w:tcPr>
          <w:p w14:paraId="7D9F426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7305" w:type="dxa"/>
            <w:tcBorders>
              <w:top w:val="single" w:color="auto" w:sz="4" w:space="0"/>
              <w:left w:val="single" w:color="auto" w:sz="4" w:space="0"/>
              <w:bottom w:val="single" w:color="auto" w:sz="4" w:space="0"/>
              <w:right w:val="single" w:color="auto" w:sz="4" w:space="0"/>
            </w:tcBorders>
            <w:vAlign w:val="center"/>
          </w:tcPr>
          <w:p w14:paraId="75C59CA9">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本工程施工图纸、工程量清单及招标澄清答疑文件。</w:t>
            </w:r>
          </w:p>
        </w:tc>
      </w:tr>
      <w:tr w14:paraId="48812D61">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CAF3AB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160" w:type="dxa"/>
            <w:tcBorders>
              <w:top w:val="single" w:color="auto" w:sz="4" w:space="0"/>
              <w:left w:val="single" w:color="auto" w:sz="4" w:space="0"/>
              <w:bottom w:val="single" w:color="auto" w:sz="4" w:space="0"/>
              <w:right w:val="single" w:color="auto" w:sz="4" w:space="0"/>
            </w:tcBorders>
            <w:vAlign w:val="center"/>
          </w:tcPr>
          <w:p w14:paraId="4B60FD5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投标人提出异议的截止时间及方式</w:t>
            </w:r>
          </w:p>
        </w:tc>
        <w:tc>
          <w:tcPr>
            <w:tcW w:w="7305" w:type="dxa"/>
            <w:tcBorders>
              <w:top w:val="single" w:color="auto" w:sz="4" w:space="0"/>
              <w:left w:val="single" w:color="auto" w:sz="4" w:space="0"/>
              <w:bottom w:val="single" w:color="auto" w:sz="4" w:space="0"/>
              <w:right w:val="single" w:color="auto" w:sz="4" w:space="0"/>
            </w:tcBorders>
            <w:vAlign w:val="center"/>
          </w:tcPr>
          <w:p w14:paraId="15CA1E97">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kern w:val="0"/>
                <w:szCs w:val="21"/>
                <w:highlight w:val="none"/>
              </w:rPr>
              <w:t>如投标人对招标文件有异议，请于</w:t>
            </w:r>
            <w:r>
              <w:rPr>
                <w:rFonts w:hint="eastAsia" w:ascii="宋体" w:hAnsi="宋体" w:cs="宋体"/>
                <w:b/>
                <w:bCs/>
                <w:color w:val="auto"/>
                <w:kern w:val="0"/>
                <w:szCs w:val="21"/>
                <w:highlight w:val="none"/>
              </w:rPr>
              <w:t>2025年</w:t>
            </w:r>
            <w:r>
              <w:rPr>
                <w:rFonts w:hint="eastAsia" w:ascii="宋体" w:hAnsi="宋体" w:cs="宋体"/>
                <w:b/>
                <w:bCs/>
                <w:color w:val="auto"/>
                <w:kern w:val="0"/>
                <w:szCs w:val="21"/>
                <w:highlight w:val="none"/>
                <w:lang w:val="en-US" w:eastAsia="zh-CN"/>
              </w:rPr>
              <w:t>11</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16</w:t>
            </w:r>
            <w:r>
              <w:rPr>
                <w:rFonts w:hint="eastAsia" w:ascii="宋体" w:hAnsi="宋体" w:cs="宋体"/>
                <w:b/>
                <w:bCs/>
                <w:color w:val="auto"/>
                <w:kern w:val="0"/>
                <w:szCs w:val="21"/>
                <w:highlight w:val="none"/>
              </w:rPr>
              <w:t>日8时</w:t>
            </w:r>
            <w:r>
              <w:rPr>
                <w:rFonts w:hint="eastAsia" w:ascii="宋体" w:hAnsi="宋体" w:cs="宋体"/>
                <w:color w:val="auto"/>
                <w:kern w:val="0"/>
                <w:szCs w:val="21"/>
                <w:highlight w:val="none"/>
              </w:rPr>
              <w:t>（投标截止10日）前在滁州市公共资源交易中心网电子交易系统中进行异议，具体操作步骤和程序请参见服务指南&gt;交易须知&gt;在线异议、质疑和投诉操作手册。</w:t>
            </w:r>
          </w:p>
        </w:tc>
      </w:tr>
      <w:tr w14:paraId="036C71EB">
        <w:tblPrEx>
          <w:tblCellMar>
            <w:top w:w="0" w:type="dxa"/>
            <w:left w:w="108" w:type="dxa"/>
            <w:bottom w:w="0" w:type="dxa"/>
            <w:right w:w="108" w:type="dxa"/>
          </w:tblCellMar>
        </w:tblPrEx>
        <w:trPr>
          <w:trHeight w:val="1196"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241B911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160" w:type="dxa"/>
            <w:tcBorders>
              <w:top w:val="single" w:color="auto" w:sz="4" w:space="0"/>
              <w:left w:val="single" w:color="auto" w:sz="4" w:space="0"/>
              <w:bottom w:val="single" w:color="auto" w:sz="4" w:space="0"/>
              <w:right w:val="single" w:color="auto" w:sz="4" w:space="0"/>
            </w:tcBorders>
            <w:vAlign w:val="center"/>
          </w:tcPr>
          <w:p w14:paraId="5DB2D01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305" w:type="dxa"/>
            <w:tcBorders>
              <w:top w:val="single" w:color="auto" w:sz="4" w:space="0"/>
              <w:left w:val="single" w:color="auto" w:sz="4" w:space="0"/>
              <w:bottom w:val="single" w:color="auto" w:sz="4" w:space="0"/>
              <w:right w:val="single" w:color="auto" w:sz="4" w:space="0"/>
            </w:tcBorders>
            <w:vAlign w:val="center"/>
          </w:tcPr>
          <w:p w14:paraId="6F00C9C2">
            <w:pPr>
              <w:adjustRightInd w:val="0"/>
              <w:snapToGrid w:val="0"/>
              <w:spacing w:line="560" w:lineRule="exact"/>
              <w:rPr>
                <w:rFonts w:ascii="宋体" w:hAnsi="宋体" w:cs="宋体"/>
                <w:color w:val="auto"/>
                <w:szCs w:val="21"/>
                <w:highlight w:val="none"/>
              </w:rPr>
            </w:pP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日17时前</w:t>
            </w:r>
            <w:r>
              <w:rPr>
                <w:rFonts w:hint="eastAsia" w:ascii="宋体" w:hAnsi="宋体" w:cs="宋体"/>
                <w:color w:val="auto"/>
                <w:kern w:val="0"/>
                <w:szCs w:val="21"/>
                <w:highlight w:val="none"/>
              </w:rPr>
              <w:t>在滁州市公共资源交易中心网站</w:t>
            </w:r>
            <w:r>
              <w:rPr>
                <w:rFonts w:hint="eastAsia" w:ascii="宋体" w:hAnsi="宋体" w:cs="宋体"/>
                <w:color w:val="auto"/>
                <w:szCs w:val="21"/>
                <w:highlight w:val="none"/>
              </w:rPr>
              <w:t xml:space="preserve"> “答疑澄清文件”栏目予以公告</w:t>
            </w:r>
            <w:r>
              <w:rPr>
                <w:rFonts w:hint="eastAsia" w:ascii="宋体" w:hAnsi="宋体" w:cs="宋体"/>
                <w:color w:val="auto"/>
                <w:kern w:val="0"/>
                <w:szCs w:val="21"/>
                <w:highlight w:val="none"/>
              </w:rPr>
              <w:t>。</w:t>
            </w:r>
          </w:p>
        </w:tc>
      </w:tr>
      <w:tr w14:paraId="44C5560C">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4D10CE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160" w:type="dxa"/>
            <w:tcBorders>
              <w:top w:val="single" w:color="auto" w:sz="4" w:space="0"/>
              <w:left w:val="single" w:color="auto" w:sz="4" w:space="0"/>
              <w:bottom w:val="single" w:color="auto" w:sz="4" w:space="0"/>
              <w:right w:val="single" w:color="auto" w:sz="4" w:space="0"/>
            </w:tcBorders>
            <w:vAlign w:val="center"/>
          </w:tcPr>
          <w:p w14:paraId="54AB18B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305" w:type="dxa"/>
            <w:tcBorders>
              <w:top w:val="single" w:color="auto" w:sz="4" w:space="0"/>
              <w:left w:val="single" w:color="auto" w:sz="4" w:space="0"/>
              <w:bottom w:val="single" w:color="auto" w:sz="4" w:space="0"/>
              <w:right w:val="single" w:color="auto" w:sz="4" w:space="0"/>
            </w:tcBorders>
          </w:tcPr>
          <w:p w14:paraId="5179A402">
            <w:pPr>
              <w:numPr>
                <w:ilvl w:val="0"/>
                <w:numId w:val="1"/>
              </w:numPr>
              <w:adjustRightInd w:val="0"/>
              <w:snapToGrid w:val="0"/>
              <w:spacing w:line="56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计税方法：一般计税方法</w:t>
            </w:r>
          </w:p>
          <w:p w14:paraId="0B33A627">
            <w:pPr>
              <w:adjustRightInd w:val="0"/>
              <w:snapToGrid w:val="0"/>
              <w:spacing w:line="56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（2）发票类型：增值税专用发票</w:t>
            </w:r>
          </w:p>
          <w:p w14:paraId="4A86FA94">
            <w:pPr>
              <w:numPr>
                <w:ilvl w:val="0"/>
                <w:numId w:val="2"/>
              </w:numPr>
              <w:adjustRightInd w:val="0"/>
              <w:snapToGrid w:val="0"/>
              <w:spacing w:line="56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2AF3BC65">
            <w:pPr>
              <w:pStyle w:val="10"/>
              <w:topLinePunct/>
              <w:adjustRightInd w:val="0"/>
              <w:snapToGrid w:val="0"/>
              <w:spacing w:line="560" w:lineRule="exact"/>
              <w:ind w:firstLine="525" w:firstLineChars="250"/>
              <w:rPr>
                <w:rFonts w:hAnsi="宋体" w:cs="宋体"/>
                <w:color w:val="auto"/>
                <w:kern w:val="0"/>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 xml:space="preserve">    /     </w:t>
            </w:r>
            <w:r>
              <w:rPr>
                <w:rFonts w:hint="eastAsia" w:hAnsi="宋体" w:cs="宋体"/>
                <w:bCs/>
                <w:snapToGrid w:val="0"/>
                <w:color w:val="auto"/>
                <w:kern w:val="0"/>
                <w:sz w:val="21"/>
                <w:szCs w:val="21"/>
                <w:highlight w:val="none"/>
              </w:rPr>
              <w:t xml:space="preserve"> 。</w:t>
            </w:r>
          </w:p>
        </w:tc>
      </w:tr>
      <w:tr w14:paraId="1F4011A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FAD9B2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160" w:type="dxa"/>
            <w:tcBorders>
              <w:top w:val="single" w:color="auto" w:sz="4" w:space="0"/>
              <w:left w:val="single" w:color="auto" w:sz="4" w:space="0"/>
              <w:bottom w:val="single" w:color="auto" w:sz="4" w:space="0"/>
              <w:right w:val="single" w:color="auto" w:sz="4" w:space="0"/>
            </w:tcBorders>
            <w:vAlign w:val="center"/>
          </w:tcPr>
          <w:p w14:paraId="37D8A5CC">
            <w:pPr>
              <w:adjustRightInd w:val="0"/>
              <w:snapToGrid w:val="0"/>
              <w:spacing w:line="56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305" w:type="dxa"/>
            <w:tcBorders>
              <w:top w:val="single" w:color="auto" w:sz="4" w:space="0"/>
              <w:left w:val="single" w:color="auto" w:sz="4" w:space="0"/>
              <w:bottom w:val="single" w:color="auto" w:sz="4" w:space="0"/>
              <w:right w:val="single" w:color="auto" w:sz="4" w:space="0"/>
            </w:tcBorders>
            <w:vAlign w:val="center"/>
          </w:tcPr>
          <w:p w14:paraId="09F43B9A">
            <w:pPr>
              <w:adjustRightInd w:val="0"/>
              <w:snapToGrid w:val="0"/>
              <w:spacing w:line="560" w:lineRule="exact"/>
              <w:rPr>
                <w:rFonts w:ascii="宋体" w:hAnsi="宋体" w:cs="宋体"/>
                <w:bCs/>
                <w:color w:val="auto"/>
                <w:szCs w:val="21"/>
                <w:highlight w:val="none"/>
              </w:rPr>
            </w:pPr>
            <w:r>
              <w:rPr>
                <w:rFonts w:hint="eastAsia" w:ascii="宋体" w:hAnsi="宋体" w:cs="宋体"/>
                <w:bCs/>
                <w:color w:val="auto"/>
                <w:szCs w:val="21"/>
                <w:highlight w:val="none"/>
              </w:rPr>
              <w:t>有。</w:t>
            </w:r>
          </w:p>
          <w:p w14:paraId="220CEF6E">
            <w:pPr>
              <w:adjustRightInd w:val="0"/>
              <w:snapToGrid w:val="0"/>
              <w:spacing w:line="560" w:lineRule="exact"/>
              <w:rPr>
                <w:rFonts w:ascii="宋体" w:hAnsi="宋体" w:cs="宋体"/>
                <w:bCs/>
                <w:color w:val="auto"/>
                <w:szCs w:val="21"/>
                <w:highlight w:val="none"/>
              </w:rPr>
            </w:pPr>
            <w:r>
              <w:rPr>
                <w:rFonts w:ascii="宋体" w:hAnsi="宋体" w:cs="宋体"/>
                <w:bCs/>
                <w:color w:val="auto"/>
                <w:szCs w:val="21"/>
                <w:highlight w:val="none"/>
              </w:rPr>
              <w:t>1.本项目以下浮率的方式进行报价（下浮率由投标人自报，保留两位有效数字，如下浮率为**.**%）。</w:t>
            </w:r>
          </w:p>
          <w:p w14:paraId="4DF66C59">
            <w:pPr>
              <w:adjustRightInd w:val="0"/>
              <w:snapToGrid w:val="0"/>
              <w:spacing w:line="560" w:lineRule="exact"/>
              <w:rPr>
                <w:rFonts w:ascii="宋体" w:hAnsi="宋体" w:cs="宋体"/>
                <w:bCs/>
                <w:color w:val="auto"/>
                <w:szCs w:val="21"/>
                <w:highlight w:val="none"/>
              </w:rPr>
            </w:pPr>
            <w:r>
              <w:rPr>
                <w:rFonts w:ascii="宋体" w:hAnsi="宋体" w:cs="宋体"/>
                <w:bCs/>
                <w:color w:val="auto"/>
                <w:szCs w:val="21"/>
                <w:highlight w:val="none"/>
              </w:rPr>
              <w:t>2.投标人填报的下浮率≥1</w:t>
            </w:r>
            <w:r>
              <w:rPr>
                <w:rFonts w:hint="eastAsia" w:ascii="宋体" w:hAnsi="宋体" w:cs="宋体"/>
                <w:bCs/>
                <w:color w:val="auto"/>
                <w:szCs w:val="21"/>
                <w:highlight w:val="none"/>
              </w:rPr>
              <w:t>3</w:t>
            </w:r>
            <w:r>
              <w:rPr>
                <w:rFonts w:ascii="宋体" w:hAnsi="宋体" w:cs="宋体"/>
                <w:bCs/>
                <w:color w:val="auto"/>
                <w:szCs w:val="21"/>
                <w:highlight w:val="none"/>
              </w:rPr>
              <w:t>.00%，否则投标将被否决。（报价下浮率最多保留到百分号前小数点后第二位，第三位将按四舍五入进行调整，调整后作为评审和中标</w:t>
            </w:r>
            <w:r>
              <w:rPr>
                <w:rFonts w:hint="eastAsia" w:ascii="宋体" w:hAnsi="宋体" w:cs="宋体"/>
                <w:bCs/>
                <w:color w:val="auto"/>
                <w:szCs w:val="21"/>
                <w:highlight w:val="none"/>
              </w:rPr>
              <w:t>下浮率）。</w:t>
            </w:r>
            <w:r>
              <w:rPr>
                <w:rFonts w:ascii="宋体" w:hAnsi="宋体" w:cs="宋体"/>
                <w:bCs/>
                <w:color w:val="auto"/>
                <w:szCs w:val="21"/>
                <w:highlight w:val="none"/>
              </w:rPr>
              <w:t xml:space="preserve"> </w:t>
            </w:r>
          </w:p>
          <w:p w14:paraId="57B4F13E">
            <w:pPr>
              <w:adjustRightInd w:val="0"/>
              <w:snapToGrid w:val="0"/>
              <w:spacing w:line="560" w:lineRule="exact"/>
              <w:rPr>
                <w:rFonts w:ascii="宋体" w:hAnsi="宋体" w:cs="宋体"/>
                <w:bCs/>
                <w:color w:val="auto"/>
                <w:szCs w:val="21"/>
                <w:highlight w:val="none"/>
              </w:rPr>
            </w:pPr>
            <w:r>
              <w:rPr>
                <w:rFonts w:ascii="宋体" w:hAnsi="宋体" w:cs="宋体"/>
                <w:bCs/>
                <w:color w:val="auto"/>
                <w:szCs w:val="21"/>
                <w:highlight w:val="none"/>
              </w:rPr>
              <w:t>3.投标人填报的报价包含完成本项目所有内容的全部费用</w:t>
            </w:r>
            <w:r>
              <w:rPr>
                <w:rFonts w:hint="eastAsia" w:ascii="宋体" w:hAnsi="宋体" w:cs="宋体"/>
                <w:bCs/>
                <w:color w:val="auto"/>
                <w:szCs w:val="21"/>
                <w:highlight w:val="none"/>
              </w:rPr>
              <w:t>，本项目内容中的设计费用不单独计算，含在投标总价中。</w:t>
            </w:r>
            <w:r>
              <w:rPr>
                <w:rFonts w:ascii="宋体" w:hAnsi="宋体" w:cs="宋体"/>
                <w:bCs/>
                <w:color w:val="auto"/>
                <w:szCs w:val="21"/>
                <w:highlight w:val="none"/>
              </w:rPr>
              <w:t xml:space="preserve"> </w:t>
            </w:r>
          </w:p>
          <w:p w14:paraId="027E021A">
            <w:pPr>
              <w:adjustRightInd w:val="0"/>
              <w:snapToGrid w:val="0"/>
              <w:spacing w:line="560" w:lineRule="exact"/>
              <w:rPr>
                <w:rFonts w:ascii="宋体" w:hAnsi="宋体" w:cs="宋体"/>
                <w:bCs/>
                <w:color w:val="auto"/>
                <w:szCs w:val="21"/>
                <w:highlight w:val="none"/>
              </w:rPr>
            </w:pPr>
            <w:r>
              <w:rPr>
                <w:rFonts w:ascii="宋体" w:hAnsi="宋体" w:cs="宋体"/>
                <w:bCs/>
                <w:color w:val="auto"/>
                <w:szCs w:val="21"/>
                <w:highlight w:val="none"/>
              </w:rPr>
              <w:t>4.投标下浮率在工程预、结算中不再调整。</w:t>
            </w:r>
          </w:p>
          <w:p w14:paraId="764919F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发布时间：</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时前。</w:t>
            </w:r>
          </w:p>
          <w:p w14:paraId="12C7A149">
            <w:pPr>
              <w:adjustRightInd w:val="0"/>
              <w:snapToGrid w:val="0"/>
              <w:spacing w:line="560" w:lineRule="exact"/>
              <w:rPr>
                <w:rFonts w:ascii="宋体" w:hAnsi="宋体" w:cs="宋体"/>
                <w:b/>
                <w:color w:val="auto"/>
                <w:szCs w:val="21"/>
                <w:highlight w:val="none"/>
              </w:rPr>
            </w:pPr>
            <w:r>
              <w:rPr>
                <w:rFonts w:hint="eastAsia" w:ascii="宋体" w:hAnsi="宋体" w:cs="宋体"/>
                <w:b/>
                <w:bCs/>
                <w:color w:val="auto"/>
                <w:szCs w:val="21"/>
                <w:highlight w:val="none"/>
              </w:rPr>
              <w:t>发布媒介：</w:t>
            </w:r>
            <w:r>
              <w:rPr>
                <w:rFonts w:hint="eastAsia" w:ascii="宋体" w:hAnsi="宋体" w:cs="宋体"/>
                <w:b/>
                <w:bCs/>
                <w:color w:val="auto"/>
                <w:kern w:val="0"/>
                <w:szCs w:val="21"/>
                <w:highlight w:val="none"/>
              </w:rPr>
              <w:t>滁州市公共资源交易中心网站</w:t>
            </w:r>
          </w:p>
        </w:tc>
      </w:tr>
      <w:tr w14:paraId="5AEED6BF">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ADC0C2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160" w:type="dxa"/>
            <w:tcBorders>
              <w:top w:val="single" w:color="auto" w:sz="4" w:space="0"/>
              <w:left w:val="single" w:color="auto" w:sz="4" w:space="0"/>
              <w:bottom w:val="single" w:color="auto" w:sz="4" w:space="0"/>
              <w:right w:val="single" w:color="auto" w:sz="4" w:space="0"/>
            </w:tcBorders>
            <w:vAlign w:val="center"/>
          </w:tcPr>
          <w:p w14:paraId="629BE03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投标报价的</w:t>
            </w:r>
          </w:p>
          <w:p w14:paraId="27A79D5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305" w:type="dxa"/>
            <w:tcBorders>
              <w:top w:val="single" w:color="auto" w:sz="4" w:space="0"/>
              <w:left w:val="single" w:color="auto" w:sz="4" w:space="0"/>
              <w:bottom w:val="single" w:color="auto" w:sz="4" w:space="0"/>
              <w:right w:val="single" w:color="auto" w:sz="4" w:space="0"/>
            </w:tcBorders>
            <w:vAlign w:val="center"/>
          </w:tcPr>
          <w:p w14:paraId="1405CA7A">
            <w:pPr>
              <w:pStyle w:val="10"/>
              <w:topLinePunct/>
              <w:adjustRightInd w:val="0"/>
              <w:snapToGrid w:val="0"/>
              <w:spacing w:line="560" w:lineRule="exact"/>
              <w:rPr>
                <w:rFonts w:hAnsi="宋体" w:cs="宋体"/>
                <w:color w:val="auto"/>
                <w:kern w:val="0"/>
                <w:szCs w:val="24"/>
                <w:highlight w:val="none"/>
              </w:rPr>
            </w:pPr>
            <w:r>
              <w:rPr>
                <w:rFonts w:hint="eastAsia" w:hAnsi="宋体" w:cs="宋体"/>
                <w:color w:val="auto"/>
                <w:sz w:val="21"/>
                <w:szCs w:val="21"/>
                <w:highlight w:val="none"/>
              </w:rPr>
              <w:t>1</w:t>
            </w:r>
            <w:r>
              <w:rPr>
                <w:rFonts w:hAnsi="宋体" w:cs="宋体"/>
                <w:color w:val="auto"/>
                <w:sz w:val="21"/>
                <w:szCs w:val="21"/>
                <w:highlight w:val="none"/>
              </w:rPr>
              <w:t>.</w:t>
            </w:r>
            <w:r>
              <w:rPr>
                <w:rFonts w:hint="eastAsia" w:hAnsi="宋体" w:cs="宋体"/>
                <w:color w:val="auto"/>
                <w:sz w:val="21"/>
                <w:szCs w:val="21"/>
                <w:highlight w:val="none"/>
              </w:rPr>
              <w:t>投标人需按照招标文件、初步设计文件等相关资料对项目进行投标报价，投标人投标时仅需报投标下浮率，无需对工程量清单进行分项报价，中标人需按照上述等相关文件及发包人要求进行施工图设计并组织采购及施工。</w:t>
            </w:r>
            <w:r>
              <w:rPr>
                <w:rFonts w:hAnsi="宋体" w:cs="宋体"/>
                <w:color w:val="auto"/>
                <w:sz w:val="21"/>
                <w:szCs w:val="21"/>
                <w:highlight w:val="none"/>
              </w:rPr>
              <w:t xml:space="preserve"> </w:t>
            </w:r>
          </w:p>
          <w:p w14:paraId="6BCBA805">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2.中标后由招标人或者招标人委托的造价咨询机构编制详细的清单控制价，清单控制价依据国家及安徽省造价主管部门发布的相关规范和办法实施编制。清单控制价编制完成后须经招标人审核确认，并作为结算依据材料。</w:t>
            </w:r>
          </w:p>
          <w:p w14:paraId="23CC7ECE">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3.中标后清单控制价的编制依据2018版计价依据：《安徽省建设工程工程量清单计价办法》、《安徽省建设工程费用定额》、《安徽省建设工程计价定额（共用册）》、《安徽省安装工程计价定额》、《安徽省公用定额》、《2018 版安徽省建设工程计价依据动态定额内容》等和相关工程的国家计量规范；国家或省级、行业建设主管部门颁发的计价定额和办法；建设工程设计文件及相关资料；与建设工程有关的标准、规范、技术资料；招标文件及其补充通知答疑纪要；经审查后的施工图设计文件和相关技术资料；省市主管部门发布的信息价；施工现场实际情况、地勘水文资料、工程特点及施工方案；其他相关资料。</w:t>
            </w:r>
          </w:p>
          <w:p w14:paraId="0FA4E387">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4.本工程采用单价合同，固定单价为（1-中标下浮率）×清单控制价的单价。结算综合单价除法律、法规等政策性变化引起的调整外，综合单价一律不予调整。</w:t>
            </w:r>
          </w:p>
          <w:p w14:paraId="73FA71F4">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5.本项目实行限额设计，中标人需按照招标人发布的初步设计文件进行优化并完成施工图设计同时并通过相关部门审核。本项目结算价不得超过818万元*（1-中标下浮率），超出部分由中标人无条件配合优化，优化方案须经招标人同意后方可实施。中标人在中标后应合理优化初步设计文件并控制造价，且中标人不得通过减少发包人要求的工程任务和降低发包人要求的工程质量降低造价。</w:t>
            </w:r>
          </w:p>
          <w:p w14:paraId="2C837EB4">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6.编制清单控制价时，材料价格采用滁州市建设工程造价管理部门中标当月发布的《滁州市工程造价信息》相对应的不含税价格进行录入；滁州信息价没有的，依次按以下方式定价：参考合肥、南京、马鞍山、蚌埠、芜湖等周边城市信息价，并取其中最低价进行编制；参考近期招标同类项目的中标单价；滁州及周边城市信息价没有的，参考广材网、慧讯网、易择网，根据所采购品牌选取不少于3家供应商报价取最低价；广材网、慧讯网、易择网也没有价格的，上述价格也没有的，由发包人组织共同询价或依法组织招标。市场询价或招标方式定价的及参考近期同类项目中标单价的材料价格结算时下浮。</w:t>
            </w:r>
          </w:p>
          <w:p w14:paraId="74300556">
            <w:pPr>
              <w:pStyle w:val="10"/>
              <w:topLinePunct/>
              <w:adjustRightInd w:val="0"/>
              <w:snapToGrid w:val="0"/>
              <w:spacing w:line="560" w:lineRule="exact"/>
              <w:rPr>
                <w:rFonts w:hAnsi="宋体" w:cs="宋体"/>
                <w:color w:val="auto"/>
                <w:sz w:val="21"/>
                <w:szCs w:val="21"/>
                <w:highlight w:val="none"/>
              </w:rPr>
            </w:pPr>
            <w:r>
              <w:rPr>
                <w:rFonts w:hint="eastAsia" w:hAnsi="宋体" w:cs="宋体"/>
                <w:color w:val="auto"/>
                <w:sz w:val="21"/>
                <w:szCs w:val="21"/>
                <w:highlight w:val="none"/>
              </w:rPr>
              <w:t>7.项目所需材料、设备（含安装费）实行优质优价，招标人推荐3个及以上品牌，明确技术参数，中标人需按照招标人推荐品牌及技术要求进行深化设计和采购。中标人采购前制定采购方案，按照经批准的采购方案，发包人、监理、跟审等共同考察，确定材料及设备品牌、选型及档次。招标人有权在编制清单控制价和审计时对中标人提供的材料和设备价格予以复核，对价格和质量严重偏离的有权不予以认可，同时要求中标人提供采购合同、销售发票和付款转账记录，实际采购价不低于考核价的80%。否则，招标人有权重新询价并将询价结果纳入结算（考核价即结算价）。</w:t>
            </w:r>
          </w:p>
          <w:p w14:paraId="542C235F">
            <w:pPr>
              <w:pStyle w:val="10"/>
              <w:topLinePunct/>
              <w:adjustRightInd w:val="0"/>
              <w:snapToGrid w:val="0"/>
              <w:spacing w:line="560" w:lineRule="exact"/>
              <w:rPr>
                <w:rFonts w:hint="eastAsia" w:hAnsi="宋体" w:cs="宋体"/>
                <w:color w:val="auto"/>
                <w:sz w:val="21"/>
                <w:szCs w:val="21"/>
                <w:highlight w:val="none"/>
              </w:rPr>
            </w:pPr>
            <w:r>
              <w:rPr>
                <w:rFonts w:hint="eastAsia" w:hAnsi="宋体" w:cs="宋体"/>
                <w:color w:val="auto"/>
                <w:sz w:val="21"/>
                <w:szCs w:val="21"/>
                <w:highlight w:val="none"/>
              </w:rPr>
              <w:t>8.因中标人施工图设计缺陷或不能满足发包人要求或未达到相关规范文件指标的或中标人施工组织不当导致的漏项、施工工艺变更、整改返工以及未通过相关验收等一系列由中标人自身原因造成的工程造价增加，由中标人自行承担，其产生的相关费用发包人不予承担。</w:t>
            </w:r>
          </w:p>
          <w:p w14:paraId="6A7A6A46">
            <w:pPr>
              <w:pStyle w:val="10"/>
              <w:topLinePunct/>
              <w:adjustRightInd w:val="0"/>
              <w:snapToGrid w:val="0"/>
              <w:spacing w:line="560" w:lineRule="exact"/>
              <w:rPr>
                <w:rFonts w:hint="eastAsia" w:hAnsi="宋体" w:cs="宋体"/>
                <w:color w:val="auto"/>
                <w:sz w:val="21"/>
                <w:szCs w:val="21"/>
                <w:highlight w:val="none"/>
              </w:rPr>
            </w:pPr>
            <w:r>
              <w:rPr>
                <w:rFonts w:hint="eastAsia" w:hAnsi="宋体" w:cs="宋体"/>
                <w:color w:val="auto"/>
                <w:sz w:val="21"/>
                <w:szCs w:val="21"/>
                <w:highlight w:val="none"/>
              </w:rPr>
              <w:t>9.投标人需根据工程所在的地域和环境对文明施工措施充分考虑并做相应的报价，此项费用取费应按照“安徽省住房和城乡建设厅颁布的建标【2021】42号通知”文件“执行，专款专用，不可挪用、挤占，确保工地达标。</w:t>
            </w:r>
          </w:p>
          <w:p w14:paraId="7A6E8BB9">
            <w:pPr>
              <w:pStyle w:val="10"/>
              <w:topLinePunct/>
              <w:adjustRightInd w:val="0"/>
              <w:snapToGrid w:val="0"/>
              <w:spacing w:line="560" w:lineRule="exact"/>
              <w:rPr>
                <w:rFonts w:hAnsi="宋体" w:cs="宋体"/>
                <w:color w:val="auto"/>
                <w:szCs w:val="21"/>
                <w:highlight w:val="none"/>
              </w:rPr>
            </w:pPr>
            <w:r>
              <w:rPr>
                <w:rFonts w:hint="eastAsia" w:hAnsi="宋体" w:cs="宋体"/>
                <w:color w:val="auto"/>
                <w:sz w:val="21"/>
                <w:szCs w:val="21"/>
                <w:highlight w:val="none"/>
              </w:rPr>
              <w:t>10.招标人有权对设计图纸进行变更、对工程量进行调增、调减，中标人应及时、完整地执行，不得以任何理由拒绝，并保证工程的质量和进度要求。</w:t>
            </w:r>
          </w:p>
        </w:tc>
      </w:tr>
      <w:tr w14:paraId="3E39C374">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8B239F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6D2A9A7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305" w:type="dxa"/>
            <w:tcBorders>
              <w:top w:val="single" w:color="auto" w:sz="4" w:space="0"/>
              <w:left w:val="single" w:color="auto" w:sz="4" w:space="0"/>
              <w:bottom w:val="single" w:color="auto" w:sz="4" w:space="0"/>
              <w:right w:val="single" w:color="auto" w:sz="4" w:space="0"/>
            </w:tcBorders>
            <w:vAlign w:val="center"/>
          </w:tcPr>
          <w:p w14:paraId="2249A1BD">
            <w:pPr>
              <w:pStyle w:val="10"/>
              <w:topLinePunct/>
              <w:adjustRightInd w:val="0"/>
              <w:snapToGrid w:val="0"/>
              <w:spacing w:line="560" w:lineRule="exact"/>
              <w:rPr>
                <w:rFonts w:hAnsi="宋体" w:cs="宋体"/>
                <w:color w:val="auto"/>
                <w:kern w:val="0"/>
                <w:sz w:val="21"/>
                <w:szCs w:val="21"/>
                <w:highlight w:val="none"/>
              </w:rPr>
            </w:pPr>
            <w:r>
              <w:rPr>
                <w:rFonts w:hint="eastAsia" w:hAnsi="宋体" w:cs="宋体"/>
                <w:color w:val="auto"/>
                <w:kern w:val="0"/>
                <w:sz w:val="21"/>
                <w:szCs w:val="21"/>
                <w:highlight w:val="none"/>
              </w:rPr>
              <w:t>自投标人递交投标文件截止之日起计算90日历天。在此期限内，凡符合本招标文件要求的投标文件均保持有效。</w:t>
            </w:r>
          </w:p>
        </w:tc>
      </w:tr>
      <w:tr w14:paraId="28F7BE2A">
        <w:tblPrEx>
          <w:tblCellMar>
            <w:top w:w="0" w:type="dxa"/>
            <w:left w:w="108" w:type="dxa"/>
            <w:bottom w:w="0" w:type="dxa"/>
            <w:right w:w="108" w:type="dxa"/>
          </w:tblCellMar>
        </w:tblPrEx>
        <w:trPr>
          <w:trHeight w:val="647"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6F2224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160" w:type="dxa"/>
            <w:tcBorders>
              <w:top w:val="single" w:color="auto" w:sz="4" w:space="0"/>
              <w:left w:val="single" w:color="auto" w:sz="4" w:space="0"/>
              <w:bottom w:val="single" w:color="auto" w:sz="4" w:space="0"/>
              <w:right w:val="single" w:color="auto" w:sz="4" w:space="0"/>
            </w:tcBorders>
            <w:vAlign w:val="center"/>
          </w:tcPr>
          <w:p w14:paraId="0B51641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305" w:type="dxa"/>
            <w:tcBorders>
              <w:top w:val="single" w:color="auto" w:sz="4" w:space="0"/>
              <w:left w:val="single" w:color="auto" w:sz="4" w:space="0"/>
              <w:bottom w:val="single" w:color="auto" w:sz="4" w:space="0"/>
              <w:right w:val="single" w:color="auto" w:sz="4" w:space="0"/>
            </w:tcBorders>
            <w:vAlign w:val="center"/>
          </w:tcPr>
          <w:p w14:paraId="211D0D75">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8041201">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55A814A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3.5.1</w:t>
            </w:r>
          </w:p>
        </w:tc>
        <w:tc>
          <w:tcPr>
            <w:tcW w:w="2160" w:type="dxa"/>
            <w:tcBorders>
              <w:top w:val="single" w:color="auto" w:sz="4" w:space="0"/>
              <w:left w:val="single" w:color="auto" w:sz="4" w:space="0"/>
              <w:bottom w:val="single" w:color="auto" w:sz="4" w:space="0"/>
              <w:right w:val="single" w:color="auto" w:sz="4" w:space="0"/>
            </w:tcBorders>
            <w:vAlign w:val="center"/>
          </w:tcPr>
          <w:p w14:paraId="1A929BED">
            <w:pPr>
              <w:adjustRightInd w:val="0"/>
              <w:snapToGrid w:val="0"/>
              <w:spacing w:line="560" w:lineRule="exact"/>
              <w:jc w:val="center"/>
              <w:rPr>
                <w:rFonts w:ascii="宋体" w:hAnsi="宋体" w:cs="宋体"/>
                <w:color w:val="auto"/>
                <w:szCs w:val="21"/>
                <w:highlight w:val="none"/>
              </w:rPr>
            </w:pPr>
            <w:r>
              <w:rPr>
                <w:rFonts w:hint="eastAsia" w:ascii="宋体" w:hAnsi="宋体" w:cs="宋体"/>
                <w:snapToGrid w:val="0"/>
                <w:color w:val="auto"/>
                <w:kern w:val="0"/>
                <w:szCs w:val="21"/>
                <w:highlight w:val="none"/>
                <w:shd w:val="clear" w:color="auto" w:fill="FFFFFF"/>
              </w:rPr>
              <w:t>施工组织设计编制的特殊要求</w:t>
            </w:r>
          </w:p>
        </w:tc>
        <w:tc>
          <w:tcPr>
            <w:tcW w:w="7305" w:type="dxa"/>
            <w:tcBorders>
              <w:top w:val="single" w:color="auto" w:sz="4" w:space="0"/>
              <w:left w:val="single" w:color="auto" w:sz="4" w:space="0"/>
              <w:bottom w:val="single" w:color="auto" w:sz="4" w:space="0"/>
              <w:right w:val="single" w:color="auto" w:sz="4" w:space="0"/>
            </w:tcBorders>
            <w:vAlign w:val="center"/>
          </w:tcPr>
          <w:p w14:paraId="655E610F">
            <w:pPr>
              <w:adjustRightInd w:val="0"/>
              <w:snapToGrid w:val="0"/>
              <w:spacing w:line="560" w:lineRule="exact"/>
              <w:rPr>
                <w:rFonts w:ascii="宋体" w:hAnsi="宋体" w:cs="宋体"/>
                <w:b/>
                <w:snapToGrid w:val="0"/>
                <w:color w:val="auto"/>
                <w:kern w:val="0"/>
                <w:szCs w:val="21"/>
                <w:highlight w:val="none"/>
                <w:u w:val="single"/>
                <w:shd w:val="clear" w:color="auto" w:fill="FFFFFF"/>
              </w:rPr>
            </w:pPr>
            <w:r>
              <w:rPr>
                <w:rFonts w:hint="eastAsia" w:ascii="宋体" w:hAnsi="宋体" w:cs="宋体"/>
                <w:b/>
                <w:snapToGrid w:val="0"/>
                <w:color w:val="auto"/>
                <w:kern w:val="0"/>
                <w:szCs w:val="21"/>
                <w:highlight w:val="none"/>
                <w:shd w:val="clear" w:color="auto" w:fill="FFFFFF"/>
              </w:rPr>
              <w:t>（1）本招标项目重点难点：</w:t>
            </w:r>
            <w:r>
              <w:rPr>
                <w:rFonts w:hint="eastAsia" w:ascii="宋体" w:hAnsi="宋体" w:cs="宋体"/>
                <w:b/>
                <w:snapToGrid w:val="0"/>
                <w:color w:val="auto"/>
                <w:kern w:val="0"/>
                <w:szCs w:val="21"/>
                <w:highlight w:val="none"/>
                <w:u w:val="single"/>
                <w:shd w:val="clear" w:color="auto" w:fill="FFFFFF"/>
                <w:lang w:val="en-US" w:eastAsia="zh-CN"/>
              </w:rPr>
              <w:t>1.</w:t>
            </w:r>
            <w:r>
              <w:rPr>
                <w:rFonts w:hint="eastAsia" w:ascii="宋体" w:hAnsi="宋体" w:cs="宋体"/>
                <w:b/>
                <w:snapToGrid w:val="0"/>
                <w:color w:val="auto"/>
                <w:kern w:val="0"/>
                <w:szCs w:val="21"/>
                <w:highlight w:val="none"/>
                <w:u w:val="single"/>
                <w:shd w:val="clear" w:color="auto" w:fill="FFFFFF"/>
              </w:rPr>
              <w:t>本项目为水厂技术改造项目，不得影响水厂的正常供水的前提下进行施工作业，后续施工单位需提供详细的施工方案及应急处理方案。</w:t>
            </w:r>
            <w:r>
              <w:rPr>
                <w:rFonts w:hint="eastAsia" w:ascii="宋体" w:hAnsi="宋体" w:cs="宋体"/>
                <w:b/>
                <w:snapToGrid w:val="0"/>
                <w:color w:val="auto"/>
                <w:kern w:val="0"/>
                <w:szCs w:val="21"/>
                <w:highlight w:val="none"/>
                <w:u w:val="single"/>
                <w:shd w:val="clear" w:color="auto" w:fill="FFFFFF"/>
                <w:lang w:val="en-US" w:eastAsia="zh-CN"/>
              </w:rPr>
              <w:t>2.</w:t>
            </w:r>
            <w:r>
              <w:rPr>
                <w:rFonts w:hint="eastAsia" w:ascii="宋体" w:hAnsi="宋体" w:cs="宋体"/>
                <w:b/>
                <w:snapToGrid w:val="0"/>
                <w:color w:val="auto"/>
                <w:kern w:val="0"/>
                <w:szCs w:val="21"/>
                <w:highlight w:val="none"/>
                <w:u w:val="single"/>
                <w:shd w:val="clear" w:color="auto" w:fill="FFFFFF"/>
              </w:rPr>
              <w:t>与现状管碰口，需采用不停水开口作业方式，施工时间选择夜间流量低的时候进行碰口作业。</w:t>
            </w:r>
            <w:r>
              <w:rPr>
                <w:rFonts w:hint="eastAsia" w:ascii="宋体" w:hAnsi="宋体" w:cs="宋体"/>
                <w:b/>
                <w:snapToGrid w:val="0"/>
                <w:color w:val="auto"/>
                <w:kern w:val="0"/>
                <w:szCs w:val="21"/>
                <w:highlight w:val="none"/>
                <w:u w:val="single"/>
                <w:shd w:val="clear" w:color="auto" w:fill="FFFFFF"/>
                <w:lang w:val="en-US" w:eastAsia="zh-CN"/>
              </w:rPr>
              <w:t>3.</w:t>
            </w:r>
            <w:r>
              <w:rPr>
                <w:rFonts w:hint="eastAsia" w:ascii="宋体" w:hAnsi="宋体" w:cs="宋体"/>
                <w:b/>
                <w:snapToGrid w:val="0"/>
                <w:color w:val="auto"/>
                <w:kern w:val="0"/>
                <w:szCs w:val="21"/>
                <w:highlight w:val="none"/>
                <w:u w:val="single"/>
                <w:shd w:val="clear" w:color="auto" w:fill="FFFFFF"/>
              </w:rPr>
              <w:t>路面开挖作业需注意对现状管线保护，施工期间不得损坏现状管线。</w:t>
            </w:r>
          </w:p>
          <w:p w14:paraId="78A31E53">
            <w:pPr>
              <w:pStyle w:val="48"/>
              <w:spacing w:line="560" w:lineRule="exact"/>
              <w:ind w:left="0"/>
              <w:rPr>
                <w:rFonts w:hint="eastAsia" w:ascii="宋体" w:hAnsi="宋体" w:eastAsia="宋体" w:cs="宋体"/>
                <w:snapToGrid w:val="0"/>
                <w:color w:val="auto"/>
                <w:kern w:val="0"/>
                <w:szCs w:val="21"/>
                <w:highlight w:val="none"/>
                <w:shd w:val="clear" w:color="auto" w:fill="FFFFFF"/>
                <w:lang w:eastAsia="zh-CN"/>
              </w:rPr>
            </w:pPr>
            <w:r>
              <w:rPr>
                <w:rFonts w:hint="eastAsia" w:ascii="宋体" w:hAnsi="宋体" w:cs="宋体"/>
                <w:b/>
                <w:snapToGrid w:val="0"/>
                <w:color w:val="auto"/>
                <w:kern w:val="0"/>
                <w:szCs w:val="21"/>
                <w:highlight w:val="none"/>
                <w:shd w:val="clear" w:color="auto" w:fill="FFFFFF"/>
              </w:rPr>
              <w:t>（2）本招标项目危险性较大的分部分项工程清单：</w:t>
            </w:r>
            <w:r>
              <w:rPr>
                <w:rFonts w:hint="eastAsia" w:ascii="宋体" w:hAnsi="宋体" w:cs="宋体"/>
                <w:b/>
                <w:snapToGrid w:val="0"/>
                <w:color w:val="auto"/>
                <w:kern w:val="0"/>
                <w:szCs w:val="21"/>
                <w:highlight w:val="none"/>
                <w:u w:val="single"/>
                <w:shd w:val="clear" w:color="auto" w:fill="FFFFFF"/>
                <w:lang w:val="en-US" w:eastAsia="zh-CN"/>
              </w:rPr>
              <w:t>带压开孔作业、吊装作业、动火、临时用 电、登高作业等</w:t>
            </w:r>
            <w:r>
              <w:rPr>
                <w:rFonts w:hint="eastAsia" w:ascii="宋体" w:hAnsi="宋体" w:cs="宋体"/>
                <w:b/>
                <w:snapToGrid w:val="0"/>
                <w:color w:val="auto"/>
                <w:kern w:val="0"/>
                <w:szCs w:val="21"/>
                <w:highlight w:val="none"/>
                <w:u w:val="single"/>
                <w:shd w:val="clear" w:color="auto" w:fill="FFFFFF"/>
              </w:rPr>
              <w:t>(施工单位在投标时补充完善危大工程清单并明确相应的安全管理措施）</w:t>
            </w:r>
            <w:r>
              <w:rPr>
                <w:rFonts w:hint="eastAsia" w:ascii="宋体" w:hAnsi="宋体" w:cs="宋体"/>
                <w:b/>
                <w:snapToGrid w:val="0"/>
                <w:color w:val="auto"/>
                <w:kern w:val="0"/>
                <w:szCs w:val="21"/>
                <w:highlight w:val="none"/>
                <w:u w:val="single"/>
                <w:shd w:val="clear" w:color="auto" w:fill="FFFFFF"/>
                <w:lang w:eastAsia="zh-CN"/>
              </w:rPr>
              <w:t>。</w:t>
            </w:r>
          </w:p>
        </w:tc>
      </w:tr>
      <w:tr w14:paraId="0C982B97">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5D93DC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3.5.8</w:t>
            </w:r>
          </w:p>
        </w:tc>
        <w:tc>
          <w:tcPr>
            <w:tcW w:w="2160" w:type="dxa"/>
            <w:tcBorders>
              <w:top w:val="single" w:color="auto" w:sz="4" w:space="0"/>
              <w:left w:val="single" w:color="auto" w:sz="4" w:space="0"/>
              <w:bottom w:val="single" w:color="auto" w:sz="4" w:space="0"/>
              <w:right w:val="single" w:color="auto" w:sz="4" w:space="0"/>
            </w:tcBorders>
            <w:vAlign w:val="center"/>
          </w:tcPr>
          <w:p w14:paraId="4DB39CC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305" w:type="dxa"/>
            <w:tcBorders>
              <w:top w:val="single" w:color="auto" w:sz="4" w:space="0"/>
              <w:left w:val="single" w:color="auto" w:sz="4" w:space="0"/>
              <w:bottom w:val="single" w:color="auto" w:sz="4" w:space="0"/>
              <w:right w:val="single" w:color="auto" w:sz="4" w:space="0"/>
            </w:tcBorders>
            <w:vAlign w:val="center"/>
          </w:tcPr>
          <w:p w14:paraId="2D6D5D8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加密电子投标文件应在投标截止时间前通过交易中心电子交易系统上传。</w:t>
            </w:r>
          </w:p>
          <w:p w14:paraId="535CCC9E">
            <w:pPr>
              <w:adjustRightInd w:val="0"/>
              <w:snapToGrid w:val="0"/>
              <w:spacing w:line="560" w:lineRule="exact"/>
              <w:rPr>
                <w:rFonts w:ascii="宋体" w:hAnsi="宋体" w:cs="宋体"/>
                <w:color w:val="auto"/>
                <w:szCs w:val="21"/>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1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BF366F5">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32EF643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60" w:type="dxa"/>
            <w:tcBorders>
              <w:top w:val="single" w:color="auto" w:sz="4" w:space="0"/>
              <w:left w:val="single" w:color="auto" w:sz="4" w:space="0"/>
              <w:bottom w:val="single" w:color="auto" w:sz="4" w:space="0"/>
              <w:right w:val="single" w:color="auto" w:sz="4" w:space="0"/>
            </w:tcBorders>
            <w:vAlign w:val="center"/>
          </w:tcPr>
          <w:p w14:paraId="53A5184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7305" w:type="dxa"/>
            <w:tcBorders>
              <w:top w:val="single" w:color="auto" w:sz="4" w:space="0"/>
              <w:left w:val="single" w:color="auto" w:sz="4" w:space="0"/>
              <w:bottom w:val="single" w:color="auto" w:sz="4" w:space="0"/>
              <w:right w:val="single" w:color="auto" w:sz="4" w:space="0"/>
            </w:tcBorders>
            <w:vAlign w:val="center"/>
          </w:tcPr>
          <w:p w14:paraId="59CEF90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02413CA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38B261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4.3.2</w:t>
            </w:r>
          </w:p>
        </w:tc>
        <w:tc>
          <w:tcPr>
            <w:tcW w:w="2160" w:type="dxa"/>
            <w:tcBorders>
              <w:top w:val="single" w:color="auto" w:sz="4" w:space="0"/>
              <w:left w:val="single" w:color="auto" w:sz="4" w:space="0"/>
              <w:bottom w:val="single" w:color="auto" w:sz="4" w:space="0"/>
              <w:right w:val="single" w:color="auto" w:sz="4" w:space="0"/>
            </w:tcBorders>
            <w:vAlign w:val="center"/>
          </w:tcPr>
          <w:p w14:paraId="1E87F8A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305" w:type="dxa"/>
            <w:tcBorders>
              <w:top w:val="single" w:color="auto" w:sz="4" w:space="0"/>
              <w:left w:val="single" w:color="auto" w:sz="4" w:space="0"/>
              <w:bottom w:val="single" w:color="auto" w:sz="4" w:space="0"/>
              <w:right w:val="single" w:color="auto" w:sz="4" w:space="0"/>
            </w:tcBorders>
            <w:vAlign w:val="center"/>
          </w:tcPr>
          <w:p w14:paraId="7AE0C0C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1D908E2B">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76F848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160" w:type="dxa"/>
            <w:tcBorders>
              <w:top w:val="single" w:color="auto" w:sz="4" w:space="0"/>
              <w:left w:val="single" w:color="auto" w:sz="4" w:space="0"/>
              <w:bottom w:val="single" w:color="auto" w:sz="4" w:space="0"/>
              <w:right w:val="single" w:color="auto" w:sz="4" w:space="0"/>
            </w:tcBorders>
            <w:vAlign w:val="center"/>
          </w:tcPr>
          <w:p w14:paraId="17E74D6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305" w:type="dxa"/>
            <w:tcBorders>
              <w:top w:val="single" w:color="auto" w:sz="4" w:space="0"/>
              <w:left w:val="single" w:color="auto" w:sz="4" w:space="0"/>
              <w:bottom w:val="single" w:color="auto" w:sz="4" w:space="0"/>
              <w:right w:val="single" w:color="auto" w:sz="4" w:space="0"/>
            </w:tcBorders>
            <w:vAlign w:val="center"/>
          </w:tcPr>
          <w:p w14:paraId="1B518F6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开标时间：同投标截止时间</w:t>
            </w:r>
          </w:p>
          <w:p w14:paraId="40AC127C">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开标地点：见招标公告</w:t>
            </w:r>
          </w:p>
        </w:tc>
      </w:tr>
      <w:tr w14:paraId="4A126EEC">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17A885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160" w:type="dxa"/>
            <w:tcBorders>
              <w:top w:val="single" w:color="auto" w:sz="4" w:space="0"/>
              <w:left w:val="single" w:color="auto" w:sz="4" w:space="0"/>
              <w:bottom w:val="single" w:color="auto" w:sz="4" w:space="0"/>
              <w:right w:val="single" w:color="auto" w:sz="4" w:space="0"/>
            </w:tcBorders>
            <w:vAlign w:val="center"/>
          </w:tcPr>
          <w:p w14:paraId="019BCD0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7305" w:type="dxa"/>
            <w:tcBorders>
              <w:top w:val="single" w:color="auto" w:sz="4" w:space="0"/>
              <w:left w:val="single" w:color="auto" w:sz="4" w:space="0"/>
              <w:bottom w:val="single" w:color="auto" w:sz="4" w:space="0"/>
              <w:right w:val="single" w:color="auto" w:sz="4" w:space="0"/>
            </w:tcBorders>
            <w:vAlign w:val="center"/>
          </w:tcPr>
          <w:p w14:paraId="33475FFB">
            <w:pPr>
              <w:adjustRightInd w:val="0"/>
              <w:snapToGrid w:val="0"/>
              <w:spacing w:line="560" w:lineRule="exact"/>
              <w:rPr>
                <w:rFonts w:ascii="宋体" w:hAnsi="宋体" w:cs="宋体"/>
                <w:bCs/>
                <w:snapToGrid w:val="0"/>
                <w:color w:val="auto"/>
                <w:kern w:val="0"/>
                <w:szCs w:val="21"/>
                <w:highlight w:val="none"/>
              </w:rPr>
            </w:pPr>
            <w:r>
              <w:rPr>
                <w:rFonts w:hint="eastAsia" w:ascii="宋体" w:hAnsi="宋体" w:cs="宋体"/>
                <w:color w:val="auto"/>
                <w:szCs w:val="21"/>
                <w:highlight w:val="none"/>
              </w:rPr>
              <w:t>1.解密时间：解密程序开始后</w:t>
            </w:r>
            <w:r>
              <w:rPr>
                <w:rFonts w:hint="eastAsia" w:ascii="宋体" w:hAnsi="宋体" w:cs="宋体"/>
                <w:color w:val="auto"/>
                <w:szCs w:val="21"/>
                <w:highlight w:val="none"/>
                <w:u w:val="single"/>
              </w:rPr>
              <w:t>60</w:t>
            </w:r>
            <w:r>
              <w:rPr>
                <w:rFonts w:hint="eastAsia" w:ascii="宋体" w:hAnsi="宋体" w:cs="宋体"/>
                <w:color w:val="auto"/>
                <w:szCs w:val="21"/>
                <w:highlight w:val="none"/>
              </w:rPr>
              <w:t>分钟内</w:t>
            </w:r>
            <w:r>
              <w:rPr>
                <w:rFonts w:hint="eastAsia" w:ascii="宋体" w:hAnsi="宋体" w:cs="宋体"/>
                <w:bCs/>
                <w:snapToGrid w:val="0"/>
                <w:color w:val="auto"/>
                <w:kern w:val="0"/>
                <w:szCs w:val="21"/>
                <w:highlight w:val="none"/>
              </w:rPr>
              <w:t>（以电子交易系统解密倒计时为准），</w:t>
            </w:r>
            <w:r>
              <w:rPr>
                <w:rFonts w:hint="eastAsia" w:ascii="宋体" w:hAnsi="宋体" w:cs="宋体"/>
                <w:color w:val="auto"/>
                <w:szCs w:val="21"/>
                <w:highlight w:val="none"/>
              </w:rPr>
              <w:t>解密时间为</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p>
          <w:p w14:paraId="1250CC89">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2.公布在投标截止时间前通过电子交易系统完成投标文件递交的投标人名称；</w:t>
            </w:r>
          </w:p>
          <w:p w14:paraId="737F7C6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3.投标人在投标截止时间后，在规定的解密时间内完成投标文件的解密工作；</w:t>
            </w:r>
          </w:p>
          <w:p w14:paraId="33127908">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4.招标人或招标代理机构完成解密工作，导入并读取所有成功解密的投标文件；</w:t>
            </w:r>
          </w:p>
          <w:p w14:paraId="27BF53BD">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5.公布投标人名称、标段名称、投标报价、质量目标、工期及其他内容；</w:t>
            </w:r>
          </w:p>
          <w:p w14:paraId="61C730F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6.开标结束。</w:t>
            </w:r>
          </w:p>
        </w:tc>
      </w:tr>
      <w:tr w14:paraId="3171F959">
        <w:tblPrEx>
          <w:tblCellMar>
            <w:top w:w="0" w:type="dxa"/>
            <w:left w:w="108" w:type="dxa"/>
            <w:bottom w:w="0" w:type="dxa"/>
            <w:right w:w="108" w:type="dxa"/>
          </w:tblCellMar>
        </w:tblPrEx>
        <w:trPr>
          <w:trHeight w:val="488"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C3E409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160" w:type="dxa"/>
            <w:tcBorders>
              <w:top w:val="single" w:color="auto" w:sz="4" w:space="0"/>
              <w:left w:val="single" w:color="auto" w:sz="4" w:space="0"/>
              <w:bottom w:val="single" w:color="auto" w:sz="4" w:space="0"/>
              <w:right w:val="single" w:color="auto" w:sz="4" w:space="0"/>
            </w:tcBorders>
            <w:vAlign w:val="center"/>
          </w:tcPr>
          <w:p w14:paraId="5BC432D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305" w:type="dxa"/>
            <w:tcBorders>
              <w:top w:val="single" w:color="auto" w:sz="4" w:space="0"/>
              <w:left w:val="single" w:color="auto" w:sz="4" w:space="0"/>
              <w:bottom w:val="single" w:color="auto" w:sz="4" w:space="0"/>
              <w:right w:val="single" w:color="auto" w:sz="4" w:space="0"/>
            </w:tcBorders>
            <w:vAlign w:val="center"/>
          </w:tcPr>
          <w:p w14:paraId="055430E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人，评标专家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159BC91C">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评标专家确定方式：评标专家由招标人在开标前从专家库中随机抽取。</w:t>
            </w:r>
          </w:p>
        </w:tc>
      </w:tr>
      <w:tr w14:paraId="01212B67">
        <w:tblPrEx>
          <w:tblCellMar>
            <w:top w:w="0" w:type="dxa"/>
            <w:left w:w="108" w:type="dxa"/>
            <w:bottom w:w="0" w:type="dxa"/>
            <w:right w:w="108" w:type="dxa"/>
          </w:tblCellMar>
        </w:tblPrEx>
        <w:trPr>
          <w:trHeight w:val="88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20B1C1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160" w:type="dxa"/>
            <w:tcBorders>
              <w:top w:val="single" w:color="auto" w:sz="4" w:space="0"/>
              <w:left w:val="single" w:color="auto" w:sz="4" w:space="0"/>
              <w:bottom w:val="single" w:color="auto" w:sz="4" w:space="0"/>
              <w:right w:val="single" w:color="auto" w:sz="4" w:space="0"/>
            </w:tcBorders>
            <w:vAlign w:val="center"/>
          </w:tcPr>
          <w:p w14:paraId="04F5328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评标委员会确定中标候选人的人数</w:t>
            </w:r>
          </w:p>
        </w:tc>
        <w:tc>
          <w:tcPr>
            <w:tcW w:w="7305" w:type="dxa"/>
            <w:tcBorders>
              <w:top w:val="single" w:color="auto" w:sz="4" w:space="0"/>
              <w:left w:val="single" w:color="auto" w:sz="4" w:space="0"/>
              <w:bottom w:val="single" w:color="auto" w:sz="4" w:space="0"/>
              <w:right w:val="single" w:color="auto" w:sz="4" w:space="0"/>
            </w:tcBorders>
            <w:vAlign w:val="center"/>
          </w:tcPr>
          <w:p w14:paraId="1C914CFB">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3</w:t>
            </w:r>
            <w:r>
              <w:rPr>
                <w:rFonts w:hint="eastAsia" w:ascii="宋体" w:hAnsi="宋体" w:cs="宋体"/>
                <w:color w:val="auto"/>
                <w:szCs w:val="21"/>
                <w:highlight w:val="none"/>
              </w:rPr>
              <w:t>名，并标明排序。</w:t>
            </w:r>
          </w:p>
        </w:tc>
      </w:tr>
      <w:tr w14:paraId="1806DE73">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02ACF1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160" w:type="dxa"/>
            <w:tcBorders>
              <w:top w:val="single" w:color="auto" w:sz="4" w:space="0"/>
              <w:left w:val="single" w:color="auto" w:sz="4" w:space="0"/>
              <w:bottom w:val="single" w:color="auto" w:sz="4" w:space="0"/>
              <w:right w:val="single" w:color="auto" w:sz="4" w:space="0"/>
            </w:tcBorders>
            <w:vAlign w:val="center"/>
          </w:tcPr>
          <w:p w14:paraId="7B64251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7305" w:type="dxa"/>
            <w:tcBorders>
              <w:top w:val="single" w:color="auto" w:sz="4" w:space="0"/>
              <w:left w:val="single" w:color="auto" w:sz="4" w:space="0"/>
              <w:bottom w:val="single" w:color="auto" w:sz="4" w:space="0"/>
              <w:right w:val="single" w:color="auto" w:sz="4" w:space="0"/>
            </w:tcBorders>
            <w:vAlign w:val="center"/>
          </w:tcPr>
          <w:p w14:paraId="61B6A69C">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20074E2B">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5E0F2709">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4C23EE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7.5</w:t>
            </w:r>
          </w:p>
        </w:tc>
        <w:tc>
          <w:tcPr>
            <w:tcW w:w="2160" w:type="dxa"/>
            <w:tcBorders>
              <w:top w:val="single" w:color="auto" w:sz="4" w:space="0"/>
              <w:left w:val="single" w:color="auto" w:sz="4" w:space="0"/>
              <w:bottom w:val="single" w:color="auto" w:sz="4" w:space="0"/>
              <w:right w:val="single" w:color="auto" w:sz="4" w:space="0"/>
            </w:tcBorders>
            <w:vAlign w:val="center"/>
          </w:tcPr>
          <w:p w14:paraId="3FA84B8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7305" w:type="dxa"/>
            <w:tcBorders>
              <w:top w:val="single" w:color="auto" w:sz="4" w:space="0"/>
              <w:left w:val="single" w:color="auto" w:sz="4" w:space="0"/>
              <w:bottom w:val="single" w:color="auto" w:sz="4" w:space="0"/>
              <w:right w:val="single" w:color="auto" w:sz="4" w:space="0"/>
            </w:tcBorders>
            <w:vAlign w:val="center"/>
          </w:tcPr>
          <w:p w14:paraId="6B6983EF">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是</w:t>
            </w:r>
          </w:p>
        </w:tc>
      </w:tr>
      <w:tr w14:paraId="4871876C">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right w:val="single" w:color="auto" w:sz="4" w:space="0"/>
            </w:tcBorders>
            <w:vAlign w:val="center"/>
          </w:tcPr>
          <w:p w14:paraId="754CBE5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7.6</w:t>
            </w:r>
          </w:p>
        </w:tc>
        <w:tc>
          <w:tcPr>
            <w:tcW w:w="2160" w:type="dxa"/>
            <w:tcBorders>
              <w:top w:val="single" w:color="auto" w:sz="4" w:space="0"/>
              <w:left w:val="single" w:color="auto" w:sz="4" w:space="0"/>
              <w:right w:val="single" w:color="auto" w:sz="4" w:space="0"/>
            </w:tcBorders>
            <w:vAlign w:val="center"/>
          </w:tcPr>
          <w:p w14:paraId="232155E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7305" w:type="dxa"/>
            <w:tcBorders>
              <w:top w:val="single" w:color="auto" w:sz="4" w:space="0"/>
              <w:left w:val="single" w:color="auto" w:sz="4" w:space="0"/>
              <w:right w:val="single" w:color="auto" w:sz="4" w:space="0"/>
            </w:tcBorders>
            <w:vAlign w:val="center"/>
          </w:tcPr>
          <w:p w14:paraId="42AB97CA">
            <w:pPr>
              <w:widowControl/>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72866CEF">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right w:val="single" w:color="auto" w:sz="4" w:space="0"/>
            </w:tcBorders>
            <w:vAlign w:val="center"/>
          </w:tcPr>
          <w:p w14:paraId="41F3676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7.7</w:t>
            </w:r>
          </w:p>
        </w:tc>
        <w:tc>
          <w:tcPr>
            <w:tcW w:w="2160" w:type="dxa"/>
            <w:tcBorders>
              <w:top w:val="single" w:color="auto" w:sz="4" w:space="0"/>
              <w:left w:val="single" w:color="auto" w:sz="4" w:space="0"/>
              <w:right w:val="single" w:color="auto" w:sz="4" w:space="0"/>
            </w:tcBorders>
            <w:vAlign w:val="center"/>
          </w:tcPr>
          <w:p w14:paraId="0175AD0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中标结果公示媒介</w:t>
            </w:r>
          </w:p>
        </w:tc>
        <w:tc>
          <w:tcPr>
            <w:tcW w:w="7305" w:type="dxa"/>
            <w:tcBorders>
              <w:top w:val="single" w:color="auto" w:sz="4" w:space="0"/>
              <w:left w:val="single" w:color="auto" w:sz="4" w:space="0"/>
              <w:right w:val="single" w:color="auto" w:sz="4" w:space="0"/>
            </w:tcBorders>
            <w:vAlign w:val="center"/>
          </w:tcPr>
          <w:p w14:paraId="2F21425F">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638510C1">
            <w:pPr>
              <w:widowControl/>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公示期限：1日</w:t>
            </w:r>
          </w:p>
        </w:tc>
      </w:tr>
      <w:tr w14:paraId="544EC775">
        <w:tblPrEx>
          <w:tblCellMar>
            <w:top w:w="0" w:type="dxa"/>
            <w:left w:w="108" w:type="dxa"/>
            <w:bottom w:w="0" w:type="dxa"/>
            <w:right w:w="108" w:type="dxa"/>
          </w:tblCellMar>
        </w:tblPrEx>
        <w:trPr>
          <w:trHeight w:val="97"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9CD700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7.8</w:t>
            </w:r>
          </w:p>
        </w:tc>
        <w:tc>
          <w:tcPr>
            <w:tcW w:w="2160" w:type="dxa"/>
            <w:tcBorders>
              <w:top w:val="single" w:color="auto" w:sz="4" w:space="0"/>
              <w:left w:val="single" w:color="auto" w:sz="4" w:space="0"/>
              <w:bottom w:val="single" w:color="auto" w:sz="4" w:space="0"/>
              <w:right w:val="single" w:color="auto" w:sz="4" w:space="0"/>
            </w:tcBorders>
            <w:vAlign w:val="center"/>
          </w:tcPr>
          <w:p w14:paraId="476CD5B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305" w:type="dxa"/>
            <w:tcBorders>
              <w:top w:val="single" w:color="auto" w:sz="4" w:space="0"/>
              <w:left w:val="single" w:color="auto" w:sz="4" w:space="0"/>
              <w:bottom w:val="single" w:color="auto" w:sz="4" w:space="0"/>
              <w:right w:val="single" w:color="auto" w:sz="4" w:space="0"/>
            </w:tcBorders>
            <w:vAlign w:val="center"/>
          </w:tcPr>
          <w:p w14:paraId="2A2008A0">
            <w:pPr>
              <w:widowControl/>
              <w:spacing w:line="560" w:lineRule="exact"/>
              <w:jc w:val="left"/>
              <w:rPr>
                <w:rFonts w:ascii="宋体" w:hAnsi="宋体" w:cs="宋体"/>
                <w:color w:val="auto"/>
                <w:kern w:val="0"/>
                <w:szCs w:val="21"/>
                <w:highlight w:val="none"/>
              </w:rPr>
            </w:pPr>
            <w:r>
              <w:rPr>
                <w:rFonts w:hint="eastAsia" w:ascii="宋体" w:hAnsi="宋体" w:cs="宋体"/>
                <w:color w:val="auto"/>
                <w:szCs w:val="21"/>
                <w:highlight w:val="none"/>
              </w:rPr>
              <w:t>要求中标人提交履约保证金。</w:t>
            </w:r>
          </w:p>
          <w:p w14:paraId="5C9D2268">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形式：支持银行转账、银行电汇、银行保函、担保机构担保、保证保险使用。</w:t>
            </w:r>
          </w:p>
          <w:p w14:paraId="2283B74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金   额：中标合同金额（即818万元*（1-中标下浮率））×2% </w:t>
            </w:r>
          </w:p>
          <w:p w14:paraId="3C29D192">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收款单位：另行通知                   </w:t>
            </w:r>
          </w:p>
          <w:p w14:paraId="425408B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开户银行：另行通知                  </w:t>
            </w:r>
          </w:p>
          <w:p w14:paraId="756D7BD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银行账号：另行通知                  </w:t>
            </w:r>
          </w:p>
          <w:p w14:paraId="1BE00214">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缴纳时限：签订合同前。</w:t>
            </w:r>
          </w:p>
          <w:p w14:paraId="1ABFA9D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履约保证金退还时限：履约保证金有效期满7日内。</w:t>
            </w:r>
          </w:p>
          <w:p w14:paraId="31314704">
            <w:pPr>
              <w:pStyle w:val="22"/>
              <w:adjustRightInd w:val="0"/>
              <w:snapToGrid w:val="0"/>
              <w:spacing w:line="560" w:lineRule="exact"/>
              <w:ind w:left="0" w:leftChars="0" w:firstLine="0" w:firstLineChars="0"/>
              <w:rPr>
                <w:rFonts w:ascii="宋体" w:hAnsi="宋体" w:cs="宋体"/>
                <w:color w:val="auto"/>
                <w:position w:val="6"/>
                <w:szCs w:val="21"/>
                <w:highlight w:val="none"/>
              </w:rPr>
            </w:pPr>
            <w:r>
              <w:rPr>
                <w:rFonts w:hint="eastAsia" w:ascii="宋体" w:hAnsi="宋体" w:cs="宋体"/>
                <w:color w:val="auto"/>
                <w:position w:val="6"/>
                <w:szCs w:val="21"/>
                <w:highlight w:val="none"/>
              </w:rPr>
              <w:t>其他相关要求：</w:t>
            </w:r>
          </w:p>
          <w:p w14:paraId="1CC4A8F5">
            <w:pPr>
              <w:pStyle w:val="22"/>
              <w:adjustRightInd w:val="0"/>
              <w:snapToGrid w:val="0"/>
              <w:spacing w:line="560" w:lineRule="exact"/>
              <w:ind w:left="0" w:leftChars="0" w:firstLine="0" w:firstLineChars="0"/>
              <w:rPr>
                <w:rFonts w:ascii="宋体" w:hAnsi="宋体" w:cs="宋体"/>
                <w:color w:val="auto"/>
                <w:position w:val="6"/>
                <w:szCs w:val="21"/>
                <w:highlight w:val="none"/>
              </w:rPr>
            </w:pPr>
            <w:r>
              <w:rPr>
                <w:rFonts w:hint="eastAsia" w:ascii="宋体" w:hAnsi="宋体" w:cs="宋体"/>
                <w:color w:val="auto"/>
                <w:position w:val="6"/>
                <w:szCs w:val="21"/>
                <w:highlight w:val="none"/>
              </w:rPr>
              <w:t>1.具体要求：满足招标人要求；</w:t>
            </w:r>
          </w:p>
          <w:p w14:paraId="5FEAAF1F">
            <w:pPr>
              <w:pStyle w:val="22"/>
              <w:adjustRightInd w:val="0"/>
              <w:snapToGrid w:val="0"/>
              <w:spacing w:line="560" w:lineRule="exact"/>
              <w:ind w:left="0" w:leftChars="0" w:firstLine="0" w:firstLineChars="0"/>
              <w:rPr>
                <w:rFonts w:ascii="宋体" w:hAnsi="宋体" w:cs="宋体"/>
                <w:color w:val="auto"/>
                <w:szCs w:val="21"/>
                <w:highlight w:val="none"/>
              </w:rPr>
            </w:pPr>
            <w:r>
              <w:rPr>
                <w:rFonts w:hint="eastAsia" w:ascii="宋体" w:hAnsi="宋体" w:cs="宋体"/>
                <w:color w:val="auto"/>
                <w:position w:val="6"/>
                <w:szCs w:val="21"/>
                <w:highlight w:val="none"/>
              </w:rPr>
              <w:t>2.联合体参加投标且中标的，以联合体牵头人的名义按上述要求缴纳履约担保。</w:t>
            </w:r>
          </w:p>
        </w:tc>
      </w:tr>
      <w:tr w14:paraId="7D0DAC78">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19B300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7.9</w:t>
            </w:r>
          </w:p>
        </w:tc>
        <w:tc>
          <w:tcPr>
            <w:tcW w:w="2160" w:type="dxa"/>
            <w:tcBorders>
              <w:top w:val="single" w:color="auto" w:sz="4" w:space="0"/>
              <w:left w:val="single" w:color="auto" w:sz="4" w:space="0"/>
              <w:bottom w:val="single" w:color="auto" w:sz="4" w:space="0"/>
              <w:right w:val="single" w:color="auto" w:sz="4" w:space="0"/>
            </w:tcBorders>
            <w:vAlign w:val="center"/>
          </w:tcPr>
          <w:p w14:paraId="364CDA3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签订合同</w:t>
            </w:r>
          </w:p>
        </w:tc>
        <w:tc>
          <w:tcPr>
            <w:tcW w:w="7305" w:type="dxa"/>
            <w:tcBorders>
              <w:top w:val="single" w:color="auto" w:sz="4" w:space="0"/>
              <w:left w:val="single" w:color="auto" w:sz="4" w:space="0"/>
              <w:bottom w:val="single" w:color="auto" w:sz="4" w:space="0"/>
              <w:right w:val="single" w:color="auto" w:sz="4" w:space="0"/>
            </w:tcBorders>
          </w:tcPr>
          <w:p w14:paraId="7BAC513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中标通知书发出之日起</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D244ACC">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7BD8EF1A">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10.需要补充的其他内容</w:t>
            </w:r>
          </w:p>
        </w:tc>
      </w:tr>
      <w:tr w14:paraId="0DCFABC5">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60514587">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10.1招标代理服务费和专家评审劳务费</w:t>
            </w:r>
          </w:p>
        </w:tc>
      </w:tr>
      <w:tr w14:paraId="6FA64CAE">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E98F2F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10.1.1</w:t>
            </w:r>
          </w:p>
        </w:tc>
        <w:tc>
          <w:tcPr>
            <w:tcW w:w="2160" w:type="dxa"/>
            <w:tcBorders>
              <w:top w:val="single" w:color="auto" w:sz="4" w:space="0"/>
              <w:left w:val="single" w:color="auto" w:sz="4" w:space="0"/>
              <w:bottom w:val="single" w:color="auto" w:sz="4" w:space="0"/>
              <w:right w:val="single" w:color="auto" w:sz="4" w:space="0"/>
            </w:tcBorders>
            <w:vAlign w:val="center"/>
          </w:tcPr>
          <w:p w14:paraId="0489A79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305" w:type="dxa"/>
            <w:tcBorders>
              <w:top w:val="single" w:color="auto" w:sz="4" w:space="0"/>
              <w:left w:val="single" w:color="auto" w:sz="4" w:space="0"/>
              <w:bottom w:val="single" w:color="auto" w:sz="4" w:space="0"/>
              <w:right w:val="single" w:color="auto" w:sz="4" w:space="0"/>
            </w:tcBorders>
            <w:vAlign w:val="center"/>
          </w:tcPr>
          <w:p w14:paraId="55E8B74F">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szCs w:val="21"/>
                <w:highlight w:val="none"/>
              </w:rPr>
              <w:t>代理服务费具体金额：</w:t>
            </w:r>
            <w:r>
              <w:rPr>
                <w:rFonts w:hint="eastAsia" w:ascii="宋体" w:hAnsi="宋体" w:cs="宋体"/>
                <w:color w:val="auto"/>
                <w:kern w:val="0"/>
                <w:szCs w:val="21"/>
                <w:highlight w:val="none"/>
                <w:u w:val="single"/>
                <w:lang w:val="en-US" w:eastAsia="zh-CN"/>
              </w:rPr>
              <w:t>42700</w:t>
            </w:r>
            <w:r>
              <w:rPr>
                <w:rFonts w:hint="eastAsia" w:ascii="宋体" w:hAnsi="宋体" w:cs="宋体"/>
                <w:color w:val="auto"/>
                <w:kern w:val="0"/>
                <w:szCs w:val="21"/>
                <w:highlight w:val="none"/>
                <w:u w:val="single"/>
              </w:rPr>
              <w:t>元</w:t>
            </w:r>
            <w:r>
              <w:rPr>
                <w:rFonts w:hint="eastAsia" w:ascii="宋体" w:hAnsi="宋体" w:cs="宋体"/>
                <w:color w:val="auto"/>
                <w:kern w:val="0"/>
                <w:szCs w:val="21"/>
                <w:highlight w:val="none"/>
                <w:u w:val="single"/>
                <w:lang w:eastAsia="zh-CN"/>
              </w:rPr>
              <w:t>（参考计价格[2002]1980号文件77%）</w:t>
            </w:r>
            <w:r>
              <w:rPr>
                <w:rFonts w:hint="eastAsia" w:ascii="宋体" w:hAnsi="宋体" w:cs="宋体"/>
                <w:color w:val="auto"/>
                <w:kern w:val="0"/>
                <w:szCs w:val="21"/>
                <w:highlight w:val="none"/>
                <w:u w:val="single"/>
              </w:rPr>
              <w:t>。本项目因故未将此费用列入最高投标限价中，此项费用由中标人支付，投标人投标报价时充分考虑并谨慎报价</w:t>
            </w:r>
            <w:r>
              <w:rPr>
                <w:rFonts w:hint="eastAsia" w:ascii="宋体" w:hAnsi="宋体" w:cs="宋体"/>
                <w:color w:val="auto"/>
                <w:kern w:val="0"/>
                <w:szCs w:val="21"/>
                <w:highlight w:val="none"/>
              </w:rPr>
              <w:t>。</w:t>
            </w:r>
          </w:p>
          <w:p w14:paraId="34148950">
            <w:pPr>
              <w:adjustRightInd w:val="0"/>
              <w:snapToGrid w:val="0"/>
              <w:spacing w:line="560" w:lineRule="exac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该项目费用由中标人在领取中标通知书前一次性缴纳至代理机构。</w:t>
            </w:r>
          </w:p>
        </w:tc>
      </w:tr>
      <w:tr w14:paraId="691FAE50">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C9251A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10.1.2</w:t>
            </w:r>
          </w:p>
        </w:tc>
        <w:tc>
          <w:tcPr>
            <w:tcW w:w="2160" w:type="dxa"/>
            <w:tcBorders>
              <w:top w:val="single" w:color="auto" w:sz="4" w:space="0"/>
              <w:left w:val="single" w:color="auto" w:sz="4" w:space="0"/>
              <w:bottom w:val="single" w:color="auto" w:sz="4" w:space="0"/>
              <w:right w:val="single" w:color="auto" w:sz="4" w:space="0"/>
            </w:tcBorders>
            <w:vAlign w:val="center"/>
          </w:tcPr>
          <w:p w14:paraId="36BC423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7305" w:type="dxa"/>
            <w:tcBorders>
              <w:top w:val="single" w:color="auto" w:sz="4" w:space="0"/>
              <w:left w:val="single" w:color="auto" w:sz="4" w:space="0"/>
              <w:bottom w:val="single" w:color="auto" w:sz="4" w:space="0"/>
              <w:right w:val="single" w:color="auto" w:sz="4" w:space="0"/>
            </w:tcBorders>
            <w:vAlign w:val="center"/>
          </w:tcPr>
          <w:p w14:paraId="6341C7EA">
            <w:pPr>
              <w:adjustRightInd w:val="0"/>
              <w:snapToGrid w:val="0"/>
              <w:spacing w:line="560" w:lineRule="exact"/>
              <w:rPr>
                <w:rFonts w:ascii="宋体" w:hAnsi="宋体" w:cs="宋体"/>
                <w:color w:val="auto"/>
                <w:kern w:val="0"/>
                <w:szCs w:val="21"/>
                <w:highlight w:val="none"/>
                <w:u w:val="single"/>
              </w:rPr>
            </w:pPr>
            <w:r>
              <w:rPr>
                <w:rFonts w:hint="eastAsia" w:ascii="宋体" w:hAnsi="宋体" w:cs="宋体"/>
                <w:color w:val="auto"/>
                <w:szCs w:val="21"/>
                <w:highlight w:val="none"/>
              </w:rPr>
              <w:t>费用或支付标准：</w:t>
            </w:r>
            <w:r>
              <w:rPr>
                <w:rFonts w:hint="eastAsia" w:ascii="宋体" w:hAnsi="宋体" w:cs="宋体"/>
                <w:color w:val="auto"/>
                <w:kern w:val="0"/>
                <w:szCs w:val="21"/>
                <w:highlight w:val="none"/>
                <w:u w:val="single"/>
              </w:rPr>
              <w:t>按照《滁州市评标专家评标评审劳务费标准》（滁公管【2017】34号）计算，具体以实际发生费用为准</w:t>
            </w:r>
          </w:p>
          <w:p w14:paraId="6FAA4626">
            <w:pPr>
              <w:pStyle w:val="22"/>
              <w:spacing w:line="56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支付主体：代理机构</w:t>
            </w:r>
          </w:p>
        </w:tc>
      </w:tr>
      <w:tr w14:paraId="144BC47B">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7729B4EB">
            <w:pPr>
              <w:adjustRightInd w:val="0"/>
              <w:snapToGrid w:val="0"/>
              <w:spacing w:line="560" w:lineRule="exact"/>
              <w:rPr>
                <w:rFonts w:ascii="宋体" w:hAnsi="宋体" w:cs="宋体"/>
                <w:bCs/>
                <w:snapToGrid w:val="0"/>
                <w:color w:val="auto"/>
                <w:kern w:val="0"/>
                <w:szCs w:val="21"/>
                <w:highlight w:val="none"/>
              </w:rPr>
            </w:pPr>
            <w:r>
              <w:rPr>
                <w:rFonts w:hint="eastAsia" w:ascii="宋体" w:hAnsi="宋体" w:cs="宋体"/>
                <w:color w:val="auto"/>
                <w:szCs w:val="21"/>
                <w:highlight w:val="none"/>
              </w:rPr>
              <w:t>10.2 招标文件获取与通知</w:t>
            </w:r>
          </w:p>
        </w:tc>
      </w:tr>
      <w:tr w14:paraId="27ECAB6A">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8865EC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10.2.1</w:t>
            </w:r>
          </w:p>
        </w:tc>
        <w:tc>
          <w:tcPr>
            <w:tcW w:w="2160" w:type="dxa"/>
            <w:tcBorders>
              <w:top w:val="single" w:color="auto" w:sz="4" w:space="0"/>
              <w:left w:val="single" w:color="auto" w:sz="4" w:space="0"/>
              <w:bottom w:val="single" w:color="auto" w:sz="4" w:space="0"/>
              <w:right w:val="single" w:color="auto" w:sz="4" w:space="0"/>
            </w:tcBorders>
            <w:vAlign w:val="center"/>
          </w:tcPr>
          <w:p w14:paraId="6674062F">
            <w:pPr>
              <w:adjustRightInd w:val="0"/>
              <w:snapToGrid w:val="0"/>
              <w:spacing w:line="56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电子招投标</w:t>
            </w:r>
          </w:p>
        </w:tc>
        <w:tc>
          <w:tcPr>
            <w:tcW w:w="7305" w:type="dxa"/>
            <w:tcBorders>
              <w:top w:val="single" w:color="auto" w:sz="4" w:space="0"/>
              <w:left w:val="single" w:color="auto" w:sz="4" w:space="0"/>
              <w:bottom w:val="single" w:color="auto" w:sz="4" w:space="0"/>
              <w:right w:val="single" w:color="auto" w:sz="4" w:space="0"/>
            </w:tcBorders>
            <w:vAlign w:val="center"/>
          </w:tcPr>
          <w:p w14:paraId="4207AE9F">
            <w:pPr>
              <w:adjustRightInd w:val="0"/>
              <w:snapToGrid w:val="0"/>
              <w:spacing w:line="560" w:lineRule="exact"/>
              <w:rPr>
                <w:rFonts w:ascii="宋体" w:hAnsi="宋体" w:cs="宋体"/>
                <w:color w:val="auto"/>
                <w:szCs w:val="21"/>
                <w:highlight w:val="none"/>
              </w:rPr>
            </w:pPr>
            <w:r>
              <w:rPr>
                <w:rFonts w:hint="eastAsia" w:ascii="宋体" w:hAnsi="宋体" w:cs="宋体"/>
                <w:bCs/>
                <w:snapToGrid w:val="0"/>
                <w:color w:val="auto"/>
                <w:kern w:val="0"/>
                <w:szCs w:val="21"/>
                <w:highlight w:val="none"/>
              </w:rPr>
              <w:t>本项目采用电子招标投标方式。</w:t>
            </w:r>
          </w:p>
        </w:tc>
      </w:tr>
      <w:tr w14:paraId="42B55E68">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FD9B57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10.2.2</w:t>
            </w:r>
          </w:p>
        </w:tc>
        <w:tc>
          <w:tcPr>
            <w:tcW w:w="2160" w:type="dxa"/>
            <w:tcBorders>
              <w:top w:val="single" w:color="auto" w:sz="4" w:space="0"/>
              <w:left w:val="single" w:color="auto" w:sz="4" w:space="0"/>
              <w:bottom w:val="single" w:color="auto" w:sz="4" w:space="0"/>
              <w:right w:val="single" w:color="auto" w:sz="4" w:space="0"/>
            </w:tcBorders>
            <w:vAlign w:val="center"/>
          </w:tcPr>
          <w:p w14:paraId="423C74E1">
            <w:pPr>
              <w:adjustRightInd w:val="0"/>
              <w:snapToGrid w:val="0"/>
              <w:spacing w:line="560" w:lineRule="exact"/>
              <w:jc w:val="center"/>
              <w:rPr>
                <w:rFonts w:ascii="宋体" w:hAnsi="宋体" w:cs="宋体"/>
                <w:color w:val="auto"/>
                <w:szCs w:val="21"/>
                <w:highlight w:val="none"/>
              </w:rPr>
            </w:pPr>
            <w:r>
              <w:rPr>
                <w:rFonts w:hint="eastAsia" w:ascii="宋体" w:hAnsi="宋体" w:cs="宋体"/>
                <w:bCs/>
                <w:snapToGrid w:val="0"/>
                <w:color w:val="auto"/>
                <w:kern w:val="0"/>
                <w:szCs w:val="21"/>
                <w:highlight w:val="none"/>
              </w:rPr>
              <w:t>图纸获取说明</w:t>
            </w:r>
          </w:p>
        </w:tc>
        <w:tc>
          <w:tcPr>
            <w:tcW w:w="7305" w:type="dxa"/>
            <w:tcBorders>
              <w:top w:val="single" w:color="auto" w:sz="4" w:space="0"/>
              <w:left w:val="single" w:color="auto" w:sz="4" w:space="0"/>
              <w:bottom w:val="single" w:color="auto" w:sz="4" w:space="0"/>
              <w:right w:val="single" w:color="auto" w:sz="4" w:space="0"/>
            </w:tcBorders>
            <w:vAlign w:val="center"/>
          </w:tcPr>
          <w:p w14:paraId="4854EAE3">
            <w:pPr>
              <w:adjustRightInd w:val="0"/>
              <w:snapToGrid w:val="0"/>
              <w:spacing w:line="560" w:lineRule="exact"/>
              <w:rPr>
                <w:rFonts w:ascii="宋体" w:hAnsi="宋体" w:cs="宋体"/>
                <w:color w:val="auto"/>
                <w:szCs w:val="21"/>
                <w:highlight w:val="none"/>
              </w:rPr>
            </w:pPr>
            <w:r>
              <w:rPr>
                <w:rFonts w:hint="eastAsia" w:ascii="宋体" w:hAnsi="宋体" w:cs="宋体"/>
                <w:bCs/>
                <w:snapToGrid w:val="0"/>
                <w:color w:val="auto"/>
                <w:kern w:val="0"/>
                <w:szCs w:val="21"/>
                <w:highlight w:val="none"/>
              </w:rPr>
              <w:t>通过</w:t>
            </w:r>
            <w:r>
              <w:rPr>
                <w:rFonts w:hint="eastAsia" w:ascii="宋体" w:hAnsi="宋体" w:cs="宋体"/>
                <w:bCs/>
                <w:snapToGrid w:val="0"/>
                <w:color w:val="auto"/>
                <w:kern w:val="0"/>
                <w:szCs w:val="21"/>
                <w:highlight w:val="none"/>
                <w:u w:val="single"/>
              </w:rPr>
              <w:t>滁州市公共资源交易中心网站</w:t>
            </w:r>
            <w:r>
              <w:rPr>
                <w:rFonts w:hint="eastAsia" w:ascii="宋体" w:hAnsi="宋体" w:cs="宋体"/>
                <w:bCs/>
                <w:snapToGrid w:val="0"/>
                <w:color w:val="auto"/>
                <w:kern w:val="0"/>
                <w:szCs w:val="21"/>
                <w:highlight w:val="none"/>
              </w:rPr>
              <w:t>发布，投标人应自行下载。投标人应当及时登录</w:t>
            </w:r>
            <w:r>
              <w:rPr>
                <w:rFonts w:hint="eastAsia" w:ascii="宋体" w:hAnsi="宋体" w:cs="宋体"/>
                <w:bCs/>
                <w:snapToGrid w:val="0"/>
                <w:color w:val="auto"/>
                <w:kern w:val="0"/>
                <w:szCs w:val="21"/>
                <w:highlight w:val="none"/>
                <w:u w:val="single"/>
              </w:rPr>
              <w:t>滁州市公共资源交易中心交易</w:t>
            </w:r>
            <w:r>
              <w:rPr>
                <w:rFonts w:hint="eastAsia" w:ascii="宋体" w:hAnsi="宋体" w:cs="宋体"/>
                <w:bCs/>
                <w:snapToGrid w:val="0"/>
                <w:color w:val="auto"/>
                <w:kern w:val="0"/>
                <w:szCs w:val="21"/>
                <w:highlight w:val="none"/>
              </w:rPr>
              <w:t>系统查看。</w:t>
            </w:r>
          </w:p>
        </w:tc>
      </w:tr>
      <w:tr w14:paraId="7791107D">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484C60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10.2.3</w:t>
            </w:r>
          </w:p>
        </w:tc>
        <w:tc>
          <w:tcPr>
            <w:tcW w:w="2160" w:type="dxa"/>
            <w:tcBorders>
              <w:top w:val="single" w:color="auto" w:sz="4" w:space="0"/>
              <w:left w:val="single" w:color="auto" w:sz="4" w:space="0"/>
              <w:bottom w:val="single" w:color="auto" w:sz="4" w:space="0"/>
              <w:right w:val="single" w:color="auto" w:sz="4" w:space="0"/>
            </w:tcBorders>
            <w:vAlign w:val="center"/>
          </w:tcPr>
          <w:p w14:paraId="4D30F21C">
            <w:pPr>
              <w:adjustRightInd w:val="0"/>
              <w:snapToGrid w:val="0"/>
              <w:spacing w:line="560" w:lineRule="exact"/>
              <w:jc w:val="center"/>
              <w:rPr>
                <w:rFonts w:ascii="宋体" w:hAnsi="宋体" w:cs="宋体"/>
                <w:color w:val="auto"/>
                <w:szCs w:val="21"/>
                <w:highlight w:val="none"/>
              </w:rPr>
            </w:pPr>
            <w:r>
              <w:rPr>
                <w:rFonts w:hint="eastAsia" w:ascii="宋体" w:hAnsi="宋体" w:cs="宋体"/>
                <w:bCs/>
                <w:snapToGrid w:val="0"/>
                <w:color w:val="auto"/>
                <w:kern w:val="0"/>
                <w:szCs w:val="21"/>
                <w:highlight w:val="none"/>
              </w:rPr>
              <w:t>获取与查看通知</w:t>
            </w:r>
          </w:p>
        </w:tc>
        <w:tc>
          <w:tcPr>
            <w:tcW w:w="7305" w:type="dxa"/>
            <w:tcBorders>
              <w:top w:val="single" w:color="auto" w:sz="4" w:space="0"/>
              <w:left w:val="single" w:color="auto" w:sz="4" w:space="0"/>
              <w:bottom w:val="single" w:color="auto" w:sz="4" w:space="0"/>
              <w:right w:val="single" w:color="auto" w:sz="4" w:space="0"/>
            </w:tcBorders>
            <w:vAlign w:val="center"/>
          </w:tcPr>
          <w:p w14:paraId="45519D37">
            <w:pPr>
              <w:adjustRightInd w:val="0"/>
              <w:snapToGrid w:val="0"/>
              <w:spacing w:line="560" w:lineRule="exact"/>
              <w:rPr>
                <w:rFonts w:ascii="宋体" w:hAnsi="宋体" w:cs="宋体"/>
                <w:color w:val="auto"/>
                <w:szCs w:val="21"/>
                <w:highlight w:val="none"/>
              </w:rPr>
            </w:pPr>
            <w:r>
              <w:rPr>
                <w:rFonts w:hint="eastAsia" w:ascii="宋体" w:hAnsi="宋体" w:cs="宋体"/>
                <w:bCs/>
                <w:snapToGrid w:val="0"/>
                <w:color w:val="auto"/>
                <w:kern w:val="0"/>
                <w:szCs w:val="21"/>
                <w:highlight w:val="none"/>
              </w:rPr>
              <w:t>本项目的招标文件、工程量清单、最高投标限价、澄清及修改等相关资料均通过</w:t>
            </w:r>
            <w:r>
              <w:rPr>
                <w:rFonts w:hint="eastAsia" w:ascii="宋体" w:hAnsi="宋体" w:cs="宋体"/>
                <w:bCs/>
                <w:snapToGrid w:val="0"/>
                <w:color w:val="auto"/>
                <w:kern w:val="0"/>
                <w:szCs w:val="21"/>
                <w:highlight w:val="none"/>
                <w:u w:val="single"/>
              </w:rPr>
              <w:t>滁州市公共资源交易中心网站</w:t>
            </w:r>
            <w:r>
              <w:rPr>
                <w:rFonts w:hint="eastAsia" w:ascii="宋体" w:hAnsi="宋体" w:cs="宋体"/>
                <w:bCs/>
                <w:snapToGrid w:val="0"/>
                <w:color w:val="auto"/>
                <w:kern w:val="0"/>
                <w:szCs w:val="21"/>
                <w:highlight w:val="none"/>
              </w:rPr>
              <w:t>发布，投标人应自行下载。投标人应当及时登录</w:t>
            </w:r>
            <w:r>
              <w:rPr>
                <w:rFonts w:hint="eastAsia" w:ascii="宋体" w:hAnsi="宋体" w:cs="宋体"/>
                <w:bCs/>
                <w:snapToGrid w:val="0"/>
                <w:color w:val="auto"/>
                <w:kern w:val="0"/>
                <w:szCs w:val="21"/>
                <w:highlight w:val="none"/>
                <w:u w:val="single"/>
              </w:rPr>
              <w:t>滁州市公共资源交易中心交易</w:t>
            </w:r>
            <w:r>
              <w:rPr>
                <w:rFonts w:hint="eastAsia" w:ascii="宋体" w:hAnsi="宋体" w:cs="宋体"/>
                <w:bCs/>
                <w:snapToGrid w:val="0"/>
                <w:color w:val="auto"/>
                <w:kern w:val="0"/>
                <w:szCs w:val="21"/>
                <w:highlight w:val="none"/>
              </w:rPr>
              <w:t>系统查看。</w:t>
            </w:r>
          </w:p>
        </w:tc>
      </w:tr>
      <w:tr w14:paraId="70A5A3E2">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862ACB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160" w:type="dxa"/>
            <w:tcBorders>
              <w:top w:val="single" w:color="auto" w:sz="4" w:space="0"/>
              <w:left w:val="single" w:color="auto" w:sz="4" w:space="0"/>
              <w:bottom w:val="single" w:color="auto" w:sz="4" w:space="0"/>
              <w:right w:val="single" w:color="auto" w:sz="4" w:space="0"/>
            </w:tcBorders>
            <w:vAlign w:val="center"/>
          </w:tcPr>
          <w:p w14:paraId="1309617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主要材料要求</w:t>
            </w:r>
          </w:p>
        </w:tc>
        <w:tc>
          <w:tcPr>
            <w:tcW w:w="7305" w:type="dxa"/>
            <w:tcBorders>
              <w:top w:val="single" w:color="auto" w:sz="4" w:space="0"/>
              <w:left w:val="single" w:color="auto" w:sz="4" w:space="0"/>
              <w:bottom w:val="single" w:color="auto" w:sz="4" w:space="0"/>
              <w:right w:val="single" w:color="auto" w:sz="4" w:space="0"/>
            </w:tcBorders>
            <w:vAlign w:val="center"/>
          </w:tcPr>
          <w:p w14:paraId="2AE372E7">
            <w:pPr>
              <w:pStyle w:val="55"/>
              <w:spacing w:line="560" w:lineRule="exact"/>
              <w:jc w:val="left"/>
              <w:rPr>
                <w:bCs/>
                <w:color w:val="auto"/>
                <w:szCs w:val="21"/>
                <w:highlight w:val="none"/>
                <w:lang w:val="en-US"/>
              </w:rPr>
            </w:pPr>
            <w:r>
              <w:rPr>
                <w:rFonts w:hint="eastAsia"/>
                <w:bCs/>
                <w:color w:val="auto"/>
                <w:szCs w:val="21"/>
                <w:highlight w:val="none"/>
                <w:lang w:val="en-US"/>
              </w:rPr>
              <w:t>主要材料由中标人自行采购</w:t>
            </w:r>
          </w:p>
          <w:p w14:paraId="628312D9">
            <w:pPr>
              <w:pStyle w:val="55"/>
              <w:spacing w:line="560" w:lineRule="exact"/>
              <w:jc w:val="left"/>
              <w:rPr>
                <w:color w:val="auto"/>
                <w:szCs w:val="21"/>
                <w:highlight w:val="none"/>
                <w:lang w:val="en-US"/>
              </w:rPr>
            </w:pPr>
            <w:r>
              <w:rPr>
                <w:rFonts w:hint="eastAsia"/>
                <w:color w:val="auto"/>
                <w:szCs w:val="21"/>
                <w:highlight w:val="none"/>
                <w:lang w:val="en-US"/>
              </w:rPr>
              <w:t>如招标人对主要材料、设备的技术性能指标有特殊要求，应在招标文件第八章“技术要求”品牌参考表中推荐不少于三个品牌。对于招标人参考品牌的材料、设备，投标人选用</w:t>
            </w:r>
            <w:r>
              <w:rPr>
                <w:rFonts w:hint="eastAsia"/>
                <w:color w:val="auto"/>
                <w:szCs w:val="21"/>
                <w:highlight w:val="none"/>
                <w:lang w:val="en-US" w:eastAsia="zh-CN"/>
              </w:rPr>
              <w:t>的产品技术性能指标应当优于或相当于</w:t>
            </w:r>
            <w:r>
              <w:rPr>
                <w:rFonts w:hint="eastAsia"/>
                <w:color w:val="auto"/>
                <w:szCs w:val="21"/>
                <w:highlight w:val="none"/>
                <w:lang w:val="en-US"/>
              </w:rPr>
              <w:t>参考品牌</w:t>
            </w:r>
            <w:r>
              <w:rPr>
                <w:rFonts w:hint="eastAsia"/>
                <w:color w:val="auto"/>
                <w:szCs w:val="21"/>
                <w:highlight w:val="none"/>
                <w:lang w:val="en-US" w:eastAsia="zh-CN"/>
              </w:rPr>
              <w:t>的</w:t>
            </w:r>
            <w:r>
              <w:rPr>
                <w:rFonts w:hint="eastAsia"/>
                <w:color w:val="auto"/>
                <w:szCs w:val="21"/>
                <w:highlight w:val="none"/>
                <w:lang w:val="en-US"/>
              </w:rPr>
              <w:t>技术性能指标；</w:t>
            </w:r>
            <w:r>
              <w:rPr>
                <w:rFonts w:hint="eastAsia"/>
                <w:b/>
                <w:bCs/>
                <w:color w:val="auto"/>
                <w:szCs w:val="21"/>
                <w:highlight w:val="none"/>
                <w:lang w:val="en-US"/>
              </w:rPr>
              <w:t>投标人必须在报价文件《招标人参考的材料品牌响应表》中明确其品牌，</w:t>
            </w:r>
            <w:r>
              <w:rPr>
                <w:rFonts w:hint="eastAsia"/>
                <w:color w:val="auto"/>
                <w:szCs w:val="21"/>
                <w:highlight w:val="none"/>
                <w:lang w:val="en-US"/>
              </w:rPr>
              <w:t>采用其他品牌的应在报价文件《招标人参考的材料品牌响应表》中注明并提供相关技术性能指标</w:t>
            </w:r>
            <w:r>
              <w:rPr>
                <w:rFonts w:hint="eastAsia"/>
                <w:b/>
                <w:bCs/>
                <w:color w:val="auto"/>
                <w:szCs w:val="21"/>
                <w:highlight w:val="none"/>
                <w:lang w:val="en-US" w:eastAsia="zh-CN"/>
              </w:rPr>
              <w:t>（通过下列证明材料体现，如检测报告、技术说明、用户证明等)</w:t>
            </w:r>
            <w:r>
              <w:rPr>
                <w:rFonts w:hint="eastAsia"/>
                <w:color w:val="auto"/>
                <w:szCs w:val="21"/>
                <w:highlight w:val="none"/>
                <w:lang w:val="en-US"/>
              </w:rPr>
              <w:t>等供评标委员会评审，经评标委员会评审未通过的，中标后只能从招标人提供参考品牌中进行选择，合同价格不予调整。</w:t>
            </w:r>
          </w:p>
          <w:p w14:paraId="499457D8">
            <w:pPr>
              <w:pStyle w:val="55"/>
              <w:spacing w:line="560" w:lineRule="exact"/>
              <w:jc w:val="left"/>
              <w:rPr>
                <w:b/>
                <w:bCs/>
                <w:color w:val="auto"/>
                <w:szCs w:val="21"/>
                <w:highlight w:val="none"/>
                <w:lang w:val="en-US"/>
              </w:rPr>
            </w:pPr>
            <w:r>
              <w:rPr>
                <w:rFonts w:hint="eastAsia"/>
                <w:b/>
                <w:bCs/>
                <w:color w:val="auto"/>
                <w:szCs w:val="21"/>
                <w:highlight w:val="none"/>
                <w:lang w:val="en-US"/>
              </w:rPr>
              <w:t>☑本工程采用商品砼。</w:t>
            </w:r>
          </w:p>
          <w:p w14:paraId="1D5E5D29">
            <w:pPr>
              <w:pStyle w:val="55"/>
              <w:spacing w:line="560" w:lineRule="exact"/>
              <w:jc w:val="left"/>
              <w:rPr>
                <w:b/>
                <w:bCs/>
                <w:color w:val="auto"/>
                <w:szCs w:val="21"/>
                <w:highlight w:val="none"/>
                <w:lang w:val="en-US"/>
              </w:rPr>
            </w:pPr>
            <w:r>
              <w:rPr>
                <w:rFonts w:hint="eastAsia"/>
                <w:b/>
                <w:bCs/>
                <w:color w:val="auto"/>
                <w:szCs w:val="21"/>
                <w:highlight w:val="none"/>
                <w:lang w:val="en-US"/>
              </w:rPr>
              <w:t>☑本项目采用预拌砂浆。</w:t>
            </w:r>
          </w:p>
          <w:p w14:paraId="383A5038">
            <w:pPr>
              <w:pStyle w:val="55"/>
              <w:adjustRightInd w:val="0"/>
              <w:snapToGrid w:val="0"/>
              <w:spacing w:line="560" w:lineRule="exact"/>
              <w:jc w:val="left"/>
              <w:rPr>
                <w:color w:val="auto"/>
                <w:szCs w:val="21"/>
                <w:highlight w:val="none"/>
                <w:lang w:val="en-US"/>
              </w:rPr>
            </w:pPr>
            <w:r>
              <w:rPr>
                <w:rFonts w:hint="eastAsia"/>
                <w:b/>
                <w:bCs/>
                <w:color w:val="auto"/>
                <w:szCs w:val="21"/>
                <w:highlight w:val="none"/>
              </w:rPr>
              <w:t>其他相关要求：</w:t>
            </w:r>
            <w:r>
              <w:rPr>
                <w:rFonts w:hint="eastAsia"/>
                <w:color w:val="auto"/>
                <w:szCs w:val="21"/>
                <w:highlight w:val="none"/>
              </w:rPr>
              <w:t>对于招标人未在招标文件中</w:t>
            </w:r>
            <w:r>
              <w:rPr>
                <w:rFonts w:hint="eastAsia"/>
                <w:color w:val="auto"/>
                <w:szCs w:val="21"/>
                <w:highlight w:val="none"/>
                <w:lang w:val="en-US"/>
              </w:rPr>
              <w:t>提供参考</w:t>
            </w:r>
            <w:r>
              <w:rPr>
                <w:rFonts w:hint="eastAsia"/>
                <w:color w:val="auto"/>
                <w:szCs w:val="21"/>
                <w:highlight w:val="none"/>
              </w:rPr>
              <w:t>品牌的材料</w:t>
            </w:r>
            <w:r>
              <w:rPr>
                <w:rFonts w:hint="eastAsia"/>
                <w:color w:val="auto"/>
                <w:szCs w:val="21"/>
                <w:highlight w:val="none"/>
                <w:lang w:val="en-US"/>
              </w:rPr>
              <w:t>设备</w:t>
            </w:r>
            <w:r>
              <w:rPr>
                <w:rFonts w:hint="eastAsia"/>
                <w:color w:val="auto"/>
                <w:szCs w:val="21"/>
                <w:highlight w:val="none"/>
              </w:rPr>
              <w:t>，中标人须在采购材料前，提供不少于三个满足国家规范、图纸及招标文件要求的材料</w:t>
            </w:r>
            <w:r>
              <w:rPr>
                <w:rFonts w:hint="eastAsia"/>
                <w:color w:val="auto"/>
                <w:szCs w:val="21"/>
                <w:highlight w:val="none"/>
                <w:lang w:val="en-US"/>
              </w:rPr>
              <w:t>设备</w:t>
            </w:r>
            <w:r>
              <w:rPr>
                <w:rFonts w:hint="eastAsia"/>
                <w:color w:val="auto"/>
                <w:szCs w:val="21"/>
                <w:highlight w:val="none"/>
              </w:rPr>
              <w:t>品牌，供招标人选择确定。若中标人提供给招标人选择的材料</w:t>
            </w:r>
            <w:r>
              <w:rPr>
                <w:rFonts w:hint="eastAsia"/>
                <w:color w:val="auto"/>
                <w:szCs w:val="21"/>
                <w:highlight w:val="none"/>
                <w:lang w:val="en-US"/>
              </w:rPr>
              <w:t>设备</w:t>
            </w:r>
            <w:r>
              <w:rPr>
                <w:rFonts w:hint="eastAsia"/>
                <w:color w:val="auto"/>
                <w:szCs w:val="21"/>
                <w:highlight w:val="none"/>
              </w:rPr>
              <w:t>不满足国家规范、图纸及招标文件要求的，招标人不予认可，招标人有权直接推荐所用材料</w:t>
            </w:r>
            <w:r>
              <w:rPr>
                <w:rFonts w:hint="eastAsia"/>
                <w:color w:val="auto"/>
                <w:szCs w:val="21"/>
                <w:highlight w:val="none"/>
                <w:lang w:val="en-US"/>
              </w:rPr>
              <w:t>设备</w:t>
            </w:r>
            <w:r>
              <w:rPr>
                <w:rFonts w:hint="eastAsia"/>
                <w:color w:val="auto"/>
                <w:szCs w:val="21"/>
                <w:highlight w:val="none"/>
              </w:rPr>
              <w:t>品牌，中标人须无条件接受并及时供货，费用不作任何调整。</w:t>
            </w:r>
          </w:p>
        </w:tc>
      </w:tr>
      <w:tr w14:paraId="0E5E7BA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25880C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10.4</w:t>
            </w:r>
          </w:p>
        </w:tc>
        <w:tc>
          <w:tcPr>
            <w:tcW w:w="2160" w:type="dxa"/>
            <w:tcBorders>
              <w:top w:val="single" w:color="auto" w:sz="4" w:space="0"/>
              <w:left w:val="single" w:color="auto" w:sz="4" w:space="0"/>
              <w:bottom w:val="single" w:color="auto" w:sz="4" w:space="0"/>
              <w:right w:val="single" w:color="auto" w:sz="4" w:space="0"/>
            </w:tcBorders>
            <w:vAlign w:val="center"/>
          </w:tcPr>
          <w:p w14:paraId="09345903">
            <w:pPr>
              <w:adjustRightInd w:val="0"/>
              <w:snapToGrid w:val="0"/>
              <w:spacing w:line="560" w:lineRule="exact"/>
              <w:jc w:val="center"/>
              <w:rPr>
                <w:rFonts w:ascii="宋体" w:hAnsi="宋体" w:cs="宋体"/>
                <w:color w:val="auto"/>
                <w:szCs w:val="21"/>
                <w:highlight w:val="none"/>
              </w:rPr>
            </w:pPr>
            <w:r>
              <w:rPr>
                <w:rFonts w:hint="eastAsia" w:ascii="宋体" w:hAnsi="宋体" w:cs="宋体"/>
                <w:bCs/>
                <w:snapToGrid w:val="0"/>
                <w:color w:val="auto"/>
                <w:kern w:val="0"/>
                <w:szCs w:val="21"/>
                <w:highlight w:val="none"/>
              </w:rPr>
              <w:t>相关要求</w:t>
            </w:r>
          </w:p>
        </w:tc>
        <w:tc>
          <w:tcPr>
            <w:tcW w:w="7305" w:type="dxa"/>
            <w:tcBorders>
              <w:top w:val="single" w:color="auto" w:sz="4" w:space="0"/>
              <w:left w:val="single" w:color="auto" w:sz="4" w:space="0"/>
              <w:bottom w:val="single" w:color="auto" w:sz="4" w:space="0"/>
              <w:right w:val="single" w:color="auto" w:sz="4" w:space="0"/>
            </w:tcBorders>
            <w:vAlign w:val="center"/>
          </w:tcPr>
          <w:p w14:paraId="72D7680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6A2313D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0F93532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5F87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7FD21520">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3.省外建设工程企业按照《关于优化进皖建设工程企业信息登记服务和管理有关工作的通知》（建市函〔2022〕580号）进行相关信息登记。 </w:t>
            </w:r>
          </w:p>
          <w:p w14:paraId="1CA36D6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4.保证保险产品应按《中国银保监会办公厅关于进一步加强和改进财产保险公司产品监管有关问题的通知》执行。</w:t>
            </w:r>
          </w:p>
          <w:p w14:paraId="494C3EED">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0591894B">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154E41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10.5</w:t>
            </w:r>
          </w:p>
        </w:tc>
        <w:tc>
          <w:tcPr>
            <w:tcW w:w="2160" w:type="dxa"/>
            <w:tcBorders>
              <w:top w:val="single" w:color="auto" w:sz="4" w:space="0"/>
              <w:left w:val="single" w:color="auto" w:sz="4" w:space="0"/>
              <w:bottom w:val="single" w:color="auto" w:sz="4" w:space="0"/>
              <w:right w:val="single" w:color="auto" w:sz="4" w:space="0"/>
            </w:tcBorders>
            <w:vAlign w:val="center"/>
          </w:tcPr>
          <w:p w14:paraId="0B6024D1">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评标过程中的澄清、说明或补正</w:t>
            </w:r>
          </w:p>
        </w:tc>
        <w:tc>
          <w:tcPr>
            <w:tcW w:w="7305" w:type="dxa"/>
            <w:tcBorders>
              <w:top w:val="single" w:color="auto" w:sz="4" w:space="0"/>
              <w:left w:val="single" w:color="auto" w:sz="4" w:space="0"/>
              <w:bottom w:val="single" w:color="auto" w:sz="4" w:space="0"/>
              <w:right w:val="single" w:color="auto" w:sz="4" w:space="0"/>
            </w:tcBorders>
            <w:vAlign w:val="center"/>
          </w:tcPr>
          <w:p w14:paraId="32112F26">
            <w:pPr>
              <w:pStyle w:val="55"/>
              <w:tabs>
                <w:tab w:val="left" w:pos="636"/>
              </w:tabs>
              <w:adjustRightInd w:val="0"/>
              <w:snapToGrid w:val="0"/>
              <w:spacing w:line="560" w:lineRule="exact"/>
              <w:jc w:val="left"/>
              <w:rPr>
                <w:bCs/>
                <w:color w:val="auto"/>
                <w:szCs w:val="21"/>
                <w:highlight w:val="none"/>
                <w:lang w:val="en-US" w:bidi="ar-SA"/>
              </w:rPr>
            </w:pPr>
            <w:r>
              <w:rPr>
                <w:rFonts w:hint="eastAsia"/>
                <w:bCs/>
                <w:color w:val="auto"/>
                <w:szCs w:val="21"/>
                <w:highlight w:val="none"/>
                <w:lang w:val="en-US" w:bidi="ar-SA"/>
              </w:rPr>
              <w:t>1.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33EE6CA5">
            <w:pPr>
              <w:pStyle w:val="55"/>
              <w:tabs>
                <w:tab w:val="left" w:pos="636"/>
              </w:tabs>
              <w:adjustRightInd w:val="0"/>
              <w:snapToGrid w:val="0"/>
              <w:spacing w:line="560" w:lineRule="exact"/>
              <w:jc w:val="left"/>
              <w:rPr>
                <w:bCs/>
                <w:color w:val="auto"/>
                <w:szCs w:val="21"/>
                <w:highlight w:val="none"/>
                <w:lang w:val="en-US" w:bidi="ar-SA"/>
              </w:rPr>
            </w:pPr>
            <w:r>
              <w:rPr>
                <w:rFonts w:hint="eastAsia"/>
                <w:bCs/>
                <w:color w:val="auto"/>
                <w:szCs w:val="21"/>
                <w:highlight w:val="none"/>
                <w:lang w:val="en-US"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58CE2C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3B96BA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10.6</w:t>
            </w:r>
          </w:p>
        </w:tc>
        <w:tc>
          <w:tcPr>
            <w:tcW w:w="2160" w:type="dxa"/>
            <w:tcBorders>
              <w:top w:val="single" w:color="auto" w:sz="4" w:space="0"/>
              <w:left w:val="single" w:color="auto" w:sz="4" w:space="0"/>
              <w:bottom w:val="single" w:color="auto" w:sz="4" w:space="0"/>
              <w:right w:val="single" w:color="auto" w:sz="4" w:space="0"/>
            </w:tcBorders>
            <w:vAlign w:val="center"/>
          </w:tcPr>
          <w:p w14:paraId="29848D4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7305" w:type="dxa"/>
            <w:tcBorders>
              <w:top w:val="single" w:color="auto" w:sz="4" w:space="0"/>
              <w:left w:val="single" w:color="auto" w:sz="4" w:space="0"/>
              <w:bottom w:val="single" w:color="auto" w:sz="4" w:space="0"/>
              <w:right w:val="single" w:color="auto" w:sz="4" w:space="0"/>
            </w:tcBorders>
            <w:vAlign w:val="center"/>
          </w:tcPr>
          <w:p w14:paraId="6263E792">
            <w:pPr>
              <w:pStyle w:val="55"/>
              <w:adjustRightInd w:val="0"/>
              <w:snapToGrid w:val="0"/>
              <w:spacing w:line="560" w:lineRule="exact"/>
              <w:rPr>
                <w:bCs/>
                <w:color w:val="auto"/>
                <w:szCs w:val="21"/>
                <w:highlight w:val="none"/>
                <w:lang w:val="en-US" w:bidi="ar-SA"/>
              </w:rPr>
            </w:pPr>
            <w:r>
              <w:rPr>
                <w:rFonts w:hint="eastAsia"/>
                <w:bCs/>
                <w:color w:val="auto"/>
                <w:szCs w:val="21"/>
                <w:highlight w:val="none"/>
                <w:lang w:val="en-US" w:bidi="ar-SA"/>
              </w:rPr>
              <w:t>1.构成本招标文件的各个组成文件应互为解释，互为说明；</w:t>
            </w:r>
          </w:p>
          <w:p w14:paraId="051B6B2B">
            <w:pPr>
              <w:pStyle w:val="55"/>
              <w:adjustRightInd w:val="0"/>
              <w:snapToGrid w:val="0"/>
              <w:spacing w:line="560" w:lineRule="exact"/>
              <w:rPr>
                <w:bCs/>
                <w:color w:val="auto"/>
                <w:szCs w:val="21"/>
                <w:highlight w:val="none"/>
                <w:lang w:val="en-US" w:bidi="ar-SA"/>
              </w:rPr>
            </w:pPr>
            <w:r>
              <w:rPr>
                <w:rFonts w:hint="eastAsia"/>
                <w:bCs/>
                <w:color w:val="auto"/>
                <w:szCs w:val="21"/>
                <w:highlight w:val="none"/>
                <w:lang w:val="en-US" w:bidi="ar-SA"/>
              </w:rPr>
              <w:t>2.同一组成文件中就同一事项的规定或约定不一致的，以编排顺序在后者为准；</w:t>
            </w:r>
          </w:p>
          <w:p w14:paraId="607012E4">
            <w:pPr>
              <w:pStyle w:val="55"/>
              <w:tabs>
                <w:tab w:val="left" w:pos="351"/>
              </w:tabs>
              <w:adjustRightInd w:val="0"/>
              <w:snapToGrid w:val="0"/>
              <w:spacing w:line="560" w:lineRule="exact"/>
              <w:rPr>
                <w:bCs/>
                <w:color w:val="auto"/>
                <w:szCs w:val="21"/>
                <w:highlight w:val="none"/>
                <w:lang w:val="en-US" w:bidi="ar-SA"/>
              </w:rPr>
            </w:pPr>
            <w:r>
              <w:rPr>
                <w:rFonts w:hint="eastAsia"/>
                <w:bCs/>
                <w:color w:val="auto"/>
                <w:szCs w:val="21"/>
                <w:highlight w:val="none"/>
                <w:lang w:val="en-US" w:bidi="ar-SA"/>
              </w:rPr>
              <w:t>3.如有不明确或不一致，构成合同文件组成内容的，以合同文件约定内容为准，且以专用合同条款约定的合同文件优先顺序解释；</w:t>
            </w:r>
          </w:p>
          <w:p w14:paraId="40AA8B46">
            <w:pPr>
              <w:pStyle w:val="55"/>
              <w:tabs>
                <w:tab w:val="left" w:pos="354"/>
              </w:tabs>
              <w:adjustRightInd w:val="0"/>
              <w:snapToGrid w:val="0"/>
              <w:spacing w:line="560" w:lineRule="exact"/>
              <w:rPr>
                <w:bCs/>
                <w:color w:val="auto"/>
                <w:szCs w:val="21"/>
                <w:highlight w:val="none"/>
                <w:lang w:val="en-US" w:bidi="ar-SA"/>
              </w:rPr>
            </w:pPr>
            <w:r>
              <w:rPr>
                <w:rFonts w:hint="eastAsia"/>
                <w:bCs/>
                <w:color w:val="auto"/>
                <w:szCs w:val="21"/>
                <w:highlight w:val="none"/>
                <w:lang w:val="en-US" w:bidi="ar-SA"/>
              </w:rPr>
              <w:t>4.系统中提供的表格（或格式文件）与招标文件中不一致时，以招标文件中提供的为准；</w:t>
            </w:r>
          </w:p>
          <w:p w14:paraId="7413FBBE">
            <w:pPr>
              <w:pStyle w:val="55"/>
              <w:tabs>
                <w:tab w:val="left" w:pos="636"/>
              </w:tabs>
              <w:adjustRightInd w:val="0"/>
              <w:snapToGrid w:val="0"/>
              <w:spacing w:line="560" w:lineRule="exact"/>
              <w:jc w:val="left"/>
              <w:rPr>
                <w:bCs/>
                <w:color w:val="auto"/>
                <w:szCs w:val="21"/>
                <w:highlight w:val="none"/>
                <w:lang w:val="en-US" w:bidi="ar-SA"/>
              </w:rPr>
            </w:pPr>
            <w:r>
              <w:rPr>
                <w:rFonts w:hint="eastAsia"/>
                <w:bCs/>
                <w:color w:val="auto"/>
                <w:szCs w:val="21"/>
                <w:highlight w:val="none"/>
                <w:lang w:val="en-US" w:bidi="ar-SA"/>
              </w:rPr>
              <w:t>5.按本款前述规定仍不能形成结论的，由招标人负责解释。</w:t>
            </w:r>
          </w:p>
        </w:tc>
      </w:tr>
      <w:tr w14:paraId="1730817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16FD7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10.7</w:t>
            </w:r>
          </w:p>
        </w:tc>
        <w:tc>
          <w:tcPr>
            <w:tcW w:w="2160" w:type="dxa"/>
            <w:tcBorders>
              <w:top w:val="single" w:color="auto" w:sz="4" w:space="0"/>
              <w:left w:val="single" w:color="auto" w:sz="4" w:space="0"/>
              <w:bottom w:val="single" w:color="auto" w:sz="4" w:space="0"/>
              <w:right w:val="single" w:color="auto" w:sz="4" w:space="0"/>
            </w:tcBorders>
            <w:vAlign w:val="center"/>
          </w:tcPr>
          <w:p w14:paraId="07EE34E1">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同义词语</w:t>
            </w:r>
          </w:p>
        </w:tc>
        <w:tc>
          <w:tcPr>
            <w:tcW w:w="7305" w:type="dxa"/>
            <w:tcBorders>
              <w:top w:val="single" w:color="auto" w:sz="4" w:space="0"/>
              <w:left w:val="single" w:color="auto" w:sz="4" w:space="0"/>
              <w:bottom w:val="single" w:color="auto" w:sz="4" w:space="0"/>
              <w:right w:val="single" w:color="auto" w:sz="4" w:space="0"/>
            </w:tcBorders>
            <w:vAlign w:val="center"/>
          </w:tcPr>
          <w:p w14:paraId="3759F05E">
            <w:pPr>
              <w:pStyle w:val="55"/>
              <w:adjustRightInd w:val="0"/>
              <w:snapToGrid w:val="0"/>
              <w:spacing w:line="560" w:lineRule="exact"/>
              <w:rPr>
                <w:bCs/>
                <w:color w:val="auto"/>
                <w:szCs w:val="21"/>
                <w:highlight w:val="none"/>
                <w:lang w:val="en-US" w:bidi="ar-SA"/>
              </w:rPr>
            </w:pPr>
            <w:r>
              <w:rPr>
                <w:rFonts w:hint="eastAsia"/>
                <w:bCs/>
                <w:color w:val="auto"/>
                <w:szCs w:val="21"/>
                <w:highlight w:val="none"/>
                <w:lang w:val="en-US" w:bidi="ar-SA"/>
              </w:rPr>
              <w:t>构成招标文件组成部分的“通用合同条款”、“专用合同条款”、“技术要求”和“工程量清单”等章节中“发包人”和“承包人”，等同于招标投标阶段的“招标人”和“投标人/中标人”。</w:t>
            </w:r>
          </w:p>
        </w:tc>
      </w:tr>
      <w:tr w14:paraId="29DB7817">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D76675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10.8</w:t>
            </w:r>
          </w:p>
        </w:tc>
        <w:tc>
          <w:tcPr>
            <w:tcW w:w="2160" w:type="dxa"/>
            <w:tcBorders>
              <w:top w:val="single" w:color="auto" w:sz="4" w:space="0"/>
              <w:left w:val="single" w:color="auto" w:sz="4" w:space="0"/>
              <w:bottom w:val="single" w:color="auto" w:sz="4" w:space="0"/>
              <w:right w:val="single" w:color="auto" w:sz="4" w:space="0"/>
            </w:tcBorders>
            <w:vAlign w:val="center"/>
          </w:tcPr>
          <w:p w14:paraId="6C3AA30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关于招标工程量清单、最高投标限价及投标报价编制特别说明</w:t>
            </w:r>
          </w:p>
        </w:tc>
        <w:tc>
          <w:tcPr>
            <w:tcW w:w="7305" w:type="dxa"/>
            <w:tcBorders>
              <w:top w:val="single" w:color="auto" w:sz="4" w:space="0"/>
              <w:left w:val="single" w:color="auto" w:sz="4" w:space="0"/>
              <w:bottom w:val="single" w:color="auto" w:sz="4" w:space="0"/>
              <w:right w:val="single" w:color="auto" w:sz="4" w:space="0"/>
            </w:tcBorders>
            <w:vAlign w:val="center"/>
          </w:tcPr>
          <w:p w14:paraId="4E50B568">
            <w:pPr>
              <w:pStyle w:val="55"/>
              <w:adjustRightInd w:val="0"/>
              <w:snapToGrid w:val="0"/>
              <w:spacing w:line="560" w:lineRule="exact"/>
              <w:rPr>
                <w:color w:val="auto"/>
                <w:szCs w:val="21"/>
                <w:highlight w:val="none"/>
              </w:rPr>
            </w:pPr>
            <w:r>
              <w:rPr>
                <w:rFonts w:hint="eastAsia"/>
                <w:color w:val="auto"/>
                <w:szCs w:val="21"/>
                <w:highlight w:val="none"/>
              </w:rPr>
              <w:t>本项目最高投标限价材料、设备价格依据造价管理部门发布的市场价格信息并结合市场实际价格综合考虑编制，投标人应根据</w:t>
            </w:r>
            <w:r>
              <w:rPr>
                <w:rFonts w:hint="eastAsia"/>
                <w:color w:val="auto"/>
                <w:szCs w:val="21"/>
                <w:highlight w:val="none"/>
                <w:lang w:val="en-US"/>
              </w:rPr>
              <w:t>施工</w:t>
            </w:r>
            <w:r>
              <w:rPr>
                <w:rFonts w:hint="eastAsia"/>
                <w:color w:val="auto"/>
                <w:szCs w:val="21"/>
                <w:highlight w:val="none"/>
              </w:rPr>
              <w:t>图纸、招标工程量清单、补遗，并结合企业自身实力理性报价。</w:t>
            </w:r>
          </w:p>
        </w:tc>
      </w:tr>
      <w:tr w14:paraId="59149C5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7EC7B3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10.9</w:t>
            </w:r>
          </w:p>
        </w:tc>
        <w:tc>
          <w:tcPr>
            <w:tcW w:w="2160" w:type="dxa"/>
            <w:tcBorders>
              <w:top w:val="single" w:color="auto" w:sz="4" w:space="0"/>
              <w:left w:val="single" w:color="auto" w:sz="4" w:space="0"/>
              <w:bottom w:val="single" w:color="auto" w:sz="4" w:space="0"/>
              <w:right w:val="single" w:color="auto" w:sz="4" w:space="0"/>
            </w:tcBorders>
            <w:vAlign w:val="center"/>
          </w:tcPr>
          <w:p w14:paraId="54572CD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05" w:type="dxa"/>
            <w:tcBorders>
              <w:top w:val="single" w:color="auto" w:sz="4" w:space="0"/>
              <w:left w:val="single" w:color="auto" w:sz="4" w:space="0"/>
              <w:bottom w:val="single" w:color="auto" w:sz="4" w:space="0"/>
              <w:right w:val="single" w:color="auto" w:sz="4" w:space="0"/>
            </w:tcBorders>
            <w:vAlign w:val="center"/>
          </w:tcPr>
          <w:p w14:paraId="658E480D">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1.如本项目招标文件中出现特定性、唯一性品牌的表述，该品牌仅作为参考，施工过程中不具有限定性。</w:t>
            </w:r>
          </w:p>
          <w:p w14:paraId="0938A0BE">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2.项目经理必须是投标人本单位工作人员，提供虚假资料谋取中标将被依法处罚。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6B0465A2">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3.中标人未履行下述义务的，滁州市公共资源交易监督管理局将依法对中标人进行处理，追究相关责任：</w:t>
            </w:r>
          </w:p>
          <w:p w14:paraId="6A8C4034">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①中标人无正当理由不与招标人订立合同，在签订合同时向招标人提出附加条件，或者不按照招标文件要求提交履约保证金的，招标人有权取消中标人中标资格，并将相关违约行为报送监管部门处理；</w:t>
            </w:r>
          </w:p>
          <w:p w14:paraId="3C839808">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②合同签订后，中标人存在规定时间内不组织人员进场开工、不履行供货安装义务等情况，招标人有权解除合同，并追究违约责任，同时将相关违约行为报送监管部门处理。</w:t>
            </w:r>
          </w:p>
          <w:p w14:paraId="471CE3FF">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4.项目经理（建造师）变更按照《关于进一步加强建筑施工现场项目经理（建造师）变更行为管理的通知》（滁公管〔2020〕1号）规定，需经发包人以及公管、住建部门同意。技术负责人变更需经发包人同意。</w:t>
            </w:r>
          </w:p>
          <w:p w14:paraId="72293CBA">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中标人因下列原因变更项目经理（建造师），须缴纳违约金10万元: ①患重病、发生意外等身体原因不能在施工现场进行管理的；②离职的；③违法违规行为不能继续从事施工现场管理工作的；④无能力履行合同责任义务被建设行政主管部门或建设单位责令更换的。</w:t>
            </w:r>
          </w:p>
          <w:p w14:paraId="6B3DA03E">
            <w:pPr>
              <w:pStyle w:val="55"/>
              <w:adjustRightInd w:val="0"/>
              <w:snapToGrid w:val="0"/>
              <w:spacing w:line="560" w:lineRule="exact"/>
              <w:jc w:val="left"/>
              <w:rPr>
                <w:color w:val="auto"/>
                <w:szCs w:val="21"/>
                <w:highlight w:val="none"/>
                <w:lang w:val="en-US"/>
              </w:rPr>
            </w:pPr>
            <w:r>
              <w:rPr>
                <w:rFonts w:hint="eastAsia"/>
                <w:color w:val="auto"/>
                <w:szCs w:val="21"/>
                <w:highlight w:val="none"/>
                <w:lang w:val="en-US"/>
              </w:rPr>
              <w:t>中标人因下列原因变更技术负责人，须缴纳违约金10万元: ①患重病、发生意外等身体原因不能在施工现场进行管理的；②离职的；③违法违规行为不能继续从事施工现场管理工作的；④无能力履行合同责任义务被建设行政主管部门或建设单位责令更换的。</w:t>
            </w:r>
          </w:p>
        </w:tc>
      </w:tr>
      <w:tr w14:paraId="3B1EB1D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7C88E2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10.10</w:t>
            </w:r>
          </w:p>
        </w:tc>
        <w:tc>
          <w:tcPr>
            <w:tcW w:w="2160" w:type="dxa"/>
            <w:tcBorders>
              <w:top w:val="single" w:color="auto" w:sz="4" w:space="0"/>
              <w:left w:val="single" w:color="auto" w:sz="4" w:space="0"/>
              <w:bottom w:val="single" w:color="auto" w:sz="4" w:space="0"/>
              <w:right w:val="single" w:color="auto" w:sz="4" w:space="0"/>
            </w:tcBorders>
            <w:vAlign w:val="center"/>
          </w:tcPr>
          <w:p w14:paraId="265246C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重点项目约谈</w:t>
            </w:r>
          </w:p>
        </w:tc>
        <w:tc>
          <w:tcPr>
            <w:tcW w:w="7305" w:type="dxa"/>
            <w:tcBorders>
              <w:top w:val="single" w:color="auto" w:sz="4" w:space="0"/>
              <w:left w:val="single" w:color="auto" w:sz="4" w:space="0"/>
              <w:bottom w:val="single" w:color="auto" w:sz="4" w:space="0"/>
              <w:right w:val="single" w:color="auto" w:sz="4" w:space="0"/>
            </w:tcBorders>
            <w:vAlign w:val="center"/>
          </w:tcPr>
          <w:p w14:paraId="3BC1F260">
            <w:pPr>
              <w:adjustRightInd w:val="0"/>
              <w:snapToGrid w:val="0"/>
              <w:spacing w:line="560" w:lineRule="exact"/>
              <w:rPr>
                <w:rFonts w:ascii="宋体" w:hAnsi="宋体" w:cs="宋体"/>
                <w:b/>
                <w:bCs/>
                <w:color w:val="auto"/>
                <w:szCs w:val="21"/>
                <w:highlight w:val="none"/>
              </w:rPr>
            </w:pPr>
            <w:r>
              <w:rPr>
                <w:rFonts w:hint="eastAsia" w:ascii="宋体" w:hAnsi="宋体" w:cs="宋体"/>
                <w:color w:val="auto"/>
                <w:szCs w:val="21"/>
                <w:highlight w:val="none"/>
                <w:lang w:bidi="zh-CN"/>
              </w:rPr>
              <w:t>实行重点工程项目考察约谈机制。项目单位牵头负责，公管等部门参与对预中标单位进行考察约谈、警醒提示，防止非法转包、违法分包、挂靠及出借资质的情况发生。</w:t>
            </w:r>
          </w:p>
        </w:tc>
      </w:tr>
      <w:tr w14:paraId="013F638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F0FADA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10.11</w:t>
            </w:r>
          </w:p>
        </w:tc>
        <w:tc>
          <w:tcPr>
            <w:tcW w:w="2160" w:type="dxa"/>
            <w:tcBorders>
              <w:top w:val="single" w:color="auto" w:sz="4" w:space="0"/>
              <w:left w:val="single" w:color="auto" w:sz="4" w:space="0"/>
              <w:bottom w:val="single" w:color="auto" w:sz="4" w:space="0"/>
              <w:right w:val="single" w:color="auto" w:sz="4" w:space="0"/>
            </w:tcBorders>
            <w:vAlign w:val="center"/>
          </w:tcPr>
          <w:p w14:paraId="752DD34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变更招标方式</w:t>
            </w:r>
          </w:p>
        </w:tc>
        <w:tc>
          <w:tcPr>
            <w:tcW w:w="7305" w:type="dxa"/>
            <w:tcBorders>
              <w:top w:val="single" w:color="auto" w:sz="4" w:space="0"/>
              <w:left w:val="single" w:color="auto" w:sz="4" w:space="0"/>
              <w:bottom w:val="single" w:color="auto" w:sz="4" w:space="0"/>
              <w:right w:val="single" w:color="auto" w:sz="4" w:space="0"/>
            </w:tcBorders>
            <w:vAlign w:val="center"/>
          </w:tcPr>
          <w:p w14:paraId="3B2C032C">
            <w:pPr>
              <w:pStyle w:val="11"/>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lang w:bidi="zh-CN"/>
              </w:rPr>
              <w:t>按照滁州市公共资源交易监督管理局现行规定执行。</w:t>
            </w:r>
          </w:p>
        </w:tc>
      </w:tr>
      <w:tr w14:paraId="79768F9B">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B77BDC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10.12</w:t>
            </w:r>
          </w:p>
        </w:tc>
        <w:tc>
          <w:tcPr>
            <w:tcW w:w="2160" w:type="dxa"/>
            <w:tcBorders>
              <w:top w:val="single" w:color="auto" w:sz="4" w:space="0"/>
              <w:left w:val="single" w:color="auto" w:sz="4" w:space="0"/>
              <w:bottom w:val="single" w:color="auto" w:sz="4" w:space="0"/>
              <w:right w:val="single" w:color="auto" w:sz="4" w:space="0"/>
            </w:tcBorders>
            <w:vAlign w:val="center"/>
          </w:tcPr>
          <w:p w14:paraId="3C179BA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招标人补充的</w:t>
            </w:r>
          </w:p>
          <w:p w14:paraId="11518AC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其他内容</w:t>
            </w:r>
          </w:p>
        </w:tc>
        <w:tc>
          <w:tcPr>
            <w:tcW w:w="7305" w:type="dxa"/>
            <w:tcBorders>
              <w:top w:val="single" w:color="auto" w:sz="4" w:space="0"/>
              <w:left w:val="single" w:color="auto" w:sz="4" w:space="0"/>
              <w:bottom w:val="single" w:color="auto" w:sz="4" w:space="0"/>
              <w:right w:val="single" w:color="auto" w:sz="4" w:space="0"/>
            </w:tcBorders>
            <w:vAlign w:val="center"/>
          </w:tcPr>
          <w:p w14:paraId="42AC50A4">
            <w:pPr>
              <w:adjustRightInd w:val="0"/>
              <w:snapToGrid w:val="0"/>
              <w:spacing w:line="560" w:lineRule="exact"/>
              <w:rPr>
                <w:rFonts w:ascii="宋体" w:hAnsi="宋体" w:cs="宋体"/>
                <w:b/>
                <w:bCs/>
                <w:color w:val="auto"/>
                <w:szCs w:val="21"/>
                <w:highlight w:val="none"/>
              </w:rPr>
            </w:pPr>
            <w:r>
              <w:rPr>
                <w:rFonts w:hint="eastAsia" w:ascii="宋体" w:hAnsi="宋体" w:cs="宋体"/>
                <w:b/>
                <w:bCs/>
                <w:color w:val="auto"/>
                <w:szCs w:val="21"/>
                <w:highlight w:val="none"/>
              </w:rPr>
              <w:t>（1）创建优质工程</w:t>
            </w:r>
          </w:p>
          <w:p w14:paraId="3A04359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不要求。</w:t>
            </w:r>
          </w:p>
          <w:p w14:paraId="44A0B6F0">
            <w:pPr>
              <w:keepNext/>
              <w:keepLines/>
              <w:adjustRightInd w:val="0"/>
              <w:snapToGrid w:val="0"/>
              <w:spacing w:line="560" w:lineRule="exact"/>
              <w:outlineLvl w:val="3"/>
              <w:rPr>
                <w:rFonts w:ascii="宋体" w:hAnsi="宋体" w:cs="宋体"/>
                <w:b/>
                <w:color w:val="auto"/>
                <w:szCs w:val="21"/>
                <w:highlight w:val="none"/>
              </w:rPr>
            </w:pPr>
            <w:r>
              <w:rPr>
                <w:rFonts w:hint="eastAsia" w:ascii="宋体" w:hAnsi="宋体" w:cs="宋体"/>
                <w:b/>
                <w:color w:val="auto"/>
                <w:szCs w:val="21"/>
                <w:highlight w:val="none"/>
              </w:rPr>
              <w:t>（2）暂估价</w:t>
            </w:r>
          </w:p>
          <w:p w14:paraId="09C97F50">
            <w:pPr>
              <w:adjustRightInd w:val="0"/>
              <w:snapToGrid w:val="0"/>
              <w:spacing w:line="560" w:lineRule="exact"/>
              <w:ind w:firstLine="210" w:firstLineChars="100"/>
              <w:rPr>
                <w:rFonts w:ascii="宋体" w:hAnsi="宋体" w:cs="宋体"/>
                <w:color w:val="auto"/>
                <w:szCs w:val="21"/>
                <w:highlight w:val="none"/>
                <w:u w:val="single"/>
              </w:rPr>
            </w:pPr>
            <w:r>
              <w:rPr>
                <w:rFonts w:hint="eastAsia" w:ascii="宋体" w:hAnsi="宋体" w:cs="宋体"/>
                <w:color w:val="auto"/>
                <w:kern w:val="0"/>
                <w:szCs w:val="21"/>
                <w:highlight w:val="none"/>
              </w:rPr>
              <w:t>暂估价材料、工程设备及专业工程约定：详见工程量清单；</w:t>
            </w:r>
          </w:p>
          <w:p w14:paraId="5092FC58">
            <w:pPr>
              <w:spacing w:line="560" w:lineRule="exact"/>
              <w:rPr>
                <w:rFonts w:ascii="宋体" w:hAnsi="宋体" w:cs="宋体"/>
                <w:b/>
                <w:bCs/>
                <w:color w:val="auto"/>
                <w:szCs w:val="21"/>
                <w:highlight w:val="none"/>
              </w:rPr>
            </w:pPr>
            <w:r>
              <w:rPr>
                <w:rFonts w:hint="eastAsia" w:ascii="宋体" w:hAnsi="宋体" w:cs="宋体"/>
                <w:b/>
                <w:bCs/>
                <w:color w:val="auto"/>
                <w:szCs w:val="21"/>
                <w:highlight w:val="none"/>
              </w:rPr>
              <w:t>（3）安全生产</w:t>
            </w:r>
          </w:p>
          <w:p w14:paraId="6C82561C">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05165A6">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22F84B60">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C152D7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10.13</w:t>
            </w:r>
          </w:p>
        </w:tc>
        <w:tc>
          <w:tcPr>
            <w:tcW w:w="2160" w:type="dxa"/>
            <w:tcBorders>
              <w:top w:val="single" w:color="auto" w:sz="4" w:space="0"/>
              <w:left w:val="single" w:color="auto" w:sz="4" w:space="0"/>
              <w:bottom w:val="single" w:color="auto" w:sz="4" w:space="0"/>
              <w:right w:val="single" w:color="auto" w:sz="4" w:space="0"/>
            </w:tcBorders>
            <w:vAlign w:val="center"/>
          </w:tcPr>
          <w:p w14:paraId="34110DC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农民工工资管理</w:t>
            </w:r>
          </w:p>
        </w:tc>
        <w:tc>
          <w:tcPr>
            <w:tcW w:w="7305" w:type="dxa"/>
            <w:tcBorders>
              <w:top w:val="single" w:color="auto" w:sz="4" w:space="0"/>
              <w:left w:val="single" w:color="auto" w:sz="4" w:space="0"/>
              <w:bottom w:val="single" w:color="auto" w:sz="4" w:space="0"/>
              <w:right w:val="single" w:color="auto" w:sz="4" w:space="0"/>
            </w:tcBorders>
            <w:vAlign w:val="center"/>
          </w:tcPr>
          <w:p w14:paraId="1A1DA382">
            <w:pPr>
              <w:spacing w:line="560" w:lineRule="exact"/>
              <w:rPr>
                <w:rFonts w:ascii="宋体" w:hAnsi="宋体" w:cs="宋体"/>
                <w:color w:val="auto"/>
                <w:szCs w:val="21"/>
                <w:highlight w:val="none"/>
              </w:rPr>
            </w:pPr>
            <w:r>
              <w:rPr>
                <w:rFonts w:hint="eastAsia" w:ascii="宋体" w:hAnsi="宋体" w:cs="宋体"/>
                <w:color w:val="auto"/>
                <w:szCs w:val="21"/>
                <w:highlight w:val="none"/>
              </w:rPr>
              <w:t>根据安徽省住房和城乡建设厅建市函[2022]490号关于建立长效机制切实保障建筑行业农民工工资支付工作的通知，严格落实人工费用与其他工程款分账管理的要求，按照合同约定和实际施工进度，按月将人工费用足额拨付至本项目开设的农民工工资专用账户。按照施工过程结算的相关规定，建设单位每月拨付人工费原则上不低于当月工程结算款的30%。</w:t>
            </w:r>
          </w:p>
        </w:tc>
      </w:tr>
    </w:tbl>
    <w:p w14:paraId="50B7A0D8">
      <w:pPr>
        <w:rPr>
          <w:rFonts w:ascii="宋体" w:hAnsi="宋体" w:cs="宋体"/>
          <w:color w:val="auto"/>
          <w:szCs w:val="21"/>
          <w:highlight w:val="none"/>
        </w:rPr>
      </w:pPr>
    </w:p>
    <w:p w14:paraId="643FDAD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871A2C5">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1.1 项目概况</w:t>
      </w:r>
    </w:p>
    <w:p w14:paraId="2485C85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1.1.1根据《中华人民共和国招标投标法》《中华人民共和国招标投标法实施条例》等有关法律、法规和规章的规定，本招标项目已具备招标条件，现对本项目进行招标。</w:t>
      </w:r>
    </w:p>
    <w:p w14:paraId="457CDD6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6427EB6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CD0368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634E570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4AFF600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3" w:name="_Toc152045531"/>
      <w:bookmarkStart w:id="34" w:name="_Toc296602422"/>
      <w:bookmarkStart w:id="35" w:name="_Toc246996920"/>
      <w:bookmarkStart w:id="36" w:name="_Toc179632548"/>
      <w:bookmarkStart w:id="37" w:name="_Toc95223338"/>
      <w:bookmarkStart w:id="38" w:name="_Toc144974499"/>
      <w:bookmarkStart w:id="39" w:name="_Toc83301690"/>
      <w:bookmarkStart w:id="40" w:name="_Toc246996177"/>
      <w:bookmarkStart w:id="41" w:name="_Toc15058848"/>
      <w:bookmarkStart w:id="42" w:name="_Toc324404817"/>
      <w:bookmarkStart w:id="43" w:name="_Toc247085691"/>
      <w:bookmarkStart w:id="44" w:name="_Toc152042307"/>
      <w:bookmarkStart w:id="45" w:name="_Toc60061435"/>
      <w:bookmarkStart w:id="46" w:name="_Toc506107271"/>
      <w:r>
        <w:rPr>
          <w:rFonts w:hint="eastAsia" w:ascii="宋体" w:hAnsi="宋体" w:cs="宋体"/>
          <w:color w:val="auto"/>
          <w:sz w:val="21"/>
          <w:szCs w:val="21"/>
          <w:highlight w:val="none"/>
        </w:rPr>
        <w:t>1.2 资金来源和落实情况</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10A41F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44653FA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3C07142">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7" w:name="_Toc179632549"/>
      <w:bookmarkStart w:id="48" w:name="_Toc15058849"/>
      <w:bookmarkStart w:id="49" w:name="_Toc246996921"/>
      <w:bookmarkStart w:id="50" w:name="_Toc324404818"/>
      <w:bookmarkStart w:id="51" w:name="_Toc247085692"/>
      <w:bookmarkStart w:id="52" w:name="_Toc246996178"/>
      <w:bookmarkStart w:id="53" w:name="_Toc144974500"/>
      <w:bookmarkStart w:id="54" w:name="_Toc506107272"/>
      <w:bookmarkStart w:id="55" w:name="_Toc83301691"/>
      <w:bookmarkStart w:id="56" w:name="_Toc60061436"/>
      <w:bookmarkStart w:id="57" w:name="_Toc152045532"/>
      <w:bookmarkStart w:id="58" w:name="_Toc152042308"/>
      <w:bookmarkStart w:id="59" w:name="_Toc296602423"/>
      <w:bookmarkStart w:id="60" w:name="_Toc95223339"/>
      <w:r>
        <w:rPr>
          <w:rFonts w:hint="eastAsia" w:ascii="宋体" w:hAnsi="宋体" w:cs="宋体"/>
          <w:color w:val="auto"/>
          <w:sz w:val="21"/>
          <w:szCs w:val="21"/>
          <w:highlight w:val="none"/>
        </w:rPr>
        <w:t>1.3 招标范围、计划工期、质量要求</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B0058E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80B8B3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4EFA5E8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292DD058">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61" w:name="_Toc179632551"/>
      <w:bookmarkStart w:id="62" w:name="_Toc83301692"/>
      <w:bookmarkStart w:id="63" w:name="_Toc247085693"/>
      <w:bookmarkStart w:id="64" w:name="_Toc246996922"/>
      <w:bookmarkStart w:id="65" w:name="_Toc152042310"/>
      <w:bookmarkStart w:id="66" w:name="_Toc144974502"/>
      <w:bookmarkStart w:id="67" w:name="_Toc60061437"/>
      <w:bookmarkStart w:id="68" w:name="_Toc152045534"/>
      <w:bookmarkStart w:id="69" w:name="_Toc506107273"/>
      <w:bookmarkStart w:id="70" w:name="_Toc15058850"/>
      <w:bookmarkStart w:id="71" w:name="_Toc296602424"/>
      <w:bookmarkStart w:id="72" w:name="_Toc246996179"/>
      <w:bookmarkStart w:id="73" w:name="_Toc95223340"/>
      <w:bookmarkStart w:id="74" w:name="_Toc324404819"/>
      <w:r>
        <w:rPr>
          <w:rFonts w:hint="eastAsia" w:ascii="宋体" w:hAnsi="宋体" w:cs="宋体"/>
          <w:color w:val="auto"/>
          <w:sz w:val="21"/>
          <w:szCs w:val="21"/>
          <w:highlight w:val="none"/>
        </w:rPr>
        <w:t>1.4 投标人资格要求</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E83A35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56E34F84">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2B6286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（2）信誉要求：见投标人须知前附表；</w:t>
      </w:r>
    </w:p>
    <w:p w14:paraId="0D73D26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（3）项目负责人资格：见投标人须知前附表；</w:t>
      </w:r>
    </w:p>
    <w:p w14:paraId="5BE5264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56291F3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397CBB4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rFonts w:hint="eastAsia" w:ascii="宋体" w:hAnsi="宋体" w:cs="宋体"/>
          <w:color w:val="auto"/>
          <w:spacing w:val="-3"/>
          <w:szCs w:val="21"/>
          <w:highlight w:val="none"/>
        </w:rPr>
        <w:t>，并承诺就中标项目向招标人承担连带责任</w:t>
      </w:r>
      <w:r>
        <w:rPr>
          <w:rFonts w:hint="eastAsia" w:ascii="宋体" w:hAnsi="宋体" w:cs="宋体"/>
          <w:color w:val="auto"/>
          <w:szCs w:val="21"/>
          <w:highlight w:val="none"/>
        </w:rPr>
        <w:t>；</w:t>
      </w:r>
    </w:p>
    <w:p w14:paraId="18893C5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（2）联合体各方不得再以自己名义单独或参加其他联合体在同一标段中投标。</w:t>
      </w:r>
    </w:p>
    <w:p w14:paraId="4E01A05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w:t>
      </w:r>
      <w:bookmarkStart w:id="75" w:name="_Toc152045535"/>
      <w:bookmarkStart w:id="76" w:name="_Toc15058851"/>
      <w:bookmarkStart w:id="77" w:name="_Toc83301693"/>
      <w:bookmarkStart w:id="78" w:name="_Toc506107274"/>
      <w:bookmarkStart w:id="79" w:name="_Toc95223341"/>
      <w:bookmarkStart w:id="80" w:name="_Toc144974503"/>
      <w:bookmarkStart w:id="81" w:name="_Toc152042311"/>
      <w:bookmarkStart w:id="82" w:name="_Toc179632552"/>
      <w:bookmarkStart w:id="83" w:name="_Toc60061438"/>
      <w:bookmarkStart w:id="84" w:name="_Toc246996923"/>
      <w:bookmarkStart w:id="85" w:name="_Toc247085694"/>
      <w:bookmarkStart w:id="86" w:name="_Toc246996180"/>
      <w:bookmarkStart w:id="87" w:name="_Toc296602425"/>
      <w:bookmarkStart w:id="88" w:name="_Toc324404820"/>
      <w:r>
        <w:rPr>
          <w:rFonts w:hint="eastAsia" w:ascii="宋体" w:hAnsi="宋体" w:cs="宋体"/>
          <w:color w:val="auto"/>
          <w:szCs w:val="21"/>
          <w:highlight w:val="none"/>
        </w:rPr>
        <w:t>投标人（包括联合体各成员）不得与本标段相关单位存在下列关联关系：</w:t>
      </w:r>
    </w:p>
    <w:p w14:paraId="3D129AD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1692DBE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783C10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53EDEC9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128BE0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2AC949B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（6）为本标段的监理人；</w:t>
      </w:r>
    </w:p>
    <w:p w14:paraId="314EC81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101C12A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5D1D9D3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11AA646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1C06411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3DA4376D">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 费用承担</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28CCE9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6D2BB10">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89" w:name="_Toc95223342"/>
      <w:bookmarkStart w:id="90" w:name="_Toc15058852"/>
      <w:bookmarkStart w:id="91" w:name="_Toc296602426"/>
      <w:bookmarkStart w:id="92" w:name="_Toc246996924"/>
      <w:bookmarkStart w:id="93" w:name="_Toc179632553"/>
      <w:bookmarkStart w:id="94" w:name="_Toc246996181"/>
      <w:bookmarkStart w:id="95" w:name="_Toc144974504"/>
      <w:bookmarkStart w:id="96" w:name="_Toc152042312"/>
      <w:bookmarkStart w:id="97" w:name="_Toc83301694"/>
      <w:bookmarkStart w:id="98" w:name="_Toc506107275"/>
      <w:bookmarkStart w:id="99" w:name="_Toc247085695"/>
      <w:bookmarkStart w:id="100" w:name="_Toc60061439"/>
      <w:bookmarkStart w:id="101" w:name="_Toc152045536"/>
      <w:bookmarkStart w:id="102" w:name="_Toc324404821"/>
      <w:r>
        <w:rPr>
          <w:rFonts w:hint="eastAsia" w:ascii="宋体" w:hAnsi="宋体" w:cs="宋体"/>
          <w:color w:val="auto"/>
          <w:sz w:val="21"/>
          <w:szCs w:val="21"/>
          <w:highlight w:val="none"/>
        </w:rPr>
        <w:t>1.6 保密</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D61945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2F1E4AC9">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03" w:name="_Toc144974505"/>
      <w:bookmarkStart w:id="104" w:name="_Toc324404822"/>
      <w:bookmarkStart w:id="105" w:name="_Toc95223343"/>
      <w:bookmarkStart w:id="106" w:name="_Toc247085696"/>
      <w:bookmarkStart w:id="107" w:name="_Toc506107276"/>
      <w:bookmarkStart w:id="108" w:name="_Toc83301695"/>
      <w:bookmarkStart w:id="109" w:name="_Toc152045537"/>
      <w:bookmarkStart w:id="110" w:name="_Toc152042313"/>
      <w:bookmarkStart w:id="111" w:name="_Toc15058853"/>
      <w:bookmarkStart w:id="112" w:name="_Toc246996182"/>
      <w:bookmarkStart w:id="113" w:name="_Toc296602427"/>
      <w:bookmarkStart w:id="114" w:name="_Toc179632554"/>
      <w:bookmarkStart w:id="115" w:name="_Toc60061440"/>
      <w:bookmarkStart w:id="116" w:name="_Toc246996925"/>
      <w:r>
        <w:rPr>
          <w:rFonts w:hint="eastAsia" w:ascii="宋体" w:hAnsi="宋体" w:cs="宋体"/>
          <w:color w:val="auto"/>
          <w:sz w:val="21"/>
          <w:szCs w:val="21"/>
          <w:highlight w:val="none"/>
        </w:rPr>
        <w:t>1.7 语言</w:t>
      </w:r>
      <w:bookmarkEnd w:id="103"/>
      <w:r>
        <w:rPr>
          <w:rFonts w:hint="eastAsia" w:ascii="宋体" w:hAnsi="宋体" w:cs="宋体"/>
          <w:color w:val="auto"/>
          <w:sz w:val="21"/>
          <w:szCs w:val="21"/>
          <w:highlight w:val="none"/>
        </w:rPr>
        <w:t>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65FEC339">
      <w:pPr>
        <w:adjustRightInd w:val="0"/>
        <w:snapToGrid w:val="0"/>
        <w:spacing w:line="500" w:lineRule="exact"/>
        <w:ind w:firstLine="420" w:firstLineChars="200"/>
        <w:jc w:val="left"/>
        <w:rPr>
          <w:rFonts w:ascii="宋体" w:hAnsi="宋体" w:cs="宋体"/>
          <w:color w:val="auto"/>
          <w:szCs w:val="21"/>
          <w:highlight w:val="none"/>
        </w:rPr>
      </w:pPr>
      <w:bookmarkStart w:id="117" w:name="_Toc179632555"/>
      <w:bookmarkStart w:id="118" w:name="_Toc152042314"/>
      <w:bookmarkStart w:id="119" w:name="_Toc247085697"/>
      <w:bookmarkStart w:id="120" w:name="_Toc152045538"/>
      <w:bookmarkStart w:id="121" w:name="_Toc246996183"/>
      <w:bookmarkStart w:id="122" w:name="_Toc246996926"/>
      <w:bookmarkStart w:id="123" w:name="_Toc144974506"/>
      <w:r>
        <w:rPr>
          <w:rFonts w:hint="eastAsia" w:ascii="宋体" w:hAnsi="宋体" w:cs="宋体"/>
          <w:color w:val="auto"/>
          <w:szCs w:val="21"/>
          <w:highlight w:val="none"/>
        </w:rPr>
        <w:t>招标投标文件使用的语言文字为中文。专用术语使用外文的，应附有中文注释。</w:t>
      </w:r>
    </w:p>
    <w:p w14:paraId="6EBEF9E7">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24" w:name="_Toc324404823"/>
      <w:bookmarkStart w:id="125" w:name="_Toc95223344"/>
      <w:bookmarkStart w:id="126" w:name="_Toc296602428"/>
      <w:bookmarkStart w:id="127" w:name="_Toc60061441"/>
      <w:bookmarkStart w:id="128" w:name="_Toc15058854"/>
      <w:bookmarkStart w:id="129" w:name="_Toc506107277"/>
      <w:bookmarkStart w:id="130" w:name="_Toc83301696"/>
      <w:r>
        <w:rPr>
          <w:rFonts w:hint="eastAsia" w:ascii="宋体" w:hAnsi="宋体" w:cs="宋体"/>
          <w:color w:val="auto"/>
          <w:sz w:val="21"/>
          <w:szCs w:val="21"/>
          <w:highlight w:val="none"/>
        </w:rPr>
        <w:t>1.8 计量单位</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8379C2B">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6664216">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31" w:name="_Toc15058855"/>
      <w:bookmarkStart w:id="132" w:name="_Toc296602429"/>
      <w:bookmarkStart w:id="133" w:name="_Toc83301697"/>
      <w:bookmarkStart w:id="134" w:name="_Toc247592876"/>
      <w:bookmarkStart w:id="135" w:name="_Toc152045539"/>
      <w:bookmarkStart w:id="136" w:name="_Toc506107278"/>
      <w:bookmarkStart w:id="137" w:name="_Toc144974507"/>
      <w:bookmarkStart w:id="138" w:name="_Toc95223345"/>
      <w:bookmarkStart w:id="139" w:name="_Toc247513962"/>
      <w:bookmarkStart w:id="140" w:name="_Toc60061442"/>
      <w:bookmarkStart w:id="141" w:name="_Toc324404824"/>
      <w:bookmarkStart w:id="142" w:name="_Toc152042315"/>
      <w:bookmarkStart w:id="143" w:name="_Toc247527563"/>
      <w:r>
        <w:rPr>
          <w:rFonts w:hint="eastAsia" w:ascii="宋体" w:hAnsi="宋体" w:cs="宋体"/>
          <w:color w:val="auto"/>
          <w:sz w:val="21"/>
          <w:szCs w:val="21"/>
          <w:highlight w:val="none"/>
        </w:rPr>
        <w:t>1.9 踏勘现场</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38B2AA9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9F0E83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0073BDA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5334C94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144" w:name="_Toc324404825"/>
      <w:bookmarkStart w:id="145" w:name="_Toc247592877"/>
      <w:bookmarkStart w:id="146" w:name="_Toc247513963"/>
      <w:bookmarkStart w:id="147" w:name="_Toc152045540"/>
      <w:bookmarkStart w:id="148" w:name="_Toc506107279"/>
      <w:bookmarkStart w:id="149" w:name="_Toc144974508"/>
      <w:bookmarkStart w:id="150" w:name="_Toc296602430"/>
      <w:bookmarkStart w:id="151" w:name="_Toc152042316"/>
      <w:bookmarkStart w:id="152" w:name="_Toc60061443"/>
      <w:bookmarkStart w:id="153" w:name="_Toc247527564"/>
      <w:bookmarkStart w:id="154" w:name="_Toc15058856"/>
    </w:p>
    <w:p w14:paraId="799086D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4743383A">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55" w:name="_Toc95223346"/>
      <w:bookmarkStart w:id="156" w:name="_Toc83301698"/>
      <w:r>
        <w:rPr>
          <w:rFonts w:hint="eastAsia" w:ascii="宋体" w:hAnsi="宋体" w:cs="宋体"/>
          <w:color w:val="auto"/>
          <w:sz w:val="21"/>
          <w:szCs w:val="21"/>
          <w:highlight w:val="none"/>
        </w:rPr>
        <w:t>1.10 投标预备会</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5CC35594">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40651F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003D95FF">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57" w:name="_Toc506107280"/>
      <w:bookmarkStart w:id="158" w:name="_Toc15058857"/>
      <w:bookmarkStart w:id="159" w:name="_Toc296602431"/>
      <w:bookmarkStart w:id="160" w:name="_Toc324404826"/>
      <w:bookmarkStart w:id="161" w:name="_Toc60061444"/>
      <w:bookmarkStart w:id="162" w:name="_Toc83301699"/>
      <w:bookmarkStart w:id="163" w:name="_Toc95223347"/>
      <w:r>
        <w:rPr>
          <w:rFonts w:hint="eastAsia" w:ascii="宋体" w:hAnsi="宋体" w:cs="宋体"/>
          <w:color w:val="auto"/>
          <w:sz w:val="21"/>
          <w:szCs w:val="21"/>
          <w:highlight w:val="none"/>
        </w:rPr>
        <w:t xml:space="preserve">1.11 </w:t>
      </w:r>
      <w:bookmarkEnd w:id="157"/>
      <w:bookmarkEnd w:id="158"/>
      <w:bookmarkEnd w:id="159"/>
      <w:bookmarkEnd w:id="160"/>
      <w:r>
        <w:rPr>
          <w:rFonts w:hint="eastAsia" w:ascii="宋体" w:hAnsi="宋体" w:cs="宋体"/>
          <w:color w:val="auto"/>
          <w:sz w:val="21"/>
          <w:szCs w:val="21"/>
          <w:highlight w:val="none"/>
        </w:rPr>
        <w:t>分包</w:t>
      </w:r>
      <w:bookmarkEnd w:id="161"/>
      <w:bookmarkEnd w:id="162"/>
      <w:bookmarkEnd w:id="163"/>
    </w:p>
    <w:p w14:paraId="6CAD72CB">
      <w:pPr>
        <w:adjustRightInd w:val="0"/>
        <w:snapToGrid w:val="0"/>
        <w:spacing w:line="500" w:lineRule="exact"/>
        <w:ind w:firstLine="54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39DC7B88">
      <w:pPr>
        <w:tabs>
          <w:tab w:val="left" w:pos="1014"/>
        </w:tabs>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1093FFF6">
      <w:pPr>
        <w:tabs>
          <w:tab w:val="left" w:pos="1014"/>
        </w:tabs>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7C324782">
      <w:pPr>
        <w:tabs>
          <w:tab w:val="left" w:pos="1030"/>
        </w:tabs>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51B0FFFC">
      <w:pPr>
        <w:pStyle w:val="22"/>
        <w:adjustRightInd w:val="0"/>
        <w:snapToGrid w:val="0"/>
        <w:spacing w:line="500" w:lineRule="exact"/>
        <w:ind w:left="0" w:lef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w:t>
      </w:r>
    </w:p>
    <w:p w14:paraId="6148B42F">
      <w:pPr>
        <w:pStyle w:val="22"/>
        <w:adjustRightInd w:val="0"/>
        <w:snapToGrid w:val="0"/>
        <w:spacing w:line="500" w:lineRule="exact"/>
        <w:ind w:left="0" w:lef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向招标人负责，接受分包的人就分包项目承担连带责任。</w:t>
      </w:r>
    </w:p>
    <w:p w14:paraId="4E051DB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64" w:name="_Toc95223348"/>
      <w:bookmarkStart w:id="165" w:name="_Toc60061445"/>
      <w:bookmarkStart w:id="166" w:name="_Toc83301700"/>
      <w:r>
        <w:rPr>
          <w:rFonts w:hint="eastAsia" w:ascii="宋体" w:hAnsi="宋体" w:cs="宋体"/>
          <w:color w:val="auto"/>
          <w:sz w:val="21"/>
          <w:szCs w:val="21"/>
          <w:highlight w:val="none"/>
        </w:rPr>
        <w:t>1.12 偏离</w:t>
      </w:r>
      <w:bookmarkEnd w:id="164"/>
      <w:bookmarkEnd w:id="165"/>
      <w:bookmarkEnd w:id="166"/>
    </w:p>
    <w:p w14:paraId="6677400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0AEBB3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3C4121D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1B6C804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5CCB280">
      <w:pPr>
        <w:tabs>
          <w:tab w:val="left" w:pos="1014"/>
        </w:tabs>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879C44E">
      <w:pPr>
        <w:tabs>
          <w:tab w:val="left" w:pos="1014"/>
        </w:tabs>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4CC79A6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117EE5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0038A75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bookmarkStart w:id="167" w:name="_Toc152045542"/>
      <w:bookmarkStart w:id="168" w:name="_Toc506107281"/>
      <w:bookmarkStart w:id="169" w:name="_Toc60061446"/>
      <w:bookmarkStart w:id="170" w:name="_Toc246996930"/>
      <w:bookmarkStart w:id="171" w:name="_Toc246996187"/>
      <w:bookmarkStart w:id="172" w:name="_Toc247085701"/>
      <w:bookmarkStart w:id="173" w:name="_Toc15058858"/>
      <w:bookmarkStart w:id="174" w:name="_Toc324404827"/>
      <w:bookmarkStart w:id="175" w:name="_Toc83301701"/>
      <w:bookmarkStart w:id="176" w:name="_Toc179632560"/>
      <w:bookmarkStart w:id="177" w:name="_Toc152042318"/>
      <w:bookmarkStart w:id="178" w:name="_Toc144974510"/>
      <w:bookmarkStart w:id="179" w:name="_Toc95223349"/>
    </w:p>
    <w:p w14:paraId="651CEF12">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招标文件</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770595E9">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80" w:name="_Toc144974511"/>
      <w:bookmarkStart w:id="181" w:name="_Toc152045543"/>
      <w:bookmarkStart w:id="182" w:name="_Toc83301702"/>
      <w:bookmarkStart w:id="183" w:name="_Toc179632561"/>
      <w:bookmarkStart w:id="184" w:name="_Toc506107282"/>
      <w:bookmarkStart w:id="185" w:name="_Toc246996188"/>
      <w:bookmarkStart w:id="186" w:name="_Toc247085702"/>
      <w:bookmarkStart w:id="187" w:name="_Toc60061447"/>
      <w:bookmarkStart w:id="188" w:name="_Toc95223350"/>
      <w:bookmarkStart w:id="189" w:name="_Toc15058859"/>
      <w:bookmarkStart w:id="190" w:name="_Toc152042319"/>
      <w:bookmarkStart w:id="191" w:name="_Toc296602433"/>
      <w:bookmarkStart w:id="192" w:name="_Toc246996931"/>
      <w:bookmarkStart w:id="193" w:name="_Toc324404828"/>
      <w:r>
        <w:rPr>
          <w:rFonts w:hint="eastAsia" w:ascii="宋体" w:hAnsi="宋体" w:cs="宋体"/>
          <w:color w:val="auto"/>
          <w:sz w:val="21"/>
          <w:szCs w:val="21"/>
          <w:highlight w:val="none"/>
        </w:rPr>
        <w:t>2.1 招标文件的组成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4029FA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55123732">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176BAED2">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3958FC06">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3FE5A39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w:t>
      </w:r>
    </w:p>
    <w:p w14:paraId="41689BE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45A8865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912383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（7）技术要求； </w:t>
      </w:r>
    </w:p>
    <w:p w14:paraId="1984997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（8）投标文件格式；</w:t>
      </w:r>
    </w:p>
    <w:p w14:paraId="2DEE202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7B6CC11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3EA9185F">
      <w:pPr>
        <w:pStyle w:val="11"/>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B056143">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194" w:name="_Toc83301703"/>
      <w:bookmarkStart w:id="195" w:name="_Toc95223351"/>
      <w:bookmarkStart w:id="196" w:name="_Toc144974512"/>
      <w:bookmarkStart w:id="197" w:name="_Toc324404829"/>
      <w:bookmarkStart w:id="198" w:name="_Toc179632562"/>
      <w:bookmarkStart w:id="199" w:name="_Toc247085703"/>
      <w:bookmarkStart w:id="200" w:name="_Toc152045544"/>
      <w:bookmarkStart w:id="201" w:name="_Toc15058860"/>
      <w:bookmarkStart w:id="202" w:name="_Toc152042320"/>
      <w:bookmarkStart w:id="203" w:name="_Toc506107283"/>
      <w:bookmarkStart w:id="204" w:name="_Toc246996932"/>
      <w:bookmarkStart w:id="205" w:name="_Toc296602434"/>
      <w:bookmarkStart w:id="206" w:name="_Toc246996189"/>
      <w:bookmarkStart w:id="207" w:name="_Toc60061448"/>
      <w:bookmarkStart w:id="208" w:name="_Toc324404832"/>
      <w:bookmarkStart w:id="209" w:name="_Toc246996191"/>
      <w:bookmarkStart w:id="210" w:name="_Toc506107285"/>
      <w:bookmarkStart w:id="211" w:name="_Toc83301706"/>
      <w:bookmarkStart w:id="212" w:name="_Toc247085705"/>
      <w:bookmarkStart w:id="213" w:name="_Toc179632564"/>
      <w:bookmarkStart w:id="214" w:name="_Toc95223354"/>
      <w:bookmarkStart w:id="215" w:name="_Toc144974514"/>
      <w:bookmarkStart w:id="216" w:name="_Toc246996934"/>
      <w:bookmarkStart w:id="217" w:name="_Toc15058863"/>
      <w:bookmarkStart w:id="218" w:name="_Toc60061451"/>
      <w:bookmarkStart w:id="219" w:name="_Toc152042322"/>
      <w:bookmarkStart w:id="220" w:name="_Toc152045546"/>
      <w:r>
        <w:rPr>
          <w:rFonts w:hint="eastAsia" w:ascii="宋体" w:hAnsi="宋体" w:cs="宋体"/>
          <w:color w:val="auto"/>
          <w:sz w:val="21"/>
          <w:szCs w:val="21"/>
          <w:highlight w:val="none"/>
        </w:rPr>
        <w:t>2.2招标文件的异议</w:t>
      </w:r>
    </w:p>
    <w:p w14:paraId="444E1ADA">
      <w:pPr>
        <w:pStyle w:val="22"/>
        <w:adjustRightInd w:val="0"/>
        <w:snapToGrid w:val="0"/>
        <w:spacing w:line="500" w:lineRule="exact"/>
        <w:ind w:left="0" w:lef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6839966">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2.3招标文件的澄清</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color w:val="auto"/>
          <w:sz w:val="21"/>
          <w:szCs w:val="21"/>
          <w:highlight w:val="none"/>
        </w:rPr>
        <w:t xml:space="preserve"> </w:t>
      </w:r>
    </w:p>
    <w:p w14:paraId="290C46B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B836703">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18BF5869">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221" w:name="_Toc247085706"/>
      <w:bookmarkStart w:id="222" w:name="_Toc83301707"/>
      <w:bookmarkStart w:id="223" w:name="_Toc246996935"/>
      <w:bookmarkStart w:id="224" w:name="_Toc60061452"/>
      <w:bookmarkStart w:id="225" w:name="_Toc324404833"/>
      <w:bookmarkStart w:id="226" w:name="_Toc246996192"/>
      <w:bookmarkStart w:id="227" w:name="_Toc144974515"/>
      <w:bookmarkStart w:id="228" w:name="_Toc95223355"/>
      <w:bookmarkStart w:id="229" w:name="_Toc15058864"/>
      <w:bookmarkStart w:id="230" w:name="_Toc152042323"/>
      <w:bookmarkStart w:id="231" w:name="_Toc179632565"/>
      <w:bookmarkStart w:id="232" w:name="_Toc152045547"/>
      <w:bookmarkStart w:id="233" w:name="_Toc296602437"/>
      <w:bookmarkStart w:id="234" w:name="_Toc506107286"/>
      <w:r>
        <w:rPr>
          <w:rFonts w:hint="eastAsia" w:ascii="宋体" w:hAnsi="宋体" w:cs="宋体"/>
          <w:color w:val="auto"/>
          <w:sz w:val="21"/>
          <w:szCs w:val="21"/>
          <w:highlight w:val="none"/>
        </w:rPr>
        <w:t>3.1 投标文件的组成</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5A0FF69">
      <w:pPr>
        <w:adjustRightInd w:val="0"/>
        <w:snapToGrid w:val="0"/>
        <w:spacing w:line="500" w:lineRule="exact"/>
        <w:ind w:firstLine="420" w:firstLineChars="200"/>
        <w:jc w:val="left"/>
        <w:rPr>
          <w:rFonts w:ascii="宋体" w:hAnsi="宋体" w:cs="宋体"/>
          <w:color w:val="auto"/>
          <w:szCs w:val="21"/>
          <w:highlight w:val="none"/>
        </w:rPr>
      </w:pPr>
      <w:bookmarkStart w:id="235" w:name="_Toc152045548"/>
      <w:bookmarkStart w:id="236" w:name="_Toc60061453"/>
      <w:bookmarkStart w:id="237" w:name="_Toc247085707"/>
      <w:bookmarkStart w:id="238" w:name="_Toc152042324"/>
      <w:bookmarkStart w:id="239" w:name="_Toc506107287"/>
      <w:bookmarkStart w:id="240" w:name="_Toc144974516"/>
      <w:bookmarkStart w:id="241" w:name="_Toc324404834"/>
      <w:bookmarkStart w:id="242" w:name="_Toc95223356"/>
      <w:bookmarkStart w:id="243" w:name="_Toc296602438"/>
      <w:bookmarkStart w:id="244" w:name="_Toc179632566"/>
      <w:bookmarkStart w:id="245" w:name="_Toc246996193"/>
      <w:bookmarkStart w:id="246" w:name="_Toc246996936"/>
      <w:bookmarkStart w:id="247" w:name="_Toc15058865"/>
      <w:bookmarkStart w:id="248" w:name="_Toc83301708"/>
      <w:r>
        <w:rPr>
          <w:rFonts w:hint="eastAsia" w:ascii="宋体" w:hAnsi="宋体" w:cs="宋体"/>
          <w:color w:val="auto"/>
          <w:szCs w:val="21"/>
          <w:highlight w:val="none"/>
        </w:rPr>
        <w:t>3.1.1 投标文件应包括下列内容：</w:t>
      </w:r>
    </w:p>
    <w:p w14:paraId="3D630AA4">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资信证明文件：</w:t>
      </w:r>
    </w:p>
    <w:p w14:paraId="27D507A2">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（1）投标人基本情况表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若为联合体投标，均须提供）</w:t>
      </w:r>
      <w:r>
        <w:rPr>
          <w:rFonts w:hint="eastAsia" w:ascii="宋体" w:hAnsi="宋体" w:cs="宋体"/>
          <w:color w:val="auto"/>
          <w:szCs w:val="21"/>
          <w:highlight w:val="none"/>
        </w:rPr>
        <w:t>；</w:t>
      </w:r>
    </w:p>
    <w:p w14:paraId="6F69657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（2）近年财务状况表（本项目不采用）；</w:t>
      </w:r>
    </w:p>
    <w:p w14:paraId="491A1CA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（3）近年完成的类似项目情况表（本项目不采用）；</w:t>
      </w:r>
    </w:p>
    <w:p w14:paraId="742D196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（4）正在实施的和新承接的项目情况表（本项目不采用）；</w:t>
      </w:r>
    </w:p>
    <w:p w14:paraId="097FEFE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（5）联合体协议书；</w:t>
      </w:r>
    </w:p>
    <w:p w14:paraId="211262F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（6）项目管理机构；</w:t>
      </w:r>
    </w:p>
    <w:p w14:paraId="7E4A8BD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（7）其他资格审查资料。</w:t>
      </w:r>
    </w:p>
    <w:p w14:paraId="5AAE795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技术标文件：</w:t>
      </w:r>
    </w:p>
    <w:p w14:paraId="4B4C9F6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项目方案</w:t>
      </w:r>
      <w:r>
        <w:rPr>
          <w:rFonts w:hint="eastAsia" w:ascii="宋体" w:hAnsi="宋体" w:cs="宋体"/>
          <w:color w:val="auto"/>
          <w:szCs w:val="21"/>
          <w:highlight w:val="none"/>
        </w:rPr>
        <w:t>；</w:t>
      </w:r>
    </w:p>
    <w:p w14:paraId="443B8BA0">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（2）整体供货方案；</w:t>
      </w:r>
    </w:p>
    <w:p w14:paraId="6F5C2586">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（3）产品质量保证措施；</w:t>
      </w:r>
    </w:p>
    <w:p w14:paraId="32954079">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（4）设备系统整合方案；</w:t>
      </w:r>
    </w:p>
    <w:p w14:paraId="39443E52">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（5）技术服务能力评价；</w:t>
      </w:r>
    </w:p>
    <w:p w14:paraId="376DD2E6">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（6施工组织设计及调试验收方案；</w:t>
      </w:r>
    </w:p>
    <w:p w14:paraId="72A37C05">
      <w:pPr>
        <w:adjustRightInd w:val="0"/>
        <w:snapToGrid w:val="0"/>
        <w:spacing w:line="5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7）质保服务能力评价。</w:t>
      </w:r>
    </w:p>
    <w:p w14:paraId="4B43C9E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商务标文件：</w:t>
      </w:r>
    </w:p>
    <w:p w14:paraId="1E5107B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w:t>
      </w:r>
    </w:p>
    <w:p w14:paraId="1B8DC48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（2）招标人参考的材料品牌响应表；</w:t>
      </w:r>
    </w:p>
    <w:p w14:paraId="02E59EA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）技术参数响应承诺书；</w:t>
      </w:r>
    </w:p>
    <w:p w14:paraId="7890D14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）全国建筑市场监管公共服务平台(四库一平台)企业注册人员网页截图；</w:t>
      </w:r>
    </w:p>
    <w:p w14:paraId="7E376254">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）商务标评审所需其他材料。</w:t>
      </w:r>
    </w:p>
    <w:p w14:paraId="1E6FF87C">
      <w:pPr>
        <w:adjustRightInd w:val="0"/>
        <w:snapToGrid w:val="0"/>
        <w:spacing w:line="500" w:lineRule="exact"/>
        <w:ind w:firstLine="359" w:firstLineChars="171"/>
        <w:jc w:val="left"/>
        <w:rPr>
          <w:rFonts w:ascii="宋体" w:hAnsi="宋体" w:cs="宋体"/>
          <w:color w:val="auto"/>
          <w:szCs w:val="21"/>
          <w:highlight w:val="none"/>
        </w:rPr>
      </w:pPr>
      <w:r>
        <w:rPr>
          <w:rFonts w:hint="eastAsia" w:ascii="宋体" w:hAnsi="宋体" w:cs="宋体"/>
          <w:color w:val="auto"/>
          <w:szCs w:val="21"/>
          <w:highlight w:val="none"/>
        </w:rPr>
        <w:t>3.1.2 投标人须知前附表规定不接受联合体投标的，或投标人没有组成联合体的，投标文件不包括本章第3.1.1（5）目所指的联合体协议书。</w:t>
      </w:r>
    </w:p>
    <w:p w14:paraId="18835508">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3.2 投标报价</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6EE05DF">
      <w:pPr>
        <w:adjustRightInd w:val="0"/>
        <w:snapToGrid w:val="0"/>
        <w:spacing w:line="500" w:lineRule="exact"/>
        <w:ind w:firstLine="420" w:firstLineChars="200"/>
        <w:jc w:val="left"/>
        <w:rPr>
          <w:rFonts w:ascii="宋体" w:hAnsi="宋体" w:cs="宋体"/>
          <w:color w:val="auto"/>
          <w:szCs w:val="21"/>
          <w:highlight w:val="none"/>
        </w:rPr>
      </w:pPr>
      <w:bookmarkStart w:id="249" w:name="_Toc246996937"/>
      <w:bookmarkStart w:id="250" w:name="_Toc246996194"/>
      <w:bookmarkStart w:id="251" w:name="_Toc152045549"/>
      <w:bookmarkStart w:id="252" w:name="_Toc296602439"/>
      <w:bookmarkStart w:id="253" w:name="_Toc152042325"/>
      <w:bookmarkStart w:id="254" w:name="_Toc247085708"/>
      <w:bookmarkStart w:id="255" w:name="_Toc179632567"/>
      <w:bookmarkStart w:id="256" w:name="_Toc144974517"/>
      <w:bookmarkStart w:id="257" w:name="_Toc324404835"/>
      <w:r>
        <w:rPr>
          <w:rFonts w:hint="eastAsia" w:ascii="宋体" w:hAnsi="宋体" w:cs="宋体"/>
          <w:color w:val="auto"/>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6C0887F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4219F72C">
      <w:pPr>
        <w:pStyle w:val="22"/>
        <w:adjustRightInd w:val="0"/>
        <w:snapToGrid w:val="0"/>
        <w:spacing w:line="500" w:lineRule="exact"/>
        <w:ind w:left="0" w:leftChars="0" w:firstLineChars="0"/>
        <w:jc w:val="left"/>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D424474">
      <w:pPr>
        <w:adjustRightInd w:val="0"/>
        <w:snapToGrid w:val="0"/>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652DD2C0">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color w:val="auto"/>
          <w:szCs w:val="21"/>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6984EADC">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258" w:name="_Toc83301709"/>
      <w:bookmarkStart w:id="259" w:name="_Toc506107288"/>
      <w:bookmarkStart w:id="260" w:name="_Toc60061454"/>
      <w:bookmarkStart w:id="261" w:name="_Toc95223357"/>
      <w:bookmarkStart w:id="262" w:name="_Toc15058866"/>
      <w:r>
        <w:rPr>
          <w:rFonts w:hint="eastAsia" w:ascii="宋体" w:hAnsi="宋体" w:cs="宋体"/>
          <w:color w:val="auto"/>
          <w:sz w:val="21"/>
          <w:szCs w:val="21"/>
          <w:highlight w:val="none"/>
        </w:rPr>
        <w:t>3.3 投标有效期</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501C53F">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90824AB">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02E490A2">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F780867">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263" w:name="_Toc60061455"/>
      <w:bookmarkStart w:id="264" w:name="_Toc144974518"/>
      <w:bookmarkStart w:id="265" w:name="_Toc179632568"/>
      <w:bookmarkStart w:id="266" w:name="_Toc247085709"/>
      <w:bookmarkStart w:id="267" w:name="_Toc296602440"/>
      <w:bookmarkStart w:id="268" w:name="_Toc324404836"/>
      <w:bookmarkStart w:id="269" w:name="_Toc246996938"/>
      <w:bookmarkStart w:id="270" w:name="_Toc95223358"/>
      <w:bookmarkStart w:id="271" w:name="_Toc152045550"/>
      <w:bookmarkStart w:id="272" w:name="_Toc15058867"/>
      <w:bookmarkStart w:id="273" w:name="_Toc246996195"/>
      <w:bookmarkStart w:id="274" w:name="_Toc83301710"/>
      <w:bookmarkStart w:id="275" w:name="_Toc506107289"/>
      <w:bookmarkStart w:id="276" w:name="_Toc152042326"/>
      <w:r>
        <w:rPr>
          <w:rFonts w:hint="eastAsia" w:ascii="宋体" w:hAnsi="宋体" w:cs="宋体"/>
          <w:color w:val="auto"/>
          <w:sz w:val="21"/>
          <w:szCs w:val="21"/>
          <w:highlight w:val="none"/>
        </w:rPr>
        <w:t>3.4 投标保证金</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070281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373B876D">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67AA0F8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4999299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F93E5E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005A01E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19AFE09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B84B1C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3.4.5 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67FF4759">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277" w:name="_Toc95223359"/>
      <w:bookmarkStart w:id="278" w:name="_Toc15058868"/>
      <w:bookmarkStart w:id="279" w:name="_Toc83301711"/>
      <w:bookmarkStart w:id="280" w:name="_Toc324404837"/>
      <w:bookmarkStart w:id="281" w:name="_Toc506107290"/>
      <w:bookmarkStart w:id="282" w:name="_Toc296602442"/>
      <w:bookmarkStart w:id="283" w:name="_Toc60061456"/>
      <w:bookmarkStart w:id="284" w:name="_Toc152045553"/>
      <w:bookmarkStart w:id="285" w:name="_Toc144974521"/>
      <w:bookmarkStart w:id="286" w:name="_Toc247085711"/>
      <w:bookmarkStart w:id="287" w:name="_Toc179632571"/>
      <w:bookmarkStart w:id="288" w:name="_Toc152042329"/>
      <w:bookmarkStart w:id="289" w:name="_Toc246996940"/>
      <w:bookmarkStart w:id="290" w:name="_Toc246996197"/>
      <w:r>
        <w:rPr>
          <w:rFonts w:hint="eastAsia" w:ascii="宋体" w:hAnsi="宋体" w:cs="宋体"/>
          <w:color w:val="auto"/>
          <w:sz w:val="21"/>
          <w:szCs w:val="21"/>
          <w:highlight w:val="none"/>
        </w:rPr>
        <w:t>3.5投标文件的编制</w:t>
      </w:r>
      <w:bookmarkEnd w:id="277"/>
      <w:bookmarkEnd w:id="278"/>
      <w:bookmarkEnd w:id="279"/>
      <w:bookmarkEnd w:id="280"/>
      <w:bookmarkEnd w:id="281"/>
      <w:bookmarkEnd w:id="282"/>
      <w:bookmarkEnd w:id="283"/>
    </w:p>
    <w:p w14:paraId="068F384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5260FB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26E3CB2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投标文件应当对招标文件有关工期、投标有效期、质量要求、技术要求、招标范围等实质性内容作出响应。</w:t>
      </w:r>
    </w:p>
    <w:bookmarkEnd w:id="284"/>
    <w:bookmarkEnd w:id="285"/>
    <w:bookmarkEnd w:id="286"/>
    <w:bookmarkEnd w:id="287"/>
    <w:bookmarkEnd w:id="288"/>
    <w:bookmarkEnd w:id="289"/>
    <w:bookmarkEnd w:id="290"/>
    <w:p w14:paraId="440584D2">
      <w:pPr>
        <w:adjustRightInd w:val="0"/>
        <w:snapToGrid w:val="0"/>
        <w:spacing w:line="500" w:lineRule="exact"/>
        <w:ind w:firstLine="420" w:firstLineChars="200"/>
        <w:jc w:val="left"/>
        <w:rPr>
          <w:rFonts w:ascii="宋体" w:hAnsi="宋体" w:cs="宋体"/>
          <w:bCs/>
          <w:snapToGrid w:val="0"/>
          <w:color w:val="auto"/>
          <w:kern w:val="0"/>
          <w:szCs w:val="21"/>
          <w:highlight w:val="none"/>
        </w:rPr>
      </w:pPr>
      <w:bookmarkStart w:id="291" w:name="_Toc144974523"/>
      <w:bookmarkStart w:id="292" w:name="_Toc152045555"/>
      <w:bookmarkStart w:id="293" w:name="_Toc246996199"/>
      <w:bookmarkStart w:id="294" w:name="_Toc179632573"/>
      <w:bookmarkStart w:id="295" w:name="_Toc324404838"/>
      <w:bookmarkStart w:id="296" w:name="_Toc246996942"/>
      <w:bookmarkStart w:id="297" w:name="_Toc152042331"/>
      <w:bookmarkStart w:id="298" w:name="_Toc247085713"/>
      <w:r>
        <w:rPr>
          <w:rFonts w:hint="eastAsia" w:ascii="宋体" w:hAnsi="宋体" w:cs="宋体"/>
          <w:bCs/>
          <w:snapToGrid w:val="0"/>
          <w:color w:val="auto"/>
          <w:kern w:val="0"/>
          <w:szCs w:val="21"/>
          <w:highlight w:val="none"/>
        </w:rPr>
        <w:t>3.5.4 投标人须知前附表规定接受联合体投标的，资格审查资料应包括联合体各方相关情况 。</w:t>
      </w:r>
    </w:p>
    <w:p w14:paraId="07FF4DF5">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6A24B7CB">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6369930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79844F6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招标文件中“签章”是指签字或盖章</w:t>
      </w:r>
      <w:r>
        <w:rPr>
          <w:rFonts w:hint="eastAsia" w:ascii="宋体" w:hAnsi="宋体" w:cs="宋体"/>
          <w:color w:val="auto"/>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24DE0CE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77DEF5D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7B270A8A">
      <w:pPr>
        <w:adjustRightInd w:val="0"/>
        <w:snapToGrid w:val="0"/>
        <w:spacing w:line="5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57F3AC47">
      <w:pPr>
        <w:adjustRightInd w:val="0"/>
        <w:snapToGrid w:val="0"/>
        <w:spacing w:line="5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3E1E7440">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3.6 备选投标方案</w:t>
      </w:r>
    </w:p>
    <w:p w14:paraId="68ABEF1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350A357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631B7D3">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color w:val="auto"/>
          <w:szCs w:val="21"/>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32591304">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299" w:name="_Toc83301712"/>
      <w:bookmarkStart w:id="300" w:name="_Toc60061457"/>
      <w:bookmarkStart w:id="301" w:name="_Toc15058869"/>
      <w:bookmarkStart w:id="302" w:name="_Toc95223360"/>
      <w:bookmarkStart w:id="303" w:name="_Toc506107291"/>
      <w:r>
        <w:rPr>
          <w:rFonts w:hint="eastAsia" w:ascii="宋体" w:hAnsi="宋体" w:eastAsia="宋体" w:cs="宋体"/>
          <w:color w:val="auto"/>
          <w:sz w:val="21"/>
          <w:szCs w:val="21"/>
          <w:highlight w:val="none"/>
        </w:rPr>
        <w:t>4.投标</w:t>
      </w:r>
      <w:bookmarkEnd w:id="299"/>
      <w:bookmarkEnd w:id="300"/>
      <w:bookmarkEnd w:id="301"/>
      <w:bookmarkEnd w:id="302"/>
      <w:bookmarkEnd w:id="303"/>
    </w:p>
    <w:p w14:paraId="792C8A7D">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04" w:name="_Toc15058870"/>
      <w:bookmarkStart w:id="305" w:name="_Toc95223361"/>
      <w:bookmarkStart w:id="306" w:name="_Toc83301713"/>
      <w:bookmarkStart w:id="307" w:name="_Toc60061458"/>
      <w:r>
        <w:rPr>
          <w:rFonts w:hint="eastAsia" w:ascii="宋体" w:hAnsi="宋体" w:cs="宋体"/>
          <w:color w:val="auto"/>
          <w:sz w:val="21"/>
          <w:szCs w:val="21"/>
          <w:highlight w:val="none"/>
        </w:rPr>
        <w:t>4.1投标文件上传</w:t>
      </w:r>
      <w:bookmarkEnd w:id="304"/>
      <w:bookmarkEnd w:id="305"/>
      <w:bookmarkEnd w:id="306"/>
      <w:bookmarkEnd w:id="307"/>
    </w:p>
    <w:p w14:paraId="1102930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2DDE174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29BE8E32">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08" w:name="_Toc324404839"/>
      <w:bookmarkStart w:id="309" w:name="_Toc60061459"/>
      <w:bookmarkStart w:id="310" w:name="_Toc152042332"/>
      <w:bookmarkStart w:id="311" w:name="_Toc95223362"/>
      <w:bookmarkStart w:id="312" w:name="_Toc179632574"/>
      <w:bookmarkStart w:id="313" w:name="_Toc506107292"/>
      <w:bookmarkStart w:id="314" w:name="_Toc296602444"/>
      <w:bookmarkStart w:id="315" w:name="_Toc247085714"/>
      <w:bookmarkStart w:id="316" w:name="_Toc144974524"/>
      <w:bookmarkStart w:id="317" w:name="_Toc83301714"/>
      <w:bookmarkStart w:id="318" w:name="_Toc152045556"/>
      <w:bookmarkStart w:id="319" w:name="_Toc246996200"/>
      <w:bookmarkStart w:id="320" w:name="_Toc15058871"/>
      <w:bookmarkStart w:id="321" w:name="_Toc246996943"/>
      <w:r>
        <w:rPr>
          <w:rFonts w:hint="eastAsia" w:ascii="宋体" w:hAnsi="宋体" w:cs="宋体"/>
          <w:color w:val="auto"/>
          <w:sz w:val="21"/>
          <w:szCs w:val="21"/>
          <w:highlight w:val="none"/>
        </w:rPr>
        <w:t>4.2投标文件的密封和标记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E692FC9">
      <w:pPr>
        <w:adjustRightInd w:val="0"/>
        <w:snapToGrid w:val="0"/>
        <w:spacing w:line="500" w:lineRule="exact"/>
        <w:ind w:firstLine="420" w:firstLineChars="200"/>
        <w:jc w:val="left"/>
        <w:rPr>
          <w:rFonts w:ascii="宋体" w:hAnsi="宋体" w:cs="宋体"/>
          <w:color w:val="auto"/>
          <w:szCs w:val="21"/>
          <w:highlight w:val="none"/>
        </w:rPr>
      </w:pPr>
      <w:bookmarkStart w:id="322" w:name="_Toc296602445"/>
      <w:bookmarkStart w:id="323" w:name="_Toc152042333"/>
      <w:bookmarkStart w:id="324" w:name="_Toc179632575"/>
      <w:bookmarkStart w:id="325" w:name="_Toc152045557"/>
      <w:bookmarkStart w:id="326" w:name="_Toc324404840"/>
      <w:bookmarkStart w:id="327" w:name="_Toc247085715"/>
      <w:bookmarkStart w:id="328" w:name="_Toc144974525"/>
      <w:bookmarkStart w:id="329" w:name="_Toc246996944"/>
      <w:bookmarkStart w:id="330" w:name="_Toc246996201"/>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5A2431A5">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31" w:name="_Toc83301715"/>
      <w:bookmarkStart w:id="332" w:name="_Toc15058872"/>
      <w:bookmarkStart w:id="333" w:name="_Toc95223363"/>
      <w:bookmarkStart w:id="334" w:name="_Toc506107293"/>
      <w:bookmarkStart w:id="335" w:name="_Toc60061460"/>
      <w:r>
        <w:rPr>
          <w:rFonts w:hint="eastAsia" w:ascii="宋体" w:hAnsi="宋体" w:cs="宋体"/>
          <w:color w:val="auto"/>
          <w:sz w:val="21"/>
          <w:szCs w:val="21"/>
          <w:highlight w:val="none"/>
        </w:rPr>
        <w:t>4.3 投标文件的递交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5DC7EF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39378BB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01BE070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7A77197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36" w:name="_Toc247085716"/>
      <w:bookmarkStart w:id="337" w:name="_Toc15058873"/>
      <w:bookmarkStart w:id="338" w:name="_Toc60061461"/>
      <w:bookmarkStart w:id="339" w:name="_Toc246996945"/>
      <w:bookmarkStart w:id="340" w:name="_Toc152045558"/>
      <w:bookmarkStart w:id="341" w:name="_Toc144974526"/>
      <w:bookmarkStart w:id="342" w:name="_Toc83301716"/>
      <w:bookmarkStart w:id="343" w:name="_Toc296602446"/>
      <w:bookmarkStart w:id="344" w:name="_Toc324404841"/>
      <w:bookmarkStart w:id="345" w:name="_Toc179632576"/>
      <w:bookmarkStart w:id="346" w:name="_Toc95223364"/>
      <w:bookmarkStart w:id="347" w:name="_Toc506107294"/>
      <w:bookmarkStart w:id="348" w:name="_Toc246996202"/>
      <w:bookmarkStart w:id="349" w:name="_Toc152042334"/>
      <w:r>
        <w:rPr>
          <w:rFonts w:hint="eastAsia" w:ascii="宋体" w:hAnsi="宋体" w:cs="宋体"/>
          <w:color w:val="auto"/>
          <w:sz w:val="21"/>
          <w:szCs w:val="21"/>
          <w:highlight w:val="none"/>
        </w:rPr>
        <w:t>4.4 投标文件的修改与撤回</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55B33B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4.4.1在第一章“招标公告”规定的投标截止时间前，投标人可以自行从网上招投标系统撤回已递交的投标文件，并可修改后重新加密上传，开标时以投标截止时间前投标人最终上传的投标文件为准。</w:t>
      </w:r>
    </w:p>
    <w:p w14:paraId="21273A1A">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350" w:name="_Toc15058874"/>
      <w:bookmarkStart w:id="351" w:name="_Toc247085717"/>
      <w:bookmarkStart w:id="352" w:name="_Toc179632577"/>
      <w:bookmarkStart w:id="353" w:name="_Toc246996946"/>
      <w:bookmarkStart w:id="354" w:name="_Toc506107295"/>
      <w:bookmarkStart w:id="355" w:name="_Toc246996203"/>
      <w:bookmarkStart w:id="356" w:name="_Toc152045559"/>
      <w:bookmarkStart w:id="357" w:name="_Toc152042335"/>
      <w:bookmarkStart w:id="358" w:name="_Toc60061462"/>
      <w:bookmarkStart w:id="359" w:name="_Toc324404842"/>
      <w:bookmarkStart w:id="360" w:name="_Toc144974527"/>
      <w:bookmarkStart w:id="361" w:name="_Toc83301717"/>
      <w:bookmarkStart w:id="362" w:name="_Toc95223365"/>
      <w:r>
        <w:rPr>
          <w:rFonts w:hint="eastAsia" w:ascii="宋体" w:hAnsi="宋体" w:eastAsia="宋体" w:cs="宋体"/>
          <w:color w:val="auto"/>
          <w:sz w:val="21"/>
          <w:szCs w:val="21"/>
          <w:highlight w:val="none"/>
        </w:rPr>
        <w:t>5. 开标</w:t>
      </w:r>
      <w:bookmarkEnd w:id="350"/>
      <w:bookmarkEnd w:id="351"/>
      <w:bookmarkEnd w:id="352"/>
      <w:bookmarkEnd w:id="353"/>
      <w:bookmarkEnd w:id="354"/>
      <w:bookmarkEnd w:id="355"/>
      <w:bookmarkEnd w:id="356"/>
      <w:bookmarkEnd w:id="357"/>
      <w:bookmarkEnd w:id="358"/>
      <w:bookmarkEnd w:id="359"/>
      <w:bookmarkEnd w:id="360"/>
      <w:bookmarkEnd w:id="361"/>
      <w:bookmarkEnd w:id="362"/>
    </w:p>
    <w:p w14:paraId="20C78FD9">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63" w:name="_Toc246996947"/>
      <w:bookmarkStart w:id="364" w:name="_Toc324404843"/>
      <w:bookmarkStart w:id="365" w:name="_Toc95223366"/>
      <w:bookmarkStart w:id="366" w:name="_Toc144974528"/>
      <w:bookmarkStart w:id="367" w:name="_Toc247085718"/>
      <w:bookmarkStart w:id="368" w:name="_Toc83301718"/>
      <w:bookmarkStart w:id="369" w:name="_Toc296602448"/>
      <w:bookmarkStart w:id="370" w:name="_Toc15058875"/>
      <w:bookmarkStart w:id="371" w:name="_Toc152045560"/>
      <w:bookmarkStart w:id="372" w:name="_Toc179632578"/>
      <w:bookmarkStart w:id="373" w:name="_Toc506107296"/>
      <w:bookmarkStart w:id="374" w:name="_Toc152042336"/>
      <w:bookmarkStart w:id="375" w:name="_Toc60061463"/>
      <w:bookmarkStart w:id="376" w:name="_Toc246996204"/>
      <w:r>
        <w:rPr>
          <w:rFonts w:hint="eastAsia" w:ascii="宋体" w:hAnsi="宋体" w:cs="宋体"/>
          <w:color w:val="auto"/>
          <w:sz w:val="21"/>
          <w:szCs w:val="21"/>
          <w:highlight w:val="none"/>
        </w:rPr>
        <w:t>5.1 开标时间和地点</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39F6B9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招标人在第一章“招标公告”规定的投标截止时间前（开标时间）和地点通过电子交易系统公开开标。</w:t>
      </w:r>
    </w:p>
    <w:p w14:paraId="2DE4E0D3">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77" w:name="_Toc506107297"/>
      <w:bookmarkStart w:id="378" w:name="_Toc179632579"/>
      <w:bookmarkStart w:id="379" w:name="_Toc152042337"/>
      <w:bookmarkStart w:id="380" w:name="_Toc324404844"/>
      <w:bookmarkStart w:id="381" w:name="_Toc15058876"/>
      <w:bookmarkStart w:id="382" w:name="_Toc60061464"/>
      <w:bookmarkStart w:id="383" w:name="_Toc95223367"/>
      <w:bookmarkStart w:id="384" w:name="_Toc246996205"/>
      <w:bookmarkStart w:id="385" w:name="_Toc144974529"/>
      <w:bookmarkStart w:id="386" w:name="_Toc152045561"/>
      <w:bookmarkStart w:id="387" w:name="_Toc296602449"/>
      <w:bookmarkStart w:id="388" w:name="_Toc246996948"/>
      <w:bookmarkStart w:id="389" w:name="_Toc83301719"/>
      <w:bookmarkStart w:id="390" w:name="_Toc247085719"/>
      <w:r>
        <w:rPr>
          <w:rFonts w:hint="eastAsia" w:ascii="宋体" w:hAnsi="宋体" w:cs="宋体"/>
          <w:color w:val="auto"/>
          <w:sz w:val="21"/>
          <w:szCs w:val="21"/>
          <w:highlight w:val="none"/>
        </w:rPr>
        <w:t>5.2 开标程序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2FF8B4">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14:paraId="64A59278">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67DD33C4">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12F10279">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ADB2C4E">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0FFEA097">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（5）开标结束。</w:t>
      </w:r>
    </w:p>
    <w:bookmarkEnd w:id="291"/>
    <w:bookmarkEnd w:id="292"/>
    <w:bookmarkEnd w:id="293"/>
    <w:bookmarkEnd w:id="294"/>
    <w:bookmarkEnd w:id="295"/>
    <w:bookmarkEnd w:id="296"/>
    <w:bookmarkEnd w:id="297"/>
    <w:bookmarkEnd w:id="298"/>
    <w:p w14:paraId="52BA898A">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391" w:name="_Toc324404845"/>
      <w:bookmarkStart w:id="392" w:name="_Toc506107298"/>
      <w:bookmarkStart w:id="393" w:name="_Toc15058883"/>
      <w:bookmarkStart w:id="394" w:name="_Toc83301720"/>
      <w:bookmarkStart w:id="395" w:name="_Toc60061465"/>
      <w:bookmarkStart w:id="396" w:name="_Toc296602450"/>
      <w:bookmarkStart w:id="397" w:name="_Toc95223368"/>
      <w:r>
        <w:rPr>
          <w:rFonts w:hint="eastAsia" w:ascii="宋体" w:hAnsi="宋体" w:cs="宋体"/>
          <w:color w:val="auto"/>
          <w:sz w:val="21"/>
          <w:szCs w:val="21"/>
          <w:highlight w:val="none"/>
        </w:rPr>
        <w:t>5.3 开标异议</w:t>
      </w:r>
      <w:bookmarkEnd w:id="391"/>
      <w:bookmarkEnd w:id="392"/>
      <w:bookmarkEnd w:id="393"/>
      <w:bookmarkEnd w:id="394"/>
      <w:bookmarkEnd w:id="395"/>
      <w:bookmarkEnd w:id="396"/>
      <w:bookmarkEnd w:id="397"/>
    </w:p>
    <w:p w14:paraId="0028A6F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rFonts w:hint="eastAsia" w:ascii="宋体" w:hAnsi="宋体" w:cs="宋体"/>
          <w:color w:val="auto"/>
          <w:spacing w:val="-5"/>
          <w:szCs w:val="21"/>
          <w:highlight w:val="none"/>
        </w:rPr>
        <w:t>异议与答复应通过电子交易系统进行。</w:t>
      </w:r>
    </w:p>
    <w:p w14:paraId="2CD50164">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398" w:name="_Toc152042338"/>
      <w:bookmarkStart w:id="399" w:name="_Toc95223369"/>
      <w:bookmarkStart w:id="400" w:name="_Toc15058884"/>
      <w:bookmarkStart w:id="401" w:name="_Toc60061466"/>
      <w:bookmarkStart w:id="402" w:name="_Toc247085720"/>
      <w:bookmarkStart w:id="403" w:name="_Toc506107299"/>
      <w:bookmarkStart w:id="404" w:name="_Toc324404846"/>
      <w:bookmarkStart w:id="405" w:name="_Toc246996949"/>
      <w:bookmarkStart w:id="406" w:name="_Toc144974530"/>
      <w:bookmarkStart w:id="407" w:name="_Toc83301721"/>
      <w:bookmarkStart w:id="408" w:name="_Toc179632580"/>
      <w:bookmarkStart w:id="409" w:name="_Toc152045562"/>
      <w:bookmarkStart w:id="410" w:name="_Toc246996206"/>
      <w:r>
        <w:rPr>
          <w:rFonts w:hint="eastAsia" w:ascii="宋体" w:hAnsi="宋体" w:eastAsia="宋体" w:cs="宋体"/>
          <w:color w:val="auto"/>
          <w:sz w:val="21"/>
          <w:szCs w:val="21"/>
          <w:highlight w:val="none"/>
        </w:rPr>
        <w:t>6. 评标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43B86AC1">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11" w:name="_Toc246996207"/>
      <w:bookmarkStart w:id="412" w:name="_Toc296602452"/>
      <w:bookmarkStart w:id="413" w:name="_Toc83301722"/>
      <w:bookmarkStart w:id="414" w:name="_Toc144974531"/>
      <w:bookmarkStart w:id="415" w:name="_Toc152045563"/>
      <w:bookmarkStart w:id="416" w:name="_Toc179632581"/>
      <w:bookmarkStart w:id="417" w:name="_Toc60061467"/>
      <w:bookmarkStart w:id="418" w:name="_Toc246996950"/>
      <w:bookmarkStart w:id="419" w:name="_Toc15058885"/>
      <w:bookmarkStart w:id="420" w:name="_Toc506107300"/>
      <w:bookmarkStart w:id="421" w:name="_Toc95223370"/>
      <w:bookmarkStart w:id="422" w:name="_Toc324404847"/>
      <w:bookmarkStart w:id="423" w:name="_Toc247085721"/>
      <w:bookmarkStart w:id="424" w:name="_Toc152042339"/>
      <w:r>
        <w:rPr>
          <w:rFonts w:hint="eastAsia" w:ascii="宋体" w:hAnsi="宋体" w:cs="宋体"/>
          <w:color w:val="auto"/>
          <w:sz w:val="21"/>
          <w:szCs w:val="21"/>
          <w:highlight w:val="none"/>
        </w:rPr>
        <w:t>6.1 评标委员会</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6240F4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DE42D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1F17848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42BF7D67">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732277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401FDB8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352D57B">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169F78C4">
      <w:pPr>
        <w:pStyle w:val="22"/>
        <w:adjustRightInd w:val="0"/>
        <w:snapToGrid w:val="0"/>
        <w:spacing w:line="50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747FDC08">
      <w:pPr>
        <w:pStyle w:val="22"/>
        <w:adjustRightInd w:val="0"/>
        <w:snapToGrid w:val="0"/>
        <w:spacing w:line="50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p>
    <w:p w14:paraId="10EA2BE9">
      <w:pPr>
        <w:pStyle w:val="22"/>
        <w:adjustRightInd w:val="0"/>
        <w:snapToGrid w:val="0"/>
        <w:spacing w:line="50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10C4636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25" w:name="_Toc15058886"/>
      <w:bookmarkStart w:id="426" w:name="_Toc506107301"/>
      <w:bookmarkStart w:id="427" w:name="_Toc60061468"/>
      <w:bookmarkStart w:id="428" w:name="_Toc179632582"/>
      <w:bookmarkStart w:id="429" w:name="_Toc152042340"/>
      <w:bookmarkStart w:id="430" w:name="_Toc324404848"/>
      <w:bookmarkStart w:id="431" w:name="_Toc83301723"/>
      <w:bookmarkStart w:id="432" w:name="_Toc152045564"/>
      <w:bookmarkStart w:id="433" w:name="_Toc296602453"/>
      <w:bookmarkStart w:id="434" w:name="_Toc247085722"/>
      <w:bookmarkStart w:id="435" w:name="_Toc246996208"/>
      <w:bookmarkStart w:id="436" w:name="_Toc144974532"/>
      <w:bookmarkStart w:id="437" w:name="_Toc246996951"/>
      <w:bookmarkStart w:id="438" w:name="_Toc95223371"/>
      <w:r>
        <w:rPr>
          <w:rFonts w:hint="eastAsia" w:ascii="宋体" w:hAnsi="宋体" w:cs="宋体"/>
          <w:color w:val="auto"/>
          <w:sz w:val="21"/>
          <w:szCs w:val="21"/>
          <w:highlight w:val="none"/>
        </w:rPr>
        <w:t>6.2 评标原则</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70811CB">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372FE652">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39" w:name="_Toc60061469"/>
      <w:bookmarkStart w:id="440" w:name="_Toc95223372"/>
      <w:bookmarkStart w:id="441" w:name="_Toc152045565"/>
      <w:bookmarkStart w:id="442" w:name="_Toc246996952"/>
      <w:bookmarkStart w:id="443" w:name="_Toc247085723"/>
      <w:bookmarkStart w:id="444" w:name="_Toc246996209"/>
      <w:bookmarkStart w:id="445" w:name="_Toc83301724"/>
      <w:bookmarkStart w:id="446" w:name="_Toc506107302"/>
      <w:bookmarkStart w:id="447" w:name="_Toc144974533"/>
      <w:bookmarkStart w:id="448" w:name="_Toc15058887"/>
      <w:bookmarkStart w:id="449" w:name="_Toc324404849"/>
      <w:bookmarkStart w:id="450" w:name="_Toc152042341"/>
      <w:bookmarkStart w:id="451" w:name="_Toc296602454"/>
      <w:bookmarkStart w:id="452" w:name="_Toc179632583"/>
      <w:r>
        <w:rPr>
          <w:rFonts w:hint="eastAsia" w:ascii="宋体" w:hAnsi="宋体" w:cs="宋体"/>
          <w:color w:val="auto"/>
          <w:sz w:val="21"/>
          <w:szCs w:val="21"/>
          <w:highlight w:val="none"/>
        </w:rPr>
        <w:t>6.3 评标</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Start w:id="453" w:name="_Toc15058888"/>
      <w:bookmarkStart w:id="454" w:name="_Toc60061470"/>
      <w:bookmarkStart w:id="455" w:name="_Toc152042342"/>
      <w:bookmarkStart w:id="456" w:name="_Toc144974534"/>
      <w:bookmarkStart w:id="457" w:name="_Toc247085724"/>
      <w:bookmarkStart w:id="458" w:name="_Toc246996953"/>
      <w:bookmarkStart w:id="459" w:name="_Toc179632584"/>
      <w:bookmarkStart w:id="460" w:name="_Toc152045566"/>
      <w:bookmarkStart w:id="461" w:name="_Toc246996210"/>
      <w:bookmarkStart w:id="462" w:name="_Toc506107303"/>
      <w:bookmarkStart w:id="463" w:name="_Toc324404850"/>
      <w:r>
        <w:rPr>
          <w:rFonts w:hint="eastAsia" w:ascii="宋体" w:hAnsi="宋体" w:cs="宋体"/>
          <w:color w:val="auto"/>
          <w:sz w:val="21"/>
          <w:szCs w:val="21"/>
          <w:highlight w:val="none"/>
        </w:rPr>
        <w:t xml:space="preserve">    </w:t>
      </w:r>
    </w:p>
    <w:p w14:paraId="6797AEC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1D19F94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4B8F8A97">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464" w:name="_Toc95223373"/>
      <w:bookmarkStart w:id="465" w:name="_Toc83301725"/>
      <w:r>
        <w:rPr>
          <w:rFonts w:hint="eastAsia" w:ascii="宋体" w:hAnsi="宋体" w:eastAsia="宋体" w:cs="宋体"/>
          <w:color w:val="auto"/>
          <w:sz w:val="21"/>
          <w:szCs w:val="21"/>
          <w:highlight w:val="none"/>
        </w:rPr>
        <w:t>7. 合同授予</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7C2BED14">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66" w:name="_Toc83301726"/>
      <w:bookmarkStart w:id="467" w:name="_Toc506107305"/>
      <w:bookmarkStart w:id="468" w:name="_Toc296602457"/>
      <w:bookmarkStart w:id="469" w:name="_Toc60061472"/>
      <w:bookmarkStart w:id="470" w:name="_Toc324404852"/>
      <w:bookmarkStart w:id="471" w:name="_Toc15058890"/>
      <w:bookmarkStart w:id="472" w:name="_Toc95223374"/>
      <w:r>
        <w:rPr>
          <w:rFonts w:hint="eastAsia" w:ascii="宋体" w:hAnsi="宋体" w:cs="宋体"/>
          <w:color w:val="auto"/>
          <w:sz w:val="21"/>
          <w:szCs w:val="21"/>
          <w:highlight w:val="none"/>
        </w:rPr>
        <w:t>7.1 中标候选人公示</w:t>
      </w:r>
      <w:bookmarkEnd w:id="466"/>
      <w:bookmarkEnd w:id="467"/>
      <w:bookmarkEnd w:id="468"/>
      <w:bookmarkEnd w:id="469"/>
      <w:bookmarkEnd w:id="470"/>
      <w:bookmarkEnd w:id="471"/>
      <w:bookmarkEnd w:id="472"/>
    </w:p>
    <w:p w14:paraId="6041E850">
      <w:pPr>
        <w:adjustRightInd w:val="0"/>
        <w:snapToGrid w:val="0"/>
        <w:spacing w:line="500" w:lineRule="exact"/>
        <w:ind w:firstLine="420" w:firstLineChars="200"/>
        <w:jc w:val="left"/>
        <w:rPr>
          <w:rFonts w:ascii="宋体" w:hAnsi="宋体" w:cs="宋体"/>
          <w:color w:val="auto"/>
          <w:szCs w:val="21"/>
          <w:highlight w:val="none"/>
        </w:rPr>
      </w:pPr>
      <w:bookmarkStart w:id="473" w:name="_Toc60061473"/>
      <w:bookmarkStart w:id="474" w:name="_Toc246996212"/>
      <w:bookmarkStart w:id="475" w:name="_Toc144974536"/>
      <w:bookmarkStart w:id="476" w:name="_Toc247085726"/>
      <w:bookmarkStart w:id="477" w:name="_Toc152045568"/>
      <w:bookmarkStart w:id="478" w:name="_Toc152042344"/>
      <w:bookmarkStart w:id="479" w:name="_Toc324404853"/>
      <w:bookmarkStart w:id="480" w:name="_Toc179632586"/>
      <w:bookmarkStart w:id="481" w:name="_Toc246996955"/>
      <w:bookmarkStart w:id="482" w:name="_Toc296602458"/>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0D7583BB">
      <w:pPr>
        <w:adjustRightInd w:val="0"/>
        <w:snapToGrid w:val="0"/>
        <w:spacing w:line="500" w:lineRule="exact"/>
        <w:ind w:firstLine="422" w:firstLineChars="200"/>
        <w:jc w:val="left"/>
        <w:rPr>
          <w:rFonts w:ascii="宋体" w:hAnsi="宋体" w:cs="宋体"/>
          <w:bCs/>
          <w:color w:val="auto"/>
          <w:kern w:val="0"/>
          <w:szCs w:val="21"/>
          <w:highlight w:val="none"/>
        </w:rPr>
      </w:pPr>
      <w:r>
        <w:rPr>
          <w:rFonts w:hint="eastAsia" w:ascii="宋体" w:hAnsi="宋体" w:cs="宋体"/>
          <w:b/>
          <w:bCs/>
          <w:color w:val="auto"/>
          <w:kern w:val="0"/>
          <w:szCs w:val="21"/>
          <w:highlight w:val="none"/>
        </w:rPr>
        <w:t>7.2 评标结果异议</w:t>
      </w:r>
    </w:p>
    <w:p w14:paraId="461725B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p w14:paraId="531B3A60">
      <w:pPr>
        <w:adjustRightInd w:val="0"/>
        <w:snapToGrid w:val="0"/>
        <w:spacing w:line="50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7.3 中标候选人履约能力审查</w:t>
      </w:r>
    </w:p>
    <w:p w14:paraId="7FB36AD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2E7AE805">
      <w:pPr>
        <w:adjustRightInd w:val="0"/>
        <w:snapToGrid w:val="0"/>
        <w:spacing w:line="50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7.4 业绩奖项公示</w:t>
      </w:r>
      <w:bookmarkEnd w:id="473"/>
    </w:p>
    <w:p w14:paraId="32CC61F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733E4D78">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83" w:name="_Toc83301727"/>
      <w:bookmarkStart w:id="484" w:name="_Toc95223375"/>
      <w:bookmarkStart w:id="485" w:name="_Toc60061474"/>
      <w:bookmarkStart w:id="486" w:name="_Toc506107306"/>
      <w:bookmarkStart w:id="487" w:name="_Toc15058891"/>
      <w:r>
        <w:rPr>
          <w:rFonts w:hint="eastAsia" w:ascii="宋体" w:hAnsi="宋体" w:cs="宋体"/>
          <w:color w:val="auto"/>
          <w:sz w:val="21"/>
          <w:szCs w:val="21"/>
          <w:highlight w:val="none"/>
        </w:rPr>
        <w:t>7.5 定标</w:t>
      </w:r>
      <w:bookmarkEnd w:id="483"/>
      <w:bookmarkEnd w:id="484"/>
    </w:p>
    <w:p w14:paraId="5E4BBB9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14B80F4">
      <w:pPr>
        <w:pStyle w:val="4"/>
        <w:adjustRightInd w:val="0"/>
        <w:snapToGrid w:val="0"/>
        <w:spacing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w:t>
      </w:r>
      <w:bookmarkStart w:id="488" w:name="_Toc95223376"/>
      <w:bookmarkStart w:id="489" w:name="_Toc83301728"/>
      <w:r>
        <w:rPr>
          <w:rFonts w:hint="eastAsia" w:ascii="宋体" w:hAnsi="宋体" w:cs="宋体"/>
          <w:color w:val="auto"/>
          <w:sz w:val="21"/>
          <w:szCs w:val="21"/>
          <w:highlight w:val="none"/>
        </w:rPr>
        <w:t>7.6 中标通知</w:t>
      </w:r>
      <w:bookmarkEnd w:id="474"/>
      <w:bookmarkEnd w:id="475"/>
      <w:bookmarkEnd w:id="476"/>
      <w:bookmarkEnd w:id="477"/>
      <w:bookmarkEnd w:id="478"/>
      <w:bookmarkEnd w:id="479"/>
      <w:bookmarkEnd w:id="480"/>
      <w:bookmarkEnd w:id="481"/>
      <w:bookmarkEnd w:id="482"/>
      <w:bookmarkEnd w:id="485"/>
      <w:bookmarkEnd w:id="486"/>
      <w:bookmarkEnd w:id="487"/>
      <w:bookmarkEnd w:id="488"/>
      <w:bookmarkEnd w:id="489"/>
    </w:p>
    <w:p w14:paraId="6DC8D37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在本招标文件规定的投标有效期内，招标人以数据电文向中标人发出中标通知书，同时将中标结果通知未中标的投标人。</w:t>
      </w:r>
    </w:p>
    <w:p w14:paraId="152C754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90" w:name="_Toc95223377"/>
      <w:r>
        <w:rPr>
          <w:rFonts w:hint="eastAsia" w:ascii="宋体" w:hAnsi="宋体" w:cs="宋体"/>
          <w:color w:val="auto"/>
          <w:sz w:val="21"/>
          <w:szCs w:val="21"/>
          <w:highlight w:val="none"/>
        </w:rPr>
        <w:t>7.7 中标结果公示</w:t>
      </w:r>
      <w:bookmarkEnd w:id="490"/>
    </w:p>
    <w:p w14:paraId="24737A5B">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492F6B71">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491" w:name="_Toc247085727"/>
      <w:bookmarkStart w:id="492" w:name="_Toc144974537"/>
      <w:bookmarkStart w:id="493" w:name="_Toc506107307"/>
      <w:bookmarkStart w:id="494" w:name="_Toc296602459"/>
      <w:bookmarkStart w:id="495" w:name="_Toc83301730"/>
      <w:bookmarkStart w:id="496" w:name="_Toc95223378"/>
      <w:bookmarkStart w:id="497" w:name="_Toc15058892"/>
      <w:bookmarkStart w:id="498" w:name="_Toc152042345"/>
      <w:bookmarkStart w:id="499" w:name="_Toc60061476"/>
      <w:bookmarkStart w:id="500" w:name="_Toc179632587"/>
      <w:bookmarkStart w:id="501" w:name="_Toc246996956"/>
      <w:bookmarkStart w:id="502" w:name="_Toc324404854"/>
      <w:bookmarkStart w:id="503" w:name="_Toc152045569"/>
      <w:bookmarkStart w:id="504" w:name="_Toc246996213"/>
      <w:r>
        <w:rPr>
          <w:rFonts w:hint="eastAsia" w:ascii="宋体" w:hAnsi="宋体" w:cs="宋体"/>
          <w:color w:val="auto"/>
          <w:sz w:val="21"/>
          <w:szCs w:val="21"/>
          <w:highlight w:val="none"/>
        </w:rPr>
        <w:t>7.8 履约担保</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6E4D3C6F">
      <w:pPr>
        <w:adjustRightInd w:val="0"/>
        <w:snapToGrid w:val="0"/>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340C147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357D5">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05" w:name="_Toc144974538"/>
      <w:bookmarkStart w:id="506" w:name="_Toc95223379"/>
      <w:bookmarkStart w:id="507" w:name="_Toc246996214"/>
      <w:bookmarkStart w:id="508" w:name="_Toc246996957"/>
      <w:bookmarkStart w:id="509" w:name="_Toc152045570"/>
      <w:bookmarkStart w:id="510" w:name="_Toc83301731"/>
      <w:bookmarkStart w:id="511" w:name="_Toc247085728"/>
      <w:bookmarkStart w:id="512" w:name="_Toc60061477"/>
      <w:bookmarkStart w:id="513" w:name="_Toc15058893"/>
      <w:bookmarkStart w:id="514" w:name="_Toc296602460"/>
      <w:bookmarkStart w:id="515" w:name="_Toc506107308"/>
      <w:bookmarkStart w:id="516" w:name="_Toc152042346"/>
      <w:bookmarkStart w:id="517" w:name="_Toc179632588"/>
      <w:bookmarkStart w:id="518" w:name="_Toc324404855"/>
      <w:r>
        <w:rPr>
          <w:rFonts w:hint="eastAsia" w:ascii="宋体" w:hAnsi="宋体" w:cs="宋体"/>
          <w:color w:val="auto"/>
          <w:sz w:val="21"/>
          <w:szCs w:val="21"/>
          <w:highlight w:val="none"/>
        </w:rPr>
        <w:t>7.9 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33ADE0F">
      <w:pPr>
        <w:adjustRightInd w:val="0"/>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78F3C314">
      <w:pPr>
        <w:adjustRightInd w:val="0"/>
        <w:snapToGrid w:val="0"/>
        <w:spacing w:line="500" w:lineRule="exact"/>
        <w:ind w:firstLine="420" w:firstLineChars="200"/>
        <w:jc w:val="left"/>
        <w:rPr>
          <w:rFonts w:ascii="宋体" w:hAnsi="宋体" w:cs="宋体"/>
          <w:bCs/>
          <w:color w:val="auto"/>
          <w:szCs w:val="21"/>
          <w:highlight w:val="none"/>
        </w:rPr>
      </w:pPr>
      <w:bookmarkStart w:id="519" w:name="_Toc324404856"/>
      <w:r>
        <w:rPr>
          <w:rFonts w:hint="eastAsia" w:ascii="宋体" w:hAnsi="宋体" w:cs="宋体"/>
          <w:bCs/>
          <w:color w:val="auto"/>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p>
    <w:p w14:paraId="6B3CE07B">
      <w:pPr>
        <w:adjustRightInd w:val="0"/>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459DDC42">
      <w:pPr>
        <w:adjustRightInd w:val="0"/>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7.9.3发出中标通知书后，招标人无正当理由拒签合同的，招标人向中标人退还投标保证金；给中标人造成损失的，还应当赔偿损失。</w:t>
      </w:r>
    </w:p>
    <w:p w14:paraId="0F019E5D">
      <w:pPr>
        <w:adjustRightInd w:val="0"/>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7.9.4除法定情形外，建设工程合同履行期间项目经理（建造师）不得更换。项目经理（建造师）确需变更的，应根据招标文件要求，变更后的项目经理（建造师）不低于投标文件中拟派项目经理（建造师）的资格条件。</w:t>
      </w:r>
    </w:p>
    <w:p w14:paraId="27C6A9EC">
      <w:pPr>
        <w:adjustRightInd w:val="0"/>
        <w:snapToGrid w:val="0"/>
        <w:spacing w:line="500" w:lineRule="exact"/>
        <w:ind w:firstLine="420" w:firstLineChars="200"/>
        <w:jc w:val="left"/>
        <w:rPr>
          <w:rFonts w:ascii="宋体" w:hAnsi="宋体" w:cs="宋体"/>
          <w:bCs/>
          <w:snapToGrid w:val="0"/>
          <w:color w:val="auto"/>
          <w:kern w:val="0"/>
          <w:szCs w:val="21"/>
          <w:highlight w:val="none"/>
        </w:rPr>
      </w:pPr>
      <w:r>
        <w:rPr>
          <w:rFonts w:hint="eastAsia" w:ascii="宋体" w:hAnsi="宋体" w:cs="宋体"/>
          <w:color w:val="auto"/>
          <w:szCs w:val="21"/>
          <w:highlight w:val="none"/>
        </w:rPr>
        <w:t>7.9.5</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7D49A57D">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520" w:name="_Toc95223381"/>
      <w:bookmarkStart w:id="521" w:name="_Toc144974539"/>
      <w:bookmarkStart w:id="522" w:name="_Toc83301732"/>
      <w:bookmarkStart w:id="523" w:name="_Toc152042347"/>
      <w:bookmarkStart w:id="524" w:name="_Toc60061478"/>
      <w:bookmarkStart w:id="525" w:name="_Toc152045571"/>
      <w:bookmarkStart w:id="526" w:name="_Toc179632589"/>
      <w:r>
        <w:rPr>
          <w:rFonts w:hint="eastAsia" w:ascii="宋体" w:hAnsi="宋体" w:eastAsia="宋体" w:cs="宋体"/>
          <w:color w:val="auto"/>
          <w:sz w:val="21"/>
          <w:szCs w:val="21"/>
          <w:highlight w:val="none"/>
        </w:rPr>
        <w:t>8. 重新招标和不再招标</w:t>
      </w:r>
      <w:bookmarkEnd w:id="520"/>
      <w:bookmarkEnd w:id="521"/>
      <w:bookmarkEnd w:id="522"/>
      <w:bookmarkEnd w:id="523"/>
      <w:bookmarkEnd w:id="524"/>
      <w:bookmarkEnd w:id="525"/>
      <w:bookmarkEnd w:id="526"/>
    </w:p>
    <w:p w14:paraId="473A92D3">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27" w:name="_Toc60061479"/>
      <w:bookmarkStart w:id="528" w:name="_Toc179632590"/>
      <w:bookmarkStart w:id="529" w:name="_Toc95223382"/>
      <w:bookmarkStart w:id="530" w:name="_Toc83301733"/>
      <w:bookmarkStart w:id="531" w:name="_Toc152045572"/>
      <w:bookmarkStart w:id="532" w:name="_Toc152042348"/>
      <w:bookmarkStart w:id="533" w:name="_Toc144974540"/>
      <w:r>
        <w:rPr>
          <w:rFonts w:hint="eastAsia" w:ascii="宋体" w:hAnsi="宋体" w:cs="宋体"/>
          <w:color w:val="auto"/>
          <w:sz w:val="21"/>
          <w:szCs w:val="21"/>
          <w:highlight w:val="none"/>
        </w:rPr>
        <w:t>8.1 重新招标</w:t>
      </w:r>
      <w:bookmarkEnd w:id="527"/>
      <w:bookmarkEnd w:id="528"/>
      <w:bookmarkEnd w:id="529"/>
      <w:bookmarkEnd w:id="530"/>
      <w:bookmarkEnd w:id="531"/>
      <w:bookmarkEnd w:id="532"/>
      <w:bookmarkEnd w:id="533"/>
    </w:p>
    <w:p w14:paraId="4F4F6DA3">
      <w:pPr>
        <w:adjustRightInd w:val="0"/>
        <w:snapToGrid w:val="0"/>
        <w:spacing w:line="500" w:lineRule="exact"/>
        <w:ind w:firstLine="359" w:firstLineChars="171"/>
        <w:jc w:val="left"/>
        <w:rPr>
          <w:rFonts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0756FE28">
      <w:pPr>
        <w:adjustRightInd w:val="0"/>
        <w:snapToGrid w:val="0"/>
        <w:spacing w:line="500" w:lineRule="exact"/>
        <w:ind w:firstLine="359" w:firstLineChars="171"/>
        <w:jc w:val="left"/>
        <w:rPr>
          <w:rFonts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7217B6C3">
      <w:pPr>
        <w:adjustRightInd w:val="0"/>
        <w:snapToGrid w:val="0"/>
        <w:spacing w:line="500" w:lineRule="exact"/>
        <w:ind w:firstLine="359" w:firstLineChars="171"/>
        <w:jc w:val="left"/>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6354C587">
      <w:pPr>
        <w:adjustRightInd w:val="0"/>
        <w:snapToGrid w:val="0"/>
        <w:spacing w:line="500" w:lineRule="exact"/>
        <w:ind w:firstLine="359" w:firstLineChars="171"/>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131EAC48">
      <w:pPr>
        <w:adjustRightInd w:val="0"/>
        <w:snapToGrid w:val="0"/>
        <w:spacing w:line="500" w:lineRule="exact"/>
        <w:ind w:firstLine="359" w:firstLineChars="171"/>
        <w:jc w:val="lef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01C9CA74">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34" w:name="_Toc152042349"/>
      <w:bookmarkStart w:id="535" w:name="_Toc152045573"/>
      <w:bookmarkStart w:id="536" w:name="_Toc144974541"/>
      <w:bookmarkStart w:id="537" w:name="_Toc60061480"/>
      <w:bookmarkStart w:id="538" w:name="_Toc95223383"/>
      <w:bookmarkStart w:id="539" w:name="_Toc179632591"/>
      <w:bookmarkStart w:id="540" w:name="_Toc83301734"/>
      <w:r>
        <w:rPr>
          <w:rFonts w:hint="eastAsia" w:ascii="宋体" w:hAnsi="宋体" w:cs="宋体"/>
          <w:color w:val="auto"/>
          <w:sz w:val="21"/>
          <w:szCs w:val="21"/>
          <w:highlight w:val="none"/>
        </w:rPr>
        <w:t>8.2 不再招标</w:t>
      </w:r>
      <w:bookmarkEnd w:id="534"/>
      <w:bookmarkEnd w:id="535"/>
      <w:bookmarkEnd w:id="536"/>
      <w:bookmarkEnd w:id="537"/>
      <w:bookmarkEnd w:id="538"/>
      <w:bookmarkEnd w:id="539"/>
      <w:bookmarkEnd w:id="540"/>
    </w:p>
    <w:p w14:paraId="60946C96">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7DFEBEE8">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541" w:name="_Toc60061481"/>
      <w:bookmarkStart w:id="542" w:name="_Toc506107309"/>
      <w:bookmarkStart w:id="543" w:name="_Toc95223384"/>
      <w:bookmarkStart w:id="544" w:name="_Toc83301735"/>
      <w:bookmarkStart w:id="545" w:name="_Toc15058894"/>
      <w:r>
        <w:rPr>
          <w:rFonts w:hint="eastAsia" w:ascii="宋体" w:hAnsi="宋体" w:eastAsia="宋体" w:cs="宋体"/>
          <w:color w:val="auto"/>
          <w:sz w:val="21"/>
          <w:szCs w:val="21"/>
          <w:highlight w:val="none"/>
        </w:rPr>
        <w:t>9. 纪律和监督</w:t>
      </w:r>
      <w:bookmarkEnd w:id="519"/>
      <w:bookmarkEnd w:id="541"/>
      <w:bookmarkEnd w:id="542"/>
      <w:bookmarkEnd w:id="543"/>
      <w:bookmarkEnd w:id="544"/>
      <w:bookmarkEnd w:id="545"/>
    </w:p>
    <w:p w14:paraId="3C4C044D">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46" w:name="_Toc152042351"/>
      <w:bookmarkStart w:id="547" w:name="_Toc60061482"/>
      <w:bookmarkStart w:id="548" w:name="_Toc179632593"/>
      <w:bookmarkStart w:id="549" w:name="_Toc83301736"/>
      <w:bookmarkStart w:id="550" w:name="_Toc246996219"/>
      <w:bookmarkStart w:id="551" w:name="_Toc296590983"/>
      <w:bookmarkStart w:id="552" w:name="_Toc144974543"/>
      <w:bookmarkStart w:id="553" w:name="_Toc247085733"/>
      <w:bookmarkStart w:id="554" w:name="_Toc152045575"/>
      <w:bookmarkStart w:id="555" w:name="_Toc506107310"/>
      <w:bookmarkStart w:id="556" w:name="_Toc95223385"/>
      <w:bookmarkStart w:id="557" w:name="_Toc296602462"/>
      <w:bookmarkStart w:id="558" w:name="_Toc15058895"/>
      <w:bookmarkStart w:id="559" w:name="_Toc246996962"/>
      <w:bookmarkStart w:id="560" w:name="_Toc324404857"/>
      <w:r>
        <w:rPr>
          <w:rFonts w:hint="eastAsia" w:ascii="宋体" w:hAnsi="宋体" w:cs="宋体"/>
          <w:color w:val="auto"/>
          <w:sz w:val="21"/>
          <w:szCs w:val="21"/>
          <w:highlight w:val="none"/>
        </w:rPr>
        <w:t>9.1 对招标人的纪律要求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7B1C0F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0DA837B">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61" w:name="_Toc247085734"/>
      <w:bookmarkStart w:id="562" w:name="_Toc60061483"/>
      <w:bookmarkStart w:id="563" w:name="_Toc246996963"/>
      <w:bookmarkStart w:id="564" w:name="_Toc144974544"/>
      <w:bookmarkStart w:id="565" w:name="_Toc296602463"/>
      <w:bookmarkStart w:id="566" w:name="_Toc15058896"/>
      <w:bookmarkStart w:id="567" w:name="_Toc83301737"/>
      <w:bookmarkStart w:id="568" w:name="_Toc152045576"/>
      <w:bookmarkStart w:id="569" w:name="_Toc324404858"/>
      <w:bookmarkStart w:id="570" w:name="_Toc179632594"/>
      <w:bookmarkStart w:id="571" w:name="_Toc152042352"/>
      <w:bookmarkStart w:id="572" w:name="_Toc506107311"/>
      <w:bookmarkStart w:id="573" w:name="_Toc95223386"/>
      <w:bookmarkStart w:id="574" w:name="_Toc246996220"/>
      <w:r>
        <w:rPr>
          <w:rFonts w:hint="eastAsia" w:ascii="宋体" w:hAnsi="宋体" w:cs="宋体"/>
          <w:color w:val="auto"/>
          <w:sz w:val="21"/>
          <w:szCs w:val="21"/>
          <w:highlight w:val="none"/>
        </w:rPr>
        <w:t>9.2 对投标人的纪律要求</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D4F201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85FADAA">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75" w:name="_Toc152042353"/>
      <w:bookmarkStart w:id="576" w:name="_Toc15058897"/>
      <w:bookmarkStart w:id="577" w:name="_Toc60061484"/>
      <w:bookmarkStart w:id="578" w:name="_Toc506107312"/>
      <w:bookmarkStart w:id="579" w:name="_Toc179632595"/>
      <w:bookmarkStart w:id="580" w:name="_Toc247085735"/>
      <w:bookmarkStart w:id="581" w:name="_Toc246996221"/>
      <w:bookmarkStart w:id="582" w:name="_Toc296602464"/>
      <w:bookmarkStart w:id="583" w:name="_Toc152045577"/>
      <w:bookmarkStart w:id="584" w:name="_Toc144974545"/>
      <w:bookmarkStart w:id="585" w:name="_Toc324404859"/>
      <w:bookmarkStart w:id="586" w:name="_Toc95223387"/>
      <w:bookmarkStart w:id="587" w:name="_Toc83301738"/>
      <w:bookmarkStart w:id="588" w:name="_Toc246996964"/>
      <w:r>
        <w:rPr>
          <w:rFonts w:hint="eastAsia" w:ascii="宋体" w:hAnsi="宋体" w:cs="宋体"/>
          <w:color w:val="auto"/>
          <w:sz w:val="21"/>
          <w:szCs w:val="21"/>
          <w:highlight w:val="none"/>
        </w:rPr>
        <w:t>9.3 对评标委员会成员的纪律要求</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4B75C58">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780F307E">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589" w:name="_Toc179632596"/>
      <w:bookmarkStart w:id="590" w:name="_Toc95223388"/>
      <w:bookmarkStart w:id="591" w:name="_Toc152045578"/>
      <w:bookmarkStart w:id="592" w:name="_Toc324404860"/>
      <w:bookmarkStart w:id="593" w:name="_Toc246996222"/>
      <w:bookmarkStart w:id="594" w:name="_Toc506107313"/>
      <w:bookmarkStart w:id="595" w:name="_Toc152042354"/>
      <w:bookmarkStart w:id="596" w:name="_Toc15058898"/>
      <w:bookmarkStart w:id="597" w:name="_Toc246996965"/>
      <w:bookmarkStart w:id="598" w:name="_Toc60061485"/>
      <w:bookmarkStart w:id="599" w:name="_Toc247085736"/>
      <w:bookmarkStart w:id="600" w:name="_Toc83301739"/>
      <w:bookmarkStart w:id="601" w:name="_Toc296602465"/>
      <w:bookmarkStart w:id="602" w:name="_Toc144974546"/>
      <w:r>
        <w:rPr>
          <w:rFonts w:hint="eastAsia" w:ascii="宋体" w:hAnsi="宋体" w:cs="宋体"/>
          <w:color w:val="auto"/>
          <w:sz w:val="21"/>
          <w:szCs w:val="21"/>
          <w:highlight w:val="none"/>
        </w:rPr>
        <w:t>9.4 对与评标活动有关的工作人员的纪律要求</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144E3B5B">
      <w:pPr>
        <w:adjustRightInd w:val="0"/>
        <w:snapToGrid w:val="0"/>
        <w:spacing w:line="500" w:lineRule="exact"/>
        <w:ind w:firstLine="420" w:firstLineChars="200"/>
        <w:jc w:val="left"/>
        <w:rPr>
          <w:rFonts w:ascii="宋体" w:hAnsi="宋体" w:cs="宋体"/>
          <w:color w:val="auto"/>
          <w:szCs w:val="21"/>
          <w:highlight w:val="none"/>
        </w:rPr>
      </w:pPr>
      <w:bookmarkStart w:id="60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03"/>
    </w:p>
    <w:p w14:paraId="1ABA5401">
      <w:pPr>
        <w:pStyle w:val="4"/>
        <w:adjustRightInd w:val="0"/>
        <w:snapToGrid w:val="0"/>
        <w:spacing w:line="500" w:lineRule="exact"/>
        <w:ind w:firstLine="422" w:firstLineChars="200"/>
        <w:jc w:val="left"/>
        <w:rPr>
          <w:rFonts w:ascii="宋体" w:hAnsi="宋体" w:cs="宋体"/>
          <w:color w:val="auto"/>
          <w:sz w:val="21"/>
          <w:szCs w:val="21"/>
          <w:highlight w:val="none"/>
        </w:rPr>
      </w:pPr>
      <w:bookmarkStart w:id="604" w:name="_Toc324404861"/>
      <w:bookmarkStart w:id="605" w:name="_Toc60061486"/>
      <w:bookmarkStart w:id="606" w:name="_Toc296602466"/>
      <w:bookmarkStart w:id="607" w:name="_Toc506107314"/>
      <w:bookmarkStart w:id="608" w:name="_Toc15058899"/>
      <w:bookmarkStart w:id="609" w:name="_Toc179632597"/>
      <w:bookmarkStart w:id="610" w:name="_Toc152042356"/>
      <w:bookmarkStart w:id="611" w:name="_Toc246996223"/>
      <w:bookmarkStart w:id="612" w:name="_Toc247085737"/>
      <w:bookmarkStart w:id="613" w:name="_Toc83301740"/>
      <w:bookmarkStart w:id="614" w:name="_Toc95223389"/>
      <w:bookmarkStart w:id="615" w:name="_Toc152045579"/>
      <w:bookmarkStart w:id="616" w:name="_Toc246996966"/>
      <w:r>
        <w:rPr>
          <w:rFonts w:hint="eastAsia" w:ascii="宋体" w:hAnsi="宋体" w:cs="宋体"/>
          <w:color w:val="auto"/>
          <w:sz w:val="21"/>
          <w:szCs w:val="21"/>
          <w:highlight w:val="none"/>
        </w:rPr>
        <w:t>9.5 投诉</w:t>
      </w:r>
      <w:bookmarkEnd w:id="602"/>
      <w:bookmarkEnd w:id="604"/>
      <w:bookmarkEnd w:id="605"/>
      <w:bookmarkEnd w:id="606"/>
      <w:bookmarkEnd w:id="607"/>
      <w:bookmarkEnd w:id="608"/>
      <w:bookmarkEnd w:id="609"/>
      <w:bookmarkEnd w:id="610"/>
      <w:bookmarkEnd w:id="611"/>
      <w:bookmarkEnd w:id="612"/>
      <w:bookmarkEnd w:id="613"/>
      <w:bookmarkEnd w:id="614"/>
      <w:bookmarkEnd w:id="615"/>
      <w:bookmarkEnd w:id="616"/>
    </w:p>
    <w:p w14:paraId="2BC0363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3A0CB2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04CC4A21">
      <w:pPr>
        <w:pStyle w:val="3"/>
        <w:adjustRightInd w:val="0"/>
        <w:snapToGrid w:val="0"/>
        <w:spacing w:line="500" w:lineRule="exact"/>
        <w:ind w:firstLine="422" w:firstLineChars="200"/>
        <w:jc w:val="left"/>
        <w:rPr>
          <w:rFonts w:ascii="宋体" w:hAnsi="宋体" w:eastAsia="宋体" w:cs="宋体"/>
          <w:color w:val="auto"/>
          <w:sz w:val="21"/>
          <w:szCs w:val="21"/>
          <w:highlight w:val="none"/>
        </w:rPr>
      </w:pPr>
      <w:bookmarkStart w:id="617" w:name="_Toc506107315"/>
      <w:bookmarkStart w:id="618" w:name="_Toc60061487"/>
      <w:bookmarkStart w:id="619" w:name="_Toc246996224"/>
      <w:bookmarkStart w:id="620" w:name="_Toc247085738"/>
      <w:bookmarkStart w:id="621" w:name="_Toc152042357"/>
      <w:bookmarkStart w:id="622" w:name="_Toc144974547"/>
      <w:bookmarkStart w:id="623" w:name="_Toc95223390"/>
      <w:bookmarkStart w:id="624" w:name="_Toc152045580"/>
      <w:bookmarkStart w:id="625" w:name="_Toc246996967"/>
      <w:bookmarkStart w:id="626" w:name="_Toc324404862"/>
      <w:bookmarkStart w:id="627" w:name="_Toc83301741"/>
      <w:bookmarkStart w:id="628" w:name="_Toc15058900"/>
      <w:bookmarkStart w:id="629" w:name="_Toc179632598"/>
      <w:r>
        <w:rPr>
          <w:rFonts w:hint="eastAsia" w:ascii="宋体" w:hAnsi="宋体" w:eastAsia="宋体" w:cs="宋体"/>
          <w:color w:val="auto"/>
          <w:sz w:val="21"/>
          <w:szCs w:val="21"/>
          <w:highlight w:val="none"/>
        </w:rPr>
        <w:t>10.需要补充的其他内容</w:t>
      </w:r>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60061488"/>
      <w:bookmarkStart w:id="631" w:name="_Toc15058901"/>
    </w:p>
    <w:p w14:paraId="1E734BE9">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30"/>
      <w:bookmarkEnd w:id="631"/>
    </w:p>
    <w:p w14:paraId="4163B9FD">
      <w:pPr>
        <w:pStyle w:val="2"/>
        <w:spacing w:before="156" w:beforeLines="50" w:after="156" w:afterLines="50" w:line="360" w:lineRule="auto"/>
        <w:jc w:val="center"/>
        <w:rPr>
          <w:rFonts w:ascii="宋体" w:hAnsi="宋体" w:cs="宋体"/>
          <w:color w:val="auto"/>
          <w:sz w:val="36"/>
          <w:szCs w:val="36"/>
          <w:highlight w:val="none"/>
        </w:rPr>
      </w:pPr>
      <w:bookmarkStart w:id="632" w:name="_Toc324404864"/>
      <w:bookmarkStart w:id="633" w:name="_Toc60061489"/>
      <w:bookmarkStart w:id="634" w:name="_Toc506107317"/>
      <w:bookmarkStart w:id="635" w:name="_Toc15058902"/>
      <w:bookmarkStart w:id="636" w:name="_Toc95223391"/>
      <w:bookmarkStart w:id="637" w:name="_Toc296602475"/>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第三章 资格审查</w:t>
      </w:r>
      <w:bookmarkEnd w:id="632"/>
      <w:r>
        <w:rPr>
          <w:rFonts w:hint="eastAsia" w:ascii="宋体" w:hAnsi="宋体" w:cs="宋体"/>
          <w:color w:val="auto"/>
          <w:sz w:val="36"/>
          <w:szCs w:val="36"/>
          <w:highlight w:val="none"/>
        </w:rPr>
        <w:t>办法</w:t>
      </w:r>
      <w:bookmarkEnd w:id="633"/>
      <w:bookmarkEnd w:id="634"/>
      <w:bookmarkEnd w:id="635"/>
      <w:bookmarkEnd w:id="636"/>
    </w:p>
    <w:bookmarkEnd w:id="637"/>
    <w:p w14:paraId="2D48A4E1">
      <w:pPr>
        <w:pStyle w:val="3"/>
        <w:tabs>
          <w:tab w:val="left" w:pos="2796"/>
          <w:tab w:val="center" w:pos="4479"/>
        </w:tabs>
        <w:adjustRightInd w:val="0"/>
        <w:snapToGrid w:val="0"/>
        <w:spacing w:line="520" w:lineRule="exact"/>
        <w:jc w:val="center"/>
        <w:rPr>
          <w:color w:val="auto"/>
          <w:sz w:val="28"/>
          <w:szCs w:val="28"/>
          <w:highlight w:val="none"/>
        </w:rPr>
      </w:pPr>
      <w:bookmarkStart w:id="638" w:name="_Toc95223428"/>
      <w:r>
        <w:rPr>
          <w:rFonts w:hint="eastAsia"/>
          <w:color w:val="auto"/>
          <w:sz w:val="28"/>
          <w:szCs w:val="28"/>
          <w:highlight w:val="none"/>
        </w:rPr>
        <w:t>资格审查办法前附表</w:t>
      </w:r>
    </w:p>
    <w:tbl>
      <w:tblPr>
        <w:tblStyle w:val="23"/>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044"/>
        <w:gridCol w:w="1999"/>
      </w:tblGrid>
      <w:tr w14:paraId="13A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vAlign w:val="center"/>
          </w:tcPr>
          <w:p w14:paraId="37F26C29">
            <w:pPr>
              <w:adjustRightInd w:val="0"/>
              <w:snapToGrid w:val="0"/>
              <w:spacing w:line="52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vAlign w:val="center"/>
          </w:tcPr>
          <w:p w14:paraId="238B7BFF">
            <w:pPr>
              <w:adjustRightInd w:val="0"/>
              <w:snapToGrid w:val="0"/>
              <w:spacing w:line="52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vAlign w:val="center"/>
          </w:tcPr>
          <w:p w14:paraId="6D0BAFF2">
            <w:pPr>
              <w:adjustRightInd w:val="0"/>
              <w:snapToGrid w:val="0"/>
              <w:spacing w:line="52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792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23" w:type="dxa"/>
            <w:vMerge w:val="restart"/>
            <w:vAlign w:val="center"/>
          </w:tcPr>
          <w:p w14:paraId="0F85169E">
            <w:pPr>
              <w:adjustRightInd w:val="0"/>
              <w:snapToGrid w:val="0"/>
              <w:spacing w:line="5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tcPr>
          <w:p w14:paraId="24725F23">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vAlign w:val="center"/>
          </w:tcPr>
          <w:p w14:paraId="669D32CA">
            <w:pPr>
              <w:adjustRightInd w:val="0"/>
              <w:snapToGrid w:val="0"/>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15C3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77A48ADD">
            <w:pPr>
              <w:adjustRightInd w:val="0"/>
              <w:snapToGrid w:val="0"/>
              <w:spacing w:line="520" w:lineRule="exact"/>
              <w:jc w:val="center"/>
              <w:rPr>
                <w:rFonts w:ascii="宋体" w:hAnsi="宋体" w:cs="宋体"/>
                <w:b/>
                <w:bCs/>
                <w:color w:val="auto"/>
                <w:szCs w:val="21"/>
                <w:highlight w:val="none"/>
              </w:rPr>
            </w:pPr>
          </w:p>
        </w:tc>
        <w:tc>
          <w:tcPr>
            <w:tcW w:w="6044" w:type="dxa"/>
          </w:tcPr>
          <w:p w14:paraId="3B9E6446">
            <w:pPr>
              <w:adjustRightInd w:val="0"/>
              <w:snapToGrid w:val="0"/>
              <w:spacing w:line="5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p>
        </w:tc>
        <w:tc>
          <w:tcPr>
            <w:tcW w:w="1999" w:type="dxa"/>
            <w:vMerge w:val="continue"/>
            <w:vAlign w:val="center"/>
          </w:tcPr>
          <w:p w14:paraId="31D8E98D">
            <w:pPr>
              <w:adjustRightInd w:val="0"/>
              <w:snapToGrid w:val="0"/>
              <w:spacing w:line="520" w:lineRule="exact"/>
              <w:jc w:val="center"/>
              <w:rPr>
                <w:rFonts w:ascii="宋体" w:hAnsi="宋体" w:cs="宋体"/>
                <w:b/>
                <w:color w:val="auto"/>
                <w:szCs w:val="21"/>
                <w:highlight w:val="none"/>
              </w:rPr>
            </w:pPr>
          </w:p>
        </w:tc>
      </w:tr>
      <w:tr w14:paraId="2A8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671081E4">
            <w:pPr>
              <w:adjustRightInd w:val="0"/>
              <w:snapToGrid w:val="0"/>
              <w:spacing w:line="520" w:lineRule="exact"/>
              <w:jc w:val="center"/>
              <w:rPr>
                <w:rFonts w:ascii="宋体" w:hAnsi="宋体" w:cs="宋体"/>
                <w:b/>
                <w:bCs/>
                <w:color w:val="auto"/>
                <w:szCs w:val="21"/>
                <w:highlight w:val="none"/>
              </w:rPr>
            </w:pPr>
          </w:p>
        </w:tc>
        <w:tc>
          <w:tcPr>
            <w:tcW w:w="6044" w:type="dxa"/>
          </w:tcPr>
          <w:p w14:paraId="36D3A4A1">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p>
        </w:tc>
        <w:tc>
          <w:tcPr>
            <w:tcW w:w="1999" w:type="dxa"/>
            <w:vMerge w:val="continue"/>
            <w:vAlign w:val="center"/>
          </w:tcPr>
          <w:p w14:paraId="3318A4DA">
            <w:pPr>
              <w:adjustRightInd w:val="0"/>
              <w:snapToGrid w:val="0"/>
              <w:spacing w:line="520" w:lineRule="exact"/>
              <w:jc w:val="center"/>
              <w:rPr>
                <w:rFonts w:ascii="宋体" w:hAnsi="宋体" w:cs="宋体"/>
                <w:b/>
                <w:color w:val="auto"/>
                <w:szCs w:val="21"/>
                <w:highlight w:val="none"/>
              </w:rPr>
            </w:pPr>
          </w:p>
        </w:tc>
      </w:tr>
      <w:tr w14:paraId="2AB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55388D6B">
            <w:pPr>
              <w:adjustRightInd w:val="0"/>
              <w:snapToGrid w:val="0"/>
              <w:spacing w:line="520" w:lineRule="exact"/>
              <w:jc w:val="center"/>
              <w:rPr>
                <w:rFonts w:ascii="宋体" w:hAnsi="宋体" w:cs="宋体"/>
                <w:b/>
                <w:bCs/>
                <w:color w:val="auto"/>
                <w:szCs w:val="21"/>
                <w:highlight w:val="none"/>
              </w:rPr>
            </w:pPr>
          </w:p>
        </w:tc>
        <w:tc>
          <w:tcPr>
            <w:tcW w:w="6044" w:type="dxa"/>
          </w:tcPr>
          <w:p w14:paraId="057564A0">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企业资质证书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若为联合体投标，设计方及施工方均须提供）</w:t>
            </w:r>
          </w:p>
        </w:tc>
        <w:tc>
          <w:tcPr>
            <w:tcW w:w="1999" w:type="dxa"/>
            <w:vMerge w:val="continue"/>
            <w:vAlign w:val="center"/>
          </w:tcPr>
          <w:p w14:paraId="6250B648">
            <w:pPr>
              <w:adjustRightInd w:val="0"/>
              <w:snapToGrid w:val="0"/>
              <w:spacing w:line="520" w:lineRule="exact"/>
              <w:jc w:val="center"/>
              <w:rPr>
                <w:rFonts w:ascii="宋体" w:hAnsi="宋体" w:cs="宋体"/>
                <w:b/>
                <w:color w:val="auto"/>
                <w:szCs w:val="21"/>
                <w:highlight w:val="none"/>
              </w:rPr>
            </w:pPr>
          </w:p>
        </w:tc>
      </w:tr>
      <w:tr w14:paraId="24B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255C09B1">
            <w:pPr>
              <w:adjustRightInd w:val="0"/>
              <w:snapToGrid w:val="0"/>
              <w:spacing w:line="520" w:lineRule="exact"/>
              <w:jc w:val="center"/>
              <w:rPr>
                <w:rFonts w:ascii="宋体" w:hAnsi="宋体" w:cs="宋体"/>
                <w:b/>
                <w:bCs/>
                <w:color w:val="auto"/>
                <w:szCs w:val="21"/>
                <w:highlight w:val="none"/>
              </w:rPr>
            </w:pPr>
          </w:p>
        </w:tc>
        <w:tc>
          <w:tcPr>
            <w:tcW w:w="6044" w:type="dxa"/>
          </w:tcPr>
          <w:p w14:paraId="1130EA91">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若为联合体投标，施工方须提供）</w:t>
            </w:r>
          </w:p>
        </w:tc>
        <w:tc>
          <w:tcPr>
            <w:tcW w:w="1999" w:type="dxa"/>
            <w:vMerge w:val="continue"/>
            <w:vAlign w:val="center"/>
          </w:tcPr>
          <w:p w14:paraId="25BC35E9">
            <w:pPr>
              <w:adjustRightInd w:val="0"/>
              <w:snapToGrid w:val="0"/>
              <w:spacing w:line="520" w:lineRule="exact"/>
              <w:jc w:val="center"/>
              <w:rPr>
                <w:rFonts w:ascii="宋体" w:hAnsi="宋体" w:cs="宋体"/>
                <w:b/>
                <w:color w:val="auto"/>
                <w:szCs w:val="21"/>
                <w:highlight w:val="none"/>
              </w:rPr>
            </w:pPr>
          </w:p>
        </w:tc>
      </w:tr>
      <w:tr w14:paraId="6438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3A85B426">
            <w:pPr>
              <w:adjustRightInd w:val="0"/>
              <w:snapToGrid w:val="0"/>
              <w:spacing w:line="520" w:lineRule="exact"/>
              <w:jc w:val="center"/>
              <w:rPr>
                <w:rFonts w:ascii="宋体" w:hAnsi="宋体" w:cs="宋体"/>
                <w:b/>
                <w:bCs/>
                <w:color w:val="auto"/>
                <w:szCs w:val="21"/>
                <w:highlight w:val="none"/>
              </w:rPr>
            </w:pPr>
          </w:p>
        </w:tc>
        <w:tc>
          <w:tcPr>
            <w:tcW w:w="6044" w:type="dxa"/>
          </w:tcPr>
          <w:p w14:paraId="5810D31F">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项目经理（建造师）有效身份证、注册证书以及安全生产考核合格证书（B证） </w:t>
            </w:r>
          </w:p>
        </w:tc>
        <w:tc>
          <w:tcPr>
            <w:tcW w:w="1999" w:type="dxa"/>
            <w:vMerge w:val="continue"/>
            <w:vAlign w:val="center"/>
          </w:tcPr>
          <w:p w14:paraId="388308E5">
            <w:pPr>
              <w:adjustRightInd w:val="0"/>
              <w:snapToGrid w:val="0"/>
              <w:spacing w:line="520" w:lineRule="exact"/>
              <w:jc w:val="center"/>
              <w:rPr>
                <w:rFonts w:ascii="宋体" w:hAnsi="宋体" w:cs="宋体"/>
                <w:color w:val="auto"/>
                <w:szCs w:val="21"/>
                <w:highlight w:val="none"/>
              </w:rPr>
            </w:pPr>
          </w:p>
        </w:tc>
      </w:tr>
      <w:tr w14:paraId="7B31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0135F948">
            <w:pPr>
              <w:adjustRightInd w:val="0"/>
              <w:snapToGrid w:val="0"/>
              <w:spacing w:line="520" w:lineRule="exact"/>
              <w:jc w:val="center"/>
              <w:rPr>
                <w:rFonts w:ascii="宋体" w:hAnsi="宋体" w:cs="宋体"/>
                <w:b/>
                <w:bCs/>
                <w:color w:val="auto"/>
                <w:szCs w:val="21"/>
                <w:highlight w:val="none"/>
              </w:rPr>
            </w:pPr>
          </w:p>
        </w:tc>
        <w:tc>
          <w:tcPr>
            <w:tcW w:w="6044" w:type="dxa"/>
          </w:tcPr>
          <w:p w14:paraId="6160B78D">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设计负责人有效身份证、注册证书及职称证书</w:t>
            </w:r>
          </w:p>
        </w:tc>
        <w:tc>
          <w:tcPr>
            <w:tcW w:w="1999" w:type="dxa"/>
            <w:vMerge w:val="continue"/>
            <w:vAlign w:val="center"/>
          </w:tcPr>
          <w:p w14:paraId="08C27C92">
            <w:pPr>
              <w:adjustRightInd w:val="0"/>
              <w:snapToGrid w:val="0"/>
              <w:spacing w:line="520" w:lineRule="exact"/>
              <w:jc w:val="center"/>
              <w:rPr>
                <w:rFonts w:ascii="宋体" w:hAnsi="宋体" w:cs="宋体"/>
                <w:color w:val="auto"/>
                <w:szCs w:val="21"/>
                <w:highlight w:val="none"/>
              </w:rPr>
            </w:pPr>
          </w:p>
        </w:tc>
      </w:tr>
      <w:tr w14:paraId="785B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68A0828B">
            <w:pPr>
              <w:adjustRightInd w:val="0"/>
              <w:snapToGrid w:val="0"/>
              <w:spacing w:line="520" w:lineRule="exact"/>
              <w:jc w:val="center"/>
              <w:rPr>
                <w:rFonts w:ascii="宋体" w:hAnsi="宋体" w:cs="宋体"/>
                <w:b/>
                <w:bCs/>
                <w:color w:val="auto"/>
                <w:szCs w:val="21"/>
                <w:highlight w:val="none"/>
              </w:rPr>
            </w:pPr>
          </w:p>
        </w:tc>
        <w:tc>
          <w:tcPr>
            <w:tcW w:w="6044" w:type="dxa"/>
          </w:tcPr>
          <w:p w14:paraId="35362FD1">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vAlign w:val="center"/>
          </w:tcPr>
          <w:p w14:paraId="427846CD">
            <w:pPr>
              <w:adjustRightInd w:val="0"/>
              <w:snapToGrid w:val="0"/>
              <w:spacing w:line="520" w:lineRule="exact"/>
              <w:jc w:val="center"/>
              <w:rPr>
                <w:rFonts w:ascii="宋体" w:hAnsi="宋体" w:cs="宋体"/>
                <w:color w:val="auto"/>
                <w:szCs w:val="21"/>
                <w:highlight w:val="none"/>
              </w:rPr>
            </w:pPr>
          </w:p>
        </w:tc>
      </w:tr>
      <w:tr w14:paraId="1156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vMerge w:val="continue"/>
            <w:vAlign w:val="center"/>
          </w:tcPr>
          <w:p w14:paraId="16091F40">
            <w:pPr>
              <w:adjustRightInd w:val="0"/>
              <w:snapToGrid w:val="0"/>
              <w:spacing w:line="520" w:lineRule="exact"/>
              <w:jc w:val="center"/>
              <w:rPr>
                <w:rFonts w:ascii="宋体" w:hAnsi="宋体" w:cs="宋体"/>
                <w:b/>
                <w:bCs/>
                <w:color w:val="auto"/>
                <w:szCs w:val="21"/>
                <w:highlight w:val="none"/>
              </w:rPr>
            </w:pPr>
          </w:p>
        </w:tc>
        <w:tc>
          <w:tcPr>
            <w:tcW w:w="6044" w:type="dxa"/>
          </w:tcPr>
          <w:p w14:paraId="20FD3265">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999" w:type="dxa"/>
            <w:vMerge w:val="continue"/>
            <w:vAlign w:val="center"/>
          </w:tcPr>
          <w:p w14:paraId="300C4D84">
            <w:pPr>
              <w:adjustRightInd w:val="0"/>
              <w:snapToGrid w:val="0"/>
              <w:spacing w:line="520" w:lineRule="exact"/>
              <w:jc w:val="center"/>
              <w:rPr>
                <w:rFonts w:ascii="宋体" w:hAnsi="宋体" w:cs="宋体"/>
                <w:b/>
                <w:color w:val="auto"/>
                <w:szCs w:val="21"/>
                <w:highlight w:val="none"/>
              </w:rPr>
            </w:pPr>
          </w:p>
        </w:tc>
      </w:tr>
      <w:tr w14:paraId="1697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vMerge w:val="continue"/>
            <w:vAlign w:val="center"/>
          </w:tcPr>
          <w:p w14:paraId="160B612A">
            <w:pPr>
              <w:adjustRightInd w:val="0"/>
              <w:snapToGrid w:val="0"/>
              <w:spacing w:line="520" w:lineRule="exact"/>
              <w:jc w:val="center"/>
              <w:rPr>
                <w:rFonts w:ascii="宋体" w:hAnsi="宋体" w:cs="宋体"/>
                <w:b/>
                <w:bCs/>
                <w:color w:val="auto"/>
                <w:szCs w:val="21"/>
                <w:highlight w:val="none"/>
              </w:rPr>
            </w:pPr>
          </w:p>
        </w:tc>
        <w:tc>
          <w:tcPr>
            <w:tcW w:w="6044" w:type="dxa"/>
          </w:tcPr>
          <w:p w14:paraId="1E52841E">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联合体协议书（如有）</w:t>
            </w:r>
          </w:p>
        </w:tc>
        <w:tc>
          <w:tcPr>
            <w:tcW w:w="1999" w:type="dxa"/>
            <w:vAlign w:val="center"/>
          </w:tcPr>
          <w:p w14:paraId="7CAD6542">
            <w:pPr>
              <w:adjustRightInd w:val="0"/>
              <w:snapToGrid w:val="0"/>
              <w:spacing w:line="520" w:lineRule="exact"/>
              <w:jc w:val="center"/>
              <w:rPr>
                <w:rFonts w:ascii="宋体" w:hAnsi="宋体" w:cs="宋体"/>
                <w:b/>
                <w:color w:val="auto"/>
                <w:szCs w:val="21"/>
                <w:highlight w:val="none"/>
              </w:rPr>
            </w:pPr>
          </w:p>
        </w:tc>
      </w:tr>
    </w:tbl>
    <w:p w14:paraId="3C35E577">
      <w:pPr>
        <w:adjustRightInd w:val="0"/>
        <w:snapToGrid w:val="0"/>
        <w:spacing w:line="52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5C8230E8">
      <w:pPr>
        <w:adjustRightInd w:val="0"/>
        <w:snapToGrid w:val="0"/>
        <w:spacing w:line="52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58DB36E">
      <w:pPr>
        <w:adjustRightInd w:val="0"/>
        <w:snapToGrid w:val="0"/>
        <w:spacing w:line="52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0889B3FC">
      <w:pPr>
        <w:spacing w:line="520" w:lineRule="exact"/>
        <w:ind w:firstLine="422" w:firstLineChars="200"/>
        <w:rPr>
          <w:rFonts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（3）投标人拟委任项目经理为注册建造师（含一级、二级）的，须提供在电子证书使用有效期内的的纸质版电子证书。</w:t>
      </w:r>
      <w:r>
        <w:rPr>
          <w:rFonts w:ascii="黑体" w:hAnsi="黑体" w:eastAsia="黑体" w:cs="黑体"/>
          <w:b/>
          <w:bCs/>
          <w:color w:val="auto"/>
          <w:szCs w:val="21"/>
          <w:highlight w:val="none"/>
        </w:rPr>
        <w:t>一级建造师打印电子证书后，应在个人签名处手写本人签</w:t>
      </w:r>
      <w:r>
        <w:rPr>
          <w:rFonts w:hint="eastAsia" w:ascii="黑体" w:hAnsi="黑体" w:eastAsia="黑体" w:cs="黑体"/>
          <w:b/>
          <w:bCs/>
          <w:color w:val="auto"/>
          <w:szCs w:val="21"/>
          <w:highlight w:val="none"/>
        </w:rPr>
        <w:t>名，未手写签名或与签名图像笔迹不一致的，该电子证书无效。</w:t>
      </w:r>
    </w:p>
    <w:p w14:paraId="3C3DC038">
      <w:pPr>
        <w:spacing w:line="520" w:lineRule="exact"/>
        <w:ind w:firstLine="422" w:firstLineChars="200"/>
        <w:rPr>
          <w:rFonts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57D9B97">
      <w:pPr>
        <w:spacing w:line="520" w:lineRule="exact"/>
        <w:ind w:firstLine="420" w:firstLineChars="200"/>
        <w:rPr>
          <w:rFonts w:ascii="黑体" w:hAnsi="黑体" w:cs="黑体"/>
          <w:color w:val="auto"/>
          <w:szCs w:val="21"/>
          <w:highlight w:val="none"/>
        </w:rPr>
      </w:pPr>
      <w:r>
        <w:rPr>
          <w:rFonts w:hint="eastAsia" w:ascii="黑体" w:hAnsi="黑体" w:cs="黑体"/>
          <w:color w:val="auto"/>
          <w:szCs w:val="21"/>
          <w:highlight w:val="none"/>
        </w:rPr>
        <w:t>1.审查资料</w:t>
      </w:r>
    </w:p>
    <w:p w14:paraId="3407E2D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4660F43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（2）诚信投标承诺书（或《公共信用信息报告（无违法违规证明版或核查版）》）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r>
        <w:rPr>
          <w:rFonts w:hint="eastAsia" w:ascii="宋体" w:hAnsi="宋体" w:cs="宋体"/>
          <w:color w:val="auto"/>
          <w:szCs w:val="21"/>
          <w:highlight w:val="none"/>
        </w:rPr>
        <w:t>；</w:t>
      </w:r>
    </w:p>
    <w:p w14:paraId="230140A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（3）企业法人营业执照</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r>
        <w:rPr>
          <w:rFonts w:hint="eastAsia" w:ascii="宋体" w:hAnsi="宋体" w:cs="宋体"/>
          <w:color w:val="auto"/>
          <w:szCs w:val="21"/>
          <w:highlight w:val="none"/>
        </w:rPr>
        <w:t>；</w:t>
      </w:r>
    </w:p>
    <w:p w14:paraId="6895B4C8">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若为联合体投标，设计方及施工方均须提供）</w:t>
      </w:r>
      <w:r>
        <w:rPr>
          <w:rFonts w:hint="eastAsia" w:ascii="宋体" w:hAnsi="宋体" w:cs="宋体"/>
          <w:color w:val="auto"/>
          <w:szCs w:val="21"/>
          <w:highlight w:val="none"/>
        </w:rPr>
        <w:t>；</w:t>
      </w:r>
    </w:p>
    <w:p w14:paraId="4A5BD07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（5）企业安全生产许可证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若为联合体投标，施工方须提供）</w:t>
      </w:r>
      <w:r>
        <w:rPr>
          <w:rFonts w:hint="eastAsia" w:ascii="宋体" w:hAnsi="宋体" w:cs="宋体"/>
          <w:color w:val="auto"/>
          <w:szCs w:val="21"/>
          <w:highlight w:val="none"/>
        </w:rPr>
        <w:t>；</w:t>
      </w:r>
    </w:p>
    <w:p w14:paraId="40929025">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2609A8C4">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（7）设计负责人有效身份证、注册证书及职称证书；</w:t>
      </w:r>
    </w:p>
    <w:p w14:paraId="286B76BE">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1E720C1E">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（9）项目管理机构。查看项目管理机构主要人员组成表；</w:t>
      </w:r>
    </w:p>
    <w:p w14:paraId="55456786">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（10）联合体协议书（如有）。</w:t>
      </w:r>
    </w:p>
    <w:p w14:paraId="38D5C7E2">
      <w:pPr>
        <w:adjustRightInd w:val="0"/>
        <w:snapToGrid w:val="0"/>
        <w:spacing w:line="52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温馨提示：</w:t>
      </w:r>
    </w:p>
    <w:p w14:paraId="4319E695">
      <w:pPr>
        <w:adjustRightInd w:val="0"/>
        <w:snapToGrid w:val="0"/>
        <w:spacing w:line="52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（1）请各投标人自行完善安徽省公共资源交易市场主体库中的单位基本信息，保证信息最新且有效。</w:t>
      </w:r>
    </w:p>
    <w:p w14:paraId="40DD4065">
      <w:pPr>
        <w:adjustRightInd w:val="0"/>
        <w:snapToGrid w:val="0"/>
        <w:spacing w:line="52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088EB264">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2.审查办法</w:t>
      </w:r>
    </w:p>
    <w:p w14:paraId="3C65AF3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77D0C8FB">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14:paraId="121B2865">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0A5527A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4218E45">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0499EC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0E91AC6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62426C3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25BCA42E">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（5）投标人投标 MAC 地址一致的；</w:t>
      </w:r>
    </w:p>
    <w:p w14:paraId="12D3382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3F28BEB4">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4117C97D">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（8）法律、法规规定的其他情形。</w:t>
      </w:r>
    </w:p>
    <w:p w14:paraId="0668683D">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4.审查结果</w:t>
      </w:r>
    </w:p>
    <w:p w14:paraId="73CC3789">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5EAFBDF2">
      <w:pPr>
        <w:rPr>
          <w:rFonts w:ascii="宋体" w:hAnsi="宋体" w:cs="宋体"/>
          <w:color w:val="auto"/>
          <w:sz w:val="36"/>
          <w:szCs w:val="36"/>
          <w:highlight w:val="none"/>
        </w:rPr>
      </w:pPr>
    </w:p>
    <w:p w14:paraId="469E71FA">
      <w:pP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60F392F4">
      <w:pPr>
        <w:pStyle w:val="2"/>
        <w:spacing w:before="156" w:beforeLines="50" w:after="156" w:afterLines="50" w:line="360" w:lineRule="auto"/>
        <w:jc w:val="center"/>
        <w:rPr>
          <w:color w:val="auto"/>
          <w:highlight w:val="none"/>
        </w:rPr>
      </w:pPr>
      <w:r>
        <w:rPr>
          <w:rFonts w:hint="eastAsia" w:ascii="宋体" w:hAnsi="宋体" w:cs="宋体"/>
          <w:color w:val="auto"/>
          <w:sz w:val="36"/>
          <w:szCs w:val="36"/>
          <w:highlight w:val="none"/>
        </w:rPr>
        <w:t>第四章 评标办法（综合评估法）</w:t>
      </w:r>
      <w:bookmarkEnd w:id="638"/>
      <w:bookmarkStart w:id="639" w:name="_Toc95223443"/>
    </w:p>
    <w:p w14:paraId="072AE35B">
      <w:pPr>
        <w:spacing w:before="93" w:beforeLines="30" w:after="93" w:afterLines="30" w:line="500" w:lineRule="exact"/>
        <w:ind w:left="-901"/>
        <w:jc w:val="center"/>
        <w:rPr>
          <w:b/>
          <w:color w:val="auto"/>
          <w:sz w:val="28"/>
          <w:szCs w:val="21"/>
          <w:highlight w:val="none"/>
        </w:rPr>
      </w:pPr>
      <w:r>
        <w:rPr>
          <w:rFonts w:hint="eastAsia"/>
          <w:b/>
          <w:bCs/>
          <w:color w:val="auto"/>
          <w:sz w:val="28"/>
          <w:szCs w:val="28"/>
          <w:highlight w:val="none"/>
        </w:rPr>
        <w:t>（二）</w:t>
      </w:r>
      <w:r>
        <w:rPr>
          <w:rFonts w:hint="eastAsia"/>
          <w:b/>
          <w:color w:val="auto"/>
          <w:sz w:val="28"/>
          <w:szCs w:val="21"/>
          <w:highlight w:val="none"/>
        </w:rPr>
        <w:t>资信标评审（</w:t>
      </w:r>
      <w:r>
        <w:rPr>
          <w:b/>
          <w:color w:val="auto"/>
          <w:sz w:val="28"/>
          <w:szCs w:val="21"/>
          <w:highlight w:val="none"/>
        </w:rPr>
        <w:t>10</w:t>
      </w:r>
      <w:r>
        <w:rPr>
          <w:rFonts w:hint="eastAsia"/>
          <w:b/>
          <w:color w:val="auto"/>
          <w:sz w:val="28"/>
          <w:szCs w:val="21"/>
          <w:highlight w:val="none"/>
        </w:rPr>
        <w:t>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43"/>
        <w:gridCol w:w="743"/>
        <w:gridCol w:w="7581"/>
      </w:tblGrid>
      <w:tr w14:paraId="5F57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22" w:type="dxa"/>
          </w:tcPr>
          <w:p w14:paraId="56D5C3D7">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65" w:type="dxa"/>
          </w:tcPr>
          <w:p w14:paraId="64737BE3">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765" w:type="dxa"/>
          </w:tcPr>
          <w:p w14:paraId="3712FF3F">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8047" w:type="dxa"/>
          </w:tcPr>
          <w:p w14:paraId="16F2D41D">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22AE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22" w:type="dxa"/>
            <w:vAlign w:val="center"/>
          </w:tcPr>
          <w:p w14:paraId="040ED3FC">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65" w:type="dxa"/>
            <w:vAlign w:val="center"/>
          </w:tcPr>
          <w:p w14:paraId="59BD68F5">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项目组人员配备</w:t>
            </w:r>
          </w:p>
        </w:tc>
        <w:tc>
          <w:tcPr>
            <w:tcW w:w="765" w:type="dxa"/>
            <w:vAlign w:val="center"/>
          </w:tcPr>
          <w:p w14:paraId="6D9DE161">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8047" w:type="dxa"/>
          </w:tcPr>
          <w:p w14:paraId="3FB56A8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除项目经理（建造师）和设计负责人外，配备人员满足下列要求得对应分值，本项满分10分。</w:t>
            </w:r>
          </w:p>
          <w:p w14:paraId="1E69DBE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1.给排水专业负责人：注册公用设备工程师(给水排水)及给排水专业高级工程师或以上职称，得2分。</w:t>
            </w:r>
          </w:p>
          <w:p w14:paraId="31337BB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2.给排水设计人员：注册公用设备工程师(给水排水)及给排水专业工程师或以上职称，得1分。</w:t>
            </w:r>
          </w:p>
          <w:p w14:paraId="0DA18EF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.建筑专业设计负责人：一级注册建筑师及建筑专</w:t>
            </w:r>
            <w:r>
              <w:rPr>
                <w:rFonts w:hint="eastAsia" w:ascii="宋体" w:hAnsi="宋体" w:cs="宋体"/>
                <w:color w:val="auto"/>
                <w:szCs w:val="21"/>
                <w:highlight w:val="none"/>
              </w:rPr>
              <w:t>业工程师或以上职称，得</w:t>
            </w:r>
            <w:r>
              <w:rPr>
                <w:rFonts w:ascii="宋体" w:hAnsi="宋体" w:cs="宋体"/>
                <w:color w:val="auto"/>
                <w:szCs w:val="21"/>
                <w:highlight w:val="none"/>
              </w:rPr>
              <w:t>1分。</w:t>
            </w:r>
          </w:p>
          <w:p w14:paraId="0D26237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4.电气专业设计负责人：注册电气工程师（供配电）及电气专业高级工程师或以上职称，得2分。</w:t>
            </w:r>
          </w:p>
          <w:p w14:paraId="5154278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5.造价专业负责人：一级注册造价工程师及造价专业高级工程师或以上职称，得1分。</w:t>
            </w:r>
          </w:p>
          <w:p w14:paraId="5F10046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6.项目技术负责人：一级注册建造师（机电专业），得2分。</w:t>
            </w:r>
          </w:p>
          <w:p w14:paraId="3F90E5F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7.项目安全主任：中级注册安全工程师，得1分。</w:t>
            </w:r>
          </w:p>
          <w:p w14:paraId="5A4DF774">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rPr>
              <w:t>【须同时提供下列材料扫描件：①对应证书；②投标截止时间前连续3个月的社保证明（证明文件两个月内有效），投标人是事业单位或事业单位附属单位的，须由其主管部门出具证明。】</w:t>
            </w:r>
          </w:p>
          <w:p w14:paraId="70D203D4">
            <w:pPr>
              <w:spacing w:line="500" w:lineRule="exact"/>
              <w:jc w:val="left"/>
              <w:rPr>
                <w:color w:val="auto"/>
                <w:highlight w:val="none"/>
              </w:rPr>
            </w:pPr>
            <w:r>
              <w:rPr>
                <w:rFonts w:hint="eastAsia" w:ascii="宋体" w:hAnsi="宋体" w:cs="宋体"/>
                <w:b/>
                <w:bCs/>
                <w:color w:val="auto"/>
                <w:szCs w:val="21"/>
                <w:highlight w:val="none"/>
              </w:rPr>
              <w:t>注：上述人员不得兼任。</w:t>
            </w:r>
          </w:p>
        </w:tc>
      </w:tr>
    </w:tbl>
    <w:p w14:paraId="58BA74A8">
      <w:pPr>
        <w:spacing w:line="520" w:lineRule="exact"/>
        <w:jc w:val="center"/>
        <w:rPr>
          <w:b/>
          <w:bCs/>
          <w:color w:val="auto"/>
          <w:sz w:val="28"/>
          <w:szCs w:val="28"/>
          <w:highlight w:val="none"/>
        </w:rPr>
      </w:pPr>
      <w:r>
        <w:rPr>
          <w:rFonts w:hint="eastAsia"/>
          <w:b/>
          <w:bCs/>
          <w:color w:val="auto"/>
          <w:sz w:val="28"/>
          <w:szCs w:val="28"/>
          <w:highlight w:val="none"/>
        </w:rPr>
        <w:t>（三）技术标评审</w:t>
      </w:r>
    </w:p>
    <w:tbl>
      <w:tblPr>
        <w:tblStyle w:val="23"/>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95"/>
        <w:gridCol w:w="3069"/>
        <w:gridCol w:w="4452"/>
      </w:tblGrid>
      <w:tr w14:paraId="24E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70" w:type="dxa"/>
            <w:gridSpan w:val="2"/>
            <w:vAlign w:val="center"/>
          </w:tcPr>
          <w:p w14:paraId="12C22BEE">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3069" w:type="dxa"/>
            <w:vAlign w:val="center"/>
          </w:tcPr>
          <w:p w14:paraId="632F6CD3">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评</w:t>
            </w:r>
            <w:bookmarkStart w:id="640" w:name="_Toc324404881"/>
            <w:bookmarkStart w:id="641" w:name="_Toc246996252"/>
            <w:bookmarkStart w:id="642" w:name="_Toc247085767"/>
            <w:bookmarkStart w:id="643" w:name="_Toc246996995"/>
            <w:bookmarkStart w:id="644" w:name="_Toc179632627"/>
            <w:bookmarkStart w:id="645" w:name="_Toc152045609"/>
            <w:bookmarkStart w:id="646" w:name="_Toc152042387"/>
            <w:bookmarkStart w:id="647" w:name="_Toc417623601"/>
            <w:bookmarkStart w:id="648" w:name="_Toc144974577"/>
            <w:r>
              <w:rPr>
                <w:rFonts w:hint="eastAsia" w:ascii="宋体" w:hAnsi="宋体" w:cs="宋体"/>
                <w:color w:val="auto"/>
                <w:szCs w:val="21"/>
                <w:highlight w:val="none"/>
              </w:rPr>
              <w:t>审因</w:t>
            </w:r>
            <w:bookmarkEnd w:id="640"/>
            <w:bookmarkEnd w:id="641"/>
            <w:bookmarkEnd w:id="642"/>
            <w:bookmarkEnd w:id="643"/>
            <w:bookmarkEnd w:id="644"/>
            <w:bookmarkEnd w:id="645"/>
            <w:bookmarkEnd w:id="646"/>
            <w:bookmarkEnd w:id="647"/>
            <w:bookmarkEnd w:id="648"/>
            <w:bookmarkStart w:id="649" w:name="_Toc60061510"/>
            <w:r>
              <w:rPr>
                <w:rFonts w:hint="eastAsia" w:ascii="宋体" w:hAnsi="宋体" w:cs="宋体"/>
                <w:color w:val="auto"/>
                <w:szCs w:val="21"/>
                <w:highlight w:val="none"/>
              </w:rPr>
              <w:t>素</w:t>
            </w:r>
          </w:p>
        </w:tc>
        <w:tc>
          <w:tcPr>
            <w:tcW w:w="4452" w:type="dxa"/>
            <w:vAlign w:val="center"/>
          </w:tcPr>
          <w:p w14:paraId="5474D4DB">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bookmarkEnd w:id="649"/>
      <w:tr w14:paraId="63D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77CD114A">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4.1.1</w:t>
            </w:r>
          </w:p>
        </w:tc>
        <w:tc>
          <w:tcPr>
            <w:tcW w:w="1695" w:type="dxa"/>
            <w:vAlign w:val="center"/>
          </w:tcPr>
          <w:p w14:paraId="05DFF47B">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形式评审</w:t>
            </w:r>
          </w:p>
          <w:p w14:paraId="3030E4F6">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标准</w:t>
            </w:r>
          </w:p>
        </w:tc>
        <w:tc>
          <w:tcPr>
            <w:tcW w:w="3069" w:type="dxa"/>
            <w:shd w:val="clear" w:color="auto" w:fill="auto"/>
            <w:vAlign w:val="center"/>
          </w:tcPr>
          <w:p w14:paraId="2B0AA9FE">
            <w:pPr>
              <w:spacing w:line="520" w:lineRule="exact"/>
              <w:jc w:val="center"/>
              <w:rPr>
                <w:color w:val="auto"/>
                <w:highlight w:val="none"/>
              </w:rPr>
            </w:pPr>
            <w:r>
              <w:rPr>
                <w:rFonts w:hint="eastAsia"/>
                <w:color w:val="auto"/>
                <w:highlight w:val="none"/>
              </w:rPr>
              <w:t>投标文件格式</w:t>
            </w:r>
          </w:p>
        </w:tc>
        <w:tc>
          <w:tcPr>
            <w:tcW w:w="4452" w:type="dxa"/>
            <w:shd w:val="clear" w:color="auto" w:fill="auto"/>
            <w:vAlign w:val="center"/>
          </w:tcPr>
          <w:p w14:paraId="34580492">
            <w:pPr>
              <w:spacing w:line="520" w:lineRule="exact"/>
              <w:rPr>
                <w:color w:val="auto"/>
                <w:highlight w:val="none"/>
              </w:rPr>
            </w:pPr>
            <w:r>
              <w:rPr>
                <w:rFonts w:hint="eastAsia"/>
                <w:color w:val="auto"/>
                <w:highlight w:val="none"/>
              </w:rPr>
              <w:t>符合第九章“投标文件格式”的要求，否则经评委会一致认定后,按照无效投标处理。</w:t>
            </w:r>
          </w:p>
        </w:tc>
      </w:tr>
      <w:tr w14:paraId="22B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restart"/>
            <w:vAlign w:val="center"/>
          </w:tcPr>
          <w:p w14:paraId="2A7B76A6">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1695" w:type="dxa"/>
            <w:vMerge w:val="restart"/>
            <w:vAlign w:val="center"/>
          </w:tcPr>
          <w:p w14:paraId="12F70600">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响应性评审标准（初步评审）</w:t>
            </w:r>
          </w:p>
        </w:tc>
        <w:tc>
          <w:tcPr>
            <w:tcW w:w="3069" w:type="dxa"/>
            <w:vAlign w:val="center"/>
          </w:tcPr>
          <w:p w14:paraId="00E4C4C4">
            <w:pPr>
              <w:adjustRightInd w:val="0"/>
              <w:snapToGrid w:val="0"/>
              <w:spacing w:line="520" w:lineRule="exact"/>
              <w:jc w:val="center"/>
              <w:textAlignment w:val="baseline"/>
              <w:rPr>
                <w:color w:val="auto"/>
                <w:szCs w:val="21"/>
                <w:highlight w:val="none"/>
              </w:rPr>
            </w:pPr>
            <w:r>
              <w:rPr>
                <w:color w:val="auto"/>
                <w:szCs w:val="21"/>
                <w:highlight w:val="none"/>
              </w:rPr>
              <w:t>投标内容</w:t>
            </w:r>
          </w:p>
        </w:tc>
        <w:tc>
          <w:tcPr>
            <w:tcW w:w="4452" w:type="dxa"/>
            <w:vAlign w:val="center"/>
          </w:tcPr>
          <w:p w14:paraId="19ED4510">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080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tcPr>
          <w:p w14:paraId="5C623C0A">
            <w:pPr>
              <w:adjustRightInd w:val="0"/>
              <w:snapToGrid w:val="0"/>
              <w:spacing w:line="520" w:lineRule="exact"/>
              <w:jc w:val="center"/>
              <w:rPr>
                <w:rFonts w:ascii="宋体" w:hAnsi="宋体" w:cs="宋体"/>
                <w:color w:val="auto"/>
                <w:szCs w:val="21"/>
                <w:highlight w:val="none"/>
              </w:rPr>
            </w:pPr>
          </w:p>
        </w:tc>
        <w:tc>
          <w:tcPr>
            <w:tcW w:w="1695" w:type="dxa"/>
            <w:vMerge w:val="continue"/>
            <w:vAlign w:val="center"/>
          </w:tcPr>
          <w:p w14:paraId="22607623">
            <w:pPr>
              <w:adjustRightInd w:val="0"/>
              <w:snapToGrid w:val="0"/>
              <w:spacing w:line="520" w:lineRule="exact"/>
              <w:jc w:val="center"/>
              <w:rPr>
                <w:rFonts w:ascii="宋体" w:hAnsi="宋体" w:cs="宋体"/>
                <w:color w:val="auto"/>
                <w:szCs w:val="21"/>
                <w:highlight w:val="none"/>
              </w:rPr>
            </w:pPr>
          </w:p>
        </w:tc>
        <w:tc>
          <w:tcPr>
            <w:tcW w:w="3069" w:type="dxa"/>
            <w:vAlign w:val="center"/>
          </w:tcPr>
          <w:p w14:paraId="39D64D38">
            <w:pPr>
              <w:adjustRightInd w:val="0"/>
              <w:snapToGrid w:val="0"/>
              <w:spacing w:line="520" w:lineRule="exact"/>
              <w:jc w:val="center"/>
              <w:textAlignment w:val="baseline"/>
              <w:rPr>
                <w:color w:val="auto"/>
                <w:szCs w:val="21"/>
                <w:highlight w:val="none"/>
              </w:rPr>
            </w:pPr>
            <w:r>
              <w:rPr>
                <w:color w:val="auto"/>
                <w:szCs w:val="21"/>
                <w:highlight w:val="none"/>
              </w:rPr>
              <w:t>权利义务</w:t>
            </w:r>
          </w:p>
        </w:tc>
        <w:tc>
          <w:tcPr>
            <w:tcW w:w="4452" w:type="dxa"/>
            <w:vAlign w:val="center"/>
          </w:tcPr>
          <w:p w14:paraId="29F74793">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465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Merge w:val="continue"/>
          </w:tcPr>
          <w:p w14:paraId="2CF629D6">
            <w:pPr>
              <w:adjustRightInd w:val="0"/>
              <w:snapToGrid w:val="0"/>
              <w:spacing w:line="520" w:lineRule="exact"/>
              <w:jc w:val="center"/>
              <w:rPr>
                <w:rFonts w:ascii="宋体" w:hAnsi="宋体" w:cs="宋体"/>
                <w:color w:val="auto"/>
                <w:szCs w:val="21"/>
                <w:highlight w:val="none"/>
              </w:rPr>
            </w:pPr>
          </w:p>
        </w:tc>
        <w:tc>
          <w:tcPr>
            <w:tcW w:w="1695" w:type="dxa"/>
            <w:vMerge w:val="continue"/>
            <w:vAlign w:val="center"/>
          </w:tcPr>
          <w:p w14:paraId="7F0C2D6B">
            <w:pPr>
              <w:adjustRightInd w:val="0"/>
              <w:snapToGrid w:val="0"/>
              <w:spacing w:line="520" w:lineRule="exact"/>
              <w:jc w:val="center"/>
              <w:rPr>
                <w:rFonts w:ascii="宋体" w:hAnsi="宋体" w:cs="宋体"/>
                <w:color w:val="auto"/>
                <w:szCs w:val="21"/>
                <w:highlight w:val="none"/>
              </w:rPr>
            </w:pPr>
          </w:p>
        </w:tc>
        <w:tc>
          <w:tcPr>
            <w:tcW w:w="3069" w:type="dxa"/>
            <w:vAlign w:val="center"/>
          </w:tcPr>
          <w:p w14:paraId="1B1FE9F4">
            <w:pPr>
              <w:adjustRightInd w:val="0"/>
              <w:snapToGrid w:val="0"/>
              <w:spacing w:line="520" w:lineRule="exact"/>
              <w:jc w:val="center"/>
              <w:textAlignment w:val="baseline"/>
              <w:rPr>
                <w:color w:val="auto"/>
                <w:szCs w:val="21"/>
                <w:highlight w:val="none"/>
              </w:rPr>
            </w:pPr>
            <w:r>
              <w:rPr>
                <w:rFonts w:hint="eastAsia"/>
                <w:color w:val="auto"/>
                <w:szCs w:val="21"/>
                <w:highlight w:val="none"/>
              </w:rPr>
              <w:t>技术要求</w:t>
            </w:r>
          </w:p>
        </w:tc>
        <w:tc>
          <w:tcPr>
            <w:tcW w:w="4452" w:type="dxa"/>
            <w:vAlign w:val="center"/>
          </w:tcPr>
          <w:p w14:paraId="201440D6">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符合第八章“技术要求”规定。</w:t>
            </w:r>
          </w:p>
        </w:tc>
      </w:tr>
      <w:tr w14:paraId="213C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91" w:type="dxa"/>
            <w:gridSpan w:val="4"/>
          </w:tcPr>
          <w:p w14:paraId="315C9280">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技术标详细评审（55分）</w:t>
            </w:r>
          </w:p>
        </w:tc>
      </w:tr>
      <w:tr w14:paraId="0303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tcPr>
          <w:p w14:paraId="710723FF">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95" w:type="dxa"/>
            <w:vAlign w:val="center"/>
          </w:tcPr>
          <w:p w14:paraId="01CD0938">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7521" w:type="dxa"/>
            <w:gridSpan w:val="2"/>
            <w:vAlign w:val="center"/>
          </w:tcPr>
          <w:p w14:paraId="30B006DA">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2C82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64F8A203">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95" w:type="dxa"/>
            <w:vAlign w:val="center"/>
          </w:tcPr>
          <w:p w14:paraId="25B30059">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项目方案</w:t>
            </w:r>
          </w:p>
          <w:p w14:paraId="7058BCE5">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7521" w:type="dxa"/>
            <w:gridSpan w:val="2"/>
            <w:vAlign w:val="center"/>
          </w:tcPr>
          <w:p w14:paraId="6B546D5F">
            <w:pPr>
              <w:adjustRightInd w:val="0"/>
              <w:snapToGrid w:val="0"/>
              <w:spacing w:line="520" w:lineRule="exact"/>
              <w:jc w:val="left"/>
              <w:rPr>
                <w:rFonts w:ascii="宋体" w:hAnsi="宋体" w:cs="宋体"/>
                <w:color w:val="auto"/>
                <w:szCs w:val="21"/>
                <w:highlight w:val="none"/>
              </w:rPr>
            </w:pPr>
            <w:r>
              <w:rPr>
                <w:rFonts w:hint="eastAsia" w:ascii="宋体" w:hAnsi="宋体" w:cs="宋体"/>
                <w:color w:val="auto"/>
                <w:szCs w:val="21"/>
                <w:highlight w:val="none"/>
              </w:rPr>
              <w:t>投标人须根据招标人提供的技术要求，结合各水厂的现状，自行编制设计方案，评审将综合考量方案是否合理、满足招标需求、经济可行、具备针对性及操作性。方案内容要求主要包括1.现状问题与重难点分析：基于调研分析，全面、准确的阐述本项目现状存在的问题，以及施工过程中的重点和难点。2.解决方案与措施：依据相关技术规范，针对上述问题几重难点，提出切实可行的解决措施和方案。3.方案分项描述：对方案中设计的关键系统和设备（包括但不限于水泵、阀门、配电系统、自控系统</w:t>
            </w:r>
            <w:r>
              <w:rPr>
                <w:rFonts w:hint="eastAsia" w:ascii="宋体" w:hAnsi="宋体" w:cs="宋体"/>
                <w:color w:val="auto"/>
                <w:szCs w:val="21"/>
                <w:highlight w:val="none"/>
                <w:lang w:eastAsia="zh-CN"/>
              </w:rPr>
              <w:t>、</w:t>
            </w:r>
            <w:r>
              <w:rPr>
                <w:rFonts w:hint="eastAsia" w:ascii="宋体" w:hAnsi="宋体" w:cs="宋体"/>
                <w:b/>
                <w:color w:val="auto"/>
                <w:szCs w:val="21"/>
                <w:highlight w:val="none"/>
                <w:u w:val="none"/>
              </w:rPr>
              <w:t>计量泵加药系统</w:t>
            </w:r>
            <w:r>
              <w:rPr>
                <w:rFonts w:hint="eastAsia" w:ascii="宋体" w:hAnsi="宋体" w:cs="宋体"/>
                <w:color w:val="auto"/>
                <w:szCs w:val="21"/>
                <w:highlight w:val="none"/>
                <w:u w:val="none"/>
              </w:rPr>
              <w:t>及工</w:t>
            </w:r>
            <w:r>
              <w:rPr>
                <w:rFonts w:hint="eastAsia" w:ascii="宋体" w:hAnsi="宋体" w:cs="宋体"/>
                <w:color w:val="auto"/>
                <w:szCs w:val="21"/>
                <w:highlight w:val="none"/>
              </w:rPr>
              <w:t>艺管道等）进行详细描述。4.支撑材料：提供与方案相关的图纸、图片及技术资料，要求内容切合主题、资料完整、描述表达准确。</w:t>
            </w:r>
          </w:p>
          <w:p w14:paraId="3D74FFE8">
            <w:pPr>
              <w:adjustRightInd w:val="0"/>
              <w:snapToGrid w:val="0"/>
              <w:spacing w:line="520" w:lineRule="exact"/>
              <w:jc w:val="left"/>
              <w:rPr>
                <w:rFonts w:ascii="宋体" w:hAnsi="宋体" w:cs="宋体"/>
                <w:color w:val="auto"/>
                <w:szCs w:val="21"/>
                <w:highlight w:val="none"/>
              </w:rPr>
            </w:pPr>
            <w:r>
              <w:rPr>
                <w:rFonts w:hint="eastAsia" w:ascii="宋体" w:hAnsi="宋体" w:cs="宋体"/>
                <w:color w:val="auto"/>
                <w:szCs w:val="21"/>
                <w:highlight w:val="none"/>
              </w:rPr>
              <w:t>优秀的得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分，良好的得</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分，合格的得</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分，不合格的或未提供的得0分。</w:t>
            </w:r>
          </w:p>
        </w:tc>
      </w:tr>
      <w:tr w14:paraId="7E96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13BC674F">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95" w:type="dxa"/>
            <w:vAlign w:val="center"/>
          </w:tcPr>
          <w:p w14:paraId="690BF39D">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整体供货方案</w:t>
            </w:r>
          </w:p>
          <w:p w14:paraId="4982C3AA">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7521" w:type="dxa"/>
            <w:gridSpan w:val="2"/>
            <w:vAlign w:val="center"/>
          </w:tcPr>
          <w:p w14:paraId="5857C3D1">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根据投标人提供的供货、安装及售后服务方案等，综合比较各方案是否合理，是否有针对性和操作性，是否切实结合并考虑了本项目的实际，工期、人员、质量、进度保证措施是否切实可行。优秀的得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分，良好的得</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分，合格的得</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分，不合格的或未提供的得0分。</w:t>
            </w:r>
          </w:p>
        </w:tc>
      </w:tr>
      <w:tr w14:paraId="183D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47C8C0AA">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695" w:type="dxa"/>
            <w:vAlign w:val="center"/>
          </w:tcPr>
          <w:p w14:paraId="5525D0E9">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产品质量保证措施（10分）</w:t>
            </w:r>
          </w:p>
        </w:tc>
        <w:tc>
          <w:tcPr>
            <w:tcW w:w="7521" w:type="dxa"/>
            <w:gridSpan w:val="2"/>
            <w:vAlign w:val="center"/>
          </w:tcPr>
          <w:p w14:paraId="51B3A568">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针对投标人所投设备的质量性能、技术先进性、便于维护等质量保证措施进行综合评价。优秀的得10分，良好的得9分，一般的得8分，合格的得7分，不合格的或未提供的得0分。</w:t>
            </w:r>
          </w:p>
        </w:tc>
      </w:tr>
      <w:tr w14:paraId="4D7F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417B4629">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695" w:type="dxa"/>
            <w:vAlign w:val="center"/>
          </w:tcPr>
          <w:p w14:paraId="64D1C88B">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设备系统整合方案（</w:t>
            </w:r>
            <w:r>
              <w:rPr>
                <w:rFonts w:ascii="宋体" w:hAnsi="宋体" w:cs="宋体"/>
                <w:color w:val="auto"/>
                <w:szCs w:val="21"/>
                <w:highlight w:val="none"/>
              </w:rPr>
              <w:t>5</w:t>
            </w:r>
            <w:r>
              <w:rPr>
                <w:rFonts w:hint="eastAsia" w:ascii="宋体" w:hAnsi="宋体" w:cs="宋体"/>
                <w:color w:val="auto"/>
                <w:szCs w:val="21"/>
                <w:highlight w:val="none"/>
              </w:rPr>
              <w:t>分）</w:t>
            </w:r>
          </w:p>
        </w:tc>
        <w:tc>
          <w:tcPr>
            <w:tcW w:w="7521" w:type="dxa"/>
            <w:gridSpan w:val="2"/>
            <w:vAlign w:val="center"/>
          </w:tcPr>
          <w:p w14:paraId="6859D29A">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提出合理、可操作的设备衔接及整合方案，特别是对本项目的工程建设</w:t>
            </w:r>
            <w:r>
              <w:rPr>
                <w:rFonts w:hint="eastAsia" w:ascii="宋体" w:hAnsi="宋体"/>
                <w:color w:val="auto"/>
                <w:szCs w:val="21"/>
                <w:highlight w:val="none"/>
              </w:rPr>
              <w:t>和（或）</w:t>
            </w:r>
            <w:r>
              <w:rPr>
                <w:rFonts w:hint="eastAsia" w:ascii="宋体" w:hAnsi="宋体" w:cs="宋体"/>
                <w:color w:val="auto"/>
                <w:szCs w:val="21"/>
                <w:highlight w:val="none"/>
              </w:rPr>
              <w:t>现有系统以及其它各相关系统之间的衔接，以及投标设备与招标人原有设备的有机结合、无缝连接和互联互通等方面是否有安全、稳定、成熟可行的方案。优秀的得</w:t>
            </w:r>
            <w:r>
              <w:rPr>
                <w:rFonts w:ascii="宋体" w:hAnsi="宋体" w:cs="宋体"/>
                <w:color w:val="auto"/>
                <w:szCs w:val="21"/>
                <w:highlight w:val="none"/>
              </w:rPr>
              <w:t>5</w:t>
            </w:r>
            <w:r>
              <w:rPr>
                <w:rFonts w:hint="eastAsia" w:ascii="宋体" w:hAnsi="宋体" w:cs="宋体"/>
                <w:color w:val="auto"/>
                <w:szCs w:val="21"/>
                <w:highlight w:val="none"/>
              </w:rPr>
              <w:t>分，良好的得</w:t>
            </w:r>
            <w:r>
              <w:rPr>
                <w:rFonts w:ascii="宋体" w:hAnsi="宋体" w:cs="宋体"/>
                <w:color w:val="auto"/>
                <w:szCs w:val="21"/>
                <w:highlight w:val="none"/>
              </w:rPr>
              <w:t>4.5</w:t>
            </w:r>
            <w:r>
              <w:rPr>
                <w:rFonts w:hint="eastAsia" w:ascii="宋体" w:hAnsi="宋体" w:cs="宋体"/>
                <w:color w:val="auto"/>
                <w:szCs w:val="21"/>
                <w:highlight w:val="none"/>
              </w:rPr>
              <w:t>分，一般的得</w:t>
            </w:r>
            <w:r>
              <w:rPr>
                <w:rFonts w:ascii="宋体" w:hAnsi="宋体" w:cs="宋体"/>
                <w:color w:val="auto"/>
                <w:szCs w:val="21"/>
                <w:highlight w:val="none"/>
              </w:rPr>
              <w:t>4</w:t>
            </w:r>
            <w:r>
              <w:rPr>
                <w:rFonts w:hint="eastAsia" w:ascii="宋体" w:hAnsi="宋体" w:cs="宋体"/>
                <w:color w:val="auto"/>
                <w:szCs w:val="21"/>
                <w:highlight w:val="none"/>
              </w:rPr>
              <w:t>分，合格的得</w:t>
            </w:r>
            <w:r>
              <w:rPr>
                <w:rFonts w:ascii="宋体" w:hAnsi="宋体" w:cs="宋体"/>
                <w:color w:val="auto"/>
                <w:szCs w:val="21"/>
                <w:highlight w:val="none"/>
              </w:rPr>
              <w:t>3.5</w:t>
            </w:r>
            <w:r>
              <w:rPr>
                <w:rFonts w:hint="eastAsia" w:ascii="宋体" w:hAnsi="宋体" w:cs="宋体"/>
                <w:color w:val="auto"/>
                <w:szCs w:val="21"/>
                <w:highlight w:val="none"/>
              </w:rPr>
              <w:t>分，不合格的或未提供的得0分。</w:t>
            </w:r>
          </w:p>
        </w:tc>
      </w:tr>
      <w:tr w14:paraId="0E0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5" w:type="dxa"/>
            <w:vAlign w:val="center"/>
          </w:tcPr>
          <w:p w14:paraId="57AD3F85">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695" w:type="dxa"/>
            <w:vAlign w:val="center"/>
          </w:tcPr>
          <w:p w14:paraId="13313206">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技术服务能力评价（5分）</w:t>
            </w:r>
          </w:p>
        </w:tc>
        <w:tc>
          <w:tcPr>
            <w:tcW w:w="7521" w:type="dxa"/>
            <w:gridSpan w:val="2"/>
            <w:vAlign w:val="center"/>
          </w:tcPr>
          <w:p w14:paraId="5A475D2C">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包括但不限于：①技术培训计划的时间、内容符合本招标工程实际；②安装调试及试运行措施、运行的技术指导安排合理；③技术图纸提供计划（包括图纸种类和供图时间）满足本招标工程建设和运行管理需要。优秀的得5分，良好的得4.5分，一般的得4分，合格的得3.5分，不合格的或未提供的得0分。</w:t>
            </w:r>
          </w:p>
        </w:tc>
      </w:tr>
      <w:tr w14:paraId="32F2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5" w:type="dxa"/>
            <w:vAlign w:val="center"/>
          </w:tcPr>
          <w:p w14:paraId="1EDD6659">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695" w:type="dxa"/>
            <w:vAlign w:val="center"/>
          </w:tcPr>
          <w:p w14:paraId="68AFE9AF">
            <w:pPr>
              <w:adjustRightInd w:val="0"/>
              <w:snapToGrid w:val="0"/>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施工组织设计及调试验收方案</w:t>
            </w:r>
          </w:p>
          <w:p w14:paraId="76C94AF6">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7521" w:type="dxa"/>
            <w:gridSpan w:val="2"/>
            <w:vAlign w:val="center"/>
          </w:tcPr>
          <w:p w14:paraId="0D4DC55B">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根据投标人提供的施工组织设计、调试验收方案，评标委员会综合比较各方案是否合理，是否有针对性和操作性，是否切实结合并考虑了本项目的实际，工期、人员、质量、进度保证措施是否切实可行。优秀的得5分，良好的得4.5分，一般的得4分，合格的得3.5分，不合格的或未提供的得0分。</w:t>
            </w:r>
          </w:p>
        </w:tc>
      </w:tr>
      <w:tr w14:paraId="644E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6E83A8E7">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695" w:type="dxa"/>
            <w:vAlign w:val="center"/>
          </w:tcPr>
          <w:p w14:paraId="4EF24054">
            <w:pPr>
              <w:adjustRightInd w:val="0"/>
              <w:snapToGrid w:val="0"/>
              <w:spacing w:line="520" w:lineRule="exact"/>
              <w:jc w:val="center"/>
              <w:rPr>
                <w:rFonts w:ascii="宋体" w:hAnsi="宋体" w:cs="宋体"/>
                <w:color w:val="auto"/>
                <w:szCs w:val="21"/>
                <w:highlight w:val="none"/>
              </w:rPr>
            </w:pPr>
            <w:bookmarkStart w:id="932" w:name="_GoBack"/>
            <w:r>
              <w:rPr>
                <w:rFonts w:hint="eastAsia" w:ascii="宋体" w:hAnsi="宋体" w:cs="宋体"/>
                <w:color w:val="auto"/>
                <w:szCs w:val="21"/>
                <w:highlight w:val="none"/>
              </w:rPr>
              <w:t>质保服务能力评价</w:t>
            </w:r>
            <w:bookmarkEnd w:id="932"/>
            <w:r>
              <w:rPr>
                <w:rFonts w:hint="eastAsia" w:ascii="宋体" w:hAnsi="宋体" w:cs="宋体"/>
                <w:color w:val="auto"/>
                <w:szCs w:val="21"/>
                <w:highlight w:val="none"/>
              </w:rPr>
              <w:t>（5分）</w:t>
            </w:r>
          </w:p>
        </w:tc>
        <w:tc>
          <w:tcPr>
            <w:tcW w:w="7521" w:type="dxa"/>
            <w:gridSpan w:val="2"/>
            <w:vAlign w:val="center"/>
          </w:tcPr>
          <w:p w14:paraId="2C86B159">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投标人提供完善的售后服务措施，并有切实可行的售后服务计划以及服务承诺能够保证履约便利化服务，有切实的现场履约便利化服务措施，提供现场履约技术支持，实现招标人要求的现场响应服务等。优秀的得5分，良好的得4.5分，一般的得4分，合格的得3.5分，不合格的或未提供的得0分。</w:t>
            </w:r>
          </w:p>
        </w:tc>
      </w:tr>
      <w:tr w14:paraId="7236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91" w:type="dxa"/>
            <w:gridSpan w:val="4"/>
            <w:vAlign w:val="center"/>
          </w:tcPr>
          <w:p w14:paraId="1991B65C">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注：1.该项由专家评委评审打分，取所有评委评分中分别去掉一个最高和最低评分后的平均值为最终得分，保留两位小数点，第三位四舍五入。</w:t>
            </w:r>
          </w:p>
          <w:p w14:paraId="07FB47CC">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09402D00">
            <w:pPr>
              <w:pStyle w:val="22"/>
              <w:spacing w:line="520" w:lineRule="exact"/>
              <w:ind w:left="0" w:leftChars="0" w:firstLine="413" w:firstLineChars="196"/>
              <w:jc w:val="left"/>
              <w:rPr>
                <w:rFonts w:ascii="宋体" w:hAnsi="宋体" w:cs="宋体"/>
                <w:b/>
                <w:bCs/>
                <w:color w:val="auto"/>
                <w:highlight w:val="none"/>
              </w:rPr>
            </w:pPr>
            <w:r>
              <w:rPr>
                <w:rFonts w:hint="eastAsia" w:ascii="宋体" w:hAnsi="宋体" w:cs="宋体"/>
                <w:b/>
                <w:bCs/>
                <w:color w:val="auto"/>
                <w:highlight w:val="none"/>
              </w:rPr>
              <w:t>2.1 技术标暗标不设空白页。技术标投标文件封面不出现投标人、法定代表人签章内容，格式以系统设置为准。正文必须按招标文件要求的顺序进行排版；</w:t>
            </w:r>
          </w:p>
          <w:p w14:paraId="4A2C9DDB">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0F496D7C">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5145401">
            <w:pPr>
              <w:spacing w:line="520" w:lineRule="exact"/>
              <w:ind w:firstLine="413" w:firstLineChars="196"/>
              <w:jc w:val="left"/>
              <w:rPr>
                <w:rFonts w:ascii="宋体" w:hAnsi="宋体" w:cs="宋体"/>
                <w:b/>
                <w:bCs/>
                <w:color w:val="auto"/>
                <w:highlight w:val="none"/>
              </w:rPr>
            </w:pPr>
            <w:r>
              <w:rPr>
                <w:rFonts w:hint="eastAsia" w:ascii="宋体" w:hAnsi="宋体" w:cs="宋体"/>
                <w:b/>
                <w:bCs/>
                <w:color w:val="auto"/>
                <w:highlight w:val="none"/>
              </w:rPr>
              <w:t>3.技术标暗标文件的格式、制作不符合上述要求的，每一分项扣0.2分。技术标实行暗标的，对技术标（暗标）部分不予澄清、说明或者补正。</w:t>
            </w:r>
          </w:p>
          <w:p w14:paraId="2B143737">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4.招标人应根据招标项目实际，在招标文件中明确招标中施工组织设计的评审要点。其中施工组织设计评审要点主要包括：</w:t>
            </w:r>
          </w:p>
          <w:p w14:paraId="098932F4">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①项目方案（页数不得多于20页）</w:t>
            </w:r>
          </w:p>
          <w:p w14:paraId="685F3C44">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②整体供货方案（页数不多于5页）；</w:t>
            </w:r>
          </w:p>
          <w:p w14:paraId="2B3586A2">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③产品质量保证措施（页数不多于5页）；</w:t>
            </w:r>
          </w:p>
          <w:p w14:paraId="2630821A">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④设备系统整合方案（页数不多于8页）；</w:t>
            </w:r>
          </w:p>
          <w:p w14:paraId="2B63FE3F">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⑤技术服务能力评价（页数不多于5页）；</w:t>
            </w:r>
          </w:p>
          <w:p w14:paraId="6CC59315">
            <w:pPr>
              <w:adjustRightInd w:val="0"/>
              <w:snapToGrid w:val="0"/>
              <w:spacing w:line="520" w:lineRule="exact"/>
              <w:ind w:firstLine="420" w:firstLineChars="200"/>
              <w:rPr>
                <w:color w:val="auto"/>
                <w:highlight w:val="none"/>
              </w:rPr>
            </w:pPr>
            <w:r>
              <w:rPr>
                <w:rFonts w:hint="eastAsia" w:ascii="微软雅黑" w:hAnsi="微软雅黑" w:eastAsia="微软雅黑" w:cs="微软雅黑"/>
                <w:color w:val="auto"/>
                <w:szCs w:val="21"/>
                <w:highlight w:val="none"/>
              </w:rPr>
              <w:t>⑥</w:t>
            </w:r>
            <w:r>
              <w:rPr>
                <w:rFonts w:hint="eastAsia" w:ascii="宋体" w:hAnsi="宋体" w:cs="宋体"/>
                <w:color w:val="auto"/>
                <w:szCs w:val="21"/>
                <w:highlight w:val="none"/>
              </w:rPr>
              <w:t>施工组织设计及调试验收方案（页数不多于5页）；</w:t>
            </w:r>
          </w:p>
          <w:p w14:paraId="65BB7C34">
            <w:pPr>
              <w:adjustRightInd w:val="0"/>
              <w:snapToGrid w:val="0"/>
              <w:spacing w:line="520" w:lineRule="exact"/>
              <w:ind w:firstLine="420" w:firstLineChars="200"/>
              <w:jc w:val="left"/>
              <w:rPr>
                <w:rFonts w:ascii="宋体" w:hAnsi="宋体" w:cs="宋体"/>
                <w:color w:val="auto"/>
                <w:szCs w:val="21"/>
                <w:highlight w:val="none"/>
              </w:rPr>
            </w:pPr>
            <w:r>
              <w:rPr>
                <w:rFonts w:hint="eastAsia" w:ascii="微软雅黑" w:hAnsi="微软雅黑" w:eastAsia="微软雅黑" w:cs="微软雅黑"/>
                <w:color w:val="auto"/>
                <w:szCs w:val="21"/>
                <w:highlight w:val="none"/>
              </w:rPr>
              <w:t>⑦</w:t>
            </w:r>
            <w:r>
              <w:rPr>
                <w:rFonts w:hint="eastAsia" w:ascii="宋体" w:hAnsi="宋体" w:cs="宋体"/>
                <w:color w:val="auto"/>
                <w:szCs w:val="21"/>
                <w:highlight w:val="none"/>
              </w:rPr>
              <w:t>质保服务能力评价（页数不多于5页）。</w:t>
            </w:r>
          </w:p>
          <w:p w14:paraId="5E3A185B">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具体篇幅(字数)要求及扣分标准（建议扣分值为0.2分）。未做要求的，投标人可根据实际需要进行编制投标文件，但不得出现泄漏投标人信息的任何表述。偏离规定标准的，评标委员会应酌情扣分。</w:t>
            </w:r>
          </w:p>
          <w:p w14:paraId="33D2C15E">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E7B6ADA">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6.如所有投标企业技术标都出现能反映企业信息等相关内容的，该项目流标。</w:t>
            </w:r>
          </w:p>
        </w:tc>
      </w:tr>
    </w:tbl>
    <w:p w14:paraId="605713DB">
      <w:pPr>
        <w:pStyle w:val="22"/>
        <w:adjustRightInd w:val="0"/>
        <w:snapToGrid w:val="0"/>
        <w:spacing w:line="520" w:lineRule="exact"/>
        <w:ind w:left="0" w:leftChars="0" w:firstLine="0" w:firstLineChars="0"/>
        <w:jc w:val="center"/>
        <w:rPr>
          <w:b/>
          <w:bCs/>
          <w:color w:val="auto"/>
          <w:sz w:val="28"/>
          <w:szCs w:val="28"/>
          <w:highlight w:val="none"/>
        </w:rPr>
      </w:pPr>
      <w:r>
        <w:rPr>
          <w:rFonts w:hint="eastAsia"/>
          <w:b/>
          <w:bCs/>
          <w:color w:val="auto"/>
          <w:sz w:val="28"/>
          <w:szCs w:val="28"/>
          <w:highlight w:val="none"/>
        </w:rPr>
        <w:t>（四）商务标评审</w:t>
      </w:r>
    </w:p>
    <w:tbl>
      <w:tblPr>
        <w:tblStyle w:val="23"/>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6"/>
        <w:gridCol w:w="545"/>
        <w:gridCol w:w="2290"/>
        <w:gridCol w:w="5794"/>
      </w:tblGrid>
      <w:tr w14:paraId="1685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vAlign w:val="center"/>
          </w:tcPr>
          <w:p w14:paraId="497785A1">
            <w:pPr>
              <w:adjustRightInd w:val="0"/>
              <w:snapToGrid w:val="0"/>
              <w:spacing w:line="52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2835" w:type="dxa"/>
            <w:gridSpan w:val="2"/>
            <w:vAlign w:val="center"/>
          </w:tcPr>
          <w:p w14:paraId="2441A846">
            <w:pPr>
              <w:adjustRightInd w:val="0"/>
              <w:snapToGrid w:val="0"/>
              <w:spacing w:line="52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794" w:type="dxa"/>
            <w:vAlign w:val="center"/>
          </w:tcPr>
          <w:p w14:paraId="04F67DD8">
            <w:pPr>
              <w:adjustRightInd w:val="0"/>
              <w:snapToGrid w:val="0"/>
              <w:spacing w:line="52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736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vAlign w:val="center"/>
          </w:tcPr>
          <w:p w14:paraId="4404B51A">
            <w:pPr>
              <w:adjustRightInd w:val="0"/>
              <w:snapToGrid w:val="0"/>
              <w:spacing w:line="520" w:lineRule="exact"/>
              <w:jc w:val="center"/>
              <w:rPr>
                <w:rFonts w:ascii="宋体" w:hAnsi="宋体"/>
                <w:color w:val="auto"/>
                <w:szCs w:val="21"/>
                <w:highlight w:val="none"/>
              </w:rPr>
            </w:pPr>
            <w:r>
              <w:rPr>
                <w:rFonts w:ascii="宋体" w:hAnsi="宋体"/>
                <w:color w:val="auto"/>
                <w:szCs w:val="21"/>
                <w:highlight w:val="none"/>
              </w:rPr>
              <w:t>4.2.1</w:t>
            </w:r>
          </w:p>
        </w:tc>
        <w:tc>
          <w:tcPr>
            <w:tcW w:w="776" w:type="dxa"/>
            <w:vMerge w:val="restart"/>
            <w:vAlign w:val="center"/>
          </w:tcPr>
          <w:p w14:paraId="2E6EDCBA">
            <w:pPr>
              <w:adjustRightInd w:val="0"/>
              <w:snapToGrid w:val="0"/>
              <w:spacing w:line="52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835" w:type="dxa"/>
            <w:gridSpan w:val="2"/>
            <w:vAlign w:val="center"/>
          </w:tcPr>
          <w:p w14:paraId="121C3E75">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投标函签字盖章</w:t>
            </w:r>
          </w:p>
        </w:tc>
        <w:tc>
          <w:tcPr>
            <w:tcW w:w="5794" w:type="dxa"/>
            <w:vAlign w:val="center"/>
          </w:tcPr>
          <w:p w14:paraId="23FD88F5">
            <w:pPr>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261D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vAlign w:val="center"/>
          </w:tcPr>
          <w:p w14:paraId="6DD7A1A4">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1285DE83">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0E63CDD1">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投标文件格式</w:t>
            </w:r>
          </w:p>
        </w:tc>
        <w:tc>
          <w:tcPr>
            <w:tcW w:w="5794" w:type="dxa"/>
            <w:vAlign w:val="center"/>
          </w:tcPr>
          <w:p w14:paraId="3159CC8B">
            <w:pPr>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48E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vAlign w:val="center"/>
          </w:tcPr>
          <w:p w14:paraId="33795D86">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53076BD8">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71940577">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商务标签字盖章</w:t>
            </w:r>
          </w:p>
        </w:tc>
        <w:tc>
          <w:tcPr>
            <w:tcW w:w="5794" w:type="dxa"/>
            <w:vAlign w:val="center"/>
          </w:tcPr>
          <w:p w14:paraId="353C51C6">
            <w:pPr>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1A0E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vAlign w:val="center"/>
          </w:tcPr>
          <w:p w14:paraId="2356858B">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7369E120">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498B0550">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报价唯一</w:t>
            </w:r>
          </w:p>
        </w:tc>
        <w:tc>
          <w:tcPr>
            <w:tcW w:w="5794" w:type="dxa"/>
            <w:vAlign w:val="center"/>
          </w:tcPr>
          <w:p w14:paraId="42558E4F">
            <w:pPr>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519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vAlign w:val="center"/>
          </w:tcPr>
          <w:p w14:paraId="6C241E5C">
            <w:pPr>
              <w:adjustRightInd w:val="0"/>
              <w:snapToGrid w:val="0"/>
              <w:spacing w:line="520" w:lineRule="exact"/>
              <w:jc w:val="center"/>
              <w:rPr>
                <w:rFonts w:ascii="宋体" w:hAnsi="宋体"/>
                <w:color w:val="auto"/>
                <w:szCs w:val="21"/>
                <w:highlight w:val="none"/>
              </w:rPr>
            </w:pPr>
            <w:r>
              <w:rPr>
                <w:rFonts w:ascii="宋体" w:hAnsi="宋体"/>
                <w:color w:val="auto"/>
                <w:szCs w:val="21"/>
                <w:highlight w:val="none"/>
              </w:rPr>
              <w:t>4.2.2</w:t>
            </w:r>
          </w:p>
        </w:tc>
        <w:tc>
          <w:tcPr>
            <w:tcW w:w="776" w:type="dxa"/>
            <w:vMerge w:val="restart"/>
            <w:vAlign w:val="center"/>
          </w:tcPr>
          <w:p w14:paraId="5689BF4F">
            <w:pPr>
              <w:adjustRightInd w:val="0"/>
              <w:snapToGrid w:val="0"/>
              <w:spacing w:line="52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2835" w:type="dxa"/>
            <w:gridSpan w:val="2"/>
            <w:shd w:val="clear" w:color="auto" w:fill="auto"/>
            <w:vAlign w:val="center"/>
          </w:tcPr>
          <w:p w14:paraId="60CC4F5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工期</w:t>
            </w:r>
          </w:p>
        </w:tc>
        <w:tc>
          <w:tcPr>
            <w:tcW w:w="5794" w:type="dxa"/>
            <w:shd w:val="clear" w:color="auto" w:fill="auto"/>
            <w:vAlign w:val="center"/>
          </w:tcPr>
          <w:p w14:paraId="6C7FE746">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5C54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vAlign w:val="center"/>
          </w:tcPr>
          <w:p w14:paraId="7BA84D92">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0C1D1EBD">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3B3E7C2A">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工程质量</w:t>
            </w:r>
          </w:p>
        </w:tc>
        <w:tc>
          <w:tcPr>
            <w:tcW w:w="5794" w:type="dxa"/>
            <w:vAlign w:val="center"/>
          </w:tcPr>
          <w:p w14:paraId="294CFDA5">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0C92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vAlign w:val="center"/>
          </w:tcPr>
          <w:p w14:paraId="2503C9F4">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52DB3327">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2AF6AF2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投标有效期</w:t>
            </w:r>
          </w:p>
        </w:tc>
        <w:tc>
          <w:tcPr>
            <w:tcW w:w="5794" w:type="dxa"/>
            <w:vAlign w:val="center"/>
          </w:tcPr>
          <w:p w14:paraId="128FC783">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240B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vAlign w:val="center"/>
          </w:tcPr>
          <w:p w14:paraId="78C299F6">
            <w:pPr>
              <w:widowControl/>
              <w:adjustRightInd w:val="0"/>
              <w:snapToGrid w:val="0"/>
              <w:spacing w:line="520" w:lineRule="exact"/>
              <w:jc w:val="left"/>
              <w:rPr>
                <w:rFonts w:ascii="宋体" w:hAnsi="宋体"/>
                <w:color w:val="auto"/>
                <w:szCs w:val="21"/>
                <w:highlight w:val="none"/>
              </w:rPr>
            </w:pPr>
          </w:p>
        </w:tc>
        <w:tc>
          <w:tcPr>
            <w:tcW w:w="776" w:type="dxa"/>
            <w:vMerge w:val="continue"/>
            <w:vAlign w:val="center"/>
          </w:tcPr>
          <w:p w14:paraId="1A724222">
            <w:pPr>
              <w:widowControl/>
              <w:adjustRightInd w:val="0"/>
              <w:snapToGrid w:val="0"/>
              <w:spacing w:line="520" w:lineRule="exact"/>
              <w:jc w:val="left"/>
              <w:rPr>
                <w:rFonts w:ascii="宋体" w:hAnsi="宋体"/>
                <w:color w:val="auto"/>
                <w:szCs w:val="21"/>
                <w:highlight w:val="none"/>
              </w:rPr>
            </w:pPr>
          </w:p>
        </w:tc>
        <w:tc>
          <w:tcPr>
            <w:tcW w:w="2835" w:type="dxa"/>
            <w:gridSpan w:val="2"/>
            <w:vAlign w:val="center"/>
          </w:tcPr>
          <w:p w14:paraId="2DA4816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5794" w:type="dxa"/>
            <w:vAlign w:val="center"/>
          </w:tcPr>
          <w:p w14:paraId="3704BFED">
            <w:pPr>
              <w:adjustRightInd w:val="0"/>
              <w:snapToGrid w:val="0"/>
              <w:spacing w:line="560" w:lineRule="exact"/>
              <w:rPr>
                <w:rFonts w:ascii="宋体" w:hAnsi="宋体"/>
                <w:color w:val="auto"/>
                <w:spacing w:val="-6"/>
                <w:szCs w:val="21"/>
                <w:highlight w:val="none"/>
              </w:rPr>
            </w:pPr>
            <w:r>
              <w:rPr>
                <w:rFonts w:hint="eastAsia" w:ascii="宋体" w:hAnsi="宋体"/>
                <w:color w:val="auto"/>
                <w:szCs w:val="21"/>
                <w:highlight w:val="none"/>
              </w:rPr>
              <w:t>投标报价（1-下浮率）低于本项目通过资信、技术评审且商务标初步评审合格有效投标报价（1-下浮率）平均值10%以上的，由评标委员会重点评审后界定其报价是否低于工程成本。</w:t>
            </w:r>
          </w:p>
        </w:tc>
      </w:tr>
      <w:tr w14:paraId="2924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Align w:val="center"/>
          </w:tcPr>
          <w:p w14:paraId="3F95F16C">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7.1</w:t>
            </w:r>
          </w:p>
        </w:tc>
        <w:tc>
          <w:tcPr>
            <w:tcW w:w="1321" w:type="dxa"/>
            <w:gridSpan w:val="2"/>
            <w:vAlign w:val="center"/>
          </w:tcPr>
          <w:p w14:paraId="6570F090">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报价分值</w:t>
            </w:r>
            <w:r>
              <w:rPr>
                <w:rFonts w:ascii="宋体" w:hAnsi="宋体"/>
                <w:color w:val="auto"/>
                <w:szCs w:val="21"/>
                <w:highlight w:val="none"/>
              </w:rPr>
              <w:t>（</w:t>
            </w:r>
            <w:r>
              <w:rPr>
                <w:rFonts w:hint="eastAsia" w:ascii="宋体" w:hAnsi="宋体"/>
                <w:color w:val="auto"/>
                <w:szCs w:val="21"/>
                <w:highlight w:val="none"/>
              </w:rPr>
              <w:t>30</w:t>
            </w:r>
            <w:r>
              <w:rPr>
                <w:rFonts w:ascii="宋体" w:hAnsi="宋体"/>
                <w:color w:val="auto"/>
                <w:szCs w:val="21"/>
                <w:highlight w:val="none"/>
              </w:rPr>
              <w:t>分）</w:t>
            </w:r>
          </w:p>
        </w:tc>
        <w:tc>
          <w:tcPr>
            <w:tcW w:w="8084" w:type="dxa"/>
            <w:gridSpan w:val="2"/>
            <w:vAlign w:val="center"/>
          </w:tcPr>
          <w:p w14:paraId="0C4184F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商务标评分按下列步骤计算：</w:t>
            </w:r>
          </w:p>
          <w:p w14:paraId="79D6AF6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第一步：计算B值。</w:t>
            </w:r>
          </w:p>
          <w:p w14:paraId="2AE30EEB">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①B值为计算范围内有效投标人报价的算术平均值。</w:t>
            </w:r>
          </w:p>
          <w:p w14:paraId="6CA7AF21">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第二步：计算评标基准价F值。</w:t>
            </w:r>
          </w:p>
          <w:p w14:paraId="38944BBE">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①F=1-B-K，其中K为调整系数，K的取值为-0.5%（1号），0%（2号），0.5%（3号），1.0%（4号），1.5%（5号）。</w:t>
            </w:r>
          </w:p>
          <w:p w14:paraId="400163BF">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第三步：计算差额。</w:t>
            </w:r>
          </w:p>
          <w:p w14:paraId="7612F811">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①差额=∣（1-投标报价）-F∣</w:t>
            </w:r>
          </w:p>
          <w:p w14:paraId="62B56C2D">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第四步：计算报价得分</w:t>
            </w:r>
          </w:p>
          <w:p w14:paraId="0A47650E">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①（1-投标报价）等于评标基准价的得满分。</w:t>
            </w:r>
          </w:p>
          <w:p w14:paraId="0EB8617D">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②（1-投标报价）高于评标基准价的，投标报价得分=报价满分值-差额×100×1</w:t>
            </w:r>
          </w:p>
          <w:p w14:paraId="109FA2BE">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③（1-投标报价）低于评标基准价的，投标报价得分=报价满分值-差额×100×0.5注：注：计算过程中，B值、评标基准价F值、差额在%前保留两位小数，小数点后第三位四舍五入。报价得分保留两位小数，小数点后第三位四舍五入。</w:t>
            </w:r>
          </w:p>
          <w:p w14:paraId="503BCD3C">
            <w:pPr>
              <w:adjustRightInd w:val="0"/>
              <w:snapToGrid w:val="0"/>
              <w:spacing w:line="520" w:lineRule="exact"/>
              <w:rPr>
                <w:rFonts w:ascii="宋体" w:hAnsi="宋体"/>
                <w:color w:val="auto"/>
                <w:szCs w:val="21"/>
                <w:highlight w:val="none"/>
              </w:rPr>
            </w:pPr>
            <w:r>
              <w:rPr>
                <w:rFonts w:hint="eastAsia" w:ascii="宋体" w:hAnsi="宋体"/>
                <w:b/>
                <w:bCs/>
                <w:color w:val="auto"/>
                <w:szCs w:val="21"/>
                <w:highlight w:val="none"/>
              </w:rPr>
              <w:t>商务标评分计算示例如下：假设上述B值为9.20%, K值 为1. 0%,则F=l-9. 20%-l. 0%=89. 80%;某投标人的投标报价下浮率为10. 01%,则与F的差额=1-10. 01%-89. 80%=0. 19%,则该投标人的商务得分=（满分值-0.19x1）分。。</w:t>
            </w:r>
          </w:p>
        </w:tc>
      </w:tr>
      <w:tr w14:paraId="02B1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Align w:val="center"/>
          </w:tcPr>
          <w:p w14:paraId="61DD5479">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7.2</w:t>
            </w:r>
          </w:p>
        </w:tc>
        <w:tc>
          <w:tcPr>
            <w:tcW w:w="1321" w:type="dxa"/>
            <w:gridSpan w:val="2"/>
            <w:vAlign w:val="center"/>
          </w:tcPr>
          <w:p w14:paraId="07722319">
            <w:pPr>
              <w:pStyle w:val="47"/>
              <w:spacing w:before="177" w:line="439" w:lineRule="exact"/>
              <w:rPr>
                <w:color w:val="auto"/>
                <w:highlight w:val="none"/>
                <w:lang w:eastAsia="zh-CN"/>
              </w:rPr>
            </w:pPr>
            <w:r>
              <w:rPr>
                <w:rFonts w:hint="eastAsia"/>
                <w:color w:val="auto"/>
                <w:highlight w:val="none"/>
                <w:lang w:eastAsia="zh-CN"/>
              </w:rPr>
              <w:t>投标设备技术性能指标的响应程度（</w:t>
            </w:r>
            <w:r>
              <w:rPr>
                <w:color w:val="auto"/>
                <w:highlight w:val="none"/>
                <w:lang w:eastAsia="zh-CN"/>
              </w:rPr>
              <w:t>5</w:t>
            </w:r>
            <w:r>
              <w:rPr>
                <w:rFonts w:hint="eastAsia"/>
                <w:color w:val="auto"/>
                <w:highlight w:val="none"/>
                <w:lang w:eastAsia="zh-CN"/>
              </w:rPr>
              <w:t>分）</w:t>
            </w:r>
          </w:p>
        </w:tc>
        <w:tc>
          <w:tcPr>
            <w:tcW w:w="8084" w:type="dxa"/>
            <w:gridSpan w:val="2"/>
            <w:vAlign w:val="center"/>
          </w:tcPr>
          <w:p w14:paraId="4EE3B502">
            <w:pPr>
              <w:adjustRightInd w:val="0"/>
              <w:snapToGrid w:val="0"/>
              <w:spacing w:line="520" w:lineRule="exact"/>
              <w:rPr>
                <w:rFonts w:ascii="宋体" w:hAnsi="宋体" w:cs="宋体"/>
                <w:color w:val="auto"/>
                <w:szCs w:val="21"/>
                <w:highlight w:val="none"/>
              </w:rPr>
            </w:pPr>
            <w:r>
              <w:rPr>
                <w:rFonts w:hint="eastAsia" w:ascii="宋体" w:hAnsi="宋体"/>
                <w:color w:val="auto"/>
                <w:szCs w:val="21"/>
                <w:highlight w:val="none"/>
              </w:rPr>
              <w:t>以投标人承诺为准（承诺书见“技术参数响应承诺书</w:t>
            </w:r>
            <w:r>
              <w:rPr>
                <w:rFonts w:ascii="宋体" w:hAnsi="宋体"/>
                <w:color w:val="auto"/>
                <w:szCs w:val="21"/>
                <w:highlight w:val="none"/>
              </w:rPr>
              <w:t xml:space="preserve"> </w:t>
            </w:r>
            <w:r>
              <w:rPr>
                <w:rFonts w:hint="eastAsia" w:ascii="宋体" w:hAnsi="宋体"/>
                <w:color w:val="auto"/>
                <w:szCs w:val="21"/>
                <w:highlight w:val="none"/>
              </w:rPr>
              <w:t>”）；承诺全部响应技术参数及服务要求的得</w:t>
            </w:r>
            <w:r>
              <w:rPr>
                <w:rFonts w:ascii="宋体" w:hAnsi="宋体"/>
                <w:color w:val="auto"/>
                <w:szCs w:val="21"/>
                <w:highlight w:val="none"/>
              </w:rPr>
              <w:t>5</w:t>
            </w:r>
            <w:r>
              <w:rPr>
                <w:rFonts w:hint="eastAsia" w:ascii="宋体" w:hAnsi="宋体"/>
                <w:color w:val="auto"/>
                <w:szCs w:val="21"/>
                <w:highlight w:val="none"/>
              </w:rPr>
              <w:t>分，每负偏离一项扣</w:t>
            </w:r>
            <w:r>
              <w:rPr>
                <w:rFonts w:ascii="宋体" w:hAnsi="宋体"/>
                <w:color w:val="auto"/>
                <w:szCs w:val="21"/>
                <w:highlight w:val="none"/>
              </w:rPr>
              <w:t>0.5</w:t>
            </w:r>
            <w:r>
              <w:rPr>
                <w:rFonts w:hint="eastAsia" w:ascii="宋体" w:hAnsi="宋体"/>
                <w:color w:val="auto"/>
                <w:szCs w:val="21"/>
                <w:highlight w:val="none"/>
              </w:rPr>
              <w:t>分；扣完为止。</w:t>
            </w:r>
          </w:p>
        </w:tc>
      </w:tr>
    </w:tbl>
    <w:p w14:paraId="35056A97">
      <w:pPr>
        <w:adjustRightInd w:val="0"/>
        <w:snapToGrid w:val="0"/>
        <w:spacing w:line="560" w:lineRule="exact"/>
        <w:ind w:firstLine="316" w:firstLineChars="150"/>
        <w:rPr>
          <w:rFonts w:ascii="黑体" w:hAnsi="黑体" w:eastAsia="黑体" w:cs="黑体"/>
          <w:b/>
          <w:bCs/>
          <w:color w:val="auto"/>
          <w:szCs w:val="21"/>
          <w:highlight w:val="none"/>
        </w:rPr>
      </w:pPr>
      <w:r>
        <w:rPr>
          <w:rFonts w:hint="eastAsia" w:ascii="黑体" w:hAnsi="黑体" w:eastAsia="黑体" w:cs="黑体"/>
          <w:b/>
          <w:color w:val="auto"/>
          <w:szCs w:val="21"/>
          <w:highlight w:val="none"/>
        </w:rPr>
        <w:t>商务标评审表注：</w:t>
      </w:r>
    </w:p>
    <w:p w14:paraId="61F88D3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1.只有通过详细评审的投标人才能参加评分</w:t>
      </w:r>
    </w:p>
    <w:p w14:paraId="5018F50D">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2.本表所称投标报价是指按招标文件规定修正后的投标总报价（多算投标报价、多报费用不扣减），报价以元为单位，保留两位小数，小数点后第三位四舍五入。</w:t>
      </w:r>
    </w:p>
    <w:p w14:paraId="7C30DBFE">
      <w:pPr>
        <w:pStyle w:val="22"/>
        <w:spacing w:line="520" w:lineRule="exact"/>
        <w:ind w:left="0" w:leftChars="0"/>
        <w:rPr>
          <w:rFonts w:ascii="宋体" w:hAnsi="宋体" w:cs="宋体"/>
          <w:color w:val="auto"/>
          <w:szCs w:val="21"/>
          <w:highlight w:val="none"/>
        </w:rPr>
      </w:pPr>
      <w:r>
        <w:rPr>
          <w:rFonts w:hint="eastAsia" w:ascii="宋体" w:hAnsi="宋体" w:cs="宋体"/>
          <w:color w:val="auto"/>
          <w:szCs w:val="21"/>
          <w:highlight w:val="none"/>
        </w:rPr>
        <w:t>3.K值（评标基准价系数）的抽取：资信标、技术标、商务标详细评审完成后，由招标人在线抽取K值，并根据抽取的K值计算F值，评标办法中的评标基准价计算出来后，除数字计算错误外，其他情况均不再调整。</w:t>
      </w:r>
    </w:p>
    <w:p w14:paraId="72905827">
      <w:pPr>
        <w:widowControl/>
        <w:adjustRightInd w:val="0"/>
        <w:snapToGrid w:val="0"/>
        <w:spacing w:line="5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ascii="宋体" w:hAnsi="宋体" w:cs="宋体"/>
          <w:b/>
          <w:bCs/>
          <w:color w:val="auto"/>
          <w:szCs w:val="21"/>
          <w:highlight w:val="none"/>
        </w:rPr>
        <w:t>.</w:t>
      </w:r>
      <w:r>
        <w:rPr>
          <w:rFonts w:hint="eastAsia" w:ascii="宋体" w:hAnsi="宋体" w:cs="宋体"/>
          <w:b/>
          <w:bCs/>
          <w:color w:val="auto"/>
          <w:szCs w:val="21"/>
          <w:highlight w:val="none"/>
        </w:rPr>
        <w:t>投标人（如投标人为联合体，联合体中施工企业需提供）注册建造师必须满足相应建筑业企业资质标准要求，评标委员会在评审时，将对此进行评审。投标单位（如投标人为联合体，联合体中施工企业需提供）应在商务标文件中提供全国建筑市场监管公共服务平台</w:t>
      </w:r>
      <w:r>
        <w:rPr>
          <w:rFonts w:ascii="宋体" w:hAnsi="宋体" w:cs="宋体"/>
          <w:b/>
          <w:bCs/>
          <w:color w:val="auto"/>
          <w:szCs w:val="21"/>
          <w:highlight w:val="none"/>
        </w:rPr>
        <w:t>(四库一平台)企业注册人员网页截图，未提供相关截图，按无效标处理。</w:t>
      </w:r>
    </w:p>
    <w:p w14:paraId="381D5202">
      <w:pPr>
        <w:pStyle w:val="3"/>
        <w:adjustRightInd w:val="0"/>
        <w:snapToGrid w:val="0"/>
        <w:spacing w:line="520" w:lineRule="exact"/>
        <w:ind w:firstLine="422" w:firstLineChars="200"/>
        <w:rPr>
          <w:rFonts w:ascii="黑体" w:hAnsi="黑体" w:cs="黑体"/>
          <w:color w:val="auto"/>
          <w:sz w:val="21"/>
          <w:szCs w:val="21"/>
          <w:highlight w:val="none"/>
        </w:rPr>
      </w:pPr>
      <w:bookmarkStart w:id="650" w:name="_Toc95223414"/>
      <w:r>
        <w:rPr>
          <w:rFonts w:hint="eastAsia" w:ascii="黑体" w:hAnsi="黑体" w:cs="黑体"/>
          <w:color w:val="auto"/>
          <w:sz w:val="21"/>
          <w:szCs w:val="21"/>
          <w:highlight w:val="none"/>
        </w:rPr>
        <w:t>1. 评标方法</w:t>
      </w:r>
      <w:bookmarkEnd w:id="650"/>
    </w:p>
    <w:p w14:paraId="6D0D19F8">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w:t>
      </w:r>
      <w:bookmarkStart w:id="651" w:name="_Toc60061511"/>
      <w:r>
        <w:rPr>
          <w:rFonts w:hint="eastAsia" w:ascii="宋体" w:hAnsi="宋体" w:cs="宋体"/>
          <w:color w:val="auto"/>
          <w:szCs w:val="21"/>
          <w:highlight w:val="none"/>
        </w:rPr>
        <w:t>投标文件，按照</w:t>
      </w:r>
      <w:bookmarkEnd w:id="651"/>
      <w:r>
        <w:rPr>
          <w:rFonts w:hint="eastAsia" w:ascii="宋体" w:hAnsi="宋体" w:cs="宋体"/>
          <w:color w:val="auto"/>
          <w:szCs w:val="21"/>
          <w:highlight w:val="none"/>
        </w:rPr>
        <w:t>本章规定的评分标准进行打分，并按总得分由高到低顺序推荐3名中标候选人，并标明排序，但投标报价低于其成本的除外。如总得分相等，以投标报价低（下浮率数值大）的优先，投标报价（下浮率）仍相等，由评标委员会主任委员或招标人随机抽取确定排名。</w:t>
      </w:r>
    </w:p>
    <w:p w14:paraId="0B2BA785">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8980BAA">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（2）评标委员会登录安徽省住建厅网址</w:t>
      </w:r>
      <w:r>
        <w:rPr>
          <w:rFonts w:ascii="宋体" w:hAnsi="宋体" w:cs="宋体"/>
          <w:color w:val="auto"/>
          <w:szCs w:val="21"/>
          <w:highlight w:val="none"/>
        </w:rPr>
        <w:t>http://dohurd.ah.gov.cn/site/tpl/9311</w:t>
      </w:r>
      <w:r>
        <w:rPr>
          <w:rFonts w:hint="eastAsia" w:ascii="宋体" w:hAnsi="宋体" w:cs="宋体"/>
          <w:color w:val="auto"/>
          <w:szCs w:val="21"/>
          <w:highlight w:val="none"/>
        </w:rPr>
        <w:t>或全国建筑市场监管公共服务平台 (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4F3378BB">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①机电工程施工总壹级资质企业：机电工程、建筑工程专业一级注册建造师合计不少于 12人，其中机电工程专业一级注册建造师不少于9人。</w:t>
      </w:r>
    </w:p>
    <w:p w14:paraId="3E2C1FA1">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②机电工程施工总贰级资质企业：机电工程、建筑工程专业注册建造师合计不少于 5人。</w:t>
      </w:r>
    </w:p>
    <w:p w14:paraId="3CFC0FE7">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③机电工程施工总叁级资质企业：机电工程、建筑工程专业注册建造师合计不少于 5人。</w:t>
      </w:r>
    </w:p>
    <w:p w14:paraId="4A5D8950">
      <w:pPr>
        <w:widowControl/>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31C64CD1">
      <w:pPr>
        <w:pStyle w:val="3"/>
        <w:adjustRightInd w:val="0"/>
        <w:snapToGrid w:val="0"/>
        <w:spacing w:line="520" w:lineRule="exact"/>
        <w:ind w:firstLine="422" w:firstLineChars="200"/>
        <w:rPr>
          <w:rFonts w:ascii="黑体" w:hAnsi="黑体" w:cs="黑体"/>
          <w:color w:val="auto"/>
          <w:sz w:val="21"/>
          <w:szCs w:val="21"/>
          <w:highlight w:val="none"/>
        </w:rPr>
      </w:pPr>
      <w:bookmarkStart w:id="652" w:name="_Toc95223415"/>
      <w:r>
        <w:rPr>
          <w:rFonts w:hint="eastAsia" w:ascii="黑体" w:hAnsi="黑体" w:cs="黑体"/>
          <w:color w:val="auto"/>
          <w:sz w:val="21"/>
          <w:szCs w:val="21"/>
          <w:highlight w:val="none"/>
        </w:rPr>
        <w:t>2.评标委员会的职责</w:t>
      </w:r>
      <w:bookmarkEnd w:id="652"/>
    </w:p>
    <w:p w14:paraId="1B70C1B8">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w:t>
      </w:r>
      <w:bookmarkStart w:id="653" w:name="_Toc60061512"/>
      <w:r>
        <w:rPr>
          <w:rFonts w:hint="eastAsia" w:ascii="宋体" w:hAnsi="宋体" w:cs="宋体"/>
          <w:color w:val="auto"/>
          <w:szCs w:val="21"/>
          <w:highlight w:val="none"/>
        </w:rPr>
        <w:t>向招标人推荐中标候选</w:t>
      </w:r>
      <w:bookmarkEnd w:id="653"/>
      <w:r>
        <w:rPr>
          <w:rFonts w:hint="eastAsia" w:ascii="宋体" w:hAnsi="宋体" w:cs="宋体"/>
          <w:color w:val="auto"/>
          <w:szCs w:val="21"/>
          <w:highlight w:val="none"/>
        </w:rPr>
        <w:t>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1D3D559">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654" w:name="_Toc95223416"/>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FF2E22D">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3.评标程序</w:t>
      </w:r>
      <w:bookmarkEnd w:id="654"/>
    </w:p>
    <w:p w14:paraId="13608E9D">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评标先做准备工作，再进行资信证明文件、技术标和商务标评</w:t>
      </w:r>
      <w:bookmarkStart w:id="655" w:name="_Toc60061513"/>
      <w:r>
        <w:rPr>
          <w:rFonts w:hint="eastAsia" w:ascii="宋体" w:hAnsi="宋体"/>
          <w:color w:val="auto"/>
          <w:szCs w:val="21"/>
          <w:highlight w:val="none"/>
        </w:rPr>
        <w:t>审。</w:t>
      </w:r>
    </w:p>
    <w:p w14:paraId="75C81C79">
      <w:pPr>
        <w:pStyle w:val="3"/>
        <w:adjustRightInd w:val="0"/>
        <w:snapToGrid w:val="0"/>
        <w:spacing w:line="520" w:lineRule="exact"/>
        <w:ind w:firstLine="422" w:firstLineChars="200"/>
        <w:rPr>
          <w:rFonts w:ascii="黑体" w:hAnsi="黑体" w:cs="黑体"/>
          <w:color w:val="auto"/>
          <w:sz w:val="21"/>
          <w:szCs w:val="21"/>
          <w:highlight w:val="none"/>
        </w:rPr>
      </w:pPr>
      <w:bookmarkStart w:id="656" w:name="_Toc95223417"/>
      <w:r>
        <w:rPr>
          <w:rFonts w:hint="eastAsia" w:ascii="黑体" w:hAnsi="黑体" w:cs="黑体"/>
          <w:color w:val="auto"/>
          <w:sz w:val="21"/>
          <w:szCs w:val="21"/>
          <w:highlight w:val="none"/>
        </w:rPr>
        <w:t>3.1</w:t>
      </w:r>
      <w:bookmarkEnd w:id="655"/>
      <w:r>
        <w:rPr>
          <w:rFonts w:hint="eastAsia" w:ascii="黑体" w:hAnsi="黑体" w:cs="黑体"/>
          <w:color w:val="auto"/>
          <w:sz w:val="21"/>
          <w:szCs w:val="21"/>
          <w:highlight w:val="none"/>
        </w:rPr>
        <w:t>评标准备工作</w:t>
      </w:r>
      <w:bookmarkEnd w:id="656"/>
    </w:p>
    <w:p w14:paraId="4C951226">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595F8282">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（1）阅读由招标人或者其委</w:t>
      </w:r>
      <w:bookmarkStart w:id="657" w:name="_Toc60061514"/>
      <w:r>
        <w:rPr>
          <w:rFonts w:hint="eastAsia" w:ascii="宋体" w:hAnsi="宋体" w:cs="宋体"/>
          <w:color w:val="auto"/>
          <w:szCs w:val="21"/>
          <w:highlight w:val="none"/>
        </w:rPr>
        <w:t>托的工程代理机构编</w:t>
      </w:r>
      <w:bookmarkEnd w:id="657"/>
      <w:r>
        <w:rPr>
          <w:rFonts w:hint="eastAsia" w:ascii="宋体" w:hAnsi="宋体" w:cs="宋体"/>
          <w:color w:val="auto"/>
          <w:szCs w:val="21"/>
          <w:highlight w:val="none"/>
        </w:rPr>
        <w:t>制的招标项目情况材料。</w:t>
      </w:r>
    </w:p>
    <w:p w14:paraId="695705E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13C6938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695D78C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（4）核对评标工作用表。</w:t>
      </w:r>
    </w:p>
    <w:p w14:paraId="76977FFA">
      <w:pPr>
        <w:pStyle w:val="3"/>
        <w:adjustRightInd w:val="0"/>
        <w:snapToGrid w:val="0"/>
        <w:spacing w:line="520" w:lineRule="exact"/>
        <w:ind w:firstLine="422" w:firstLineChars="200"/>
        <w:rPr>
          <w:rFonts w:ascii="黑体" w:hAnsi="黑体" w:cs="黑体"/>
          <w:color w:val="auto"/>
          <w:sz w:val="21"/>
          <w:szCs w:val="21"/>
          <w:highlight w:val="none"/>
        </w:rPr>
      </w:pPr>
      <w:bookmarkStart w:id="658" w:name="_Toc95223418"/>
      <w:r>
        <w:rPr>
          <w:rFonts w:hint="eastAsia" w:ascii="黑体" w:hAnsi="黑体" w:cs="黑体"/>
          <w:color w:val="auto"/>
          <w:sz w:val="21"/>
          <w:szCs w:val="21"/>
          <w:highlight w:val="none"/>
        </w:rPr>
        <w:t>3.2技术标评审</w:t>
      </w:r>
      <w:bookmarkEnd w:id="658"/>
    </w:p>
    <w:p w14:paraId="25D74A2C">
      <w:pPr>
        <w:pStyle w:val="3"/>
        <w:adjustRightInd w:val="0"/>
        <w:snapToGrid w:val="0"/>
        <w:spacing w:line="52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详见技术标评审表。</w:t>
      </w:r>
    </w:p>
    <w:p w14:paraId="34BBE470">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3.3商务标评审</w:t>
      </w:r>
    </w:p>
    <w:p w14:paraId="10A1B5C6">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6D37C4F2">
      <w:pPr>
        <w:pStyle w:val="3"/>
        <w:adjustRightInd w:val="0"/>
        <w:snapToGrid w:val="0"/>
        <w:spacing w:line="520" w:lineRule="exact"/>
        <w:ind w:firstLine="422" w:firstLineChars="200"/>
        <w:rPr>
          <w:rFonts w:ascii="黑体" w:hAnsi="黑体" w:cs="黑体"/>
          <w:b w:val="0"/>
          <w:bCs w:val="0"/>
          <w:color w:val="auto"/>
          <w:szCs w:val="21"/>
          <w:highlight w:val="none"/>
        </w:rPr>
      </w:pPr>
      <w:bookmarkStart w:id="659" w:name="_Toc60061515"/>
      <w:r>
        <w:rPr>
          <w:rFonts w:hint="eastAsia" w:ascii="黑体" w:hAnsi="黑体" w:cs="黑体"/>
          <w:color w:val="auto"/>
          <w:sz w:val="21"/>
          <w:szCs w:val="21"/>
          <w:highlight w:val="none"/>
        </w:rPr>
        <w:t>3.4推荐中标候</w:t>
      </w:r>
      <w:bookmarkEnd w:id="659"/>
      <w:r>
        <w:rPr>
          <w:rFonts w:hint="eastAsia" w:ascii="黑体" w:hAnsi="黑体" w:cs="黑体"/>
          <w:color w:val="auto"/>
          <w:sz w:val="21"/>
          <w:szCs w:val="21"/>
          <w:highlight w:val="none"/>
        </w:rPr>
        <w:t>选人</w:t>
      </w:r>
      <w:r>
        <w:rPr>
          <w:rFonts w:hint="eastAsia" w:ascii="黑体" w:hAnsi="黑体" w:cs="黑体"/>
          <w:b w:val="0"/>
          <w:bCs w:val="0"/>
          <w:color w:val="auto"/>
          <w:szCs w:val="21"/>
          <w:highlight w:val="none"/>
        </w:rPr>
        <w:t>：</w:t>
      </w:r>
    </w:p>
    <w:p w14:paraId="3689ACC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资信标评审、技术标</w:t>
      </w:r>
      <w:bookmarkStart w:id="660" w:name="_Toc60061516"/>
      <w:r>
        <w:rPr>
          <w:rFonts w:hint="eastAsia" w:ascii="宋体" w:hAnsi="宋体" w:cs="宋体"/>
          <w:color w:val="auto"/>
          <w:szCs w:val="21"/>
          <w:highlight w:val="none"/>
        </w:rPr>
        <w:t>评审、商务标评审</w:t>
      </w:r>
      <w:bookmarkEnd w:id="660"/>
      <w:r>
        <w:rPr>
          <w:rFonts w:hint="eastAsia" w:ascii="宋体" w:hAnsi="宋体" w:cs="宋体"/>
          <w:color w:val="auto"/>
          <w:szCs w:val="21"/>
          <w:highlight w:val="none"/>
        </w:rPr>
        <w:t>后，推荐3名中标候选人，并标明排序。</w:t>
      </w:r>
    </w:p>
    <w:p w14:paraId="26754CAC">
      <w:pPr>
        <w:pStyle w:val="3"/>
        <w:adjustRightInd w:val="0"/>
        <w:snapToGrid w:val="0"/>
        <w:spacing w:line="520" w:lineRule="exact"/>
        <w:ind w:firstLine="422" w:firstLineChars="200"/>
        <w:rPr>
          <w:rFonts w:ascii="黑体" w:hAnsi="黑体" w:cs="黑体"/>
          <w:color w:val="auto"/>
          <w:sz w:val="21"/>
          <w:szCs w:val="21"/>
          <w:highlight w:val="none"/>
        </w:rPr>
      </w:pPr>
      <w:bookmarkStart w:id="661" w:name="_Toc95223420"/>
      <w:r>
        <w:rPr>
          <w:rFonts w:hint="eastAsia" w:ascii="黑体" w:hAnsi="黑体" w:cs="黑体"/>
          <w:color w:val="auto"/>
          <w:sz w:val="21"/>
          <w:szCs w:val="21"/>
          <w:highlight w:val="none"/>
        </w:rPr>
        <w:t>4.评审内容</w:t>
      </w:r>
      <w:bookmarkEnd w:id="661"/>
    </w:p>
    <w:p w14:paraId="75C99E41">
      <w:pPr>
        <w:pStyle w:val="3"/>
        <w:adjustRightInd w:val="0"/>
        <w:snapToGrid w:val="0"/>
        <w:spacing w:line="520" w:lineRule="exact"/>
        <w:ind w:firstLine="422" w:firstLineChars="200"/>
        <w:rPr>
          <w:rFonts w:ascii="黑体" w:hAnsi="黑体" w:cs="黑体"/>
          <w:color w:val="auto"/>
          <w:sz w:val="21"/>
          <w:szCs w:val="21"/>
          <w:highlight w:val="none"/>
        </w:rPr>
      </w:pPr>
      <w:bookmarkStart w:id="662" w:name="_Toc95223421"/>
      <w:r>
        <w:rPr>
          <w:rFonts w:hint="eastAsia" w:ascii="黑体" w:hAnsi="黑体" w:cs="黑体"/>
          <w:color w:val="auto"/>
          <w:sz w:val="21"/>
          <w:szCs w:val="21"/>
          <w:highlight w:val="none"/>
        </w:rPr>
        <w:t>4.1技术标评审</w:t>
      </w:r>
      <w:bookmarkEnd w:id="662"/>
    </w:p>
    <w:p w14:paraId="4679AAD8">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4.1.1形式性评审标准：见技术标评审表。</w:t>
      </w:r>
    </w:p>
    <w:p w14:paraId="357AECA2">
      <w:pPr>
        <w:adjustRightInd w:val="0"/>
        <w:snapToGrid w:val="0"/>
        <w:spacing w:line="520" w:lineRule="exact"/>
        <w:ind w:firstLine="420" w:firstLineChars="200"/>
        <w:rPr>
          <w:rFonts w:ascii="宋体" w:hAnsi="宋体" w:cs="宋体"/>
          <w:color w:val="auto"/>
          <w:szCs w:val="21"/>
          <w:highlight w:val="none"/>
        </w:rPr>
      </w:pPr>
      <w:bookmarkStart w:id="663" w:name="_Toc60061517"/>
      <w:r>
        <w:rPr>
          <w:rFonts w:hint="eastAsia" w:ascii="宋体" w:hAnsi="宋体" w:cs="宋体"/>
          <w:color w:val="auto"/>
          <w:szCs w:val="21"/>
          <w:highlight w:val="none"/>
        </w:rPr>
        <w:t>4.1.2响</w:t>
      </w:r>
      <w:bookmarkEnd w:id="663"/>
      <w:r>
        <w:rPr>
          <w:rFonts w:hint="eastAsia" w:ascii="宋体" w:hAnsi="宋体" w:cs="宋体"/>
          <w:color w:val="auto"/>
          <w:szCs w:val="21"/>
          <w:highlight w:val="none"/>
        </w:rPr>
        <w:t>应</w:t>
      </w:r>
      <w:bookmarkStart w:id="664" w:name="_Toc60061518"/>
      <w:r>
        <w:rPr>
          <w:rFonts w:hint="eastAsia" w:ascii="宋体" w:hAnsi="宋体" w:cs="宋体"/>
          <w:color w:val="auto"/>
          <w:szCs w:val="21"/>
          <w:highlight w:val="none"/>
        </w:rPr>
        <w:t>性评审标准：见技</w:t>
      </w:r>
      <w:bookmarkEnd w:id="664"/>
      <w:r>
        <w:rPr>
          <w:rFonts w:hint="eastAsia" w:ascii="宋体" w:hAnsi="宋体" w:cs="宋体"/>
          <w:color w:val="auto"/>
          <w:szCs w:val="21"/>
          <w:highlight w:val="none"/>
        </w:rPr>
        <w:t>术标评审表。</w:t>
      </w:r>
    </w:p>
    <w:p w14:paraId="28BDF0E3">
      <w:pPr>
        <w:adjustRightInd w:val="0"/>
        <w:snapToGrid w:val="0"/>
        <w:spacing w:line="520" w:lineRule="exact"/>
        <w:ind w:firstLine="420" w:firstLineChars="200"/>
        <w:rPr>
          <w:rFonts w:ascii="宋体" w:hAnsi="宋体" w:cs="宋体"/>
          <w:color w:val="auto"/>
          <w:szCs w:val="21"/>
          <w:highlight w:val="none"/>
        </w:rPr>
      </w:pPr>
      <w:bookmarkStart w:id="665" w:name="_Toc95223422"/>
      <w:r>
        <w:rPr>
          <w:rFonts w:hint="eastAsia" w:ascii="宋体" w:hAnsi="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13C46D49">
      <w:pPr>
        <w:pStyle w:val="3"/>
        <w:adjustRightInd w:val="0"/>
        <w:snapToGrid w:val="0"/>
        <w:spacing w:line="52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4.2商务标评审</w:t>
      </w:r>
      <w:bookmarkEnd w:id="665"/>
    </w:p>
    <w:p w14:paraId="31558606">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14:paraId="6ECFFEFD">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4.2.1</w:t>
      </w:r>
      <w:bookmarkStart w:id="666" w:name="_Toc60061519"/>
      <w:r>
        <w:rPr>
          <w:rFonts w:hint="eastAsia" w:ascii="宋体" w:hAnsi="宋体" w:cs="宋体"/>
          <w:color w:val="auto"/>
          <w:szCs w:val="21"/>
          <w:highlight w:val="none"/>
        </w:rPr>
        <w:t>形式性评审标准：</w:t>
      </w:r>
      <w:bookmarkEnd w:id="666"/>
      <w:r>
        <w:rPr>
          <w:rFonts w:hint="eastAsia" w:ascii="宋体" w:hAnsi="宋体" w:cs="宋体"/>
          <w:color w:val="auto"/>
          <w:szCs w:val="21"/>
          <w:highlight w:val="none"/>
        </w:rPr>
        <w:t>见商务标评审表。</w:t>
      </w:r>
    </w:p>
    <w:p w14:paraId="073A449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4.2.2响应性评审标准：见商务标评审表。</w:t>
      </w:r>
    </w:p>
    <w:p w14:paraId="0375586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181A1DDB">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4.2.3详细评审标准：见商务标评审表。</w:t>
      </w:r>
    </w:p>
    <w:p w14:paraId="06D7B084">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4.2.4评标委员会审查投标文件，审核并确认结果，包括工程投标报价的校核、审查全部数据计算的正确性、分析各种费用构成的合理性和正确性等内容，看其是否有计算或表达上的错误，投标报价有错误的，评标委员会按以下原则对投标报价进行修正。</w:t>
      </w:r>
    </w:p>
    <w:p w14:paraId="0800B376">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5096B699">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6B463516">
      <w:pPr>
        <w:pStyle w:val="3"/>
        <w:adjustRightInd w:val="0"/>
        <w:snapToGrid w:val="0"/>
        <w:spacing w:line="520" w:lineRule="exact"/>
        <w:ind w:firstLine="422" w:firstLineChars="200"/>
        <w:rPr>
          <w:rFonts w:ascii="黑体" w:hAnsi="黑体" w:cs="黑体"/>
          <w:color w:val="auto"/>
          <w:sz w:val="21"/>
          <w:szCs w:val="21"/>
          <w:highlight w:val="none"/>
        </w:rPr>
      </w:pPr>
      <w:bookmarkStart w:id="667" w:name="_Toc95223423"/>
      <w:r>
        <w:rPr>
          <w:rFonts w:hint="eastAsia" w:ascii="黑体" w:hAnsi="黑体" w:cs="黑体"/>
          <w:color w:val="auto"/>
          <w:sz w:val="21"/>
          <w:szCs w:val="21"/>
          <w:highlight w:val="none"/>
        </w:rPr>
        <w:t>5.无效投标条款</w:t>
      </w:r>
      <w:bookmarkEnd w:id="667"/>
    </w:p>
    <w:p w14:paraId="412A5C7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035C771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668" w:name="_Toc60061520"/>
      <w:r>
        <w:rPr>
          <w:rFonts w:hint="eastAsia" w:ascii="宋体" w:hAnsi="宋体" w:cs="宋体"/>
          <w:color w:val="auto"/>
          <w:szCs w:val="21"/>
          <w:highlight w:val="none"/>
        </w:rPr>
        <w:t xml:space="preserve"> 未在投标截止时</w:t>
      </w:r>
      <w:bookmarkEnd w:id="668"/>
      <w:r>
        <w:rPr>
          <w:rFonts w:hint="eastAsia" w:ascii="宋体" w:hAnsi="宋体" w:cs="宋体"/>
          <w:color w:val="auto"/>
          <w:szCs w:val="21"/>
          <w:highlight w:val="none"/>
        </w:rPr>
        <w:t>间前通过网上招标投标系统递交有效电子投标文件的，开标系统不予接收，投标将被拒绝。</w:t>
      </w:r>
    </w:p>
    <w:p w14:paraId="5BE6F38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F1C4DB">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E3D076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5.2.1技术标评审</w:t>
      </w:r>
    </w:p>
    <w:p w14:paraId="739BC8DB">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6EF8F3C0">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5.2.2商务标评审</w:t>
      </w:r>
    </w:p>
    <w:p w14:paraId="61A474B4">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7F7B36A0">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7ED15421">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5.3其他无效投标情况：</w:t>
      </w:r>
    </w:p>
    <w:p w14:paraId="06C2A6E6">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78280E9">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1F4AC99E">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35AFF3A5">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417F6FBB">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6D33AE0F">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（6）未按规定的格式填写导致实质性内容不全以及实质上不响应，或者关键字迹模糊、无法辨认；经公共资源交易监督部门核准的。</w:t>
      </w:r>
    </w:p>
    <w:p w14:paraId="525BDB8E">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346191DF">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06AAC841">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35556317">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5C64CB61">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（11）投标人投标MAC地址一致。</w:t>
      </w:r>
    </w:p>
    <w:p w14:paraId="0F9E7F8D">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3BE636AE">
      <w:pPr>
        <w:spacing w:line="52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（13）</w:t>
      </w:r>
      <w:r>
        <w:rPr>
          <w:rFonts w:hint="eastAsia" w:ascii="宋体" w:hAnsi="宋体" w:cs="宋体"/>
          <w:bCs/>
          <w:color w:val="auto"/>
          <w:szCs w:val="21"/>
          <w:highlight w:val="none"/>
        </w:rPr>
        <w:t>评标时查询投标文件制作机器码、文件创建标识码及造价软件加密锁号。若存在投标文件制作机器码或创建标识码或造价软件加密锁号信息与其他投标人雷同的，投标无效。</w:t>
      </w:r>
    </w:p>
    <w:p w14:paraId="2A6CE7C5">
      <w:pPr>
        <w:spacing w:line="520" w:lineRule="exact"/>
        <w:ind w:firstLine="420" w:firstLineChars="200"/>
        <w:rPr>
          <w:rFonts w:ascii="宋体" w:hAnsi="宋体" w:cs="宋体"/>
          <w:strike/>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bidi="ar"/>
        </w:rPr>
        <w:t>投标人申请开具电子保函MAC地址一致。</w:t>
      </w:r>
    </w:p>
    <w:p w14:paraId="12D5E35B">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5B3D906F">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（16）法律、法规规定的其他情形。</w:t>
      </w:r>
    </w:p>
    <w:p w14:paraId="493E8B9C">
      <w:pPr>
        <w:pStyle w:val="3"/>
        <w:adjustRightInd w:val="0"/>
        <w:snapToGrid w:val="0"/>
        <w:spacing w:line="520" w:lineRule="exact"/>
        <w:ind w:firstLine="422" w:firstLineChars="200"/>
        <w:rPr>
          <w:rFonts w:ascii="黑体" w:hAnsi="黑体" w:cs="黑体"/>
          <w:color w:val="auto"/>
          <w:sz w:val="21"/>
          <w:szCs w:val="21"/>
          <w:highlight w:val="none"/>
        </w:rPr>
      </w:pPr>
      <w:bookmarkStart w:id="669" w:name="_Toc95223424"/>
      <w:r>
        <w:rPr>
          <w:rFonts w:hint="eastAsia" w:ascii="黑体" w:hAnsi="黑体" w:cs="黑体"/>
          <w:color w:val="auto"/>
          <w:sz w:val="21"/>
          <w:szCs w:val="21"/>
          <w:highlight w:val="none"/>
        </w:rPr>
        <w:t>6.投标文件的澄清和补正</w:t>
      </w:r>
      <w:bookmarkEnd w:id="669"/>
    </w:p>
    <w:p w14:paraId="5B943B0E">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w:t>
      </w:r>
      <w:bookmarkStart w:id="670" w:name="_Toc60061521"/>
      <w:r>
        <w:rPr>
          <w:rFonts w:hint="eastAsia" w:ascii="宋体" w:hAnsi="宋体" w:cs="宋体"/>
          <w:color w:val="auto"/>
          <w:szCs w:val="21"/>
          <w:highlight w:val="none"/>
        </w:rPr>
        <w:t>人对所提交的投标文件中含</w:t>
      </w:r>
      <w:bookmarkEnd w:id="670"/>
      <w:r>
        <w:rPr>
          <w:rFonts w:hint="eastAsia" w:ascii="宋体" w:hAnsi="宋体" w:cs="宋体"/>
          <w:color w:val="auto"/>
          <w:szCs w:val="21"/>
          <w:highlight w:val="none"/>
        </w:rPr>
        <w:t>义不明确、对同类问题表述不一致或者有明显文字和计算错误”，其他评标办法请一并修改的内容进行书面澄清或说明，或者对细微偏差进行补正。评标委员会不接受投标人主动提出的澄清、说明或补正。</w:t>
      </w:r>
    </w:p>
    <w:p w14:paraId="3A1BBF7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85ADC2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691B98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03ED4809">
      <w:pPr>
        <w:pStyle w:val="3"/>
        <w:adjustRightInd w:val="0"/>
        <w:snapToGrid w:val="0"/>
        <w:spacing w:line="520" w:lineRule="exact"/>
        <w:ind w:firstLine="422" w:firstLineChars="200"/>
        <w:rPr>
          <w:rFonts w:ascii="黑体" w:hAnsi="黑体" w:cs="黑体"/>
          <w:color w:val="auto"/>
          <w:sz w:val="21"/>
          <w:szCs w:val="21"/>
          <w:highlight w:val="none"/>
        </w:rPr>
      </w:pPr>
      <w:bookmarkStart w:id="671" w:name="_Toc95223425"/>
      <w:r>
        <w:rPr>
          <w:rFonts w:hint="eastAsia" w:ascii="黑体" w:hAnsi="黑体" w:cs="黑体"/>
          <w:color w:val="auto"/>
          <w:sz w:val="21"/>
          <w:szCs w:val="21"/>
          <w:highlight w:val="none"/>
        </w:rPr>
        <w:t>7.评分标准</w:t>
      </w:r>
      <w:bookmarkEnd w:id="671"/>
    </w:p>
    <w:p w14:paraId="3FFD5348">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评分标准：见资信、技术及商务评分表。。</w:t>
      </w:r>
    </w:p>
    <w:p w14:paraId="5A736B55">
      <w:pPr>
        <w:pStyle w:val="3"/>
        <w:adjustRightInd w:val="0"/>
        <w:snapToGrid w:val="0"/>
        <w:spacing w:line="520" w:lineRule="exact"/>
        <w:ind w:firstLine="422" w:firstLineChars="200"/>
        <w:rPr>
          <w:rFonts w:ascii="黑体" w:hAnsi="黑体" w:cs="黑体"/>
          <w:color w:val="auto"/>
          <w:sz w:val="21"/>
          <w:szCs w:val="21"/>
          <w:highlight w:val="none"/>
        </w:rPr>
      </w:pPr>
      <w:bookmarkStart w:id="672" w:name="_Toc95223426"/>
      <w:r>
        <w:rPr>
          <w:rFonts w:hint="eastAsia" w:ascii="黑体" w:hAnsi="黑体" w:cs="黑体"/>
          <w:color w:val="auto"/>
          <w:sz w:val="21"/>
          <w:szCs w:val="21"/>
          <w:highlight w:val="none"/>
        </w:rPr>
        <w:t>8.评审结果</w:t>
      </w:r>
      <w:bookmarkEnd w:id="672"/>
    </w:p>
    <w:p w14:paraId="564C1576">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w:t>
      </w:r>
      <w:bookmarkStart w:id="673" w:name="_Toc60061523"/>
      <w:r>
        <w:rPr>
          <w:rFonts w:hint="eastAsia" w:ascii="宋体" w:hAnsi="宋体" w:cs="宋体"/>
          <w:color w:val="auto"/>
          <w:szCs w:val="21"/>
          <w:highlight w:val="none"/>
        </w:rPr>
        <w:t>标委员会按照</w:t>
      </w:r>
      <w:bookmarkEnd w:id="673"/>
      <w:r>
        <w:rPr>
          <w:rFonts w:hint="eastAsia" w:ascii="宋体" w:hAnsi="宋体" w:cs="宋体"/>
          <w:color w:val="auto"/>
          <w:szCs w:val="21"/>
          <w:highlight w:val="none"/>
        </w:rPr>
        <w:t>总得分由高到低顺序推荐中标候选人。</w:t>
      </w:r>
    </w:p>
    <w:p w14:paraId="6A96032D">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18F4FD8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（1）基本情况和数据表。</w:t>
      </w:r>
    </w:p>
    <w:p w14:paraId="606797DC">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0BE6E17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（3）开标记录。</w:t>
      </w:r>
    </w:p>
    <w:p w14:paraId="150DDAD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29B43CA9">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（5）否决投标情况说明。</w:t>
      </w:r>
    </w:p>
    <w:p w14:paraId="170DFC7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6C9630AA">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（7）评分比较一览表。</w:t>
      </w:r>
    </w:p>
    <w:p w14:paraId="70AD4C43">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4F4CC732">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27D402F5">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73FF5B99">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B615067">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3BAF3C1">
      <w:pPr>
        <w:pStyle w:val="3"/>
        <w:adjustRightInd w:val="0"/>
        <w:snapToGrid w:val="0"/>
        <w:spacing w:line="520" w:lineRule="exact"/>
        <w:ind w:firstLine="422" w:firstLineChars="200"/>
        <w:rPr>
          <w:rFonts w:ascii="黑体" w:hAnsi="黑体" w:cs="黑体"/>
          <w:color w:val="auto"/>
          <w:sz w:val="21"/>
          <w:szCs w:val="21"/>
          <w:highlight w:val="none"/>
        </w:rPr>
      </w:pPr>
      <w:bookmarkStart w:id="674" w:name="_Toc95223427"/>
      <w:r>
        <w:rPr>
          <w:rFonts w:hint="eastAsia" w:ascii="黑体" w:hAnsi="黑体" w:cs="黑体"/>
          <w:color w:val="auto"/>
          <w:sz w:val="21"/>
          <w:szCs w:val="21"/>
          <w:highlight w:val="none"/>
        </w:rPr>
        <w:t>9.其他</w:t>
      </w:r>
      <w:bookmarkEnd w:id="674"/>
    </w:p>
    <w:p w14:paraId="3067529D">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投标人提供的与投标文件有关的各类证书、证明、文件、资料等的真实性、</w:t>
      </w:r>
      <w:bookmarkStart w:id="675" w:name="_Toc60061524"/>
      <w:r>
        <w:rPr>
          <w:rFonts w:hint="eastAsia" w:ascii="宋体" w:hAnsi="宋体" w:cs="宋体"/>
          <w:color w:val="auto"/>
          <w:szCs w:val="21"/>
          <w:highlight w:val="none"/>
        </w:rPr>
        <w:t>合法性由</w:t>
      </w:r>
      <w:bookmarkEnd w:id="675"/>
      <w:r>
        <w:rPr>
          <w:rFonts w:hint="eastAsia" w:ascii="宋体" w:hAnsi="宋体" w:cs="宋体"/>
          <w:color w:val="auto"/>
          <w:szCs w:val="21"/>
          <w:highlight w:val="none"/>
        </w:rPr>
        <w:t>投标人负全责。</w:t>
      </w:r>
    </w:p>
    <w:bookmarkEnd w:id="639"/>
    <w:p w14:paraId="346FC247">
      <w:pPr>
        <w:rPr>
          <w:color w:val="auto"/>
          <w:highlight w:val="none"/>
        </w:rPr>
      </w:pPr>
      <w:bookmarkStart w:id="676" w:name="_Toc95223458"/>
      <w:r>
        <w:rPr>
          <w:color w:val="auto"/>
          <w:highlight w:val="none"/>
        </w:rPr>
        <w:br w:type="page"/>
      </w:r>
    </w:p>
    <w:p w14:paraId="3AAF4774">
      <w:pPr>
        <w:pStyle w:val="2"/>
        <w:numPr>
          <w:ilvl w:val="0"/>
          <w:numId w:val="3"/>
        </w:numPr>
        <w:spacing w:before="156" w:beforeLines="50" w:after="156" w:afterLines="5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合同条款及格式</w:t>
      </w:r>
      <w:bookmarkEnd w:id="676"/>
      <w:bookmarkStart w:id="677" w:name="_Toc184263479"/>
      <w:bookmarkStart w:id="678" w:name="_Toc2094516902"/>
      <w:bookmarkStart w:id="679" w:name="_Toc18712"/>
    </w:p>
    <w:p w14:paraId="2F2DF5F4">
      <w:pPr>
        <w:pStyle w:val="2"/>
        <w:spacing w:before="156" w:beforeLines="50" w:after="156"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第一节  通用合同条款</w:t>
      </w:r>
    </w:p>
    <w:p w14:paraId="101872AE">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1.一般约定</w:t>
      </w:r>
    </w:p>
    <w:p w14:paraId="799C5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 词语定义</w:t>
      </w:r>
    </w:p>
    <w:p w14:paraId="6DDE49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除专用合同条款另有约定外，合同中的下列词语应具有本款所赋予的含义。</w:t>
      </w:r>
    </w:p>
    <w:p w14:paraId="6707D75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合同</w:t>
      </w:r>
    </w:p>
    <w:p w14:paraId="1022C43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 合同文件（或称合同）：指合同协议书、中标通知书、投标函、商务和技术偏差表、专用合同条款、通用合同条款、技术要求、分项报价表、中标 货物技术性能指标的详细描述、相关服务计划，以及其他构成合同组成部分的文件。</w:t>
      </w:r>
    </w:p>
    <w:p w14:paraId="7FD12D7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 合同协议书：指买方和卖方共同签署的合同协议书。</w:t>
      </w:r>
    </w:p>
    <w:p w14:paraId="603423A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1.1.1.3 中标通知书：指买方通知卖方中标的函件。</w:t>
      </w:r>
    </w:p>
    <w:p w14:paraId="1CCCB18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1.1.1.4 投标函：指由卖方填写并签署的，名为“投标函 ”的函件。</w:t>
      </w:r>
    </w:p>
    <w:p w14:paraId="238FEB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1.1.1.5 商务和技术偏差表：指卖方投标文件中的商务和技术偏差表。</w:t>
      </w:r>
    </w:p>
    <w:p w14:paraId="4F3F2A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1.1.1.6 技术要求：指合同文件中名为“技术要求 ”的文件，具体按招标第 八章“技术要求 ”执行。</w:t>
      </w:r>
    </w:p>
    <w:p w14:paraId="706787B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1.1.1.7 中标货物技术性能指标的详细描述：指卖方投标文件中的投标货物 质量标准的详细描述。</w:t>
      </w:r>
    </w:p>
    <w:p w14:paraId="714881E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1.1.1.8 相关服务计划：指卖方投标文件中的相关服务计划。</w:t>
      </w:r>
    </w:p>
    <w:p w14:paraId="60277C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1.1.1.9 分项报价表：指卖方投标文件中的分项报价表。</w:t>
      </w:r>
    </w:p>
    <w:p w14:paraId="445075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1.1.1.10 其他合同文件：指经合同双方当事人确认构成合同文件的其他文件。</w:t>
      </w:r>
    </w:p>
    <w:p w14:paraId="535CE68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合同当事人</w:t>
      </w:r>
    </w:p>
    <w:p w14:paraId="6560C7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 合同当事人：指买方和（或）卖方。</w:t>
      </w:r>
    </w:p>
    <w:p w14:paraId="6B2C65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 买方：指与卖方签订合同协议书，购买合同货物和相关服务的当事人，及其合法继承人。</w:t>
      </w:r>
    </w:p>
    <w:p w14:paraId="0D09088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 卖方：指与买方签订合同协议书，提供合同货物和相关服务的当事人，及其合法继承人。</w:t>
      </w:r>
    </w:p>
    <w:p w14:paraId="7E74ED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合同价格</w:t>
      </w:r>
    </w:p>
    <w:p w14:paraId="13731A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1.1.3.1 签约合同价：是签订合同时合同协议书中写明的合同总金额。</w:t>
      </w:r>
    </w:p>
    <w:p w14:paraId="21A6F7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1.1.3.2 合同价格：指卖方按合同约定履行了全部合同义务后，买方应付给卖方的金额。</w:t>
      </w:r>
    </w:p>
    <w:p w14:paraId="513404A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合同设备：指卖方按合同约定应向买方提供的设备、装置、备品、备件、易损易耗件、配套使用的软件或其他辅助电子应用程序及技术资料，或其中任何一部分。</w:t>
      </w:r>
    </w:p>
    <w:p w14:paraId="2A3A3F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技术资料：各种纸质及电子载体的与合同设备的设计、检验、安装、调试、考核、操作、维修以及保养等有关的技术指标、规格、图纸和说明文件。</w:t>
      </w:r>
    </w:p>
    <w:p w14:paraId="35D33D4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1.1.6安装：指对合同设备进行的组装、连接以及根据需要将合同设备固定在施工场地内一定的位置上，使其就位并与相关设备、工程实现连接。</w:t>
      </w:r>
    </w:p>
    <w:p w14:paraId="7FDEA0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1.1.7调试：指在合同设备安装完成后，对合同设备所进行的调校和测试。</w:t>
      </w:r>
    </w:p>
    <w:p w14:paraId="068047C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1.1.8考核：指在合同设备调试完成后，对合同设备进行的用于确定其是否达到合同约定的技术性能考核指标的考核。</w:t>
      </w:r>
    </w:p>
    <w:p w14:paraId="1B9144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1.1.9验收： 指合同设备通过考核达到合同约定的技术性能考核指标后，买方作出接受合同设备的确认。</w:t>
      </w:r>
    </w:p>
    <w:p w14:paraId="0928AD4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1.1.10技术服务：指卖方按合同约定，在合同设备验收前，向买方提供的安装、调试服务，或者在由买方负责的安装、调试、考核中对买方进行的技术指导、协助、监督和培训等。</w:t>
      </w:r>
    </w:p>
    <w:p w14:paraId="6D8872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1.1.11质量保证期：指合同设备验收后，卖方按合同约定保证合同设备适当、稳定运行，并负责消除合同设备故障的期限。</w:t>
      </w:r>
    </w:p>
    <w:p w14:paraId="7747B1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1.1.12质保期服务：指在质量保证期内，卖方向买方提供的合同设备维护服务、咨询服务、技术指导、协助以及对出现故障的合同设备进行修理或更换的服务。</w:t>
      </w:r>
    </w:p>
    <w:p w14:paraId="3191CBA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1.1.13  工程</w:t>
      </w:r>
    </w:p>
    <w:p w14:paraId="719A6A9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1.1.13.1 工程：指在专用合同条款中指明的，安装运行合同设备的工程。</w:t>
      </w:r>
    </w:p>
    <w:p w14:paraId="436F12C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1.1.13.2 施工场地（或称工地、施工现场）：指专用合同条款中指明的工程所在场所。</w:t>
      </w:r>
    </w:p>
    <w:p w14:paraId="0A67D72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1.1.14 天（或称日）：除特别指明外，指日历天。合同中按天计算时间的，开始当天不计入，从次日开始计算。合同约定的期间的最后一天是星期日或者其他法定休假日的，以休假日的次日为期间的最后一天。</w:t>
      </w:r>
    </w:p>
    <w:p w14:paraId="798495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1.1.15月：按照公历月计算。合同中按月计算时间的，开始当天不计入，从次日开始计算。合同约定的期间的最后一天是星期日或者其他法定休假日的，以休假日的次日为期间的最后一天。</w:t>
      </w:r>
    </w:p>
    <w:p w14:paraId="35CA1B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1.1.16书面形式：指合同文件、信件和数据电文（包括电报、电传、传真、电子数据交换和电子邮件）等可以有形地表现所载内容的形式。</w:t>
      </w:r>
    </w:p>
    <w:p w14:paraId="2D9C11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语言文字</w:t>
      </w:r>
    </w:p>
    <w:p w14:paraId="6E8B91E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合同使用的语言文字为中文。专用术语使用外文的，应附有中文注释。</w:t>
      </w:r>
    </w:p>
    <w:p w14:paraId="7D1C94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 合同文件的优先顺序</w:t>
      </w:r>
    </w:p>
    <w:p w14:paraId="5AC686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组成合同的各项文件应互相解释，互为说明。除专用合同条款另有约定外，解释合同文件的优先顺序如下：</w:t>
      </w:r>
    </w:p>
    <w:p w14:paraId="7D49B8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（1）合同协议书；</w:t>
      </w:r>
    </w:p>
    <w:p w14:paraId="7B9E927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（2）中标通知书；</w:t>
      </w:r>
    </w:p>
    <w:p w14:paraId="244AE0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（3）投标函；</w:t>
      </w:r>
    </w:p>
    <w:p w14:paraId="52DFFBE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（4）技术偏差表；</w:t>
      </w:r>
    </w:p>
    <w:p w14:paraId="2F6DCE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（5）专用合同条款；</w:t>
      </w:r>
    </w:p>
    <w:p w14:paraId="6C67D1A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（6）通用合同条款；</w:t>
      </w:r>
    </w:p>
    <w:p w14:paraId="46C02E6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（7）技术要求；</w:t>
      </w:r>
    </w:p>
    <w:p w14:paraId="79DB672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（8）分项报价表；</w:t>
      </w:r>
    </w:p>
    <w:p w14:paraId="0846528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（9）中标货物技术性能指标的详细描述；</w:t>
      </w:r>
    </w:p>
    <w:p w14:paraId="785FF1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（10）技术服务和质保期服务计划；</w:t>
      </w:r>
    </w:p>
    <w:p w14:paraId="747B288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（11）其他合同文件。</w:t>
      </w:r>
    </w:p>
    <w:p w14:paraId="4310620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 合同的生效及变更</w:t>
      </w:r>
    </w:p>
    <w:p w14:paraId="4BF7AE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1.4.1除专用合同条款另有约定外，买方和卖方的法定代表人（单位负责人） 或其授权代表在合同协议书上签字并加盖单位章后，合同生效。</w:t>
      </w:r>
    </w:p>
    <w:p w14:paraId="49082E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1.4.2除专用合同条款另有约定外，在合同履行过程中，如需对合同进行变 更，双方应签订书面协议，并经双方法定代表人（单位负责人）或其授权代表签 字并加盖单位章后生效。</w:t>
      </w:r>
    </w:p>
    <w:p w14:paraId="592EF7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 联络</w:t>
      </w:r>
    </w:p>
    <w:p w14:paraId="1399BF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4D3B5BB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1.5.2合同履行中或与合同有关的任何联络，送达到第1.5.1项指定的联系人即视为送达。</w:t>
      </w:r>
    </w:p>
    <w:p w14:paraId="5E34E0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1.5.3买方可以安排监理等相关人员作为买方人员，与卖方进行联络或参加合同设备的监造 （如有）、交货前检验（如有）、开箱检验、安装、调试、考核、验收等， 但应按照第1.5.1项的约定事先书面通知卖方。</w:t>
      </w:r>
    </w:p>
    <w:p w14:paraId="7D6608D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 联合体</w:t>
      </w:r>
    </w:p>
    <w:p w14:paraId="6AE21A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卖方为联合体的，联合体各方应当共同与买方签订合同，并向买方为 履行合同承担连带责任。</w:t>
      </w:r>
    </w:p>
    <w:p w14:paraId="71C5B3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 在合同履行过程中，未经买方同意，不得修改联合体协议。联合体协 议中关于联合体成员间权利义务的划分，并不影响或减损联合体各方应就履行合 同向买方承担的连带责任。</w:t>
      </w:r>
    </w:p>
    <w:p w14:paraId="1AC93C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 联合体牵头人代表联合体与买方联系，并接受指示，负责组织联合体 各成员全面履行合同。除非专用合同条款另有约定，牵头人在履行合同中的所有 行为均视为已获得联合体各方的授权。买方可将合同价款全部支付给牵头人并视 为其已适当履行了付款义务。如牵头人的行为将构成对合同内容的变更，则牵头 人须事先获得联合体各方的特别授权。</w:t>
      </w:r>
    </w:p>
    <w:p w14:paraId="0AA6960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 转让</w:t>
      </w:r>
    </w:p>
    <w:p w14:paraId="383059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未经对方当事人书面同意，合同任何一方均不得转让其在本合同项下的权利和（或）义务。</w:t>
      </w:r>
    </w:p>
    <w:p w14:paraId="0EFF556B">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2.合同范围</w:t>
      </w:r>
    </w:p>
    <w:p w14:paraId="6F8BDF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卖方应根据技术要求、中标货物技术性能指标的详细描述、技术服务和质保期服务计划等合同文件的约定向买方提供合同设备、技术服务和质保期服务。</w:t>
      </w:r>
    </w:p>
    <w:p w14:paraId="270782A1">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3.合同价格与支付</w:t>
      </w:r>
    </w:p>
    <w:p w14:paraId="718FB38C">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3.1具体详见第二节专用合同条款。</w:t>
      </w:r>
    </w:p>
    <w:p w14:paraId="187EA900">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4. 监造及交货前检验</w:t>
      </w:r>
    </w:p>
    <w:p w14:paraId="7A5F95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 监造</w:t>
      </w:r>
    </w:p>
    <w:p w14:paraId="7B7659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专用合同条款约定买方对合同设备进行监造的，双方应按本款及专用合同条款约定履行。</w:t>
      </w:r>
    </w:p>
    <w:p w14:paraId="27B33A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4.1.1在合同设备的制造过程中，买方可派出监造人员，对合同设备的生产制造进行监造，监督合同设备制造、检验等情况。监造的范围、方式等应符合专用合同条款和（或）技术要求等合同文件的约定。</w:t>
      </w:r>
    </w:p>
    <w:p w14:paraId="5B87B9A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除专用合同条款和（或）技术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6AFD83F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4.1.3卖方制订生产制造合同设备的进度计划时，应将买方监造纳入计划安排，并提前通知买方；买方进行监造不应影响合同设备的正常生产。除专用合同条款和（或）技术要求等合同 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14:paraId="4F3DF4E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4.1.4买方监造人员在监造中如发现合同设备及其关键部件不符合合同约定的标准，则有权提出意见和建议。卖方应采取必要措施消除合同设备的不符，由此增加的费用和（或）造成的延误由卖方负责。</w:t>
      </w:r>
    </w:p>
    <w:p w14:paraId="76D294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0897C29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交货前检验</w:t>
      </w:r>
    </w:p>
    <w:p w14:paraId="57B6656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专用合同条款约定买方参与交货前检验的，双方应按本款及专用合同条款约定履行。</w:t>
      </w:r>
    </w:p>
    <w:p w14:paraId="2F7F36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1E6CE96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4.2.2 除专用合同条款和（或）技术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 由此增加的费用和（或）造成的延误由卖方负责。</w:t>
      </w:r>
    </w:p>
    <w:p w14:paraId="0EF10F3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4.2.3买方代表在检验中如发现合同设备不符合合同约定的标准，则有权提出异议。卖方应采取必要措施消除合同设备的不符，由此增加的费用和（或） 造成的延误由卖方负责。</w:t>
      </w:r>
    </w:p>
    <w:p w14:paraId="13C32C2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4.2.4买方代表参与交货前检验及签署交货前检验记录的行为，不视为对合同设备质量的确认，不影响卖方交货后买方依照合同约定对合同设备提出质量异议和（或） 退货的权利，也不免除卖方依照合同约定对合同设备所应承担的任何义务或责任。</w:t>
      </w:r>
    </w:p>
    <w:p w14:paraId="48D47BEC">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5.包装、标记、运输和交付</w:t>
      </w:r>
    </w:p>
    <w:p w14:paraId="16566F9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包装</w:t>
      </w:r>
    </w:p>
    <w:p w14:paraId="598C5CD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14:paraId="732FB6A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5.1.2 每个独立包装箱内应附装箱清单、质量合格证、装配图、说明书、操作指南等资料。</w:t>
      </w:r>
    </w:p>
    <w:p w14:paraId="14BAF3A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5.1.3 除专用合同条款另有约定外，买方无需将包装物退还给卖方。</w:t>
      </w:r>
    </w:p>
    <w:p w14:paraId="59231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标记</w:t>
      </w:r>
    </w:p>
    <w:p w14:paraId="536949D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5.2.1除专用合同条款另有约定外，卖方应在每一包装箱相邻的四个侧面以不可擦除的、明显的方式标记必要的装运信息和标记，以满足合同设备运输和保管的需要。</w:t>
      </w:r>
    </w:p>
    <w:p w14:paraId="2B55B5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5.2.2根据合同设备的特点和运输、保管的不同要求，卖方应在包装箱上清楚地标注“小心 轻放” 、“此端朝上，请勿倒置”、“保持干燥”等字样和其他适当标记。对于专用合同条款约定的超大超重件，卖方应在包装箱两侧标注“重心”和“起吊点”以便装卸和搬运。如果发运合同设备中含有易燃易爆物品、腐蚀物品、放射性物质等危险品， 则应在包装箱上标明危险品标志。</w:t>
      </w:r>
    </w:p>
    <w:p w14:paraId="369745F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 运输</w:t>
      </w:r>
    </w:p>
    <w:p w14:paraId="04B0C8F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5.3.1 卖方应自行选择适宜的运输工具及线路安排合同设备运输。</w:t>
      </w:r>
    </w:p>
    <w:p w14:paraId="6FE7DC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5.3.2 除专用合同条款另有约定外，每件能够独立运行的设备应整套装运。该设备安装、调试、考核和运行所使用的备品、备件、易损易耗件等应随相关的主机一齐装运。</w:t>
      </w:r>
    </w:p>
    <w:p w14:paraId="4C39E37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5.3.3 除专用合同条款另有约定外，卖方应在合同设备预计启运7日前，将合同设备名称、数量、箱数、总毛重、总体积（用 m3  表示）、每箱尺寸（长×宽×高）、装运合同设备总金额、 运输方式、预计交付日期和合同设备在运输、装卸、保管中的注意事项等预通知买方，并在合同设备启运后24小时之内正式通知买方。</w:t>
      </w:r>
    </w:p>
    <w:p w14:paraId="4C472A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5.3.4 卖方在根据第5.3.3项进行通知时， 如果发运合同设备中包括专用合同条款约定的超大超重包装，则卖方应将超大和（或） 超重的每个包装箱的重量和尺寸通知买方；如果发运 同设备中包括易燃易爆物品、腐蚀物品、放射性物质等危险品，则危险品的品名、性质、在运输、装卸、保管方面的特殊要求、注意事项和处理意外情况的方法等， 也应一并通知买方。</w:t>
      </w:r>
    </w:p>
    <w:p w14:paraId="5A41FC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 交付</w:t>
      </w:r>
    </w:p>
    <w:p w14:paraId="7BD5871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5.4.1 除专用合同条款另有约定外，卖方应根据合同约定的交付时间和批次在施工场地车面上将合同设备交付给买方。买方对卖方交付的包装的合同设备的外观及件数进行清点核验后应 签发收货清单，并自负风险和费用进行卸货。买方签发收货清单不代表对合同设备的接受，双方还应按合同约定进行后续的检验和验收。</w:t>
      </w:r>
    </w:p>
    <w:p w14:paraId="16026C4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5.4.2 合同设备的所有权和风险自交付时起由卖方转移至买方，合同设备交付给买方之前包括运输在内的所有风险均由卖方承担。</w:t>
      </w:r>
    </w:p>
    <w:p w14:paraId="4E41138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5.4.3 除专用合同条款另有约定外，买方如果发现技术资料存在短缺和（或）损坏， 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14:paraId="3DF8051B">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6.开箱检验、安装、调试、考核、验收</w:t>
      </w:r>
    </w:p>
    <w:p w14:paraId="7D1819B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开箱检验</w:t>
      </w:r>
    </w:p>
    <w:p w14:paraId="71C423C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合同设备交付后应进行开箱检验，即合同设备数量及外观检验。开箱检验在专用合同条款约定的下列任一种时间进行：</w:t>
      </w:r>
    </w:p>
    <w:p w14:paraId="55121A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（1）合同设备交付时；</w:t>
      </w:r>
    </w:p>
    <w:p w14:paraId="097E458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（2）合同设备交付后的一定期限内。</w:t>
      </w:r>
    </w:p>
    <w:p w14:paraId="6EAE3EC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如开箱检验不在合同设备交付时进行，买方应在开箱检验3日前将开箱检验的时间和地点通知卖方。</w:t>
      </w:r>
    </w:p>
    <w:p w14:paraId="609FFD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除专用合同条款另有约定外，合同设备的开箱检验应在施工场地进行。</w:t>
      </w:r>
    </w:p>
    <w:p w14:paraId="0BC338E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 开箱检验由买卖双方共同进行，卖方应自负费用派遣代表到场参加开箱检验。</w:t>
      </w:r>
    </w:p>
    <w:p w14:paraId="2A349A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6.1.4 在开箱检验中，买方和卖方应共同签署数量、外观检验报告，报告应列明检验结果，包括检验合格或发现的任何短缺、损坏或其它与合同约定不符的情形。</w:t>
      </w:r>
    </w:p>
    <w:p w14:paraId="02FAA5A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15D6B14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6.1.6 如开箱检验不在合同设备交付时进行，则合同设备交付以后到开箱检验之前， 应由买方负责按交货时外包装原样对合同设备进行妥善保管。除专用合同条款另有约定外，在开箱检 验时如果合同设备外包装与交货时一致，则开箱检验中发现的合同设备的短缺、损坏或其它与合同约定不符的情形，由卖方负责，卖方应补齐、更换及采取其他补救措施。如果在开箱检验 时合同设备外包装不是交货时的包装或虽是交货时的包装但与交货时不一致且出现很可能导致 合同设备短缺或损坏的包装破损，则开箱检验中发现合同设备短缺、损坏或其它与合同约定不 符的情形的风险， 由买方承担，但买方能够证明是由于卖方原因或合同设备交付前非买方原因导致的除外。</w:t>
      </w:r>
    </w:p>
    <w:p w14:paraId="1CAE47B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6.1.7 如双方在专用合同条款和（或）技术要求等合同文件中约定由第三方检测机构对合同设备进行开箱检验或在开箱检验过程中另行约定由第三方检验的，则第三方检测机构的检验结果对双方均具有约束力。</w:t>
      </w:r>
    </w:p>
    <w:p w14:paraId="3ACA61C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6.1.8开箱检验的检验结果不能对抗在合同设备的安装、调试、考核、验收中及质量保证期内发现的合同设备质量问题， 也不能免除或影响卖方依照合同约定对买方负有的包括合同设备质量在内的任何义务或责任。</w:t>
      </w:r>
    </w:p>
    <w:p w14:paraId="0D9B47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安装、调试</w:t>
      </w:r>
    </w:p>
    <w:p w14:paraId="3EDDA27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6.2.1 开箱检验完成后，双方应对合同设备进行安装、调试，以使其具备考核的状态。安装、调试应按照专用合同条款约定的下列任一种方式进行：</w:t>
      </w:r>
    </w:p>
    <w:p w14:paraId="4465405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（1）卖方按照合同约定完成合同设备的安装、调试工作；</w:t>
      </w:r>
    </w:p>
    <w:p w14:paraId="63523AA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（2）买方或买方安排第三方负责合同设备的安装、调试工作，卖方提供技术服务。</w:t>
      </w:r>
    </w:p>
    <w:p w14:paraId="41786C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 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 造成合同设备损坏的情况，卖方应承担责任。</w:t>
      </w:r>
    </w:p>
    <w:p w14:paraId="5697AE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6.2.2 除专用合同条款另有约定外，安装、调试中合同设备运行需要的用水、用电、其他动力和原材料（如需要）等均由买方承担。</w:t>
      </w:r>
    </w:p>
    <w:p w14:paraId="3EB99F4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6.2.3双方应对合同设备的安装、调试情况共同及时进行记录。</w:t>
      </w:r>
    </w:p>
    <w:p w14:paraId="747CC2E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  考核</w:t>
      </w:r>
    </w:p>
    <w:p w14:paraId="19CA9A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6.3.1 安装、调试完成后，双方应对合同设备进行考核， 以确定合同设备是否达到合同约定的技术性能考核指标。除专用合同条款另有约定外，考核中合同设备运行需要的用水、用电、其他动力和原材料（如需要）等均由买方承担。</w:t>
      </w:r>
    </w:p>
    <w:p w14:paraId="0076C61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 如由于卖方原因合同设备在考核中未能达到合同约定的技术性能考核指标，则卖方应在双方同意的期限内采取措施消除合同设备中存在的缺陷，并在缺陷消除以后，尽快进行再次考核。</w:t>
      </w:r>
    </w:p>
    <w:p w14:paraId="740BF3D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6.3.3 由于卖方原因未能达到技术性能考核指标时，为卖方进行考核的机会不超过三次。如果由于卖方原因， 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08B0F8B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6.3.4 如由于买方原因合同设备在考核中未能达到合同约定的技术性能考核指标，则卖方应协助买方安排再次考核。由于买方原因未能达到技术性能考核指标时，为买方进行考核的机会不超过三次。</w:t>
      </w:r>
    </w:p>
    <w:p w14:paraId="1BF318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6.3.5 考核期间，双方应及时共同记录合同设备的用水、用电、其他动力和原材料（如有）的使用及设备考核情况。对于未达到技术性能考核指标的，应如实记录设备表现、可能原因及处理情况等。</w:t>
      </w:r>
    </w:p>
    <w:p w14:paraId="285C7AF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 验收</w:t>
      </w:r>
    </w:p>
    <w:p w14:paraId="732FE8C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6.4.1 如合同设备在考核中达到或视为达到技术性能考核指标，则买卖双方应在考核完成后7日内或专用合同条款另行约定的时间内签署合同设备验收证书一式二份， 双方各持一份。验收日期应为合同设备达到或视为达到技术性能考核指标的日期。</w:t>
      </w:r>
    </w:p>
    <w:p w14:paraId="2E7801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6.4.2如由于买方原因合同设备在三次考核中均未能达到技术性能考核指标，买卖双方应在考核结束后7日内或专用合同条款另行约定的时间内签署验收款支付函。</w:t>
      </w:r>
    </w:p>
    <w:p w14:paraId="68FD068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除专用合同条款另有约定外，卖方有义务在验收款支付函签署后12个月内应买方要求提供相关技术服务，协助买方采取一切必要措施使合同设备达到技术性能考核指标。买方应承担卖方因此产生的全部费用。</w:t>
      </w:r>
    </w:p>
    <w:p w14:paraId="6B2B949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在上述12个月的期限内， 如合同设备经过考核达到或视为达到技术性能考核指标， 则买卖双方应按照第6.4.1项的约定签署合同设备验收证书。</w:t>
      </w:r>
    </w:p>
    <w:p w14:paraId="621348A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6.4.3 除专用合同条款另有约定外，如由于买方原因在最后一批合同设备交货后6个月内未能开始考核，则买卖双方应在上述期限届满后7日内或专用合同条款另行约定的时间内签署验收款支付函。</w:t>
      </w:r>
    </w:p>
    <w:p w14:paraId="6E500A0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卖方有义务在验收款支付函签署后6个月内应买方要求提供不超出合同范围的技术服务，协助买方采取一切必要措施使合同设备达到技术性能考核指标，且买方无需因此向卖方支付费用。</w:t>
      </w:r>
    </w:p>
    <w:p w14:paraId="142B73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在上述6个月的期限内，如合同设备经过考核达到或视为达到技术性能考核指标，则买卖双方应按照第6.4.1项的约定签署合同设备验收证书。</w:t>
      </w:r>
    </w:p>
    <w:p w14:paraId="287AA98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6.4.4在第6.4.2项和第6.4.3项情形下，卖方也可单方签署验收款支付函提交买方，如果买方在收到卖方签署的验收款支付函后14日内未向卖方提出书面异议，则验收款支付函自签署之日起生效。</w:t>
      </w:r>
    </w:p>
    <w:p w14:paraId="7D4BDFA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6.4.5合同设备验收证书的签署不能免除卖方在质量保证期内对合同设备应承担的保证责任。</w:t>
      </w:r>
    </w:p>
    <w:p w14:paraId="294D3AD1">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7.技术服务</w:t>
      </w:r>
    </w:p>
    <w:p w14:paraId="274FA1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卖方应派遣技术熟练、称职的技术人员到施工场地为买方提供技术服务。卖方的技术服务应符合合同的约定。</w:t>
      </w:r>
    </w:p>
    <w:p w14:paraId="1917E4C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买方应免费为卖方技术人员提供工作条件及便利，包括但不限于必要的办公场所、技术资料及出入许可等。除专用合同条款另有约定外，卖方技术人员的交通、食宿费用由卖方承担。</w:t>
      </w:r>
    </w:p>
    <w:p w14:paraId="75047BC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7.3卖方技术人员应遵守买方施工现场的各项规章制度和安全操作规程，并服从买方的现场管理。</w:t>
      </w:r>
    </w:p>
    <w:p w14:paraId="784D9E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如果任何技术人员不合格，买方有权要求卖方撤换，因撤换而产生的费用应由卖方承担。在不影响技术服务并且征得买方同意的条件下，卖方也可自负费用更换其技术人员。</w:t>
      </w:r>
    </w:p>
    <w:p w14:paraId="24ACB69E">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8.质量保证期</w:t>
      </w:r>
    </w:p>
    <w:p w14:paraId="48A6B44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 除专用合同条款和（或）技术要求等合同文件另有约定外，本项目整体质量保证期为验收之日起</w:t>
      </w:r>
      <w:r>
        <w:rPr>
          <w:rFonts w:ascii="宋体" w:hAnsi="宋体" w:cs="宋体"/>
          <w:color w:val="auto"/>
          <w:szCs w:val="21"/>
          <w:highlight w:val="none"/>
        </w:rPr>
        <w:t>24</w:t>
      </w:r>
      <w:r>
        <w:rPr>
          <w:rFonts w:hint="eastAsia" w:ascii="宋体" w:hAnsi="宋体" w:cs="宋体"/>
          <w:color w:val="auto"/>
          <w:szCs w:val="21"/>
          <w:highlight w:val="none"/>
        </w:rPr>
        <w:t>个月（各设备质保期详见技术要求（如有），以国家规定的质保期为准）。如对合同设备中关键部件的质量保证期有特殊要求的，买卖双方可在专用合同条款中约定。在合同第6.4.2项情形下，无论合同设备何时验收，其质量保证期最长为签署验收款支付函后12个月。在合同第6.4.3项情形下，无论合同设备何时验收，其质量保证期最长为签署验收款支付函后6个月。</w:t>
      </w:r>
    </w:p>
    <w:p w14:paraId="3D320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 在质量保证期内如果合同设备出现故障，卖方应自负费用提供质保期服务，对相关合同设备进行修理或更换以消除故障。更换的合同设备和（或）关键部件的质量保证期应重新计 算。但如果合同设备的故障是由于买方原因造成的，则对合同设备进行修理和更换的费用应由买方承担。</w:t>
      </w:r>
    </w:p>
    <w:p w14:paraId="21BA3EA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 质量保证期届满后， 买方应在7日内或专用合同条款另行约定的时间内向卖方出具合同设备的质量保证期届满证书。</w:t>
      </w:r>
    </w:p>
    <w:p w14:paraId="7E4D0AD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在合同第6.4.2项情形下，如在验收款支付函签署后12个月内由于买方原因合同设仍未能达到技术性能考核指标，则买卖双方应在该12个月届满后7日内或专用合同条款另行约定的时间内签署结清款支付函。</w:t>
      </w:r>
    </w:p>
    <w:p w14:paraId="3BDAFB9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 在合同第6.4.3项情形下，如在验收款支付函签署后6个月内由于买方原因合同设备仍未进行考核或仍未达到技术性能考核指标，则买卖双方应在该6个月届满后7日内或专用合同条款另行约定的时间内签署结清款支付函。</w:t>
      </w:r>
    </w:p>
    <w:p w14:paraId="732E190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8.6在第8.4款和第8.5款情形下，卖方也可单方签署结清款支付函提交买方，如果买方在收到卖方签署的结清款支付函后14日内未向卖方提出书面异议，则结清款支付函自签署之日起生效。</w:t>
      </w:r>
    </w:p>
    <w:p w14:paraId="2BCCB81D">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9. 质保期服务</w:t>
      </w:r>
    </w:p>
    <w:p w14:paraId="3582F3B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卖方应为质保期服务配备充足的技术人员、工具和备件并保证提供的联系方式畅通。除专用合同条款和（或）技术要求等合同文件另有约定外，卖方应在收到买方通知后24小时内 做出响应，如需卖方到合同设备现场，卖方应在收到买方通知后48小时内到达， 并在到达后7日内解决合同设备的故障（重大故障除外）。如果卖方未在上述时间内作出响应，则买方有权自行或委托他人解决相关问题或查找和解决合同设备的故障，卖方应承担由此发生的全部费用。</w:t>
      </w:r>
    </w:p>
    <w:p w14:paraId="0A6286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315FC41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9.3 如果任何技术人员不合格，买方有权要求卖方撤换， 因撤换而产生的费用应由卖方承担。在不影响质保期服务并且征得买方同意的条件下，卖方也可自负费用更换其技术人员。</w:t>
      </w:r>
    </w:p>
    <w:p w14:paraId="1FF1CB9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9.4 除专用合同条款另有约定外，卖方应就在施工现场进行质保期服务的情况进行记录，记载合同设备故障发生的时间、原因及解决情况等，由买方签字确认，并在质量保证期结束后提交给买方。</w:t>
      </w:r>
    </w:p>
    <w:p w14:paraId="17E74B90">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10. 履约保证金</w:t>
      </w:r>
    </w:p>
    <w:p w14:paraId="1E0FA9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 履约保证金自合同生效之日起生效，在合同设备验收证书或验收款支付函签署之日起28日后失效。如果卖方不履行合同约定的义务或其履行不符合合同的约定，买方有权扣划相应金额的履约保证金。</w:t>
      </w:r>
    </w:p>
    <w:p w14:paraId="3C8B1BC0">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11. 保证</w:t>
      </w:r>
    </w:p>
    <w:p w14:paraId="6E396C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卖方保证其具有完全的能力履行本合同项下的全部义务。</w:t>
      </w:r>
    </w:p>
    <w:p w14:paraId="667EA8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卖方保证其所提供的合同设备及对合同的履行符合所有应适用的法律、行政法规、地方性法规、自治条例和单行条例、规章及其他规范性文件的强制性规定。</w:t>
      </w:r>
    </w:p>
    <w:p w14:paraId="09A7E2A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卖方保证其对合同设备的销售不损害任何第三方的合法权益和社会公众利益。任何第三方不会因卖方原因而基于所有权、抵押权、留置权或其他任何权利或事由对合同设备主张权利。</w:t>
      </w:r>
    </w:p>
    <w:p w14:paraId="512C78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卖方保证合同设备符合合同约定的规格、标准、技术性能考核指标等，能够安全和稳定地运行，且合同设备（包括全部部件）全新、完整、未使用过，除非专用合同条款和（或）技术要求等合同文件另有约定。</w:t>
      </w:r>
    </w:p>
    <w:p w14:paraId="511B430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卖方保证，卖方所提供的技术资料完整、清晰、准确，符合合同约定并且能够满足合同设备的安装、调试、考核、操作以及维修和保养的需要。</w:t>
      </w:r>
    </w:p>
    <w:p w14:paraId="7C74008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7EE6E2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11.7 除专用合同条款和（或）技术要求等合同文件另有约定外，如果在合同设备设计使用寿命期内发生合同项下备品备件停止生产的情况， 卖方应事先将拟停止生产的计划通知买方，使买方有足够的时间考虑备品备件的需求量。根据买方要求， 卖方应：</w:t>
      </w:r>
    </w:p>
    <w:p w14:paraId="0BFC55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（1）以不高于同期市场价格或其向任何第三方销售同类产品的价格提供合同设备正常运行所需的全部备品备件。或</w:t>
      </w:r>
    </w:p>
    <w:p w14:paraId="79779A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3C7783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11.8 卖方保证，在合同设备设计使用寿命期内，如果卖方发现合同设备由于设计、制造、标识等原因存在足以危及人身、财产安全的缺陷， 卖方将及时通知买方并及时采取修正或者补充标识、修理、更换等措施消除缺陷。</w:t>
      </w:r>
    </w:p>
    <w:p w14:paraId="54084E57">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12. 知识产权</w:t>
      </w:r>
    </w:p>
    <w:p w14:paraId="01E56E4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买方在履行合同过程中提供给卖方的全部图纸、文件和其他含有数据和信息的资料，其知识产权属于买方。</w:t>
      </w:r>
    </w:p>
    <w:p w14:paraId="176FAA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除专用合同条款另有约定外，买方不因签署和履行合同而享有卖方在履行合同过程中提供给买方的图纸、文件、配套软件、电子辅助程序和其他含有数据和信息的资料的知识产权。</w:t>
      </w:r>
    </w:p>
    <w:p w14:paraId="518EC8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如合同设备涉及知识产权，则卖方保证买方在使用合同设备过程中免于受到第三方提出的有关知识产权侵权的主张、索赔或诉讼的伤害。</w:t>
      </w:r>
    </w:p>
    <w:p w14:paraId="60B7524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如果买方收到任何第三方有关知识产权的主张、索赔或诉讼，卖方在收到买方通知后，应以买方名义并在买方的协助下，自负费用处理与第三方的索赔或诉讼，并赔偿买方因此发生 的费用和遭受的损失。除专用合同条款另有约定外，如果卖方拒绝处理前述索赔或诉讼或在收 到买方通知后28日内未作表示，买方可以自己的名义进行这些索赔或诉讼，因此发生的费用和遭受的损失均应由卖方承担。</w:t>
      </w:r>
    </w:p>
    <w:p w14:paraId="23D64D9A">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13. 保密</w:t>
      </w:r>
    </w:p>
    <w:p w14:paraId="2668FD1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14:paraId="58FC77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合同当事人的保密义务不适用于下列信息：</w:t>
      </w:r>
    </w:p>
    <w:p w14:paraId="653843F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（1）非因接受信息一方的过失现在或以后进入公共领域的信息；</w:t>
      </w:r>
    </w:p>
    <w:p w14:paraId="65E9876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（2）接受信息一方当事人合法地从第三方获得并且据其善意了解第三方也不对此承担保密义务的信息；</w:t>
      </w:r>
    </w:p>
    <w:p w14:paraId="05E68F8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（3）法律或法律的执行要求披露的信息。</w:t>
      </w:r>
    </w:p>
    <w:p w14:paraId="5F28F1C2">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14. 违约责任</w:t>
      </w:r>
    </w:p>
    <w:p w14:paraId="439E3E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合同一方不履行合同义务、履行合同义务不符合约定或者违反合同项下所作保证的，应向对方承担继续履行、采取修理、更换、退货等补救措施或者赔偿损失等违约责任。</w:t>
      </w:r>
    </w:p>
    <w:p w14:paraId="5177C49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14:paraId="49C9FDA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（1）从迟交的第一周到第四周，每周迟延交付违约金为迟交合同设备价格的0.5%； </w:t>
      </w:r>
    </w:p>
    <w:p w14:paraId="1A3A34E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（2）从迟交的第五周到第八周，每周迟延交付违约金为迟交合同设备价格的1%；</w:t>
      </w:r>
    </w:p>
    <w:p w14:paraId="5ED7514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（3）从迟交第九周起，每周迟延交付违约金为迟交合同设备价格的1.5%。</w:t>
      </w:r>
    </w:p>
    <w:p w14:paraId="4A91DD5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在计算迟延交付违约金时，迟交不足一周的按一周计算。迟延交付违约金的总额不得超过合同价格的10%。</w:t>
      </w:r>
    </w:p>
    <w:p w14:paraId="356F550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迟延交付违约金的支付不能免除卖方继续交付相关合同设备的义务，但如迟延交付必然导致合同设备安装、调试、考核、验收工作推迟的，相关工作应相应顺延。</w:t>
      </w:r>
    </w:p>
    <w:p w14:paraId="49D61F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14.3买方未能按合同约定支付合同价款的，应向卖方支付延迟付款违约金。除专用合同条款另有约定外，迟延付款违约金的计算方法如下：</w:t>
      </w:r>
    </w:p>
    <w:p w14:paraId="4BF216A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（1）从迟付的第一周到第四周，每周迟延付款违约金为迟延付款金额的0.5%；</w:t>
      </w:r>
    </w:p>
    <w:p w14:paraId="23D61F1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（2）从迟付的第五周到第八周，每周迟延付款违约金为迟延付款金额的1%；</w:t>
      </w:r>
    </w:p>
    <w:p w14:paraId="0766A3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（3）从迟付第九周起， 每周迟延付款违约金为迟延付款金额的1.5%。</w:t>
      </w:r>
    </w:p>
    <w:p w14:paraId="68E186F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在计算迟延付款违约金时，迟付不足一周的按一周计算。迟延付款违约金的总额不得超过合同价格的 10%。</w:t>
      </w:r>
    </w:p>
    <w:p w14:paraId="04AF2245">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15. 合同的解除</w:t>
      </w:r>
    </w:p>
    <w:p w14:paraId="66CE2B1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除专用合同条款另有约定外， 有下述情形之一，当事人可发出书面通知全部或部分地解除合同，合同自通知到达对方时全部或部分地解除：</w:t>
      </w:r>
    </w:p>
    <w:p w14:paraId="1479D1A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（1）卖方迟延交付合同设备超过3个月；</w:t>
      </w:r>
    </w:p>
    <w:p w14:paraId="1110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2966423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（3）买方迟延付款超过3个月；</w:t>
      </w:r>
    </w:p>
    <w:p w14:paraId="6E791EA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w:t>
      </w:r>
    </w:p>
    <w:p w14:paraId="7081DA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（5）合同一方当事人出现破产、清算、资不抵债、成为失信被执行人等可能丧失履约能力的情形，且未能提供令对方满意的履约保证金。</w:t>
      </w:r>
    </w:p>
    <w:p w14:paraId="3D7A27B6">
      <w:pPr>
        <w:spacing w:before="93" w:beforeLines="30" w:after="93" w:afterLines="30" w:line="50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16. 不可抗力</w:t>
      </w:r>
    </w:p>
    <w:p w14:paraId="2D82BF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如果任何一方当事人受到不能预见、不能避免且不能克服的不可抗力事件的影响， 例如战争、严重的火灾、台风、地震、洪水和专用合同条款约定的其他情形， 而无法履行合同项 下的任何义务，则受影响的一方当事人应立即将此类事件的发生通知另一方当事人，并应在不可抗力事件发生后28日内将有关当局或机构出具的证明文件提交给另一方当事人。</w:t>
      </w:r>
    </w:p>
    <w:p w14:paraId="4534BA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16.2受不可抗力事件影响的一方当事人对于不可抗力事件导致的任何合同义务的迟延履行或不能履行不承担违约责任。但该方当事人应尽快将不可抗力事件结束或消除的情况通知另一方当事人。</w:t>
      </w:r>
    </w:p>
    <w:p w14:paraId="32E1A20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14:paraId="57CCC68A">
      <w:pPr>
        <w:widowControl/>
        <w:jc w:val="left"/>
        <w:rPr>
          <w:b/>
          <w:bCs/>
          <w:color w:val="auto"/>
          <w:sz w:val="28"/>
          <w:szCs w:val="28"/>
          <w:highlight w:val="none"/>
        </w:rPr>
      </w:pPr>
      <w:r>
        <w:rPr>
          <w:b/>
          <w:bCs/>
          <w:color w:val="auto"/>
          <w:sz w:val="28"/>
          <w:szCs w:val="28"/>
          <w:highlight w:val="none"/>
        </w:rPr>
        <w:br w:type="page"/>
      </w:r>
    </w:p>
    <w:p w14:paraId="4F2F2A74">
      <w:pPr>
        <w:jc w:val="center"/>
        <w:rPr>
          <w:rFonts w:ascii="仿宋_GB2312" w:hAnsi="黑体" w:eastAsia="仿宋_GB2312"/>
          <w:color w:val="auto"/>
          <w:highlight w:val="none"/>
        </w:rPr>
      </w:pPr>
      <w:r>
        <w:rPr>
          <w:rFonts w:hint="eastAsia"/>
          <w:b/>
          <w:bCs/>
          <w:color w:val="auto"/>
          <w:sz w:val="28"/>
          <w:szCs w:val="28"/>
          <w:highlight w:val="none"/>
        </w:rPr>
        <w:t>第二节  专用合同条款</w:t>
      </w:r>
    </w:p>
    <w:p w14:paraId="434A94AB">
      <w:pPr>
        <w:spacing w:line="520" w:lineRule="exact"/>
        <w:ind w:firstLine="420" w:firstLineChars="200"/>
        <w:jc w:val="left"/>
        <w:rPr>
          <w:rFonts w:ascii="宋体" w:hAnsi="宋体" w:cs="宋体"/>
          <w:color w:val="auto"/>
          <w:highlight w:val="none"/>
        </w:rPr>
      </w:pPr>
      <w:r>
        <w:rPr>
          <w:rFonts w:hint="eastAsia" w:ascii="宋体" w:hAnsi="宋体" w:cs="宋体"/>
          <w:color w:val="auto"/>
          <w:highlight w:val="none"/>
        </w:rPr>
        <w:t>本《专用合同条款》是根据本项目特点对《通用合同条款》的具体补充和细 化，如有不一致，以《专用合同条款》为准。</w:t>
      </w:r>
    </w:p>
    <w:p w14:paraId="4B9D30BD">
      <w:pPr>
        <w:spacing w:line="520" w:lineRule="exact"/>
        <w:ind w:firstLine="420" w:firstLineChars="200"/>
        <w:jc w:val="center"/>
        <w:rPr>
          <w:rFonts w:ascii="宋体" w:hAnsi="宋体" w:cs="宋体"/>
          <w:color w:val="auto"/>
          <w:highlight w:val="none"/>
        </w:rPr>
      </w:pPr>
      <w:r>
        <w:rPr>
          <w:rFonts w:hint="eastAsia" w:ascii="宋体" w:hAnsi="宋体" w:cs="宋体"/>
          <w:color w:val="auto"/>
          <w:highlight w:val="none"/>
        </w:rPr>
        <w:t>专用合同条款数据表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65"/>
        <w:gridCol w:w="7822"/>
      </w:tblGrid>
      <w:tr w14:paraId="781C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6FF82280">
            <w:pPr>
              <w:spacing w:line="520" w:lineRule="exact"/>
              <w:jc w:val="left"/>
              <w:rPr>
                <w:rFonts w:ascii="宋体" w:hAnsi="宋体" w:cs="宋体"/>
                <w:color w:val="auto"/>
                <w:highlight w:val="none"/>
              </w:rPr>
            </w:pPr>
            <w:r>
              <w:rPr>
                <w:b/>
                <w:bCs/>
                <w:color w:val="auto"/>
                <w:spacing w:val="-7"/>
                <w:highlight w:val="none"/>
              </w:rPr>
              <w:t>序号</w:t>
            </w:r>
          </w:p>
        </w:tc>
        <w:tc>
          <w:tcPr>
            <w:tcW w:w="1065" w:type="dxa"/>
          </w:tcPr>
          <w:p w14:paraId="7B88A1FD">
            <w:pPr>
              <w:spacing w:line="520" w:lineRule="exact"/>
              <w:jc w:val="left"/>
              <w:rPr>
                <w:rFonts w:ascii="宋体" w:hAnsi="宋体" w:cs="宋体"/>
                <w:color w:val="auto"/>
                <w:highlight w:val="none"/>
              </w:rPr>
            </w:pPr>
            <w:r>
              <w:rPr>
                <w:rFonts w:hint="eastAsia" w:ascii="宋体" w:hAnsi="宋体" w:cs="宋体"/>
                <w:color w:val="auto"/>
                <w:highlight w:val="none"/>
              </w:rPr>
              <w:t>条目号</w:t>
            </w:r>
          </w:p>
        </w:tc>
        <w:tc>
          <w:tcPr>
            <w:tcW w:w="7822" w:type="dxa"/>
          </w:tcPr>
          <w:p w14:paraId="184A76ED">
            <w:pPr>
              <w:spacing w:line="520" w:lineRule="exact"/>
              <w:jc w:val="left"/>
              <w:rPr>
                <w:rFonts w:ascii="宋体" w:hAnsi="宋体" w:cs="宋体"/>
                <w:color w:val="auto"/>
                <w:highlight w:val="none"/>
              </w:rPr>
            </w:pPr>
            <w:r>
              <w:rPr>
                <w:rFonts w:hint="eastAsia" w:ascii="宋体" w:hAnsi="宋体" w:cs="宋体"/>
                <w:color w:val="auto"/>
                <w:highlight w:val="none"/>
              </w:rPr>
              <w:t>信息或数据</w:t>
            </w:r>
          </w:p>
        </w:tc>
      </w:tr>
      <w:tr w14:paraId="2BDD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4CC9553E">
            <w:pPr>
              <w:spacing w:line="520" w:lineRule="exact"/>
              <w:jc w:val="center"/>
              <w:rPr>
                <w:b/>
                <w:bCs/>
                <w:color w:val="auto"/>
                <w:spacing w:val="-7"/>
                <w:highlight w:val="none"/>
              </w:rPr>
            </w:pPr>
            <w:r>
              <w:rPr>
                <w:rFonts w:hint="eastAsia" w:ascii="宋体" w:hAnsi="宋体" w:cs="宋体"/>
                <w:color w:val="auto"/>
                <w:highlight w:val="none"/>
              </w:rPr>
              <w:t>1</w:t>
            </w:r>
          </w:p>
        </w:tc>
        <w:tc>
          <w:tcPr>
            <w:tcW w:w="1065" w:type="dxa"/>
          </w:tcPr>
          <w:p w14:paraId="27B37C36">
            <w:pPr>
              <w:spacing w:line="520" w:lineRule="exact"/>
              <w:jc w:val="left"/>
              <w:rPr>
                <w:rFonts w:ascii="宋体" w:hAnsi="宋体" w:cs="宋体"/>
                <w:color w:val="auto"/>
                <w:highlight w:val="none"/>
              </w:rPr>
            </w:pPr>
            <w:r>
              <w:rPr>
                <w:rFonts w:hint="eastAsia" w:ascii="宋体" w:hAnsi="宋体" w:cs="宋体"/>
                <w:color w:val="auto"/>
                <w:highlight w:val="none"/>
              </w:rPr>
              <w:t>3.2</w:t>
            </w:r>
          </w:p>
        </w:tc>
        <w:tc>
          <w:tcPr>
            <w:tcW w:w="7822" w:type="dxa"/>
          </w:tcPr>
          <w:p w14:paraId="2FE115CA">
            <w:pPr>
              <w:spacing w:line="520" w:lineRule="exact"/>
              <w:jc w:val="left"/>
              <w:rPr>
                <w:rFonts w:ascii="宋体" w:hAnsi="宋体" w:cs="宋体"/>
                <w:color w:val="auto"/>
                <w:highlight w:val="none"/>
              </w:rPr>
            </w:pPr>
            <w:r>
              <w:rPr>
                <w:rFonts w:hint="eastAsia" w:ascii="宋体" w:hAnsi="宋体" w:cs="宋体"/>
                <w:color w:val="auto"/>
                <w:highlight w:val="none"/>
              </w:rPr>
              <w:t>合同价款的支付：在具备施工条件的前提下，买方在合同签订后一个月内或不迟于约定的开工日期前7天内预付工程款（合同总价*10%）。完成水厂精准加药系统改造及西涧湖水厂二车间沉淀池进水管改造后付至已完成合格工程量价款的85%，所有设备供货、安装、调式及验收合格并经审计结束后付至结算价款的98%，剩余2%作为质量保证金，缺陷责任期（自竣工验收合格之日起满2年）满一个月内付清。质量保证金支持保函（银行保函、担保机构担保、保证保险）使用。采用保函的不再从工程进度款中扣留质量保证金，保函有效期须与工程缺陷责任期截止时间保持一致。</w:t>
            </w:r>
          </w:p>
        </w:tc>
      </w:tr>
      <w:tr w14:paraId="51E3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209AD889">
            <w:pPr>
              <w:spacing w:line="520" w:lineRule="exact"/>
              <w:jc w:val="center"/>
              <w:rPr>
                <w:rFonts w:ascii="宋体" w:hAnsi="宋体" w:cs="宋体"/>
                <w:color w:val="auto"/>
                <w:highlight w:val="none"/>
              </w:rPr>
            </w:pPr>
            <w:r>
              <w:rPr>
                <w:rFonts w:hint="eastAsia" w:ascii="宋体" w:hAnsi="宋体" w:cs="宋体"/>
                <w:color w:val="auto"/>
                <w:highlight w:val="none"/>
              </w:rPr>
              <w:t>2</w:t>
            </w:r>
          </w:p>
        </w:tc>
        <w:tc>
          <w:tcPr>
            <w:tcW w:w="1065" w:type="dxa"/>
            <w:vAlign w:val="center"/>
          </w:tcPr>
          <w:p w14:paraId="62F09F87">
            <w:pPr>
              <w:spacing w:line="520" w:lineRule="exact"/>
              <w:jc w:val="center"/>
              <w:rPr>
                <w:rFonts w:ascii="宋体" w:hAnsi="宋体" w:cs="宋体"/>
                <w:color w:val="auto"/>
                <w:highlight w:val="none"/>
              </w:rPr>
            </w:pPr>
            <w:r>
              <w:rPr>
                <w:rFonts w:hint="eastAsia" w:ascii="宋体" w:hAnsi="宋体" w:cs="宋体"/>
                <w:color w:val="auto"/>
                <w:highlight w:val="none"/>
              </w:rPr>
              <w:t>3.2.1</w:t>
            </w:r>
          </w:p>
        </w:tc>
        <w:tc>
          <w:tcPr>
            <w:tcW w:w="7822" w:type="dxa"/>
          </w:tcPr>
          <w:p w14:paraId="35BFFCE3">
            <w:pPr>
              <w:spacing w:line="520" w:lineRule="exact"/>
              <w:jc w:val="left"/>
              <w:rPr>
                <w:rFonts w:ascii="宋体" w:hAnsi="宋体" w:cs="宋体"/>
                <w:color w:val="auto"/>
                <w:highlight w:val="none"/>
              </w:rPr>
            </w:pPr>
            <w:r>
              <w:rPr>
                <w:rFonts w:hint="eastAsia" w:ascii="宋体" w:hAnsi="宋体" w:cs="宋体"/>
                <w:color w:val="auto"/>
                <w:highlight w:val="none"/>
              </w:rPr>
              <w:t>预付款</w:t>
            </w:r>
          </w:p>
          <w:p w14:paraId="23BD4725">
            <w:pPr>
              <w:spacing w:line="520" w:lineRule="exact"/>
              <w:jc w:val="left"/>
              <w:rPr>
                <w:rFonts w:ascii="宋体" w:hAnsi="宋体" w:cs="宋体"/>
                <w:color w:val="auto"/>
                <w:highlight w:val="none"/>
                <w:u w:val="singl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合同总价</w:t>
            </w:r>
            <w:r>
              <w:rPr>
                <w:rFonts w:ascii="宋体" w:hAnsi="宋体" w:cs="宋体"/>
                <w:color w:val="auto"/>
                <w:highlight w:val="none"/>
                <w:u w:val="single"/>
              </w:rPr>
              <w:t>*10%。</w:t>
            </w:r>
          </w:p>
          <w:p w14:paraId="7746642E">
            <w:pPr>
              <w:spacing w:line="520" w:lineRule="exact"/>
              <w:jc w:val="left"/>
              <w:rPr>
                <w:rFonts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在具备施工条件的前提下，发包人在合同签订后一个月内或不迟于约定的开工日期前7天内预付工程款。</w:t>
            </w:r>
          </w:p>
          <w:p w14:paraId="2B11DA11">
            <w:pPr>
              <w:spacing w:line="520" w:lineRule="exact"/>
              <w:jc w:val="left"/>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项目开工后，按月等额扣回，</w:t>
            </w:r>
            <w:r>
              <w:rPr>
                <w:rFonts w:ascii="宋体" w:hAnsi="宋体" w:cs="宋体"/>
                <w:color w:val="auto"/>
                <w:highlight w:val="none"/>
                <w:u w:val="single"/>
              </w:rPr>
              <w:t>1</w:t>
            </w:r>
            <w:r>
              <w:rPr>
                <w:rFonts w:hint="eastAsia" w:ascii="宋体" w:hAnsi="宋体" w:cs="宋体"/>
                <w:color w:val="auto"/>
                <w:highlight w:val="none"/>
                <w:u w:val="single"/>
              </w:rPr>
              <w:t xml:space="preserve">个月扣完 </w:t>
            </w:r>
          </w:p>
        </w:tc>
      </w:tr>
      <w:tr w14:paraId="289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8D33D38">
            <w:pPr>
              <w:spacing w:line="520" w:lineRule="exact"/>
              <w:jc w:val="center"/>
              <w:rPr>
                <w:rFonts w:ascii="宋体" w:hAnsi="宋体" w:cs="宋体"/>
                <w:color w:val="auto"/>
                <w:highlight w:val="none"/>
              </w:rPr>
            </w:pPr>
            <w:r>
              <w:rPr>
                <w:rFonts w:hint="eastAsia" w:ascii="宋体" w:hAnsi="宋体" w:cs="宋体"/>
                <w:color w:val="auto"/>
                <w:highlight w:val="none"/>
              </w:rPr>
              <w:t>3</w:t>
            </w:r>
          </w:p>
        </w:tc>
        <w:tc>
          <w:tcPr>
            <w:tcW w:w="1065" w:type="dxa"/>
            <w:vAlign w:val="center"/>
          </w:tcPr>
          <w:p w14:paraId="323D249F">
            <w:pPr>
              <w:spacing w:line="520" w:lineRule="exact"/>
              <w:jc w:val="center"/>
              <w:rPr>
                <w:rFonts w:ascii="宋体" w:hAnsi="宋体" w:cs="宋体"/>
                <w:color w:val="auto"/>
                <w:highlight w:val="none"/>
              </w:rPr>
            </w:pPr>
            <w:r>
              <w:rPr>
                <w:rFonts w:hint="eastAsia" w:ascii="宋体" w:hAnsi="宋体" w:cs="宋体"/>
                <w:color w:val="auto"/>
                <w:highlight w:val="none"/>
              </w:rPr>
              <w:t>3.2.4</w:t>
            </w:r>
          </w:p>
        </w:tc>
        <w:tc>
          <w:tcPr>
            <w:tcW w:w="7822" w:type="dxa"/>
          </w:tcPr>
          <w:p w14:paraId="0A8E6C67">
            <w:pPr>
              <w:spacing w:line="520" w:lineRule="exact"/>
              <w:jc w:val="left"/>
              <w:rPr>
                <w:rFonts w:ascii="宋体" w:hAnsi="宋体" w:cs="宋体"/>
                <w:color w:val="auto"/>
                <w:highlight w:val="none"/>
              </w:rPr>
            </w:pPr>
            <w:r>
              <w:rPr>
                <w:rFonts w:hint="eastAsia" w:ascii="宋体" w:hAnsi="宋体" w:cs="宋体"/>
                <w:color w:val="auto"/>
                <w:highlight w:val="none"/>
              </w:rPr>
              <w:t>质量保证金金额：结算价款*2%</w:t>
            </w:r>
          </w:p>
          <w:p w14:paraId="22097EEC">
            <w:pPr>
              <w:spacing w:line="520" w:lineRule="exact"/>
              <w:jc w:val="left"/>
              <w:rPr>
                <w:rFonts w:ascii="宋体" w:hAnsi="宋体" w:cs="宋体"/>
                <w:color w:val="auto"/>
                <w:highlight w:val="none"/>
              </w:rPr>
            </w:pPr>
            <w:r>
              <w:rPr>
                <w:rFonts w:hint="eastAsia" w:ascii="宋体" w:hAnsi="宋体" w:cs="宋体"/>
                <w:color w:val="auto"/>
                <w:highlight w:val="none"/>
              </w:rPr>
              <w:t>质量保证金支持保函（银行保函、担保机构担保、保证保险）使用。采用保函的不再从工程进度款中扣留质量保证金，保函有效期须与工程缺陷责任期截止时间保持一致。</w:t>
            </w:r>
          </w:p>
        </w:tc>
      </w:tr>
      <w:tr w14:paraId="36EC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A6CB51F">
            <w:pPr>
              <w:spacing w:line="520" w:lineRule="exact"/>
              <w:jc w:val="center"/>
              <w:rPr>
                <w:rFonts w:ascii="宋体" w:hAnsi="宋体" w:cs="宋体"/>
                <w:color w:val="auto"/>
                <w:highlight w:val="none"/>
              </w:rPr>
            </w:pPr>
            <w:r>
              <w:rPr>
                <w:rFonts w:hint="eastAsia" w:ascii="宋体" w:hAnsi="宋体" w:cs="宋体"/>
                <w:color w:val="auto"/>
                <w:highlight w:val="none"/>
              </w:rPr>
              <w:t>4</w:t>
            </w:r>
          </w:p>
        </w:tc>
        <w:tc>
          <w:tcPr>
            <w:tcW w:w="1065" w:type="dxa"/>
            <w:vAlign w:val="center"/>
          </w:tcPr>
          <w:p w14:paraId="21BD933B">
            <w:pPr>
              <w:spacing w:line="520" w:lineRule="exact"/>
              <w:jc w:val="center"/>
              <w:rPr>
                <w:rFonts w:ascii="宋体" w:hAnsi="宋体" w:cs="宋体"/>
                <w:color w:val="auto"/>
                <w:highlight w:val="none"/>
              </w:rPr>
            </w:pPr>
            <w:r>
              <w:rPr>
                <w:rFonts w:hint="eastAsia" w:ascii="宋体" w:hAnsi="宋体" w:cs="宋体"/>
                <w:color w:val="auto"/>
                <w:highlight w:val="none"/>
              </w:rPr>
              <w:t>8</w:t>
            </w:r>
          </w:p>
        </w:tc>
        <w:tc>
          <w:tcPr>
            <w:tcW w:w="7822" w:type="dxa"/>
          </w:tcPr>
          <w:p w14:paraId="4A42981D">
            <w:pPr>
              <w:spacing w:line="520" w:lineRule="exact"/>
              <w:jc w:val="left"/>
              <w:rPr>
                <w:rFonts w:ascii="宋体" w:hAnsi="宋体" w:cs="宋体"/>
                <w:color w:val="auto"/>
                <w:highlight w:val="none"/>
              </w:rPr>
            </w:pPr>
            <w:r>
              <w:rPr>
                <w:rFonts w:hint="eastAsia" w:ascii="宋体" w:hAnsi="宋体" w:cs="宋体"/>
                <w:color w:val="auto"/>
                <w:highlight w:val="none"/>
              </w:rPr>
              <w:t>质量保证期：自整体项目验收完毕之日起两年之内为质保期。</w:t>
            </w:r>
          </w:p>
        </w:tc>
      </w:tr>
      <w:tr w14:paraId="57F7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1856032">
            <w:pPr>
              <w:spacing w:line="520" w:lineRule="exact"/>
              <w:jc w:val="center"/>
              <w:rPr>
                <w:rFonts w:ascii="宋体" w:hAnsi="宋体" w:cs="宋体"/>
                <w:color w:val="auto"/>
                <w:highlight w:val="none"/>
              </w:rPr>
            </w:pPr>
            <w:r>
              <w:rPr>
                <w:rFonts w:hint="eastAsia" w:ascii="宋体" w:hAnsi="宋体" w:cs="宋体"/>
                <w:color w:val="auto"/>
                <w:highlight w:val="none"/>
              </w:rPr>
              <w:t>5</w:t>
            </w:r>
          </w:p>
        </w:tc>
        <w:tc>
          <w:tcPr>
            <w:tcW w:w="1065" w:type="dxa"/>
            <w:vAlign w:val="center"/>
          </w:tcPr>
          <w:p w14:paraId="08A1F404">
            <w:pPr>
              <w:spacing w:line="520" w:lineRule="exact"/>
              <w:jc w:val="center"/>
              <w:rPr>
                <w:rFonts w:ascii="宋体" w:hAnsi="宋体" w:cs="宋体"/>
                <w:color w:val="auto"/>
                <w:highlight w:val="none"/>
              </w:rPr>
            </w:pPr>
            <w:r>
              <w:rPr>
                <w:rFonts w:hint="eastAsia" w:ascii="宋体" w:hAnsi="宋体" w:cs="宋体"/>
                <w:color w:val="auto"/>
                <w:highlight w:val="none"/>
              </w:rPr>
              <w:t>10</w:t>
            </w:r>
          </w:p>
        </w:tc>
        <w:tc>
          <w:tcPr>
            <w:tcW w:w="7822" w:type="dxa"/>
          </w:tcPr>
          <w:p w14:paraId="38B8757F">
            <w:pPr>
              <w:spacing w:line="520" w:lineRule="exact"/>
              <w:jc w:val="left"/>
              <w:rPr>
                <w:rFonts w:ascii="宋体" w:hAnsi="宋体" w:cs="宋体"/>
                <w:color w:val="auto"/>
                <w:highlight w:val="none"/>
              </w:rPr>
            </w:pPr>
            <w:r>
              <w:rPr>
                <w:rFonts w:hint="eastAsia" w:ascii="宋体" w:hAnsi="宋体" w:cs="宋体"/>
                <w:color w:val="auto"/>
                <w:highlight w:val="none"/>
              </w:rPr>
              <w:t>是否要求履约保证金：</w:t>
            </w:r>
            <w:r>
              <w:rPr>
                <w:rFonts w:hint="eastAsia" w:ascii="宋体" w:hAnsi="宋体" w:cs="宋体"/>
                <w:color w:val="auto"/>
                <w:highlight w:val="none"/>
                <w:u w:val="single"/>
              </w:rPr>
              <w:t>见投标人须知前附表</w:t>
            </w:r>
            <w:r>
              <w:rPr>
                <w:rFonts w:hint="eastAsia" w:ascii="宋体" w:hAnsi="宋体" w:cs="宋体"/>
                <w:color w:val="auto"/>
                <w:highlight w:val="none"/>
              </w:rPr>
              <w:t xml:space="preserve">。 </w:t>
            </w:r>
          </w:p>
          <w:p w14:paraId="0BAA045F">
            <w:pPr>
              <w:spacing w:line="520" w:lineRule="exact"/>
              <w:jc w:val="left"/>
              <w:rPr>
                <w:rFonts w:ascii="宋体" w:hAnsi="宋体" w:cs="宋体"/>
                <w:color w:val="auto"/>
                <w:highlight w:val="none"/>
              </w:rPr>
            </w:pPr>
            <w:r>
              <w:rPr>
                <w:rFonts w:hint="eastAsia" w:ascii="宋体" w:hAnsi="宋体" w:cs="宋体"/>
                <w:color w:val="auto"/>
                <w:highlight w:val="none"/>
              </w:rPr>
              <w:t>履约保证金的形式：</w:t>
            </w:r>
            <w:r>
              <w:rPr>
                <w:rFonts w:hint="eastAsia" w:ascii="宋体" w:hAnsi="宋体" w:cs="宋体"/>
                <w:color w:val="auto"/>
                <w:highlight w:val="none"/>
                <w:u w:val="single"/>
              </w:rPr>
              <w:t>见投标人须知前附表</w:t>
            </w:r>
            <w:r>
              <w:rPr>
                <w:rFonts w:hint="eastAsia" w:ascii="宋体" w:hAnsi="宋体" w:cs="宋体"/>
                <w:color w:val="auto"/>
                <w:highlight w:val="none"/>
              </w:rPr>
              <w:t>。</w:t>
            </w:r>
          </w:p>
          <w:p w14:paraId="2D12F09A">
            <w:pPr>
              <w:spacing w:line="520" w:lineRule="exact"/>
              <w:jc w:val="left"/>
              <w:rPr>
                <w:rFonts w:ascii="宋体" w:hAnsi="宋体" w:cs="宋体"/>
                <w:color w:val="auto"/>
                <w:highlight w:val="none"/>
              </w:rPr>
            </w:pPr>
            <w:r>
              <w:rPr>
                <w:rFonts w:hint="eastAsia" w:ascii="宋体" w:hAnsi="宋体" w:cs="宋体"/>
                <w:color w:val="auto"/>
                <w:highlight w:val="none"/>
              </w:rPr>
              <w:t>履约保证金的金额：</w:t>
            </w:r>
            <w:r>
              <w:rPr>
                <w:rFonts w:hint="eastAsia" w:ascii="宋体" w:hAnsi="宋体" w:cs="宋体"/>
                <w:color w:val="auto"/>
                <w:highlight w:val="none"/>
                <w:u w:val="single"/>
              </w:rPr>
              <w:t>见投标人须知前附表</w:t>
            </w:r>
            <w:r>
              <w:rPr>
                <w:rFonts w:hint="eastAsia" w:ascii="宋体" w:hAnsi="宋体" w:cs="宋体"/>
                <w:color w:val="auto"/>
                <w:highlight w:val="none"/>
              </w:rPr>
              <w:t>。</w:t>
            </w:r>
          </w:p>
          <w:p w14:paraId="6F66E6C9">
            <w:pPr>
              <w:spacing w:line="520" w:lineRule="exact"/>
              <w:jc w:val="left"/>
              <w:rPr>
                <w:rFonts w:ascii="宋体" w:hAnsi="宋体" w:cs="宋体"/>
                <w:color w:val="auto"/>
                <w:highlight w:val="none"/>
              </w:rPr>
            </w:pPr>
            <w:r>
              <w:rPr>
                <w:rFonts w:hint="eastAsia" w:ascii="宋体" w:hAnsi="宋体" w:cs="宋体"/>
                <w:color w:val="auto"/>
                <w:highlight w:val="none"/>
              </w:rPr>
              <w:t>履约保证金提交期限的要求：</w:t>
            </w:r>
            <w:r>
              <w:rPr>
                <w:rFonts w:hint="eastAsia" w:ascii="宋体" w:hAnsi="宋体" w:cs="宋体"/>
                <w:color w:val="auto"/>
                <w:highlight w:val="none"/>
                <w:u w:val="single"/>
              </w:rPr>
              <w:t>见投标人须知前附表</w:t>
            </w:r>
            <w:r>
              <w:rPr>
                <w:rFonts w:hint="eastAsia" w:ascii="宋体" w:hAnsi="宋体" w:cs="宋体"/>
                <w:color w:val="auto"/>
                <w:highlight w:val="none"/>
              </w:rPr>
              <w:t>。</w:t>
            </w:r>
          </w:p>
          <w:p w14:paraId="3E71C083">
            <w:pPr>
              <w:spacing w:line="520" w:lineRule="exact"/>
              <w:jc w:val="left"/>
              <w:rPr>
                <w:rFonts w:ascii="宋体" w:hAnsi="宋体" w:cs="宋体"/>
                <w:color w:val="auto"/>
                <w:highlight w:val="none"/>
              </w:rPr>
            </w:pPr>
            <w:r>
              <w:rPr>
                <w:rFonts w:hint="eastAsia" w:ascii="宋体" w:hAnsi="宋体" w:cs="宋体"/>
                <w:color w:val="auto"/>
                <w:highlight w:val="none"/>
              </w:rPr>
              <w:t>履约保证金退还时限：</w:t>
            </w:r>
            <w:r>
              <w:rPr>
                <w:rFonts w:hint="eastAsia" w:ascii="宋体" w:hAnsi="宋体" w:cs="宋体"/>
                <w:color w:val="auto"/>
                <w:highlight w:val="none"/>
                <w:u w:val="single"/>
              </w:rPr>
              <w:t>见投标人须知前附表。</w:t>
            </w:r>
          </w:p>
        </w:tc>
      </w:tr>
    </w:tbl>
    <w:p w14:paraId="3A00018E">
      <w:pPr>
        <w:spacing w:line="520" w:lineRule="exact"/>
        <w:jc w:val="left"/>
        <w:rPr>
          <w:rFonts w:ascii="宋体" w:hAnsi="宋体" w:cs="宋体"/>
          <w:color w:val="auto"/>
          <w:highlight w:val="none"/>
        </w:rPr>
      </w:pPr>
      <w:r>
        <w:rPr>
          <w:rFonts w:hint="eastAsia" w:ascii="宋体" w:hAnsi="宋体" w:cs="宋体"/>
          <w:color w:val="auto"/>
          <w:highlight w:val="none"/>
        </w:rPr>
        <w:t>1.一般约定</w:t>
      </w:r>
    </w:p>
    <w:p w14:paraId="70E14CD6">
      <w:pPr>
        <w:spacing w:line="520" w:lineRule="exact"/>
        <w:jc w:val="left"/>
        <w:rPr>
          <w:rFonts w:ascii="宋体" w:hAnsi="宋体" w:cs="宋体"/>
          <w:color w:val="auto"/>
          <w:highlight w:val="none"/>
        </w:rPr>
      </w:pPr>
      <w:r>
        <w:rPr>
          <w:rFonts w:hint="eastAsia" w:ascii="宋体" w:hAnsi="宋体" w:cs="宋体"/>
          <w:color w:val="auto"/>
          <w:highlight w:val="none"/>
        </w:rPr>
        <w:t>1.1 词语定义</w:t>
      </w:r>
    </w:p>
    <w:p w14:paraId="53EE6905">
      <w:pPr>
        <w:spacing w:line="520" w:lineRule="exact"/>
        <w:jc w:val="left"/>
        <w:rPr>
          <w:rFonts w:ascii="宋体" w:hAnsi="宋体" w:cs="宋体"/>
          <w:color w:val="auto"/>
          <w:highlight w:val="none"/>
        </w:rPr>
      </w:pPr>
      <w:r>
        <w:rPr>
          <w:rFonts w:hint="eastAsia" w:ascii="宋体" w:hAnsi="宋体" w:cs="宋体"/>
          <w:color w:val="auto"/>
          <w:highlight w:val="none"/>
        </w:rPr>
        <w:t>1.1.1 合同</w:t>
      </w:r>
    </w:p>
    <w:p w14:paraId="690BA4F9">
      <w:pPr>
        <w:spacing w:line="520" w:lineRule="exact"/>
        <w:jc w:val="left"/>
        <w:rPr>
          <w:rFonts w:ascii="宋体" w:hAnsi="宋体" w:cs="宋体"/>
          <w:color w:val="auto"/>
          <w:highlight w:val="none"/>
        </w:rPr>
      </w:pPr>
      <w:r>
        <w:rPr>
          <w:rFonts w:hint="eastAsia" w:ascii="宋体" w:hAnsi="宋体" w:cs="宋体"/>
          <w:color w:val="auto"/>
          <w:highlight w:val="none"/>
        </w:rPr>
        <w:t>1.1.1.10 其他合同文件：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C494B98">
      <w:pPr>
        <w:spacing w:line="520" w:lineRule="exact"/>
        <w:jc w:val="left"/>
        <w:rPr>
          <w:rFonts w:ascii="宋体" w:hAnsi="宋体" w:cs="宋体"/>
          <w:color w:val="auto"/>
          <w:highlight w:val="none"/>
        </w:rPr>
      </w:pPr>
      <w:r>
        <w:rPr>
          <w:rFonts w:hint="eastAsia" w:ascii="宋体" w:hAnsi="宋体" w:cs="宋体"/>
          <w:color w:val="auto"/>
          <w:highlight w:val="none"/>
        </w:rPr>
        <w:t>1.1.9 工程</w:t>
      </w:r>
    </w:p>
    <w:p w14:paraId="1AEBB541">
      <w:pPr>
        <w:spacing w:line="520" w:lineRule="exact"/>
        <w:jc w:val="left"/>
        <w:rPr>
          <w:rFonts w:ascii="宋体" w:hAnsi="宋体" w:cs="宋体"/>
          <w:color w:val="auto"/>
          <w:highlight w:val="none"/>
        </w:rPr>
      </w:pPr>
      <w:r>
        <w:rPr>
          <w:rFonts w:hint="eastAsia" w:ascii="宋体" w:hAnsi="宋体" w:cs="宋体"/>
          <w:color w:val="auto"/>
          <w:highlight w:val="none"/>
        </w:rPr>
        <w:t>1.1.9.1 工程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1D4F865">
      <w:pPr>
        <w:spacing w:line="520" w:lineRule="exact"/>
        <w:jc w:val="left"/>
        <w:rPr>
          <w:rFonts w:ascii="宋体" w:hAnsi="宋体" w:cs="宋体"/>
          <w:color w:val="auto"/>
          <w:highlight w:val="none"/>
        </w:rPr>
      </w:pPr>
      <w:r>
        <w:rPr>
          <w:rFonts w:hint="eastAsia" w:ascii="宋体" w:hAnsi="宋体" w:cs="宋体"/>
          <w:color w:val="auto"/>
          <w:highlight w:val="none"/>
        </w:rPr>
        <w:t>1.1.9.2 施工场地（或称工地、施工现场）：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48C5597">
      <w:pPr>
        <w:spacing w:line="520" w:lineRule="exact"/>
        <w:jc w:val="left"/>
        <w:rPr>
          <w:rFonts w:ascii="宋体" w:hAnsi="宋体" w:cs="宋体"/>
          <w:color w:val="auto"/>
          <w:highlight w:val="none"/>
        </w:rPr>
      </w:pPr>
      <w:r>
        <w:rPr>
          <w:rFonts w:hint="eastAsia" w:ascii="宋体" w:hAnsi="宋体" w:cs="宋体"/>
          <w:color w:val="auto"/>
          <w:highlight w:val="none"/>
        </w:rPr>
        <w:t>1.1.13 其他不可抗力情形：</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C6F13FD">
      <w:pPr>
        <w:spacing w:line="520" w:lineRule="exact"/>
        <w:jc w:val="left"/>
        <w:rPr>
          <w:rFonts w:ascii="宋体" w:hAnsi="宋体" w:cs="宋体"/>
          <w:color w:val="auto"/>
          <w:highlight w:val="none"/>
        </w:rPr>
      </w:pPr>
      <w:r>
        <w:rPr>
          <w:rFonts w:hint="eastAsia" w:ascii="宋体" w:hAnsi="宋体" w:cs="宋体"/>
          <w:color w:val="auto"/>
          <w:highlight w:val="none"/>
        </w:rPr>
        <w:t>对通用合同条款中词语定义的不同约定：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DA3500">
      <w:pPr>
        <w:spacing w:line="520" w:lineRule="exact"/>
        <w:jc w:val="left"/>
        <w:rPr>
          <w:rFonts w:ascii="宋体" w:hAnsi="宋体" w:cs="宋体"/>
          <w:color w:val="auto"/>
          <w:highlight w:val="none"/>
        </w:rPr>
      </w:pPr>
      <w:r>
        <w:rPr>
          <w:rFonts w:hint="eastAsia" w:ascii="宋体" w:hAnsi="宋体" w:cs="宋体"/>
          <w:color w:val="auto"/>
          <w:highlight w:val="none"/>
        </w:rPr>
        <w:t>1.3 合同文件的优先顺序</w:t>
      </w:r>
    </w:p>
    <w:p w14:paraId="10F2B030">
      <w:pPr>
        <w:spacing w:line="520" w:lineRule="exact"/>
        <w:jc w:val="left"/>
        <w:rPr>
          <w:rFonts w:ascii="宋体" w:hAnsi="宋体" w:cs="宋体"/>
          <w:color w:val="auto"/>
          <w:highlight w:val="none"/>
        </w:rPr>
      </w:pPr>
      <w:r>
        <w:rPr>
          <w:rFonts w:hint="eastAsia" w:ascii="宋体" w:hAnsi="宋体" w:cs="宋体"/>
          <w:color w:val="auto"/>
          <w:highlight w:val="none"/>
        </w:rPr>
        <w:t>解释合同文件的优先顺序：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37C36AC">
      <w:pPr>
        <w:spacing w:line="520" w:lineRule="exact"/>
        <w:jc w:val="left"/>
        <w:rPr>
          <w:rFonts w:ascii="宋体" w:hAnsi="宋体" w:cs="宋体"/>
          <w:color w:val="auto"/>
          <w:highlight w:val="none"/>
        </w:rPr>
      </w:pPr>
      <w:r>
        <w:rPr>
          <w:rFonts w:hint="eastAsia" w:ascii="宋体" w:hAnsi="宋体" w:cs="宋体"/>
          <w:color w:val="auto"/>
          <w:highlight w:val="none"/>
        </w:rPr>
        <w:t>1.4 合同的生效及变更</w:t>
      </w:r>
    </w:p>
    <w:p w14:paraId="02AB4C5A">
      <w:pPr>
        <w:spacing w:line="520" w:lineRule="exact"/>
        <w:jc w:val="left"/>
        <w:rPr>
          <w:rFonts w:ascii="宋体" w:hAnsi="宋体" w:cs="宋体"/>
          <w:color w:val="auto"/>
          <w:highlight w:val="none"/>
        </w:rPr>
      </w:pPr>
      <w:r>
        <w:rPr>
          <w:rFonts w:hint="eastAsia" w:ascii="宋体" w:hAnsi="宋体" w:cs="宋体"/>
          <w:color w:val="auto"/>
          <w:highlight w:val="none"/>
        </w:rPr>
        <w:t>1.4.1 合同生效条件：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7A02DE">
      <w:pPr>
        <w:spacing w:line="520" w:lineRule="exact"/>
        <w:jc w:val="left"/>
        <w:rPr>
          <w:rFonts w:ascii="宋体" w:hAnsi="宋体" w:cs="宋体"/>
          <w:color w:val="auto"/>
          <w:highlight w:val="none"/>
        </w:rPr>
      </w:pPr>
      <w:r>
        <w:rPr>
          <w:rFonts w:hint="eastAsia" w:ascii="宋体" w:hAnsi="宋体" w:cs="宋体"/>
          <w:color w:val="auto"/>
          <w:highlight w:val="none"/>
        </w:rPr>
        <w:t>1.4.2 合同变更的方式：</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410051A9">
      <w:pPr>
        <w:spacing w:line="520" w:lineRule="exact"/>
        <w:jc w:val="left"/>
        <w:rPr>
          <w:rFonts w:ascii="宋体" w:hAnsi="宋体" w:cs="宋体"/>
          <w:color w:val="auto"/>
          <w:highlight w:val="none"/>
        </w:rPr>
      </w:pPr>
      <w:r>
        <w:rPr>
          <w:rFonts w:hint="eastAsia" w:ascii="宋体" w:hAnsi="宋体" w:cs="宋体"/>
          <w:color w:val="auto"/>
          <w:highlight w:val="none"/>
        </w:rPr>
        <w:t>1.5 联络</w:t>
      </w:r>
    </w:p>
    <w:p w14:paraId="5A6C9FFB">
      <w:pPr>
        <w:spacing w:line="520" w:lineRule="exact"/>
        <w:jc w:val="left"/>
        <w:rPr>
          <w:rFonts w:ascii="宋体" w:hAnsi="宋体" w:cs="宋体"/>
          <w:color w:val="auto"/>
          <w:highlight w:val="none"/>
        </w:rPr>
      </w:pPr>
      <w:r>
        <w:rPr>
          <w:rFonts w:hint="eastAsia" w:ascii="宋体" w:hAnsi="宋体" w:cs="宋体"/>
          <w:color w:val="auto"/>
          <w:highlight w:val="none"/>
        </w:rPr>
        <w:t>买方指定的联系人和联系方式</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18E4EE4">
      <w:pPr>
        <w:spacing w:line="520" w:lineRule="exact"/>
        <w:jc w:val="left"/>
        <w:rPr>
          <w:rFonts w:ascii="宋体" w:hAnsi="宋体" w:cs="宋体"/>
          <w:color w:val="auto"/>
          <w:highlight w:val="none"/>
        </w:rPr>
      </w:pPr>
      <w:r>
        <w:rPr>
          <w:rFonts w:hint="eastAsia" w:ascii="宋体" w:hAnsi="宋体" w:cs="宋体"/>
          <w:color w:val="auto"/>
          <w:highlight w:val="none"/>
        </w:rPr>
        <w:t>卖方指定的联系人和联系方式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4CC6F13">
      <w:pPr>
        <w:spacing w:line="520" w:lineRule="exact"/>
        <w:jc w:val="left"/>
        <w:rPr>
          <w:rFonts w:ascii="宋体" w:hAnsi="宋体" w:cs="宋体"/>
          <w:color w:val="auto"/>
          <w:highlight w:val="none"/>
        </w:rPr>
      </w:pPr>
      <w:r>
        <w:rPr>
          <w:rFonts w:hint="eastAsia" w:ascii="宋体" w:hAnsi="宋体" w:cs="宋体"/>
          <w:color w:val="auto"/>
          <w:highlight w:val="none"/>
        </w:rPr>
        <w:t>1.6 联合体</w:t>
      </w:r>
    </w:p>
    <w:p w14:paraId="698BE77F">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1.6.3 联合体各方对联合体牵头人的授权范围：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7B5B62">
      <w:pPr>
        <w:spacing w:line="520" w:lineRule="exact"/>
        <w:jc w:val="left"/>
        <w:rPr>
          <w:rFonts w:ascii="宋体" w:hAnsi="宋体" w:cs="宋体"/>
          <w:color w:val="auto"/>
          <w:spacing w:val="-2"/>
          <w:szCs w:val="21"/>
          <w:highlight w:val="none"/>
        </w:rPr>
      </w:pPr>
      <w:r>
        <w:rPr>
          <w:rFonts w:hint="eastAsia" w:ascii="宋体" w:hAnsi="宋体" w:cs="宋体"/>
          <w:color w:val="auto"/>
          <w:spacing w:val="-2"/>
          <w:szCs w:val="21"/>
          <w:highlight w:val="none"/>
        </w:rPr>
        <w:t>3.合同价格与支付</w:t>
      </w:r>
    </w:p>
    <w:p w14:paraId="33E954AD">
      <w:pPr>
        <w:spacing w:line="520" w:lineRule="exact"/>
        <w:jc w:val="left"/>
        <w:rPr>
          <w:rFonts w:ascii="宋体" w:hAnsi="宋体" w:cs="宋体"/>
          <w:color w:val="auto"/>
          <w:spacing w:val="-2"/>
          <w:szCs w:val="21"/>
          <w:highlight w:val="none"/>
        </w:rPr>
      </w:pPr>
      <w:r>
        <w:rPr>
          <w:rFonts w:hint="eastAsia" w:ascii="宋体" w:hAnsi="宋体" w:cs="宋体"/>
          <w:color w:val="auto"/>
          <w:spacing w:val="-2"/>
          <w:szCs w:val="21"/>
          <w:highlight w:val="none"/>
        </w:rPr>
        <w:t>3.1合同价格</w:t>
      </w:r>
    </w:p>
    <w:p w14:paraId="204C718A">
      <w:pPr>
        <w:widowControl/>
        <w:spacing w:line="440" w:lineRule="exact"/>
        <w:jc w:val="left"/>
        <w:rPr>
          <w:rFonts w:ascii="宋体" w:hAnsi="宋体" w:cs="宋体"/>
          <w:color w:val="auto"/>
          <w:spacing w:val="-2"/>
          <w:szCs w:val="21"/>
          <w:highlight w:val="none"/>
          <w:u w:val="single"/>
        </w:rPr>
      </w:pPr>
      <w:r>
        <w:rPr>
          <w:rFonts w:hint="eastAsia" w:ascii="宋体" w:hAnsi="宋体" w:cs="宋体"/>
          <w:color w:val="auto"/>
          <w:spacing w:val="-2"/>
          <w:szCs w:val="21"/>
          <w:highlight w:val="none"/>
        </w:rPr>
        <w:t>3.1.2合同价格形式：</w:t>
      </w:r>
      <w:r>
        <w:rPr>
          <w:rFonts w:hint="eastAsia" w:ascii="宋体" w:hAnsi="宋体" w:cs="宋体"/>
          <w:color w:val="auto"/>
          <w:spacing w:val="-2"/>
          <w:szCs w:val="21"/>
          <w:highlight w:val="none"/>
          <w:u w:val="single"/>
        </w:rPr>
        <w:t>固定单价，合同履行期间市场价格波动不调整合同价格的约定。 因招标人指令引起工程量的增减或变更，按实结算，结算总价不得高于</w:t>
      </w:r>
      <w:r>
        <w:rPr>
          <w:rFonts w:ascii="宋体" w:hAnsi="宋体" w:cs="宋体"/>
          <w:color w:val="auto"/>
          <w:spacing w:val="-2"/>
          <w:szCs w:val="21"/>
          <w:highlight w:val="none"/>
          <w:u w:val="single"/>
        </w:rPr>
        <w:t>818</w:t>
      </w:r>
      <w:r>
        <w:rPr>
          <w:rFonts w:hint="eastAsia" w:ascii="宋体" w:hAnsi="宋体" w:cs="宋体"/>
          <w:color w:val="auto"/>
          <w:spacing w:val="-2"/>
          <w:szCs w:val="21"/>
          <w:highlight w:val="none"/>
          <w:u w:val="single"/>
        </w:rPr>
        <w:t>万元</w:t>
      </w:r>
      <w:r>
        <w:rPr>
          <w:rFonts w:ascii="宋体" w:hAnsi="宋体" w:cs="宋体"/>
          <w:color w:val="auto"/>
          <w:spacing w:val="-2"/>
          <w:szCs w:val="21"/>
          <w:highlight w:val="none"/>
          <w:u w:val="single"/>
        </w:rPr>
        <w:t>*（1-</w:t>
      </w:r>
      <w:r>
        <w:rPr>
          <w:rFonts w:hint="eastAsia" w:ascii="宋体" w:hAnsi="宋体" w:cs="宋体"/>
          <w:color w:val="auto"/>
          <w:spacing w:val="-2"/>
          <w:szCs w:val="21"/>
          <w:highlight w:val="none"/>
          <w:u w:val="single"/>
        </w:rPr>
        <w:t>中标下浮率）。</w:t>
      </w:r>
    </w:p>
    <w:p w14:paraId="3CA3D645">
      <w:pPr>
        <w:widowControl/>
        <w:spacing w:line="440" w:lineRule="exact"/>
        <w:jc w:val="left"/>
        <w:rPr>
          <w:rFonts w:ascii="宋体" w:hAnsi="宋体" w:cs="宋体"/>
          <w:color w:val="auto"/>
          <w:spacing w:val="-2"/>
          <w:szCs w:val="21"/>
          <w:highlight w:val="none"/>
          <w:u w:val="single"/>
        </w:rPr>
      </w:pPr>
      <w:r>
        <w:rPr>
          <w:rFonts w:hint="eastAsia" w:ascii="宋体" w:hAnsi="宋体" w:cs="宋体"/>
          <w:color w:val="auto"/>
          <w:spacing w:val="-2"/>
          <w:szCs w:val="21"/>
          <w:highlight w:val="none"/>
          <w:u w:val="single"/>
        </w:rPr>
        <w:t>（1）因中标人施工图设计缺陷或不能满足发包人要求或未达到相关规范文件指标的或中标人施工组织不当导致的漏项、施工工艺变更、整改返工以及未通过相关验收等一系列由中标人自身原因造成的工程造价增加，由中标人自行承担，其产生的相关费用发包人不予承担。</w:t>
      </w:r>
    </w:p>
    <w:p w14:paraId="795C5D9A">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3.2 合同价款的支付</w:t>
      </w:r>
    </w:p>
    <w:p w14:paraId="5150B554">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买方应通过以下方式和比例向卖方支付合同价款：</w:t>
      </w:r>
    </w:p>
    <w:p w14:paraId="61A4C573">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3.2.1 预付款</w:t>
      </w:r>
    </w:p>
    <w:p w14:paraId="147989BB">
      <w:pPr>
        <w:spacing w:line="520" w:lineRule="exact"/>
        <w:rPr>
          <w:rFonts w:ascii="宋体" w:hAnsi="宋体" w:cs="宋体"/>
          <w:color w:val="auto"/>
          <w:spacing w:val="-1"/>
          <w:szCs w:val="21"/>
          <w:highlight w:val="none"/>
        </w:rPr>
      </w:pPr>
      <w:r>
        <w:rPr>
          <w:rFonts w:hint="eastAsia" w:ascii="宋体" w:hAnsi="宋体" w:cs="宋体"/>
          <w:color w:val="auto"/>
          <w:highlight w:val="none"/>
        </w:rPr>
        <w:t>预付款支付比例或金额</w:t>
      </w:r>
      <w:r>
        <w:rPr>
          <w:rFonts w:hint="eastAsia" w:ascii="宋体" w:hAnsi="宋体" w:cs="宋体"/>
          <w:color w:val="auto"/>
          <w:spacing w:val="-1"/>
          <w:szCs w:val="21"/>
          <w:highlight w:val="none"/>
        </w:rPr>
        <w:t>：</w:t>
      </w:r>
      <w:r>
        <w:rPr>
          <w:rFonts w:hint="eastAsia" w:ascii="宋体" w:hAnsi="宋体" w:cs="宋体"/>
          <w:color w:val="auto"/>
          <w:spacing w:val="-1"/>
          <w:szCs w:val="21"/>
          <w:highlight w:val="none"/>
          <w:u w:val="single"/>
        </w:rPr>
        <w:t>见《专用合同条款数据表》</w:t>
      </w:r>
      <w:r>
        <w:rPr>
          <w:rFonts w:hint="eastAsia" w:ascii="宋体" w:hAnsi="宋体" w:cs="宋体"/>
          <w:color w:val="auto"/>
          <w:spacing w:val="-1"/>
          <w:szCs w:val="21"/>
          <w:highlight w:val="none"/>
        </w:rPr>
        <w:t>；</w:t>
      </w:r>
    </w:p>
    <w:p w14:paraId="116D83E7">
      <w:pPr>
        <w:spacing w:line="520" w:lineRule="exact"/>
        <w:rPr>
          <w:rFonts w:ascii="宋体" w:hAnsi="宋体" w:cs="宋体"/>
          <w:color w:val="auto"/>
          <w:spacing w:val="-1"/>
          <w:szCs w:val="21"/>
          <w:highlight w:val="none"/>
        </w:rPr>
      </w:pPr>
      <w:r>
        <w:rPr>
          <w:rFonts w:hint="eastAsia" w:ascii="宋体" w:hAnsi="宋体" w:cs="宋体"/>
          <w:color w:val="auto"/>
          <w:highlight w:val="none"/>
        </w:rPr>
        <w:t>预付款支付期限</w:t>
      </w:r>
      <w:r>
        <w:rPr>
          <w:rFonts w:hint="eastAsia" w:ascii="宋体" w:hAnsi="宋体" w:cs="宋体"/>
          <w:color w:val="auto"/>
          <w:spacing w:val="-1"/>
          <w:szCs w:val="21"/>
          <w:highlight w:val="none"/>
        </w:rPr>
        <w:t>：</w:t>
      </w:r>
      <w:r>
        <w:rPr>
          <w:rFonts w:hint="eastAsia" w:ascii="宋体" w:hAnsi="宋体" w:cs="宋体"/>
          <w:color w:val="auto"/>
          <w:spacing w:val="-1"/>
          <w:szCs w:val="21"/>
          <w:highlight w:val="none"/>
          <w:u w:val="single"/>
        </w:rPr>
        <w:t>见《专用合同条款数据表》</w:t>
      </w:r>
      <w:r>
        <w:rPr>
          <w:rFonts w:hint="eastAsia" w:ascii="宋体" w:hAnsi="宋体" w:cs="宋体"/>
          <w:color w:val="auto"/>
          <w:spacing w:val="-1"/>
          <w:szCs w:val="21"/>
          <w:highlight w:val="none"/>
        </w:rPr>
        <w:t>；</w:t>
      </w:r>
    </w:p>
    <w:p w14:paraId="4B62810A">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预付款扣回的方式：</w:t>
      </w:r>
      <w:r>
        <w:rPr>
          <w:rFonts w:hint="eastAsia" w:ascii="宋体" w:hAnsi="宋体" w:cs="宋体"/>
          <w:color w:val="auto"/>
          <w:spacing w:val="-1"/>
          <w:szCs w:val="21"/>
          <w:highlight w:val="none"/>
          <w:u w:val="single"/>
        </w:rPr>
        <w:t>见《专用合同条款数据表》</w:t>
      </w:r>
      <w:r>
        <w:rPr>
          <w:rFonts w:hint="eastAsia" w:ascii="宋体" w:hAnsi="宋体" w:cs="宋体"/>
          <w:color w:val="auto"/>
          <w:spacing w:val="-1"/>
          <w:szCs w:val="21"/>
          <w:highlight w:val="none"/>
        </w:rPr>
        <w:t>。</w:t>
      </w:r>
    </w:p>
    <w:p w14:paraId="2EECFE57">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3.2.2交货款</w:t>
      </w:r>
    </w:p>
    <w:p w14:paraId="4D630296">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支付时间：</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07D948D2">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支付比例或金额：</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70BD08CD">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支付单据：</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14241F7D">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3.2.3验收款</w:t>
      </w:r>
    </w:p>
    <w:p w14:paraId="2BE63578">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支付时间：</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531CCC3B">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支付比例或金额：</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14A678F0">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支付单据：</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776F8151">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3.2.4结算款</w:t>
      </w:r>
    </w:p>
    <w:p w14:paraId="6DE85284">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支付时间：</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384A17A8">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支付比例或金额：</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5442DB18">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支付单据：</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w:t>
      </w:r>
    </w:p>
    <w:p w14:paraId="20CFB455">
      <w:pPr>
        <w:spacing w:line="440" w:lineRule="exact"/>
        <w:ind w:firstLine="416" w:firstLineChars="200"/>
        <w:jc w:val="left"/>
        <w:rPr>
          <w:rFonts w:ascii="宋体" w:hAnsi="宋体" w:cs="宋体"/>
          <w:color w:val="auto"/>
          <w:spacing w:val="-1"/>
          <w:szCs w:val="21"/>
          <w:highlight w:val="none"/>
        </w:rPr>
      </w:pPr>
      <w:r>
        <w:rPr>
          <w:rFonts w:hint="eastAsia" w:ascii="宋体" w:hAnsi="宋体" w:cs="宋体"/>
          <w:color w:val="auto"/>
          <w:spacing w:val="-1"/>
          <w:szCs w:val="21"/>
          <w:highlight w:val="none"/>
        </w:rPr>
        <w:t>在不适用通用合同条款所约定的支付方式时，其他支付方式的约定：在具备施工条件的前提下，买方在合同签订后一个月内或不迟于约定的开工日期前7天内预付工程款（合同总价</w:t>
      </w:r>
      <w:r>
        <w:rPr>
          <w:rFonts w:ascii="宋体" w:hAnsi="宋体" w:cs="宋体"/>
          <w:color w:val="auto"/>
          <w:spacing w:val="-1"/>
          <w:szCs w:val="21"/>
          <w:highlight w:val="none"/>
        </w:rPr>
        <w:t>*10%）</w:t>
      </w:r>
      <w:r>
        <w:rPr>
          <w:rFonts w:hint="eastAsia" w:ascii="宋体" w:hAnsi="宋体" w:cs="宋体"/>
          <w:color w:val="auto"/>
          <w:spacing w:val="-1"/>
          <w:szCs w:val="21"/>
          <w:highlight w:val="none"/>
        </w:rPr>
        <w:t>。完成水厂精准加药系统改造及西涧湖水厂二车间沉淀池进水管改造后付至已完成合格工程量价款的85%</w:t>
      </w:r>
      <w:r>
        <w:rPr>
          <w:rFonts w:hint="eastAsia" w:ascii="宋体" w:hAnsi="宋体" w:cs="宋体"/>
          <w:color w:val="auto"/>
          <w:spacing w:val="-1"/>
          <w:szCs w:val="21"/>
          <w:highlight w:val="none"/>
          <w:lang w:eastAsia="zh-CN"/>
        </w:rPr>
        <w:t>，</w:t>
      </w:r>
      <w:r>
        <w:rPr>
          <w:rFonts w:hint="eastAsia" w:ascii="宋体" w:hAnsi="宋体" w:cs="宋体"/>
          <w:b/>
          <w:bCs/>
          <w:color w:val="auto"/>
          <w:szCs w:val="21"/>
          <w:highlight w:val="none"/>
        </w:rPr>
        <w:t>所有设备供货、安装、调式及验收合格并经审计结束后付至结算价款的98%，剩余2%作为质量保证金，</w:t>
      </w:r>
      <w:r>
        <w:rPr>
          <w:rFonts w:hint="eastAsia" w:ascii="宋体" w:hAnsi="宋体" w:cs="宋体"/>
          <w:color w:val="auto"/>
          <w:spacing w:val="-1"/>
          <w:szCs w:val="21"/>
          <w:highlight w:val="none"/>
        </w:rPr>
        <w:t>缺陷责任期（自竣工验收合格之日起满2年）满一个月内付清</w:t>
      </w:r>
      <w:r>
        <w:rPr>
          <w:rFonts w:hint="eastAsia" w:ascii="宋体" w:hAnsi="宋体" w:cs="宋体"/>
          <w:b/>
          <w:bCs/>
          <w:color w:val="auto"/>
          <w:szCs w:val="21"/>
          <w:highlight w:val="none"/>
        </w:rPr>
        <w:t>。</w:t>
      </w:r>
      <w:r>
        <w:rPr>
          <w:rFonts w:hint="eastAsia" w:ascii="宋体" w:hAnsi="宋体" w:cs="宋体"/>
          <w:color w:val="auto"/>
          <w:spacing w:val="-1"/>
          <w:szCs w:val="21"/>
          <w:highlight w:val="none"/>
        </w:rPr>
        <w:t>质量保证金支持保函（银行保函、担保机构担保、保证保险）使用。采用保函的不再从工程进度款中扣留质量保证金，保函有效期须与工程缺陷责任期截止时间保持一致。</w:t>
      </w:r>
    </w:p>
    <w:p w14:paraId="0C5988AD">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5.包装、标记、运输和交付</w:t>
      </w:r>
    </w:p>
    <w:p w14:paraId="547903F4">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5.1 包装</w:t>
      </w:r>
    </w:p>
    <w:p w14:paraId="0514A91F">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5.1.1 包装的其他要求：</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 xml:space="preserve"> 。</w:t>
      </w:r>
    </w:p>
    <w:p w14:paraId="35FE97EE">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5.1.2 买方是否需将包装物退还给卖方：</w:t>
      </w:r>
      <w:r>
        <w:rPr>
          <w:rFonts w:hint="eastAsia" w:ascii="宋体" w:hAnsi="宋体" w:cs="宋体"/>
          <w:color w:val="auto"/>
          <w:spacing w:val="-1"/>
          <w:szCs w:val="21"/>
          <w:highlight w:val="none"/>
          <w:u w:val="single"/>
        </w:rPr>
        <w:t xml:space="preserve">  根据现场实际情况在另行确定  </w:t>
      </w:r>
      <w:r>
        <w:rPr>
          <w:rFonts w:hint="eastAsia" w:ascii="宋体" w:hAnsi="宋体" w:cs="宋体"/>
          <w:color w:val="auto"/>
          <w:spacing w:val="-1"/>
          <w:szCs w:val="21"/>
          <w:highlight w:val="none"/>
        </w:rPr>
        <w:t xml:space="preserve"> 。</w:t>
      </w:r>
    </w:p>
    <w:p w14:paraId="5546DE8C">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5.2 标记</w:t>
      </w:r>
    </w:p>
    <w:p w14:paraId="7C0B23D7">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5.2.1标记要求：</w:t>
      </w:r>
      <w:r>
        <w:rPr>
          <w:rFonts w:hint="eastAsia" w:ascii="宋体" w:hAnsi="宋体" w:cs="宋体"/>
          <w:color w:val="auto"/>
          <w:spacing w:val="-1"/>
          <w:szCs w:val="21"/>
          <w:highlight w:val="none"/>
          <w:u w:val="single"/>
        </w:rPr>
        <w:t xml:space="preserve"> 执行通用合同条款并满足设备技术规范     </w:t>
      </w:r>
      <w:r>
        <w:rPr>
          <w:rFonts w:hint="eastAsia" w:ascii="宋体" w:hAnsi="宋体" w:cs="宋体"/>
          <w:color w:val="auto"/>
          <w:spacing w:val="-1"/>
          <w:szCs w:val="21"/>
          <w:highlight w:val="none"/>
        </w:rPr>
        <w:t>。</w:t>
      </w:r>
    </w:p>
    <w:p w14:paraId="01F40576">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5.4 交付</w:t>
      </w:r>
    </w:p>
    <w:p w14:paraId="238CA7BC">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5.4.1 交付时间、批次：</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 xml:space="preserve">。 </w:t>
      </w:r>
    </w:p>
    <w:p w14:paraId="3B7D0FF3">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交付地点</w:t>
      </w:r>
      <w:r>
        <w:rPr>
          <w:rFonts w:hint="eastAsia" w:ascii="宋体" w:hAnsi="宋体" w:cs="宋体"/>
          <w:color w:val="auto"/>
          <w:spacing w:val="-1"/>
          <w:szCs w:val="21"/>
          <w:highlight w:val="none"/>
          <w:u w:val="single"/>
        </w:rPr>
        <w:t xml:space="preserve">：项目所在地  </w:t>
      </w:r>
      <w:r>
        <w:rPr>
          <w:rFonts w:hint="eastAsia" w:ascii="宋体" w:hAnsi="宋体" w:cs="宋体"/>
          <w:color w:val="auto"/>
          <w:spacing w:val="-1"/>
          <w:szCs w:val="21"/>
          <w:highlight w:val="none"/>
        </w:rPr>
        <w:t>。</w:t>
      </w:r>
    </w:p>
    <w:p w14:paraId="12856C35">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交付方式：</w:t>
      </w:r>
      <w:r>
        <w:rPr>
          <w:rFonts w:hint="eastAsia" w:ascii="宋体" w:hAnsi="宋体" w:cs="宋体"/>
          <w:color w:val="auto"/>
          <w:spacing w:val="-1"/>
          <w:szCs w:val="21"/>
          <w:highlight w:val="none"/>
          <w:u w:val="single"/>
        </w:rPr>
        <w:t xml:space="preserve">  现场交付  </w:t>
      </w:r>
      <w:r>
        <w:rPr>
          <w:rFonts w:hint="eastAsia" w:ascii="宋体" w:hAnsi="宋体" w:cs="宋体"/>
          <w:color w:val="auto"/>
          <w:spacing w:val="-1"/>
          <w:szCs w:val="21"/>
          <w:highlight w:val="none"/>
        </w:rPr>
        <w:t>。</w:t>
      </w:r>
    </w:p>
    <w:p w14:paraId="33D17697">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5.4.3 技术资料免费补齐的时间：</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w:t>
      </w:r>
    </w:p>
    <w:p w14:paraId="19C68E80">
      <w:pPr>
        <w:spacing w:line="520" w:lineRule="exact"/>
        <w:rPr>
          <w:rFonts w:ascii="宋体" w:hAnsi="宋体" w:cs="宋体"/>
          <w:color w:val="auto"/>
          <w:spacing w:val="-1"/>
          <w:szCs w:val="21"/>
          <w:highlight w:val="none"/>
        </w:rPr>
      </w:pPr>
      <w:r>
        <w:rPr>
          <w:rFonts w:hint="eastAsia" w:ascii="宋体" w:hAnsi="宋体" w:cs="宋体"/>
          <w:color w:val="auto"/>
          <w:spacing w:val="-1"/>
          <w:szCs w:val="21"/>
          <w:highlight w:val="none"/>
        </w:rPr>
        <w:t>6.开箱检验、安装、调试、考核、验收</w:t>
      </w:r>
    </w:p>
    <w:p w14:paraId="39A22F5F">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6.1开箱检验</w:t>
      </w:r>
    </w:p>
    <w:p w14:paraId="64E30FA8">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6.1.1开箱检验方式：</w:t>
      </w:r>
      <w:r>
        <w:rPr>
          <w:rFonts w:hint="eastAsia" w:ascii="宋体" w:hAnsi="宋体" w:cs="宋体"/>
          <w:color w:val="auto"/>
          <w:spacing w:val="-1"/>
          <w:szCs w:val="21"/>
          <w:highlight w:val="none"/>
          <w:u w:val="single"/>
        </w:rPr>
        <w:t>合同设备交付时。</w:t>
      </w:r>
    </w:p>
    <w:p w14:paraId="37C7D08D">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6.1.2开箱检验地点：</w:t>
      </w:r>
      <w:r>
        <w:rPr>
          <w:rFonts w:hint="eastAsia" w:ascii="宋体" w:hAnsi="宋体" w:cs="宋体"/>
          <w:color w:val="auto"/>
          <w:spacing w:val="-1"/>
          <w:szCs w:val="21"/>
          <w:highlight w:val="none"/>
          <w:u w:val="single"/>
        </w:rPr>
        <w:t>项目所在地。</w:t>
      </w:r>
    </w:p>
    <w:p w14:paraId="494BE3BE">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6.2安装、调试</w:t>
      </w:r>
    </w:p>
    <w:p w14:paraId="03E743B3">
      <w:pPr>
        <w:spacing w:line="520" w:lineRule="exact"/>
        <w:jc w:val="left"/>
        <w:rPr>
          <w:rFonts w:ascii="宋体" w:hAnsi="宋体" w:cs="宋体"/>
          <w:color w:val="auto"/>
          <w:spacing w:val="-1"/>
          <w:szCs w:val="21"/>
          <w:highlight w:val="none"/>
          <w:u w:val="single"/>
        </w:rPr>
      </w:pPr>
      <w:r>
        <w:rPr>
          <w:rFonts w:hint="eastAsia" w:ascii="宋体" w:hAnsi="宋体" w:cs="宋体"/>
          <w:color w:val="auto"/>
          <w:spacing w:val="-1"/>
          <w:szCs w:val="21"/>
          <w:highlight w:val="none"/>
        </w:rPr>
        <w:t>6.2.1安装、调试方式：</w:t>
      </w:r>
      <w:r>
        <w:rPr>
          <w:rFonts w:hint="eastAsia" w:ascii="宋体" w:hAnsi="宋体" w:cs="宋体"/>
          <w:color w:val="auto"/>
          <w:spacing w:val="-1"/>
          <w:szCs w:val="21"/>
          <w:highlight w:val="none"/>
          <w:u w:val="single"/>
        </w:rPr>
        <w:t>卖</w:t>
      </w:r>
      <w:r>
        <w:rPr>
          <w:color w:val="auto"/>
          <w:spacing w:val="-2"/>
          <w:szCs w:val="21"/>
          <w:highlight w:val="none"/>
          <w:u w:val="single"/>
        </w:rPr>
        <w:t>方按照合同约定完成合同设备的安装、调试工作</w:t>
      </w:r>
    </w:p>
    <w:p w14:paraId="489B7FD2">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6.2.2安装、调试中合同设备运行需要的用水、用电、其他动力和原材料（如需要）等均由买方承担。</w:t>
      </w:r>
    </w:p>
    <w:p w14:paraId="220352E1">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6.3考核</w:t>
      </w:r>
    </w:p>
    <w:p w14:paraId="51D45628">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6.3.1安装、调试完成后，双方应对合同设备进行考核，以确定合同设备是否达到合同约定的技术性能考核指标。考核中合同设备运行需要的用水、用电、其他动力和原材料（如需要）等均由买方承担。</w:t>
      </w:r>
    </w:p>
    <w:p w14:paraId="1A9C1E39">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7.技术服务</w:t>
      </w:r>
    </w:p>
    <w:p w14:paraId="09EA492F">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7.2 卖方技术人员的费用承担：</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 xml:space="preserve"> 。</w:t>
      </w:r>
    </w:p>
    <w:p w14:paraId="09222389">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8.质量保证期</w:t>
      </w:r>
    </w:p>
    <w:p w14:paraId="5B71EF67">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8.1 质量保证期：</w:t>
      </w:r>
      <w:r>
        <w:rPr>
          <w:rFonts w:hint="eastAsia" w:ascii="宋体" w:hAnsi="宋体" w:cs="宋体"/>
          <w:color w:val="auto"/>
          <w:spacing w:val="-1"/>
          <w:szCs w:val="21"/>
          <w:highlight w:val="none"/>
          <w:u w:val="single"/>
        </w:rPr>
        <w:t>见《专用合同条款数据表》</w:t>
      </w:r>
      <w:r>
        <w:rPr>
          <w:rFonts w:hint="eastAsia" w:ascii="宋体" w:hAnsi="宋体" w:cs="宋体"/>
          <w:color w:val="auto"/>
          <w:spacing w:val="-1"/>
          <w:szCs w:val="21"/>
          <w:highlight w:val="none"/>
        </w:rPr>
        <w:t>。</w:t>
      </w:r>
    </w:p>
    <w:p w14:paraId="70FE3C08">
      <w:pPr>
        <w:spacing w:line="520" w:lineRule="exact"/>
        <w:jc w:val="left"/>
        <w:rPr>
          <w:rFonts w:ascii="宋体" w:hAnsi="宋体" w:cs="宋体"/>
          <w:color w:val="auto"/>
          <w:highlight w:val="none"/>
        </w:rPr>
      </w:pPr>
      <w:r>
        <w:rPr>
          <w:rFonts w:hint="eastAsia" w:ascii="宋体" w:hAnsi="宋体" w:cs="宋体"/>
          <w:color w:val="auto"/>
          <w:highlight w:val="none"/>
        </w:rPr>
        <w:t>质量保证金金额：结算价款*2%</w:t>
      </w:r>
    </w:p>
    <w:p w14:paraId="753F9E28">
      <w:pPr>
        <w:spacing w:line="520" w:lineRule="exact"/>
        <w:jc w:val="left"/>
        <w:rPr>
          <w:rFonts w:ascii="宋体" w:hAnsi="宋体" w:cs="宋体"/>
          <w:color w:val="auto"/>
          <w:spacing w:val="-1"/>
          <w:szCs w:val="21"/>
          <w:highlight w:val="none"/>
        </w:rPr>
      </w:pPr>
      <w:r>
        <w:rPr>
          <w:rFonts w:hint="eastAsia" w:ascii="宋体" w:hAnsi="宋体" w:cs="宋体"/>
          <w:color w:val="auto"/>
          <w:highlight w:val="none"/>
        </w:rPr>
        <w:t>质量保证金支持保函（银行保函、担保机构担保、保证保险）使用。采用保函的不再从工程进度款中扣留质量保证金，保函有效期须与工程缺陷责任期截止时间保持一致。</w:t>
      </w:r>
    </w:p>
    <w:p w14:paraId="61C8D0CE">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10.履约保证金</w:t>
      </w:r>
    </w:p>
    <w:p w14:paraId="6B22B08C">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履约保证金：见《专用合同条款数据表》。</w:t>
      </w:r>
    </w:p>
    <w:p w14:paraId="67A1F83D">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履约保证金的形式：现金（银行转账、银行电汇）或银行保函或担保机构担保或保证保险。</w:t>
      </w:r>
    </w:p>
    <w:p w14:paraId="7BE3A2D2">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履约保证金的金额：见《专用合同条款数据表》。</w:t>
      </w:r>
    </w:p>
    <w:p w14:paraId="3179D5E0">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履约保证金提交期限的要求：见《专用合同条款数据表》 履约保证金的期限：见《专用合同条款数据表》。</w:t>
      </w:r>
    </w:p>
    <w:p w14:paraId="143BEDFB">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履约保证金退还时限：见《专用合同条款数据表》。</w:t>
      </w:r>
    </w:p>
    <w:p w14:paraId="5C57C3B4">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11.保证</w:t>
      </w:r>
    </w:p>
    <w:p w14:paraId="51B7A47E">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11.4 合同货物技术规格、质量标准的特殊要求：</w:t>
      </w:r>
      <w:r>
        <w:rPr>
          <w:rFonts w:hint="eastAsia" w:ascii="宋体" w:hAnsi="宋体" w:cs="宋体"/>
          <w:color w:val="auto"/>
          <w:spacing w:val="-1"/>
          <w:szCs w:val="21"/>
          <w:highlight w:val="none"/>
          <w:u w:val="single"/>
        </w:rPr>
        <w:t xml:space="preserve">  满足设备技术规范    </w:t>
      </w:r>
      <w:r>
        <w:rPr>
          <w:rFonts w:hint="eastAsia" w:ascii="宋体" w:hAnsi="宋体" w:cs="宋体"/>
          <w:color w:val="auto"/>
          <w:spacing w:val="-1"/>
          <w:szCs w:val="21"/>
          <w:highlight w:val="none"/>
        </w:rPr>
        <w:t>。</w:t>
      </w:r>
    </w:p>
    <w:p w14:paraId="39251787">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14.违约责任</w:t>
      </w:r>
    </w:p>
    <w:p w14:paraId="4016FBAC">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14.2 迟延交付违约金的计算方法：</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w:t>
      </w:r>
    </w:p>
    <w:p w14:paraId="2F79B50E">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14.3 迟延付款违约金的计算方法：</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 xml:space="preserve"> 。</w:t>
      </w:r>
    </w:p>
    <w:p w14:paraId="55B1F9C0">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15.合同的解除</w:t>
      </w:r>
    </w:p>
    <w:p w14:paraId="0B665B24">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合同解除的其他情形：</w:t>
      </w:r>
      <w:r>
        <w:rPr>
          <w:rFonts w:hint="eastAsia" w:ascii="宋体" w:hAnsi="宋体" w:cs="宋体"/>
          <w:color w:val="auto"/>
          <w:spacing w:val="-1"/>
          <w:szCs w:val="21"/>
          <w:highlight w:val="none"/>
          <w:u w:val="single"/>
        </w:rPr>
        <w:t xml:space="preserve">  执行通用合同条款    </w:t>
      </w:r>
      <w:r>
        <w:rPr>
          <w:rFonts w:hint="eastAsia" w:ascii="宋体" w:hAnsi="宋体" w:cs="宋体"/>
          <w:color w:val="auto"/>
          <w:spacing w:val="-1"/>
          <w:szCs w:val="21"/>
          <w:highlight w:val="none"/>
        </w:rPr>
        <w:t>。</w:t>
      </w:r>
    </w:p>
    <w:p w14:paraId="7D09F460">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17.争议的解决</w:t>
      </w:r>
    </w:p>
    <w:p w14:paraId="53851D6F">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因合同引起的或与合同有关的任何争议，按下列第</w:t>
      </w:r>
      <w:r>
        <w:rPr>
          <w:rFonts w:hint="eastAsia" w:ascii="宋体" w:hAnsi="宋体" w:cs="宋体"/>
          <w:color w:val="auto"/>
          <w:spacing w:val="-1"/>
          <w:szCs w:val="21"/>
          <w:highlight w:val="none"/>
          <w:u w:val="single"/>
        </w:rPr>
        <w:t xml:space="preserve">  （2）   </w:t>
      </w:r>
      <w:r>
        <w:rPr>
          <w:rFonts w:hint="eastAsia" w:ascii="宋体" w:hAnsi="宋体" w:cs="宋体"/>
          <w:color w:val="auto"/>
          <w:spacing w:val="-1"/>
          <w:szCs w:val="21"/>
          <w:highlight w:val="none"/>
        </w:rPr>
        <w:t>种方式解决：</w:t>
      </w:r>
    </w:p>
    <w:p w14:paraId="1F36905F">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（1）向</w:t>
      </w:r>
      <w:r>
        <w:rPr>
          <w:rFonts w:hint="eastAsia" w:ascii="宋体" w:hAnsi="宋体" w:cs="宋体"/>
          <w:color w:val="auto"/>
          <w:spacing w:val="-1"/>
          <w:szCs w:val="21"/>
          <w:highlight w:val="none"/>
          <w:u w:val="single"/>
        </w:rPr>
        <w:t xml:space="preserve">  </w:t>
      </w:r>
      <w:r>
        <w:rPr>
          <w:rFonts w:ascii="宋体" w:hAnsi="宋体" w:cs="宋体"/>
          <w:color w:val="auto"/>
          <w:spacing w:val="-1"/>
          <w:szCs w:val="21"/>
          <w:highlight w:val="none"/>
          <w:u w:val="single"/>
        </w:rPr>
        <w:t xml:space="preserve">  </w:t>
      </w:r>
      <w:r>
        <w:rPr>
          <w:rFonts w:hint="eastAsia" w:ascii="宋体" w:hAnsi="宋体" w:cs="宋体"/>
          <w:color w:val="auto"/>
          <w:spacing w:val="-1"/>
          <w:szCs w:val="21"/>
          <w:highlight w:val="none"/>
          <w:u w:val="single"/>
        </w:rPr>
        <w:t xml:space="preserve">建设单位所在地  </w:t>
      </w:r>
      <w:r>
        <w:rPr>
          <w:rFonts w:ascii="宋体" w:hAnsi="宋体" w:cs="宋体"/>
          <w:color w:val="auto"/>
          <w:spacing w:val="-1"/>
          <w:szCs w:val="21"/>
          <w:highlight w:val="none"/>
          <w:u w:val="single"/>
        </w:rPr>
        <w:t xml:space="preserve"> </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rPr>
        <w:t>仲裁委员会申请仲裁；</w:t>
      </w:r>
    </w:p>
    <w:p w14:paraId="452C90C4">
      <w:pPr>
        <w:spacing w:line="520" w:lineRule="exact"/>
        <w:jc w:val="left"/>
        <w:rPr>
          <w:rFonts w:ascii="宋体" w:hAnsi="宋体" w:cs="宋体"/>
          <w:color w:val="auto"/>
          <w:spacing w:val="-1"/>
          <w:szCs w:val="21"/>
          <w:highlight w:val="none"/>
        </w:rPr>
      </w:pPr>
      <w:r>
        <w:rPr>
          <w:rFonts w:hint="eastAsia" w:ascii="宋体" w:hAnsi="宋体" w:cs="宋体"/>
          <w:color w:val="auto"/>
          <w:spacing w:val="-1"/>
          <w:szCs w:val="21"/>
          <w:highlight w:val="none"/>
        </w:rPr>
        <w:t>（2）向</w:t>
      </w:r>
      <w:r>
        <w:rPr>
          <w:rFonts w:hint="eastAsia" w:ascii="宋体" w:hAnsi="宋体" w:cs="宋体"/>
          <w:color w:val="auto"/>
          <w:spacing w:val="-1"/>
          <w:szCs w:val="21"/>
          <w:highlight w:val="none"/>
          <w:u w:val="single"/>
        </w:rPr>
        <w:t xml:space="preserve">    建设单位所在地        </w:t>
      </w:r>
      <w:r>
        <w:rPr>
          <w:rFonts w:hint="eastAsia" w:ascii="宋体" w:hAnsi="宋体" w:cs="宋体"/>
          <w:color w:val="auto"/>
          <w:spacing w:val="-1"/>
          <w:szCs w:val="21"/>
          <w:highlight w:val="none"/>
        </w:rPr>
        <w:t>人民法院起诉。</w:t>
      </w:r>
    </w:p>
    <w:p w14:paraId="7B88476B">
      <w:pPr>
        <w:spacing w:line="520" w:lineRule="exact"/>
        <w:jc w:val="left"/>
        <w:rPr>
          <w:rFonts w:ascii="宋体" w:hAnsi="宋体" w:cs="宋体"/>
          <w:color w:val="auto"/>
          <w:spacing w:val="-1"/>
          <w:szCs w:val="21"/>
          <w:highlight w:val="none"/>
        </w:rPr>
      </w:pPr>
    </w:p>
    <w:p w14:paraId="6EC1E679">
      <w:pPr>
        <w:spacing w:line="520" w:lineRule="exact"/>
        <w:jc w:val="left"/>
        <w:rPr>
          <w:rFonts w:ascii="宋体" w:hAnsi="宋体" w:cs="宋体"/>
          <w:color w:val="auto"/>
          <w:spacing w:val="-1"/>
          <w:szCs w:val="21"/>
          <w:highlight w:val="none"/>
        </w:rPr>
      </w:pPr>
    </w:p>
    <w:p w14:paraId="030DBE9F">
      <w:pPr>
        <w:rPr>
          <w:b/>
          <w:bCs/>
          <w:color w:val="auto"/>
          <w:sz w:val="28"/>
          <w:szCs w:val="28"/>
          <w:highlight w:val="none"/>
        </w:rPr>
      </w:pPr>
      <w:r>
        <w:rPr>
          <w:rFonts w:hint="eastAsia"/>
          <w:b/>
          <w:bCs/>
          <w:color w:val="auto"/>
          <w:sz w:val="28"/>
          <w:szCs w:val="28"/>
          <w:highlight w:val="none"/>
        </w:rPr>
        <w:br w:type="page"/>
      </w:r>
    </w:p>
    <w:p w14:paraId="51C16AAE">
      <w:pPr>
        <w:jc w:val="center"/>
        <w:rPr>
          <w:rFonts w:ascii="仿宋_GB2312" w:hAnsi="黑体" w:eastAsia="仿宋_GB2312"/>
          <w:color w:val="auto"/>
          <w:highlight w:val="none"/>
        </w:rPr>
      </w:pPr>
      <w:r>
        <w:rPr>
          <w:rFonts w:hint="eastAsia"/>
          <w:b/>
          <w:bCs/>
          <w:color w:val="auto"/>
          <w:sz w:val="28"/>
          <w:szCs w:val="28"/>
          <w:highlight w:val="none"/>
        </w:rPr>
        <w:t>第三节  合同附件格式</w:t>
      </w:r>
    </w:p>
    <w:p w14:paraId="687EFBDE">
      <w:pPr>
        <w:outlineLvl w:val="1"/>
        <w:rPr>
          <w:rFonts w:ascii="仿宋_GB2312" w:hAnsi="黑体" w:eastAsia="仿宋_GB2312"/>
          <w:color w:val="auto"/>
          <w:highlight w:val="none"/>
        </w:rPr>
      </w:pPr>
    </w:p>
    <w:p w14:paraId="2B3AA378">
      <w:pPr>
        <w:spacing w:line="560" w:lineRule="exact"/>
        <w:outlineLvl w:val="1"/>
        <w:rPr>
          <w:rFonts w:ascii="宋体" w:hAnsi="宋体" w:cs="宋体"/>
          <w:b/>
          <w:bCs/>
          <w:color w:val="auto"/>
          <w:sz w:val="28"/>
          <w:szCs w:val="36"/>
          <w:highlight w:val="none"/>
        </w:rPr>
      </w:pPr>
      <w:r>
        <w:rPr>
          <w:rFonts w:hint="eastAsia" w:ascii="宋体" w:hAnsi="宋体" w:cs="宋体"/>
          <w:b/>
          <w:bCs/>
          <w:color w:val="auto"/>
          <w:sz w:val="28"/>
          <w:szCs w:val="36"/>
          <w:highlight w:val="none"/>
        </w:rPr>
        <w:t>附件一：合同协议书</w:t>
      </w:r>
    </w:p>
    <w:p w14:paraId="10DA2F18">
      <w:pPr>
        <w:spacing w:line="560" w:lineRule="exact"/>
        <w:jc w:val="center"/>
        <w:outlineLvl w:val="1"/>
        <w:rPr>
          <w:rFonts w:ascii="宋体" w:hAnsi="宋体" w:cs="宋体"/>
          <w:b/>
          <w:bCs/>
          <w:color w:val="auto"/>
          <w:sz w:val="28"/>
          <w:szCs w:val="36"/>
          <w:highlight w:val="none"/>
        </w:rPr>
      </w:pPr>
      <w:r>
        <w:rPr>
          <w:rFonts w:hint="eastAsia" w:ascii="宋体" w:hAnsi="宋体" w:cs="宋体"/>
          <w:b/>
          <w:bCs/>
          <w:color w:val="auto"/>
          <w:sz w:val="28"/>
          <w:szCs w:val="36"/>
          <w:highlight w:val="none"/>
        </w:rPr>
        <w:t>合同协议书</w:t>
      </w:r>
    </w:p>
    <w:p w14:paraId="05E8226D">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（买方名称，以下简称“买方 ”）为获得</w:t>
      </w:r>
      <w:r>
        <w:rPr>
          <w:rFonts w:hint="eastAsia" w:ascii="宋体" w:hAnsi="宋体" w:cs="宋体"/>
          <w:color w:val="auto"/>
          <w:highlight w:val="none"/>
          <w:u w:val="single"/>
        </w:rPr>
        <w:t xml:space="preserve">           （</w:t>
      </w:r>
      <w:r>
        <w:rPr>
          <w:rFonts w:hint="eastAsia" w:ascii="宋体" w:hAnsi="宋体" w:cs="宋体"/>
          <w:color w:val="auto"/>
          <w:highlight w:val="none"/>
        </w:rPr>
        <w:t>招标项目名称） 合同货物和相关服务，已接受</w:t>
      </w:r>
      <w:r>
        <w:rPr>
          <w:rFonts w:hint="eastAsia" w:ascii="宋体" w:hAnsi="宋体" w:cs="宋体"/>
          <w:color w:val="auto"/>
          <w:highlight w:val="none"/>
          <w:u w:val="single"/>
        </w:rPr>
        <w:t xml:space="preserve">         </w:t>
      </w:r>
      <w:r>
        <w:rPr>
          <w:rFonts w:hint="eastAsia" w:ascii="宋体" w:hAnsi="宋体" w:cs="宋体"/>
          <w:color w:val="auto"/>
          <w:highlight w:val="none"/>
        </w:rPr>
        <w:t>（卖方名称，以下简称“卖方 ”）为提供上述合同货物和相关服务所作的投标，买方和卖方共同达成如下协议：</w:t>
      </w:r>
    </w:p>
    <w:p w14:paraId="560AB809">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1.本协议书与下列文件一起构成合同文件：</w:t>
      </w:r>
    </w:p>
    <w:p w14:paraId="4E8F543D">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（1）中标通知书；</w:t>
      </w:r>
    </w:p>
    <w:p w14:paraId="4E5AA37D">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（2）投标函；</w:t>
      </w:r>
    </w:p>
    <w:p w14:paraId="5C399F95">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（3）技术偏差表；</w:t>
      </w:r>
    </w:p>
    <w:p w14:paraId="6B81C9B4">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（4）专用合同条款；</w:t>
      </w:r>
    </w:p>
    <w:p w14:paraId="4CB43FEF">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（5）通用合同条款；</w:t>
      </w:r>
    </w:p>
    <w:p w14:paraId="6E4216AE">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（6）技术要求；</w:t>
      </w:r>
    </w:p>
    <w:p w14:paraId="66B68EDC">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（7）分项报价表（工程量清单报价书）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rPr>
        <w:t>；</w:t>
      </w:r>
    </w:p>
    <w:p w14:paraId="1ABD9168">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（8）中标货物技术性能指标的详细描述；</w:t>
      </w:r>
    </w:p>
    <w:p w14:paraId="4ED3B4BE">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（9）相关服务计划；</w:t>
      </w:r>
    </w:p>
    <w:p w14:paraId="7BB23430">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（10）其他合同文件。</w:t>
      </w:r>
    </w:p>
    <w:p w14:paraId="63C0747A">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2.上述合同文件互相补充和解释。如果合同文件之间存在矛盾或不一致之 处，以上述文件的排列顺序在先者为准。</w:t>
      </w:r>
    </w:p>
    <w:p w14:paraId="713DAF0E">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3. 签约合同价：人民币（大写）</w:t>
      </w:r>
      <w:r>
        <w:rPr>
          <w:rFonts w:hint="eastAsia" w:ascii="宋体" w:hAnsi="宋体" w:cs="宋体"/>
          <w:color w:val="auto"/>
          <w:highlight w:val="none"/>
          <w:u w:val="single"/>
        </w:rPr>
        <w:t xml:space="preserve">         (¥        ) </w:t>
      </w:r>
      <w:r>
        <w:rPr>
          <w:rFonts w:hint="eastAsia" w:ascii="宋体" w:hAnsi="宋体" w:cs="宋体"/>
          <w:color w:val="auto"/>
          <w:highlight w:val="none"/>
        </w:rPr>
        <w:t>。</w:t>
      </w:r>
    </w:p>
    <w:p w14:paraId="25003B92">
      <w:pPr>
        <w:spacing w:line="440" w:lineRule="exact"/>
        <w:ind w:firstLine="420" w:firstLineChars="200"/>
        <w:jc w:val="left"/>
        <w:outlineLvl w:val="1"/>
        <w:rPr>
          <w:rFonts w:ascii="宋体" w:hAnsi="宋体" w:cs="宋体"/>
          <w:color w:val="auto"/>
          <w:highlight w:val="none"/>
        </w:rPr>
      </w:pPr>
      <w:r>
        <w:rPr>
          <w:rFonts w:hint="eastAsia" w:ascii="宋体" w:hAnsi="宋体" w:cs="宋体"/>
          <w:color w:val="auto"/>
          <w:highlight w:val="none"/>
        </w:rPr>
        <w:t xml:space="preserve">4.卖方承诺保证完全按照合同约定提供合同货物和相关服务并修补缺陷。 5.买方承诺保证按照合同约定的条件、时间和方式向卖方支付合同价款。 6.本合同协议书一式 </w:t>
      </w:r>
      <w:r>
        <w:rPr>
          <w:rFonts w:hint="eastAsia" w:ascii="宋体" w:hAnsi="宋体" w:cs="宋体"/>
          <w:color w:val="auto"/>
          <w:highlight w:val="none"/>
          <w:u w:val="single"/>
        </w:rPr>
        <w:t xml:space="preserve">    </w:t>
      </w:r>
      <w:r>
        <w:rPr>
          <w:rFonts w:hint="eastAsia" w:ascii="宋体" w:hAnsi="宋体" w:cs="宋体"/>
          <w:color w:val="auto"/>
          <w:highlight w:val="none"/>
        </w:rPr>
        <w:t>份，合同双方各执</w:t>
      </w:r>
      <w:r>
        <w:rPr>
          <w:rFonts w:hint="eastAsia" w:ascii="宋体" w:hAnsi="宋体" w:cs="宋体"/>
          <w:color w:val="auto"/>
          <w:highlight w:val="none"/>
          <w:u w:val="single"/>
        </w:rPr>
        <w:t xml:space="preserve">     </w:t>
      </w:r>
      <w:r>
        <w:rPr>
          <w:rFonts w:hint="eastAsia" w:ascii="宋体" w:hAnsi="宋体" w:cs="宋体"/>
          <w:color w:val="auto"/>
          <w:highlight w:val="none"/>
        </w:rPr>
        <w:t>份。</w:t>
      </w:r>
    </w:p>
    <w:p w14:paraId="22583811">
      <w:pPr>
        <w:pStyle w:val="22"/>
        <w:jc w:val="left"/>
        <w:outlineLvl w:val="1"/>
        <w:rPr>
          <w:rFonts w:ascii="宋体" w:hAnsi="宋体" w:cs="宋体"/>
          <w:color w:val="auto"/>
          <w:highlight w:val="none"/>
        </w:rPr>
      </w:pPr>
      <w:r>
        <w:rPr>
          <w:rFonts w:hint="eastAsia" w:ascii="宋体" w:hAnsi="宋体" w:cs="宋体"/>
          <w:color w:val="auto"/>
          <w:highlight w:val="none"/>
        </w:rPr>
        <w:t>7.合同未尽事宜，双方另行签订补充协议，补充协议是合同的组成部分。</w:t>
      </w:r>
    </w:p>
    <w:p w14:paraId="710FA444">
      <w:pPr>
        <w:spacing w:line="440" w:lineRule="exact"/>
        <w:jc w:val="right"/>
        <w:outlineLvl w:val="1"/>
        <w:rPr>
          <w:rFonts w:ascii="宋体" w:hAnsi="宋体" w:cs="宋体"/>
          <w:color w:val="auto"/>
          <w:highlight w:val="none"/>
        </w:rPr>
      </w:pPr>
      <w:r>
        <w:rPr>
          <w:rFonts w:hint="eastAsia" w:ascii="宋体" w:hAnsi="宋体" w:cs="宋体"/>
          <w:color w:val="auto"/>
          <w:highlight w:val="none"/>
        </w:rPr>
        <w:t>买方：</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盖单位章） </w:t>
      </w:r>
    </w:p>
    <w:p w14:paraId="4B080A6C">
      <w:pPr>
        <w:spacing w:line="440" w:lineRule="exact"/>
        <w:jc w:val="right"/>
        <w:outlineLvl w:val="1"/>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w:t>
      </w:r>
    </w:p>
    <w:p w14:paraId="29A59932">
      <w:pPr>
        <w:spacing w:line="440" w:lineRule="exact"/>
        <w:jc w:val="right"/>
        <w:outlineLvl w:val="1"/>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 xml:space="preserve"> 年     月     日</w:t>
      </w:r>
    </w:p>
    <w:p w14:paraId="4BEF89A7">
      <w:pPr>
        <w:spacing w:line="440" w:lineRule="exact"/>
        <w:jc w:val="right"/>
        <w:outlineLvl w:val="1"/>
        <w:rPr>
          <w:rFonts w:ascii="宋体" w:hAnsi="宋体" w:cs="宋体"/>
          <w:color w:val="auto"/>
          <w:highlight w:val="none"/>
        </w:rPr>
      </w:pPr>
      <w:r>
        <w:rPr>
          <w:rFonts w:hint="eastAsia" w:ascii="宋体" w:hAnsi="宋体" w:cs="宋体"/>
          <w:color w:val="auto"/>
          <w:highlight w:val="none"/>
        </w:rPr>
        <w:t>卖方：</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盖单位章） </w:t>
      </w:r>
    </w:p>
    <w:p w14:paraId="501B5386">
      <w:pPr>
        <w:spacing w:line="440" w:lineRule="exact"/>
        <w:jc w:val="right"/>
        <w:outlineLvl w:val="1"/>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w:t>
      </w:r>
    </w:p>
    <w:p w14:paraId="3C743F8C">
      <w:pPr>
        <w:spacing w:line="440" w:lineRule="exact"/>
        <w:jc w:val="right"/>
        <w:outlineLvl w:val="1"/>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 xml:space="preserve"> 年     月     日</w:t>
      </w:r>
    </w:p>
    <w:p w14:paraId="36D014B7">
      <w:pPr>
        <w:rPr>
          <w:rFonts w:ascii="仿宋_GB2312" w:hAnsi="黑体" w:eastAsia="仿宋_GB2312"/>
          <w:color w:val="auto"/>
          <w:highlight w:val="none"/>
        </w:rPr>
      </w:pPr>
      <w:r>
        <w:rPr>
          <w:rFonts w:hint="eastAsia" w:ascii="仿宋_GB2312" w:hAnsi="黑体" w:eastAsia="仿宋_GB2312"/>
          <w:color w:val="auto"/>
          <w:highlight w:val="none"/>
        </w:rPr>
        <w:br w:type="page"/>
      </w:r>
    </w:p>
    <w:p w14:paraId="729EF82D">
      <w:pPr>
        <w:spacing w:line="560" w:lineRule="exact"/>
        <w:outlineLvl w:val="1"/>
        <w:rPr>
          <w:rFonts w:ascii="宋体" w:hAnsi="宋体" w:cs="宋体"/>
          <w:b/>
          <w:bCs/>
          <w:color w:val="auto"/>
          <w:sz w:val="28"/>
          <w:szCs w:val="36"/>
          <w:highlight w:val="none"/>
        </w:rPr>
      </w:pPr>
      <w:r>
        <w:rPr>
          <w:rFonts w:hint="eastAsia" w:ascii="宋体" w:hAnsi="宋体" w:cs="宋体"/>
          <w:b/>
          <w:bCs/>
          <w:color w:val="auto"/>
          <w:sz w:val="28"/>
          <w:szCs w:val="36"/>
          <w:highlight w:val="none"/>
        </w:rPr>
        <w:t>附件二：履约保证金格式</w:t>
      </w:r>
    </w:p>
    <w:p w14:paraId="22E60C40">
      <w:pPr>
        <w:adjustRightInd w:val="0"/>
        <w:snapToGrid w:val="0"/>
        <w:spacing w:line="360" w:lineRule="auto"/>
        <w:jc w:val="center"/>
        <w:rPr>
          <w:rFonts w:ascii="宋体" w:hAnsi="宋体" w:cs="宋体"/>
          <w:b/>
          <w:bCs/>
          <w:color w:val="auto"/>
          <w:sz w:val="32"/>
          <w:szCs w:val="32"/>
          <w:highlight w:val="none"/>
        </w:rPr>
      </w:pPr>
      <w:bookmarkStart w:id="680" w:name="_Toc95223505"/>
      <w:bookmarkStart w:id="681" w:name="_Toc25855"/>
      <w:bookmarkStart w:id="682" w:name="_Toc8655"/>
      <w:bookmarkStart w:id="683" w:name="_Toc362478915"/>
      <w:r>
        <w:rPr>
          <w:rFonts w:hint="eastAsia" w:ascii="宋体" w:hAnsi="宋体" w:cs="宋体"/>
          <w:b/>
          <w:bCs/>
          <w:color w:val="auto"/>
          <w:sz w:val="32"/>
          <w:szCs w:val="32"/>
          <w:highlight w:val="none"/>
        </w:rPr>
        <w:t>履约保函示范文本</w:t>
      </w:r>
      <w:bookmarkEnd w:id="680"/>
      <w:bookmarkEnd w:id="681"/>
      <w:bookmarkEnd w:id="682"/>
    </w:p>
    <w:p w14:paraId="08C6DE2C">
      <w:pPr>
        <w:wordWrap w:val="0"/>
        <w:adjustRightInd w:val="0"/>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14:paraId="09155913">
      <w:pPr>
        <w:adjustRightInd w:val="0"/>
        <w:snapToGrid w:val="0"/>
        <w:spacing w:line="360" w:lineRule="auto"/>
        <w:rPr>
          <w:rFonts w:ascii="宋体" w:hAnsi="宋体" w:cs="宋体"/>
          <w:color w:val="auto"/>
          <w:szCs w:val="21"/>
          <w:highlight w:val="none"/>
        </w:rPr>
      </w:pPr>
    </w:p>
    <w:p w14:paraId="4A481F6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3F54FCA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006801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0B16D96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51621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30729CD4">
      <w:pPr>
        <w:adjustRightInd w:val="0"/>
        <w:snapToGrid w:val="0"/>
        <w:spacing w:line="360" w:lineRule="auto"/>
        <w:ind w:firstLine="480"/>
        <w:rPr>
          <w:rFonts w:ascii="宋体" w:hAnsi="宋体" w:cs="宋体"/>
          <w:color w:val="auto"/>
          <w:szCs w:val="21"/>
          <w:highlight w:val="none"/>
        </w:rPr>
      </w:pPr>
      <w:bookmarkStart w:id="684"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684"/>
    <w:p w14:paraId="656D146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6047591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1458A6E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231B22B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03D828A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20209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bookmarkStart w:id="685" w:name="_Hlk40303486"/>
      <w:r>
        <w:rPr>
          <w:rFonts w:hint="eastAsia" w:ascii="宋体" w:hAnsi="宋体" w:cs="宋体"/>
          <w:color w:val="auto"/>
          <w:szCs w:val="21"/>
          <w:highlight w:val="none"/>
        </w:rPr>
        <w:t>受益人发出的书面付款通知应由其法定代表人（负责人）或授权代理人签字并加盖公章。</w:t>
      </w:r>
      <w:bookmarkEnd w:id="685"/>
    </w:p>
    <w:p w14:paraId="4B43A68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33908AA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668E3077">
      <w:pPr>
        <w:adjustRightInd w:val="0"/>
        <w:snapToGrid w:val="0"/>
        <w:spacing w:line="360" w:lineRule="auto"/>
        <w:ind w:firstLine="420" w:firstLineChars="200"/>
        <w:rPr>
          <w:rFonts w:ascii="宋体" w:hAnsi="宋体" w:cs="宋体"/>
          <w:color w:val="auto"/>
          <w:szCs w:val="21"/>
          <w:highlight w:val="none"/>
        </w:rPr>
      </w:pPr>
      <w:bookmarkStart w:id="686" w:name="_Hlk40303383"/>
      <w:bookmarkStart w:id="687" w:name="_Hlk40354981"/>
      <w:r>
        <w:rPr>
          <w:rFonts w:hint="eastAsia" w:ascii="宋体" w:hAnsi="宋体" w:cs="宋体"/>
          <w:color w:val="auto"/>
          <w:szCs w:val="21"/>
          <w:highlight w:val="none"/>
        </w:rPr>
        <w:t xml:space="preserve">七、本保函项下的义务和责任均在保函有效期到期后自动消灭。 </w:t>
      </w:r>
    </w:p>
    <w:p w14:paraId="4003DC4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686"/>
      <w:r>
        <w:rPr>
          <w:rFonts w:hint="eastAsia" w:ascii="宋体" w:hAnsi="宋体" w:cs="宋体"/>
          <w:color w:val="auto"/>
          <w:szCs w:val="21"/>
          <w:highlight w:val="none"/>
        </w:rPr>
        <w:t xml:space="preserve">由受益人所在地人民法院管辖。 </w:t>
      </w:r>
    </w:p>
    <w:bookmarkEnd w:id="687"/>
    <w:p w14:paraId="3484D74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348414B0">
      <w:pPr>
        <w:adjustRightInd w:val="0"/>
        <w:snapToGrid w:val="0"/>
        <w:spacing w:line="360" w:lineRule="auto"/>
        <w:ind w:firstLine="420" w:firstLineChars="200"/>
        <w:rPr>
          <w:rFonts w:ascii="宋体" w:hAnsi="宋体" w:cs="宋体"/>
          <w:color w:val="auto"/>
          <w:szCs w:val="21"/>
          <w:highlight w:val="none"/>
        </w:rPr>
      </w:pPr>
    </w:p>
    <w:p w14:paraId="43E70C90">
      <w:pPr>
        <w:adjustRightInd w:val="0"/>
        <w:snapToGrid w:val="0"/>
        <w:spacing w:line="360" w:lineRule="auto"/>
        <w:ind w:firstLine="420" w:firstLineChars="200"/>
        <w:rPr>
          <w:rFonts w:ascii="宋体" w:hAnsi="宋体" w:cs="宋体"/>
          <w:color w:val="auto"/>
          <w:szCs w:val="21"/>
          <w:highlight w:val="none"/>
        </w:rPr>
      </w:pPr>
    </w:p>
    <w:p w14:paraId="35BCCA18">
      <w:pPr>
        <w:adjustRightInd w:val="0"/>
        <w:snapToGrid w:val="0"/>
        <w:spacing w:line="360" w:lineRule="auto"/>
        <w:ind w:firstLine="420" w:firstLineChars="200"/>
        <w:rPr>
          <w:rFonts w:ascii="宋体" w:hAnsi="宋体" w:cs="宋体"/>
          <w:color w:val="auto"/>
          <w:szCs w:val="21"/>
          <w:highlight w:val="none"/>
        </w:rPr>
      </w:pPr>
    </w:p>
    <w:p w14:paraId="42177E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167822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7A86C75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4F9BEA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6AF8E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9682CED">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5A997F3">
      <w:pPr>
        <w:adjustRightInd w:val="0"/>
        <w:snapToGrid w:val="0"/>
        <w:spacing w:line="360" w:lineRule="auto"/>
        <w:ind w:left="1323" w:leftChars="200" w:hanging="903" w:hangingChars="430"/>
        <w:rPr>
          <w:rFonts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09199F">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p w14:paraId="749552CB">
      <w:pPr>
        <w:spacing w:line="560" w:lineRule="exact"/>
        <w:outlineLvl w:val="1"/>
        <w:rPr>
          <w:rFonts w:ascii="宋体" w:hAnsi="宋体" w:cs="宋体"/>
          <w:b/>
          <w:bCs/>
          <w:color w:val="auto"/>
          <w:sz w:val="28"/>
          <w:szCs w:val="36"/>
          <w:highlight w:val="none"/>
        </w:rPr>
      </w:pPr>
      <w:r>
        <w:rPr>
          <w:rFonts w:hint="eastAsia" w:ascii="宋体" w:hAnsi="宋体" w:cs="宋体"/>
          <w:b/>
          <w:bCs/>
          <w:color w:val="auto"/>
          <w:sz w:val="28"/>
          <w:szCs w:val="36"/>
          <w:highlight w:val="none"/>
        </w:rPr>
        <w:t>附件三：廉政协议</w:t>
      </w:r>
    </w:p>
    <w:bookmarkEnd w:id="677"/>
    <w:bookmarkEnd w:id="678"/>
    <w:bookmarkEnd w:id="679"/>
    <w:bookmarkEnd w:id="683"/>
    <w:p w14:paraId="1C882614">
      <w:pPr>
        <w:widowControl/>
        <w:spacing w:line="360" w:lineRule="auto"/>
        <w:ind w:firstLine="641"/>
        <w:jc w:val="center"/>
        <w:rPr>
          <w:rFonts w:ascii="宋体" w:hAnsi="宋体" w:cs="宋体"/>
          <w:b/>
          <w:bCs/>
          <w:color w:val="auto"/>
          <w:kern w:val="0"/>
          <w:sz w:val="32"/>
          <w:szCs w:val="32"/>
          <w:highlight w:val="none"/>
        </w:rPr>
      </w:pPr>
      <w:bookmarkStart w:id="688" w:name="_Toc7607"/>
      <w:bookmarkStart w:id="689" w:name="_Toc9808"/>
      <w:bookmarkStart w:id="690" w:name="_Toc95223496"/>
      <w:bookmarkStart w:id="691" w:name="_Toc95223515"/>
      <w:bookmarkStart w:id="692" w:name="_Toc4767"/>
      <w:r>
        <w:rPr>
          <w:rFonts w:hint="eastAsia" w:ascii="宋体" w:hAnsi="宋体" w:cs="宋体"/>
          <w:b/>
          <w:bCs/>
          <w:color w:val="auto"/>
          <w:kern w:val="0"/>
          <w:sz w:val="32"/>
          <w:szCs w:val="32"/>
          <w:highlight w:val="none"/>
        </w:rPr>
        <w:t>廉 政 协 议</w:t>
      </w:r>
      <w:bookmarkEnd w:id="688"/>
      <w:bookmarkEnd w:id="689"/>
      <w:bookmarkEnd w:id="690"/>
    </w:p>
    <w:p w14:paraId="6845296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05058B2">
      <w:pPr>
        <w:widowControl/>
        <w:spacing w:line="360" w:lineRule="auto"/>
        <w:ind w:firstLine="420" w:firstLineChars="200"/>
        <w:jc w:val="left"/>
        <w:rPr>
          <w:rFonts w:ascii="宋体" w:hAnsi="宋体" w:cs="宋体"/>
          <w:color w:val="auto"/>
          <w:kern w:val="0"/>
          <w:szCs w:val="21"/>
          <w:highlight w:val="none"/>
        </w:rPr>
      </w:pPr>
      <w:bookmarkStart w:id="693" w:name="_Toc9888"/>
      <w:bookmarkStart w:id="694" w:name="_Toc21306"/>
      <w:bookmarkStart w:id="695" w:name="_Toc95223497"/>
      <w:r>
        <w:rPr>
          <w:rFonts w:hint="eastAsia" w:ascii="宋体" w:hAnsi="宋体" w:cs="宋体"/>
          <w:color w:val="auto"/>
          <w:kern w:val="0"/>
          <w:szCs w:val="21"/>
          <w:highlight w:val="none"/>
        </w:rPr>
        <w:t>第一条 甲乙双方的权利和义务</w:t>
      </w:r>
      <w:bookmarkEnd w:id="693"/>
      <w:bookmarkEnd w:id="694"/>
      <w:bookmarkEnd w:id="695"/>
    </w:p>
    <w:p w14:paraId="3E11336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4D6239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604142D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7EAB1AB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2818397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2756D664">
      <w:pPr>
        <w:widowControl/>
        <w:spacing w:line="360" w:lineRule="auto"/>
        <w:ind w:firstLine="420" w:firstLineChars="200"/>
        <w:jc w:val="left"/>
        <w:rPr>
          <w:rFonts w:ascii="宋体" w:hAnsi="宋体" w:cs="宋体"/>
          <w:color w:val="auto"/>
          <w:kern w:val="0"/>
          <w:szCs w:val="21"/>
          <w:highlight w:val="none"/>
        </w:rPr>
      </w:pPr>
      <w:bookmarkStart w:id="696" w:name="_Toc1917"/>
      <w:bookmarkStart w:id="697" w:name="_Toc3866"/>
      <w:bookmarkStart w:id="698" w:name="_Toc95223498"/>
      <w:r>
        <w:rPr>
          <w:rFonts w:hint="eastAsia" w:ascii="宋体" w:hAnsi="宋体" w:cs="宋体"/>
          <w:color w:val="auto"/>
          <w:kern w:val="0"/>
          <w:szCs w:val="21"/>
          <w:highlight w:val="none"/>
        </w:rPr>
        <w:t>第二条 甲方的义务</w:t>
      </w:r>
      <w:bookmarkEnd w:id="696"/>
      <w:bookmarkEnd w:id="697"/>
      <w:bookmarkEnd w:id="698"/>
    </w:p>
    <w:p w14:paraId="61F8D406">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34E58EA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4FBCD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723087F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4A1017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0522036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43DFA6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044D17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0117D52E">
      <w:pPr>
        <w:widowControl/>
        <w:spacing w:line="360" w:lineRule="auto"/>
        <w:ind w:firstLine="420" w:firstLineChars="200"/>
        <w:jc w:val="left"/>
        <w:rPr>
          <w:rFonts w:ascii="宋体" w:hAnsi="宋体" w:cs="宋体"/>
          <w:color w:val="auto"/>
          <w:kern w:val="0"/>
          <w:szCs w:val="21"/>
          <w:highlight w:val="none"/>
        </w:rPr>
      </w:pPr>
      <w:bookmarkStart w:id="699" w:name="_Toc20831"/>
      <w:bookmarkStart w:id="700" w:name="_Toc95223499"/>
      <w:bookmarkStart w:id="701" w:name="_Toc10556"/>
      <w:r>
        <w:rPr>
          <w:rFonts w:hint="eastAsia" w:ascii="宋体" w:hAnsi="宋体" w:cs="宋体"/>
          <w:color w:val="auto"/>
          <w:kern w:val="0"/>
          <w:szCs w:val="21"/>
          <w:highlight w:val="none"/>
        </w:rPr>
        <w:t>第三条 乙方的义务</w:t>
      </w:r>
      <w:bookmarkEnd w:id="699"/>
      <w:bookmarkEnd w:id="700"/>
      <w:bookmarkEnd w:id="701"/>
    </w:p>
    <w:p w14:paraId="75D025FB">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0EAE0A3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AEF02C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5334BC9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731FBFD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76E998B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2F5ABF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65A0C19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41C1E266">
      <w:pPr>
        <w:widowControl/>
        <w:spacing w:line="360" w:lineRule="auto"/>
        <w:ind w:firstLine="420" w:firstLineChars="200"/>
        <w:jc w:val="left"/>
        <w:rPr>
          <w:rFonts w:ascii="宋体" w:hAnsi="宋体" w:cs="宋体"/>
          <w:color w:val="auto"/>
          <w:kern w:val="0"/>
          <w:szCs w:val="21"/>
          <w:highlight w:val="none"/>
        </w:rPr>
      </w:pPr>
      <w:bookmarkStart w:id="702" w:name="_Toc14507"/>
      <w:bookmarkStart w:id="703" w:name="_Toc95223500"/>
      <w:bookmarkStart w:id="704" w:name="_Toc2198"/>
      <w:r>
        <w:rPr>
          <w:rFonts w:hint="eastAsia" w:ascii="宋体" w:hAnsi="宋体" w:cs="宋体"/>
          <w:color w:val="auto"/>
          <w:kern w:val="0"/>
          <w:szCs w:val="21"/>
          <w:highlight w:val="none"/>
        </w:rPr>
        <w:t>第四条 违约责任</w:t>
      </w:r>
      <w:bookmarkEnd w:id="702"/>
      <w:bookmarkEnd w:id="703"/>
      <w:bookmarkEnd w:id="704"/>
    </w:p>
    <w:p w14:paraId="5C1F29C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6028F7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145FC3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321DA84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6B65F17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464DAD2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5B2C2C6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773DE79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3DE790DE">
      <w:pPr>
        <w:widowControl/>
        <w:spacing w:line="360" w:lineRule="auto"/>
        <w:ind w:firstLine="420" w:firstLineChars="200"/>
        <w:jc w:val="left"/>
        <w:rPr>
          <w:rFonts w:ascii="宋体" w:hAnsi="宋体" w:cs="宋体"/>
          <w:color w:val="auto"/>
          <w:kern w:val="0"/>
          <w:szCs w:val="21"/>
          <w:highlight w:val="none"/>
        </w:rPr>
      </w:pPr>
      <w:bookmarkStart w:id="705" w:name="_Toc2334"/>
      <w:bookmarkStart w:id="706" w:name="_Toc95223501"/>
      <w:bookmarkStart w:id="707" w:name="_Toc10228"/>
      <w:r>
        <w:rPr>
          <w:rFonts w:hint="eastAsia" w:ascii="宋体" w:hAnsi="宋体" w:cs="宋体"/>
          <w:color w:val="auto"/>
          <w:kern w:val="0"/>
          <w:szCs w:val="21"/>
          <w:highlight w:val="none"/>
        </w:rPr>
        <w:t>第五条 双方约定</w:t>
      </w:r>
      <w:bookmarkEnd w:id="705"/>
      <w:bookmarkEnd w:id="706"/>
      <w:bookmarkEnd w:id="707"/>
    </w:p>
    <w:p w14:paraId="1BF235F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232D8DB">
      <w:pPr>
        <w:widowControl/>
        <w:spacing w:line="360" w:lineRule="auto"/>
        <w:ind w:firstLine="420" w:firstLineChars="200"/>
        <w:jc w:val="left"/>
        <w:rPr>
          <w:rFonts w:ascii="宋体" w:hAnsi="宋体" w:cs="宋体"/>
          <w:color w:val="auto"/>
          <w:kern w:val="0"/>
          <w:szCs w:val="21"/>
          <w:highlight w:val="none"/>
        </w:rPr>
      </w:pPr>
      <w:bookmarkStart w:id="708" w:name="_Toc17717"/>
      <w:bookmarkStart w:id="709" w:name="_Toc95223502"/>
      <w:bookmarkStart w:id="710" w:name="_Toc32140"/>
      <w:r>
        <w:rPr>
          <w:rFonts w:hint="eastAsia" w:ascii="宋体" w:hAnsi="宋体" w:cs="宋体"/>
          <w:color w:val="auto"/>
          <w:kern w:val="0"/>
          <w:szCs w:val="21"/>
          <w:highlight w:val="none"/>
        </w:rPr>
        <w:t>第六条  本协议有效期为甲乙双方签署之日起至合同终止。</w:t>
      </w:r>
      <w:bookmarkEnd w:id="708"/>
      <w:bookmarkEnd w:id="709"/>
      <w:bookmarkEnd w:id="710"/>
      <w:r>
        <w:rPr>
          <w:rFonts w:hint="eastAsia" w:ascii="宋体" w:hAnsi="宋体" w:cs="宋体"/>
          <w:color w:val="auto"/>
          <w:kern w:val="0"/>
          <w:szCs w:val="21"/>
          <w:highlight w:val="none"/>
        </w:rPr>
        <w:t xml:space="preserve">  </w:t>
      </w:r>
    </w:p>
    <w:p w14:paraId="27059C7A">
      <w:pPr>
        <w:widowControl/>
        <w:spacing w:line="360" w:lineRule="auto"/>
        <w:ind w:firstLine="420" w:firstLineChars="200"/>
        <w:jc w:val="left"/>
        <w:rPr>
          <w:rFonts w:ascii="宋体" w:hAnsi="宋体" w:cs="宋体"/>
          <w:color w:val="auto"/>
          <w:kern w:val="0"/>
          <w:szCs w:val="21"/>
          <w:highlight w:val="none"/>
        </w:rPr>
      </w:pPr>
      <w:bookmarkStart w:id="711" w:name="_Toc24032"/>
      <w:bookmarkStart w:id="712" w:name="_Toc1871"/>
      <w:bookmarkStart w:id="713" w:name="_Toc95223503"/>
      <w:r>
        <w:rPr>
          <w:rFonts w:hint="eastAsia" w:ascii="宋体" w:hAnsi="宋体" w:cs="宋体"/>
          <w:color w:val="auto"/>
          <w:kern w:val="0"/>
          <w:szCs w:val="21"/>
          <w:highlight w:val="none"/>
        </w:rPr>
        <w:t>第七条  本协议作为合同的附件，与本合同具有同等法律效力。</w:t>
      </w:r>
      <w:bookmarkEnd w:id="711"/>
      <w:bookmarkEnd w:id="712"/>
      <w:bookmarkEnd w:id="713"/>
    </w:p>
    <w:p w14:paraId="6190C50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789A74C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0753B849">
      <w:pPr>
        <w:widowControl/>
        <w:spacing w:line="360" w:lineRule="auto"/>
        <w:ind w:firstLine="420" w:firstLineChars="200"/>
        <w:jc w:val="left"/>
        <w:rPr>
          <w:rFonts w:ascii="宋体" w:hAnsi="宋体" w:cs="宋体"/>
          <w:color w:val="auto"/>
          <w:kern w:val="0"/>
          <w:szCs w:val="21"/>
          <w:highlight w:val="none"/>
        </w:rPr>
      </w:pPr>
    </w:p>
    <w:p w14:paraId="5404090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6CC65C3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3EF4B79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CAD486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D29D502">
      <w:pPr>
        <w:widowControl/>
        <w:spacing w:line="360" w:lineRule="auto"/>
        <w:ind w:firstLine="420" w:firstLineChars="200"/>
        <w:jc w:val="left"/>
        <w:rPr>
          <w:rFonts w:ascii="宋体" w:hAnsi="宋体" w:cs="宋体"/>
          <w:color w:val="auto"/>
          <w:kern w:val="0"/>
          <w:szCs w:val="21"/>
          <w:highlight w:val="none"/>
        </w:rPr>
      </w:pPr>
    </w:p>
    <w:p w14:paraId="57C00F2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29BEC4E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69F59F8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7C265A6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5276DE2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97B7B1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E7CFF77">
      <w:pPr>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br w:type="page"/>
      </w:r>
      <w:bookmarkEnd w:id="691"/>
      <w:bookmarkEnd w:id="692"/>
      <w:bookmarkStart w:id="714" w:name="_Toc95223522"/>
      <w:r>
        <w:rPr>
          <w:rFonts w:hint="eastAsia" w:ascii="宋体" w:hAnsi="宋体" w:cs="宋体"/>
          <w:b/>
          <w:bCs/>
          <w:color w:val="auto"/>
          <w:kern w:val="44"/>
          <w:sz w:val="36"/>
          <w:szCs w:val="36"/>
          <w:highlight w:val="none"/>
        </w:rPr>
        <w:t>第六章工程量清单</w:t>
      </w:r>
    </w:p>
    <w:p w14:paraId="5F37B27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ascii="宋体" w:hAnsi="宋体" w:cs="宋体"/>
          <w:color w:val="auto"/>
          <w:szCs w:val="21"/>
          <w:highlight w:val="none"/>
        </w:rPr>
      </w:pPr>
      <w:r>
        <w:rPr>
          <w:rFonts w:hint="eastAsia" w:ascii="宋体" w:hAnsi="宋体" w:cs="宋体"/>
          <w:color w:val="auto"/>
          <w:szCs w:val="21"/>
          <w:highlight w:val="none"/>
        </w:rPr>
        <w:t>详见第八章技术要求</w:t>
      </w:r>
    </w:p>
    <w:p w14:paraId="38DCA9C4">
      <w:pPr>
        <w:keepNext/>
        <w:keepLines/>
        <w:spacing w:line="360" w:lineRule="auto"/>
        <w:jc w:val="center"/>
        <w:outlineLvl w:val="0"/>
        <w:rPr>
          <w:rFonts w:hint="eastAsia" w:ascii="宋体" w:hAnsi="宋体" w:cs="宋体"/>
          <w:b/>
          <w:bCs/>
          <w:color w:val="auto"/>
          <w:kern w:val="44"/>
          <w:sz w:val="36"/>
          <w:szCs w:val="36"/>
          <w:highlight w:val="none"/>
        </w:rPr>
      </w:pPr>
    </w:p>
    <w:p w14:paraId="36BAD78B">
      <w:pPr>
        <w:keepNext/>
        <w:keepLines/>
        <w:spacing w:line="360" w:lineRule="auto"/>
        <w:jc w:val="center"/>
        <w:outlineLvl w:val="0"/>
        <w:rPr>
          <w:rFonts w:hint="eastAsia" w:ascii="宋体" w:hAnsi="宋体" w:cs="宋体"/>
          <w:b/>
          <w:bCs/>
          <w:color w:val="auto"/>
          <w:kern w:val="44"/>
          <w:sz w:val="36"/>
          <w:szCs w:val="36"/>
          <w:highlight w:val="none"/>
        </w:rPr>
      </w:pPr>
    </w:p>
    <w:p w14:paraId="382CF0B9">
      <w:pPr>
        <w:keepNext/>
        <w:keepLines/>
        <w:spacing w:line="360" w:lineRule="auto"/>
        <w:jc w:val="center"/>
        <w:outlineLvl w:val="0"/>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 xml:space="preserve">第七章 </w:t>
      </w:r>
      <w:bookmarkStart w:id="715" w:name="_Toc10656"/>
      <w:r>
        <w:rPr>
          <w:rFonts w:hint="eastAsia" w:ascii="宋体" w:hAnsi="宋体" w:cs="宋体"/>
          <w:b/>
          <w:bCs/>
          <w:color w:val="auto"/>
          <w:kern w:val="44"/>
          <w:sz w:val="36"/>
          <w:szCs w:val="36"/>
          <w:highlight w:val="none"/>
        </w:rPr>
        <w:t>图  纸</w:t>
      </w:r>
      <w:bookmarkEnd w:id="714"/>
      <w:bookmarkEnd w:id="715"/>
    </w:p>
    <w:p w14:paraId="4996D13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详见初步设计文件。</w:t>
      </w:r>
    </w:p>
    <w:p w14:paraId="14434CFF">
      <w:pPr>
        <w:pStyle w:val="2"/>
        <w:adjustRightInd w:val="0"/>
        <w:snapToGrid w:val="0"/>
        <w:spacing w:line="560" w:lineRule="exact"/>
        <w:jc w:val="center"/>
        <w:rPr>
          <w:rFonts w:ascii="宋体" w:hAnsi="宋体" w:cs="宋体"/>
          <w:bCs w:val="0"/>
          <w:color w:val="auto"/>
          <w:sz w:val="32"/>
          <w:highlight w:val="none"/>
        </w:rPr>
      </w:pPr>
      <w:r>
        <w:rPr>
          <w:rFonts w:hint="eastAsia" w:ascii="宋体" w:hAnsi="宋体" w:cs="宋体"/>
          <w:b w:val="0"/>
          <w:bCs w:val="0"/>
          <w:color w:val="auto"/>
          <w:sz w:val="32"/>
          <w:highlight w:val="none"/>
        </w:rPr>
        <w:br w:type="page"/>
      </w:r>
      <w:bookmarkStart w:id="716" w:name="_Toc4784273"/>
      <w:bookmarkEnd w:id="716"/>
      <w:bookmarkStart w:id="717" w:name="_Toc4784272"/>
      <w:bookmarkEnd w:id="717"/>
      <w:bookmarkStart w:id="718" w:name="_Toc4784276"/>
      <w:bookmarkEnd w:id="718"/>
      <w:bookmarkStart w:id="719" w:name="_Toc4784277"/>
      <w:bookmarkEnd w:id="719"/>
      <w:bookmarkStart w:id="720" w:name="_Toc95223525"/>
      <w:bookmarkStart w:id="721" w:name="_Toc4608"/>
      <w:r>
        <w:rPr>
          <w:rFonts w:hint="eastAsia" w:ascii="宋体" w:hAnsi="宋体" w:cs="宋体"/>
          <w:color w:val="auto"/>
          <w:sz w:val="36"/>
          <w:szCs w:val="36"/>
          <w:highlight w:val="none"/>
        </w:rPr>
        <w:t xml:space="preserve">第八章  </w:t>
      </w:r>
      <w:bookmarkEnd w:id="720"/>
      <w:bookmarkEnd w:id="721"/>
      <w:r>
        <w:rPr>
          <w:rFonts w:hint="eastAsia" w:ascii="宋体" w:hAnsi="宋体" w:cs="宋体"/>
          <w:color w:val="auto"/>
          <w:sz w:val="36"/>
          <w:szCs w:val="36"/>
          <w:highlight w:val="none"/>
        </w:rPr>
        <w:t>技术要求</w:t>
      </w:r>
    </w:p>
    <w:p w14:paraId="7EB88438">
      <w:pPr>
        <w:pStyle w:val="3"/>
        <w:spacing w:before="93" w:beforeLines="30" w:after="93" w:afterLines="30" w:line="500" w:lineRule="exact"/>
        <w:jc w:val="center"/>
        <w:rPr>
          <w:rFonts w:ascii="宋体" w:hAnsi="宋体" w:eastAsia="宋体" w:cs="宋体"/>
          <w:color w:val="auto"/>
          <w:sz w:val="28"/>
          <w:szCs w:val="28"/>
          <w:highlight w:val="none"/>
        </w:rPr>
      </w:pPr>
      <w:bookmarkStart w:id="722" w:name="_Toc95223531"/>
      <w:r>
        <w:rPr>
          <w:rFonts w:hint="eastAsia" w:ascii="宋体" w:hAnsi="宋体" w:eastAsia="宋体" w:cs="宋体"/>
          <w:color w:val="auto"/>
          <w:sz w:val="28"/>
          <w:szCs w:val="28"/>
          <w:highlight w:val="none"/>
        </w:rPr>
        <w:t>一、总则</w:t>
      </w:r>
    </w:p>
    <w:p w14:paraId="3AB2BEE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技术条件的使用范围仅限于</w:t>
      </w:r>
      <w:r>
        <w:rPr>
          <w:rFonts w:hint="eastAsia" w:ascii="宋体" w:hAnsi="宋体" w:cs="宋体"/>
          <w:color w:val="auto"/>
          <w:szCs w:val="21"/>
          <w:highlight w:val="none"/>
          <w:u w:val="single"/>
        </w:rPr>
        <w:t xml:space="preserve"> 滁州市自来水有限公司水厂水质保障提升</w:t>
      </w:r>
      <w:r>
        <w:rPr>
          <w:rFonts w:hint="eastAsia" w:ascii="宋体" w:hAnsi="宋体" w:cs="宋体"/>
          <w:color w:val="auto"/>
          <w:szCs w:val="21"/>
          <w:highlight w:val="none"/>
          <w:u w:val="single"/>
          <w:lang w:val="en-US" w:eastAsia="zh-CN"/>
        </w:rPr>
        <w:t>改造</w:t>
      </w:r>
      <w:r>
        <w:rPr>
          <w:rFonts w:hint="eastAsia" w:ascii="宋体" w:hAnsi="宋体" w:cs="宋体"/>
          <w:color w:val="auto"/>
          <w:szCs w:val="21"/>
          <w:highlight w:val="none"/>
          <w:u w:val="single"/>
        </w:rPr>
        <w:t>项目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二次）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的运行条件和技术条件。</w:t>
      </w:r>
    </w:p>
    <w:p w14:paraId="3BDCC0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本技术条件提出的是最低限度的技术条件，并未对一切技术细节做出规定，也未充分引述有关标准和规范的条文，投标人应保证提供符合本条件和标准的优质产品。</w:t>
      </w:r>
    </w:p>
    <w:p w14:paraId="60701C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如果投标人没有以书面形式对本技术条件和条文提出异议，那么可以认为供货方提供的产品完成满足技术条件的要求。</w:t>
      </w:r>
    </w:p>
    <w:p w14:paraId="57416C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应满足本技术要求书及国家和地方规定的标准和规范进行设计和制造。若在设计和制造中应用的某项标准或规范在本技术规范书中没有规定，则投标人应详细说明其所采用的标准和规范，并提供该标准或规范的完整中文原件给招标人。只有当其采用的标准和规范是国际公认的、惯用的，且等于或优于本技术要求书的要求时，此标准或规范才能为招标人所接受。</w:t>
      </w:r>
    </w:p>
    <w:p w14:paraId="4351F55F">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二、招标货物总体要求</w:t>
      </w:r>
    </w:p>
    <w:p w14:paraId="7027C6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招标范围包括货物的设计、供应、安装调试、验收等。</w:t>
      </w:r>
    </w:p>
    <w:p w14:paraId="3EA1EE7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所有装置必须可应付</w:t>
      </w:r>
      <w:r>
        <w:rPr>
          <w:rFonts w:hint="eastAsia" w:ascii="宋体" w:hAnsi="宋体" w:cs="宋体"/>
          <w:color w:val="auto"/>
          <w:szCs w:val="21"/>
          <w:highlight w:val="none"/>
          <w:u w:val="single"/>
        </w:rPr>
        <w:t xml:space="preserve">    10年     </w:t>
      </w:r>
      <w:r>
        <w:rPr>
          <w:rFonts w:hint="eastAsia" w:ascii="宋体" w:hAnsi="宋体" w:cs="宋体"/>
          <w:color w:val="auto"/>
          <w:szCs w:val="21"/>
          <w:highlight w:val="none"/>
        </w:rPr>
        <w:t>的正常工作。</w:t>
      </w:r>
    </w:p>
    <w:p w14:paraId="628F4E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所有装置设计必须考虑防火、防尘、耐用、节能、容易清洁、</w:t>
      </w:r>
      <w:r>
        <w:rPr>
          <w:rFonts w:hint="eastAsia" w:ascii="宋体" w:hAnsi="宋体" w:cs="宋体"/>
          <w:color w:val="auto"/>
          <w:szCs w:val="21"/>
          <w:highlight w:val="none"/>
          <w:u w:val="single"/>
        </w:rPr>
        <w:t xml:space="preserve"> 方便维护  </w:t>
      </w:r>
      <w:r>
        <w:rPr>
          <w:rFonts w:hint="eastAsia" w:ascii="宋体" w:hAnsi="宋体" w:cs="宋体"/>
          <w:color w:val="auto"/>
          <w:szCs w:val="21"/>
          <w:highlight w:val="none"/>
        </w:rPr>
        <w:t>。</w:t>
      </w:r>
    </w:p>
    <w:p w14:paraId="7C943E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所有使用的材料和工艺必须是满足要求的。</w:t>
      </w:r>
    </w:p>
    <w:p w14:paraId="707A3C1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招标货物的使用环境</w:t>
      </w:r>
    </w:p>
    <w:p w14:paraId="3BDE678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5.1安装场所：①西涧湖水厂二车间；②三水厂；③三水厂原水泵房；④四水厂等。</w:t>
      </w:r>
    </w:p>
    <w:p w14:paraId="65BC14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5.2海拔：1000m以下</w:t>
      </w:r>
    </w:p>
    <w:p w14:paraId="23B821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5.3环境温度：-10℃－40℃</w:t>
      </w:r>
    </w:p>
    <w:p w14:paraId="5C6D3DB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5.4日温差：10℃</w:t>
      </w:r>
    </w:p>
    <w:p w14:paraId="430297C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  相对湿度：湿度：40-95%</w:t>
      </w:r>
    </w:p>
    <w:p w14:paraId="29BE49BC">
      <w:pPr>
        <w:pStyle w:val="11"/>
        <w:spacing w:line="500" w:lineRule="exact"/>
        <w:ind w:firstLine="480"/>
        <w:jc w:val="left"/>
        <w:rPr>
          <w:rFonts w:ascii="宋体" w:hAnsi="宋体" w:cs="宋体"/>
          <w:b/>
          <w:bCs/>
          <w:color w:val="auto"/>
          <w:szCs w:val="21"/>
          <w:highlight w:val="none"/>
        </w:rPr>
      </w:pPr>
      <w:r>
        <w:rPr>
          <w:rFonts w:hint="eastAsia" w:ascii="宋体" w:hAnsi="宋体" w:cs="宋体"/>
          <w:b/>
          <w:bCs/>
          <w:color w:val="auto"/>
          <w:szCs w:val="21"/>
          <w:highlight w:val="none"/>
        </w:rPr>
        <w:t>6</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工期要求：自合同签订之日起5个日历天完成初步设计的优化，10个日历天完成施工图设计并通过相关部门的审核；自开工之日起90日历天完成施工并通过验收。</w:t>
      </w:r>
    </w:p>
    <w:p w14:paraId="15256476">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三、一般性要求条件</w:t>
      </w:r>
    </w:p>
    <w:p w14:paraId="7092497D">
      <w:pPr>
        <w:pStyle w:val="4"/>
        <w:spacing w:before="93" w:beforeLines="30" w:after="93" w:afterLines="30" w:line="500" w:lineRule="exact"/>
        <w:ind w:left="0" w:firstLine="482"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1.项目概况</w:t>
      </w:r>
    </w:p>
    <w:p w14:paraId="1048F14E">
      <w:pPr>
        <w:pStyle w:val="5"/>
        <w:spacing w:before="93" w:beforeLines="30" w:after="93" w:afterLines="30" w:line="500" w:lineRule="exact"/>
        <w:ind w:firstLine="422" w:firstLineChars="200"/>
        <w:jc w:val="lef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1.1项目背景</w:t>
      </w:r>
    </w:p>
    <w:p w14:paraId="74807853">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滁州西涧湖水厂二车间设计规模10万吨/日、三水厂设计规模</w:t>
      </w:r>
      <w:r>
        <w:rPr>
          <w:rFonts w:ascii="宋体" w:hAnsi="宋体" w:cs="宋体"/>
          <w:color w:val="auto"/>
          <w:kern w:val="0"/>
          <w:szCs w:val="21"/>
          <w:highlight w:val="none"/>
          <w:lang w:bidi="ar"/>
        </w:rPr>
        <w:t>15</w:t>
      </w:r>
      <w:r>
        <w:rPr>
          <w:rFonts w:hint="eastAsia" w:ascii="宋体" w:hAnsi="宋体" w:cs="宋体"/>
          <w:color w:val="auto"/>
          <w:kern w:val="0"/>
          <w:szCs w:val="21"/>
          <w:highlight w:val="none"/>
          <w:lang w:bidi="ar"/>
        </w:rPr>
        <w:t>万吨</w:t>
      </w:r>
      <w:r>
        <w:rPr>
          <w:rFonts w:ascii="宋体" w:hAnsi="宋体" w:cs="宋体"/>
          <w:color w:val="auto"/>
          <w:kern w:val="0"/>
          <w:szCs w:val="21"/>
          <w:highlight w:val="none"/>
          <w:lang w:bidi="ar"/>
        </w:rPr>
        <w:t>/日</w:t>
      </w:r>
      <w:r>
        <w:rPr>
          <w:rFonts w:hint="eastAsia" w:ascii="宋体" w:hAnsi="宋体" w:cs="宋体"/>
          <w:color w:val="auto"/>
          <w:kern w:val="0"/>
          <w:szCs w:val="21"/>
          <w:highlight w:val="none"/>
          <w:lang w:bidi="ar"/>
        </w:rPr>
        <w:t>、四水厂设计规模20万吨/日，自来水生产均采用混凝-沉淀-过滤-消毒常规工艺。近年受滁州地区长期干旱、高温等极端天气影响，水厂生产用原水出现季节性高锰酸盐指数、藻类、氨氮异常升高等问题。由于水厂供水设施存在加药种类单一，投加点单一，投药不精确的情况，导致出厂水消毒副产物和高锰酸钾盐指数季节性接近国标限值。</w:t>
      </w:r>
    </w:p>
    <w:p w14:paraId="60F9CA41">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为此，特计划实施本工程来解决上述问题，主要包含增加二氧化碳投加工艺、精准加药系统改造、原水新增高锰酸钾复合盐及粉炭投加系统、滤池气浮工艺等。</w:t>
      </w:r>
    </w:p>
    <w:p w14:paraId="5B76CF9A">
      <w:pPr>
        <w:pStyle w:val="5"/>
        <w:spacing w:before="93" w:beforeLines="30" w:after="93" w:afterLines="30" w:line="500" w:lineRule="exact"/>
        <w:ind w:firstLine="422"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1.2改造范围</w:t>
      </w:r>
    </w:p>
    <w:p w14:paraId="16B823DB">
      <w:pPr>
        <w:pStyle w:val="6"/>
        <w:spacing w:before="0" w:after="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1.2.1 水厂精准加药系统改造</w:t>
      </w:r>
    </w:p>
    <w:p w14:paraId="4E15F86B">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西涧湖水厂二车间增加流量计、余氯检测设备，将流量计信号发送至中控室，实现主加氯量（依据滤后水流量信号）和投矾量（依据原水流量信号）自动调控；出厂水余氯信号传至PLC控制柜，实现水厂补加氯依据余氯反馈值自动调控。</w:t>
      </w:r>
    </w:p>
    <w:p w14:paraId="2F8054AC">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2、西涧湖水厂二车间增加二氧化碳投加系统，实现调整降低原水pH值至合适范围，改善絮凝效果，达到抑制原水藻类滋生，降低出厂水余铝超标风险的目的。</w:t>
      </w:r>
    </w:p>
    <w:p w14:paraId="59ACFF44">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3、三水厂增加清水池出水余氯检测设备，将出厂水余氯信号传至PLC控制柜，实现补加氯依据余氯反馈值自动调控。</w:t>
      </w:r>
    </w:p>
    <w:p w14:paraId="34AA6175">
      <w:pPr>
        <w:pStyle w:val="6"/>
        <w:spacing w:before="0" w:after="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1.2.2 </w:t>
      </w:r>
      <w:bookmarkStart w:id="723" w:name="OLE_LINK4"/>
      <w:r>
        <w:rPr>
          <w:rFonts w:hint="eastAsia" w:ascii="宋体" w:hAnsi="宋体" w:cs="宋体"/>
          <w:color w:val="auto"/>
          <w:sz w:val="21"/>
          <w:szCs w:val="21"/>
          <w:highlight w:val="none"/>
        </w:rPr>
        <w:t>西涧湖水厂二车间沉淀池进水管改造</w:t>
      </w:r>
      <w:bookmarkEnd w:id="723"/>
    </w:p>
    <w:p w14:paraId="179CA60E">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一二期沉淀池进水不平衡，需将进水管手动蝶阀改装为电动蝶阀，并与水厂内原水流量计联动，实现一二期进水一致。</w:t>
      </w:r>
    </w:p>
    <w:p w14:paraId="5DB01C6E">
      <w:pPr>
        <w:pStyle w:val="5"/>
        <w:spacing w:before="93" w:beforeLines="30" w:after="93" w:afterLines="30"/>
        <w:ind w:firstLine="422" w:firstLineChars="200"/>
        <w:jc w:val="left"/>
        <w:rPr>
          <w:rFonts w:hint="eastAsia" w:ascii="宋体" w:hAnsi="宋体" w:eastAsia="宋体" w:cs="宋体"/>
          <w:bCs w:val="0"/>
          <w:color w:val="auto"/>
          <w:sz w:val="21"/>
          <w:szCs w:val="21"/>
          <w:highlight w:val="none"/>
        </w:rPr>
      </w:pPr>
      <w:r>
        <w:rPr>
          <w:rFonts w:hint="eastAsia" w:ascii="宋体" w:hAnsi="宋体" w:cs="宋体"/>
          <w:color w:val="auto"/>
          <w:sz w:val="21"/>
          <w:szCs w:val="21"/>
          <w:highlight w:val="none"/>
        </w:rPr>
        <w:t>1.2.3三水厂增加粉炭投加系统</w:t>
      </w:r>
    </w:p>
    <w:p w14:paraId="395006FC">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在三水厂进水端增加粉炭投加系统，应对原水嗅味、藻类等水质问题。</w:t>
      </w:r>
    </w:p>
    <w:p w14:paraId="415650B0">
      <w:pPr>
        <w:pStyle w:val="6"/>
        <w:spacing w:before="0" w:after="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1.2.4三水厂取水泵房增加高锰酸钾复合盐及粉炭投加系统</w:t>
      </w:r>
    </w:p>
    <w:p w14:paraId="1F27CE3F">
      <w:pPr>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在三水厂取水泵房除增加高锰酸钾复合盐及粉炭投加系统，加强原水预处理，应对原水嗅味、藻类、有机物等水质问题。</w:t>
      </w:r>
    </w:p>
    <w:p w14:paraId="29E733EB">
      <w:pPr>
        <w:pStyle w:val="6"/>
        <w:spacing w:before="0" w:after="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1.2.5 水厂滤池增加气浮工艺</w:t>
      </w:r>
    </w:p>
    <w:p w14:paraId="3157B111">
      <w:pPr>
        <w:spacing w:line="500" w:lineRule="exact"/>
        <w:ind w:firstLine="420" w:firstLineChars="200"/>
        <w:jc w:val="left"/>
        <w:rPr>
          <w:rFonts w:ascii="宋体" w:hAnsi="宋体" w:cs="宋体"/>
          <w:color w:val="auto"/>
          <w:szCs w:val="21"/>
          <w:highlight w:val="none"/>
        </w:rPr>
      </w:pPr>
      <w:r>
        <w:rPr>
          <w:rFonts w:hint="eastAsia" w:ascii="宋体" w:hAnsi="宋体" w:eastAsia="宋体" w:cs="宋体"/>
          <w:color w:val="auto"/>
          <w:kern w:val="0"/>
          <w:sz w:val="21"/>
          <w:szCs w:val="21"/>
          <w:highlight w:val="none"/>
          <w:lang w:bidi="ar"/>
        </w:rPr>
        <w:t>在西涧湖水厂二车间、三水厂、四水厂的滤池上增加</w:t>
      </w:r>
      <w:r>
        <w:rPr>
          <w:rFonts w:hint="eastAsia" w:ascii="宋体" w:hAnsi="宋体" w:eastAsia="宋体" w:cs="宋体"/>
          <w:color w:val="auto"/>
          <w:sz w:val="21"/>
          <w:szCs w:val="21"/>
          <w:highlight w:val="none"/>
        </w:rPr>
        <w:t>压力溶气气浮系统提高</w:t>
      </w:r>
      <w:r>
        <w:rPr>
          <w:rFonts w:hint="eastAsia" w:ascii="宋体" w:hAnsi="宋体" w:cs="宋体"/>
          <w:color w:val="auto"/>
          <w:sz w:val="21"/>
          <w:szCs w:val="21"/>
          <w:highlight w:val="none"/>
          <w:lang w:val="en-US" w:eastAsia="zh-CN"/>
        </w:rPr>
        <w:t>工艺</w:t>
      </w:r>
      <w:r>
        <w:rPr>
          <w:rFonts w:hint="eastAsia" w:ascii="宋体" w:hAnsi="宋体" w:eastAsia="宋体" w:cs="宋体"/>
          <w:color w:val="auto"/>
          <w:sz w:val="21"/>
          <w:szCs w:val="21"/>
          <w:highlight w:val="none"/>
        </w:rPr>
        <w:t>去除藻类能力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改善滤池水质环境</w:t>
      </w:r>
      <w:r>
        <w:rPr>
          <w:rFonts w:hint="eastAsia" w:ascii="宋体" w:hAnsi="宋体" w:cs="宋体"/>
          <w:color w:val="auto"/>
          <w:szCs w:val="21"/>
          <w:highlight w:val="none"/>
        </w:rPr>
        <w:t>。</w:t>
      </w:r>
    </w:p>
    <w:p w14:paraId="1C3148DE">
      <w:pPr>
        <w:pStyle w:val="5"/>
        <w:spacing w:before="93" w:beforeLines="30" w:after="93" w:afterLines="30" w:line="500" w:lineRule="exact"/>
        <w:ind w:firstLine="422"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1.3 改造目标</w:t>
      </w:r>
    </w:p>
    <w:p w14:paraId="79B3CBBB">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通过完善水厂现状工艺，提高水厂对原水藻类、有机物等污染物的去除效率；实现加药过程的精准控制，提高消毒效果，减少生产药剂消耗，降低消毒副产物、余铝等指标超标风险，提升水厂原水水质突变应对能力，确保出厂水稳定达标。</w:t>
      </w:r>
    </w:p>
    <w:p w14:paraId="085C574F">
      <w:pPr>
        <w:pStyle w:val="4"/>
        <w:spacing w:before="93" w:beforeLines="30" w:after="93" w:afterLines="30" w:line="500" w:lineRule="exact"/>
        <w:ind w:left="0" w:firstLine="482" w:firstLineChars="200"/>
        <w:jc w:val="left"/>
        <w:rPr>
          <w:rFonts w:hint="eastAsia" w:ascii="宋体" w:hAnsi="宋体" w:cs="宋体"/>
          <w:color w:val="auto"/>
          <w:sz w:val="24"/>
          <w:szCs w:val="24"/>
          <w:highlight w:val="none"/>
        </w:rPr>
      </w:pPr>
      <w:bookmarkStart w:id="724" w:name="_Toc436668571"/>
      <w:bookmarkStart w:id="725" w:name="_Toc192433722"/>
      <w:r>
        <w:rPr>
          <w:rFonts w:hint="eastAsia" w:ascii="宋体" w:hAnsi="宋体" w:cs="宋体"/>
          <w:color w:val="auto"/>
          <w:sz w:val="24"/>
          <w:szCs w:val="24"/>
          <w:highlight w:val="none"/>
        </w:rPr>
        <w:t>2.工程范围</w:t>
      </w:r>
    </w:p>
    <w:p w14:paraId="43960F56">
      <w:pPr>
        <w:pStyle w:val="5"/>
        <w:spacing w:before="93" w:beforeLines="30" w:after="93" w:afterLines="30" w:line="500" w:lineRule="exact"/>
        <w:ind w:firstLine="422" w:firstLineChars="200"/>
        <w:jc w:val="lef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2.1设计阶段 </w:t>
      </w:r>
    </w:p>
    <w:p w14:paraId="4AE69A9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2.2.1</w:t>
      </w:r>
      <w:r>
        <w:rPr>
          <w:rFonts w:hint="eastAsia" w:ascii="宋体" w:hAnsi="宋体" w:cs="宋体"/>
          <w:color w:val="auto"/>
          <w:szCs w:val="21"/>
          <w:highlight w:val="none"/>
        </w:rPr>
        <w:t>完成初步设计的优化，</w:t>
      </w:r>
      <w:r>
        <w:rPr>
          <w:rFonts w:ascii="宋体" w:hAnsi="宋体" w:cs="宋体"/>
          <w:color w:val="auto"/>
          <w:szCs w:val="21"/>
          <w:highlight w:val="none"/>
        </w:rPr>
        <w:t>10个日历天完成施工图设计并通过相关部门的审核</w:t>
      </w:r>
      <w:r>
        <w:rPr>
          <w:rFonts w:hint="eastAsia" w:ascii="宋体" w:hAnsi="宋体" w:cs="宋体"/>
          <w:color w:val="auto"/>
          <w:szCs w:val="21"/>
          <w:highlight w:val="none"/>
        </w:rPr>
        <w:t>。</w:t>
      </w:r>
    </w:p>
    <w:p w14:paraId="4823E6D0">
      <w:pPr>
        <w:pStyle w:val="5"/>
        <w:spacing w:before="93" w:beforeLines="30" w:after="93" w:afterLines="30" w:line="500" w:lineRule="exact"/>
        <w:ind w:firstLine="422" w:firstLineChars="200"/>
        <w:jc w:val="lef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2.2 采购阶段</w:t>
      </w:r>
    </w:p>
    <w:p w14:paraId="65B4D0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2.2.1</w:t>
      </w:r>
      <w:r>
        <w:rPr>
          <w:rFonts w:hint="eastAsia" w:ascii="宋体" w:hAnsi="宋体" w:cs="宋体"/>
          <w:color w:val="auto"/>
          <w:szCs w:val="21"/>
          <w:highlight w:val="none"/>
        </w:rPr>
        <w:t>采购符合技术要求的气浮系统设备、加药设备、在线监测设备及相关配套材料。</w:t>
      </w:r>
    </w:p>
    <w:p w14:paraId="50AA89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2.2.2</w:t>
      </w:r>
      <w:r>
        <w:rPr>
          <w:rFonts w:hint="eastAsia" w:ascii="宋体" w:hAnsi="宋体" w:cs="宋体"/>
          <w:color w:val="auto"/>
          <w:szCs w:val="21"/>
          <w:highlight w:val="none"/>
        </w:rPr>
        <w:t>确保设备采购渠道合法，质量可靠，提供设备的合格证明文件和质量检测报告。</w:t>
      </w:r>
    </w:p>
    <w:p w14:paraId="5F75059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2.2.3</w:t>
      </w:r>
      <w:r>
        <w:rPr>
          <w:rFonts w:hint="eastAsia" w:ascii="宋体" w:hAnsi="宋体" w:cs="宋体"/>
          <w:color w:val="auto"/>
          <w:szCs w:val="21"/>
          <w:highlight w:val="none"/>
        </w:rPr>
        <w:t>负责设备的运输、装卸和现场保管工作，确保设备安全到达施工现场。</w:t>
      </w:r>
    </w:p>
    <w:p w14:paraId="6E4E912C">
      <w:pPr>
        <w:pStyle w:val="5"/>
        <w:spacing w:before="93" w:beforeLines="30" w:after="93" w:afterLines="30" w:line="500" w:lineRule="exact"/>
        <w:ind w:firstLine="422" w:firstLineChars="200"/>
        <w:jc w:val="lef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2.3施工阶段</w:t>
      </w:r>
    </w:p>
    <w:p w14:paraId="1643EFE2">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2.3.1</w:t>
      </w:r>
      <w:r>
        <w:rPr>
          <w:rFonts w:hint="eastAsia" w:ascii="宋体" w:hAnsi="宋体" w:cs="宋体"/>
          <w:color w:val="auto"/>
          <w:szCs w:val="21"/>
          <w:highlight w:val="none"/>
        </w:rPr>
        <w:t>按照设计文件和施工规范进行施工，包括土建工程、设备安装调试、电气系统施工等。</w:t>
      </w:r>
    </w:p>
    <w:p w14:paraId="7B8B1596">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2.3.2</w:t>
      </w:r>
      <w:r>
        <w:rPr>
          <w:rFonts w:hint="eastAsia" w:ascii="宋体" w:hAnsi="宋体" w:cs="宋体"/>
          <w:color w:val="auto"/>
          <w:szCs w:val="21"/>
          <w:highlight w:val="none"/>
        </w:rPr>
        <w:t>施工过程中应严格遵守安全生产规定，确保施工人员和设备的安全。</w:t>
      </w:r>
    </w:p>
    <w:p w14:paraId="5BE16522">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2.3.3</w:t>
      </w:r>
      <w:r>
        <w:rPr>
          <w:rFonts w:hint="eastAsia" w:ascii="宋体" w:hAnsi="宋体" w:cs="宋体"/>
          <w:color w:val="auto"/>
          <w:szCs w:val="21"/>
          <w:highlight w:val="none"/>
        </w:rPr>
        <w:t>对施工质量进行全程监控，确保工程质量符合设计要求和相关标准。</w:t>
      </w:r>
    </w:p>
    <w:p w14:paraId="316730EE">
      <w:pPr>
        <w:pStyle w:val="5"/>
        <w:spacing w:before="93" w:beforeLines="30" w:after="93" w:afterLines="30" w:line="500" w:lineRule="exact"/>
        <w:ind w:firstLine="422" w:firstLineChars="200"/>
        <w:jc w:val="lef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2.4调试与验收阶段</w:t>
      </w:r>
    </w:p>
    <w:p w14:paraId="5A45AC65">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2.4.1</w:t>
      </w:r>
      <w:r>
        <w:rPr>
          <w:rFonts w:hint="eastAsia" w:ascii="宋体" w:hAnsi="宋体" w:cs="宋体"/>
          <w:color w:val="auto"/>
          <w:szCs w:val="21"/>
          <w:highlight w:val="none"/>
        </w:rPr>
        <w:t>对改造后的滤池气浮系统、加药系统和自控系统进行调试运行，确保系统运行稳定，各项指标达到设计要求。</w:t>
      </w:r>
    </w:p>
    <w:p w14:paraId="06468CD3">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2.4.2</w:t>
      </w:r>
      <w:r>
        <w:rPr>
          <w:rFonts w:hint="eastAsia" w:ascii="宋体" w:hAnsi="宋体" w:cs="宋体"/>
          <w:color w:val="auto"/>
          <w:szCs w:val="21"/>
          <w:highlight w:val="none"/>
        </w:rPr>
        <w:t>配合业主进行工程验收，提供完整的竣工资料，包括施工记录、设备调试报告、验收报告等。</w:t>
      </w:r>
    </w:p>
    <w:p w14:paraId="24C31371">
      <w:pPr>
        <w:numPr>
          <w:ilvl w:val="-1"/>
          <w:numId w:val="0"/>
        </w:num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2.4.3</w:t>
      </w:r>
      <w:r>
        <w:rPr>
          <w:rFonts w:hint="eastAsia" w:ascii="宋体" w:hAnsi="宋体" w:cs="宋体"/>
          <w:color w:val="auto"/>
          <w:szCs w:val="21"/>
          <w:highlight w:val="none"/>
        </w:rPr>
        <w:t>对业主相关人员进行技术培训，确保其掌握系统的操作和维护方法</w:t>
      </w:r>
    </w:p>
    <w:p w14:paraId="16301CD6">
      <w:pPr>
        <w:pStyle w:val="4"/>
        <w:spacing w:before="0" w:beforeLines="0" w:after="0" w:afterLines="0" w:line="500" w:lineRule="exact"/>
        <w:ind w:left="0"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3.设计</w:t>
      </w:r>
      <w:bookmarkEnd w:id="724"/>
      <w:bookmarkEnd w:id="725"/>
      <w:r>
        <w:rPr>
          <w:rFonts w:hint="eastAsia" w:ascii="宋体" w:hAnsi="宋体" w:cs="宋体"/>
          <w:color w:val="auto"/>
          <w:sz w:val="24"/>
          <w:szCs w:val="24"/>
          <w:highlight w:val="none"/>
        </w:rPr>
        <w:t>要求</w:t>
      </w:r>
    </w:p>
    <w:p w14:paraId="72228E67">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bookmarkStart w:id="726" w:name="_Toc436668572"/>
      <w:bookmarkStart w:id="727" w:name="_Toc192433723"/>
      <w:r>
        <w:rPr>
          <w:rFonts w:hint="eastAsia" w:ascii="宋体" w:hAnsi="宋体" w:eastAsia="宋体" w:cs="宋体"/>
          <w:bCs w:val="0"/>
          <w:color w:val="auto"/>
          <w:sz w:val="21"/>
          <w:szCs w:val="21"/>
          <w:highlight w:val="none"/>
        </w:rPr>
        <w:t>3.1</w:t>
      </w:r>
      <w:bookmarkEnd w:id="726"/>
      <w:r>
        <w:rPr>
          <w:rFonts w:hint="eastAsia" w:ascii="宋体" w:hAnsi="宋体" w:eastAsia="宋体" w:cs="宋体"/>
          <w:bCs w:val="0"/>
          <w:color w:val="auto"/>
          <w:sz w:val="21"/>
          <w:szCs w:val="21"/>
          <w:highlight w:val="none"/>
        </w:rPr>
        <w:t xml:space="preserve"> 水厂精准加药系统改造</w:t>
      </w:r>
      <w:bookmarkEnd w:id="727"/>
    </w:p>
    <w:p w14:paraId="5883879D">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3.1.1流量计、余氯分析仪等的设计</w:t>
      </w:r>
    </w:p>
    <w:p w14:paraId="61DF6C02">
      <w:pPr>
        <w:numPr>
          <w:ilvl w:val="-1"/>
          <w:numId w:val="0"/>
        </w:num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选型要求</w:t>
      </w:r>
    </w:p>
    <w:p w14:paraId="7CF42791">
      <w:pPr>
        <w:pStyle w:val="53"/>
        <w:spacing w:beforeLines="0" w:afterLines="0" w:line="500" w:lineRule="exact"/>
        <w:ind w:firstLine="422" w:firstLineChars="200"/>
        <w:jc w:val="left"/>
        <w:rPr>
          <w:rFonts w:ascii="宋体" w:hAnsi="宋体"/>
          <w:b w:val="0"/>
          <w:bCs/>
          <w:color w:val="auto"/>
          <w:szCs w:val="21"/>
          <w:highlight w:val="none"/>
        </w:rPr>
      </w:pPr>
      <w:r>
        <w:rPr>
          <w:rFonts w:hint="eastAsia" w:ascii="宋体" w:hAnsi="宋体"/>
          <w:color w:val="auto"/>
          <w:szCs w:val="21"/>
          <w:highlight w:val="none"/>
        </w:rPr>
        <w:t xml:space="preserve">   </w:t>
      </w:r>
      <w:r>
        <w:rPr>
          <w:rFonts w:hint="eastAsia" w:ascii="宋体" w:hAnsi="宋体"/>
          <w:b w:val="0"/>
          <w:bCs/>
          <w:color w:val="auto"/>
          <w:szCs w:val="21"/>
          <w:highlight w:val="none"/>
        </w:rPr>
        <w:t>应选择适合水厂现状工艺流程和水质特性的流量计类型，流量计的量程范围应覆盖车间正常运行流量以及可能出现的高峰和低谷流量，确保在不同工况下都能准确测量。精度要求不低于±1%，以保证流量信号的准确性，为加氯量的精准调控提供可靠依据。</w:t>
      </w:r>
    </w:p>
    <w:p w14:paraId="0CCB56AB">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应选择在线式余氯检测仪，能够实时、连续地监测出厂水中的余氯含量。检测仪的测量范围应覆盖水厂出厂水余氯的正常范围以及可能出现的波动范围，一般为0 - 5mg/L。精度要求不低于±0.1mg/L，以确保余氯反馈值的准确性，为补加氯的调控提供可靠依据。</w:t>
      </w:r>
    </w:p>
    <w:p w14:paraId="5FFE10B9">
      <w:pPr>
        <w:pStyle w:val="53"/>
        <w:numPr>
          <w:ilvl w:val="-1"/>
          <w:numId w:val="0"/>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安装要求</w:t>
      </w:r>
    </w:p>
    <w:p w14:paraId="0A1D640F">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流量计安装位置应选择在水流稳定、无涡流的直管段，以减少管道内流体流动状态对测量结果的影响。流量计应水平安装，且保证管道内充满液体，避免因液体不满管导致测量误差。安装时需考虑便于维护和检修，周围应留有足够的空间，便于拆卸和校准。</w:t>
      </w:r>
    </w:p>
    <w:p w14:paraId="74882B60">
      <w:pPr>
        <w:pStyle w:val="53"/>
        <w:spacing w:beforeLines="0" w:afterLines="0" w:line="500" w:lineRule="exact"/>
        <w:ind w:left="61" w:leftChars="29"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余氯分析仪安装位置应选择在出厂水管道的合适位置，确保所测量的余氯值能够代表补加氯后出厂水的余氯水平。余氯检测仪的取样点应设置在水流平稳、无气泡和杂质干扰的位置，避免因取样不准确导致测量误差。安装时需考虑便于取样和维护，周围应留有足够的空间，便于清洁和更换传感器。</w:t>
      </w:r>
    </w:p>
    <w:p w14:paraId="6F66F4CD">
      <w:pPr>
        <w:pStyle w:val="53"/>
        <w:numPr>
          <w:ilvl w:val="-1"/>
          <w:numId w:val="0"/>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信号传输要求</w:t>
      </w:r>
    </w:p>
    <w:p w14:paraId="3F7AE58F">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流量计应具备标准的数字信号输出（如Modbus协议），以便将流量信号稳定、准确地传输至中控室。 信号传输线路应采用屏蔽电缆，避免受到外界电磁干扰，确保信号传输的稳定性。在信号传输过程中，应设置信号中继设备（如信号放大器），以保证长距离传输时信号不失真。</w:t>
      </w:r>
    </w:p>
    <w:p w14:paraId="5C71C98C">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余氯检测仪应具备标准的数字信号输出，以便将余氯信号稳定、准确地传输至PLC控制柜。信号传输线路同样应采用屏蔽电缆，避免受到外界干扰。在信号传输过程中，也应设置信号中继设备，确保信号的稳定传输。</w:t>
      </w:r>
    </w:p>
    <w:p w14:paraId="1F72A0D5">
      <w:pPr>
        <w:pStyle w:val="53"/>
        <w:spacing w:beforeLines="0" w:afterLines="0" w:line="500" w:lineRule="exact"/>
        <w:ind w:left="0" w:firstLine="420" w:firstLineChars="200"/>
        <w:jc w:val="both"/>
        <w:rPr>
          <w:rFonts w:ascii="宋体" w:hAnsi="宋体"/>
          <w:b w:val="0"/>
          <w:bCs/>
          <w:color w:val="auto"/>
          <w:szCs w:val="21"/>
          <w:highlight w:val="none"/>
        </w:rPr>
      </w:pPr>
      <w:r>
        <w:rPr>
          <w:rFonts w:hint="eastAsia" w:ascii="宋体" w:hAnsi="宋体"/>
          <w:b w:val="0"/>
          <w:bCs/>
          <w:color w:val="auto"/>
          <w:szCs w:val="21"/>
          <w:highlight w:val="none"/>
          <w:lang w:val="en-US" w:eastAsia="zh-CN"/>
        </w:rPr>
        <w:t>4）</w:t>
      </w:r>
      <w:r>
        <w:rPr>
          <w:rFonts w:hint="eastAsia" w:ascii="宋体" w:hAnsi="宋体"/>
          <w:b w:val="0"/>
          <w:bCs/>
          <w:color w:val="auto"/>
          <w:szCs w:val="21"/>
          <w:highlight w:val="none"/>
        </w:rPr>
        <w:t>自控集成要求</w:t>
      </w:r>
    </w:p>
    <w:p w14:paraId="6218CC15">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流量计的信号接入中控室的DCS（分布式控制系统）或PLC（可编程逻辑控制器）系统，实现数据的实时采集和显示。中控室应具备流量信号的实时监测功能，能够显示瞬时流量、累计流量等参数，并设置流量报警阈值，当流量异常时及时发出警报。根据流量信号，中控室应能够自动调控主加氯设备的加氯量，实现加氯量与流量的联动控制，确保加氯量与水量成正比，保障出厂水水质。</w:t>
      </w:r>
    </w:p>
    <w:p w14:paraId="40454E65">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出厂水余氯信号接入PLC控制柜，PLC根据设定的余氯控制范围和反馈值，自动调控水厂的补加氯设备，实现余氯的闭环控制。 PLC应具备余氯信号的实时监测功能，能够显示当前余氯值，并设置余氯报警阈值，当余氯过高或过低时及时发出警报。PLC控制逻辑应合理，能够根据余氯反馈值的变化，及时调整补加氯量，确保出厂水余氯在规定的范围内，保障供水水质安全。</w:t>
      </w:r>
    </w:p>
    <w:p w14:paraId="3E58E0DD">
      <w:pPr>
        <w:pStyle w:val="53"/>
        <w:numPr>
          <w:ilvl w:val="255"/>
          <w:numId w:val="0"/>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5</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整体设计要求</w:t>
      </w:r>
    </w:p>
    <w:p w14:paraId="17AE0428">
      <w:pPr>
        <w:pStyle w:val="53"/>
        <w:numPr>
          <w:ilvl w:val="0"/>
          <w:numId w:val="4"/>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设备兼容性要求</w:t>
      </w:r>
    </w:p>
    <w:p w14:paraId="57455452">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 xml:space="preserve"> 流量计、余氯检测设备以及PLC控制柜等设备之间应具备良好的兼容性，能够无缝集成到现有的水厂自动化控制系统中。设备的通信协议应统一，便于数据的交互和共享。</w:t>
      </w:r>
    </w:p>
    <w:p w14:paraId="049C41AD">
      <w:pPr>
        <w:pStyle w:val="53"/>
        <w:numPr>
          <w:ilvl w:val="0"/>
          <w:numId w:val="4"/>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系统稳定性要求</w:t>
      </w:r>
    </w:p>
    <w:p w14:paraId="3B32BFE5">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整个系统应具备高稳定性，设备在运行过程中应能够长期稳定工作，故障率低。应设置备用设备或冗余设计，当主设备出现故障时，备用设备能够及时切换，确保系统的正常运行。</w:t>
      </w:r>
    </w:p>
    <w:p w14:paraId="20B01E49">
      <w:pPr>
        <w:pStyle w:val="53"/>
        <w:numPr>
          <w:ilvl w:val="0"/>
          <w:numId w:val="4"/>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数据安全与记录要求</w:t>
      </w:r>
    </w:p>
    <w:p w14:paraId="312E398B">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系统应具备数据存储功能，能够记录流量和余氯的历史数据，便于后续的数据分析和故障排查。数据存储应具备安全性，防止数据丢失或被篡改。</w:t>
      </w:r>
    </w:p>
    <w:p w14:paraId="218064D5">
      <w:pPr>
        <w:pStyle w:val="53"/>
        <w:numPr>
          <w:ilvl w:val="0"/>
          <w:numId w:val="4"/>
        </w:numPr>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操作与维护要求</w:t>
      </w:r>
    </w:p>
    <w:p w14:paraId="4E17703D">
      <w:pPr>
        <w:pStyle w:val="53"/>
        <w:spacing w:beforeLines="0" w:afterLines="0" w:line="500" w:lineRule="exact"/>
        <w:ind w:firstLine="420" w:firstLineChars="200"/>
        <w:jc w:val="both"/>
        <w:rPr>
          <w:rFonts w:ascii="宋体" w:hAnsi="宋体"/>
          <w:b w:val="0"/>
          <w:bCs/>
          <w:color w:val="auto"/>
          <w:szCs w:val="21"/>
          <w:highlight w:val="none"/>
        </w:rPr>
      </w:pPr>
      <w:r>
        <w:rPr>
          <w:rFonts w:hint="eastAsia" w:ascii="宋体" w:hAnsi="宋体"/>
          <w:b w:val="0"/>
          <w:bCs/>
          <w:color w:val="auto"/>
          <w:szCs w:val="21"/>
          <w:highlight w:val="none"/>
        </w:rPr>
        <w:t>系统应具备简单易用的操作界面，操作人员能够方便地进行参数设置、设备监控和报警处理。设备应具备完善的维护手册和操作说明，便于维护人员进行日常维护和故障排除。</w:t>
      </w:r>
    </w:p>
    <w:p w14:paraId="402D48A9">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3.1.2二氧化碳投加系统的设计</w:t>
      </w:r>
    </w:p>
    <w:p w14:paraId="2524667B">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系统及投加方式要求</w:t>
      </w:r>
    </w:p>
    <w:p w14:paraId="445C296D">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应包括储存系统、投加装置、监测与控制系统等并实现自动调控。采用“液-液”投加方式，即二氧化碳与水混合形成碳酸溶液后再投加，二氧化碳利用率应不低于97%。 </w:t>
      </w:r>
    </w:p>
    <w:p w14:paraId="459EE5F0">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投加量与压力要求</w:t>
      </w:r>
    </w:p>
    <w:p w14:paraId="1209B1A3">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设计投加量应满足水厂设计规模和pH值调节需求，确保在最大生产规模（按5500立方/小时计算）和最不利水质条件（原水pH值为8.5）下正常工作。供气压力应高于投加点处的水压，防止水倒流进入二氧化碳投加装置。</w:t>
      </w:r>
    </w:p>
    <w:p w14:paraId="4B69A2C2">
      <w:pPr>
        <w:spacing w:beforeLines="0" w:afterLines="0" w:line="50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安全性要求 </w:t>
      </w:r>
    </w:p>
    <w:p w14:paraId="71D73AC6">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储存系统安装位置应符合当地法规，避免对周边环境产生影响。 固定式储罐应置于室外，四周设防护栏杆，预留槽车通行空间；钢瓶应置于室内，避免暴晒和加热，室内需配备通风系统；二氧化碳储存和投加设备放置点应设有高位新鲜空气进口和低位排出口。</w:t>
      </w:r>
    </w:p>
    <w:p w14:paraId="5F5ED970">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储存系统应设有防泄漏措施，室内安装二氧化碳泄漏检测仪，报警值设置为日平均0.1%，瞬时0.5%。与二氧化碳接触的管件、阀门等应耐压防腐，优先选用不锈钢材质。系统应设有过压保护措施，防止设备损坏或安全事故。</w:t>
      </w:r>
    </w:p>
    <w:p w14:paraId="0BF4AF89">
      <w:pPr>
        <w:spacing w:beforeLines="0" w:afterLines="0"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控制与监测要求</w:t>
      </w:r>
    </w:p>
    <w:p w14:paraId="240DDD68">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通过设定目标pH值自动调整投加量，手动控制用于自动系统故障时。pH值调节精度控制在±0.1以内，pH值稳定时间宜小于30分钟。 二氧化碳投加流量控反应时间为1秒至4秒。</w:t>
      </w:r>
    </w:p>
    <w:p w14:paraId="107F7CD4">
      <w:pPr>
        <w:spacing w:beforeLines="0" w:afterLines="0"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在原水、投加后沉淀池进水处、出厂水处设置在线pH监测点。采用数据库技术管理监测数据，存储监测点编号、参数及时间点等信息。 系统应具备数据备份功能，历史数据定期备份存档。 监测设备应具备故障报警及自动保护功能。当二氧化碳不足或泄漏时，设备应在20秒内自动停止运行并报警。</w:t>
      </w:r>
    </w:p>
    <w:p w14:paraId="0D64CB3A">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bookmarkStart w:id="728" w:name="_Toc192433724"/>
      <w:r>
        <w:rPr>
          <w:rFonts w:hint="eastAsia" w:ascii="宋体" w:hAnsi="宋体" w:eastAsia="宋体" w:cs="宋体"/>
          <w:bCs w:val="0"/>
          <w:color w:val="auto"/>
          <w:sz w:val="21"/>
          <w:szCs w:val="21"/>
          <w:highlight w:val="none"/>
        </w:rPr>
        <w:t>3.2 西涧湖水厂二车间沉淀池进水管改造</w:t>
      </w:r>
      <w:bookmarkEnd w:id="728"/>
    </w:p>
    <w:p w14:paraId="0568F0EC">
      <w:pPr>
        <w:spacing w:beforeLines="0" w:afterLines="0" w:line="500" w:lineRule="exact"/>
        <w:ind w:firstLine="420" w:firstLineChars="200"/>
        <w:jc w:val="both"/>
        <w:rPr>
          <w:color w:val="auto"/>
          <w:highlight w:val="none"/>
        </w:rPr>
      </w:pPr>
      <w:r>
        <w:rPr>
          <w:rFonts w:hint="eastAsia" w:ascii="宋体" w:hAnsi="宋体" w:cs="宋体"/>
          <w:color w:val="auto"/>
          <w:szCs w:val="21"/>
          <w:highlight w:val="none"/>
        </w:rPr>
        <w:t>现状取水泵房至絮凝池2根DN900原水管，由于路由长度不同，管道水损不一，导致进出2格沉淀池水量不一致。要求设计将折板絮凝池原水管上现状手动蝶阀改为电动蝶阀，依据原水流量信号调整阀门开度，保证两边絮凝池进水量一致。</w:t>
      </w:r>
    </w:p>
    <w:p w14:paraId="59DA73C6">
      <w:pPr>
        <w:pStyle w:val="53"/>
        <w:spacing w:beforeLines="0" w:afterLines="0" w:line="500" w:lineRule="exact"/>
        <w:ind w:firstLine="422" w:firstLineChars="200"/>
        <w:jc w:val="left"/>
        <w:rPr>
          <w:rFonts w:ascii="宋体" w:hAnsi="宋体"/>
          <w:b w:val="0"/>
          <w:bCs/>
          <w:color w:val="auto"/>
          <w:szCs w:val="21"/>
          <w:highlight w:val="none"/>
        </w:rPr>
      </w:pPr>
      <w:r>
        <w:rPr>
          <w:rFonts w:hint="eastAsia"/>
          <w:color w:val="auto"/>
          <w:highlight w:val="none"/>
        </w:rPr>
        <w:t xml:space="preserve"> </w:t>
      </w:r>
      <w:r>
        <w:rPr>
          <w:rFonts w:hint="eastAsia" w:ascii="宋体" w:hAnsi="宋体"/>
          <w:color w:val="auto"/>
          <w:szCs w:val="21"/>
          <w:highlight w:val="none"/>
        </w:rPr>
        <w:t xml:space="preserve"> </w:t>
      </w:r>
      <w:r>
        <w:rPr>
          <w:rFonts w:hint="eastAsia" w:ascii="宋体" w:hAnsi="宋体"/>
          <w:b w:val="0"/>
          <w:bCs/>
          <w:color w:val="auto"/>
          <w:szCs w:val="21"/>
          <w:highlight w:val="none"/>
        </w:rPr>
        <w:t>1</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电动控制机构选型要求</w:t>
      </w:r>
    </w:p>
    <w:p w14:paraId="13CEBFD9">
      <w:pPr>
        <w:pStyle w:val="53"/>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rPr>
        <w:t xml:space="preserve"> 选择适合蝶阀的电动执行器，通常为角行程电动执行器，能够实现0 - 90°的开合角度控制。执行器应具备高精度控制能力，能够根据流量信号精确调节阀门开度；执行器的输出扭矩应满足蝶阀在最大压力和流量工况下的开启和关闭需求；根据蝶阀的规格和工况，选择合适的电机功率，确保执行器在长期运行中不会过载；电动执行器的控制精度应不低于0.1%，能够实现阀门开度的精细调节。执行器的防护等级应符合水厂环境要求，至少达到IP65，以防止灰尘和水进入设备内部，确保设备的可靠性和使用寿命；电动执行器应具备标准的通信接口（如Modbus RTU、Profibus等），能够与中控室的自动化系统（如PLC或DCS）进行数据交互，接收流量信号并反馈阀门开度信息。</w:t>
      </w:r>
    </w:p>
    <w:p w14:paraId="3BE755D8">
      <w:pPr>
        <w:pStyle w:val="53"/>
        <w:numPr>
          <w:ilvl w:val="-1"/>
          <w:numId w:val="0"/>
        </w:numPr>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阀门与执行器的集成要求</w:t>
      </w:r>
    </w:p>
    <w:p w14:paraId="329D8955">
      <w:pPr>
        <w:pStyle w:val="53"/>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rPr>
        <w:t xml:space="preserve"> 电动执行器与蝶阀的连接应采用标准的机械接口，确保传动平稳可靠，在运行过程中不会松动或移位。连接部位应加装密封件，防止漏水或漏气，同时要考虑执行器的安装方向和角度，确保其操作手柄或显示屏便于操作人员观察和操作。 执行器的电源线和信号线应采用屏蔽电缆，避免受到外界电磁干扰。 电源线应连接到可靠的电源系统，信号线应连接到中控室的自动化控制系统。电气连接应符合电气安全规范，接地可靠，确保操作人员的安全。</w:t>
      </w:r>
    </w:p>
    <w:p w14:paraId="2DE988B9">
      <w:pPr>
        <w:pStyle w:val="53"/>
        <w:numPr>
          <w:ilvl w:val="-1"/>
          <w:numId w:val="0"/>
        </w:numPr>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流量信号接收与阀门控制要求</w:t>
      </w:r>
    </w:p>
    <w:p w14:paraId="29D2E085">
      <w:pPr>
        <w:pStyle w:val="53"/>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rPr>
        <w:t>电动执行器应能够接收来自流量计的标准模拟信号（如4 - 20mA）或数字信号（如Modbus协议），并将其转换为阀门开度的控制指令。执行器应具备信号滤波功能，避免因流量信号的波动导致阀门频繁动作。根据流量信号的大小，执行器应能够自动调节蝶阀的开度，以实现流量的精确控制。控制逻辑应具备以下功能：1）比例控制：根据流量信号的变化，按比例调整阀门开度。2） 积分控制：消除流量偏差的积累，确保流量稳定。3） 微分控制：根据流量变化率提前调整阀门开度，减少流量波动。执行器应具备手动/自动切换功能，便于在调试或故障时手动操作阀门。</w:t>
      </w:r>
    </w:p>
    <w:p w14:paraId="4F7AFD93">
      <w:pPr>
        <w:pStyle w:val="53"/>
        <w:numPr>
          <w:ilvl w:val="-1"/>
          <w:numId w:val="0"/>
        </w:numPr>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lang w:val="en-US" w:eastAsia="zh-CN"/>
        </w:rPr>
        <w:t>4）</w:t>
      </w:r>
      <w:r>
        <w:rPr>
          <w:rFonts w:hint="eastAsia" w:ascii="宋体" w:hAnsi="宋体"/>
          <w:b w:val="0"/>
          <w:bCs/>
          <w:color w:val="auto"/>
          <w:szCs w:val="21"/>
          <w:highlight w:val="none"/>
        </w:rPr>
        <w:t>系统集成要求</w:t>
      </w:r>
    </w:p>
    <w:p w14:paraId="63932756">
      <w:pPr>
        <w:pStyle w:val="53"/>
        <w:spacing w:beforeLines="0" w:afterLines="0" w:line="500" w:lineRule="exact"/>
        <w:ind w:firstLine="420" w:firstLineChars="200"/>
        <w:jc w:val="left"/>
        <w:rPr>
          <w:rFonts w:ascii="宋体" w:hAnsi="宋体"/>
          <w:b w:val="0"/>
          <w:bCs/>
          <w:color w:val="auto"/>
          <w:szCs w:val="21"/>
          <w:highlight w:val="none"/>
        </w:rPr>
      </w:pPr>
      <w:r>
        <w:rPr>
          <w:rFonts w:hint="eastAsia" w:ascii="宋体" w:hAnsi="宋体"/>
          <w:b w:val="0"/>
          <w:bCs/>
          <w:color w:val="auto"/>
          <w:szCs w:val="21"/>
          <w:highlight w:val="none"/>
        </w:rPr>
        <w:t>电动执行器应无缝集成到水厂的自动化控制系统中，中控室应能够实时监控阀门开度和流量信号。中控室应能够远程设置阀门的控制参数（如开度范围、控制模式等），并能够远程操作阀门。当阀门开度异常（如超出设定范围或执行器故障）时，执行器应发出报警信号，并可自动切换到安全模式（如保持当前开度或关闭阀门）。执行器应具备数据记录功能，能够存储阀门开度、流量信号等历史数据，便于故障排查和分析。中控系统应定期进行数据备份，防止数据丢失。</w:t>
      </w:r>
    </w:p>
    <w:p w14:paraId="75280621">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bookmarkStart w:id="729" w:name="_Toc192433725"/>
      <w:r>
        <w:rPr>
          <w:rFonts w:hint="eastAsia" w:ascii="宋体" w:hAnsi="宋体" w:eastAsia="宋体" w:cs="宋体"/>
          <w:bCs w:val="0"/>
          <w:color w:val="auto"/>
          <w:sz w:val="21"/>
          <w:szCs w:val="21"/>
          <w:highlight w:val="none"/>
        </w:rPr>
        <w:t xml:space="preserve">3.3 </w:t>
      </w:r>
      <w:bookmarkEnd w:id="729"/>
      <w:r>
        <w:rPr>
          <w:rFonts w:hint="eastAsia" w:ascii="宋体" w:hAnsi="宋体" w:eastAsia="宋体" w:cs="宋体"/>
          <w:bCs w:val="0"/>
          <w:color w:val="auto"/>
          <w:sz w:val="21"/>
          <w:szCs w:val="21"/>
          <w:highlight w:val="none"/>
        </w:rPr>
        <w:t>三水厂增加粉炭投加系统</w:t>
      </w:r>
    </w:p>
    <w:p w14:paraId="7ABCFDC7">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需在厂区内新增一套粉炭投加系统，设计规模按</w:t>
      </w:r>
      <w:r>
        <w:rPr>
          <w:rFonts w:ascii="宋体" w:hAnsi="宋体" w:cs="宋体"/>
          <w:color w:val="auto"/>
          <w:szCs w:val="21"/>
          <w:highlight w:val="none"/>
        </w:rPr>
        <w:t>15万吨/日</w:t>
      </w:r>
      <w:r>
        <w:rPr>
          <w:rFonts w:hint="eastAsia" w:ascii="宋体" w:hAnsi="宋体" w:cs="宋体"/>
          <w:color w:val="auto"/>
          <w:szCs w:val="21"/>
          <w:highlight w:val="none"/>
        </w:rPr>
        <w:t>计，位置位于新建配水井旁。</w:t>
      </w:r>
    </w:p>
    <w:p w14:paraId="3AA1D48F">
      <w:pPr>
        <w:numPr>
          <w:ilvl w:val="-1"/>
          <w:numId w:val="0"/>
        </w:numPr>
        <w:spacing w:beforeLines="0" w:afterLines="0" w:line="500" w:lineRule="exact"/>
        <w:ind w:left="0" w:firstLine="420" w:firstLineChars="200"/>
        <w:jc w:val="left"/>
        <w:rPr>
          <w:rFonts w:ascii="宋体" w:hAnsi="宋体" w:cs="宋体"/>
          <w:color w:val="auto"/>
          <w:szCs w:val="21"/>
          <w:highlight w:val="none"/>
        </w:rPr>
      </w:pPr>
      <w:bookmarkStart w:id="730" w:name="OLE_LINK6"/>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系统组成</w:t>
      </w:r>
    </w:p>
    <w:p w14:paraId="397DFF8A">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由粉末活性炭料仓、真空吸料机、 溶解罐、搅拌器、螺旋给料机 、螺杆投加泵、在线稀释装置、控制系统等设备组成。设计供水量为15万m3/d，粉炭投加量为5-30mg/L，粉炭用量为4.5T/d,约187kg/h。粉炭堆积密度0.4kg/L,粉炭储存料仓40m3，储存10吨，最小存储时间为2天；制备浓度为1-5%,制备/储液罐体积7m3，螺杆泵为4.5m3/h（一用一备）。</w:t>
      </w:r>
    </w:p>
    <w:p w14:paraId="1BC71348">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投加控制要求</w:t>
      </w:r>
    </w:p>
    <w:p w14:paraId="4C1F788C">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将粉末活性炭配制成一定浓度（1% - 5%）的悬乳液通过投加系统投入配水井中，投加量应精确可调，最大投加量应满足粉炭投加浓度30mg/L、进水量7000方/小时的工作情况。 粉末活性炭的投加量、悬乳液的配制和投加均通过PLC控制系统自动控制，投加量的控制精度应不低于±3%，确保投加量的准确性。溶解罐和储存罐的液位及投加流量均有在线仪表实时监控。</w:t>
      </w:r>
    </w:p>
    <w:p w14:paraId="73D6585F">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材质要求</w:t>
      </w:r>
    </w:p>
    <w:p w14:paraId="376CD7DA">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料仓、溶解罐、螺杆投加泵等采用不锈钢材质，耐腐蚀、耐磨损；管道、管件采用UPVC材质，耐腐蚀、耐压。</w:t>
      </w:r>
    </w:p>
    <w:p w14:paraId="2D7CB21D">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安全要求 </w:t>
      </w:r>
    </w:p>
    <w:p w14:paraId="2321EDD1">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系统应具备故障报警功能，当出现设备故障或投加异常时，及时发出警报。系统采用密闭式管道输送设计，避免粉尘泄漏，改善工作环境。加药管路应具备自动冲洗功能，防止悬乳液沉淀堵塞管道。在粉末活性炭储存和投加过程中，应采取防爆措施，避免粉尘爆炸。</w:t>
      </w:r>
    </w:p>
    <w:p w14:paraId="7A4A1350">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设备应安装在平整、稳固的地面上，确保运行稳定。管道连接应牢固、密封，避免泄漏。电气连接应符合电气安全规范，接地可靠。</w:t>
      </w:r>
    </w:p>
    <w:bookmarkEnd w:id="730"/>
    <w:p w14:paraId="56B20411">
      <w:pPr>
        <w:pStyle w:val="22"/>
        <w:spacing w:beforeLines="0" w:afterLines="0" w:line="5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
        <w:gridCol w:w="1567"/>
        <w:gridCol w:w="3072"/>
        <w:gridCol w:w="849"/>
        <w:gridCol w:w="896"/>
        <w:gridCol w:w="1203"/>
        <w:gridCol w:w="1446"/>
      </w:tblGrid>
      <w:tr w14:paraId="6EF44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1981A7E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567" w:type="dxa"/>
            <w:tcBorders>
              <w:top w:val="single" w:color="000000" w:sz="4" w:space="0"/>
              <w:left w:val="single" w:color="000000" w:sz="4" w:space="0"/>
              <w:bottom w:val="single" w:color="000000" w:sz="4" w:space="0"/>
              <w:right w:val="single" w:color="000000" w:sz="4" w:space="0"/>
            </w:tcBorders>
            <w:vAlign w:val="center"/>
          </w:tcPr>
          <w:p w14:paraId="405FA711">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名称</w:t>
            </w:r>
          </w:p>
        </w:tc>
        <w:tc>
          <w:tcPr>
            <w:tcW w:w="3072" w:type="dxa"/>
            <w:tcBorders>
              <w:top w:val="single" w:color="000000" w:sz="4" w:space="0"/>
              <w:left w:val="single" w:color="000000" w:sz="4" w:space="0"/>
              <w:bottom w:val="single" w:color="000000" w:sz="4" w:space="0"/>
              <w:right w:val="single" w:color="000000" w:sz="4" w:space="0"/>
            </w:tcBorders>
            <w:vAlign w:val="center"/>
          </w:tcPr>
          <w:p w14:paraId="260448C9">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参数</w:t>
            </w:r>
          </w:p>
        </w:tc>
        <w:tc>
          <w:tcPr>
            <w:tcW w:w="849" w:type="dxa"/>
            <w:tcBorders>
              <w:top w:val="single" w:color="000000" w:sz="4" w:space="0"/>
              <w:left w:val="single" w:color="000000" w:sz="4" w:space="0"/>
              <w:bottom w:val="single" w:color="000000" w:sz="4" w:space="0"/>
              <w:right w:val="single" w:color="000000" w:sz="4" w:space="0"/>
            </w:tcBorders>
            <w:vAlign w:val="center"/>
          </w:tcPr>
          <w:p w14:paraId="46A03B6A">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08130A5F">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数量</w:t>
            </w:r>
          </w:p>
        </w:tc>
        <w:tc>
          <w:tcPr>
            <w:tcW w:w="1203" w:type="dxa"/>
            <w:tcBorders>
              <w:top w:val="single" w:color="000000" w:sz="4" w:space="0"/>
              <w:left w:val="single" w:color="000000" w:sz="4" w:space="0"/>
              <w:bottom w:val="single" w:color="000000" w:sz="4" w:space="0"/>
              <w:right w:val="single" w:color="000000" w:sz="4" w:space="0"/>
            </w:tcBorders>
            <w:vAlign w:val="center"/>
          </w:tcPr>
          <w:p w14:paraId="323C174D">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安装点</w:t>
            </w:r>
          </w:p>
        </w:tc>
        <w:tc>
          <w:tcPr>
            <w:tcW w:w="1446" w:type="dxa"/>
            <w:tcBorders>
              <w:top w:val="single" w:color="000000" w:sz="4" w:space="0"/>
              <w:left w:val="single" w:color="000000" w:sz="4" w:space="0"/>
              <w:bottom w:val="single" w:color="000000" w:sz="4" w:space="0"/>
              <w:right w:val="single" w:color="000000" w:sz="4" w:space="0"/>
            </w:tcBorders>
            <w:vAlign w:val="center"/>
          </w:tcPr>
          <w:p w14:paraId="6745C5FD">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备注</w:t>
            </w:r>
          </w:p>
        </w:tc>
      </w:tr>
      <w:tr w14:paraId="432B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2D76BE76">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4FE4FF2C">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粉末活性炭投加系统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50C37DA1">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 xml:space="preserve"> 5-30mg/L</w:t>
            </w:r>
          </w:p>
        </w:tc>
        <w:tc>
          <w:tcPr>
            <w:tcW w:w="849" w:type="dxa"/>
            <w:tcBorders>
              <w:top w:val="single" w:color="000000" w:sz="4" w:space="0"/>
              <w:left w:val="single" w:color="000000" w:sz="4" w:space="0"/>
              <w:bottom w:val="single" w:color="000000" w:sz="4" w:space="0"/>
              <w:right w:val="single" w:color="000000" w:sz="4" w:space="0"/>
            </w:tcBorders>
            <w:vAlign w:val="center"/>
          </w:tcPr>
          <w:p w14:paraId="2881C3B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55C69CD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4A02D3A3">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 xml:space="preserve">三水厂 </w:t>
            </w:r>
          </w:p>
        </w:tc>
        <w:tc>
          <w:tcPr>
            <w:tcW w:w="1446" w:type="dxa"/>
            <w:tcBorders>
              <w:top w:val="single" w:color="000000" w:sz="4" w:space="0"/>
              <w:left w:val="single" w:color="000000" w:sz="4" w:space="0"/>
              <w:bottom w:val="single" w:color="000000" w:sz="4" w:space="0"/>
              <w:right w:val="single" w:color="000000" w:sz="4" w:space="0"/>
            </w:tcBorders>
            <w:vAlign w:val="center"/>
          </w:tcPr>
          <w:p w14:paraId="7B9C27FA">
            <w:pPr>
              <w:pStyle w:val="45"/>
              <w:spacing w:beforeLines="0" w:afterLines="0" w:line="500" w:lineRule="exact"/>
              <w:rPr>
                <w:rFonts w:ascii="宋体" w:hAnsi="宋体" w:eastAsia="宋体" w:cs="宋体"/>
                <w:color w:val="auto"/>
                <w:highlight w:val="none"/>
              </w:rPr>
            </w:pPr>
          </w:p>
        </w:tc>
      </w:tr>
    </w:tbl>
    <w:p w14:paraId="6A38FB3F">
      <w:pPr>
        <w:pStyle w:val="5"/>
        <w:spacing w:before="0" w:beforeLines="0" w:after="0" w:afterLines="0" w:line="500" w:lineRule="exact"/>
        <w:ind w:firstLine="422" w:firstLineChars="200"/>
        <w:rPr>
          <w:rFonts w:ascii="宋体" w:hAnsi="宋体" w:eastAsia="宋体" w:cs="宋体"/>
          <w:bCs w:val="0"/>
          <w:color w:val="auto"/>
          <w:sz w:val="21"/>
          <w:szCs w:val="21"/>
          <w:highlight w:val="none"/>
        </w:rPr>
      </w:pPr>
      <w:bookmarkStart w:id="731" w:name="_Toc192433726"/>
      <w:r>
        <w:rPr>
          <w:rFonts w:hint="eastAsia" w:ascii="宋体" w:hAnsi="宋体" w:eastAsia="宋体" w:cs="宋体"/>
          <w:bCs w:val="0"/>
          <w:color w:val="auto"/>
          <w:sz w:val="21"/>
          <w:szCs w:val="21"/>
          <w:highlight w:val="none"/>
        </w:rPr>
        <w:t>3.4 三水厂原水端增加高锰酸钾复合盐及粉炭投加系统</w:t>
      </w:r>
      <w:bookmarkEnd w:id="731"/>
    </w:p>
    <w:p w14:paraId="4C1D69F4">
      <w:pPr>
        <w:pStyle w:val="6"/>
        <w:spacing w:before="0" w:beforeLines="0" w:after="0" w:afterLines="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3.4.1高锰酸钾复合盐投加系统的设计</w:t>
      </w:r>
    </w:p>
    <w:p w14:paraId="7514F958">
      <w:pPr>
        <w:spacing w:beforeLines="0" w:afterLines="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系统要求  </w:t>
      </w:r>
    </w:p>
    <w:p w14:paraId="43531F84">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高锰酸钾复合盐自动投加系统主要由药液溶解存储系统、数字计量泵投加系统、PLC自动化控制系统三部分组成；</w:t>
      </w:r>
    </w:p>
    <w:p w14:paraId="251584F1">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系统装置为应急投加系统也可以实现24小时连续运行，操作简单、安全、实用的一套设备，本系统除了需要人工快速倒料之外，其它都为自动化控制；</w:t>
      </w:r>
    </w:p>
    <w:p w14:paraId="66C91916">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要工艺流程为：高锰酸钾复合盐原料采用25kg袋装包装，通过计算水厂每天高锰酸钾复合盐复合盐的用量，人工称量并倒料至溶解及熟化存储罐。溶解罐1用1备，保证了药剂投加的连续及稳定。通过储液罐液位和高锰酸钾复合盐复合盐投加量配比，使溶液浓度达到1-1.5%，配置好的溶液通过计量泵投加至投加点。</w:t>
      </w:r>
    </w:p>
    <w:p w14:paraId="38057079">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要求整套高锰酸钾复合盐投加系统密封性良好、进料快速顺畅、自动运行，室内无粉尘外溢，系统设备非防爆。</w:t>
      </w:r>
    </w:p>
    <w:p w14:paraId="4E9BDF54">
      <w:pPr>
        <w:tabs>
          <w:tab w:val="left" w:pos="0"/>
        </w:tabs>
        <w:spacing w:beforeLines="0" w:afterLines="0"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投加原料、浓度、投加量要求</w:t>
      </w:r>
    </w:p>
    <w:p w14:paraId="43C536F1">
      <w:pPr>
        <w:spacing w:beforeLines="0" w:afterLines="0" w:line="500" w:lineRule="exact"/>
        <w:ind w:firstLine="452" w:firstLineChars="200"/>
        <w:jc w:val="left"/>
        <w:rPr>
          <w:rFonts w:ascii="宋体" w:hAnsi="宋体" w:cs="宋体"/>
          <w:color w:val="auto"/>
          <w:spacing w:val="8"/>
          <w:szCs w:val="21"/>
          <w:highlight w:val="none"/>
        </w:rPr>
      </w:pPr>
      <w:r>
        <w:rPr>
          <w:rFonts w:hint="eastAsia" w:ascii="宋体" w:hAnsi="宋体" w:cs="宋体"/>
          <w:color w:val="auto"/>
          <w:spacing w:val="8"/>
          <w:szCs w:val="21"/>
          <w:highlight w:val="none"/>
        </w:rPr>
        <w:t>（1）高锰酸钾复合盐原料：25kg袋装固体小颗粒</w:t>
      </w:r>
      <w:r>
        <w:rPr>
          <w:rFonts w:hint="eastAsia" w:ascii="宋体" w:hAnsi="宋体" w:cs="宋体"/>
          <w:color w:val="auto"/>
          <w:szCs w:val="21"/>
          <w:highlight w:val="none"/>
        </w:rPr>
        <w:t>；</w:t>
      </w:r>
    </w:p>
    <w:p w14:paraId="03E96EC0">
      <w:pPr>
        <w:spacing w:beforeLines="0" w:afterLines="0" w:line="500" w:lineRule="exact"/>
        <w:ind w:firstLine="452" w:firstLineChars="200"/>
        <w:jc w:val="left"/>
        <w:rPr>
          <w:rFonts w:ascii="宋体" w:hAnsi="宋体" w:cs="宋体"/>
          <w:color w:val="auto"/>
          <w:spacing w:val="8"/>
          <w:szCs w:val="21"/>
          <w:highlight w:val="none"/>
        </w:rPr>
      </w:pPr>
      <w:r>
        <w:rPr>
          <w:rFonts w:hint="eastAsia" w:ascii="宋体" w:hAnsi="宋体" w:cs="宋体"/>
          <w:color w:val="auto"/>
          <w:spacing w:val="8"/>
          <w:szCs w:val="21"/>
          <w:highlight w:val="none"/>
        </w:rPr>
        <w:t>（2）投加浓度：2%；</w:t>
      </w:r>
    </w:p>
    <w:p w14:paraId="6082B73D">
      <w:pPr>
        <w:topLinePunct/>
        <w:autoSpaceDN/>
        <w:spacing w:beforeLines="0" w:afterLines="0" w:line="500" w:lineRule="exact"/>
        <w:ind w:firstLine="452" w:firstLineChars="200"/>
        <w:jc w:val="left"/>
        <w:rPr>
          <w:rFonts w:ascii="宋体" w:hAnsi="宋体" w:cs="宋体"/>
          <w:color w:val="auto"/>
          <w:szCs w:val="21"/>
          <w:highlight w:val="none"/>
        </w:rPr>
      </w:pPr>
      <w:r>
        <w:rPr>
          <w:rFonts w:hint="eastAsia" w:ascii="宋体" w:hAnsi="宋体" w:cs="宋体"/>
          <w:color w:val="auto"/>
          <w:spacing w:val="8"/>
          <w:szCs w:val="21"/>
          <w:highlight w:val="none"/>
        </w:rPr>
        <w:t>（3）最大投加量为1mg/L，即投加量为：</w:t>
      </w:r>
      <w:r>
        <w:rPr>
          <w:rFonts w:hint="eastAsia" w:ascii="宋体" w:hAnsi="宋体" w:cs="宋体"/>
          <w:color w:val="auto"/>
          <w:szCs w:val="21"/>
          <w:highlight w:val="none"/>
        </w:rPr>
        <w:t xml:space="preserve">制备浓度2%。 </w:t>
      </w:r>
    </w:p>
    <w:p w14:paraId="60F87415">
      <w:pPr>
        <w:pStyle w:val="6"/>
        <w:spacing w:before="0" w:beforeLines="0" w:after="0" w:afterLines="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3.4.2 粉炭投加系统的设计</w:t>
      </w:r>
    </w:p>
    <w:p w14:paraId="688402C3">
      <w:pPr>
        <w:numPr>
          <w:ilvl w:val="-1"/>
          <w:numId w:val="0"/>
        </w:numPr>
        <w:spacing w:beforeLines="0" w:afterLines="0" w:line="500" w:lineRule="exact"/>
        <w:ind w:left="0" w:firstLine="420" w:firstLineChars="200"/>
        <w:jc w:val="left"/>
        <w:rPr>
          <w:rFonts w:ascii="宋体" w:hAnsi="宋体" w:cs="宋体"/>
          <w:color w:val="auto"/>
          <w:szCs w:val="21"/>
          <w:highlight w:val="none"/>
        </w:rPr>
      </w:pPr>
      <w:bookmarkStart w:id="732" w:name="_Toc192433727"/>
      <w:bookmarkStart w:id="733" w:name="_Toc436668575"/>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系统组成</w:t>
      </w:r>
    </w:p>
    <w:p w14:paraId="57F72917">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由粉末活性炭料仓、真空吸料机、 溶解罐、搅拌器、螺旋给料机 、螺杆投加泵、在线稀释装置、控制系统等设备组成。设计供水量为15万m3/d，粉炭投加量为5-30mg/L，粉炭用量为4.5T/d,约187kg/h。粉炭堆积密度0.4kg/L,粉炭储存料仓40m3，储存10吨，最小存储时间为2天；制备浓度为1-5%,制备/储液罐体积7m3，螺杆泵为4.5m3/h（一用一备）。</w:t>
      </w:r>
    </w:p>
    <w:p w14:paraId="4DE5ECF9">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投加控制要求</w:t>
      </w:r>
    </w:p>
    <w:p w14:paraId="798144D9">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将粉末活性炭配制成一定浓度（1% - 5%）的悬乳液通过投加系统投入配水井中，投加量应精确可调，最大投加量应满足粉炭投加浓度30mg/L、进水量7000方/小时的工作情况。 粉末活性炭的投加量、悬乳液的配制和投加均通过PLC控制系统自动控制，投加量的控制精度应不低于±3%，确保投加量的准确性。溶解罐和储存罐的液位及投加流量均有在线仪表实时监控。</w:t>
      </w:r>
    </w:p>
    <w:p w14:paraId="00F8D154">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材质要求</w:t>
      </w:r>
    </w:p>
    <w:p w14:paraId="51C92A70">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料仓、溶解罐、螺杆投加泵等采用不锈钢材质，耐腐蚀、耐磨损；管道、管件采用UPVC材质，耐腐蚀、耐压。</w:t>
      </w:r>
    </w:p>
    <w:p w14:paraId="613CF3AB">
      <w:pPr>
        <w:numPr>
          <w:ilvl w:val="-1"/>
          <w:numId w:val="0"/>
        </w:numPr>
        <w:spacing w:beforeLines="0" w:afterLines="0" w:line="500" w:lineRule="exact"/>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安全要求 </w:t>
      </w:r>
    </w:p>
    <w:p w14:paraId="03BF3EA8">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系统应具备故障报警功能，当出现设备故障或投加异常时，及时发出警报。系统采用密闭式管道输送设计，避免粉尘泄漏，改善工作环境。加药管路应具备自动冲洗功能，防止悬乳液沉淀堵塞管道。在粉末活性炭储存和投加过程中，应采取防爆措施，避免粉尘爆炸。</w:t>
      </w:r>
    </w:p>
    <w:p w14:paraId="0D6BB48B">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设备应安装在平整、稳固的地面上，确保运行稳定。管道连接应牢固、密封，避免泄漏。电气连接应符合电气安全规范，接地可靠。</w:t>
      </w:r>
    </w:p>
    <w:p w14:paraId="0DA770B6">
      <w:pPr>
        <w:pStyle w:val="22"/>
        <w:spacing w:beforeLines="0" w:afterLines="0"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
        <w:gridCol w:w="1567"/>
        <w:gridCol w:w="3072"/>
        <w:gridCol w:w="849"/>
        <w:gridCol w:w="896"/>
        <w:gridCol w:w="1203"/>
        <w:gridCol w:w="1446"/>
      </w:tblGrid>
      <w:tr w14:paraId="43C7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3D42F6CD">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567" w:type="dxa"/>
            <w:tcBorders>
              <w:top w:val="single" w:color="000000" w:sz="4" w:space="0"/>
              <w:left w:val="single" w:color="000000" w:sz="4" w:space="0"/>
              <w:bottom w:val="single" w:color="000000" w:sz="4" w:space="0"/>
              <w:right w:val="single" w:color="000000" w:sz="4" w:space="0"/>
            </w:tcBorders>
            <w:vAlign w:val="center"/>
          </w:tcPr>
          <w:p w14:paraId="4EE86028">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名称</w:t>
            </w:r>
          </w:p>
        </w:tc>
        <w:tc>
          <w:tcPr>
            <w:tcW w:w="3072" w:type="dxa"/>
            <w:tcBorders>
              <w:top w:val="single" w:color="000000" w:sz="4" w:space="0"/>
              <w:left w:val="single" w:color="000000" w:sz="4" w:space="0"/>
              <w:bottom w:val="single" w:color="000000" w:sz="4" w:space="0"/>
              <w:right w:val="single" w:color="000000" w:sz="4" w:space="0"/>
            </w:tcBorders>
            <w:vAlign w:val="center"/>
          </w:tcPr>
          <w:p w14:paraId="7193F0A2">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参数</w:t>
            </w:r>
          </w:p>
        </w:tc>
        <w:tc>
          <w:tcPr>
            <w:tcW w:w="849" w:type="dxa"/>
            <w:tcBorders>
              <w:top w:val="single" w:color="000000" w:sz="4" w:space="0"/>
              <w:left w:val="single" w:color="000000" w:sz="4" w:space="0"/>
              <w:bottom w:val="single" w:color="000000" w:sz="4" w:space="0"/>
              <w:right w:val="single" w:color="000000" w:sz="4" w:space="0"/>
            </w:tcBorders>
            <w:vAlign w:val="center"/>
          </w:tcPr>
          <w:p w14:paraId="68EEA76A">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5665314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数量</w:t>
            </w:r>
          </w:p>
        </w:tc>
        <w:tc>
          <w:tcPr>
            <w:tcW w:w="1203" w:type="dxa"/>
            <w:tcBorders>
              <w:top w:val="single" w:color="000000" w:sz="4" w:space="0"/>
              <w:left w:val="single" w:color="000000" w:sz="4" w:space="0"/>
              <w:bottom w:val="single" w:color="000000" w:sz="4" w:space="0"/>
              <w:right w:val="single" w:color="000000" w:sz="4" w:space="0"/>
            </w:tcBorders>
            <w:vAlign w:val="center"/>
          </w:tcPr>
          <w:p w14:paraId="520BCF6C">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安装点</w:t>
            </w:r>
          </w:p>
        </w:tc>
        <w:tc>
          <w:tcPr>
            <w:tcW w:w="1446" w:type="dxa"/>
            <w:tcBorders>
              <w:top w:val="single" w:color="000000" w:sz="4" w:space="0"/>
              <w:left w:val="single" w:color="000000" w:sz="4" w:space="0"/>
              <w:bottom w:val="single" w:color="000000" w:sz="4" w:space="0"/>
              <w:right w:val="single" w:color="000000" w:sz="4" w:space="0"/>
            </w:tcBorders>
            <w:vAlign w:val="center"/>
          </w:tcPr>
          <w:p w14:paraId="09792559">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备注</w:t>
            </w:r>
          </w:p>
        </w:tc>
      </w:tr>
      <w:tr w14:paraId="11AF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33AA7461">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2BFD2696">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高锰酸钾复合盐投加系统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66B2FCCF">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 xml:space="preserve"> 投加量 Max 3mg/L，制备浓度为1%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5%</w:t>
            </w:r>
          </w:p>
        </w:tc>
        <w:tc>
          <w:tcPr>
            <w:tcW w:w="849" w:type="dxa"/>
            <w:tcBorders>
              <w:top w:val="single" w:color="000000" w:sz="4" w:space="0"/>
              <w:left w:val="single" w:color="000000" w:sz="4" w:space="0"/>
              <w:bottom w:val="single" w:color="000000" w:sz="4" w:space="0"/>
              <w:right w:val="single" w:color="000000" w:sz="4" w:space="0"/>
            </w:tcBorders>
            <w:vAlign w:val="center"/>
          </w:tcPr>
          <w:p w14:paraId="42743F6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52F6796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61821CB9">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三厂取水泵房</w:t>
            </w:r>
          </w:p>
        </w:tc>
        <w:tc>
          <w:tcPr>
            <w:tcW w:w="1446" w:type="dxa"/>
            <w:tcBorders>
              <w:top w:val="single" w:color="000000" w:sz="4" w:space="0"/>
              <w:left w:val="single" w:color="000000" w:sz="4" w:space="0"/>
              <w:bottom w:val="single" w:color="000000" w:sz="4" w:space="0"/>
              <w:right w:val="single" w:color="000000" w:sz="4" w:space="0"/>
            </w:tcBorders>
            <w:vAlign w:val="center"/>
          </w:tcPr>
          <w:p w14:paraId="162DCDAA">
            <w:pPr>
              <w:pStyle w:val="45"/>
              <w:spacing w:beforeLines="0" w:afterLines="0" w:line="500" w:lineRule="exact"/>
              <w:rPr>
                <w:rFonts w:ascii="宋体" w:hAnsi="宋体" w:eastAsia="宋体" w:cs="宋体"/>
                <w:color w:val="auto"/>
                <w:highlight w:val="none"/>
              </w:rPr>
            </w:pPr>
          </w:p>
        </w:tc>
      </w:tr>
      <w:tr w14:paraId="60E4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4FD8FBEB">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62A7B306">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粉末活性炭投加系统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4A76B6D4">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 xml:space="preserve"> 投加量 5-30mg/L ，制备浓度为1%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 xml:space="preserve">5%  </w:t>
            </w:r>
          </w:p>
        </w:tc>
        <w:tc>
          <w:tcPr>
            <w:tcW w:w="849" w:type="dxa"/>
            <w:tcBorders>
              <w:top w:val="single" w:color="000000" w:sz="4" w:space="0"/>
              <w:left w:val="single" w:color="000000" w:sz="4" w:space="0"/>
              <w:bottom w:val="single" w:color="000000" w:sz="4" w:space="0"/>
              <w:right w:val="single" w:color="000000" w:sz="4" w:space="0"/>
            </w:tcBorders>
            <w:vAlign w:val="center"/>
          </w:tcPr>
          <w:p w14:paraId="07915A2E">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641A44B9">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13474716">
            <w:pPr>
              <w:pStyle w:val="45"/>
              <w:spacing w:beforeLines="0" w:afterLines="0" w:line="500" w:lineRule="exact"/>
              <w:rPr>
                <w:rFonts w:ascii="宋体" w:hAnsi="宋体" w:eastAsia="宋体" w:cs="宋体"/>
                <w:color w:val="auto"/>
                <w:highlight w:val="none"/>
              </w:rPr>
            </w:pPr>
            <w:r>
              <w:rPr>
                <w:rFonts w:hint="eastAsia" w:ascii="宋体" w:hAnsi="宋体" w:eastAsia="宋体" w:cs="宋体"/>
                <w:color w:val="auto"/>
                <w:highlight w:val="none"/>
              </w:rPr>
              <w:t>三厂取水泵房</w:t>
            </w:r>
          </w:p>
        </w:tc>
        <w:tc>
          <w:tcPr>
            <w:tcW w:w="1446" w:type="dxa"/>
            <w:tcBorders>
              <w:top w:val="single" w:color="000000" w:sz="4" w:space="0"/>
              <w:left w:val="single" w:color="000000" w:sz="4" w:space="0"/>
              <w:bottom w:val="single" w:color="000000" w:sz="4" w:space="0"/>
              <w:right w:val="single" w:color="000000" w:sz="4" w:space="0"/>
            </w:tcBorders>
            <w:vAlign w:val="center"/>
          </w:tcPr>
          <w:p w14:paraId="2A1879F6">
            <w:pPr>
              <w:pStyle w:val="45"/>
              <w:spacing w:beforeLines="0" w:afterLines="0" w:line="500" w:lineRule="exact"/>
              <w:rPr>
                <w:rFonts w:ascii="宋体" w:hAnsi="宋体" w:eastAsia="宋体" w:cs="宋体"/>
                <w:color w:val="auto"/>
                <w:highlight w:val="none"/>
              </w:rPr>
            </w:pPr>
          </w:p>
        </w:tc>
      </w:tr>
    </w:tbl>
    <w:p w14:paraId="486C2BA3">
      <w:pPr>
        <w:pStyle w:val="6"/>
        <w:spacing w:before="0" w:beforeLines="0" w:after="0" w:afterLines="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3.5 水厂滤池气浮工艺改造</w:t>
      </w:r>
    </w:p>
    <w:p w14:paraId="115F37D9">
      <w:pPr>
        <w:spacing w:beforeLines="0" w:afterLines="0"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西涧湖水库、黄栗树水库和沙河集水库原水藻类基本维持在1</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rPr>
        <w:t>3×10</w:t>
      </w:r>
      <w:r>
        <w:rPr>
          <w:rFonts w:hint="eastAsia" w:ascii="宋体" w:hAnsi="宋体" w:cs="宋体"/>
          <w:bCs/>
          <w:color w:val="auto"/>
          <w:szCs w:val="21"/>
          <w:highlight w:val="none"/>
          <w:vertAlign w:val="superscript"/>
        </w:rPr>
        <w:t>7</w:t>
      </w:r>
      <w:r>
        <w:rPr>
          <w:rFonts w:hint="eastAsia" w:ascii="宋体" w:hAnsi="宋体" w:cs="宋体"/>
          <w:bCs/>
          <w:color w:val="auto"/>
          <w:szCs w:val="21"/>
          <w:highlight w:val="none"/>
        </w:rPr>
        <w:t>个/L之间，高峰时达到11</w:t>
      </w:r>
      <w:bookmarkStart w:id="734" w:name="OLE_LINK26"/>
      <w:r>
        <w:rPr>
          <w:rFonts w:hint="eastAsia" w:ascii="宋体" w:hAnsi="宋体" w:eastAsia="宋体" w:cs="宋体"/>
          <w:color w:val="auto"/>
          <w:sz w:val="21"/>
          <w:szCs w:val="21"/>
          <w:highlight w:val="none"/>
          <w:lang w:eastAsia="zh-CN"/>
        </w:rPr>
        <w:t>～</w:t>
      </w:r>
      <w:bookmarkEnd w:id="734"/>
      <w:r>
        <w:rPr>
          <w:rFonts w:hint="eastAsia" w:ascii="宋体" w:hAnsi="宋体" w:cs="宋体"/>
          <w:bCs/>
          <w:color w:val="auto"/>
          <w:szCs w:val="21"/>
          <w:highlight w:val="none"/>
        </w:rPr>
        <w:t>15×10</w:t>
      </w:r>
      <w:r>
        <w:rPr>
          <w:rFonts w:hint="eastAsia" w:ascii="宋体" w:hAnsi="宋体" w:cs="宋体"/>
          <w:bCs/>
          <w:color w:val="auto"/>
          <w:szCs w:val="21"/>
          <w:highlight w:val="none"/>
          <w:vertAlign w:val="superscript"/>
        </w:rPr>
        <w:t>7</w:t>
      </w:r>
      <w:r>
        <w:rPr>
          <w:rFonts w:hint="eastAsia" w:ascii="宋体" w:hAnsi="宋体" w:cs="宋体"/>
          <w:bCs/>
          <w:color w:val="auto"/>
          <w:szCs w:val="21"/>
          <w:highlight w:val="none"/>
        </w:rPr>
        <w:t>个/L，均对出厂水水质产生严重影响。要求在西涧湖水厂二车间、第三水厂、第四水厂现状滤池设计压力溶气气浮除藻工艺设备，通过</w:t>
      </w:r>
      <w:bookmarkStart w:id="735" w:name="OLE_LINK27"/>
      <w:r>
        <w:rPr>
          <w:rFonts w:hint="eastAsia" w:ascii="宋体" w:hAnsi="宋体" w:cs="宋体"/>
          <w:bCs/>
          <w:color w:val="auto"/>
          <w:szCs w:val="21"/>
          <w:highlight w:val="none"/>
        </w:rPr>
        <w:t>压力溶气气浮工艺</w:t>
      </w:r>
      <w:bookmarkEnd w:id="735"/>
      <w:r>
        <w:rPr>
          <w:rFonts w:hint="eastAsia" w:ascii="宋体" w:hAnsi="宋体" w:cs="宋体"/>
          <w:bCs/>
          <w:color w:val="auto"/>
          <w:szCs w:val="21"/>
          <w:highlight w:val="none"/>
        </w:rPr>
        <w:t>进行降藻。</w:t>
      </w:r>
    </w:p>
    <w:p w14:paraId="58C47D01">
      <w:pPr>
        <w:pStyle w:val="6"/>
        <w:spacing w:before="0" w:beforeLines="0" w:after="0" w:afterLines="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3.5.1设计规模</w:t>
      </w:r>
    </w:p>
    <w:p w14:paraId="0EF0F5C4">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西涧湖水厂第二车间设计规模为10万m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/d，共两组双阀滤池，单组滤池为8格。计划新增2套溶气气浮系统，单套溶气气浮系统对应一组滤池，设计规模为5万m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w:t>
      </w:r>
    </w:p>
    <w:p w14:paraId="15D1A8E3">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第三水厂按设计规模10万m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/d计，共两组V型滤池，单组滤池为4格。计划新增1套溶气气浮系统，设计规模为10万m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w:t>
      </w:r>
    </w:p>
    <w:p w14:paraId="009AAA9D">
      <w:pPr>
        <w:pStyle w:val="11"/>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第四水厂现状设计规模为20万m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/d，共四组V型滤池，单组滤池为4格。计划新增4套溶气气浮系统，单套</w:t>
      </w:r>
      <w:bookmarkStart w:id="736" w:name="OLE_LINK28"/>
      <w:r>
        <w:rPr>
          <w:rFonts w:hint="eastAsia" w:ascii="宋体" w:hAnsi="宋体" w:cs="宋体"/>
          <w:color w:val="auto"/>
          <w:szCs w:val="21"/>
          <w:highlight w:val="none"/>
        </w:rPr>
        <w:t>溶气气浮系统</w:t>
      </w:r>
      <w:bookmarkEnd w:id="736"/>
      <w:r>
        <w:rPr>
          <w:rFonts w:hint="eastAsia" w:ascii="宋体" w:hAnsi="宋体" w:cs="宋体"/>
          <w:color w:val="auto"/>
          <w:szCs w:val="21"/>
          <w:highlight w:val="none"/>
        </w:rPr>
        <w:t>对应一组滤池，设计规模为5万m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/d。</w:t>
      </w:r>
    </w:p>
    <w:p w14:paraId="1FCCF9A0">
      <w:pPr>
        <w:pStyle w:val="6"/>
        <w:spacing w:before="0" w:beforeLines="0" w:after="0" w:afterLines="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3.5.2 溶气气浮系统设计</w:t>
      </w:r>
    </w:p>
    <w:p w14:paraId="0B9100F7">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溶气气浮系统包含加压水泵、空气压缩机、溶气罐、真空排渣装置、表面冲洗装置和电控装置等组成。</w:t>
      </w:r>
    </w:p>
    <w:p w14:paraId="50E122B7">
      <w:pPr>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加压水泵</w:t>
      </w:r>
    </w:p>
    <w:p w14:paraId="256C39AE">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选择合适的加压水泵，其压力应根据溶气罐的溶气压力确定，既要保证足够的溶气量，又要避免压力过高导致气泡合并，影响气浮效果。同时，水泵的流量应满足气浮池的处理水量要求。</w:t>
      </w:r>
    </w:p>
    <w:p w14:paraId="733CCEEE">
      <w:pPr>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空气压缩机</w:t>
      </w:r>
    </w:p>
    <w:p w14:paraId="4CA5CCAC">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空气压缩机应具备出气速度快、出气压力高、运行噪音低等特点，其产气量和压力需与溶气罐的溶气需求相匹配，确保能够为溶气罐提供充足的压缩空气。</w:t>
      </w:r>
    </w:p>
    <w:p w14:paraId="607A13AA">
      <w:pPr>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溶气罐</w:t>
      </w:r>
    </w:p>
    <w:p w14:paraId="40D7489E">
      <w:p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溶气罐是实现水和空气接触、溶解的关键设备，宜采用能耗低、溶气效率高的喷淋式填料罐。溶气罐的容积应根据所选工艺流程和处理水量确定，同时要考虑溶气罐内的填料类型和布置方式，以提高溶气效率。</w:t>
      </w:r>
    </w:p>
    <w:p w14:paraId="057814B1">
      <w:pPr>
        <w:pStyle w:val="11"/>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释放器 </w:t>
      </w:r>
    </w:p>
    <w:p w14:paraId="04DD18CD">
      <w:pPr>
        <w:pStyle w:val="11"/>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选择合适的释放器，其性能直接影响气泡的形成和分布。释放器应能够将溶气水中的空气以微小气泡的形式均匀释放出来，气泡直径越小，气浮效果越好，但也要考虑气泡的上浮速度和对水体的扰动等因素。</w:t>
      </w:r>
    </w:p>
    <w:p w14:paraId="56190420">
      <w:pPr>
        <w:pStyle w:val="11"/>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真空排渣装置</w:t>
      </w:r>
    </w:p>
    <w:p w14:paraId="2F8F9FD3">
      <w:pPr>
        <w:pStyle w:val="11"/>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排渣装置应运行稳定，能够及时将浮渣吸除并排出气浮池，避免浮渣堆积影响气浮效果和池体的有效容积。</w:t>
      </w:r>
    </w:p>
    <w:p w14:paraId="23EA18EA">
      <w:pPr>
        <w:pStyle w:val="11"/>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电气控制箱</w:t>
      </w:r>
    </w:p>
    <w:p w14:paraId="57C2C72A">
      <w:pPr>
        <w:pStyle w:val="11"/>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应符合相关标准规定，具备可靠的接地措施，电气控制装置的绝缘电阻应满足要求，以保证设备的安全运行和操作人员的人身安全。</w:t>
      </w:r>
    </w:p>
    <w:p w14:paraId="30A7FAD7">
      <w:pPr>
        <w:pStyle w:val="11"/>
        <w:numPr>
          <w:ilvl w:val="0"/>
          <w:numId w:val="5"/>
        </w:numPr>
        <w:spacing w:beforeLines="0" w:afterLines="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自动化控制</w:t>
      </w:r>
    </w:p>
    <w:p w14:paraId="0DEF2806">
      <w:pPr>
        <w:spacing w:beforeLines="0" w:afterLines="0" w:line="500" w:lineRule="exact"/>
        <w:ind w:firstLine="420" w:firstLineChars="200"/>
        <w:jc w:val="left"/>
        <w:rPr>
          <w:color w:val="auto"/>
          <w:highlight w:val="none"/>
        </w:rPr>
      </w:pPr>
      <w:r>
        <w:rPr>
          <w:rFonts w:hint="eastAsia" w:ascii="宋体" w:hAnsi="宋体" w:cs="宋体"/>
          <w:color w:val="auto"/>
          <w:szCs w:val="21"/>
          <w:highlight w:val="none"/>
        </w:rPr>
        <w:t>各气浮装置主要用电设备可以现场手动控制和PLC自动控制，正常情况下，各用电设备均由自控系统根据工艺流程要求实现自动控制。自控子站可采用线缆与上级PLC主站通讯。</w:t>
      </w:r>
    </w:p>
    <w:p w14:paraId="0C7E4B65">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四、专业技术要求</w:t>
      </w:r>
      <w:bookmarkEnd w:id="732"/>
      <w:bookmarkEnd w:id="733"/>
    </w:p>
    <w:p w14:paraId="05D81E43">
      <w:pPr>
        <w:pStyle w:val="6"/>
        <w:spacing w:before="93" w:beforeLines="30" w:after="93" w:afterLines="30" w:line="5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特别说明：中标人可根据深化后的内容完善和补充设备工程量，但不得低于招标人提供的基本配置量。</w:t>
      </w:r>
    </w:p>
    <w:p w14:paraId="605FA0C7">
      <w:pPr>
        <w:pStyle w:val="6"/>
        <w:spacing w:before="93" w:beforeLines="30" w:after="93" w:afterLines="30"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4.1主要工程量清单</w:t>
      </w:r>
    </w:p>
    <w:p w14:paraId="71473288">
      <w:pPr>
        <w:pStyle w:val="6"/>
        <w:spacing w:before="0" w:after="0" w:line="500" w:lineRule="exact"/>
        <w:jc w:val="center"/>
        <w:rPr>
          <w:rFonts w:ascii="宋体" w:hAnsi="宋体" w:cs="宋体"/>
          <w:color w:val="auto"/>
          <w:sz w:val="22"/>
          <w:szCs w:val="21"/>
          <w:highlight w:val="none"/>
        </w:rPr>
      </w:pPr>
      <w:r>
        <w:rPr>
          <w:rFonts w:hint="eastAsia" w:ascii="宋体" w:hAnsi="宋体" w:cs="宋体"/>
          <w:color w:val="auto"/>
          <w:sz w:val="22"/>
          <w:szCs w:val="21"/>
          <w:highlight w:val="none"/>
        </w:rPr>
        <w:t>表4-1 主要工程量表</w:t>
      </w:r>
    </w:p>
    <w:tbl>
      <w:tblPr>
        <w:tblStyle w:val="23"/>
        <w:tblW w:w="0" w:type="auto"/>
        <w:tblInd w:w="-388" w:type="dxa"/>
        <w:tblLayout w:type="fixed"/>
        <w:tblCellMar>
          <w:top w:w="0" w:type="dxa"/>
          <w:left w:w="108" w:type="dxa"/>
          <w:bottom w:w="0" w:type="dxa"/>
          <w:right w:w="108" w:type="dxa"/>
        </w:tblCellMar>
      </w:tblPr>
      <w:tblGrid>
        <w:gridCol w:w="1110"/>
        <w:gridCol w:w="1725"/>
        <w:gridCol w:w="1545"/>
        <w:gridCol w:w="1470"/>
        <w:gridCol w:w="1248"/>
        <w:gridCol w:w="482"/>
        <w:gridCol w:w="1105"/>
        <w:gridCol w:w="1920"/>
      </w:tblGrid>
      <w:tr w14:paraId="19F0D827">
        <w:tblPrEx>
          <w:tblCellMar>
            <w:top w:w="0" w:type="dxa"/>
            <w:left w:w="108" w:type="dxa"/>
            <w:bottom w:w="0" w:type="dxa"/>
            <w:right w:w="108" w:type="dxa"/>
          </w:tblCellMar>
        </w:tblPrEx>
        <w:trPr>
          <w:trHeight w:val="20" w:hRule="atLeast"/>
          <w:tblHeader/>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E9DA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087C9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标准或图号</w:t>
            </w:r>
          </w:p>
        </w:tc>
        <w:tc>
          <w:tcPr>
            <w:tcW w:w="1545" w:type="dxa"/>
            <w:tcBorders>
              <w:top w:val="single" w:color="auto" w:sz="4" w:space="0"/>
              <w:left w:val="nil"/>
              <w:bottom w:val="single" w:color="auto" w:sz="4" w:space="0"/>
              <w:right w:val="single" w:color="auto" w:sz="4" w:space="0"/>
            </w:tcBorders>
            <w:shd w:val="clear" w:color="auto" w:fill="auto"/>
            <w:vAlign w:val="center"/>
          </w:tcPr>
          <w:p w14:paraId="04055A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1470" w:type="dxa"/>
            <w:tcBorders>
              <w:top w:val="single" w:color="auto" w:sz="4" w:space="0"/>
              <w:left w:val="nil"/>
              <w:bottom w:val="single" w:color="auto" w:sz="4" w:space="0"/>
              <w:right w:val="single" w:color="auto" w:sz="4" w:space="0"/>
            </w:tcBorders>
            <w:shd w:val="clear" w:color="auto" w:fill="auto"/>
            <w:vAlign w:val="center"/>
          </w:tcPr>
          <w:p w14:paraId="7BD1F1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1248" w:type="dxa"/>
            <w:tcBorders>
              <w:top w:val="single" w:color="auto" w:sz="4" w:space="0"/>
              <w:left w:val="nil"/>
              <w:bottom w:val="single" w:color="auto" w:sz="4" w:space="0"/>
              <w:right w:val="single" w:color="auto" w:sz="4" w:space="0"/>
            </w:tcBorders>
            <w:shd w:val="clear" w:color="auto" w:fill="auto"/>
            <w:vAlign w:val="center"/>
          </w:tcPr>
          <w:p w14:paraId="2BB17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材料</w:t>
            </w:r>
          </w:p>
        </w:tc>
        <w:tc>
          <w:tcPr>
            <w:tcW w:w="482" w:type="dxa"/>
            <w:tcBorders>
              <w:top w:val="single" w:color="auto" w:sz="4" w:space="0"/>
              <w:left w:val="nil"/>
              <w:bottom w:val="single" w:color="auto" w:sz="4" w:space="0"/>
              <w:right w:val="single" w:color="auto" w:sz="4" w:space="0"/>
            </w:tcBorders>
            <w:shd w:val="clear" w:color="auto" w:fill="auto"/>
            <w:vAlign w:val="center"/>
          </w:tcPr>
          <w:p w14:paraId="324723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1105" w:type="dxa"/>
            <w:tcBorders>
              <w:top w:val="single" w:color="auto" w:sz="4" w:space="0"/>
              <w:left w:val="nil"/>
              <w:bottom w:val="single" w:color="auto" w:sz="4" w:space="0"/>
              <w:right w:val="single" w:color="auto" w:sz="4" w:space="0"/>
            </w:tcBorders>
            <w:shd w:val="clear" w:color="auto" w:fill="auto"/>
            <w:vAlign w:val="center"/>
          </w:tcPr>
          <w:p w14:paraId="24112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920" w:type="dxa"/>
            <w:tcBorders>
              <w:top w:val="single" w:color="auto" w:sz="4" w:space="0"/>
              <w:left w:val="nil"/>
              <w:bottom w:val="single" w:color="auto" w:sz="4" w:space="0"/>
              <w:right w:val="single" w:color="auto" w:sz="4" w:space="0"/>
            </w:tcBorders>
            <w:shd w:val="clear" w:color="auto" w:fill="auto"/>
            <w:vAlign w:val="center"/>
          </w:tcPr>
          <w:p w14:paraId="62A21C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7204F5C">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53A683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子项一：</w:t>
            </w:r>
          </w:p>
        </w:tc>
        <w:tc>
          <w:tcPr>
            <w:tcW w:w="1725" w:type="dxa"/>
            <w:tcBorders>
              <w:top w:val="nil"/>
              <w:left w:val="nil"/>
              <w:bottom w:val="single" w:color="auto" w:sz="4" w:space="0"/>
              <w:right w:val="single" w:color="auto" w:sz="4" w:space="0"/>
            </w:tcBorders>
            <w:shd w:val="clear" w:color="auto" w:fill="auto"/>
            <w:vAlign w:val="center"/>
          </w:tcPr>
          <w:p w14:paraId="1EB2C6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45971C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6ED894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vAlign w:val="center"/>
          </w:tcPr>
          <w:p w14:paraId="1A5B80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47BB86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05" w:type="dxa"/>
            <w:tcBorders>
              <w:top w:val="nil"/>
              <w:left w:val="nil"/>
              <w:bottom w:val="single" w:color="auto" w:sz="4" w:space="0"/>
              <w:right w:val="single" w:color="auto" w:sz="4" w:space="0"/>
            </w:tcBorders>
            <w:shd w:val="clear" w:color="auto" w:fill="auto"/>
            <w:vAlign w:val="center"/>
          </w:tcPr>
          <w:p w14:paraId="53C958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20" w:type="dxa"/>
            <w:tcBorders>
              <w:top w:val="nil"/>
              <w:left w:val="nil"/>
              <w:bottom w:val="single" w:color="auto" w:sz="4" w:space="0"/>
              <w:right w:val="single" w:color="auto" w:sz="4" w:space="0"/>
            </w:tcBorders>
            <w:shd w:val="clear" w:color="auto" w:fill="auto"/>
            <w:vAlign w:val="center"/>
          </w:tcPr>
          <w:p w14:paraId="2262B9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751A217">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13DE7A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25" w:type="dxa"/>
            <w:tcBorders>
              <w:top w:val="nil"/>
              <w:left w:val="nil"/>
              <w:bottom w:val="single" w:color="auto" w:sz="4" w:space="0"/>
              <w:right w:val="single" w:color="auto" w:sz="4" w:space="0"/>
            </w:tcBorders>
            <w:shd w:val="clear" w:color="auto" w:fill="auto"/>
            <w:vAlign w:val="center"/>
          </w:tcPr>
          <w:p w14:paraId="4997F1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097722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插入式流量计</w:t>
            </w:r>
          </w:p>
        </w:tc>
        <w:tc>
          <w:tcPr>
            <w:tcW w:w="1470" w:type="dxa"/>
            <w:tcBorders>
              <w:top w:val="nil"/>
              <w:left w:val="nil"/>
              <w:bottom w:val="single" w:color="auto" w:sz="4" w:space="0"/>
              <w:right w:val="single" w:color="auto" w:sz="4" w:space="0"/>
            </w:tcBorders>
            <w:shd w:val="clear" w:color="auto" w:fill="auto"/>
            <w:vAlign w:val="center"/>
          </w:tcPr>
          <w:p w14:paraId="7AA722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DN900，PN=0.6MPa</w:t>
            </w:r>
          </w:p>
        </w:tc>
        <w:tc>
          <w:tcPr>
            <w:tcW w:w="1248" w:type="dxa"/>
            <w:tcBorders>
              <w:top w:val="nil"/>
              <w:left w:val="nil"/>
              <w:bottom w:val="single" w:color="auto" w:sz="4" w:space="0"/>
              <w:right w:val="single" w:color="auto" w:sz="4" w:space="0"/>
            </w:tcBorders>
            <w:shd w:val="clear" w:color="auto" w:fill="auto"/>
            <w:vAlign w:val="center"/>
          </w:tcPr>
          <w:p w14:paraId="47D5C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02EB56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nil"/>
              <w:left w:val="nil"/>
              <w:bottom w:val="single" w:color="auto" w:sz="4" w:space="0"/>
              <w:right w:val="single" w:color="auto" w:sz="4" w:space="0"/>
            </w:tcBorders>
            <w:shd w:val="clear" w:color="auto" w:fill="auto"/>
            <w:vAlign w:val="center"/>
          </w:tcPr>
          <w:p w14:paraId="636931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05585C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成品</w:t>
            </w:r>
          </w:p>
        </w:tc>
      </w:tr>
      <w:tr w14:paraId="19A859E5">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7E887D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725" w:type="dxa"/>
            <w:tcBorders>
              <w:top w:val="nil"/>
              <w:left w:val="nil"/>
              <w:bottom w:val="single" w:color="auto" w:sz="4" w:space="0"/>
              <w:right w:val="single" w:color="auto" w:sz="4" w:space="0"/>
            </w:tcBorders>
            <w:shd w:val="clear" w:color="auto" w:fill="auto"/>
            <w:vAlign w:val="center"/>
          </w:tcPr>
          <w:p w14:paraId="2CB4ED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07MS101-2,162</w:t>
            </w:r>
          </w:p>
        </w:tc>
        <w:tc>
          <w:tcPr>
            <w:tcW w:w="1545" w:type="dxa"/>
            <w:tcBorders>
              <w:top w:val="nil"/>
              <w:left w:val="nil"/>
              <w:bottom w:val="single" w:color="auto" w:sz="4" w:space="0"/>
              <w:right w:val="single" w:color="auto" w:sz="4" w:space="0"/>
            </w:tcBorders>
            <w:shd w:val="clear" w:color="auto" w:fill="auto"/>
            <w:vAlign w:val="center"/>
          </w:tcPr>
          <w:p w14:paraId="0842EC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流量计井</w:t>
            </w:r>
          </w:p>
        </w:tc>
        <w:tc>
          <w:tcPr>
            <w:tcW w:w="1470" w:type="dxa"/>
            <w:tcBorders>
              <w:top w:val="nil"/>
              <w:left w:val="nil"/>
              <w:bottom w:val="single" w:color="auto" w:sz="4" w:space="0"/>
              <w:right w:val="single" w:color="auto" w:sz="4" w:space="0"/>
            </w:tcBorders>
            <w:shd w:val="clear" w:color="auto" w:fill="auto"/>
            <w:vAlign w:val="center"/>
          </w:tcPr>
          <w:p w14:paraId="7BA8FE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1400x1600</w:t>
            </w:r>
          </w:p>
        </w:tc>
        <w:tc>
          <w:tcPr>
            <w:tcW w:w="1248" w:type="dxa"/>
            <w:tcBorders>
              <w:top w:val="nil"/>
              <w:left w:val="nil"/>
              <w:bottom w:val="single" w:color="auto" w:sz="4" w:space="0"/>
              <w:right w:val="single" w:color="auto" w:sz="4" w:space="0"/>
            </w:tcBorders>
            <w:shd w:val="clear" w:color="auto" w:fill="auto"/>
            <w:vAlign w:val="center"/>
          </w:tcPr>
          <w:p w14:paraId="3BFFEC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钢筋混凝土</w:t>
            </w:r>
          </w:p>
        </w:tc>
        <w:tc>
          <w:tcPr>
            <w:tcW w:w="482" w:type="dxa"/>
            <w:tcBorders>
              <w:top w:val="nil"/>
              <w:left w:val="nil"/>
              <w:bottom w:val="single" w:color="auto" w:sz="4" w:space="0"/>
              <w:right w:val="single" w:color="auto" w:sz="4" w:space="0"/>
            </w:tcBorders>
            <w:shd w:val="clear" w:color="auto" w:fill="auto"/>
            <w:vAlign w:val="center"/>
          </w:tcPr>
          <w:p w14:paraId="21EAB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座</w:t>
            </w:r>
          </w:p>
        </w:tc>
        <w:tc>
          <w:tcPr>
            <w:tcW w:w="1105" w:type="dxa"/>
            <w:tcBorders>
              <w:top w:val="nil"/>
              <w:left w:val="nil"/>
              <w:bottom w:val="single" w:color="auto" w:sz="4" w:space="0"/>
              <w:right w:val="single" w:color="auto" w:sz="4" w:space="0"/>
            </w:tcBorders>
            <w:shd w:val="clear" w:color="auto" w:fill="auto"/>
            <w:vAlign w:val="center"/>
          </w:tcPr>
          <w:p w14:paraId="0296DF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614235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配2个DN900刚性防水套管</w:t>
            </w:r>
          </w:p>
        </w:tc>
      </w:tr>
      <w:tr w14:paraId="6701A1BD">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0B32A3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725" w:type="dxa"/>
            <w:tcBorders>
              <w:top w:val="nil"/>
              <w:left w:val="nil"/>
              <w:bottom w:val="single" w:color="auto" w:sz="4" w:space="0"/>
              <w:right w:val="single" w:color="auto" w:sz="4" w:space="0"/>
            </w:tcBorders>
            <w:shd w:val="clear" w:color="auto" w:fill="auto"/>
            <w:vAlign w:val="center"/>
          </w:tcPr>
          <w:p w14:paraId="26D30F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4A2EBE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插入式流量计</w:t>
            </w:r>
          </w:p>
        </w:tc>
        <w:tc>
          <w:tcPr>
            <w:tcW w:w="1470" w:type="dxa"/>
            <w:tcBorders>
              <w:top w:val="nil"/>
              <w:left w:val="nil"/>
              <w:bottom w:val="single" w:color="auto" w:sz="4" w:space="0"/>
              <w:right w:val="single" w:color="auto" w:sz="4" w:space="0"/>
            </w:tcBorders>
            <w:shd w:val="clear" w:color="auto" w:fill="auto"/>
            <w:vAlign w:val="center"/>
          </w:tcPr>
          <w:p w14:paraId="004C00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DN1200，PN=0.6MPa</w:t>
            </w:r>
          </w:p>
        </w:tc>
        <w:tc>
          <w:tcPr>
            <w:tcW w:w="1248" w:type="dxa"/>
            <w:tcBorders>
              <w:top w:val="nil"/>
              <w:left w:val="nil"/>
              <w:bottom w:val="single" w:color="auto" w:sz="4" w:space="0"/>
              <w:right w:val="single" w:color="auto" w:sz="4" w:space="0"/>
            </w:tcBorders>
            <w:shd w:val="clear" w:color="auto" w:fill="auto"/>
            <w:vAlign w:val="center"/>
          </w:tcPr>
          <w:p w14:paraId="2FA052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49826F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nil"/>
              <w:left w:val="nil"/>
              <w:bottom w:val="single" w:color="auto" w:sz="4" w:space="0"/>
              <w:right w:val="single" w:color="auto" w:sz="4" w:space="0"/>
            </w:tcBorders>
            <w:shd w:val="clear" w:color="auto" w:fill="auto"/>
            <w:vAlign w:val="center"/>
          </w:tcPr>
          <w:p w14:paraId="180D84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56F482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成品</w:t>
            </w:r>
          </w:p>
        </w:tc>
      </w:tr>
      <w:tr w14:paraId="007B4058">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027B26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725" w:type="dxa"/>
            <w:tcBorders>
              <w:top w:val="nil"/>
              <w:left w:val="nil"/>
              <w:bottom w:val="single" w:color="auto" w:sz="4" w:space="0"/>
              <w:right w:val="single" w:color="auto" w:sz="4" w:space="0"/>
            </w:tcBorders>
            <w:shd w:val="clear" w:color="auto" w:fill="auto"/>
            <w:vAlign w:val="center"/>
          </w:tcPr>
          <w:p w14:paraId="59770A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07MS101-2,162</w:t>
            </w:r>
          </w:p>
        </w:tc>
        <w:tc>
          <w:tcPr>
            <w:tcW w:w="1545" w:type="dxa"/>
            <w:tcBorders>
              <w:top w:val="nil"/>
              <w:left w:val="nil"/>
              <w:bottom w:val="single" w:color="auto" w:sz="4" w:space="0"/>
              <w:right w:val="single" w:color="auto" w:sz="4" w:space="0"/>
            </w:tcBorders>
            <w:shd w:val="clear" w:color="auto" w:fill="auto"/>
            <w:vAlign w:val="center"/>
          </w:tcPr>
          <w:p w14:paraId="0C4C5D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流量计井</w:t>
            </w:r>
          </w:p>
        </w:tc>
        <w:tc>
          <w:tcPr>
            <w:tcW w:w="1470" w:type="dxa"/>
            <w:tcBorders>
              <w:top w:val="nil"/>
              <w:left w:val="nil"/>
              <w:bottom w:val="single" w:color="auto" w:sz="4" w:space="0"/>
              <w:right w:val="single" w:color="auto" w:sz="4" w:space="0"/>
            </w:tcBorders>
            <w:shd w:val="clear" w:color="auto" w:fill="auto"/>
            <w:vAlign w:val="center"/>
          </w:tcPr>
          <w:p w14:paraId="64112D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1600x2000</w:t>
            </w:r>
          </w:p>
        </w:tc>
        <w:tc>
          <w:tcPr>
            <w:tcW w:w="1248" w:type="dxa"/>
            <w:tcBorders>
              <w:top w:val="nil"/>
              <w:left w:val="nil"/>
              <w:bottom w:val="single" w:color="auto" w:sz="4" w:space="0"/>
              <w:right w:val="single" w:color="auto" w:sz="4" w:space="0"/>
            </w:tcBorders>
            <w:shd w:val="clear" w:color="auto" w:fill="auto"/>
            <w:vAlign w:val="center"/>
          </w:tcPr>
          <w:p w14:paraId="47E250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钢筋混凝土</w:t>
            </w:r>
          </w:p>
        </w:tc>
        <w:tc>
          <w:tcPr>
            <w:tcW w:w="482" w:type="dxa"/>
            <w:tcBorders>
              <w:top w:val="nil"/>
              <w:left w:val="nil"/>
              <w:bottom w:val="single" w:color="auto" w:sz="4" w:space="0"/>
              <w:right w:val="single" w:color="auto" w:sz="4" w:space="0"/>
            </w:tcBorders>
            <w:shd w:val="clear" w:color="auto" w:fill="auto"/>
            <w:vAlign w:val="center"/>
          </w:tcPr>
          <w:p w14:paraId="48968B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座</w:t>
            </w:r>
          </w:p>
        </w:tc>
        <w:tc>
          <w:tcPr>
            <w:tcW w:w="1105" w:type="dxa"/>
            <w:tcBorders>
              <w:top w:val="nil"/>
              <w:left w:val="nil"/>
              <w:bottom w:val="single" w:color="auto" w:sz="4" w:space="0"/>
              <w:right w:val="single" w:color="auto" w:sz="4" w:space="0"/>
            </w:tcBorders>
            <w:shd w:val="clear" w:color="auto" w:fill="auto"/>
            <w:vAlign w:val="center"/>
          </w:tcPr>
          <w:p w14:paraId="4CF0C0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703C1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配2个DN1200刚性防水套管</w:t>
            </w:r>
          </w:p>
        </w:tc>
      </w:tr>
      <w:tr w14:paraId="4A69AE53">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61622A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725" w:type="dxa"/>
            <w:tcBorders>
              <w:top w:val="nil"/>
              <w:left w:val="nil"/>
              <w:bottom w:val="single" w:color="auto" w:sz="4" w:space="0"/>
              <w:right w:val="single" w:color="auto" w:sz="4" w:space="0"/>
            </w:tcBorders>
            <w:shd w:val="clear" w:color="auto" w:fill="auto"/>
            <w:vAlign w:val="center"/>
          </w:tcPr>
          <w:p w14:paraId="62F91C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4354B2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NaClO 加药管</w:t>
            </w:r>
          </w:p>
        </w:tc>
        <w:tc>
          <w:tcPr>
            <w:tcW w:w="1470" w:type="dxa"/>
            <w:tcBorders>
              <w:top w:val="nil"/>
              <w:left w:val="nil"/>
              <w:bottom w:val="single" w:color="auto" w:sz="4" w:space="0"/>
              <w:right w:val="single" w:color="auto" w:sz="4" w:space="0"/>
            </w:tcBorders>
            <w:shd w:val="clear" w:color="auto" w:fill="auto"/>
            <w:vAlign w:val="center"/>
          </w:tcPr>
          <w:p w14:paraId="505DA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de25</w:t>
            </w:r>
          </w:p>
        </w:tc>
        <w:tc>
          <w:tcPr>
            <w:tcW w:w="1248" w:type="dxa"/>
            <w:tcBorders>
              <w:top w:val="nil"/>
              <w:left w:val="nil"/>
              <w:bottom w:val="single" w:color="auto" w:sz="4" w:space="0"/>
              <w:right w:val="single" w:color="auto" w:sz="4" w:space="0"/>
            </w:tcBorders>
            <w:shd w:val="clear" w:color="auto" w:fill="auto"/>
            <w:vAlign w:val="center"/>
          </w:tcPr>
          <w:p w14:paraId="0395B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CPVC化工管</w:t>
            </w:r>
          </w:p>
        </w:tc>
        <w:tc>
          <w:tcPr>
            <w:tcW w:w="482" w:type="dxa"/>
            <w:tcBorders>
              <w:top w:val="nil"/>
              <w:left w:val="nil"/>
              <w:bottom w:val="single" w:color="auto" w:sz="4" w:space="0"/>
              <w:right w:val="single" w:color="auto" w:sz="4" w:space="0"/>
            </w:tcBorders>
            <w:shd w:val="clear" w:color="auto" w:fill="auto"/>
            <w:vAlign w:val="center"/>
          </w:tcPr>
          <w:p w14:paraId="0721C1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1105" w:type="dxa"/>
            <w:tcBorders>
              <w:top w:val="nil"/>
              <w:left w:val="nil"/>
              <w:bottom w:val="single" w:color="auto" w:sz="4" w:space="0"/>
              <w:right w:val="single" w:color="auto" w:sz="4" w:space="0"/>
            </w:tcBorders>
            <w:shd w:val="clear" w:color="auto" w:fill="auto"/>
            <w:vAlign w:val="center"/>
          </w:tcPr>
          <w:p w14:paraId="79DABE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920" w:type="dxa"/>
            <w:tcBorders>
              <w:top w:val="nil"/>
              <w:left w:val="nil"/>
              <w:bottom w:val="single" w:color="auto" w:sz="4" w:space="0"/>
              <w:right w:val="single" w:color="auto" w:sz="4" w:space="0"/>
            </w:tcBorders>
            <w:shd w:val="clear" w:color="auto" w:fill="auto"/>
            <w:vAlign w:val="center"/>
          </w:tcPr>
          <w:p w14:paraId="290036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2F98073">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23964E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725" w:type="dxa"/>
            <w:tcBorders>
              <w:top w:val="nil"/>
              <w:left w:val="nil"/>
              <w:bottom w:val="single" w:color="auto" w:sz="4" w:space="0"/>
              <w:right w:val="single" w:color="auto" w:sz="4" w:space="0"/>
            </w:tcBorders>
            <w:shd w:val="clear" w:color="auto" w:fill="auto"/>
            <w:vAlign w:val="center"/>
          </w:tcPr>
          <w:p w14:paraId="282872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1F80EF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余氯检测仪</w:t>
            </w:r>
          </w:p>
        </w:tc>
        <w:tc>
          <w:tcPr>
            <w:tcW w:w="1470" w:type="dxa"/>
            <w:tcBorders>
              <w:top w:val="nil"/>
              <w:left w:val="nil"/>
              <w:bottom w:val="single" w:color="auto" w:sz="4" w:space="0"/>
              <w:right w:val="single" w:color="auto" w:sz="4" w:space="0"/>
            </w:tcBorders>
            <w:shd w:val="clear" w:color="auto" w:fill="auto"/>
            <w:vAlign w:val="center"/>
          </w:tcPr>
          <w:p w14:paraId="34729C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vAlign w:val="center"/>
          </w:tcPr>
          <w:p w14:paraId="4B307F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3AFCF8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105" w:type="dxa"/>
            <w:tcBorders>
              <w:top w:val="nil"/>
              <w:left w:val="nil"/>
              <w:bottom w:val="single" w:color="auto" w:sz="4" w:space="0"/>
              <w:right w:val="single" w:color="auto" w:sz="4" w:space="0"/>
            </w:tcBorders>
            <w:shd w:val="clear" w:color="auto" w:fill="auto"/>
            <w:vAlign w:val="center"/>
          </w:tcPr>
          <w:p w14:paraId="7564D2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920" w:type="dxa"/>
            <w:tcBorders>
              <w:top w:val="nil"/>
              <w:left w:val="nil"/>
              <w:bottom w:val="single" w:color="auto" w:sz="4" w:space="0"/>
              <w:right w:val="single" w:color="auto" w:sz="4" w:space="0"/>
            </w:tcBorders>
            <w:shd w:val="clear" w:color="auto" w:fill="auto"/>
            <w:vAlign w:val="center"/>
          </w:tcPr>
          <w:p w14:paraId="48B56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884C19D">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4EA1B2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子项二：</w:t>
            </w:r>
          </w:p>
        </w:tc>
        <w:tc>
          <w:tcPr>
            <w:tcW w:w="1725" w:type="dxa"/>
            <w:tcBorders>
              <w:top w:val="nil"/>
              <w:left w:val="nil"/>
              <w:bottom w:val="single" w:color="auto" w:sz="4" w:space="0"/>
              <w:right w:val="single" w:color="auto" w:sz="4" w:space="0"/>
            </w:tcBorders>
            <w:shd w:val="clear" w:color="auto" w:fill="auto"/>
            <w:noWrap/>
            <w:vAlign w:val="center"/>
          </w:tcPr>
          <w:p w14:paraId="1A3B9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single" w:color="auto" w:sz="4" w:space="0"/>
              <w:left w:val="nil"/>
              <w:bottom w:val="single" w:color="auto" w:sz="4" w:space="0"/>
              <w:right w:val="single" w:color="auto" w:sz="4" w:space="0"/>
            </w:tcBorders>
            <w:shd w:val="clear" w:color="auto" w:fill="auto"/>
            <w:vAlign w:val="center"/>
          </w:tcPr>
          <w:p w14:paraId="0A4F4E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70" w:type="dxa"/>
            <w:tcBorders>
              <w:top w:val="single" w:color="auto" w:sz="4" w:space="0"/>
              <w:left w:val="nil"/>
              <w:bottom w:val="single" w:color="auto" w:sz="4" w:space="0"/>
              <w:right w:val="single" w:color="auto" w:sz="4" w:space="0"/>
            </w:tcBorders>
            <w:shd w:val="clear" w:color="auto" w:fill="auto"/>
            <w:vAlign w:val="center"/>
          </w:tcPr>
          <w:p w14:paraId="2703A6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single" w:color="auto" w:sz="4" w:space="0"/>
              <w:left w:val="nil"/>
              <w:bottom w:val="single" w:color="auto" w:sz="4" w:space="0"/>
              <w:right w:val="single" w:color="auto" w:sz="4" w:space="0"/>
            </w:tcBorders>
            <w:shd w:val="clear" w:color="auto" w:fill="auto"/>
            <w:vAlign w:val="center"/>
          </w:tcPr>
          <w:p w14:paraId="5C7A77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single" w:color="auto" w:sz="4" w:space="0"/>
              <w:left w:val="nil"/>
              <w:bottom w:val="single" w:color="auto" w:sz="4" w:space="0"/>
              <w:right w:val="single" w:color="auto" w:sz="4" w:space="0"/>
            </w:tcBorders>
            <w:shd w:val="clear" w:color="auto" w:fill="auto"/>
            <w:vAlign w:val="center"/>
          </w:tcPr>
          <w:p w14:paraId="6717F5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05" w:type="dxa"/>
            <w:tcBorders>
              <w:top w:val="single" w:color="auto" w:sz="4" w:space="0"/>
              <w:left w:val="nil"/>
              <w:bottom w:val="single" w:color="auto" w:sz="4" w:space="0"/>
              <w:right w:val="single" w:color="auto" w:sz="4" w:space="0"/>
            </w:tcBorders>
            <w:shd w:val="clear" w:color="auto" w:fill="auto"/>
            <w:vAlign w:val="center"/>
          </w:tcPr>
          <w:p w14:paraId="564E03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20" w:type="dxa"/>
            <w:tcBorders>
              <w:top w:val="nil"/>
              <w:left w:val="nil"/>
              <w:bottom w:val="single" w:color="auto" w:sz="4" w:space="0"/>
              <w:right w:val="single" w:color="auto" w:sz="4" w:space="0"/>
            </w:tcBorders>
            <w:shd w:val="clear" w:color="auto" w:fill="auto"/>
            <w:vAlign w:val="center"/>
          </w:tcPr>
          <w:p w14:paraId="393940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03A73B9">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595AEA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25" w:type="dxa"/>
            <w:tcBorders>
              <w:top w:val="nil"/>
              <w:left w:val="nil"/>
              <w:bottom w:val="single" w:color="auto" w:sz="4" w:space="0"/>
              <w:right w:val="single" w:color="auto" w:sz="4" w:space="0"/>
            </w:tcBorders>
            <w:shd w:val="clear" w:color="auto" w:fill="auto"/>
            <w:noWrap/>
            <w:vAlign w:val="center"/>
          </w:tcPr>
          <w:p w14:paraId="00F673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33C1AC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手动蝶阀新增电动头</w:t>
            </w:r>
          </w:p>
        </w:tc>
        <w:tc>
          <w:tcPr>
            <w:tcW w:w="1470" w:type="dxa"/>
            <w:tcBorders>
              <w:top w:val="nil"/>
              <w:left w:val="nil"/>
              <w:bottom w:val="single" w:color="auto" w:sz="4" w:space="0"/>
              <w:right w:val="single" w:color="auto" w:sz="4" w:space="0"/>
            </w:tcBorders>
            <w:shd w:val="clear" w:color="auto" w:fill="auto"/>
            <w:vAlign w:val="center"/>
          </w:tcPr>
          <w:p w14:paraId="7EFCB0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vAlign w:val="center"/>
          </w:tcPr>
          <w:p w14:paraId="6F4ECE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64E4E1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105" w:type="dxa"/>
            <w:tcBorders>
              <w:top w:val="nil"/>
              <w:left w:val="nil"/>
              <w:bottom w:val="single" w:color="auto" w:sz="4" w:space="0"/>
              <w:right w:val="single" w:color="auto" w:sz="4" w:space="0"/>
            </w:tcBorders>
            <w:shd w:val="clear" w:color="auto" w:fill="auto"/>
            <w:vAlign w:val="center"/>
          </w:tcPr>
          <w:p w14:paraId="359F77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920" w:type="dxa"/>
            <w:tcBorders>
              <w:top w:val="nil"/>
              <w:left w:val="nil"/>
              <w:bottom w:val="single" w:color="auto" w:sz="4" w:space="0"/>
              <w:right w:val="single" w:color="auto" w:sz="4" w:space="0"/>
            </w:tcBorders>
            <w:shd w:val="clear" w:color="auto" w:fill="auto"/>
            <w:vAlign w:val="center"/>
          </w:tcPr>
          <w:p w14:paraId="3CB3EF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开度可调节</w:t>
            </w:r>
          </w:p>
        </w:tc>
      </w:tr>
      <w:tr w14:paraId="75B05DA2">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48FD0D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子项三：</w:t>
            </w:r>
          </w:p>
        </w:tc>
        <w:tc>
          <w:tcPr>
            <w:tcW w:w="9495" w:type="dxa"/>
            <w:gridSpan w:val="7"/>
            <w:tcBorders>
              <w:top w:val="single" w:color="auto" w:sz="4" w:space="0"/>
              <w:left w:val="nil"/>
              <w:bottom w:val="single" w:color="auto" w:sz="4" w:space="0"/>
              <w:right w:val="single" w:color="000000" w:sz="4" w:space="0"/>
            </w:tcBorders>
            <w:shd w:val="clear" w:color="auto" w:fill="auto"/>
            <w:vAlign w:val="center"/>
          </w:tcPr>
          <w:p w14:paraId="754BE4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D00D604">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75B90C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25" w:type="dxa"/>
            <w:tcBorders>
              <w:top w:val="nil"/>
              <w:left w:val="nil"/>
              <w:bottom w:val="single" w:color="auto" w:sz="4" w:space="0"/>
              <w:right w:val="nil"/>
            </w:tcBorders>
            <w:shd w:val="clear" w:color="auto" w:fill="auto"/>
            <w:vAlign w:val="center"/>
          </w:tcPr>
          <w:p w14:paraId="37276B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single" w:color="auto" w:sz="4" w:space="0"/>
              <w:bottom w:val="single" w:color="auto" w:sz="4" w:space="0"/>
              <w:right w:val="single" w:color="auto" w:sz="4" w:space="0"/>
            </w:tcBorders>
            <w:shd w:val="clear" w:color="auto" w:fill="auto"/>
            <w:vAlign w:val="center"/>
          </w:tcPr>
          <w:p w14:paraId="5D23BF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粉炭投加系统</w:t>
            </w:r>
          </w:p>
        </w:tc>
        <w:tc>
          <w:tcPr>
            <w:tcW w:w="1470" w:type="dxa"/>
            <w:tcBorders>
              <w:top w:val="nil"/>
              <w:left w:val="nil"/>
              <w:bottom w:val="single" w:color="auto" w:sz="4" w:space="0"/>
              <w:right w:val="nil"/>
            </w:tcBorders>
            <w:shd w:val="clear" w:color="auto" w:fill="auto"/>
            <w:vAlign w:val="center"/>
          </w:tcPr>
          <w:p w14:paraId="734466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nil"/>
            </w:tcBorders>
            <w:shd w:val="clear" w:color="auto" w:fill="auto"/>
            <w:vAlign w:val="center"/>
          </w:tcPr>
          <w:p w14:paraId="653EFD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single" w:color="auto" w:sz="4" w:space="0"/>
              <w:bottom w:val="single" w:color="auto" w:sz="4" w:space="0"/>
              <w:right w:val="single" w:color="auto" w:sz="4" w:space="0"/>
            </w:tcBorders>
            <w:shd w:val="clear" w:color="auto" w:fill="auto"/>
            <w:vAlign w:val="center"/>
          </w:tcPr>
          <w:p w14:paraId="797994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nil"/>
              <w:left w:val="nil"/>
              <w:bottom w:val="single" w:color="auto" w:sz="4" w:space="0"/>
              <w:right w:val="single" w:color="auto" w:sz="4" w:space="0"/>
            </w:tcBorders>
            <w:shd w:val="clear" w:color="auto" w:fill="auto"/>
            <w:vAlign w:val="center"/>
          </w:tcPr>
          <w:p w14:paraId="5D5A54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7E0BC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D55B432">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396F81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子项四：</w:t>
            </w:r>
          </w:p>
        </w:tc>
        <w:tc>
          <w:tcPr>
            <w:tcW w:w="1725" w:type="dxa"/>
            <w:tcBorders>
              <w:top w:val="nil"/>
              <w:left w:val="nil"/>
              <w:bottom w:val="single" w:color="auto" w:sz="4" w:space="0"/>
              <w:right w:val="single" w:color="auto" w:sz="4" w:space="0"/>
            </w:tcBorders>
            <w:shd w:val="clear" w:color="auto" w:fill="auto"/>
            <w:vAlign w:val="center"/>
          </w:tcPr>
          <w:p w14:paraId="7F056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0F54F1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295320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vAlign w:val="center"/>
          </w:tcPr>
          <w:p w14:paraId="3240F2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6F72DA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05" w:type="dxa"/>
            <w:tcBorders>
              <w:top w:val="nil"/>
              <w:left w:val="nil"/>
              <w:bottom w:val="single" w:color="auto" w:sz="4" w:space="0"/>
              <w:right w:val="single" w:color="auto" w:sz="4" w:space="0"/>
            </w:tcBorders>
            <w:shd w:val="clear" w:color="auto" w:fill="auto"/>
            <w:vAlign w:val="center"/>
          </w:tcPr>
          <w:p w14:paraId="2F5547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20" w:type="dxa"/>
            <w:tcBorders>
              <w:top w:val="nil"/>
              <w:left w:val="nil"/>
              <w:bottom w:val="single" w:color="auto" w:sz="4" w:space="0"/>
              <w:right w:val="single" w:color="auto" w:sz="4" w:space="0"/>
            </w:tcBorders>
            <w:shd w:val="clear" w:color="auto" w:fill="auto"/>
            <w:vAlign w:val="center"/>
          </w:tcPr>
          <w:p w14:paraId="4E38B9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99848A7">
        <w:tblPrEx>
          <w:tblCellMar>
            <w:top w:w="0" w:type="dxa"/>
            <w:left w:w="108" w:type="dxa"/>
            <w:bottom w:w="0" w:type="dxa"/>
            <w:right w:w="108" w:type="dxa"/>
          </w:tblCellMar>
        </w:tblPrEx>
        <w:trPr>
          <w:trHeight w:val="20" w:hRule="atLeast"/>
        </w:trPr>
        <w:tc>
          <w:tcPr>
            <w:tcW w:w="1110" w:type="dxa"/>
            <w:tcBorders>
              <w:top w:val="nil"/>
              <w:left w:val="single" w:color="auto" w:sz="4" w:space="0"/>
              <w:bottom w:val="nil"/>
              <w:right w:val="single" w:color="auto" w:sz="4" w:space="0"/>
            </w:tcBorders>
            <w:shd w:val="clear" w:color="auto" w:fill="auto"/>
            <w:vAlign w:val="center"/>
          </w:tcPr>
          <w:p w14:paraId="4208D0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25" w:type="dxa"/>
            <w:tcBorders>
              <w:top w:val="nil"/>
              <w:left w:val="nil"/>
              <w:bottom w:val="single" w:color="auto" w:sz="4" w:space="0"/>
              <w:right w:val="single" w:color="auto" w:sz="4" w:space="0"/>
            </w:tcBorders>
            <w:shd w:val="clear" w:color="auto" w:fill="auto"/>
            <w:vAlign w:val="center"/>
          </w:tcPr>
          <w:p w14:paraId="3305F0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6DBC55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高锰酸钾投加系统</w:t>
            </w:r>
          </w:p>
        </w:tc>
        <w:tc>
          <w:tcPr>
            <w:tcW w:w="1470" w:type="dxa"/>
            <w:tcBorders>
              <w:top w:val="nil"/>
              <w:left w:val="nil"/>
              <w:bottom w:val="single" w:color="auto" w:sz="4" w:space="0"/>
              <w:right w:val="single" w:color="auto" w:sz="4" w:space="0"/>
            </w:tcBorders>
            <w:shd w:val="clear" w:color="auto" w:fill="auto"/>
            <w:vAlign w:val="center"/>
          </w:tcPr>
          <w:p w14:paraId="62562D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vAlign w:val="center"/>
          </w:tcPr>
          <w:p w14:paraId="57E0BA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052029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nil"/>
              <w:left w:val="nil"/>
              <w:bottom w:val="single" w:color="auto" w:sz="4" w:space="0"/>
              <w:right w:val="single" w:color="auto" w:sz="4" w:space="0"/>
            </w:tcBorders>
            <w:shd w:val="clear" w:color="auto" w:fill="auto"/>
            <w:vAlign w:val="center"/>
          </w:tcPr>
          <w:p w14:paraId="0C55D0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vAlign w:val="center"/>
          </w:tcPr>
          <w:p w14:paraId="1D9FDB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CA01C9F">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0A67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725" w:type="dxa"/>
            <w:tcBorders>
              <w:top w:val="nil"/>
              <w:left w:val="nil"/>
              <w:bottom w:val="single" w:color="auto" w:sz="4" w:space="0"/>
              <w:right w:val="single" w:color="auto" w:sz="4" w:space="0"/>
            </w:tcBorders>
            <w:shd w:val="clear" w:color="auto" w:fill="auto"/>
            <w:noWrap/>
            <w:vAlign w:val="center"/>
          </w:tcPr>
          <w:p w14:paraId="6ADB5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45" w:type="dxa"/>
            <w:tcBorders>
              <w:top w:val="nil"/>
              <w:left w:val="nil"/>
              <w:bottom w:val="single" w:color="auto" w:sz="4" w:space="0"/>
              <w:right w:val="single" w:color="auto" w:sz="4" w:space="0"/>
            </w:tcBorders>
            <w:shd w:val="clear" w:color="auto" w:fill="auto"/>
            <w:vAlign w:val="center"/>
          </w:tcPr>
          <w:p w14:paraId="659FD0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粉炭投加系统</w:t>
            </w:r>
          </w:p>
        </w:tc>
        <w:tc>
          <w:tcPr>
            <w:tcW w:w="1470" w:type="dxa"/>
            <w:tcBorders>
              <w:top w:val="nil"/>
              <w:left w:val="nil"/>
              <w:bottom w:val="single" w:color="auto" w:sz="4" w:space="0"/>
              <w:right w:val="single" w:color="auto" w:sz="4" w:space="0"/>
            </w:tcBorders>
            <w:shd w:val="clear" w:color="auto" w:fill="auto"/>
            <w:vAlign w:val="center"/>
          </w:tcPr>
          <w:p w14:paraId="101E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248" w:type="dxa"/>
            <w:tcBorders>
              <w:top w:val="nil"/>
              <w:left w:val="nil"/>
              <w:bottom w:val="single" w:color="auto" w:sz="4" w:space="0"/>
              <w:right w:val="single" w:color="auto" w:sz="4" w:space="0"/>
            </w:tcBorders>
            <w:shd w:val="clear" w:color="auto" w:fill="auto"/>
            <w:noWrap/>
            <w:vAlign w:val="center"/>
          </w:tcPr>
          <w:p w14:paraId="753AE3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82" w:type="dxa"/>
            <w:tcBorders>
              <w:top w:val="nil"/>
              <w:left w:val="nil"/>
              <w:bottom w:val="single" w:color="auto" w:sz="4" w:space="0"/>
              <w:right w:val="single" w:color="auto" w:sz="4" w:space="0"/>
            </w:tcBorders>
            <w:shd w:val="clear" w:color="auto" w:fill="auto"/>
            <w:vAlign w:val="center"/>
          </w:tcPr>
          <w:p w14:paraId="5DA397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nil"/>
              <w:left w:val="nil"/>
              <w:bottom w:val="single" w:color="auto" w:sz="4" w:space="0"/>
              <w:right w:val="single" w:color="auto" w:sz="4" w:space="0"/>
            </w:tcBorders>
            <w:shd w:val="clear" w:color="auto" w:fill="auto"/>
            <w:vAlign w:val="center"/>
          </w:tcPr>
          <w:p w14:paraId="68353A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0" w:type="dxa"/>
            <w:tcBorders>
              <w:top w:val="nil"/>
              <w:left w:val="nil"/>
              <w:bottom w:val="single" w:color="auto" w:sz="4" w:space="0"/>
              <w:right w:val="single" w:color="auto" w:sz="4" w:space="0"/>
            </w:tcBorders>
            <w:shd w:val="clear" w:color="auto" w:fill="auto"/>
            <w:noWrap/>
            <w:vAlign w:val="center"/>
          </w:tcPr>
          <w:p w14:paraId="3BCA43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24C6FE2">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147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子项五：</w:t>
            </w:r>
          </w:p>
        </w:tc>
        <w:tc>
          <w:tcPr>
            <w:tcW w:w="94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1920D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r>
      <w:tr w14:paraId="44D8CA06">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8C75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18B04E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1545" w:type="dxa"/>
            <w:tcBorders>
              <w:top w:val="single" w:color="auto" w:sz="4" w:space="0"/>
              <w:left w:val="nil"/>
              <w:bottom w:val="single" w:color="auto" w:sz="4" w:space="0"/>
              <w:right w:val="single" w:color="auto" w:sz="4" w:space="0"/>
            </w:tcBorders>
            <w:shd w:val="clear" w:color="auto" w:fill="auto"/>
            <w:vAlign w:val="center"/>
          </w:tcPr>
          <w:p w14:paraId="4AE658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压力溶气气浮系统</w:t>
            </w:r>
          </w:p>
        </w:tc>
        <w:tc>
          <w:tcPr>
            <w:tcW w:w="1470" w:type="dxa"/>
            <w:tcBorders>
              <w:top w:val="single" w:color="auto" w:sz="4" w:space="0"/>
              <w:left w:val="nil"/>
              <w:bottom w:val="single" w:color="auto" w:sz="4" w:space="0"/>
              <w:right w:val="single" w:color="auto" w:sz="4" w:space="0"/>
            </w:tcBorders>
            <w:shd w:val="clear" w:color="auto" w:fill="auto"/>
            <w:vAlign w:val="center"/>
          </w:tcPr>
          <w:p w14:paraId="0A1360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1248" w:type="dxa"/>
            <w:tcBorders>
              <w:top w:val="single" w:color="auto" w:sz="4" w:space="0"/>
              <w:left w:val="nil"/>
              <w:bottom w:val="single" w:color="auto" w:sz="4" w:space="0"/>
              <w:right w:val="single" w:color="auto" w:sz="4" w:space="0"/>
            </w:tcBorders>
            <w:shd w:val="clear" w:color="auto" w:fill="auto"/>
            <w:noWrap/>
            <w:vAlign w:val="center"/>
          </w:tcPr>
          <w:p w14:paraId="26415E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482" w:type="dxa"/>
            <w:tcBorders>
              <w:top w:val="single" w:color="auto" w:sz="4" w:space="0"/>
              <w:left w:val="nil"/>
              <w:bottom w:val="single" w:color="auto" w:sz="4" w:space="0"/>
              <w:right w:val="single" w:color="auto" w:sz="4" w:space="0"/>
            </w:tcBorders>
            <w:shd w:val="clear" w:color="auto" w:fill="auto"/>
            <w:vAlign w:val="center"/>
          </w:tcPr>
          <w:p w14:paraId="0FE420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105" w:type="dxa"/>
            <w:tcBorders>
              <w:top w:val="single" w:color="auto" w:sz="4" w:space="0"/>
              <w:left w:val="nil"/>
              <w:bottom w:val="single" w:color="auto" w:sz="4" w:space="0"/>
              <w:right w:val="single" w:color="auto" w:sz="4" w:space="0"/>
            </w:tcBorders>
            <w:shd w:val="clear" w:color="auto" w:fill="auto"/>
            <w:vAlign w:val="center"/>
          </w:tcPr>
          <w:p w14:paraId="2A0E58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36CEDB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r>
    </w:tbl>
    <w:p w14:paraId="3D5B41DD">
      <w:pPr>
        <w:pStyle w:val="6"/>
        <w:spacing w:before="93" w:beforeLines="30" w:after="93" w:afterLines="30" w:line="5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4.2总体要求</w:t>
      </w:r>
    </w:p>
    <w:p w14:paraId="50FC13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本技术要求适用于滁州自来水有限公司水厂水质保障提升</w:t>
      </w:r>
      <w:r>
        <w:rPr>
          <w:rFonts w:hint="eastAsia" w:ascii="宋体" w:hAnsi="宋体" w:cs="宋体"/>
          <w:color w:val="auto"/>
          <w:szCs w:val="21"/>
          <w:highlight w:val="none"/>
          <w:lang w:val="en-US" w:eastAsia="zh-CN"/>
        </w:rPr>
        <w:t>改造</w:t>
      </w:r>
      <w:r>
        <w:rPr>
          <w:rFonts w:hint="eastAsia" w:ascii="宋体" w:hAnsi="宋体" w:cs="宋体"/>
          <w:color w:val="auto"/>
          <w:szCs w:val="21"/>
          <w:highlight w:val="none"/>
        </w:rPr>
        <w:t>项目的采购，招标范围包括货物的设计、供应、安装调试、验收等。</w:t>
      </w:r>
    </w:p>
    <w:p w14:paraId="1816AF5D">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技术要求（包括图纸）的编制目的在于保证工程达到设计要求并正常运营，不得被认为是详尽无遗的，无论规定与否，卖方应完整提供本工程所采购的设备正常运行所必须的全部设备、附属设备、预埋件、电气元器件和相应的材料等，并完成相关的技术服务和合同项下的其他辅助工作，不得借故予以变更或要求增加费用。</w:t>
      </w:r>
    </w:p>
    <w:p w14:paraId="00303583">
      <w:pPr>
        <w:pStyle w:val="14"/>
        <w:numPr>
          <w:ilvl w:val="-1"/>
          <w:numId w:val="0"/>
        </w:numPr>
        <w:spacing w:line="500" w:lineRule="exact"/>
        <w:ind w:left="0" w:firstLine="420" w:firstLineChars="200"/>
        <w:rPr>
          <w:rFonts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本工程所有设备的选型均参照性能优良可靠，性价比高的准则，设备的设计、制造、安装、调试均符合国家相关规范。</w:t>
      </w:r>
      <w:r>
        <w:rPr>
          <w:rFonts w:hint="eastAsia" w:hAnsi="宋体" w:cs="宋体"/>
          <w:bCs/>
          <w:color w:val="auto"/>
          <w:spacing w:val="20"/>
          <w:szCs w:val="21"/>
          <w:highlight w:val="none"/>
        </w:rPr>
        <w:t>所有提供的设备应是已建立信誉的制造商的产品，并应负有确保设备质量的不可推卸的责任，在安装、调试、检验时，派遣代表参加并指导，发现质量问题，代表必须负责处理至业主满意为止。</w:t>
      </w:r>
    </w:p>
    <w:p w14:paraId="2837A20E">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如果投标人没有以书面形式对本技术条件和条文提出异议，那么可以认为供货方提供的产品完全满足技术条件的要求。</w:t>
      </w:r>
    </w:p>
    <w:p w14:paraId="3A4AAFD8">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鉴于工程的复杂性，投标人应充分考虑履约风险，不得以工程进度滞后、原材料价格上涨、仓储或运输成本增加等为由推卸责任、拒绝服务、要求提前付款或增加费用。</w:t>
      </w:r>
    </w:p>
    <w:p w14:paraId="24EEABB6">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投标人应提供全套设备资料供业主使用，包括原产地证明、合格证书、操作手册、技术资料等。</w:t>
      </w:r>
    </w:p>
    <w:p w14:paraId="53BCC38B">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投标人必须对合同内设备的单机调试和水厂整体联合运行负责。由于设备的设计或质量缺陷导致水厂出水达不到标准，或造成其他损失，投标人负相应责任。</w:t>
      </w:r>
    </w:p>
    <w:p w14:paraId="17A8562E">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投标人要承担用于设备的全部专利费用和许可费用，应保证业主免受涉及专利权或知识产权的损害（包括专利、专利权、专利权税等方面的侵害而产生索赔或法律纠纷）。相关费用已包含于投标总价中。</w:t>
      </w:r>
    </w:p>
    <w:p w14:paraId="0930D42D">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本次采购设备的质保期至少两年，从调试验收合格之日算起，投标人须保证零配件的供应，质保期内免费维护设备。所有装置必须保证 10年的正常工作。</w:t>
      </w:r>
    </w:p>
    <w:p w14:paraId="04E965B9">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所有装置设计必须配套安全防护装置、防火、防尘、耐用、节能、容易清洁、方便维护。</w:t>
      </w:r>
    </w:p>
    <w:p w14:paraId="649C1D15">
      <w:pPr>
        <w:numPr>
          <w:ilvl w:val="-1"/>
          <w:numId w:val="0"/>
        </w:numPr>
        <w:snapToGrid w:val="0"/>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招标人有权对产品进行生产期间及发货前的监造及质量检查，招标人可组织人员到制造厂检查制造工艺、原材料质量、产品质量和生产进度，并参加产品出厂试验（但不作为验收）等工作。投标人应为招标人进行上述检查提供便利条件，由此发生的费用由中标人承担。</w:t>
      </w:r>
    </w:p>
    <w:p w14:paraId="3DA824C7">
      <w:pPr>
        <w:pStyle w:val="6"/>
        <w:spacing w:before="93" w:beforeLines="30" w:after="93" w:afterLines="30"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4.2.1水厂精准加药系统改造</w:t>
      </w:r>
    </w:p>
    <w:p w14:paraId="589A2567">
      <w:pPr>
        <w:pStyle w:val="53"/>
        <w:spacing w:line="500" w:lineRule="exact"/>
        <w:ind w:firstLine="630" w:firstLineChars="300"/>
        <w:jc w:val="both"/>
        <w:rPr>
          <w:rFonts w:ascii="宋体" w:hAnsi="宋体"/>
          <w:b w:val="0"/>
          <w:bCs/>
          <w:color w:val="auto"/>
          <w:szCs w:val="21"/>
          <w:highlight w:val="none"/>
        </w:rPr>
      </w:pPr>
      <w:r>
        <w:rPr>
          <w:rFonts w:hint="eastAsia" w:ascii="宋体" w:hAnsi="宋体"/>
          <w:b w:val="0"/>
          <w:bCs/>
          <w:color w:val="auto"/>
          <w:szCs w:val="21"/>
          <w:highlight w:val="none"/>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2085"/>
        <w:gridCol w:w="2833"/>
        <w:gridCol w:w="792"/>
        <w:gridCol w:w="835"/>
        <w:gridCol w:w="1870"/>
        <w:gridCol w:w="551"/>
      </w:tblGrid>
      <w:tr w14:paraId="5CDC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BC41032">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328" w:type="dxa"/>
            <w:tcBorders>
              <w:top w:val="single" w:color="000000" w:sz="4" w:space="0"/>
              <w:left w:val="single" w:color="000000" w:sz="4" w:space="0"/>
              <w:bottom w:val="single" w:color="000000" w:sz="4" w:space="0"/>
              <w:right w:val="single" w:color="000000" w:sz="4" w:space="0"/>
            </w:tcBorders>
            <w:vAlign w:val="center"/>
          </w:tcPr>
          <w:p w14:paraId="66FD9529">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名称</w:t>
            </w:r>
          </w:p>
        </w:tc>
        <w:tc>
          <w:tcPr>
            <w:tcW w:w="3077" w:type="dxa"/>
            <w:tcBorders>
              <w:top w:val="single" w:color="000000" w:sz="4" w:space="0"/>
              <w:left w:val="single" w:color="000000" w:sz="4" w:space="0"/>
              <w:bottom w:val="single" w:color="000000" w:sz="4" w:space="0"/>
              <w:right w:val="single" w:color="000000" w:sz="4" w:space="0"/>
            </w:tcBorders>
            <w:vAlign w:val="center"/>
          </w:tcPr>
          <w:p w14:paraId="7FE3B51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参数</w:t>
            </w:r>
          </w:p>
        </w:tc>
        <w:tc>
          <w:tcPr>
            <w:tcW w:w="846" w:type="dxa"/>
            <w:tcBorders>
              <w:top w:val="single" w:color="000000" w:sz="4" w:space="0"/>
              <w:left w:val="single" w:color="000000" w:sz="4" w:space="0"/>
              <w:bottom w:val="single" w:color="000000" w:sz="4" w:space="0"/>
              <w:right w:val="single" w:color="000000" w:sz="4" w:space="0"/>
            </w:tcBorders>
            <w:vAlign w:val="center"/>
          </w:tcPr>
          <w:p w14:paraId="2B3153D8">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895" w:type="dxa"/>
            <w:tcBorders>
              <w:top w:val="single" w:color="000000" w:sz="4" w:space="0"/>
              <w:left w:val="single" w:color="000000" w:sz="4" w:space="0"/>
              <w:bottom w:val="single" w:color="000000" w:sz="4" w:space="0"/>
              <w:right w:val="single" w:color="000000" w:sz="4" w:space="0"/>
            </w:tcBorders>
            <w:vAlign w:val="center"/>
          </w:tcPr>
          <w:p w14:paraId="1334B8F8">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2081" w:type="dxa"/>
            <w:tcBorders>
              <w:top w:val="single" w:color="000000" w:sz="4" w:space="0"/>
              <w:left w:val="single" w:color="000000" w:sz="4" w:space="0"/>
              <w:bottom w:val="single" w:color="000000" w:sz="4" w:space="0"/>
              <w:right w:val="single" w:color="000000" w:sz="4" w:space="0"/>
            </w:tcBorders>
            <w:vAlign w:val="center"/>
          </w:tcPr>
          <w:p w14:paraId="03AE180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安装点</w:t>
            </w:r>
          </w:p>
        </w:tc>
        <w:tc>
          <w:tcPr>
            <w:tcW w:w="569" w:type="dxa"/>
            <w:tcBorders>
              <w:top w:val="single" w:color="000000" w:sz="4" w:space="0"/>
              <w:left w:val="single" w:color="000000" w:sz="4" w:space="0"/>
              <w:bottom w:val="single" w:color="000000" w:sz="4" w:space="0"/>
              <w:right w:val="single" w:color="000000" w:sz="4" w:space="0"/>
            </w:tcBorders>
            <w:vAlign w:val="center"/>
          </w:tcPr>
          <w:p w14:paraId="01DFBDC2">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177D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01E998B9">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328" w:type="dxa"/>
            <w:tcBorders>
              <w:top w:val="single" w:color="000000" w:sz="4" w:space="0"/>
              <w:left w:val="single" w:color="000000" w:sz="4" w:space="0"/>
              <w:bottom w:val="single" w:color="000000" w:sz="4" w:space="0"/>
              <w:right w:val="single" w:color="000000" w:sz="4" w:space="0"/>
            </w:tcBorders>
            <w:vAlign w:val="center"/>
          </w:tcPr>
          <w:p w14:paraId="52BF3963">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插入式电磁流量计</w:t>
            </w:r>
          </w:p>
        </w:tc>
        <w:tc>
          <w:tcPr>
            <w:tcW w:w="3077" w:type="dxa"/>
            <w:tcBorders>
              <w:top w:val="single" w:color="000000" w:sz="4" w:space="0"/>
              <w:left w:val="single" w:color="000000" w:sz="4" w:space="0"/>
              <w:bottom w:val="single" w:color="000000" w:sz="4" w:space="0"/>
              <w:right w:val="single" w:color="000000" w:sz="4" w:space="0"/>
            </w:tcBorders>
            <w:vAlign w:val="center"/>
          </w:tcPr>
          <w:p w14:paraId="11CA2D4B">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DN900，PN=0.6MPa</w:t>
            </w:r>
          </w:p>
        </w:tc>
        <w:tc>
          <w:tcPr>
            <w:tcW w:w="846" w:type="dxa"/>
            <w:tcBorders>
              <w:top w:val="single" w:color="000000" w:sz="4" w:space="0"/>
              <w:left w:val="single" w:color="000000" w:sz="4" w:space="0"/>
              <w:bottom w:val="single" w:color="000000" w:sz="4" w:space="0"/>
              <w:right w:val="single" w:color="000000" w:sz="4" w:space="0"/>
            </w:tcBorders>
            <w:vAlign w:val="center"/>
          </w:tcPr>
          <w:p w14:paraId="28B5320C">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4F4D05CA">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1E8A586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114A0234">
            <w:pPr>
              <w:pStyle w:val="45"/>
              <w:spacing w:line="500" w:lineRule="exact"/>
              <w:jc w:val="center"/>
              <w:rPr>
                <w:rFonts w:ascii="宋体" w:hAnsi="宋体" w:eastAsia="宋体" w:cs="宋体"/>
                <w:color w:val="auto"/>
                <w:highlight w:val="none"/>
              </w:rPr>
            </w:pPr>
          </w:p>
        </w:tc>
      </w:tr>
      <w:tr w14:paraId="193C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CB8E53D">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328" w:type="dxa"/>
            <w:tcBorders>
              <w:top w:val="single" w:color="000000" w:sz="4" w:space="0"/>
              <w:left w:val="single" w:color="000000" w:sz="4" w:space="0"/>
              <w:bottom w:val="single" w:color="000000" w:sz="4" w:space="0"/>
              <w:right w:val="single" w:color="000000" w:sz="4" w:space="0"/>
            </w:tcBorders>
            <w:vAlign w:val="center"/>
          </w:tcPr>
          <w:p w14:paraId="0D3EF8EA">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插入式电磁流量计</w:t>
            </w:r>
          </w:p>
        </w:tc>
        <w:tc>
          <w:tcPr>
            <w:tcW w:w="3077" w:type="dxa"/>
            <w:tcBorders>
              <w:top w:val="single" w:color="000000" w:sz="4" w:space="0"/>
              <w:left w:val="single" w:color="000000" w:sz="4" w:space="0"/>
              <w:bottom w:val="single" w:color="000000" w:sz="4" w:space="0"/>
              <w:right w:val="single" w:color="000000" w:sz="4" w:space="0"/>
            </w:tcBorders>
            <w:vAlign w:val="center"/>
          </w:tcPr>
          <w:p w14:paraId="3DC32C2B">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DN1200，PN=0.6MPa</w:t>
            </w:r>
          </w:p>
        </w:tc>
        <w:tc>
          <w:tcPr>
            <w:tcW w:w="846" w:type="dxa"/>
            <w:tcBorders>
              <w:top w:val="single" w:color="000000" w:sz="4" w:space="0"/>
              <w:left w:val="single" w:color="000000" w:sz="4" w:space="0"/>
              <w:bottom w:val="single" w:color="000000" w:sz="4" w:space="0"/>
              <w:right w:val="single" w:color="000000" w:sz="4" w:space="0"/>
            </w:tcBorders>
            <w:vAlign w:val="center"/>
          </w:tcPr>
          <w:p w14:paraId="6AD0779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346B8F05">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6CB8BFB9">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西涧湖二车间</w:t>
            </w:r>
          </w:p>
        </w:tc>
        <w:tc>
          <w:tcPr>
            <w:tcW w:w="569" w:type="dxa"/>
            <w:tcBorders>
              <w:top w:val="single" w:color="000000" w:sz="4" w:space="0"/>
              <w:left w:val="single" w:color="000000" w:sz="4" w:space="0"/>
              <w:bottom w:val="single" w:color="000000" w:sz="4" w:space="0"/>
              <w:right w:val="single" w:color="000000" w:sz="4" w:space="0"/>
            </w:tcBorders>
            <w:vAlign w:val="center"/>
          </w:tcPr>
          <w:p w14:paraId="7DFBD9AF">
            <w:pPr>
              <w:pStyle w:val="45"/>
              <w:spacing w:line="500" w:lineRule="exact"/>
              <w:jc w:val="center"/>
              <w:rPr>
                <w:rFonts w:ascii="宋体" w:hAnsi="宋体" w:eastAsia="宋体" w:cs="宋体"/>
                <w:color w:val="auto"/>
                <w:highlight w:val="none"/>
              </w:rPr>
            </w:pPr>
          </w:p>
        </w:tc>
      </w:tr>
      <w:tr w14:paraId="3F1E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3673FC4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328" w:type="dxa"/>
            <w:tcBorders>
              <w:top w:val="single" w:color="000000" w:sz="4" w:space="0"/>
              <w:left w:val="single" w:color="000000" w:sz="4" w:space="0"/>
              <w:bottom w:val="single" w:color="000000" w:sz="4" w:space="0"/>
              <w:right w:val="single" w:color="000000" w:sz="4" w:space="0"/>
            </w:tcBorders>
            <w:vAlign w:val="center"/>
          </w:tcPr>
          <w:p w14:paraId="3569BB0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在线余氯分析仪</w:t>
            </w:r>
          </w:p>
        </w:tc>
        <w:tc>
          <w:tcPr>
            <w:tcW w:w="3077" w:type="dxa"/>
            <w:tcBorders>
              <w:top w:val="single" w:color="000000" w:sz="4" w:space="0"/>
              <w:left w:val="single" w:color="000000" w:sz="4" w:space="0"/>
              <w:bottom w:val="single" w:color="000000" w:sz="4" w:space="0"/>
              <w:right w:val="single" w:color="000000" w:sz="4" w:space="0"/>
            </w:tcBorders>
            <w:vAlign w:val="center"/>
          </w:tcPr>
          <w:p w14:paraId="57BFB3F0">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DPD比色法 0～5mg/L</w:t>
            </w:r>
          </w:p>
        </w:tc>
        <w:tc>
          <w:tcPr>
            <w:tcW w:w="846" w:type="dxa"/>
            <w:tcBorders>
              <w:top w:val="single" w:color="000000" w:sz="4" w:space="0"/>
              <w:left w:val="single" w:color="000000" w:sz="4" w:space="0"/>
              <w:bottom w:val="single" w:color="000000" w:sz="4" w:space="0"/>
              <w:right w:val="single" w:color="000000" w:sz="4" w:space="0"/>
            </w:tcBorders>
            <w:vAlign w:val="center"/>
          </w:tcPr>
          <w:p w14:paraId="00147B05">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09F2793B">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09FF53BC">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5ECAE7FA">
            <w:pPr>
              <w:pStyle w:val="45"/>
              <w:spacing w:line="500" w:lineRule="exact"/>
              <w:jc w:val="center"/>
              <w:rPr>
                <w:rFonts w:ascii="宋体" w:hAnsi="宋体" w:eastAsia="宋体" w:cs="宋体"/>
                <w:color w:val="auto"/>
                <w:highlight w:val="none"/>
              </w:rPr>
            </w:pPr>
          </w:p>
        </w:tc>
      </w:tr>
      <w:tr w14:paraId="572B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9C53A57">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2328" w:type="dxa"/>
            <w:tcBorders>
              <w:top w:val="single" w:color="000000" w:sz="4" w:space="0"/>
              <w:left w:val="single" w:color="000000" w:sz="4" w:space="0"/>
              <w:bottom w:val="single" w:color="000000" w:sz="4" w:space="0"/>
              <w:right w:val="single" w:color="000000" w:sz="4" w:space="0"/>
            </w:tcBorders>
            <w:vAlign w:val="center"/>
          </w:tcPr>
          <w:p w14:paraId="247F990D">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在线余氯分析仪</w:t>
            </w:r>
          </w:p>
        </w:tc>
        <w:tc>
          <w:tcPr>
            <w:tcW w:w="3077" w:type="dxa"/>
            <w:tcBorders>
              <w:top w:val="single" w:color="000000" w:sz="4" w:space="0"/>
              <w:left w:val="single" w:color="000000" w:sz="4" w:space="0"/>
              <w:bottom w:val="single" w:color="000000" w:sz="4" w:space="0"/>
              <w:right w:val="single" w:color="000000" w:sz="4" w:space="0"/>
            </w:tcBorders>
            <w:vAlign w:val="center"/>
          </w:tcPr>
          <w:p w14:paraId="566CAF15">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DPD比色法 0～5mg/L</w:t>
            </w:r>
          </w:p>
        </w:tc>
        <w:tc>
          <w:tcPr>
            <w:tcW w:w="846" w:type="dxa"/>
            <w:tcBorders>
              <w:top w:val="single" w:color="000000" w:sz="4" w:space="0"/>
              <w:left w:val="single" w:color="000000" w:sz="4" w:space="0"/>
              <w:bottom w:val="single" w:color="000000" w:sz="4" w:space="0"/>
              <w:right w:val="single" w:color="000000" w:sz="4" w:space="0"/>
            </w:tcBorders>
            <w:vAlign w:val="center"/>
          </w:tcPr>
          <w:p w14:paraId="0BEEB7D2">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74BB6FA3">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081" w:type="dxa"/>
            <w:tcBorders>
              <w:top w:val="single" w:color="000000" w:sz="4" w:space="0"/>
              <w:left w:val="single" w:color="000000" w:sz="4" w:space="0"/>
              <w:bottom w:val="single" w:color="000000" w:sz="4" w:space="0"/>
              <w:right w:val="single" w:color="000000" w:sz="4" w:space="0"/>
            </w:tcBorders>
            <w:vAlign w:val="center"/>
          </w:tcPr>
          <w:p w14:paraId="5973DB9F">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三水厂 </w:t>
            </w:r>
          </w:p>
        </w:tc>
        <w:tc>
          <w:tcPr>
            <w:tcW w:w="569" w:type="dxa"/>
            <w:tcBorders>
              <w:top w:val="single" w:color="000000" w:sz="4" w:space="0"/>
              <w:left w:val="single" w:color="000000" w:sz="4" w:space="0"/>
              <w:bottom w:val="single" w:color="000000" w:sz="4" w:space="0"/>
              <w:right w:val="single" w:color="000000" w:sz="4" w:space="0"/>
            </w:tcBorders>
            <w:vAlign w:val="center"/>
          </w:tcPr>
          <w:p w14:paraId="24C0CB5F">
            <w:pPr>
              <w:pStyle w:val="45"/>
              <w:spacing w:line="500" w:lineRule="exact"/>
              <w:jc w:val="center"/>
              <w:rPr>
                <w:rFonts w:ascii="宋体" w:hAnsi="宋体" w:eastAsia="宋体" w:cs="宋体"/>
                <w:color w:val="auto"/>
                <w:highlight w:val="none"/>
              </w:rPr>
            </w:pPr>
          </w:p>
        </w:tc>
      </w:tr>
      <w:tr w14:paraId="15C4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35F75DEA">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2328" w:type="dxa"/>
            <w:tcBorders>
              <w:top w:val="single" w:color="000000" w:sz="4" w:space="0"/>
              <w:left w:val="single" w:color="000000" w:sz="4" w:space="0"/>
              <w:bottom w:val="single" w:color="000000" w:sz="4" w:space="0"/>
              <w:right w:val="single" w:color="000000" w:sz="4" w:space="0"/>
            </w:tcBorders>
            <w:vAlign w:val="center"/>
          </w:tcPr>
          <w:p w14:paraId="6B2F4F8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二氧化碳投加系统</w:t>
            </w:r>
          </w:p>
        </w:tc>
        <w:tc>
          <w:tcPr>
            <w:tcW w:w="3077" w:type="dxa"/>
            <w:tcBorders>
              <w:top w:val="single" w:color="000000" w:sz="4" w:space="0"/>
              <w:left w:val="single" w:color="000000" w:sz="4" w:space="0"/>
              <w:bottom w:val="single" w:color="000000" w:sz="4" w:space="0"/>
              <w:right w:val="single" w:color="000000" w:sz="4" w:space="0"/>
            </w:tcBorders>
            <w:vAlign w:val="center"/>
          </w:tcPr>
          <w:p w14:paraId="367ED566">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  50kg/h</w:t>
            </w:r>
          </w:p>
        </w:tc>
        <w:tc>
          <w:tcPr>
            <w:tcW w:w="846" w:type="dxa"/>
            <w:tcBorders>
              <w:top w:val="single" w:color="000000" w:sz="4" w:space="0"/>
              <w:left w:val="single" w:color="000000" w:sz="4" w:space="0"/>
              <w:bottom w:val="single" w:color="000000" w:sz="4" w:space="0"/>
              <w:right w:val="single" w:color="000000" w:sz="4" w:space="0"/>
            </w:tcBorders>
            <w:vAlign w:val="center"/>
          </w:tcPr>
          <w:p w14:paraId="46CA3145">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套</w:t>
            </w:r>
          </w:p>
        </w:tc>
        <w:tc>
          <w:tcPr>
            <w:tcW w:w="895" w:type="dxa"/>
            <w:tcBorders>
              <w:top w:val="single" w:color="000000" w:sz="4" w:space="0"/>
              <w:left w:val="single" w:color="000000" w:sz="4" w:space="0"/>
              <w:bottom w:val="single" w:color="000000" w:sz="4" w:space="0"/>
              <w:right w:val="single" w:color="000000" w:sz="4" w:space="0"/>
            </w:tcBorders>
            <w:vAlign w:val="center"/>
          </w:tcPr>
          <w:p w14:paraId="5E2CF6E0">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0F2CDC4B">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48E49457">
            <w:pPr>
              <w:pStyle w:val="45"/>
              <w:spacing w:line="500" w:lineRule="exact"/>
              <w:jc w:val="center"/>
              <w:rPr>
                <w:rFonts w:ascii="宋体" w:hAnsi="宋体" w:eastAsia="宋体" w:cs="宋体"/>
                <w:color w:val="auto"/>
                <w:highlight w:val="none"/>
              </w:rPr>
            </w:pPr>
          </w:p>
        </w:tc>
      </w:tr>
    </w:tbl>
    <w:p w14:paraId="0D7760A5">
      <w:pPr>
        <w:pStyle w:val="6"/>
        <w:spacing w:before="0" w:after="0" w:line="500" w:lineRule="exact"/>
        <w:ind w:left="420" w:leftChars="200"/>
        <w:jc w:val="left"/>
        <w:rPr>
          <w:rFonts w:ascii="宋体" w:hAnsi="宋体" w:cs="宋体"/>
          <w:color w:val="auto"/>
          <w:sz w:val="21"/>
          <w:szCs w:val="21"/>
          <w:highlight w:val="none"/>
        </w:rPr>
      </w:pPr>
      <w:r>
        <w:rPr>
          <w:rFonts w:hint="eastAsia" w:ascii="宋体" w:hAnsi="宋体" w:cs="宋体"/>
          <w:color w:val="auto"/>
          <w:sz w:val="21"/>
          <w:szCs w:val="21"/>
          <w:highlight w:val="none"/>
        </w:rPr>
        <w:t>（一） 插入式电磁流量计</w:t>
      </w:r>
    </w:p>
    <w:p w14:paraId="5AA3BBF8">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功能： 测量、指示和传送管道内导电液体的流量、状态</w:t>
      </w:r>
    </w:p>
    <w:p w14:paraId="0226B4D9">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规格： 一体式/分体式</w:t>
      </w:r>
    </w:p>
    <w:p w14:paraId="54EE8E8F">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组成： 传感器、变送器和全部安装附件</w:t>
      </w:r>
    </w:p>
    <w:p w14:paraId="742FCA99">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测量原理： 利用法拉第电磁感应测量原理、连续测量</w:t>
      </w:r>
    </w:p>
    <w:p w14:paraId="3E181351">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电极材质： 316L/哈氏合金  介质电导率 &gt;20μs/cm</w:t>
      </w:r>
    </w:p>
    <w:p w14:paraId="231907BF">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内衬材质： 橡胶</w:t>
      </w:r>
    </w:p>
    <w:p w14:paraId="2E4A91E5">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传感器直管段要求： 前 10D 后 5D 时，满足测量精度</w:t>
      </w:r>
    </w:p>
    <w:p w14:paraId="47310438">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温度 -40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180℃ 标定压力 Max100</w:t>
      </w:r>
    </w:p>
    <w:p w14:paraId="146D478B">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介质温度 -20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130℃</w:t>
      </w:r>
    </w:p>
    <w:p w14:paraId="6B33AA44">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防护等级： IP67/68</w:t>
      </w:r>
    </w:p>
    <w:p w14:paraId="35FE41C6">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安装方式： 定尺安装形式、在线可插拔安装形式</w:t>
      </w:r>
    </w:p>
    <w:p w14:paraId="25E38704">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传感器口径： DN200～DN2000</w:t>
      </w:r>
    </w:p>
    <w:p w14:paraId="293988D4">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变送器：测量精度 ±1%</w:t>
      </w:r>
    </w:p>
    <w:p w14:paraId="0C75585B">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测量流向： 单向/双向流</w:t>
      </w:r>
    </w:p>
    <w:p w14:paraId="5D4F7A22">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变送器显示： 3行 20个字符</w:t>
      </w:r>
    </w:p>
    <w:p w14:paraId="01EEA9DC">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输出信号： 一路电流一路数字</w:t>
      </w:r>
    </w:p>
    <w:p w14:paraId="61A177F3">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供电电源 220VAC 防护等级 IP67</w:t>
      </w:r>
    </w:p>
    <w:p w14:paraId="4314CED7">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其他 出场标定 实流标定，并提供全套标定记录</w:t>
      </w:r>
    </w:p>
    <w:p w14:paraId="49B73E3B">
      <w:pPr>
        <w:pStyle w:val="11"/>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传感器组件： 全套安装法兰(管道用)、垫片和附件</w:t>
      </w:r>
    </w:p>
    <w:p w14:paraId="11CE991A">
      <w:pPr>
        <w:pStyle w:val="11"/>
        <w:spacing w:line="500" w:lineRule="exact"/>
        <w:ind w:left="420" w:leftChars="20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推荐品牌：艾默生、ABB、霍尼韦尔等</w:t>
      </w:r>
    </w:p>
    <w:p w14:paraId="10A02C44">
      <w:pPr>
        <w:pStyle w:val="6"/>
        <w:spacing w:before="0" w:after="0" w:line="500" w:lineRule="exact"/>
        <w:ind w:left="420" w:leftChars="200"/>
        <w:jc w:val="left"/>
        <w:rPr>
          <w:rFonts w:ascii="宋体" w:hAnsi="宋体" w:cs="宋体"/>
          <w:color w:val="auto"/>
          <w:sz w:val="21"/>
          <w:szCs w:val="21"/>
          <w:highlight w:val="none"/>
        </w:rPr>
      </w:pPr>
      <w:r>
        <w:rPr>
          <w:rFonts w:hint="eastAsia" w:ascii="宋体" w:hAnsi="宋体" w:cs="宋体"/>
          <w:color w:val="auto"/>
          <w:sz w:val="21"/>
          <w:szCs w:val="21"/>
          <w:highlight w:val="none"/>
        </w:rPr>
        <w:t>（二）余氯分析仪</w:t>
      </w:r>
    </w:p>
    <w:p w14:paraId="63A482B2">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测量原理：DPD比色法，可准确测量余氯或总氯含量；</w:t>
      </w:r>
    </w:p>
    <w:p w14:paraId="424F9FDC">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利用内置曲线校正；</w:t>
      </w:r>
    </w:p>
    <w:p w14:paraId="7E31DCF5">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测量范围：0～5mg/L的余氯或总氯；</w:t>
      </w:r>
    </w:p>
    <w:p w14:paraId="369F2A08">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准确度：读数的±5%或0.035mg/L Cl2；</w:t>
      </w:r>
    </w:p>
    <w:p w14:paraId="70E086AD">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精度：读数的±5%或0.005mg/L Cl2；</w:t>
      </w:r>
    </w:p>
    <w:p w14:paraId="01527D2D">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检测限：0.035mg/L；</w:t>
      </w:r>
    </w:p>
    <w:p w14:paraId="5FC9F5C0">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测量时间：2.5分钟；</w:t>
      </w:r>
    </w:p>
    <w:p w14:paraId="43D516F0">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样品流量：200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500 mL/min；</w:t>
      </w:r>
    </w:p>
    <w:p w14:paraId="540C74CE">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样品压力范围：0.01～0.5Mpa；</w:t>
      </w:r>
    </w:p>
    <w:p w14:paraId="7F82FE22">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显示：LCD液晶屏；</w:t>
      </w:r>
    </w:p>
    <w:p w14:paraId="1C803125">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输出：4～20mA，继电器；</w:t>
      </w:r>
    </w:p>
    <w:p w14:paraId="722E1207">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通讯协议：可选AquaTrend网络接口（Lonworks）</w:t>
      </w:r>
    </w:p>
    <w:p w14:paraId="4CAB2DEF">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操作环境：5～40℃，0～90％相对湿度；</w:t>
      </w:r>
    </w:p>
    <w:p w14:paraId="7DCE0E14">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电源：100～230VAC，50/60Hz；</w:t>
      </w:r>
    </w:p>
    <w:p w14:paraId="15EE907B">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认证：CE，UL1262 ETL，CSA22.2，No.142；</w:t>
      </w:r>
    </w:p>
    <w:p w14:paraId="63241AA4">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防护等级：IP62，室内安装；</w:t>
      </w:r>
    </w:p>
    <w:p w14:paraId="10E3ED35">
      <w:pPr>
        <w:spacing w:line="500" w:lineRule="exact"/>
        <w:ind w:firstLine="558" w:firstLineChars="266"/>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仪器安装方式：壁挂式安装。</w:t>
      </w:r>
    </w:p>
    <w:p w14:paraId="5BFE6B49">
      <w:pPr>
        <w:pStyle w:val="11"/>
        <w:spacing w:line="500" w:lineRule="exact"/>
        <w:ind w:left="420" w:leftChars="20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推荐品牌：哈希、本华、E+H、德菲等</w:t>
      </w:r>
    </w:p>
    <w:p w14:paraId="5BACCA1E">
      <w:pPr>
        <w:pStyle w:val="6"/>
        <w:numPr>
          <w:ilvl w:val="0"/>
          <w:numId w:val="6"/>
        </w:numPr>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二氧化碳投加系统</w:t>
      </w:r>
    </w:p>
    <w:p w14:paraId="37B91571">
      <w:pPr>
        <w:spacing w:line="500" w:lineRule="exact"/>
        <w:ind w:firstLine="630" w:firstLineChars="300"/>
        <w:rPr>
          <w:rFonts w:ascii="宋体" w:hAnsi="宋体" w:cs="宋体"/>
          <w:color w:val="auto"/>
          <w:szCs w:val="21"/>
          <w:highlight w:val="none"/>
        </w:rPr>
      </w:pPr>
      <w:r>
        <w:rPr>
          <w:rFonts w:hint="eastAsia"/>
          <w:color w:val="auto"/>
          <w:highlight w:val="none"/>
        </w:rPr>
        <w:t xml:space="preserve">    </w:t>
      </w:r>
      <w:r>
        <w:rPr>
          <w:rFonts w:hint="eastAsia" w:ascii="宋体" w:hAnsi="宋体" w:cs="宋体"/>
          <w:color w:val="auto"/>
          <w:szCs w:val="21"/>
          <w:highlight w:val="none"/>
        </w:rPr>
        <w:t xml:space="preserve"> 主要清单如下：</w:t>
      </w:r>
    </w:p>
    <w:tbl>
      <w:tblPr>
        <w:tblStyle w:val="23"/>
        <w:tblW w:w="10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590"/>
        <w:gridCol w:w="4883"/>
        <w:gridCol w:w="637"/>
        <w:gridCol w:w="750"/>
        <w:gridCol w:w="2096"/>
      </w:tblGrid>
      <w:tr w14:paraId="41E9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14" w:type="dxa"/>
            <w:shd w:val="clear" w:color="auto" w:fill="auto"/>
            <w:vAlign w:val="center"/>
          </w:tcPr>
          <w:p w14:paraId="080F136D">
            <w:pPr>
              <w:spacing w:line="50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590" w:type="dxa"/>
            <w:shd w:val="clear" w:color="auto" w:fill="auto"/>
            <w:vAlign w:val="center"/>
          </w:tcPr>
          <w:p w14:paraId="71C00C54">
            <w:pPr>
              <w:spacing w:line="500" w:lineRule="exact"/>
              <w:ind w:left="420" w:leftChars="200"/>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4883" w:type="dxa"/>
            <w:shd w:val="clear" w:color="auto" w:fill="auto"/>
            <w:vAlign w:val="center"/>
          </w:tcPr>
          <w:p w14:paraId="7B4226AD">
            <w:pPr>
              <w:spacing w:line="500" w:lineRule="exact"/>
              <w:ind w:left="420" w:leftChars="200"/>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637" w:type="dxa"/>
            <w:shd w:val="clear" w:color="auto" w:fill="auto"/>
            <w:vAlign w:val="center"/>
          </w:tcPr>
          <w:p w14:paraId="0732914C">
            <w:pPr>
              <w:spacing w:line="50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750" w:type="dxa"/>
            <w:shd w:val="clear" w:color="auto" w:fill="auto"/>
            <w:vAlign w:val="center"/>
          </w:tcPr>
          <w:p w14:paraId="23BE11C1">
            <w:pPr>
              <w:spacing w:line="50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2096" w:type="dxa"/>
            <w:shd w:val="clear" w:color="auto" w:fill="auto"/>
            <w:vAlign w:val="center"/>
          </w:tcPr>
          <w:p w14:paraId="6165D9F0">
            <w:pPr>
              <w:spacing w:line="500" w:lineRule="exact"/>
              <w:ind w:left="420" w:leftChars="200"/>
              <w:jc w:val="center"/>
              <w:rPr>
                <w:rFonts w:ascii="宋体" w:hAnsi="宋体" w:cs="宋体"/>
                <w:color w:val="auto"/>
                <w:szCs w:val="21"/>
                <w:highlight w:val="none"/>
              </w:rPr>
            </w:pPr>
            <w:r>
              <w:rPr>
                <w:rFonts w:hint="eastAsia" w:ascii="宋体" w:hAnsi="宋体" w:cs="宋体"/>
                <w:color w:val="auto"/>
                <w:szCs w:val="21"/>
                <w:highlight w:val="none"/>
              </w:rPr>
              <w:t>选型要求</w:t>
            </w:r>
          </w:p>
        </w:tc>
      </w:tr>
      <w:tr w14:paraId="5879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14" w:type="dxa"/>
            <w:shd w:val="clear" w:color="auto" w:fill="auto"/>
            <w:vAlign w:val="center"/>
          </w:tcPr>
          <w:p w14:paraId="2D03DEC6">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1590" w:type="dxa"/>
            <w:shd w:val="clear" w:color="auto" w:fill="auto"/>
            <w:vAlign w:val="center"/>
          </w:tcPr>
          <w:p w14:paraId="7068EA5E">
            <w:pPr>
              <w:spacing w:line="500" w:lineRule="exact"/>
              <w:rPr>
                <w:rFonts w:ascii="宋体" w:hAnsi="宋体" w:cs="宋体"/>
                <w:color w:val="auto"/>
                <w:szCs w:val="21"/>
                <w:highlight w:val="none"/>
              </w:rPr>
            </w:pPr>
            <w:r>
              <w:rPr>
                <w:rFonts w:hint="eastAsia" w:ascii="宋体" w:hAnsi="宋体" w:cs="宋体"/>
                <w:color w:val="auto"/>
                <w:szCs w:val="21"/>
                <w:highlight w:val="none"/>
              </w:rPr>
              <w:t>液态二氧化碳储罐</w:t>
            </w:r>
          </w:p>
        </w:tc>
        <w:tc>
          <w:tcPr>
            <w:tcW w:w="4883" w:type="dxa"/>
            <w:shd w:val="clear" w:color="auto" w:fill="auto"/>
            <w:vAlign w:val="center"/>
          </w:tcPr>
          <w:p w14:paraId="5049B809">
            <w:pPr>
              <w:spacing w:line="500" w:lineRule="exact"/>
              <w:rPr>
                <w:rFonts w:ascii="宋体" w:hAnsi="宋体" w:cs="宋体"/>
                <w:color w:val="auto"/>
                <w:szCs w:val="21"/>
                <w:highlight w:val="none"/>
              </w:rPr>
            </w:pPr>
            <w:r>
              <w:rPr>
                <w:rFonts w:hint="eastAsia" w:ascii="宋体" w:hAnsi="宋体" w:cs="宋体"/>
                <w:color w:val="auto"/>
                <w:szCs w:val="21"/>
                <w:highlight w:val="none"/>
              </w:rPr>
              <w:t>15m³，尺寸：2.4m*5.3m，壁厚8mm，封头厚8mm，碳钢，为内、外槽双层结构；内外筒夹层中充满保温材料珠光砂绝热材料并抽真空，内外层夹层压力为绝对压力≤3Pa，出厂真空度优于国家标准，确保日蒸发率的指标优于国标。</w:t>
            </w:r>
          </w:p>
        </w:tc>
        <w:tc>
          <w:tcPr>
            <w:tcW w:w="637" w:type="dxa"/>
            <w:shd w:val="clear" w:color="auto" w:fill="auto"/>
            <w:vAlign w:val="center"/>
          </w:tcPr>
          <w:p w14:paraId="7A0D9587">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4D5106AA">
            <w:pPr>
              <w:spacing w:line="500" w:lineRule="exact"/>
              <w:rPr>
                <w:rFonts w:ascii="宋体" w:hAnsi="宋体" w:cs="宋体"/>
                <w:color w:val="auto"/>
                <w:szCs w:val="21"/>
                <w:highlight w:val="none"/>
              </w:rPr>
            </w:pPr>
            <w:r>
              <w:rPr>
                <w:rFonts w:hint="eastAsia" w:ascii="宋体" w:hAnsi="宋体" w:cs="宋体"/>
                <w:color w:val="auto"/>
                <w:szCs w:val="21"/>
                <w:highlight w:val="none"/>
              </w:rPr>
              <w:t>座</w:t>
            </w:r>
          </w:p>
        </w:tc>
        <w:tc>
          <w:tcPr>
            <w:tcW w:w="2096" w:type="dxa"/>
            <w:shd w:val="clear" w:color="auto" w:fill="auto"/>
            <w:vAlign w:val="center"/>
          </w:tcPr>
          <w:p w14:paraId="16C18345">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性能应不低于中杰特装、中集圣达、查特深冷等产品。</w:t>
            </w:r>
          </w:p>
        </w:tc>
      </w:tr>
      <w:tr w14:paraId="585C9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14" w:type="dxa"/>
            <w:shd w:val="clear" w:color="auto" w:fill="auto"/>
            <w:vAlign w:val="center"/>
          </w:tcPr>
          <w:p w14:paraId="281B91BB">
            <w:pPr>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590" w:type="dxa"/>
            <w:shd w:val="clear" w:color="auto" w:fill="auto"/>
            <w:vAlign w:val="center"/>
          </w:tcPr>
          <w:p w14:paraId="3F1B8EB4">
            <w:pPr>
              <w:spacing w:line="500" w:lineRule="exact"/>
              <w:rPr>
                <w:rFonts w:ascii="宋体" w:hAnsi="宋体" w:cs="宋体"/>
                <w:color w:val="auto"/>
                <w:szCs w:val="21"/>
                <w:highlight w:val="none"/>
              </w:rPr>
            </w:pPr>
            <w:r>
              <w:rPr>
                <w:rFonts w:hint="eastAsia" w:ascii="宋体" w:hAnsi="宋体" w:cs="宋体"/>
                <w:color w:val="auto"/>
                <w:szCs w:val="21"/>
                <w:highlight w:val="none"/>
              </w:rPr>
              <w:t>汽化器</w:t>
            </w:r>
          </w:p>
        </w:tc>
        <w:tc>
          <w:tcPr>
            <w:tcW w:w="4883" w:type="dxa"/>
            <w:shd w:val="clear" w:color="auto" w:fill="auto"/>
            <w:vAlign w:val="center"/>
          </w:tcPr>
          <w:p w14:paraId="2BFD785C">
            <w:pPr>
              <w:spacing w:line="500" w:lineRule="exact"/>
              <w:rPr>
                <w:rFonts w:ascii="宋体" w:hAnsi="宋体" w:cs="宋体"/>
                <w:color w:val="auto"/>
                <w:szCs w:val="21"/>
                <w:highlight w:val="none"/>
              </w:rPr>
            </w:pPr>
            <w:r>
              <w:rPr>
                <w:rFonts w:hint="eastAsia" w:ascii="宋体" w:hAnsi="宋体" w:cs="宋体"/>
                <w:color w:val="auto"/>
                <w:szCs w:val="21"/>
                <w:highlight w:val="none"/>
              </w:rPr>
              <w:t>150m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/h，由星型翅片导热管、液气导流管、支架、底座、进出品接头等部件组成,铝合金</w:t>
            </w:r>
          </w:p>
        </w:tc>
        <w:tc>
          <w:tcPr>
            <w:tcW w:w="637" w:type="dxa"/>
            <w:shd w:val="clear" w:color="auto" w:fill="auto"/>
            <w:vAlign w:val="center"/>
          </w:tcPr>
          <w:p w14:paraId="1121507E">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45BBA7F1">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1CB8519F">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性能应不低于中杰特装、中集圣达、查特深冷等产品。</w:t>
            </w:r>
          </w:p>
        </w:tc>
      </w:tr>
      <w:tr w14:paraId="74F6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049D1335">
            <w:pPr>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590" w:type="dxa"/>
            <w:shd w:val="clear" w:color="auto" w:fill="auto"/>
            <w:vAlign w:val="center"/>
          </w:tcPr>
          <w:p w14:paraId="45FB43A9">
            <w:pPr>
              <w:spacing w:line="500" w:lineRule="exact"/>
              <w:rPr>
                <w:rFonts w:ascii="宋体" w:hAnsi="宋体" w:cs="宋体"/>
                <w:color w:val="auto"/>
                <w:szCs w:val="21"/>
                <w:highlight w:val="none"/>
              </w:rPr>
            </w:pPr>
            <w:r>
              <w:rPr>
                <w:rFonts w:hint="eastAsia" w:ascii="宋体" w:hAnsi="宋体" w:cs="宋体"/>
                <w:color w:val="auto"/>
                <w:szCs w:val="21"/>
                <w:highlight w:val="none"/>
              </w:rPr>
              <w:t>调节阀组</w:t>
            </w:r>
          </w:p>
        </w:tc>
        <w:tc>
          <w:tcPr>
            <w:tcW w:w="4883" w:type="dxa"/>
            <w:shd w:val="clear" w:color="auto" w:fill="auto"/>
            <w:vAlign w:val="center"/>
          </w:tcPr>
          <w:p w14:paraId="1E15BD63">
            <w:pPr>
              <w:spacing w:line="500" w:lineRule="exact"/>
              <w:rPr>
                <w:rFonts w:ascii="宋体" w:hAnsi="宋体" w:cs="宋体"/>
                <w:color w:val="auto"/>
                <w:szCs w:val="21"/>
                <w:highlight w:val="none"/>
              </w:rPr>
            </w:pPr>
            <w:r>
              <w:rPr>
                <w:rFonts w:hint="eastAsia" w:ascii="宋体" w:hAnsi="宋体" w:cs="宋体"/>
                <w:color w:val="auto"/>
                <w:szCs w:val="21"/>
                <w:highlight w:val="none"/>
              </w:rPr>
              <w:t>DN25，SUS304</w:t>
            </w:r>
          </w:p>
        </w:tc>
        <w:tc>
          <w:tcPr>
            <w:tcW w:w="637" w:type="dxa"/>
            <w:shd w:val="clear" w:color="auto" w:fill="auto"/>
            <w:vAlign w:val="center"/>
          </w:tcPr>
          <w:p w14:paraId="434802D3">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35D60C23">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74BF04A3">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性能应不低于中杰特装、中集圣达、查特深冷等产品。</w:t>
            </w:r>
          </w:p>
        </w:tc>
      </w:tr>
      <w:tr w14:paraId="5572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614" w:type="dxa"/>
            <w:shd w:val="clear" w:color="auto" w:fill="auto"/>
            <w:vAlign w:val="center"/>
          </w:tcPr>
          <w:p w14:paraId="68F516E0">
            <w:pPr>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590" w:type="dxa"/>
            <w:shd w:val="clear" w:color="auto" w:fill="auto"/>
            <w:vAlign w:val="center"/>
          </w:tcPr>
          <w:p w14:paraId="68E22AD4">
            <w:pPr>
              <w:spacing w:line="500" w:lineRule="exact"/>
              <w:rPr>
                <w:rFonts w:ascii="宋体" w:hAnsi="宋体" w:cs="宋体"/>
                <w:color w:val="auto"/>
                <w:szCs w:val="21"/>
                <w:highlight w:val="none"/>
              </w:rPr>
            </w:pPr>
            <w:r>
              <w:rPr>
                <w:rFonts w:hint="eastAsia" w:ascii="宋体" w:hAnsi="宋体" w:cs="宋体"/>
                <w:color w:val="auto"/>
                <w:szCs w:val="21"/>
                <w:highlight w:val="none"/>
              </w:rPr>
              <w:t>管道变频增压泵</w:t>
            </w:r>
          </w:p>
        </w:tc>
        <w:tc>
          <w:tcPr>
            <w:tcW w:w="4883" w:type="dxa"/>
            <w:shd w:val="clear" w:color="auto" w:fill="auto"/>
            <w:vAlign w:val="center"/>
          </w:tcPr>
          <w:p w14:paraId="0AC55675">
            <w:pPr>
              <w:spacing w:line="500" w:lineRule="exact"/>
              <w:rPr>
                <w:rFonts w:ascii="宋体" w:hAnsi="宋体" w:cs="宋体"/>
                <w:color w:val="auto"/>
                <w:szCs w:val="21"/>
                <w:highlight w:val="none"/>
              </w:rPr>
            </w:pPr>
            <w:r>
              <w:rPr>
                <w:rFonts w:hint="eastAsia" w:ascii="宋体" w:hAnsi="宋体" w:cs="宋体"/>
                <w:color w:val="auto"/>
                <w:szCs w:val="21"/>
                <w:highlight w:val="none"/>
              </w:rPr>
              <w:t>流量35m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/h,扬程30m，包括配套手动阀门、管路，配套变频控制箱，材质为UPVC</w:t>
            </w:r>
          </w:p>
        </w:tc>
        <w:tc>
          <w:tcPr>
            <w:tcW w:w="637" w:type="dxa"/>
            <w:shd w:val="clear" w:color="auto" w:fill="auto"/>
            <w:vAlign w:val="center"/>
          </w:tcPr>
          <w:p w14:paraId="673008F8">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7E436A3A">
            <w:pPr>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2096" w:type="dxa"/>
            <w:shd w:val="clear" w:color="auto" w:fill="auto"/>
            <w:vAlign w:val="center"/>
          </w:tcPr>
          <w:p w14:paraId="6FEB0A0E">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性能应不低于南方泵业、东方泵业、凯泉泵业等产品。</w:t>
            </w:r>
          </w:p>
        </w:tc>
      </w:tr>
      <w:tr w14:paraId="43EF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14" w:type="dxa"/>
            <w:shd w:val="clear" w:color="auto" w:fill="auto"/>
            <w:vAlign w:val="center"/>
          </w:tcPr>
          <w:p w14:paraId="5D656F4F">
            <w:pPr>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1590" w:type="dxa"/>
            <w:shd w:val="clear" w:color="auto" w:fill="auto"/>
            <w:vAlign w:val="center"/>
          </w:tcPr>
          <w:p w14:paraId="71FD8528">
            <w:pPr>
              <w:spacing w:line="500" w:lineRule="exact"/>
              <w:rPr>
                <w:rFonts w:ascii="宋体" w:hAnsi="宋体" w:cs="宋体"/>
                <w:color w:val="auto"/>
                <w:szCs w:val="21"/>
                <w:highlight w:val="none"/>
              </w:rPr>
            </w:pPr>
            <w:r>
              <w:rPr>
                <w:rFonts w:hint="eastAsia" w:ascii="宋体" w:hAnsi="宋体" w:cs="宋体"/>
                <w:color w:val="auto"/>
                <w:szCs w:val="21"/>
                <w:highlight w:val="none"/>
              </w:rPr>
              <w:t>电磁流量计</w:t>
            </w:r>
          </w:p>
        </w:tc>
        <w:tc>
          <w:tcPr>
            <w:tcW w:w="4883" w:type="dxa"/>
            <w:shd w:val="clear" w:color="auto" w:fill="auto"/>
            <w:vAlign w:val="center"/>
          </w:tcPr>
          <w:p w14:paraId="56582A5B">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DN80，1套，用于服务水增压泵出口，采用不锈钢316电极； </w:t>
            </w:r>
          </w:p>
        </w:tc>
        <w:tc>
          <w:tcPr>
            <w:tcW w:w="637" w:type="dxa"/>
            <w:shd w:val="clear" w:color="auto" w:fill="auto"/>
            <w:vAlign w:val="center"/>
          </w:tcPr>
          <w:p w14:paraId="392EB2DD">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7E2FBD5C">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3EC78EF6">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性能应不低于科隆、西门子、E+H等产品。</w:t>
            </w:r>
          </w:p>
        </w:tc>
      </w:tr>
      <w:tr w14:paraId="5669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614" w:type="dxa"/>
            <w:shd w:val="clear" w:color="auto" w:fill="auto"/>
            <w:vAlign w:val="center"/>
          </w:tcPr>
          <w:p w14:paraId="20C7D6B9">
            <w:pPr>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1590" w:type="dxa"/>
            <w:shd w:val="clear" w:color="auto" w:fill="auto"/>
            <w:vAlign w:val="center"/>
          </w:tcPr>
          <w:p w14:paraId="20BE51E9">
            <w:pPr>
              <w:spacing w:line="500" w:lineRule="exact"/>
              <w:rPr>
                <w:rFonts w:ascii="宋体" w:hAnsi="宋体" w:cs="宋体"/>
                <w:color w:val="auto"/>
                <w:szCs w:val="21"/>
                <w:highlight w:val="none"/>
              </w:rPr>
            </w:pPr>
            <w:r>
              <w:rPr>
                <w:rFonts w:hint="eastAsia" w:ascii="宋体" w:hAnsi="宋体" w:cs="宋体"/>
                <w:color w:val="auto"/>
                <w:szCs w:val="21"/>
                <w:highlight w:val="none"/>
              </w:rPr>
              <w:t>碳酸发生器撬装组件</w:t>
            </w:r>
          </w:p>
        </w:tc>
        <w:tc>
          <w:tcPr>
            <w:tcW w:w="4883" w:type="dxa"/>
            <w:shd w:val="clear" w:color="auto" w:fill="auto"/>
            <w:vAlign w:val="center"/>
          </w:tcPr>
          <w:p w14:paraId="4A95257A">
            <w:pPr>
              <w:spacing w:line="500" w:lineRule="exact"/>
              <w:rPr>
                <w:rFonts w:ascii="宋体" w:hAnsi="宋体" w:cs="宋体"/>
                <w:color w:val="auto"/>
                <w:szCs w:val="21"/>
                <w:highlight w:val="none"/>
              </w:rPr>
            </w:pPr>
            <w:r>
              <w:rPr>
                <w:rFonts w:hint="eastAsia" w:ascii="宋体" w:hAnsi="宋体" w:cs="宋体"/>
                <w:color w:val="auto"/>
                <w:szCs w:val="21"/>
                <w:highlight w:val="none"/>
              </w:rPr>
              <w:t>二氧化碳投加量50kg/h,不锈钢箱体撬装供货，304材质。防护等级：IP55。</w:t>
            </w:r>
          </w:p>
        </w:tc>
        <w:tc>
          <w:tcPr>
            <w:tcW w:w="637" w:type="dxa"/>
            <w:shd w:val="clear" w:color="auto" w:fill="auto"/>
            <w:vAlign w:val="center"/>
          </w:tcPr>
          <w:p w14:paraId="210CAABE">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108CF650">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7CE10A2A">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性能应不低于上海轩浦、固莱环保、净化控股等产品</w:t>
            </w:r>
          </w:p>
        </w:tc>
      </w:tr>
      <w:tr w14:paraId="680A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03BE3730">
            <w:pPr>
              <w:spacing w:line="500" w:lineRule="exact"/>
              <w:rPr>
                <w:rFonts w:ascii="宋体" w:hAnsi="宋体" w:cs="宋体"/>
                <w:color w:val="auto"/>
                <w:szCs w:val="21"/>
                <w:highlight w:val="none"/>
              </w:rPr>
            </w:pPr>
            <w:r>
              <w:rPr>
                <w:rFonts w:hint="eastAsia" w:ascii="宋体" w:hAnsi="宋体" w:cs="宋体"/>
                <w:color w:val="auto"/>
                <w:szCs w:val="21"/>
                <w:highlight w:val="none"/>
              </w:rPr>
              <w:t>6.1</w:t>
            </w:r>
          </w:p>
        </w:tc>
        <w:tc>
          <w:tcPr>
            <w:tcW w:w="1590" w:type="dxa"/>
            <w:shd w:val="clear" w:color="auto" w:fill="auto"/>
            <w:vAlign w:val="center"/>
          </w:tcPr>
          <w:p w14:paraId="545C8C85">
            <w:pPr>
              <w:spacing w:line="500" w:lineRule="exact"/>
              <w:rPr>
                <w:rFonts w:ascii="宋体" w:hAnsi="宋体" w:cs="宋体"/>
                <w:color w:val="auto"/>
                <w:szCs w:val="21"/>
                <w:highlight w:val="none"/>
              </w:rPr>
            </w:pPr>
            <w:r>
              <w:rPr>
                <w:rFonts w:hint="eastAsia" w:ascii="宋体" w:hAnsi="宋体" w:cs="宋体"/>
                <w:color w:val="auto"/>
                <w:szCs w:val="21"/>
                <w:highlight w:val="none"/>
              </w:rPr>
              <w:t>碳酸制备装置辅助设备</w:t>
            </w:r>
          </w:p>
        </w:tc>
        <w:tc>
          <w:tcPr>
            <w:tcW w:w="4883" w:type="dxa"/>
            <w:shd w:val="clear" w:color="auto" w:fill="auto"/>
            <w:vAlign w:val="center"/>
          </w:tcPr>
          <w:p w14:paraId="43573F97">
            <w:pPr>
              <w:spacing w:line="500" w:lineRule="exact"/>
              <w:rPr>
                <w:rFonts w:ascii="宋体" w:hAnsi="宋体" w:cs="宋体"/>
                <w:color w:val="auto"/>
                <w:szCs w:val="21"/>
                <w:highlight w:val="none"/>
              </w:rPr>
            </w:pPr>
            <w:bookmarkStart w:id="737" w:name="_Hlk161741373"/>
            <w:r>
              <w:rPr>
                <w:rFonts w:hint="eastAsia" w:ascii="宋体" w:hAnsi="宋体" w:cs="宋体"/>
                <w:color w:val="auto"/>
                <w:szCs w:val="21"/>
                <w:highlight w:val="none"/>
              </w:rPr>
              <w:t>释放器（要求产生微纳米气泡）、二氧化碳热式质量流量计、气动薄膜调节阀、PH仪、压力表、压力变送器、二级调压阀、浮子流量计、高压软管、针型阀、Y型过滤器、手动阀及管道、PLC控制柜，阀门、管道、罐体材质：不锈钢304材质</w:t>
            </w:r>
            <w:bookmarkEnd w:id="737"/>
          </w:p>
        </w:tc>
        <w:tc>
          <w:tcPr>
            <w:tcW w:w="637" w:type="dxa"/>
            <w:shd w:val="clear" w:color="auto" w:fill="auto"/>
            <w:vAlign w:val="center"/>
          </w:tcPr>
          <w:p w14:paraId="0761C401">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7720B3C1">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7D14C0D7">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性能应不低于上海轩浦、固莱环保、净化控股等产品</w:t>
            </w:r>
          </w:p>
        </w:tc>
      </w:tr>
      <w:tr w14:paraId="28E4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14B6F624">
            <w:pPr>
              <w:spacing w:line="500" w:lineRule="exact"/>
              <w:rPr>
                <w:rFonts w:ascii="宋体" w:hAnsi="宋体" w:cs="宋体"/>
                <w:color w:val="auto"/>
                <w:szCs w:val="21"/>
                <w:highlight w:val="none"/>
              </w:rPr>
            </w:pPr>
            <w:r>
              <w:rPr>
                <w:rFonts w:hint="eastAsia" w:ascii="宋体" w:hAnsi="宋体" w:cs="宋体"/>
                <w:color w:val="auto"/>
                <w:szCs w:val="21"/>
                <w:highlight w:val="none"/>
              </w:rPr>
              <w:t>6.2</w:t>
            </w:r>
          </w:p>
        </w:tc>
        <w:tc>
          <w:tcPr>
            <w:tcW w:w="1590" w:type="dxa"/>
            <w:shd w:val="clear" w:color="auto" w:fill="auto"/>
            <w:vAlign w:val="center"/>
          </w:tcPr>
          <w:p w14:paraId="55EE6416">
            <w:pPr>
              <w:spacing w:line="500" w:lineRule="exact"/>
              <w:rPr>
                <w:rFonts w:ascii="宋体" w:hAnsi="宋体" w:cs="宋体"/>
                <w:bCs/>
                <w:color w:val="auto"/>
                <w:szCs w:val="21"/>
                <w:highlight w:val="none"/>
              </w:rPr>
            </w:pPr>
            <w:r>
              <w:rPr>
                <w:rFonts w:hint="eastAsia" w:ascii="宋体" w:hAnsi="宋体" w:cs="宋体"/>
                <w:bCs/>
                <w:color w:val="auto"/>
                <w:szCs w:val="21"/>
                <w:highlight w:val="none"/>
              </w:rPr>
              <w:t>分量调节柜</w:t>
            </w:r>
          </w:p>
        </w:tc>
        <w:tc>
          <w:tcPr>
            <w:tcW w:w="4883" w:type="dxa"/>
            <w:shd w:val="clear" w:color="auto" w:fill="auto"/>
            <w:vAlign w:val="center"/>
          </w:tcPr>
          <w:p w14:paraId="3E56C175">
            <w:pPr>
              <w:spacing w:line="500" w:lineRule="exact"/>
              <w:rPr>
                <w:rFonts w:ascii="宋体" w:hAnsi="宋体" w:cs="宋体"/>
                <w:color w:val="auto"/>
                <w:szCs w:val="21"/>
                <w:highlight w:val="none"/>
              </w:rPr>
            </w:pPr>
            <w:r>
              <w:rPr>
                <w:rFonts w:hint="eastAsia" w:ascii="宋体" w:hAnsi="宋体" w:cs="宋体"/>
                <w:color w:val="auto"/>
                <w:szCs w:val="21"/>
                <w:highlight w:val="none"/>
              </w:rPr>
              <w:t>柜体内配置5组调节装置，每套电动阀、调流阀等附件</w:t>
            </w:r>
          </w:p>
        </w:tc>
        <w:tc>
          <w:tcPr>
            <w:tcW w:w="637" w:type="dxa"/>
            <w:shd w:val="clear" w:color="auto" w:fill="auto"/>
            <w:vAlign w:val="center"/>
          </w:tcPr>
          <w:p w14:paraId="5102231C">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7779171F">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770940F6">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42A1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72E79236">
            <w:pPr>
              <w:spacing w:line="500" w:lineRule="exact"/>
              <w:rPr>
                <w:rFonts w:ascii="宋体" w:hAnsi="宋体" w:cs="宋体"/>
                <w:color w:val="auto"/>
                <w:szCs w:val="21"/>
                <w:highlight w:val="none"/>
              </w:rPr>
            </w:pPr>
            <w:r>
              <w:rPr>
                <w:rFonts w:hint="eastAsia" w:ascii="宋体" w:hAnsi="宋体" w:cs="宋体"/>
                <w:color w:val="auto"/>
                <w:szCs w:val="21"/>
                <w:highlight w:val="none"/>
              </w:rPr>
              <w:t>6.3</w:t>
            </w:r>
          </w:p>
        </w:tc>
        <w:tc>
          <w:tcPr>
            <w:tcW w:w="1590" w:type="dxa"/>
            <w:shd w:val="clear" w:color="auto" w:fill="auto"/>
            <w:vAlign w:val="center"/>
          </w:tcPr>
          <w:p w14:paraId="50AD217A">
            <w:pPr>
              <w:spacing w:line="500" w:lineRule="exact"/>
              <w:rPr>
                <w:rFonts w:ascii="宋体" w:hAnsi="宋体" w:cs="宋体"/>
                <w:bCs/>
                <w:color w:val="auto"/>
                <w:szCs w:val="21"/>
                <w:highlight w:val="none"/>
              </w:rPr>
            </w:pPr>
            <w:r>
              <w:rPr>
                <w:rFonts w:hint="eastAsia" w:ascii="宋体" w:hAnsi="宋体" w:cs="宋体"/>
                <w:color w:val="auto"/>
                <w:szCs w:val="21"/>
                <w:highlight w:val="none"/>
              </w:rPr>
              <w:t>薄膜调节阀</w:t>
            </w:r>
          </w:p>
        </w:tc>
        <w:tc>
          <w:tcPr>
            <w:tcW w:w="4883" w:type="dxa"/>
            <w:shd w:val="clear" w:color="auto" w:fill="auto"/>
            <w:vAlign w:val="center"/>
          </w:tcPr>
          <w:p w14:paraId="0DB5716A">
            <w:pPr>
              <w:spacing w:line="500" w:lineRule="exact"/>
              <w:rPr>
                <w:rFonts w:ascii="宋体" w:hAnsi="宋体" w:cs="宋体"/>
                <w:color w:val="auto"/>
                <w:szCs w:val="21"/>
                <w:highlight w:val="none"/>
              </w:rPr>
            </w:pPr>
            <w:r>
              <w:rPr>
                <w:rFonts w:hint="eastAsia" w:ascii="宋体" w:hAnsi="宋体" w:cs="宋体"/>
                <w:color w:val="auto"/>
                <w:szCs w:val="21"/>
                <w:highlight w:val="none"/>
              </w:rPr>
              <w:t>阀体材质304，内件材质304，HEP-15定位器带反馈，输入信号4-20mA，KZ03定位器，气开型，不带手轮</w:t>
            </w:r>
          </w:p>
        </w:tc>
        <w:tc>
          <w:tcPr>
            <w:tcW w:w="637" w:type="dxa"/>
            <w:shd w:val="clear" w:color="auto" w:fill="auto"/>
            <w:vAlign w:val="center"/>
          </w:tcPr>
          <w:p w14:paraId="1CC5710D">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0D2A591F">
            <w:pPr>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2096" w:type="dxa"/>
            <w:shd w:val="clear" w:color="auto" w:fill="auto"/>
            <w:vAlign w:val="center"/>
          </w:tcPr>
          <w:p w14:paraId="13E7F1B5">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性能应不低于常州鑫石、埃克美迅</w:t>
            </w:r>
            <w:r>
              <w:rPr>
                <w:rFonts w:hint="eastAsia" w:ascii="宋体" w:hAnsi="宋体" w:cs="宋体"/>
                <w:color w:val="auto"/>
                <w:szCs w:val="21"/>
                <w:highlight w:val="none"/>
                <w:shd w:val="clear" w:color="auto" w:fill="FFFFFF"/>
              </w:rPr>
              <w:t>Eicmation</w:t>
            </w:r>
            <w:r>
              <w:rPr>
                <w:rFonts w:hint="eastAsia" w:ascii="宋体" w:hAnsi="宋体" w:cs="宋体"/>
                <w:color w:val="auto"/>
                <w:szCs w:val="21"/>
                <w:highlight w:val="none"/>
              </w:rPr>
              <w:t>、朱工阀门等产品。</w:t>
            </w:r>
          </w:p>
        </w:tc>
      </w:tr>
      <w:tr w14:paraId="3BFB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29D38A68">
            <w:pPr>
              <w:spacing w:line="500" w:lineRule="exact"/>
              <w:rPr>
                <w:rFonts w:ascii="宋体" w:hAnsi="宋体" w:cs="宋体"/>
                <w:color w:val="auto"/>
                <w:szCs w:val="21"/>
                <w:highlight w:val="none"/>
              </w:rPr>
            </w:pPr>
            <w:r>
              <w:rPr>
                <w:rFonts w:hint="eastAsia" w:ascii="宋体" w:hAnsi="宋体" w:cs="宋体"/>
                <w:color w:val="auto"/>
                <w:szCs w:val="21"/>
                <w:highlight w:val="none"/>
              </w:rPr>
              <w:t>6.4</w:t>
            </w:r>
          </w:p>
        </w:tc>
        <w:tc>
          <w:tcPr>
            <w:tcW w:w="1590" w:type="dxa"/>
            <w:shd w:val="clear" w:color="auto" w:fill="auto"/>
            <w:vAlign w:val="center"/>
          </w:tcPr>
          <w:p w14:paraId="1D607390">
            <w:pPr>
              <w:spacing w:line="500" w:lineRule="exact"/>
              <w:rPr>
                <w:rFonts w:ascii="宋体" w:hAnsi="宋体" w:cs="宋体"/>
                <w:bCs/>
                <w:color w:val="auto"/>
                <w:szCs w:val="21"/>
                <w:highlight w:val="none"/>
              </w:rPr>
            </w:pPr>
            <w:r>
              <w:rPr>
                <w:rFonts w:hint="eastAsia" w:ascii="宋体" w:hAnsi="宋体" w:cs="宋体"/>
                <w:color w:val="auto"/>
                <w:szCs w:val="21"/>
                <w:highlight w:val="none"/>
              </w:rPr>
              <w:t>热式气体质量流量计</w:t>
            </w:r>
          </w:p>
        </w:tc>
        <w:tc>
          <w:tcPr>
            <w:tcW w:w="4883" w:type="dxa"/>
            <w:shd w:val="clear" w:color="auto" w:fill="auto"/>
            <w:vAlign w:val="center"/>
          </w:tcPr>
          <w:p w14:paraId="192060F7">
            <w:pPr>
              <w:spacing w:line="500" w:lineRule="exact"/>
              <w:rPr>
                <w:rFonts w:ascii="宋体" w:hAnsi="宋体" w:cs="宋体"/>
                <w:color w:val="auto"/>
                <w:szCs w:val="21"/>
                <w:highlight w:val="none"/>
              </w:rPr>
            </w:pPr>
            <w:r>
              <w:rPr>
                <w:rFonts w:hint="eastAsia" w:ascii="宋体" w:hAnsi="宋体" w:cs="宋体"/>
                <w:color w:val="auto"/>
                <w:szCs w:val="21"/>
                <w:highlight w:val="none"/>
              </w:rPr>
              <w:t>材质304,工作压力1.0Mpa,法兰标准HG20592</w:t>
            </w:r>
          </w:p>
        </w:tc>
        <w:tc>
          <w:tcPr>
            <w:tcW w:w="637" w:type="dxa"/>
            <w:shd w:val="clear" w:color="auto" w:fill="auto"/>
            <w:vAlign w:val="center"/>
          </w:tcPr>
          <w:p w14:paraId="794ED0D4">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739E84EF">
            <w:pPr>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2096" w:type="dxa"/>
            <w:shd w:val="clear" w:color="auto" w:fill="auto"/>
            <w:vAlign w:val="center"/>
          </w:tcPr>
          <w:p w14:paraId="5DDEC5CA">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性能应不低于常州鑫石、埃克美迅</w:t>
            </w:r>
            <w:r>
              <w:rPr>
                <w:rFonts w:hint="eastAsia" w:ascii="宋体" w:hAnsi="宋体" w:cs="宋体"/>
                <w:color w:val="auto"/>
                <w:szCs w:val="21"/>
                <w:highlight w:val="none"/>
                <w:shd w:val="clear" w:color="auto" w:fill="FFFFFF"/>
              </w:rPr>
              <w:t>Eicmation</w:t>
            </w:r>
            <w:r>
              <w:rPr>
                <w:rFonts w:hint="eastAsia" w:ascii="宋体" w:hAnsi="宋体" w:cs="宋体"/>
                <w:color w:val="auto"/>
                <w:szCs w:val="21"/>
                <w:highlight w:val="none"/>
              </w:rPr>
              <w:t>、朱工阀门等产品。</w:t>
            </w:r>
          </w:p>
        </w:tc>
      </w:tr>
      <w:tr w14:paraId="73DB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614" w:type="dxa"/>
            <w:shd w:val="clear" w:color="auto" w:fill="auto"/>
            <w:vAlign w:val="center"/>
          </w:tcPr>
          <w:p w14:paraId="5638706F">
            <w:pPr>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1590" w:type="dxa"/>
            <w:shd w:val="clear" w:color="auto" w:fill="auto"/>
            <w:vAlign w:val="center"/>
          </w:tcPr>
          <w:p w14:paraId="325E327F">
            <w:pPr>
              <w:spacing w:line="500" w:lineRule="exact"/>
              <w:rPr>
                <w:rFonts w:ascii="宋体" w:hAnsi="宋体" w:cs="宋体"/>
                <w:color w:val="auto"/>
                <w:szCs w:val="21"/>
                <w:highlight w:val="none"/>
              </w:rPr>
            </w:pPr>
            <w:r>
              <w:rPr>
                <w:rFonts w:hint="eastAsia" w:ascii="宋体" w:hAnsi="宋体" w:cs="宋体"/>
                <w:color w:val="auto"/>
                <w:szCs w:val="21"/>
                <w:highlight w:val="none"/>
              </w:rPr>
              <w:t>在线PH计</w:t>
            </w:r>
          </w:p>
        </w:tc>
        <w:tc>
          <w:tcPr>
            <w:tcW w:w="4883" w:type="dxa"/>
            <w:shd w:val="clear" w:color="auto" w:fill="auto"/>
            <w:vAlign w:val="center"/>
          </w:tcPr>
          <w:p w14:paraId="3DB19DCF">
            <w:pPr>
              <w:spacing w:line="500" w:lineRule="exact"/>
              <w:rPr>
                <w:rFonts w:ascii="宋体" w:hAnsi="宋体" w:cs="宋体"/>
                <w:color w:val="auto"/>
                <w:szCs w:val="21"/>
                <w:highlight w:val="none"/>
              </w:rPr>
            </w:pPr>
            <w:r>
              <w:rPr>
                <w:rFonts w:hint="eastAsia" w:ascii="宋体" w:hAnsi="宋体" w:cs="宋体"/>
                <w:color w:val="auto"/>
                <w:szCs w:val="21"/>
                <w:highlight w:val="none"/>
              </w:rPr>
              <w:t>电极材质为玻璃材质，电极内金属引线-参比测量材质为银/氯化银，采用电解液形式，配置PH在线监测平衡箱（不锈钢304）</w:t>
            </w:r>
          </w:p>
        </w:tc>
        <w:tc>
          <w:tcPr>
            <w:tcW w:w="637" w:type="dxa"/>
            <w:shd w:val="clear" w:color="auto" w:fill="auto"/>
            <w:vAlign w:val="center"/>
          </w:tcPr>
          <w:p w14:paraId="08C109E6">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68A26279">
            <w:pPr>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2096" w:type="dxa"/>
            <w:shd w:val="clear" w:color="auto" w:fill="auto"/>
            <w:vAlign w:val="center"/>
          </w:tcPr>
          <w:p w14:paraId="69B4E965">
            <w:pPr>
              <w:spacing w:line="500" w:lineRule="exact"/>
              <w:rPr>
                <w:rFonts w:ascii="宋体" w:hAnsi="宋体" w:cs="宋体"/>
                <w:color w:val="auto"/>
                <w:szCs w:val="21"/>
                <w:highlight w:val="none"/>
              </w:rPr>
            </w:pPr>
            <w:r>
              <w:rPr>
                <w:rFonts w:hint="eastAsia" w:ascii="宋体" w:hAnsi="宋体" w:cs="宋体"/>
                <w:color w:val="auto"/>
                <w:szCs w:val="21"/>
                <w:highlight w:val="none"/>
              </w:rPr>
              <w:t>性能应不低于E+H、哈希、GP等产品。</w:t>
            </w:r>
          </w:p>
          <w:p w14:paraId="3A5599B6">
            <w:pPr>
              <w:spacing w:line="500" w:lineRule="exact"/>
              <w:ind w:left="420" w:leftChars="200"/>
              <w:jc w:val="center"/>
              <w:rPr>
                <w:rFonts w:ascii="宋体" w:hAnsi="宋体" w:cs="宋体"/>
                <w:color w:val="auto"/>
                <w:szCs w:val="21"/>
                <w:highlight w:val="none"/>
              </w:rPr>
            </w:pPr>
          </w:p>
        </w:tc>
      </w:tr>
      <w:tr w14:paraId="56EB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614" w:type="dxa"/>
            <w:shd w:val="clear" w:color="auto" w:fill="auto"/>
            <w:vAlign w:val="center"/>
          </w:tcPr>
          <w:p w14:paraId="38E841A4">
            <w:pPr>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590" w:type="dxa"/>
            <w:shd w:val="clear" w:color="auto" w:fill="auto"/>
            <w:vAlign w:val="center"/>
          </w:tcPr>
          <w:p w14:paraId="026439A7">
            <w:pPr>
              <w:spacing w:line="500" w:lineRule="exact"/>
              <w:rPr>
                <w:rFonts w:ascii="宋体" w:hAnsi="宋体" w:cs="宋体"/>
                <w:color w:val="auto"/>
                <w:szCs w:val="21"/>
                <w:highlight w:val="none"/>
              </w:rPr>
            </w:pPr>
            <w:r>
              <w:rPr>
                <w:rFonts w:hint="eastAsia" w:ascii="宋体" w:hAnsi="宋体" w:cs="宋体"/>
                <w:color w:val="auto"/>
                <w:szCs w:val="21"/>
                <w:highlight w:val="none"/>
              </w:rPr>
              <w:t>PLC控制柜（内置于碳酸制备装置）</w:t>
            </w:r>
          </w:p>
        </w:tc>
        <w:tc>
          <w:tcPr>
            <w:tcW w:w="4883" w:type="dxa"/>
            <w:shd w:val="clear" w:color="auto" w:fill="auto"/>
            <w:vAlign w:val="center"/>
          </w:tcPr>
          <w:p w14:paraId="6E7ADBD3">
            <w:pPr>
              <w:spacing w:line="500" w:lineRule="exact"/>
              <w:rPr>
                <w:rFonts w:ascii="宋体" w:hAnsi="宋体" w:cs="宋体"/>
                <w:color w:val="auto"/>
                <w:szCs w:val="21"/>
                <w:highlight w:val="none"/>
              </w:rPr>
            </w:pPr>
            <w:r>
              <w:rPr>
                <w:rFonts w:hint="eastAsia" w:ascii="宋体" w:hAnsi="宋体" w:cs="宋体"/>
                <w:color w:val="auto"/>
                <w:szCs w:val="21"/>
                <w:highlight w:val="none"/>
              </w:rPr>
              <w:t>材质：SUS304。防护等级：IP55，预留以太网接口；包含制备系统相关设备控制及信号采集。显示屏：10寸。柜体尺寸由投标人配套，柜子用材、制作、安装等一切标准需满足仿威图标准。</w:t>
            </w:r>
          </w:p>
        </w:tc>
        <w:tc>
          <w:tcPr>
            <w:tcW w:w="637" w:type="dxa"/>
            <w:shd w:val="clear" w:color="auto" w:fill="auto"/>
            <w:vAlign w:val="center"/>
          </w:tcPr>
          <w:p w14:paraId="2A947736">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37655A05">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140DEE80">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4C84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614" w:type="dxa"/>
            <w:shd w:val="clear" w:color="auto" w:fill="auto"/>
            <w:vAlign w:val="center"/>
          </w:tcPr>
          <w:p w14:paraId="6AE0C69A">
            <w:pPr>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1590" w:type="dxa"/>
            <w:shd w:val="clear" w:color="auto" w:fill="auto"/>
            <w:vAlign w:val="center"/>
          </w:tcPr>
          <w:p w14:paraId="1A4380E9">
            <w:pPr>
              <w:spacing w:line="500" w:lineRule="exact"/>
              <w:rPr>
                <w:rFonts w:ascii="宋体" w:hAnsi="宋体" w:cs="宋体"/>
                <w:color w:val="auto"/>
                <w:szCs w:val="21"/>
                <w:highlight w:val="none"/>
              </w:rPr>
            </w:pPr>
            <w:r>
              <w:rPr>
                <w:rFonts w:hint="eastAsia" w:ascii="宋体" w:hAnsi="宋体" w:cs="宋体"/>
                <w:color w:val="auto"/>
                <w:szCs w:val="21"/>
                <w:highlight w:val="none"/>
              </w:rPr>
              <w:t>就地电气控制柜</w:t>
            </w:r>
          </w:p>
        </w:tc>
        <w:tc>
          <w:tcPr>
            <w:tcW w:w="4883" w:type="dxa"/>
            <w:shd w:val="clear" w:color="auto" w:fill="auto"/>
            <w:vAlign w:val="center"/>
          </w:tcPr>
          <w:p w14:paraId="1904AA19">
            <w:pPr>
              <w:spacing w:line="500" w:lineRule="exact"/>
              <w:rPr>
                <w:rFonts w:ascii="宋体" w:hAnsi="宋体" w:cs="宋体"/>
                <w:color w:val="auto"/>
                <w:szCs w:val="21"/>
                <w:highlight w:val="none"/>
              </w:rPr>
            </w:pPr>
            <w:r>
              <w:rPr>
                <w:rFonts w:hint="eastAsia" w:ascii="宋体" w:hAnsi="宋体" w:cs="宋体"/>
                <w:color w:val="auto"/>
                <w:szCs w:val="21"/>
                <w:highlight w:val="none"/>
              </w:rPr>
              <w:t>SUS304，含1台变频器（增压泵配套），性能应不低于施耐德、ABB或AB的变频器</w:t>
            </w:r>
          </w:p>
        </w:tc>
        <w:tc>
          <w:tcPr>
            <w:tcW w:w="637" w:type="dxa"/>
            <w:shd w:val="clear" w:color="auto" w:fill="auto"/>
            <w:vAlign w:val="center"/>
          </w:tcPr>
          <w:p w14:paraId="17B3230D">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4A3BF6E6">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65F2B85A">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7CD7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57264B2F">
            <w:pPr>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590" w:type="dxa"/>
            <w:shd w:val="clear" w:color="auto" w:fill="auto"/>
            <w:vAlign w:val="center"/>
          </w:tcPr>
          <w:p w14:paraId="6BDDEBF2">
            <w:pPr>
              <w:spacing w:line="500" w:lineRule="exact"/>
              <w:rPr>
                <w:rFonts w:ascii="宋体" w:hAnsi="宋体" w:cs="宋体"/>
                <w:color w:val="auto"/>
                <w:szCs w:val="21"/>
                <w:highlight w:val="none"/>
              </w:rPr>
            </w:pPr>
            <w:r>
              <w:rPr>
                <w:rFonts w:hint="eastAsia" w:ascii="宋体" w:hAnsi="宋体" w:cs="宋体"/>
                <w:color w:val="auto"/>
                <w:szCs w:val="21"/>
                <w:highlight w:val="none"/>
              </w:rPr>
              <w:t>管路</w:t>
            </w:r>
          </w:p>
        </w:tc>
        <w:tc>
          <w:tcPr>
            <w:tcW w:w="4883" w:type="dxa"/>
            <w:shd w:val="clear" w:color="auto" w:fill="auto"/>
            <w:vAlign w:val="center"/>
          </w:tcPr>
          <w:p w14:paraId="0EAF9129">
            <w:pPr>
              <w:spacing w:line="500" w:lineRule="exact"/>
              <w:rPr>
                <w:rFonts w:ascii="宋体" w:hAnsi="宋体" w:cs="宋体"/>
                <w:color w:val="auto"/>
                <w:szCs w:val="21"/>
                <w:highlight w:val="none"/>
              </w:rPr>
            </w:pPr>
            <w:r>
              <w:rPr>
                <w:rFonts w:hint="eastAsia" w:ascii="宋体" w:hAnsi="宋体" w:cs="宋体"/>
                <w:color w:val="auto"/>
                <w:szCs w:val="21"/>
                <w:highlight w:val="none"/>
              </w:rPr>
              <w:t>UPVC材质，碳酸制备出口至投加点，满足国标要求，数量满足现场要求</w:t>
            </w:r>
          </w:p>
        </w:tc>
        <w:tc>
          <w:tcPr>
            <w:tcW w:w="637" w:type="dxa"/>
            <w:shd w:val="clear" w:color="auto" w:fill="auto"/>
            <w:vAlign w:val="center"/>
          </w:tcPr>
          <w:p w14:paraId="532413B4">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6697FB28">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588592F8">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4FF6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013FD1EF">
            <w:pPr>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590" w:type="dxa"/>
            <w:shd w:val="clear" w:color="auto" w:fill="auto"/>
            <w:vAlign w:val="center"/>
          </w:tcPr>
          <w:p w14:paraId="55E90B67">
            <w:pPr>
              <w:spacing w:line="500" w:lineRule="exact"/>
              <w:rPr>
                <w:rFonts w:ascii="宋体" w:hAnsi="宋体" w:cs="宋体"/>
                <w:color w:val="auto"/>
                <w:szCs w:val="21"/>
                <w:highlight w:val="none"/>
              </w:rPr>
            </w:pPr>
            <w:r>
              <w:rPr>
                <w:rFonts w:hint="eastAsia" w:ascii="宋体" w:hAnsi="宋体" w:cs="宋体"/>
                <w:color w:val="auto"/>
                <w:szCs w:val="21"/>
                <w:highlight w:val="none"/>
              </w:rPr>
              <w:t>电缆</w:t>
            </w:r>
          </w:p>
        </w:tc>
        <w:tc>
          <w:tcPr>
            <w:tcW w:w="4883" w:type="dxa"/>
            <w:shd w:val="clear" w:color="auto" w:fill="auto"/>
            <w:vAlign w:val="center"/>
          </w:tcPr>
          <w:p w14:paraId="1D893CFD">
            <w:pPr>
              <w:spacing w:line="500" w:lineRule="exact"/>
              <w:rPr>
                <w:rFonts w:ascii="宋体" w:hAnsi="宋体" w:cs="宋体"/>
                <w:color w:val="auto"/>
                <w:szCs w:val="21"/>
                <w:highlight w:val="none"/>
              </w:rPr>
            </w:pPr>
            <w:r>
              <w:rPr>
                <w:rFonts w:hint="eastAsia" w:ascii="宋体" w:hAnsi="宋体" w:cs="宋体"/>
                <w:color w:val="auto"/>
                <w:szCs w:val="21"/>
                <w:highlight w:val="none"/>
              </w:rPr>
              <w:t>按需</w:t>
            </w:r>
          </w:p>
        </w:tc>
        <w:tc>
          <w:tcPr>
            <w:tcW w:w="637" w:type="dxa"/>
            <w:shd w:val="clear" w:color="auto" w:fill="auto"/>
            <w:vAlign w:val="center"/>
          </w:tcPr>
          <w:p w14:paraId="1A33F8E8">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1B5656F3">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26A7D887">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62DA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614" w:type="dxa"/>
            <w:shd w:val="clear" w:color="auto" w:fill="auto"/>
            <w:vAlign w:val="center"/>
          </w:tcPr>
          <w:p w14:paraId="11EF2061">
            <w:pPr>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590" w:type="dxa"/>
            <w:shd w:val="clear" w:color="auto" w:fill="auto"/>
            <w:vAlign w:val="center"/>
          </w:tcPr>
          <w:p w14:paraId="6C9C751F">
            <w:pPr>
              <w:spacing w:line="500" w:lineRule="exact"/>
              <w:rPr>
                <w:rFonts w:ascii="宋体" w:hAnsi="宋体" w:cs="宋体"/>
                <w:color w:val="auto"/>
                <w:szCs w:val="21"/>
                <w:highlight w:val="none"/>
              </w:rPr>
            </w:pPr>
            <w:r>
              <w:rPr>
                <w:rFonts w:hint="eastAsia" w:ascii="宋体" w:hAnsi="宋体" w:cs="宋体"/>
                <w:color w:val="auto"/>
                <w:szCs w:val="21"/>
                <w:highlight w:val="none"/>
              </w:rPr>
              <w:t>软件</w:t>
            </w:r>
          </w:p>
        </w:tc>
        <w:tc>
          <w:tcPr>
            <w:tcW w:w="4883" w:type="dxa"/>
            <w:shd w:val="clear" w:color="auto" w:fill="auto"/>
            <w:vAlign w:val="center"/>
          </w:tcPr>
          <w:p w14:paraId="15830F34">
            <w:pPr>
              <w:spacing w:line="500" w:lineRule="exact"/>
              <w:rPr>
                <w:rFonts w:ascii="宋体" w:hAnsi="宋体" w:cs="宋体"/>
                <w:color w:val="auto"/>
                <w:szCs w:val="21"/>
                <w:highlight w:val="none"/>
              </w:rPr>
            </w:pPr>
            <w:r>
              <w:rPr>
                <w:rFonts w:hint="eastAsia" w:ascii="宋体" w:hAnsi="宋体" w:cs="宋体"/>
                <w:color w:val="auto"/>
                <w:szCs w:val="21"/>
                <w:highlight w:val="none"/>
              </w:rPr>
              <w:t>含现场控制软件，含中控界面调整等工作。</w:t>
            </w:r>
          </w:p>
        </w:tc>
        <w:tc>
          <w:tcPr>
            <w:tcW w:w="637" w:type="dxa"/>
            <w:shd w:val="clear" w:color="auto" w:fill="auto"/>
            <w:vAlign w:val="center"/>
          </w:tcPr>
          <w:p w14:paraId="5C54A2DA">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6FDEBA3C">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48476869">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66E5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614" w:type="dxa"/>
            <w:shd w:val="clear" w:color="auto" w:fill="auto"/>
            <w:vAlign w:val="center"/>
          </w:tcPr>
          <w:p w14:paraId="6D7774B2">
            <w:pPr>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590" w:type="dxa"/>
            <w:shd w:val="clear" w:color="auto" w:fill="auto"/>
            <w:vAlign w:val="center"/>
          </w:tcPr>
          <w:p w14:paraId="4FE9DA2B">
            <w:pPr>
              <w:spacing w:line="500" w:lineRule="exact"/>
              <w:rPr>
                <w:rFonts w:ascii="宋体" w:hAnsi="宋体" w:cs="宋体"/>
                <w:color w:val="auto"/>
                <w:szCs w:val="21"/>
                <w:highlight w:val="none"/>
              </w:rPr>
            </w:pPr>
            <w:r>
              <w:rPr>
                <w:rFonts w:hint="eastAsia" w:ascii="宋体" w:hAnsi="宋体" w:cs="宋体"/>
                <w:color w:val="auto"/>
                <w:szCs w:val="21"/>
                <w:highlight w:val="none"/>
              </w:rPr>
              <w:t>安装桥架、支架</w:t>
            </w:r>
          </w:p>
        </w:tc>
        <w:tc>
          <w:tcPr>
            <w:tcW w:w="4883" w:type="dxa"/>
            <w:shd w:val="clear" w:color="auto" w:fill="auto"/>
            <w:vAlign w:val="center"/>
          </w:tcPr>
          <w:p w14:paraId="65767852">
            <w:pPr>
              <w:spacing w:line="500" w:lineRule="exact"/>
              <w:rPr>
                <w:rFonts w:ascii="宋体" w:hAnsi="宋体" w:cs="宋体"/>
                <w:color w:val="auto"/>
                <w:szCs w:val="21"/>
                <w:highlight w:val="none"/>
              </w:rPr>
            </w:pPr>
            <w:r>
              <w:rPr>
                <w:rFonts w:hint="eastAsia" w:ascii="宋体" w:hAnsi="宋体" w:cs="宋体"/>
                <w:color w:val="auto"/>
                <w:szCs w:val="21"/>
                <w:highlight w:val="none"/>
              </w:rPr>
              <w:t>桥架材质：SUS304</w:t>
            </w:r>
          </w:p>
        </w:tc>
        <w:tc>
          <w:tcPr>
            <w:tcW w:w="637" w:type="dxa"/>
            <w:shd w:val="clear" w:color="auto" w:fill="auto"/>
            <w:vAlign w:val="center"/>
          </w:tcPr>
          <w:p w14:paraId="074D5B40">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48B6D22B">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0CE9406E">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r w14:paraId="222F2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66B1DABB">
            <w:pPr>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590" w:type="dxa"/>
            <w:shd w:val="clear" w:color="auto" w:fill="auto"/>
            <w:vAlign w:val="center"/>
          </w:tcPr>
          <w:p w14:paraId="7055F7FA">
            <w:pPr>
              <w:spacing w:line="500" w:lineRule="exact"/>
              <w:rPr>
                <w:rFonts w:ascii="宋体" w:hAnsi="宋体" w:cs="宋体"/>
                <w:color w:val="auto"/>
                <w:szCs w:val="21"/>
                <w:highlight w:val="none"/>
              </w:rPr>
            </w:pPr>
            <w:r>
              <w:rPr>
                <w:rFonts w:hint="eastAsia" w:ascii="宋体" w:hAnsi="宋体" w:cs="宋体"/>
                <w:color w:val="auto"/>
                <w:szCs w:val="21"/>
                <w:highlight w:val="none"/>
              </w:rPr>
              <w:t>吊装、安装、调试</w:t>
            </w:r>
          </w:p>
        </w:tc>
        <w:tc>
          <w:tcPr>
            <w:tcW w:w="4883" w:type="dxa"/>
            <w:shd w:val="clear" w:color="auto" w:fill="auto"/>
            <w:vAlign w:val="center"/>
          </w:tcPr>
          <w:p w14:paraId="6B35984C">
            <w:pPr>
              <w:spacing w:line="500" w:lineRule="exact"/>
              <w:ind w:left="420" w:leftChars="200"/>
              <w:jc w:val="center"/>
              <w:rPr>
                <w:rFonts w:ascii="宋体" w:hAnsi="宋体" w:cs="宋体"/>
                <w:color w:val="auto"/>
                <w:szCs w:val="21"/>
                <w:highlight w:val="none"/>
              </w:rPr>
            </w:pPr>
          </w:p>
        </w:tc>
        <w:tc>
          <w:tcPr>
            <w:tcW w:w="637" w:type="dxa"/>
            <w:shd w:val="clear" w:color="auto" w:fill="auto"/>
            <w:vAlign w:val="center"/>
          </w:tcPr>
          <w:p w14:paraId="1D23A2BD">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50" w:type="dxa"/>
            <w:shd w:val="clear" w:color="auto" w:fill="auto"/>
            <w:vAlign w:val="center"/>
          </w:tcPr>
          <w:p w14:paraId="0088D2BE">
            <w:pPr>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2096" w:type="dxa"/>
            <w:shd w:val="clear" w:color="auto" w:fill="auto"/>
            <w:vAlign w:val="center"/>
          </w:tcPr>
          <w:p w14:paraId="40B2A1C1">
            <w:pPr>
              <w:spacing w:line="500" w:lineRule="exact"/>
              <w:rPr>
                <w:rFonts w:ascii="宋体" w:hAnsi="宋体" w:cs="宋体"/>
                <w:color w:val="auto"/>
                <w:szCs w:val="21"/>
                <w:highlight w:val="none"/>
              </w:rPr>
            </w:pPr>
            <w:r>
              <w:rPr>
                <w:rFonts w:hint="eastAsia" w:ascii="宋体" w:hAnsi="宋体" w:cs="宋体"/>
                <w:color w:val="auto"/>
                <w:szCs w:val="21"/>
                <w:highlight w:val="none"/>
              </w:rPr>
              <w:t>厂家配套</w:t>
            </w:r>
          </w:p>
        </w:tc>
      </w:tr>
    </w:tbl>
    <w:p w14:paraId="1A87F963">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水厂规模：10万吨/天。</w:t>
      </w:r>
    </w:p>
    <w:p w14:paraId="1B1819C1">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投加原料为：低温高压液态(-37℃，2.2Mpa)罐储存的二氧化碳，通过槽罐车进料，液体二氧化碳密度为1.1kg/L，汽化后密度为1.997g/L，汽化后的二氧化碳通过碳酸发生器快速制备成碳酸，制备好的碳酸投加至加药点。</w:t>
      </w:r>
    </w:p>
    <w:p w14:paraId="53035A01">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原材料储存方式：采用15m³以上容积的液态二氧化碳储气罐，可通过槽罐车进料，安装在户外，最大投加量的情况下可保证15天的储存量。</w:t>
      </w:r>
    </w:p>
    <w:p w14:paraId="39BF1B75">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最大加注量：二氧化碳最大投加量按12mg/L ，即二氧化碳每天用量为1.2T/d，每小时最大投加量50kg/h。</w:t>
      </w:r>
    </w:p>
    <w:p w14:paraId="4B19A364">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投加点：投加点2个，位于原水管道。 </w:t>
      </w:r>
    </w:p>
    <w:p w14:paraId="0CB84CA9">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系统功能：投加系统采用湿式投加方式，液体二氧化碳由低温罐车输入储罐，通过空温式气化器转化为气态，经过减压阀组调压后输送至二氧化碳溶解投加装置。碳酸制备采用加压混合方式，通过碳酸制备系统将一定压力和温度的气态二氧化碳和一定压力的自来水以一定的比例混合，生成气水混合物:再通过压力储罐将气水混合物转化为饱和碳酸溶液；然后再通过加压水将饱和碳酸溶液注入待处理的水中，使碳酸溶液与水中的碱性物质中和反应，能够达到调整水的PH的目的（或与水中的 CaCO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反应，能够达到调整水的硬度或浊度的目的)。投加系统通过电磁流量计、PH仪、电动调节阀、气体流量计计量、压力传感器等反馈调节，可根据原水PH值、原水流量数据、投加点PH值信号现实PLC自动化控制。增压泵要求为变频控制，碳酸发生装置通过微纳米气泡技术原理，要求投加点无二氧化碳气泡溢出，系统应避免二氧化碳气体进入大气造成浪费，二氧化碳原料利用率为97%以上。</w:t>
      </w:r>
    </w:p>
    <w:p w14:paraId="274D9EEF">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整个系统应做到全封闭，无泄漏。全套系统应包括但不限于以下部件，设备要求为系统最低要求，供货商应不低于此要求。</w:t>
      </w:r>
    </w:p>
    <w:p w14:paraId="18ADFCC6">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液态二氧化碳储罐</w:t>
      </w:r>
    </w:p>
    <w:p w14:paraId="63C655A0">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配备液态二氧化碳储罐一座，15m³，尺寸：2.4m*5.63m，壁厚8mm，封头厚8mm，储罐采用碳钢材质，储罐双层圆筒真空粉末绝热结构，内筒盛装低温液体，（二氧化碳储罐内胆材料为16MnDR），封头选用标准椭圆型封头，外筒面向大气，材料为Q245R 低合金钢，内外筒之间采用八点支承结构。夹层厚度240mm，内外筒夹层中充满保温材料珠光砂绝热材料并抽真空，内外层夹层压力为绝对压力≤3Pa，出厂真空度优于国家标准，确保日蒸发率的指标优于国标。</w:t>
      </w:r>
    </w:p>
    <w:p w14:paraId="6CD40139">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液体二氧化碳储罐采用“组合、安全系统阀”，使用两组安全阀同时工作，在安全阀定期校验时可关闭一侧，另一侧继续工作，确保储罐的安全运行。储罐应相应配备压力表，液位计及液位对照表，以掌握液态二氧化碳储存量及压力变化，便于及时补充。</w:t>
      </w:r>
    </w:p>
    <w:p w14:paraId="14F0441F">
      <w:pPr>
        <w:numPr>
          <w:ilvl w:val="0"/>
          <w:numId w:val="7"/>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汽化器</w:t>
      </w:r>
    </w:p>
    <w:p w14:paraId="7B359212">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参数：150Nm³/h,1台，空温式汽化器是在常温下把低温二氧化碳液体进行汽化的专用设备。空温式汽化器利用大气环境作为热源，通过性能良好的LF21星型管进行热交换，使低温二氧化碳液体汽化成一定温度的气体。</w:t>
      </w:r>
    </w:p>
    <w:p w14:paraId="5B1B59AD">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空温式汽化器主要由星型翅片导热管、液气导流管、支架、底座、进出品接头等部件组成。星型翅片导热管采用八翅对称结构，材质选用坚固耐用、耐腐蚀、耐风化、汽化效果好的LF21防锈铝合金材质；液气导流管选用耐高压，耐冲击的T2M紫铜管材质；底座、支架选用坚固耐用、耐腐蚀的角型LF21防锈铝合金材质。    </w:t>
      </w:r>
    </w:p>
    <w:p w14:paraId="63FBF06A">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（10）增压供水系统</w:t>
      </w:r>
    </w:p>
    <w:p w14:paraId="10BAC388">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增压泵流量≥35m³/h,，扬程30米，1台；用于系统服务水加压及碳酸制备，含进出口配套阀门管件、过滤器、出口电磁流量计、安装螺栓等。</w:t>
      </w:r>
    </w:p>
    <w:p w14:paraId="2BCB1129">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配置就地控制柜，不锈钢304材质，变频调节，设有增压泵启动、停止、故障、就地、远程操作功能。</w:t>
      </w:r>
    </w:p>
    <w:p w14:paraId="2DF5B79D">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（11）电磁流量计</w:t>
      </w:r>
    </w:p>
    <w:p w14:paraId="291FA43B">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组成：传感器、转换器、连接电缆</w:t>
      </w:r>
    </w:p>
    <w:p w14:paraId="6E714FC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电极材料：316L不锈钢电极（用于服务水）</w:t>
      </w:r>
    </w:p>
    <w:p w14:paraId="2D204428">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接地环材质：316L不锈钢</w:t>
      </w:r>
    </w:p>
    <w:p w14:paraId="18DCFEA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衬里材质:PTFE</w:t>
      </w:r>
    </w:p>
    <w:p w14:paraId="4663D44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压力等级:1.6MPa</w:t>
      </w:r>
    </w:p>
    <w:p w14:paraId="3552BFD3">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连接方式:法兰连接，GB9124</w:t>
      </w:r>
    </w:p>
    <w:p w14:paraId="5A48F409">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传感器和法兰材质:A3碳钢</w:t>
      </w:r>
    </w:p>
    <w:p w14:paraId="236F901D">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型式：采用一体式</w:t>
      </w:r>
    </w:p>
    <w:p w14:paraId="674AD9F6">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精度：0.5%</w:t>
      </w:r>
    </w:p>
    <w:p w14:paraId="7EAAD4B2">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量程：0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10m/s，常用区间1</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3.5m/s</w:t>
      </w:r>
    </w:p>
    <w:p w14:paraId="52BDE16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传感器防护等级：IP67或以上</w:t>
      </w:r>
    </w:p>
    <w:p w14:paraId="4C519C60">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输出信号：4-20mA电流信号或脉冲输出或MODBUS或485通讯</w:t>
      </w:r>
    </w:p>
    <w:p w14:paraId="078842E9">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电缆长度：每一台不超过50m</w:t>
      </w:r>
    </w:p>
    <w:p w14:paraId="677F132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检测、调节功能：检测、自检、清零、复位、调零、调整量程功能</w:t>
      </w:r>
    </w:p>
    <w:p w14:paraId="0142DE84">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显示：至少2行x10位液晶数字显示，可显示瞬时流量、正向流量、反向流量等</w:t>
      </w:r>
    </w:p>
    <w:p w14:paraId="06070993">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（12）碳酸制备系统</w:t>
      </w:r>
    </w:p>
    <w:p w14:paraId="5BA77604">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数量：1套，每套碳酸制备系统材质：采用不锈钢304箱体撬装形式。箱体应密闭紧凑，具备良好的防水防尘能力。 </w:t>
      </w:r>
    </w:p>
    <w:p w14:paraId="4FF14C27">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氧化碳转化率需在97%以上，单套二氧化碳投加量满足≥50kg/h。主要工作原理要求：液态二氧化碳原料通过汽化器汽化，经碳酸溶液发生器快速生成碳酸，要求采用微纳米技术形成无数微小气泡，要求多级混合强化，增加碳酸制备的效率，制备好的碳酸溶液投加至加药点，要求无气泡溢出。</w:t>
      </w:r>
    </w:p>
    <w:p w14:paraId="57576D90">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要设备组成：释放器（1套,要求产生微纳米气泡）、二氧化碳热式质量流量计、气动薄膜调节阀、PH仪、压力表、压力变送器、二级调压阀、浮子流量计、高压软管、针型阀、Y型过滤器、手动阀及管道、PLC控制柜，其中阀门、管道、箱体材质为304不锈钢。</w:t>
      </w:r>
    </w:p>
    <w:p w14:paraId="440A801E">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（13）PLC控制系统</w:t>
      </w:r>
    </w:p>
    <w:p w14:paraId="399C67D5">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量:1台，控制柜材质：SUS304。控制柜采用PLC控制，柜体内置于碳酸发生器内部，内部元器件由供货方集成。控制柜厚度不小于2mm。主要控制：制备及投加装置以太网方式接入全厂自控系统,采用10寸或以上触摸屏。PLC推荐使用与厂区PLC配套的品牌。控制柜内其它主要元件性能应不低于ABB、施耐德、西门子等品牌产品。防护等级IP55及以上。</w:t>
      </w:r>
    </w:p>
    <w:p w14:paraId="6636F042">
      <w:p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PLC控制柜可根据原水pH值，原水水量或投加点pH值等反馈数据，动态调节二氧化碳的投加流量。主要包括以下功能：</w:t>
      </w:r>
    </w:p>
    <w:p w14:paraId="3C6CD0F4">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全套系统PLC 控制。</w:t>
      </w:r>
    </w:p>
    <w:p w14:paraId="2B8ACC12">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整套系统可通过远程和就地的方式控制各设备的启停和手、自动切换。</w:t>
      </w:r>
    </w:p>
    <w:p w14:paraId="4D8D7C31">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远程控制由上位机实现，就地控制由触摸屏实现，同时都能监控设备状态，包括增压泵运行状态、储液罐液位和压力、电动阀门开关状态、流量计流量、各点在线pH计pH值等，以及故障报警信号。</w:t>
      </w:r>
    </w:p>
    <w:p w14:paraId="51220BEB">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过PLC实现二氧化碳投加全过程的自动控制，并能根据水流量和水质变化参数自动调节投加量，同时具备现场手动操作功能。配置工业以太网等方式接入水厂自控系统传输设备手动自动状态、开停情况以及故障等常规工况状态信号，增加并优化上位机监控画面，实现水厂控制室对二氧化碳投加系统的远程控制。</w:t>
      </w:r>
    </w:p>
    <w:p w14:paraId="6DEB0B6B">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控制箱还应配置通信接口，且必须符合厂方自动化控制系统通信规约、物理接口、数据格式等要求。</w:t>
      </w:r>
    </w:p>
    <w:p w14:paraId="76210A6F">
      <w:pPr>
        <w:numPr>
          <w:ilvl w:val="0"/>
          <w:numId w:val="8"/>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控制箱接受电源侧及出线侧均应设空气开关，空气开关应有短路及过载保护。安装浪涌保护器，做好防雷工作。特殊电机还应根据电机特点提供专用保护。</w:t>
      </w:r>
    </w:p>
    <w:p w14:paraId="0E27E4FF">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（14）电气部分</w:t>
      </w:r>
    </w:p>
    <w:p w14:paraId="4E60F282">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新增用电设备电源均引自现状低压配电系统预留馈线回路。</w:t>
      </w:r>
    </w:p>
    <w:p w14:paraId="311AC872">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缆敷设方式：电缆出动力柜后，沿电缆沟、桥架或穿管敷设。在电缆沟或桥架敷设时，动力电缆在上层，控制电缆在下层；由电缆沟或桥架引出后，穿钢管敷设至用电设备。所有电缆进出动力柜的开孔部位，电缆贯穿隔墙，均应实施阻火防水封堵。照明线均采用塑料绝缘线穿PVC管沿墙。</w:t>
      </w:r>
    </w:p>
    <w:p w14:paraId="0625E638">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接地及照明：接地系统及照明系统沿用现状，不作变动。凡正常不带电，而当绝缘破坏有可能呈现电压的一切电气设备金属外壳均应可靠接地。各类金属柜，机旁箱，金属保护管，设备金属外壳、金属门窗、金属栏杆、配电柜PE母排、电缆桥架等金属构件均需作等电位连接，与接地装置可靠连接，并形成可靠的电气通路。</w:t>
      </w:r>
    </w:p>
    <w:p w14:paraId="3853F4F3">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备要求：二氧化碳投加系统的配电、控制设备由承包人配套提供，本项目仅对这些设备提供电源。电气设备订货时，需复核所有用电设备额定电流，若与原设计电流值不一致，应按实际电流值调整相应设备的电气配置。</w:t>
      </w:r>
    </w:p>
    <w:p w14:paraId="3D104BA9">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电缆构造物中电缆引至配电柜、控制箱等的开孔部位，电缆贯穿隔墙的孔洞处，均应实施阻火封堵。</w:t>
      </w:r>
    </w:p>
    <w:p w14:paraId="0EF7B4A6">
      <w:pPr>
        <w:numPr>
          <w:ilvl w:val="0"/>
          <w:numId w:val="9"/>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所有电气设备所需的预埋件均应在土建施工过程中予以埋设。</w:t>
      </w:r>
    </w:p>
    <w:p w14:paraId="77F095C9">
      <w:pPr>
        <w:spacing w:line="500" w:lineRule="exact"/>
        <w:ind w:left="840" w:leftChars="400"/>
        <w:jc w:val="left"/>
        <w:rPr>
          <w:rFonts w:ascii="宋体" w:hAnsi="宋体" w:cs="宋体"/>
          <w:color w:val="auto"/>
          <w:szCs w:val="21"/>
          <w:highlight w:val="none"/>
        </w:rPr>
      </w:pPr>
      <w:r>
        <w:rPr>
          <w:rFonts w:hint="eastAsia" w:ascii="宋体" w:hAnsi="宋体" w:cs="宋体"/>
          <w:color w:val="auto"/>
          <w:szCs w:val="21"/>
          <w:highlight w:val="none"/>
        </w:rPr>
        <w:t>（15）其他技术要求</w:t>
      </w:r>
    </w:p>
    <w:p w14:paraId="7C0B3875">
      <w:pPr>
        <w:numPr>
          <w:ilvl w:val="0"/>
          <w:numId w:val="10"/>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投标人投标时须提供系统方案及设计图纸，经招标人审核后按图实施，若实施过程中需优化变更，与招标人沟通并经招标人书面审核同意后才能实施。</w:t>
      </w:r>
    </w:p>
    <w:p w14:paraId="2311BB2D">
      <w:pPr>
        <w:numPr>
          <w:ilvl w:val="0"/>
          <w:numId w:val="0"/>
        </w:numPr>
        <w:spacing w:line="500" w:lineRule="exact"/>
        <w:ind w:firstLine="630" w:firstLineChars="300"/>
        <w:jc w:val="left"/>
        <w:rPr>
          <w:rFonts w:ascii="宋体" w:hAnsi="宋体" w:cs="宋体"/>
          <w:b/>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本项目为改造项目，应在确保生产安全的前提下进行，实施过程听从招标人的调度安排，并协同招标人提前制定好实施计划及方案，确保实施过程顺利。</w:t>
      </w:r>
    </w:p>
    <w:p w14:paraId="1BC320E1">
      <w:pPr>
        <w:pStyle w:val="6"/>
        <w:numPr>
          <w:ilvl w:val="0"/>
          <w:numId w:val="6"/>
        </w:numPr>
        <w:spacing w:before="0" w:after="0" w:line="50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数字计量泵</w:t>
      </w:r>
    </w:p>
    <w:p w14:paraId="6322460D">
      <w:pPr>
        <w:spacing w:line="500" w:lineRule="exact"/>
        <w:ind w:left="420" w:leftChars="200" w:firstLine="422" w:firstLineChars="200"/>
        <w:jc w:val="left"/>
        <w:rPr>
          <w:rFonts w:ascii="宋体" w:hAnsi="宋体" w:cs="宋体"/>
          <w:b/>
          <w:bCs/>
          <w:color w:val="auto"/>
          <w:szCs w:val="21"/>
          <w:highlight w:val="none"/>
          <w:u w:val="wave"/>
        </w:rPr>
      </w:pPr>
      <w:r>
        <w:rPr>
          <w:rFonts w:hint="eastAsia" w:ascii="宋体" w:hAnsi="宋体" w:cs="宋体"/>
          <w:b/>
          <w:bCs/>
          <w:color w:val="auto"/>
          <w:szCs w:val="21"/>
          <w:highlight w:val="none"/>
          <w:u w:val="wave"/>
        </w:rPr>
        <w:t>计量泵为原装产品</w:t>
      </w:r>
      <w:r>
        <w:rPr>
          <w:rFonts w:hint="eastAsia" w:ascii="宋体" w:hAnsi="宋体" w:cs="宋体"/>
          <w:b/>
          <w:color w:val="auto"/>
          <w:szCs w:val="21"/>
          <w:highlight w:val="none"/>
          <w:u w:val="wave"/>
        </w:rPr>
        <w:t>。</w:t>
      </w:r>
    </w:p>
    <w:p w14:paraId="1C2E0662">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隔膜计量泵采用原装采用数字隔膜式计量泵，计量泵采用直流无刷电机驱动，本身设有可读的液晶显示屏，通过显示屏可以直接读取显示的流量（ml/h或者l/h），通过按钮设定投加量。</w:t>
      </w:r>
    </w:p>
    <w:p w14:paraId="30AE69CA">
      <w:pPr>
        <w:pStyle w:val="48"/>
        <w:tabs>
          <w:tab w:val="left" w:pos="907"/>
        </w:tabs>
        <w:spacing w:line="500" w:lineRule="exact"/>
        <w:ind w:left="420" w:leftChars="200" w:firstLine="422" w:firstLineChars="200"/>
        <w:jc w:val="left"/>
        <w:rPr>
          <w:rFonts w:ascii="宋体" w:hAnsi="宋体" w:cs="宋体"/>
          <w:b/>
          <w:bCs/>
          <w:color w:val="auto"/>
          <w:szCs w:val="21"/>
          <w:highlight w:val="none"/>
          <w:u w:val="wave"/>
        </w:rPr>
      </w:pPr>
      <w:r>
        <w:rPr>
          <w:rFonts w:hint="eastAsia" w:ascii="宋体" w:hAnsi="宋体" w:cs="宋体"/>
          <w:b/>
          <w:bCs/>
          <w:color w:val="auto"/>
          <w:szCs w:val="21"/>
          <w:highlight w:val="none"/>
          <w:u w:val="wave"/>
        </w:rPr>
        <w:t>不得采用普通三相电机配置控制器的形式的替代驱动方案。</w:t>
      </w:r>
    </w:p>
    <w:p w14:paraId="32DB2E19">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计量泵满足在不外接变频器或电动冲程长度调节装置的情况下实现流量自动调节。通过接受外部的控制信号，计量泵能够通过自动调节直流无刷电机的转速来调节排出速度，实现自动调节投加过程，确保最佳和充分的调节效果。</w:t>
      </w:r>
    </w:p>
    <w:p w14:paraId="6AF795B8">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数字隔膜计量泵的投加精度必须达到±1%以上。</w:t>
      </w:r>
    </w:p>
    <w:p w14:paraId="3B148006">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加药计量泵采用数字式隔膜计量泵，计量泵本身设有可读的液晶面板，通过显示屏可以直接读取显示的流量（ml/h或者l/h），脉冲或者批量投加。</w:t>
      </w:r>
    </w:p>
    <w:p w14:paraId="6F256741">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友好的界面显示能让每一个人可以容易地操作泵。仅仅用几个按钮，你就能通过菜单来使用标准控制功能，包括脉冲、模拟量、定时、批投加和排气控制，以及标定和更多的功能。</w:t>
      </w:r>
    </w:p>
    <w:p w14:paraId="4DE42785">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计量泵采用可显示的控制面板，所有的手动操作仅通过设置在计量泵上的控制面板实现。同时要求面板采用友好的界面显示，简洁的菜单设置，能让每一个人可以容易地操作泵。流量的调节仅需通过按钮实现，并可显示需要设置的目标流量。</w:t>
      </w:r>
    </w:p>
    <w:p w14:paraId="060C4E05">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计量泵需自带以4-20ma模拟量信号的形式输出泵的实际工作流量的功能，同时计量泵的控制面板能够接受包括脉冲、模拟量4—20mA调节、定时、批投。</w:t>
      </w:r>
    </w:p>
    <w:p w14:paraId="7158EE2F">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在不同背压和吸水水头编号的情况下，加注泵的精度都应优于额定能力的1%。在该调节比范围内，计量泵的投加精度不会受到任何影响，达到精确投加、节省原料的目的。</w:t>
      </w:r>
    </w:p>
    <w:p w14:paraId="77A66FEA">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泵具备面板锁定的功能，通过设置密码的方式，保证该泵在调试完成后，设置的参数在现场不会遭受其他不相干人员的误操作。</w:t>
      </w:r>
    </w:p>
    <w:p w14:paraId="199B44D3">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在220V，50Hz的电压能够满足使用的情况下，不接受380V，50Hz的三相电机。</w:t>
      </w:r>
    </w:p>
    <w:p w14:paraId="007AE255">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数字隔膜计量泵由PVC或者PVDF泵头、齿轮箱组成，使隔膜内的空气及时排出，保证泵的运行精度。</w:t>
      </w:r>
    </w:p>
    <w:p w14:paraId="411983A6">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数字隔膜计量泵的液力端部分包括隔膜、单向阀及泵头外壳等组成。单向止回球阀采用PVC 的阀体、阀座，聚四氟密封件和垫片，加工精度高，强固耐腐蚀，以保证计量泵的精度和运行稳定。泵头外壳材质为PVC。</w:t>
      </w:r>
    </w:p>
    <w:p w14:paraId="583CD60E">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数字隔膜计量泵运行时，泵的噪音不高于60 dB(A)，轴承温度不高于65oC，无异常振动，各密封处没有泄漏，隔膜采用PTFE材料</w:t>
      </w:r>
    </w:p>
    <w:p w14:paraId="4C9F14DA">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随机备件清单：各隔膜1个；单向阀1个。</w:t>
      </w:r>
    </w:p>
    <w:p w14:paraId="433FEAC2">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数字投加泵精度： ±1%</w:t>
      </w:r>
    </w:p>
    <w:p w14:paraId="6316591A">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出口：PVC承插接口</w:t>
      </w:r>
    </w:p>
    <w:p w14:paraId="46AD9C61">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泵头材质：PVDF</w:t>
      </w:r>
    </w:p>
    <w:p w14:paraId="01440A3B">
      <w:pPr>
        <w:pStyle w:val="48"/>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密封材质：PTFE或FKM</w:t>
      </w:r>
    </w:p>
    <w:p w14:paraId="73F694BD">
      <w:pPr>
        <w:pStyle w:val="48"/>
        <w:tabs>
          <w:tab w:val="left" w:pos="907"/>
        </w:tabs>
        <w:spacing w:line="500" w:lineRule="exact"/>
        <w:ind w:left="420" w:leftChars="200" w:firstLine="422" w:firstLineChars="200"/>
        <w:jc w:val="left"/>
        <w:rPr>
          <w:rFonts w:ascii="宋体" w:hAnsi="宋体" w:cs="宋体"/>
          <w:b/>
          <w:color w:val="auto"/>
          <w:szCs w:val="21"/>
          <w:highlight w:val="none"/>
          <w:u w:val="wave"/>
        </w:rPr>
      </w:pPr>
      <w:bookmarkStart w:id="738" w:name="OLE_LINK5"/>
      <w:r>
        <w:rPr>
          <w:rFonts w:hint="eastAsia" w:ascii="宋体" w:hAnsi="宋体" w:cs="宋体"/>
          <w:b/>
          <w:color w:val="auto"/>
          <w:szCs w:val="21"/>
          <w:highlight w:val="none"/>
          <w:u w:val="wave"/>
        </w:rPr>
        <w:t>计量泵加药系统</w:t>
      </w:r>
      <w:bookmarkEnd w:id="738"/>
      <w:r>
        <w:rPr>
          <w:rFonts w:hint="eastAsia" w:ascii="宋体" w:hAnsi="宋体" w:cs="宋体"/>
          <w:b/>
          <w:color w:val="auto"/>
          <w:szCs w:val="21"/>
          <w:highlight w:val="none"/>
          <w:u w:val="wave"/>
        </w:rPr>
        <w:t>应该</w:t>
      </w:r>
      <w:bookmarkStart w:id="739" w:name="OLE_LINK2"/>
      <w:r>
        <w:rPr>
          <w:rFonts w:hint="eastAsia" w:ascii="宋体" w:hAnsi="宋体" w:cs="宋体"/>
          <w:b/>
          <w:color w:val="auto"/>
          <w:szCs w:val="21"/>
          <w:highlight w:val="none"/>
          <w:u w:val="wave"/>
        </w:rPr>
        <w:t>一体化</w:t>
      </w:r>
      <w:bookmarkStart w:id="740" w:name="OLE_LINK1"/>
      <w:r>
        <w:rPr>
          <w:rFonts w:hint="eastAsia" w:ascii="宋体" w:hAnsi="宋体" w:cs="宋体"/>
          <w:b/>
          <w:color w:val="auto"/>
          <w:szCs w:val="21"/>
          <w:highlight w:val="none"/>
          <w:u w:val="wave"/>
        </w:rPr>
        <w:t>撬装</w:t>
      </w:r>
      <w:bookmarkEnd w:id="739"/>
      <w:bookmarkEnd w:id="740"/>
      <w:r>
        <w:rPr>
          <w:rFonts w:hint="eastAsia" w:ascii="宋体" w:hAnsi="宋体" w:cs="宋体"/>
          <w:b/>
          <w:color w:val="auto"/>
          <w:szCs w:val="21"/>
          <w:highlight w:val="none"/>
          <w:u w:val="wave"/>
        </w:rPr>
        <w:t>设计，包含计量泵组，电气接线盒，安装管路附件（背压阀、脉冲阻尼器、安全阀、Y型过滤器）等，形成一个完整的系统。为避免堵塞，计量泵加药系统应配合理的管路冲洗设计。一体化撬装支架应采用铝合金型材，单个计量泵撬装最大尺寸2080*1820*720，最多3台计量泵设一个支架。</w:t>
      </w:r>
    </w:p>
    <w:p w14:paraId="48B94C00">
      <w:pPr>
        <w:pStyle w:val="11"/>
        <w:spacing w:line="500" w:lineRule="exact"/>
        <w:ind w:left="420" w:leftChars="20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★一体化集成商推荐品牌：上海轩浦、固莱环保、净化控股等</w:t>
      </w:r>
    </w:p>
    <w:p w14:paraId="3AA92100">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（五） 电磁流量计</w:t>
      </w:r>
    </w:p>
    <w:p w14:paraId="5F4D431A">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功能： 测量、指示和传送管道内导电液体的流量、状态</w:t>
      </w:r>
    </w:p>
    <w:p w14:paraId="0A15C21C">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规格： 一体式</w:t>
      </w:r>
    </w:p>
    <w:p w14:paraId="3355E36D">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组成： 传感器、变送器和全部安装附件</w:t>
      </w:r>
    </w:p>
    <w:p w14:paraId="495E75A8">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测量原理： 利用法拉第电磁感应测量原理、连续测量</w:t>
      </w:r>
    </w:p>
    <w:p w14:paraId="259464CF">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电极材质： 钛 介质电导率 &gt;5μs/cm</w:t>
      </w:r>
    </w:p>
    <w:p w14:paraId="50D8BBB0">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内衬材质： PTFE</w:t>
      </w:r>
    </w:p>
    <w:p w14:paraId="323B9D02">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传感器直管段要求： 前 5D 后 3D 时，满足测量精度</w:t>
      </w:r>
    </w:p>
    <w:p w14:paraId="12B7CB25">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温度 -40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180℃ 标定压力 Max100</w:t>
      </w:r>
    </w:p>
    <w:p w14:paraId="52F5FF3C">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介质温度 -20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130℃</w:t>
      </w:r>
    </w:p>
    <w:p w14:paraId="00ED0741">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防护等级： IP67/68</w:t>
      </w:r>
    </w:p>
    <w:p w14:paraId="13075488">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安装方式： 对夹式法兰</w:t>
      </w:r>
    </w:p>
    <w:p w14:paraId="7DC76016">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传感器口径： DN20</w:t>
      </w:r>
    </w:p>
    <w:p w14:paraId="205EAF28">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变送器：测量精度 ±0.25%</w:t>
      </w:r>
    </w:p>
    <w:p w14:paraId="38EEC953">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测量流向： 单向/双向流</w:t>
      </w:r>
    </w:p>
    <w:p w14:paraId="06EC5CAF">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变送器显示： 3行 20个字符</w:t>
      </w:r>
    </w:p>
    <w:p w14:paraId="428B5A24">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输出信号： 一路电流一路数字一路继电器</w:t>
      </w:r>
    </w:p>
    <w:p w14:paraId="388F10F2">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供电电源 220VAC 防护等级 IP67</w:t>
      </w:r>
    </w:p>
    <w:p w14:paraId="21FDD4BA">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其他 出场标定 实流标定，并提供全套标定记录</w:t>
      </w:r>
    </w:p>
    <w:p w14:paraId="5A3AC5C4">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传感器组件： 全套安装法兰(管道用)、垫片和附件</w:t>
      </w:r>
    </w:p>
    <w:p w14:paraId="2401A426">
      <w:pPr>
        <w:pStyle w:val="11"/>
        <w:spacing w:line="500" w:lineRule="exact"/>
        <w:ind w:left="420" w:leftChars="200"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推荐品牌：</w:t>
      </w:r>
      <w:bookmarkStart w:id="741" w:name="OLE_LINK23"/>
      <w:r>
        <w:rPr>
          <w:rFonts w:hint="eastAsia" w:ascii="宋体" w:hAnsi="宋体" w:cs="宋体"/>
          <w:b/>
          <w:bCs/>
          <w:color w:val="auto"/>
          <w:szCs w:val="21"/>
          <w:highlight w:val="none"/>
        </w:rPr>
        <w:t>西门子、ABB、E+H</w:t>
      </w:r>
      <w:bookmarkEnd w:id="741"/>
      <w:r>
        <w:rPr>
          <w:rFonts w:hint="eastAsia" w:ascii="宋体" w:hAnsi="宋体" w:cs="宋体"/>
          <w:b/>
          <w:bCs/>
          <w:color w:val="auto"/>
          <w:szCs w:val="21"/>
          <w:highlight w:val="none"/>
        </w:rPr>
        <w:t>等</w:t>
      </w:r>
    </w:p>
    <w:p w14:paraId="1090640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（六） 脉冲阻尼器</w:t>
      </w:r>
    </w:p>
    <w:p w14:paraId="26FFCCC9">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采用PVC外壳，内衬FPM材质气囊。</w:t>
      </w:r>
    </w:p>
    <w:p w14:paraId="5443B4E1">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圆柱外形，螺纹连接。</w:t>
      </w:r>
    </w:p>
    <w:p w14:paraId="2AF3BF3B">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最大使用压力：1.0MPa</w:t>
      </w:r>
    </w:p>
    <w:p w14:paraId="61DE12B3">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有效容积：与计量泵输出的最大流量配套。</w:t>
      </w:r>
    </w:p>
    <w:p w14:paraId="4BFD48F6">
      <w:pPr>
        <w:pStyle w:val="11"/>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经均流器阻尼平滑后，可实现5%</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10%的阻尼缓冲。</w:t>
      </w:r>
    </w:p>
    <w:p w14:paraId="29C8EE2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（七） 隔膜压力表</w:t>
      </w:r>
    </w:p>
    <w:p w14:paraId="4CCDF26F">
      <w:pPr>
        <w:pStyle w:val="11"/>
        <w:spacing w:line="500" w:lineRule="exact"/>
        <w:ind w:left="420" w:leftChars="200" w:firstLine="421"/>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压力范围0-1.0MPa,适用于测量腐蚀性液体。</w:t>
      </w:r>
    </w:p>
    <w:p w14:paraId="2B249F30">
      <w:pPr>
        <w:pStyle w:val="11"/>
        <w:spacing w:line="500" w:lineRule="exact"/>
        <w:ind w:left="420" w:leftChars="200" w:firstLine="421"/>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工型法兰连接，精确度士2.5%。</w:t>
      </w:r>
    </w:p>
    <w:p w14:paraId="4A56F4C6">
      <w:pPr>
        <w:pStyle w:val="11"/>
        <w:spacing w:line="500" w:lineRule="exact"/>
        <w:ind w:left="420" w:leftChars="200" w:firstLine="421"/>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密封垫材料采用氟塑料。</w:t>
      </w:r>
    </w:p>
    <w:p w14:paraId="5A1C614B">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（八）</w:t>
      </w:r>
      <w:r>
        <w:rPr>
          <w:rFonts w:hint="eastAsia" w:ascii="宋体" w:hAnsi="宋体" w:cs="宋体"/>
          <w:color w:val="auto"/>
          <w:sz w:val="21"/>
          <w:szCs w:val="21"/>
          <w:highlight w:val="none"/>
          <w:u w:val="wave"/>
        </w:rPr>
        <w:t>一体化撬装支架</w:t>
      </w:r>
    </w:p>
    <w:p w14:paraId="23972160">
      <w:pPr>
        <w:pStyle w:val="11"/>
        <w:numPr>
          <w:ilvl w:val="-1"/>
          <w:numId w:val="0"/>
        </w:numPr>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长×宽×高=1600×600×1600mm</w:t>
      </w:r>
    </w:p>
    <w:p w14:paraId="46EE970C">
      <w:pPr>
        <w:pStyle w:val="11"/>
        <w:numPr>
          <w:ilvl w:val="-1"/>
          <w:numId w:val="0"/>
        </w:numPr>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铝合金材质，用于固定安装数字计量泵、流量计、脉冲阻尼器、背压阀、安全阀、球阀设备和相应管路管件等。</w:t>
      </w:r>
    </w:p>
    <w:p w14:paraId="51618BC7">
      <w:pPr>
        <w:pStyle w:val="11"/>
        <w:numPr>
          <w:ilvl w:val="-1"/>
          <w:numId w:val="0"/>
        </w:numPr>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有良好的耐腐蚀性能，安装稳固。</w:t>
      </w:r>
    </w:p>
    <w:p w14:paraId="531354FB">
      <w:pPr>
        <w:pStyle w:val="11"/>
        <w:numPr>
          <w:ilvl w:val="-1"/>
          <w:numId w:val="0"/>
        </w:numPr>
        <w:spacing w:line="500" w:lineRule="exact"/>
        <w:ind w:left="420" w:leftChars="200" w:firstLine="420" w:firstLineChars="200"/>
        <w:rPr>
          <w:rFonts w:ascii="宋体" w:hAnsi="宋体" w:cs="宋体"/>
          <w:b/>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预留备用泵安装位置。</w:t>
      </w:r>
    </w:p>
    <w:p w14:paraId="11F37D76">
      <w:pPr>
        <w:pStyle w:val="11"/>
        <w:numPr>
          <w:ilvl w:val="255"/>
          <w:numId w:val="0"/>
        </w:numPr>
        <w:spacing w:line="500" w:lineRule="exact"/>
        <w:ind w:left="420" w:leftChars="200" w:firstLine="422" w:firstLineChars="200"/>
        <w:rPr>
          <w:rFonts w:ascii="宋体" w:hAnsi="宋体" w:cs="宋体"/>
          <w:b/>
          <w:color w:val="auto"/>
          <w:szCs w:val="21"/>
          <w:highlight w:val="none"/>
        </w:rPr>
      </w:pPr>
      <w:r>
        <w:rPr>
          <w:rFonts w:hint="eastAsia" w:ascii="宋体" w:hAnsi="宋体" w:cs="宋体"/>
          <w:b/>
          <w:bCs/>
          <w:color w:val="auto"/>
          <w:szCs w:val="21"/>
          <w:highlight w:val="none"/>
        </w:rPr>
        <w:t>一体化撬装支架推荐品牌：上海轩浦、固莱环保、净化控股等</w:t>
      </w:r>
    </w:p>
    <w:p w14:paraId="0D8FDC10">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（九）综合加药间主站PLC1</w:t>
      </w:r>
    </w:p>
    <w:p w14:paraId="7C422AE1">
      <w:pPr>
        <w:numPr>
          <w:ilvl w:val="-1"/>
          <w:numId w:val="0"/>
        </w:numPr>
        <w:spacing w:line="500" w:lineRule="exact"/>
        <w:ind w:left="420" w:leftChars="20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该站负责对二厂碱铝投加系统、次氯酸钠系统进行集成，需要对现状PLC柜控制程序修改或完善。实现对碱铝计量泵、次氯酸钠计量泵、流量计、进出水/进出液阀、等设备进行运行监控及故障报警。</w:t>
      </w:r>
    </w:p>
    <w:p w14:paraId="700EA65A">
      <w:pPr>
        <w:numPr>
          <w:ilvl w:val="-1"/>
          <w:numId w:val="0"/>
        </w:numPr>
        <w:spacing w:line="500" w:lineRule="exact"/>
        <w:ind w:left="420" w:leftChars="20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操作总终端上动态显示工艺检测参数和设备工作状态并实时向中央控制室传送数据。</w:t>
      </w:r>
    </w:p>
    <w:p w14:paraId="69F83642">
      <w:pPr>
        <w:numPr>
          <w:ilvl w:val="-1"/>
          <w:numId w:val="0"/>
        </w:numPr>
        <w:spacing w:line="500" w:lineRule="exact"/>
        <w:ind w:left="420" w:leftChars="20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接收中央控制室下达的控制指令、工艺参数的设定，判断其正确性、可行性后加以执行。</w:t>
      </w:r>
    </w:p>
    <w:p w14:paraId="200D15EF">
      <w:pPr>
        <w:pStyle w:val="6"/>
        <w:spacing w:before="93" w:beforeLines="30" w:after="93" w:afterLines="30"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4.2.2 西涧湖水厂二车间沉淀池进水管改造</w:t>
      </w:r>
    </w:p>
    <w:p w14:paraId="356BA1F0">
      <w:pPr>
        <w:pStyle w:val="22"/>
        <w:spacing w:line="500" w:lineRule="exact"/>
        <w:rPr>
          <w:rFonts w:ascii="宋体" w:hAnsi="宋体" w:cs="宋体"/>
          <w:color w:val="auto"/>
          <w:szCs w:val="21"/>
          <w:highlight w:val="none"/>
        </w:rPr>
      </w:pPr>
      <w:r>
        <w:rPr>
          <w:rFonts w:hint="eastAsia" w:ascii="宋体" w:hAnsi="宋体" w:cs="宋体"/>
          <w:bCs/>
          <w:color w:val="auto"/>
          <w:szCs w:val="21"/>
          <w:highlight w:val="none"/>
        </w:rPr>
        <w:t xml:space="preserve"> </w:t>
      </w:r>
      <w:bookmarkStart w:id="742" w:name="OLE_LINK29"/>
      <w:r>
        <w:rPr>
          <w:rFonts w:hint="eastAsia" w:ascii="宋体" w:hAnsi="宋体" w:cs="宋体"/>
          <w:color w:val="auto"/>
          <w:szCs w:val="21"/>
          <w:highlight w:val="none"/>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2068"/>
        <w:gridCol w:w="2376"/>
        <w:gridCol w:w="823"/>
        <w:gridCol w:w="870"/>
        <w:gridCol w:w="1778"/>
        <w:gridCol w:w="769"/>
      </w:tblGrid>
      <w:tr w14:paraId="5428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26" w:type="dxa"/>
            <w:tcBorders>
              <w:top w:val="single" w:color="000000" w:sz="4" w:space="0"/>
              <w:left w:val="single" w:color="000000" w:sz="4" w:space="0"/>
              <w:bottom w:val="single" w:color="000000" w:sz="4" w:space="0"/>
              <w:right w:val="single" w:color="000000" w:sz="4" w:space="0"/>
            </w:tcBorders>
            <w:vAlign w:val="center"/>
          </w:tcPr>
          <w:p w14:paraId="7B69424A">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166" w:type="dxa"/>
            <w:tcBorders>
              <w:top w:val="single" w:color="000000" w:sz="4" w:space="0"/>
              <w:left w:val="single" w:color="000000" w:sz="4" w:space="0"/>
              <w:bottom w:val="single" w:color="000000" w:sz="4" w:space="0"/>
              <w:right w:val="single" w:color="000000" w:sz="4" w:space="0"/>
            </w:tcBorders>
            <w:vAlign w:val="center"/>
          </w:tcPr>
          <w:p w14:paraId="49C246A8">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名称</w:t>
            </w:r>
          </w:p>
        </w:tc>
        <w:tc>
          <w:tcPr>
            <w:tcW w:w="2473" w:type="dxa"/>
            <w:tcBorders>
              <w:top w:val="single" w:color="000000" w:sz="4" w:space="0"/>
              <w:left w:val="single" w:color="000000" w:sz="4" w:space="0"/>
              <w:bottom w:val="single" w:color="000000" w:sz="4" w:space="0"/>
              <w:right w:val="single" w:color="000000" w:sz="4" w:space="0"/>
            </w:tcBorders>
            <w:vAlign w:val="center"/>
          </w:tcPr>
          <w:p w14:paraId="0EFE759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参数</w:t>
            </w:r>
          </w:p>
        </w:tc>
        <w:tc>
          <w:tcPr>
            <w:tcW w:w="847" w:type="dxa"/>
            <w:tcBorders>
              <w:top w:val="single" w:color="000000" w:sz="4" w:space="0"/>
              <w:left w:val="single" w:color="000000" w:sz="4" w:space="0"/>
              <w:bottom w:val="single" w:color="000000" w:sz="4" w:space="0"/>
              <w:right w:val="single" w:color="000000" w:sz="4" w:space="0"/>
            </w:tcBorders>
            <w:vAlign w:val="center"/>
          </w:tcPr>
          <w:p w14:paraId="03A99AE3">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50104AB3">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1858" w:type="dxa"/>
            <w:tcBorders>
              <w:top w:val="single" w:color="000000" w:sz="4" w:space="0"/>
              <w:left w:val="single" w:color="000000" w:sz="4" w:space="0"/>
              <w:bottom w:val="single" w:color="000000" w:sz="4" w:space="0"/>
              <w:right w:val="single" w:color="000000" w:sz="4" w:space="0"/>
            </w:tcBorders>
            <w:vAlign w:val="center"/>
          </w:tcPr>
          <w:p w14:paraId="534B25D4">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安装点</w:t>
            </w:r>
          </w:p>
        </w:tc>
        <w:tc>
          <w:tcPr>
            <w:tcW w:w="789" w:type="dxa"/>
            <w:tcBorders>
              <w:top w:val="single" w:color="000000" w:sz="4" w:space="0"/>
              <w:left w:val="single" w:color="000000" w:sz="4" w:space="0"/>
              <w:bottom w:val="single" w:color="000000" w:sz="4" w:space="0"/>
              <w:right w:val="single" w:color="000000" w:sz="4" w:space="0"/>
            </w:tcBorders>
            <w:vAlign w:val="center"/>
          </w:tcPr>
          <w:p w14:paraId="41E6C8DA">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2DEF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26" w:type="dxa"/>
            <w:tcBorders>
              <w:top w:val="single" w:color="000000" w:sz="4" w:space="0"/>
              <w:left w:val="single" w:color="000000" w:sz="4" w:space="0"/>
              <w:bottom w:val="single" w:color="000000" w:sz="4" w:space="0"/>
              <w:right w:val="single" w:color="000000" w:sz="4" w:space="0"/>
            </w:tcBorders>
            <w:vAlign w:val="center"/>
          </w:tcPr>
          <w:p w14:paraId="2B7B2339">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166" w:type="dxa"/>
            <w:tcBorders>
              <w:top w:val="single" w:color="000000" w:sz="4" w:space="0"/>
              <w:left w:val="single" w:color="000000" w:sz="4" w:space="0"/>
              <w:bottom w:val="single" w:color="000000" w:sz="4" w:space="0"/>
              <w:right w:val="single" w:color="000000" w:sz="4" w:space="0"/>
            </w:tcBorders>
            <w:vAlign w:val="center"/>
          </w:tcPr>
          <w:p w14:paraId="39211901">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阀门电动执行机构</w:t>
            </w:r>
          </w:p>
        </w:tc>
        <w:tc>
          <w:tcPr>
            <w:tcW w:w="2473" w:type="dxa"/>
            <w:tcBorders>
              <w:top w:val="single" w:color="000000" w:sz="4" w:space="0"/>
              <w:left w:val="single" w:color="000000" w:sz="4" w:space="0"/>
              <w:bottom w:val="single" w:color="000000" w:sz="4" w:space="0"/>
              <w:right w:val="single" w:color="000000" w:sz="4" w:space="0"/>
            </w:tcBorders>
            <w:vAlign w:val="center"/>
          </w:tcPr>
          <w:p w14:paraId="677B7457">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   DN900 可调节型</w:t>
            </w:r>
          </w:p>
        </w:tc>
        <w:tc>
          <w:tcPr>
            <w:tcW w:w="847" w:type="dxa"/>
            <w:tcBorders>
              <w:top w:val="single" w:color="000000" w:sz="4" w:space="0"/>
              <w:left w:val="single" w:color="000000" w:sz="4" w:space="0"/>
              <w:bottom w:val="single" w:color="000000" w:sz="4" w:space="0"/>
              <w:right w:val="single" w:color="000000" w:sz="4" w:space="0"/>
            </w:tcBorders>
            <w:vAlign w:val="center"/>
          </w:tcPr>
          <w:p w14:paraId="31A920E7">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61D6DB53">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858" w:type="dxa"/>
            <w:tcBorders>
              <w:top w:val="single" w:color="000000" w:sz="4" w:space="0"/>
              <w:left w:val="single" w:color="000000" w:sz="4" w:space="0"/>
              <w:bottom w:val="single" w:color="000000" w:sz="4" w:space="0"/>
              <w:right w:val="single" w:color="000000" w:sz="4" w:space="0"/>
            </w:tcBorders>
            <w:vAlign w:val="center"/>
          </w:tcPr>
          <w:p w14:paraId="4DB9EFA2">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 xml:space="preserve">西涧湖二车间 </w:t>
            </w:r>
          </w:p>
        </w:tc>
        <w:tc>
          <w:tcPr>
            <w:tcW w:w="789" w:type="dxa"/>
            <w:tcBorders>
              <w:top w:val="single" w:color="000000" w:sz="4" w:space="0"/>
              <w:left w:val="single" w:color="000000" w:sz="4" w:space="0"/>
              <w:bottom w:val="single" w:color="000000" w:sz="4" w:space="0"/>
              <w:right w:val="single" w:color="000000" w:sz="4" w:space="0"/>
            </w:tcBorders>
            <w:vAlign w:val="center"/>
          </w:tcPr>
          <w:p w14:paraId="7AF90342">
            <w:pPr>
              <w:pStyle w:val="45"/>
              <w:spacing w:line="500" w:lineRule="exact"/>
              <w:jc w:val="center"/>
              <w:rPr>
                <w:rFonts w:ascii="宋体" w:hAnsi="宋体" w:eastAsia="宋体" w:cs="宋体"/>
                <w:color w:val="auto"/>
                <w:highlight w:val="none"/>
              </w:rPr>
            </w:pPr>
          </w:p>
        </w:tc>
      </w:tr>
      <w:bookmarkEnd w:id="742"/>
    </w:tbl>
    <w:p w14:paraId="06519A45">
      <w:pPr>
        <w:pStyle w:val="6"/>
        <w:spacing w:before="0" w:after="0" w:line="500" w:lineRule="exact"/>
        <w:ind w:left="420" w:leftChars="200"/>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（一）电动执行器</w:t>
      </w:r>
    </w:p>
    <w:p w14:paraId="13503E3B">
      <w:pPr>
        <w:spacing w:line="500" w:lineRule="exact"/>
        <w:ind w:left="420" w:leftChars="200" w:firstLine="525" w:firstLineChars="250"/>
        <w:jc w:val="left"/>
        <w:rPr>
          <w:rFonts w:ascii="宋体" w:hAnsi="宋体" w:cs="宋体"/>
          <w:color w:val="auto"/>
          <w:szCs w:val="21"/>
          <w:highlight w:val="none"/>
          <w:lang w:val="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基本要求</w:t>
      </w:r>
    </w:p>
    <w:p w14:paraId="414C8C77">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本工程所需电动执行机构均采用智能型电动执行机构，电动执行机构配减速箱，减速箱不允许和电动执行器做成集成一体式形式，即必须是独立分离形式组装为阀门电动执行器控制阀门，电动执行机构与减速箱必须为同一个品牌。</w:t>
      </w:r>
    </w:p>
    <w:p w14:paraId="23B828D1">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所有电动执行器需配套线缆密封接头用于接电缆后起到密封作用，密封接头接线后应达到IP68标准。</w:t>
      </w:r>
    </w:p>
    <w:p w14:paraId="1C8B0FF9">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齿轮箱应提供IP68的检测报告;必须具备故障保护功能： 当施加的力矩超过执行机构堵转力矩时， 齿轮箱内部的部件会失效（像保险丝），这样齿轮箱就不会将此过大力矩输出到外部的壳体部件来导致壳体破裂，避免执行机构掉下，造成操作人员伤亡或对安装工程造成损坏。</w:t>
      </w:r>
    </w:p>
    <w:p w14:paraId="4986FB3F">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电机：伺服式可逆电机，F 级绝缘。平均负荷不能小于阀门最大驱动力的50%。电机的工作制：间歇启动，额定持续工作时间不应低于15min。</w:t>
      </w:r>
    </w:p>
    <w:p w14:paraId="0036C962">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电机应动态平衡。</w:t>
      </w:r>
    </w:p>
    <w:p w14:paraId="6D9FFFBD">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电源：380V、AC、50Hz。</w:t>
      </w:r>
    </w:p>
    <w:p w14:paraId="46B02794">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内部电源：24V DC</w:t>
      </w:r>
    </w:p>
    <w:p w14:paraId="2555F623">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电动执行机构具有完全非侵入式设计, 可通过具有红外功能的手操器进行设定，应结构简单，性能可靠，便于调试、维护和维修。具有锤击功能、自锁式的输出，即使在手动模式下仍保持自锁。电动头多腔独立密封。不需再另外配备控制箱即可进行就地控制。</w:t>
      </w:r>
    </w:p>
    <w:p w14:paraId="2D728846">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电源电压降至负值极限时执行器能够正常启动，并保证其行程变化不大于全行程的 1.5%，并按正常速度运转。电压误差在±10%，频率误差在±5Hz下，运行性能应得到保证。</w:t>
      </w:r>
    </w:p>
    <w:p w14:paraId="589F97A8">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电动阀门驱动机构上的电机的输出扭矩要大于额定扭矩的1.5倍以上，所有电动操作机构应装有扭距限制器。</w:t>
      </w:r>
    </w:p>
    <w:p w14:paraId="6F7E9901">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电动执行器配合减速箱最终输出力矩值大于等于阀门所开关力矩值的1.5倍，电动执行器配套用减速箱防护等级为IP68。</w:t>
      </w:r>
    </w:p>
    <w:p w14:paraId="49927328">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安装：阀门与执行机构的连接必须灵活方便，执行机构应能安装在阀杆的水平或垂直方向。</w:t>
      </w:r>
    </w:p>
    <w:p w14:paraId="77B74BBB">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防护等级：必须达到IP68的防护等级要求，需提供第三方检测报</w:t>
      </w:r>
      <w:r>
        <w:rPr>
          <w:rFonts w:hint="eastAsia" w:ascii="宋体" w:hAnsi="宋体" w:cs="宋体"/>
          <w:b/>
          <w:bCs/>
          <w:color w:val="auto"/>
          <w:szCs w:val="21"/>
          <w:highlight w:val="none"/>
        </w:rPr>
        <w:t>告(设备进场前提供)</w:t>
      </w:r>
      <w:r>
        <w:rPr>
          <w:rFonts w:hint="eastAsia" w:ascii="宋体" w:hAnsi="宋体" w:cs="宋体"/>
          <w:color w:val="auto"/>
          <w:szCs w:val="21"/>
          <w:highlight w:val="none"/>
        </w:rPr>
        <w:t>。</w:t>
      </w:r>
    </w:p>
    <w:p w14:paraId="3081273C">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密封：应采用先进的双密封结构，保证即使在现场接线时，执行器内部不受外部环境影响。</w:t>
      </w:r>
    </w:p>
    <w:p w14:paraId="15F0E5C1">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外壳材质：电机及机械传动部分为优质铝合金LM20（ASTMA316）</w:t>
      </w:r>
    </w:p>
    <w:p w14:paraId="46DD7D11">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防腐：整体喷涂环氧聚氨酯，有效防腐防霉。</w:t>
      </w:r>
    </w:p>
    <w:p w14:paraId="3F05FCCA">
      <w:pPr>
        <w:spacing w:line="500" w:lineRule="exact"/>
        <w:ind w:left="420" w:leftChars="200" w:firstLine="525" w:firstLineChars="250"/>
        <w:jc w:val="left"/>
        <w:rPr>
          <w:rFonts w:ascii="宋体" w:hAnsi="宋体" w:cs="宋体"/>
          <w:color w:val="auto"/>
          <w:szCs w:val="21"/>
          <w:highlight w:val="none"/>
          <w:lang w:val="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主体结构：</w:t>
      </w:r>
    </w:p>
    <w:p w14:paraId="39604D6E">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主要部件应包括，电动机、力矩限制机构/行程控制机构、位置指示机构、手-电动切换机构、手轮及电气控制单元部分等。</w:t>
      </w:r>
    </w:p>
    <w:p w14:paraId="3F4BFA0D">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（1）电动机</w:t>
      </w:r>
    </w:p>
    <w:p w14:paraId="2550F49C">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所有电动机应符合JB2195、IEC60034标准。所有电动机的绝缘应采用F级绝缘，按B级绝缘考核温升。电机具有高启动力矩低惯性。</w:t>
      </w:r>
    </w:p>
    <w:p w14:paraId="2C2D7248">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采用阀门专用三相鼠笼式异步电动机，额定持续工作时间不应低于15min。电动机为整体式，定子和转子不能分开。</w:t>
      </w:r>
    </w:p>
    <w:p w14:paraId="1EC367E2">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（2）力矩限制机构/行程控制机构</w:t>
      </w:r>
    </w:p>
    <w:p w14:paraId="2C61877A">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配置性能可靠全行程保护的力矩限制机构，接电容量为250VAC，1A。当安全力矩被超过时，力矩限制机构将切断电机电源。为了保护阀门不受损坏，安装在在阀门行程的终点的限位开关将切断电机电源。接电容量为250VAC，1A。在电机电源突然断电的情况下，应保持阀位不变。</w:t>
      </w:r>
    </w:p>
    <w:p w14:paraId="63B9AA25">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（3）电动执行机构的阀位测量及控制采用非接触式元件，能够准确测量阀位和控制阀门行程，不得采用模拟电位器，阀位显示为数字量连续指示，开度递增量为1%。</w:t>
      </w:r>
    </w:p>
    <w:p w14:paraId="70958387">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（4）手-电动切换机构</w:t>
      </w:r>
    </w:p>
    <w:p w14:paraId="5A49B88F">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电动执行机构应配有手/自动切换机构，该机构不得与电机输出轴直接相连，确保在低速安全的状态下进行切换；并配有离合装置，在电动操作时手轮不会随时转动。</w:t>
      </w:r>
    </w:p>
    <w:p w14:paraId="3095D894">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（5）手动驱动装置</w:t>
      </w:r>
    </w:p>
    <w:p w14:paraId="3D812C7D">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完全密闭的齿轮传动。手轮上应注明开启和关闭方向。</w:t>
      </w:r>
    </w:p>
    <w:p w14:paraId="292AA00F">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（6）开度指示机构</w:t>
      </w:r>
    </w:p>
    <w:p w14:paraId="577742D3">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电动执行机构通过简明的数字、字母及符号显示执行机构状态及故障信息，应为中文菜单，方便人员操作，自带9V电池，在现场断电的情况下仍能显示阀门的状态。开度指示应为1%</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99%数字量递增。调节型电动执行机构需带有背景照明系统液晶显示屏，通过简明的数字、字母及符号显示执行机构状态及故障信息，应为中文菜单，方便人员操作，自带电池，在现场断电的情况下仍能显示阀门的状态。</w:t>
      </w:r>
    </w:p>
    <w:p w14:paraId="3E8D935D">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（7）控制单元部分</w:t>
      </w:r>
    </w:p>
    <w:p w14:paraId="08AFCC74">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气部分应采用机电一体化控制单元与电动执行器组合到一起，模块化结构。控制单元包括现场操作按钮、指示灯、带锁的选择开关，液晶显示（调节型）等。阀门的所有设定、操作及调试都可以通过非接触式调节方式完成。</w:t>
      </w:r>
    </w:p>
    <w:p w14:paraId="16F9C775">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电动执行机构带一体化智能型控制单元，能通过Folomatic模块 ( 内置于执行机构提供 )接受来自连续调节器或PC输出的4-20mADC模拟信号或断续调节器输出的24V DC脉冲量信号，而且不管采用哪种输入信号方式，电动执行机构和自动调节系统的接口是协调的。具有调节功能，根据PLC控制信号自动调节阀门开启度，并将阀位信号输出至PLC。（该条款内容中Folomatic模块仅针对调节型电动执行器）</w:t>
      </w:r>
    </w:p>
    <w:p w14:paraId="1D2C16AC">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气部分应采用机电一体化控制单元与电动执行器组合到一起，模块化结构。控制单元包括现场操作按钮、指示灯、带锁的选择开关，液晶显示等。阀门的所有设定、操作及调试都可以通过非接触式调节方式完成。</w:t>
      </w:r>
    </w:p>
    <w:p w14:paraId="5113A31B">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电动执行机构应含有内置的控制单元、数据记录器，具有记忆功能，可记录阀门及执行机构的运行情况及设备信息。</w:t>
      </w:r>
    </w:p>
    <w:p w14:paraId="0B4196F7">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电动执行机构需具有可靠完善的保护功能：过力矩保护、综合报警、全开全关报警，其中电机的力矩需通过数字式压力传感器准确测量。</w:t>
      </w:r>
    </w:p>
    <w:p w14:paraId="056B7672">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可通过具有红外功能的手操器进行设定，不需要打开机壳，通过手操器就可对电动执行机构进行参数整定和就地操作。且该手操器应具体数据下载功能，可将下载数据上传至PC机或PDA等掌上电脑进行数据分析。</w:t>
      </w:r>
    </w:p>
    <w:p w14:paraId="03E36CF7">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电动执行器内部线路板的使用寿命：在按照操作手册规定的要求使用情况下，电动执行器内部线路板的使用寿命不得小于10年。</w:t>
      </w:r>
    </w:p>
    <w:p w14:paraId="09BD927F">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控制单元安装方向可任意调整。</w:t>
      </w:r>
    </w:p>
    <w:p w14:paraId="7327068B">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（8）润滑</w:t>
      </w:r>
    </w:p>
    <w:p w14:paraId="0B3CB732">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电动执行机构的齿轮应采用润滑油，蜗轮蜗杆浸泡在油浴之中，且所有在阀杆运动传动中的转动部件都在轴承上转动。</w:t>
      </w:r>
    </w:p>
    <w:p w14:paraId="7BDE472B">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（9）防护、清扫及保护涂层</w:t>
      </w:r>
    </w:p>
    <w:p w14:paraId="2B83CBD9">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电动执行机构防护等级满足IEC60947标准，防护等级应达到IP68，完全防水防尘，适用于户外、潮湿及水下的工作环境。</w:t>
      </w:r>
    </w:p>
    <w:p w14:paraId="36C6902A">
      <w:pPr>
        <w:spacing w:line="500" w:lineRule="exact"/>
        <w:ind w:left="420" w:leftChars="200" w:firstLine="525" w:firstLineChars="250"/>
        <w:jc w:val="left"/>
        <w:rPr>
          <w:rFonts w:ascii="宋体" w:hAnsi="宋体" w:cs="宋体"/>
          <w:color w:val="auto"/>
          <w:szCs w:val="21"/>
          <w:highlight w:val="none"/>
        </w:rPr>
      </w:pPr>
      <w:r>
        <w:rPr>
          <w:rFonts w:hint="eastAsia" w:ascii="宋体" w:hAnsi="宋体" w:cs="宋体"/>
          <w:color w:val="auto"/>
          <w:szCs w:val="21"/>
          <w:highlight w:val="none"/>
        </w:rPr>
        <w:t>（10）电动执行机构应采用至少4个无源、非接触式触点，并且可在现场通过非侵入式设计设定任意组态自定义所有触点的功能特性，以满足和匹配自控系统的要求。</w:t>
      </w:r>
    </w:p>
    <w:p w14:paraId="0D978E6D">
      <w:pPr>
        <w:pStyle w:val="11"/>
        <w:spacing w:line="500" w:lineRule="exact"/>
        <w:ind w:left="420" w:leftChars="200"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推荐品牌：英国罗托克（ROTORK）、德国（AUMA）、法国伯纳德（BERNARD）等</w:t>
      </w:r>
    </w:p>
    <w:p w14:paraId="6919623E">
      <w:pPr>
        <w:pStyle w:val="6"/>
        <w:spacing w:before="93" w:beforeLines="30" w:after="93" w:afterLines="30" w:line="500" w:lineRule="exact"/>
        <w:ind w:left="420" w:leftChars="200"/>
        <w:jc w:val="left"/>
        <w:rPr>
          <w:rFonts w:ascii="宋体" w:hAnsi="宋体" w:cs="宋体"/>
          <w:b w:val="0"/>
          <w:color w:val="auto"/>
          <w:szCs w:val="21"/>
          <w:highlight w:val="none"/>
        </w:rPr>
      </w:pPr>
      <w:r>
        <w:rPr>
          <w:rFonts w:hint="eastAsia" w:ascii="宋体" w:hAnsi="宋体" w:cs="宋体"/>
          <w:color w:val="auto"/>
          <w:sz w:val="21"/>
          <w:szCs w:val="21"/>
          <w:highlight w:val="none"/>
        </w:rPr>
        <w:t>4.2.3 三水厂增加粉炭投加系统</w:t>
      </w:r>
    </w:p>
    <w:p w14:paraId="5B4FC81F">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滁州三水厂粉炭一体化投加设施建设地点位于滁州三水预留空地内。建设内容主要包括：新增粉炭投加设备以</w:t>
      </w:r>
      <w:r>
        <w:rPr>
          <w:rFonts w:ascii="宋体" w:hAnsi="宋体" w:cs="宋体"/>
          <w:color w:val="auto"/>
          <w:szCs w:val="21"/>
          <w:highlight w:val="none"/>
        </w:rPr>
        <w:t>15</w:t>
      </w:r>
      <w:r>
        <w:rPr>
          <w:rFonts w:hint="eastAsia" w:ascii="宋体" w:hAnsi="宋体" w:cs="宋体"/>
          <w:color w:val="auto"/>
          <w:szCs w:val="21"/>
          <w:highlight w:val="none"/>
        </w:rPr>
        <w:t>万</w:t>
      </w:r>
      <w:r>
        <w:rPr>
          <w:rFonts w:ascii="宋体" w:hAnsi="宋体" w:cs="宋体"/>
          <w:color w:val="auto"/>
          <w:szCs w:val="21"/>
          <w:highlight w:val="none"/>
        </w:rPr>
        <w:t>m3/</w:t>
      </w:r>
      <w:r>
        <w:rPr>
          <w:rFonts w:hint="eastAsia" w:ascii="宋体" w:hAnsi="宋体" w:cs="宋体"/>
          <w:color w:val="auto"/>
          <w:szCs w:val="21"/>
          <w:highlight w:val="none"/>
        </w:rPr>
        <w:t>d规模设计，原料采用罐车输送至料仓的一体化投加装置。设于室外露天安装，并对相应的电气设备、料仓做遮雨防水设计。</w:t>
      </w:r>
    </w:p>
    <w:p w14:paraId="473E3065">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系统描述</w:t>
      </w:r>
    </w:p>
    <w:p w14:paraId="1DF47EB5">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本次招标的一体化投加系统具有连续计量、输送、溶解及投加活性炭与水的混合溶液，活性炭吸附水中杂质、异味等有害物质，设计规模为</w:t>
      </w:r>
      <w:r>
        <w:rPr>
          <w:rFonts w:ascii="宋体" w:hAnsi="宋体" w:cs="宋体"/>
          <w:color w:val="auto"/>
          <w:szCs w:val="21"/>
          <w:highlight w:val="none"/>
        </w:rPr>
        <w:t>15</w:t>
      </w:r>
      <w:r>
        <w:rPr>
          <w:rFonts w:hint="eastAsia" w:ascii="宋体" w:hAnsi="宋体" w:cs="宋体"/>
          <w:color w:val="auto"/>
          <w:szCs w:val="21"/>
          <w:highlight w:val="none"/>
        </w:rPr>
        <w:t>万</w:t>
      </w:r>
      <w:r>
        <w:rPr>
          <w:rFonts w:ascii="宋体" w:hAnsi="宋体" w:cs="宋体"/>
          <w:color w:val="auto"/>
          <w:szCs w:val="21"/>
          <w:highlight w:val="none"/>
        </w:rPr>
        <w:t>m3/d。</w:t>
      </w:r>
    </w:p>
    <w:p w14:paraId="439259D7">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活性炭粉末罐车来料时，通过车载风机将活性炭粉末送入室外料仓，经输送、给料至溶液制备罐，溶液从制备罐重力自流至储罐，再由储罐经泵投至投加点。</w:t>
      </w:r>
    </w:p>
    <w:p w14:paraId="3198C176">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活性炭与水的混合液投加点在配水井进水管设置一个投加点(以二次设计为准)，共1个。</w:t>
      </w:r>
    </w:p>
    <w:p w14:paraId="134B7807">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招标人提供本系统所需的总电源及清洁自来水源，接至系统处的管、线均由招标方负责。系统的外形尺寸应满足现场空间要求。投标人应提供系统流程图，设备外形布置图，从设备至各投加点管道安装布置图以及其它结构图，并应标注相关部件的接口尺寸。</w:t>
      </w:r>
    </w:p>
    <w:p w14:paraId="5E4D0F5B">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系统集成设计及施工范围</w:t>
      </w:r>
    </w:p>
    <w:p w14:paraId="39E092AB">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本次滁州三水厂粉炭一体化投加设施招标范围包括从原料进料到投加点之间所有投加系统（含配水、配电、自控、各类管沟、场地硬化、绿化、冲洗喷淋装置等）的设计、相应设备的供货、安装及预留通讯与监控接口、完成上位机中控界面及相应的技术培训和售后服务等工作。</w:t>
      </w:r>
    </w:p>
    <w:p w14:paraId="45A57BE7">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设计要求</w:t>
      </w:r>
    </w:p>
    <w:p w14:paraId="6E85B36F">
      <w:pPr>
        <w:spacing w:line="500" w:lineRule="exact"/>
        <w:ind w:left="420" w:leftChars="200" w:firstLine="480"/>
        <w:rPr>
          <w:rFonts w:ascii="宋体" w:hAnsi="宋体" w:cs="宋体"/>
          <w:color w:val="auto"/>
          <w:szCs w:val="21"/>
          <w:highlight w:val="none"/>
        </w:rPr>
      </w:pPr>
      <w:r>
        <w:rPr>
          <w:rFonts w:hint="eastAsia" w:ascii="宋体" w:hAnsi="宋体" w:cs="宋体"/>
          <w:color w:val="auto"/>
          <w:szCs w:val="21"/>
          <w:highlight w:val="none"/>
        </w:rPr>
        <w:t>投标人需根据项目情况对全套系统进行相关计算及详细设计，以保证药剂投加管路的适当流速及背压，同时还应采取措施保证投加泵的最大使用寿命。投标人应提供设计范围内全套储存、计量、输送、溶解装置及投加药剂粉末的相关设备。包括除尘装置、开关阀、给料机、螺旋输送器、药剂粉末溶解罐，投加泵及控制系统等。供货商还应供应投加系统运行所必需的一些附件，以保证整个投药系统安全、有效、可靠的运行。</w:t>
      </w:r>
    </w:p>
    <w:p w14:paraId="4CDFC0B3">
      <w:pPr>
        <w:numPr>
          <w:ilvl w:val="255"/>
          <w:numId w:val="0"/>
        </w:numPr>
        <w:spacing w:line="360" w:lineRule="auto"/>
        <w:ind w:left="420" w:leftChars="200"/>
        <w:rPr>
          <w:rFonts w:ascii="宋体" w:hAnsi="宋体" w:cs="宋体"/>
          <w:b/>
          <w:color w:val="auto"/>
          <w:sz w:val="24"/>
          <w:highlight w:val="none"/>
        </w:rPr>
      </w:pPr>
      <w:r>
        <w:rPr>
          <w:rFonts w:hint="eastAsia" w:ascii="宋体" w:hAnsi="宋体" w:cs="宋体"/>
          <w:color w:val="auto"/>
          <w:szCs w:val="21"/>
          <w:highlight w:val="none"/>
          <w:lang w:val="en-US" w:eastAsia="zh-CN"/>
        </w:rPr>
        <w:t>4.</w:t>
      </w:r>
      <w:r>
        <w:rPr>
          <w:rFonts w:hint="eastAsia" w:ascii="宋体" w:hAnsi="宋体" w:cs="宋体"/>
          <w:b/>
          <w:color w:val="auto"/>
          <w:sz w:val="24"/>
          <w:highlight w:val="none"/>
        </w:rPr>
        <w:t>主要设备材料表</w:t>
      </w:r>
    </w:p>
    <w:tbl>
      <w:tblPr>
        <w:tblStyle w:val="23"/>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55"/>
        <w:gridCol w:w="1590"/>
        <w:gridCol w:w="780"/>
        <w:gridCol w:w="1380"/>
        <w:gridCol w:w="4725"/>
      </w:tblGrid>
      <w:tr w14:paraId="293F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690" w:type="dxa"/>
            <w:vAlign w:val="center"/>
          </w:tcPr>
          <w:p w14:paraId="48C002ED">
            <w:pPr>
              <w:spacing w:line="500" w:lineRule="exact"/>
              <w:rPr>
                <w:rFonts w:ascii="宋体" w:hAnsi="宋体" w:cs="宋体"/>
                <w:b/>
                <w:color w:val="auto"/>
                <w:szCs w:val="21"/>
                <w:highlight w:val="none"/>
              </w:rPr>
            </w:pPr>
            <w:r>
              <w:rPr>
                <w:rFonts w:hint="eastAsia" w:ascii="宋体" w:hAnsi="宋体" w:cs="宋体"/>
                <w:b/>
                <w:color w:val="auto"/>
                <w:szCs w:val="21"/>
                <w:highlight w:val="none"/>
              </w:rPr>
              <w:t>序号</w:t>
            </w:r>
          </w:p>
        </w:tc>
        <w:tc>
          <w:tcPr>
            <w:tcW w:w="1155" w:type="dxa"/>
            <w:vAlign w:val="center"/>
          </w:tcPr>
          <w:p w14:paraId="179B9E8E">
            <w:pPr>
              <w:spacing w:line="500" w:lineRule="exact"/>
              <w:rPr>
                <w:rFonts w:ascii="宋体" w:hAnsi="宋体" w:cs="宋体"/>
                <w:b/>
                <w:color w:val="auto"/>
                <w:szCs w:val="21"/>
                <w:highlight w:val="none"/>
              </w:rPr>
            </w:pPr>
            <w:r>
              <w:rPr>
                <w:rFonts w:hint="eastAsia" w:ascii="宋体" w:hAnsi="宋体" w:cs="宋体"/>
                <w:b/>
                <w:color w:val="auto"/>
                <w:szCs w:val="21"/>
                <w:highlight w:val="none"/>
              </w:rPr>
              <w:t>名称</w:t>
            </w:r>
          </w:p>
        </w:tc>
        <w:tc>
          <w:tcPr>
            <w:tcW w:w="1590" w:type="dxa"/>
            <w:vAlign w:val="center"/>
          </w:tcPr>
          <w:p w14:paraId="22D2A8A2">
            <w:pPr>
              <w:spacing w:line="500" w:lineRule="exact"/>
              <w:rPr>
                <w:rFonts w:ascii="宋体" w:hAnsi="宋体" w:cs="宋体"/>
                <w:b/>
                <w:color w:val="auto"/>
                <w:szCs w:val="21"/>
                <w:highlight w:val="none"/>
              </w:rPr>
            </w:pPr>
            <w:r>
              <w:rPr>
                <w:rFonts w:hint="eastAsia" w:ascii="宋体" w:hAnsi="宋体" w:cs="宋体"/>
                <w:b/>
                <w:color w:val="auto"/>
                <w:szCs w:val="21"/>
                <w:highlight w:val="none"/>
              </w:rPr>
              <w:t>型号及规格</w:t>
            </w:r>
          </w:p>
        </w:tc>
        <w:tc>
          <w:tcPr>
            <w:tcW w:w="780" w:type="dxa"/>
            <w:vAlign w:val="center"/>
          </w:tcPr>
          <w:p w14:paraId="6C4CAF29">
            <w:pPr>
              <w:spacing w:line="500" w:lineRule="exact"/>
              <w:rPr>
                <w:rFonts w:ascii="宋体" w:hAnsi="宋体" w:cs="宋体"/>
                <w:b/>
                <w:color w:val="auto"/>
                <w:szCs w:val="21"/>
                <w:highlight w:val="none"/>
              </w:rPr>
            </w:pPr>
            <w:r>
              <w:rPr>
                <w:rFonts w:hint="eastAsia" w:ascii="宋体" w:hAnsi="宋体" w:cs="宋体"/>
                <w:b/>
                <w:color w:val="auto"/>
                <w:szCs w:val="21"/>
                <w:highlight w:val="none"/>
              </w:rPr>
              <w:t>数量</w:t>
            </w:r>
          </w:p>
        </w:tc>
        <w:tc>
          <w:tcPr>
            <w:tcW w:w="1380" w:type="dxa"/>
            <w:vAlign w:val="center"/>
          </w:tcPr>
          <w:p w14:paraId="0B6EE544">
            <w:pPr>
              <w:spacing w:line="500" w:lineRule="exact"/>
              <w:rPr>
                <w:rFonts w:ascii="宋体" w:hAnsi="宋体" w:cs="宋体"/>
                <w:b/>
                <w:color w:val="auto"/>
                <w:szCs w:val="21"/>
                <w:highlight w:val="none"/>
              </w:rPr>
            </w:pPr>
            <w:r>
              <w:rPr>
                <w:rFonts w:hint="eastAsia" w:ascii="宋体" w:hAnsi="宋体" w:cs="宋体"/>
                <w:b/>
                <w:color w:val="auto"/>
                <w:szCs w:val="21"/>
                <w:highlight w:val="none"/>
              </w:rPr>
              <w:t>材质</w:t>
            </w:r>
          </w:p>
        </w:tc>
        <w:tc>
          <w:tcPr>
            <w:tcW w:w="4725" w:type="dxa"/>
            <w:vAlign w:val="center"/>
          </w:tcPr>
          <w:p w14:paraId="520E6277">
            <w:pPr>
              <w:spacing w:line="500" w:lineRule="exact"/>
              <w:ind w:left="420" w:leftChars="20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038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90" w:type="dxa"/>
            <w:vAlign w:val="center"/>
          </w:tcPr>
          <w:p w14:paraId="29A498E8">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1155" w:type="dxa"/>
            <w:vAlign w:val="center"/>
          </w:tcPr>
          <w:p w14:paraId="09C0DBA2">
            <w:pPr>
              <w:spacing w:line="500" w:lineRule="exact"/>
              <w:rPr>
                <w:rFonts w:ascii="宋体" w:hAnsi="宋体" w:cs="宋体"/>
                <w:color w:val="auto"/>
                <w:szCs w:val="21"/>
                <w:highlight w:val="none"/>
              </w:rPr>
            </w:pPr>
            <w:r>
              <w:rPr>
                <w:rFonts w:hint="eastAsia" w:ascii="宋体" w:hAnsi="宋体" w:cs="宋体"/>
                <w:color w:val="auto"/>
                <w:szCs w:val="21"/>
                <w:highlight w:val="none"/>
              </w:rPr>
              <w:t>户外料仓</w:t>
            </w:r>
          </w:p>
        </w:tc>
        <w:tc>
          <w:tcPr>
            <w:tcW w:w="1590" w:type="dxa"/>
            <w:vAlign w:val="center"/>
          </w:tcPr>
          <w:p w14:paraId="048E8CE0">
            <w:pPr>
              <w:spacing w:line="500" w:lineRule="exact"/>
              <w:rPr>
                <w:rFonts w:ascii="宋体" w:hAnsi="宋体" w:cs="宋体"/>
                <w:color w:val="auto"/>
                <w:szCs w:val="21"/>
                <w:highlight w:val="none"/>
              </w:rPr>
            </w:pPr>
            <w:r>
              <w:rPr>
                <w:rFonts w:hint="eastAsia" w:ascii="宋体" w:hAnsi="宋体" w:cs="宋体"/>
                <w:color w:val="auto"/>
                <w:szCs w:val="21"/>
                <w:highlight w:val="none"/>
              </w:rPr>
              <w:t>容积40m</w:t>
            </w:r>
            <w:r>
              <w:rPr>
                <w:rFonts w:hint="eastAsia" w:ascii="宋体" w:hAnsi="宋体" w:cs="宋体"/>
                <w:color w:val="auto"/>
                <w:szCs w:val="21"/>
                <w:highlight w:val="none"/>
                <w:vertAlign w:val="superscript"/>
              </w:rPr>
              <w:t>3</w:t>
            </w:r>
          </w:p>
        </w:tc>
        <w:tc>
          <w:tcPr>
            <w:tcW w:w="780" w:type="dxa"/>
            <w:vAlign w:val="center"/>
          </w:tcPr>
          <w:p w14:paraId="0F8ED132">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21E592C9">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碳钢</w:t>
            </w:r>
          </w:p>
        </w:tc>
        <w:tc>
          <w:tcPr>
            <w:tcW w:w="4725" w:type="dxa"/>
            <w:vAlign w:val="center"/>
          </w:tcPr>
          <w:p w14:paraId="0123371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要求壁厚不小于8mm，关键受力部分不小于10mm，符合粉炭使用国家相关防爆要求。配套楼梯应采取分段式，中间设置停留休息平台。</w:t>
            </w:r>
          </w:p>
        </w:tc>
      </w:tr>
      <w:tr w14:paraId="2E18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14:paraId="1424888D">
            <w:pPr>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155" w:type="dxa"/>
            <w:vAlign w:val="center"/>
          </w:tcPr>
          <w:p w14:paraId="4FA691DA">
            <w:pPr>
              <w:spacing w:line="500" w:lineRule="exact"/>
              <w:rPr>
                <w:rFonts w:ascii="宋体" w:hAnsi="宋体" w:cs="宋体"/>
                <w:color w:val="auto"/>
                <w:szCs w:val="21"/>
                <w:highlight w:val="none"/>
              </w:rPr>
            </w:pPr>
            <w:r>
              <w:rPr>
                <w:rFonts w:hint="eastAsia" w:ascii="宋体" w:hAnsi="宋体" w:cs="宋体"/>
                <w:color w:val="auto"/>
                <w:szCs w:val="21"/>
                <w:highlight w:val="none"/>
              </w:rPr>
              <w:t>料位及空穴报警计</w:t>
            </w:r>
          </w:p>
        </w:tc>
        <w:tc>
          <w:tcPr>
            <w:tcW w:w="1590" w:type="dxa"/>
            <w:vAlign w:val="center"/>
          </w:tcPr>
          <w:p w14:paraId="75AF7EF4">
            <w:pPr>
              <w:spacing w:line="500" w:lineRule="exact"/>
              <w:rPr>
                <w:rFonts w:ascii="宋体" w:hAnsi="宋体" w:cs="宋体"/>
                <w:color w:val="auto"/>
                <w:szCs w:val="21"/>
                <w:highlight w:val="none"/>
              </w:rPr>
            </w:pPr>
            <w:r>
              <w:rPr>
                <w:rFonts w:hint="eastAsia" w:ascii="宋体" w:hAnsi="宋体" w:cs="宋体"/>
                <w:color w:val="auto"/>
                <w:spacing w:val="8"/>
                <w:szCs w:val="21"/>
                <w:highlight w:val="none"/>
              </w:rPr>
              <w:t>桨板式</w:t>
            </w:r>
          </w:p>
        </w:tc>
        <w:tc>
          <w:tcPr>
            <w:tcW w:w="780" w:type="dxa"/>
            <w:vAlign w:val="center"/>
          </w:tcPr>
          <w:p w14:paraId="11880323">
            <w:pPr>
              <w:spacing w:line="500" w:lineRule="exact"/>
              <w:rPr>
                <w:rFonts w:ascii="宋体" w:hAnsi="宋体" w:cs="宋体"/>
                <w:color w:val="auto"/>
                <w:szCs w:val="21"/>
                <w:highlight w:val="none"/>
              </w:rPr>
            </w:pPr>
            <w:r>
              <w:rPr>
                <w:rFonts w:hint="eastAsia" w:ascii="宋体" w:hAnsi="宋体" w:cs="宋体"/>
                <w:color w:val="auto"/>
                <w:szCs w:val="21"/>
                <w:highlight w:val="none"/>
              </w:rPr>
              <w:t>3个</w:t>
            </w:r>
          </w:p>
        </w:tc>
        <w:tc>
          <w:tcPr>
            <w:tcW w:w="1380" w:type="dxa"/>
            <w:vAlign w:val="center"/>
          </w:tcPr>
          <w:p w14:paraId="59FE2546">
            <w:pPr>
              <w:spacing w:line="500" w:lineRule="exact"/>
              <w:rPr>
                <w:rFonts w:ascii="宋体" w:hAnsi="宋体" w:cs="宋体"/>
                <w:color w:val="auto"/>
                <w:szCs w:val="21"/>
                <w:highlight w:val="none"/>
              </w:rPr>
            </w:pPr>
            <w:r>
              <w:rPr>
                <w:rFonts w:hint="eastAsia" w:ascii="宋体" w:hAnsi="宋体" w:cs="宋体"/>
                <w:color w:val="auto"/>
                <w:szCs w:val="21"/>
                <w:highlight w:val="none"/>
              </w:rPr>
              <w:t>不锈钢</w:t>
            </w:r>
          </w:p>
        </w:tc>
        <w:tc>
          <w:tcPr>
            <w:tcW w:w="4725" w:type="dxa"/>
            <w:vAlign w:val="center"/>
          </w:tcPr>
          <w:p w14:paraId="43F2A63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UWT、E+H、WAM或同档次及以上品牌设备，料仓外适当位置有报警装置警示，符合粉炭使用国家相关防爆要求。</w:t>
            </w:r>
          </w:p>
        </w:tc>
      </w:tr>
      <w:tr w14:paraId="42BC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0" w:type="dxa"/>
            <w:vAlign w:val="center"/>
          </w:tcPr>
          <w:p w14:paraId="521A8C0E">
            <w:pPr>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155" w:type="dxa"/>
            <w:vAlign w:val="center"/>
          </w:tcPr>
          <w:p w14:paraId="0B2B07BC">
            <w:pPr>
              <w:spacing w:line="500" w:lineRule="exact"/>
              <w:rPr>
                <w:rFonts w:ascii="宋体" w:hAnsi="宋体" w:cs="宋体"/>
                <w:color w:val="auto"/>
                <w:szCs w:val="21"/>
                <w:highlight w:val="none"/>
              </w:rPr>
            </w:pPr>
            <w:r>
              <w:rPr>
                <w:rFonts w:hint="eastAsia" w:ascii="宋体" w:hAnsi="宋体" w:cs="宋体"/>
                <w:color w:val="auto"/>
                <w:szCs w:val="21"/>
                <w:highlight w:val="none"/>
              </w:rPr>
              <w:t>除尘器（料仓）</w:t>
            </w:r>
          </w:p>
        </w:tc>
        <w:tc>
          <w:tcPr>
            <w:tcW w:w="1590" w:type="dxa"/>
            <w:vAlign w:val="center"/>
          </w:tcPr>
          <w:p w14:paraId="1FD45F56">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气动清灰，过滤面积22m</w:t>
            </w:r>
            <w:r>
              <w:rPr>
                <w:rFonts w:hint="eastAsia" w:ascii="宋体" w:hAnsi="宋体" w:cs="宋体"/>
                <w:color w:val="auto"/>
                <w:szCs w:val="21"/>
                <w:highlight w:val="none"/>
                <w:vertAlign w:val="superscript"/>
              </w:rPr>
              <w:t>2.</w:t>
            </w:r>
          </w:p>
        </w:tc>
        <w:tc>
          <w:tcPr>
            <w:tcW w:w="780" w:type="dxa"/>
            <w:vAlign w:val="center"/>
          </w:tcPr>
          <w:p w14:paraId="0FE4F36A">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5CE73A52">
            <w:pPr>
              <w:spacing w:line="500" w:lineRule="exact"/>
              <w:rPr>
                <w:rFonts w:ascii="宋体" w:hAnsi="宋体" w:cs="宋体"/>
                <w:color w:val="auto"/>
                <w:szCs w:val="21"/>
                <w:highlight w:val="none"/>
              </w:rPr>
            </w:pPr>
            <w:r>
              <w:rPr>
                <w:rFonts w:hint="eastAsia" w:ascii="宋体" w:hAnsi="宋体" w:cs="宋体"/>
                <w:color w:val="auto"/>
                <w:szCs w:val="21"/>
                <w:highlight w:val="none"/>
              </w:rPr>
              <w:t>不锈钢</w:t>
            </w:r>
          </w:p>
        </w:tc>
        <w:tc>
          <w:tcPr>
            <w:tcW w:w="4725" w:type="dxa"/>
            <w:vAlign w:val="center"/>
          </w:tcPr>
          <w:p w14:paraId="44ECE376">
            <w:pPr>
              <w:spacing w:line="500" w:lineRule="exact"/>
              <w:rPr>
                <w:rFonts w:ascii="宋体" w:hAnsi="宋体" w:cs="宋体"/>
                <w:color w:val="auto"/>
                <w:szCs w:val="21"/>
                <w:highlight w:val="none"/>
              </w:rPr>
            </w:pPr>
            <w:r>
              <w:rPr>
                <w:rFonts w:hint="eastAsia" w:ascii="宋体" w:hAnsi="宋体" w:cs="宋体"/>
                <w:color w:val="auto"/>
                <w:szCs w:val="21"/>
                <w:highlight w:val="none"/>
              </w:rPr>
              <w:t>曼威立、WAM、Sodimate、或同档次及以上品牌设备，符合粉炭使用国家相关防爆要求。</w:t>
            </w:r>
          </w:p>
        </w:tc>
      </w:tr>
      <w:tr w14:paraId="5421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0" w:type="dxa"/>
            <w:vAlign w:val="center"/>
          </w:tcPr>
          <w:p w14:paraId="4BD20528">
            <w:pPr>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155" w:type="dxa"/>
            <w:vAlign w:val="center"/>
          </w:tcPr>
          <w:p w14:paraId="127D9792">
            <w:pPr>
              <w:spacing w:line="500" w:lineRule="exact"/>
              <w:rPr>
                <w:rFonts w:ascii="宋体" w:hAnsi="宋体" w:cs="宋体"/>
                <w:color w:val="auto"/>
                <w:szCs w:val="21"/>
                <w:highlight w:val="none"/>
              </w:rPr>
            </w:pPr>
            <w:r>
              <w:rPr>
                <w:rFonts w:hint="eastAsia" w:ascii="宋体" w:hAnsi="宋体" w:cs="宋体"/>
                <w:color w:val="auto"/>
                <w:szCs w:val="21"/>
                <w:highlight w:val="none"/>
              </w:rPr>
              <w:t>安全阀</w:t>
            </w:r>
          </w:p>
        </w:tc>
        <w:tc>
          <w:tcPr>
            <w:tcW w:w="1590" w:type="dxa"/>
            <w:vAlign w:val="center"/>
          </w:tcPr>
          <w:p w14:paraId="4814BB58">
            <w:pPr>
              <w:spacing w:line="500" w:lineRule="exact"/>
              <w:rPr>
                <w:rFonts w:ascii="宋体" w:hAnsi="宋体" w:cs="宋体"/>
                <w:color w:val="auto"/>
                <w:szCs w:val="21"/>
                <w:highlight w:val="none"/>
              </w:rPr>
            </w:pPr>
            <w:r>
              <w:rPr>
                <w:rFonts w:hint="eastAsia" w:ascii="宋体" w:hAnsi="宋体" w:cs="宋体"/>
                <w:color w:val="auto"/>
                <w:szCs w:val="21"/>
                <w:highlight w:val="none"/>
              </w:rPr>
              <w:t>正负压</w:t>
            </w:r>
          </w:p>
        </w:tc>
        <w:tc>
          <w:tcPr>
            <w:tcW w:w="780" w:type="dxa"/>
            <w:vAlign w:val="center"/>
          </w:tcPr>
          <w:p w14:paraId="639AD326">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380" w:type="dxa"/>
            <w:vAlign w:val="center"/>
          </w:tcPr>
          <w:p w14:paraId="2BBA5483">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725" w:type="dxa"/>
            <w:vAlign w:val="center"/>
          </w:tcPr>
          <w:p w14:paraId="13BB1529">
            <w:pPr>
              <w:spacing w:line="500" w:lineRule="exact"/>
              <w:rPr>
                <w:rFonts w:ascii="宋体" w:hAnsi="宋体" w:cs="宋体"/>
                <w:color w:val="auto"/>
                <w:szCs w:val="21"/>
                <w:highlight w:val="none"/>
              </w:rPr>
            </w:pPr>
            <w:r>
              <w:rPr>
                <w:rFonts w:hint="eastAsia" w:ascii="宋体" w:hAnsi="宋体" w:cs="宋体"/>
                <w:color w:val="auto"/>
                <w:szCs w:val="21"/>
                <w:highlight w:val="none"/>
              </w:rPr>
              <w:t>安装于料仓顶部,符合粉炭使用国家相关防爆要求。</w:t>
            </w:r>
          </w:p>
        </w:tc>
      </w:tr>
      <w:tr w14:paraId="082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0" w:type="dxa"/>
            <w:vAlign w:val="center"/>
          </w:tcPr>
          <w:p w14:paraId="0EAE2621">
            <w:pPr>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1155" w:type="dxa"/>
            <w:vAlign w:val="center"/>
          </w:tcPr>
          <w:p w14:paraId="4B9C95D2">
            <w:pPr>
              <w:spacing w:line="500" w:lineRule="exact"/>
              <w:rPr>
                <w:rFonts w:ascii="宋体" w:hAnsi="宋体" w:cs="宋体"/>
                <w:color w:val="auto"/>
                <w:szCs w:val="21"/>
                <w:highlight w:val="none"/>
              </w:rPr>
            </w:pPr>
            <w:r>
              <w:rPr>
                <w:rFonts w:hint="eastAsia" w:ascii="宋体" w:hAnsi="宋体" w:cs="宋体"/>
                <w:color w:val="auto"/>
                <w:szCs w:val="21"/>
                <w:highlight w:val="none"/>
              </w:rPr>
              <w:t>称重系统</w:t>
            </w:r>
          </w:p>
        </w:tc>
        <w:tc>
          <w:tcPr>
            <w:tcW w:w="1590" w:type="dxa"/>
            <w:vAlign w:val="center"/>
          </w:tcPr>
          <w:p w14:paraId="32DACB12">
            <w:pPr>
              <w:spacing w:line="50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4-20mA输出配显示仪表，带通讯接口。</w:t>
            </w:r>
          </w:p>
        </w:tc>
        <w:tc>
          <w:tcPr>
            <w:tcW w:w="780" w:type="dxa"/>
            <w:vAlign w:val="center"/>
          </w:tcPr>
          <w:p w14:paraId="708D3C3C">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703011ED">
            <w:pPr>
              <w:spacing w:line="500" w:lineRule="exact"/>
              <w:rPr>
                <w:rFonts w:ascii="宋体" w:hAnsi="宋体" w:cs="宋体"/>
                <w:color w:val="auto"/>
                <w:szCs w:val="21"/>
                <w:highlight w:val="none"/>
              </w:rPr>
            </w:pPr>
            <w:r>
              <w:rPr>
                <w:rFonts w:hint="eastAsia" w:ascii="宋体" w:hAnsi="宋体" w:cs="宋体"/>
                <w:color w:val="auto"/>
                <w:szCs w:val="21"/>
                <w:highlight w:val="none"/>
              </w:rPr>
              <w:t>不锈钢304</w:t>
            </w:r>
          </w:p>
        </w:tc>
        <w:tc>
          <w:tcPr>
            <w:tcW w:w="4725" w:type="dxa"/>
            <w:vAlign w:val="center"/>
          </w:tcPr>
          <w:p w14:paraId="2BD0881F">
            <w:pPr>
              <w:spacing w:line="500" w:lineRule="exact"/>
              <w:ind w:left="0" w:leftChars="0"/>
              <w:rPr>
                <w:rFonts w:ascii="宋体" w:hAnsi="宋体" w:cs="宋体"/>
                <w:color w:val="auto"/>
                <w:szCs w:val="21"/>
                <w:highlight w:val="none"/>
              </w:rPr>
            </w:pPr>
            <w:r>
              <w:rPr>
                <w:rFonts w:hint="eastAsia" w:ascii="宋体" w:hAnsi="宋体" w:cs="宋体"/>
                <w:color w:val="auto"/>
                <w:szCs w:val="21"/>
                <w:highlight w:val="none"/>
              </w:rPr>
              <w:t>梅特勒-托利多、HBM、尤梯赛尔或同档次及以上品牌。</w:t>
            </w:r>
          </w:p>
        </w:tc>
      </w:tr>
      <w:tr w14:paraId="150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0" w:type="dxa"/>
            <w:vAlign w:val="center"/>
          </w:tcPr>
          <w:p w14:paraId="3575D6B6">
            <w:pPr>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1155" w:type="dxa"/>
            <w:vAlign w:val="center"/>
          </w:tcPr>
          <w:p w14:paraId="4F5EA22F">
            <w:pPr>
              <w:spacing w:line="500" w:lineRule="exact"/>
              <w:rPr>
                <w:rFonts w:ascii="宋体" w:hAnsi="宋体" w:cs="宋体"/>
                <w:color w:val="auto"/>
                <w:szCs w:val="21"/>
                <w:highlight w:val="none"/>
              </w:rPr>
            </w:pPr>
            <w:r>
              <w:rPr>
                <w:rFonts w:hint="eastAsia" w:ascii="宋体" w:hAnsi="宋体" w:cs="宋体"/>
                <w:color w:val="auto"/>
                <w:szCs w:val="21"/>
                <w:highlight w:val="none"/>
              </w:rPr>
              <w:t>料仓空穴处理装置</w:t>
            </w:r>
          </w:p>
        </w:tc>
        <w:tc>
          <w:tcPr>
            <w:tcW w:w="1590" w:type="dxa"/>
            <w:vAlign w:val="center"/>
          </w:tcPr>
          <w:p w14:paraId="7594924A">
            <w:pPr>
              <w:spacing w:line="500" w:lineRule="exact"/>
              <w:rPr>
                <w:rFonts w:ascii="宋体" w:hAnsi="宋体" w:cs="宋体"/>
                <w:color w:val="auto"/>
                <w:szCs w:val="21"/>
                <w:highlight w:val="none"/>
              </w:rPr>
            </w:pPr>
            <w:r>
              <w:rPr>
                <w:rFonts w:hint="eastAsia" w:ascii="宋体" w:hAnsi="宋体" w:cs="宋体"/>
                <w:color w:val="auto"/>
                <w:szCs w:val="21"/>
                <w:highlight w:val="none"/>
              </w:rPr>
              <w:t>气动或机械式防空穴装置</w:t>
            </w:r>
          </w:p>
        </w:tc>
        <w:tc>
          <w:tcPr>
            <w:tcW w:w="780" w:type="dxa"/>
            <w:vAlign w:val="center"/>
          </w:tcPr>
          <w:p w14:paraId="0387C14D">
            <w:pPr>
              <w:spacing w:line="500" w:lineRule="exact"/>
              <w:ind w:left="0" w:leftChars="0"/>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444F1782">
            <w:pPr>
              <w:spacing w:line="500" w:lineRule="exact"/>
              <w:rPr>
                <w:rFonts w:ascii="宋体" w:hAnsi="宋体" w:cs="宋体"/>
                <w:color w:val="auto"/>
                <w:szCs w:val="21"/>
                <w:highlight w:val="none"/>
              </w:rPr>
            </w:pPr>
          </w:p>
        </w:tc>
        <w:tc>
          <w:tcPr>
            <w:tcW w:w="4725" w:type="dxa"/>
            <w:vAlign w:val="center"/>
          </w:tcPr>
          <w:p w14:paraId="6CA21662">
            <w:pPr>
              <w:spacing w:line="500" w:lineRule="exact"/>
              <w:rPr>
                <w:rFonts w:ascii="宋体" w:hAnsi="宋体" w:cs="宋体"/>
                <w:color w:val="auto"/>
                <w:szCs w:val="21"/>
                <w:highlight w:val="none"/>
              </w:rPr>
            </w:pPr>
            <w:r>
              <w:rPr>
                <w:rFonts w:hint="eastAsia" w:ascii="宋体" w:hAnsi="宋体" w:cs="宋体"/>
                <w:color w:val="auto"/>
                <w:szCs w:val="21"/>
                <w:highlight w:val="none"/>
              </w:rPr>
              <w:t>曼威立、WAM、Sodimate、固莱或同档次及以上品牌，符合粉炭使用国家相关防爆要求。</w:t>
            </w:r>
          </w:p>
        </w:tc>
      </w:tr>
      <w:tr w14:paraId="77F6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6647538B">
            <w:pPr>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1155" w:type="dxa"/>
            <w:vAlign w:val="center"/>
          </w:tcPr>
          <w:p w14:paraId="6B1BB871">
            <w:pPr>
              <w:spacing w:line="500" w:lineRule="exact"/>
              <w:rPr>
                <w:rFonts w:ascii="宋体" w:hAnsi="宋体" w:cs="宋体"/>
                <w:color w:val="auto"/>
                <w:szCs w:val="21"/>
                <w:highlight w:val="none"/>
              </w:rPr>
            </w:pPr>
            <w:r>
              <w:rPr>
                <w:rFonts w:hint="eastAsia" w:ascii="宋体" w:hAnsi="宋体" w:cs="宋体"/>
                <w:color w:val="auto"/>
                <w:szCs w:val="21"/>
                <w:highlight w:val="none"/>
              </w:rPr>
              <w:t>料仓出口阀</w:t>
            </w:r>
          </w:p>
        </w:tc>
        <w:tc>
          <w:tcPr>
            <w:tcW w:w="1590" w:type="dxa"/>
            <w:vAlign w:val="center"/>
          </w:tcPr>
          <w:p w14:paraId="664496D8">
            <w:pPr>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780" w:type="dxa"/>
            <w:vAlign w:val="center"/>
          </w:tcPr>
          <w:p w14:paraId="28E420AA">
            <w:pPr>
              <w:spacing w:line="500" w:lineRule="exact"/>
              <w:rPr>
                <w:rFonts w:ascii="宋体" w:hAnsi="宋体" w:cs="宋体"/>
                <w:color w:val="auto"/>
                <w:szCs w:val="21"/>
                <w:highlight w:val="none"/>
              </w:rPr>
            </w:pPr>
            <w:r>
              <w:rPr>
                <w:rFonts w:hint="eastAsia" w:ascii="宋体" w:hAnsi="宋体" w:cs="宋体"/>
                <w:color w:val="auto"/>
                <w:szCs w:val="21"/>
                <w:highlight w:val="none"/>
              </w:rPr>
              <w:t>1个</w:t>
            </w:r>
          </w:p>
        </w:tc>
        <w:tc>
          <w:tcPr>
            <w:tcW w:w="1380" w:type="dxa"/>
            <w:vAlign w:val="center"/>
          </w:tcPr>
          <w:p w14:paraId="4C0E1F1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不锈钢AISI302阀板</w:t>
            </w:r>
          </w:p>
        </w:tc>
        <w:tc>
          <w:tcPr>
            <w:tcW w:w="4725" w:type="dxa"/>
            <w:vAlign w:val="center"/>
          </w:tcPr>
          <w:p w14:paraId="5508FF00">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w:t>
            </w:r>
          </w:p>
        </w:tc>
      </w:tr>
      <w:tr w14:paraId="5518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90" w:type="dxa"/>
            <w:vAlign w:val="center"/>
          </w:tcPr>
          <w:p w14:paraId="5559C6C0">
            <w:pPr>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155" w:type="dxa"/>
            <w:vAlign w:val="center"/>
          </w:tcPr>
          <w:p w14:paraId="06D7952A">
            <w:pPr>
              <w:spacing w:line="500" w:lineRule="exact"/>
              <w:rPr>
                <w:rFonts w:ascii="宋体" w:hAnsi="宋体" w:cs="宋体"/>
                <w:color w:val="auto"/>
                <w:szCs w:val="21"/>
                <w:highlight w:val="none"/>
              </w:rPr>
            </w:pPr>
            <w:r>
              <w:rPr>
                <w:rFonts w:hint="eastAsia" w:ascii="宋体" w:hAnsi="宋体" w:cs="宋体"/>
                <w:color w:val="auto"/>
                <w:szCs w:val="21"/>
                <w:highlight w:val="none"/>
              </w:rPr>
              <w:t>螺旋给料机</w:t>
            </w:r>
          </w:p>
        </w:tc>
        <w:tc>
          <w:tcPr>
            <w:tcW w:w="1590" w:type="dxa"/>
            <w:vAlign w:val="center"/>
          </w:tcPr>
          <w:p w14:paraId="6E988F7A">
            <w:pPr>
              <w:spacing w:line="500" w:lineRule="exact"/>
              <w:rPr>
                <w:rFonts w:ascii="宋体" w:hAnsi="宋体" w:cs="宋体"/>
                <w:color w:val="auto"/>
                <w:szCs w:val="21"/>
                <w:highlight w:val="none"/>
              </w:rPr>
            </w:pPr>
            <w:r>
              <w:rPr>
                <w:rFonts w:hint="eastAsia" w:ascii="宋体" w:hAnsi="宋体" w:cs="宋体"/>
                <w:color w:val="auto"/>
                <w:szCs w:val="21"/>
                <w:highlight w:val="none"/>
              </w:rPr>
              <w:t>400型</w:t>
            </w:r>
          </w:p>
        </w:tc>
        <w:tc>
          <w:tcPr>
            <w:tcW w:w="780" w:type="dxa"/>
            <w:vAlign w:val="center"/>
          </w:tcPr>
          <w:p w14:paraId="31F1EC33">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380" w:type="dxa"/>
            <w:vAlign w:val="center"/>
          </w:tcPr>
          <w:p w14:paraId="334549DC">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725" w:type="dxa"/>
            <w:vAlign w:val="center"/>
          </w:tcPr>
          <w:p w14:paraId="0A156B6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LOVE、法国PARIMIX或同档次及以上品牌。符合粉炭使用国家相关防爆要求。</w:t>
            </w:r>
          </w:p>
        </w:tc>
      </w:tr>
      <w:tr w14:paraId="3D6F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0" w:type="dxa"/>
            <w:vAlign w:val="center"/>
          </w:tcPr>
          <w:p w14:paraId="54216C7D">
            <w:pPr>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1155" w:type="dxa"/>
            <w:vAlign w:val="center"/>
          </w:tcPr>
          <w:p w14:paraId="1F4BCC03">
            <w:pPr>
              <w:spacing w:line="500" w:lineRule="exact"/>
              <w:rPr>
                <w:rFonts w:ascii="宋体" w:hAnsi="宋体" w:cs="宋体"/>
                <w:color w:val="auto"/>
                <w:szCs w:val="21"/>
                <w:highlight w:val="none"/>
              </w:rPr>
            </w:pPr>
            <w:r>
              <w:rPr>
                <w:rFonts w:hint="eastAsia" w:ascii="宋体" w:hAnsi="宋体" w:cs="宋体"/>
                <w:color w:val="auto"/>
                <w:szCs w:val="21"/>
                <w:highlight w:val="none"/>
              </w:rPr>
              <w:t>螺旋输送机</w:t>
            </w:r>
          </w:p>
        </w:tc>
        <w:tc>
          <w:tcPr>
            <w:tcW w:w="1590" w:type="dxa"/>
            <w:vAlign w:val="center"/>
          </w:tcPr>
          <w:p w14:paraId="4526E25A">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水平或倾角输送量为350kg/H </w:t>
            </w:r>
          </w:p>
        </w:tc>
        <w:tc>
          <w:tcPr>
            <w:tcW w:w="780" w:type="dxa"/>
            <w:vAlign w:val="center"/>
          </w:tcPr>
          <w:p w14:paraId="7CE6FA16">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5A581EB5">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725" w:type="dxa"/>
            <w:vAlign w:val="center"/>
          </w:tcPr>
          <w:p w14:paraId="524D944D">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LOVE、法国PARIMIX或同档次及以上品牌，符合粉炭使用国家相关防爆要求，符合粉炭使用国家相关防爆要。</w:t>
            </w:r>
          </w:p>
        </w:tc>
      </w:tr>
      <w:tr w14:paraId="2B2E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345ACBFA">
            <w:pPr>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155" w:type="dxa"/>
            <w:vAlign w:val="center"/>
          </w:tcPr>
          <w:p w14:paraId="143CB436">
            <w:pPr>
              <w:spacing w:line="500" w:lineRule="exact"/>
              <w:rPr>
                <w:rFonts w:ascii="宋体" w:hAnsi="宋体" w:cs="宋体"/>
                <w:color w:val="auto"/>
                <w:szCs w:val="21"/>
                <w:highlight w:val="none"/>
              </w:rPr>
            </w:pPr>
            <w:r>
              <w:rPr>
                <w:rFonts w:hint="eastAsia" w:ascii="宋体" w:hAnsi="宋体" w:cs="宋体"/>
                <w:color w:val="auto"/>
                <w:szCs w:val="21"/>
                <w:highlight w:val="none"/>
              </w:rPr>
              <w:t>制备溶解罐</w:t>
            </w:r>
          </w:p>
        </w:tc>
        <w:tc>
          <w:tcPr>
            <w:tcW w:w="1590" w:type="dxa"/>
            <w:vAlign w:val="center"/>
          </w:tcPr>
          <w:p w14:paraId="159EA7F8">
            <w:pPr>
              <w:spacing w:line="500" w:lineRule="exact"/>
              <w:rPr>
                <w:rFonts w:ascii="宋体" w:hAnsi="宋体" w:cs="宋体"/>
                <w:color w:val="auto"/>
                <w:szCs w:val="21"/>
                <w:highlight w:val="none"/>
              </w:rPr>
            </w:pPr>
            <w:r>
              <w:rPr>
                <w:rFonts w:hint="eastAsia" w:ascii="宋体" w:hAnsi="宋体" w:cs="宋体"/>
                <w:color w:val="auto"/>
                <w:szCs w:val="21"/>
                <w:highlight w:val="none"/>
              </w:rPr>
              <w:t>V≥3.5 m</w:t>
            </w:r>
            <w:r>
              <w:rPr>
                <w:rFonts w:hint="eastAsia" w:ascii="宋体" w:hAnsi="宋体" w:cs="宋体"/>
                <w:color w:val="auto"/>
                <w:szCs w:val="21"/>
                <w:highlight w:val="none"/>
                <w:vertAlign w:val="superscript"/>
              </w:rPr>
              <w:t>3</w:t>
            </w:r>
            <w:r>
              <w:rPr>
                <w:rFonts w:hint="eastAsia" w:ascii="宋体" w:hAnsi="宋体" w:cs="宋体"/>
                <w:color w:val="auto"/>
                <w:kern w:val="0"/>
                <w:szCs w:val="21"/>
                <w:highlight w:val="none"/>
              </w:rPr>
              <w:t>，δ=4mm</w:t>
            </w:r>
          </w:p>
        </w:tc>
        <w:tc>
          <w:tcPr>
            <w:tcW w:w="780" w:type="dxa"/>
            <w:vAlign w:val="center"/>
          </w:tcPr>
          <w:p w14:paraId="290F8C47">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45CDBF15">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725" w:type="dxa"/>
            <w:vAlign w:val="center"/>
          </w:tcPr>
          <w:p w14:paraId="73CD84E0">
            <w:pPr>
              <w:spacing w:line="500" w:lineRule="exact"/>
              <w:rPr>
                <w:rFonts w:ascii="宋体" w:hAnsi="宋体" w:cs="宋体"/>
                <w:color w:val="auto"/>
                <w:szCs w:val="21"/>
                <w:highlight w:val="none"/>
              </w:rPr>
            </w:pPr>
            <w:r>
              <w:rPr>
                <w:rFonts w:hint="eastAsia" w:ascii="宋体" w:hAnsi="宋体" w:cs="宋体"/>
                <w:color w:val="auto"/>
                <w:szCs w:val="21"/>
                <w:highlight w:val="none"/>
              </w:rPr>
              <w:t>含制备水及相关阀门、排渣口、除尘、液位计等配套件，其中排渣口口径DN50，安装手动不锈钢法兰球阀。手自动排渣，符合粉炭使用国家相关防爆要求。</w:t>
            </w:r>
          </w:p>
        </w:tc>
      </w:tr>
      <w:tr w14:paraId="1BA1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456D5892">
            <w:pPr>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155" w:type="dxa"/>
            <w:vAlign w:val="center"/>
          </w:tcPr>
          <w:p w14:paraId="556193FC">
            <w:pPr>
              <w:spacing w:line="500" w:lineRule="exact"/>
              <w:rPr>
                <w:rFonts w:ascii="宋体" w:hAnsi="宋体" w:cs="宋体"/>
                <w:color w:val="auto"/>
                <w:szCs w:val="21"/>
                <w:highlight w:val="none"/>
              </w:rPr>
            </w:pPr>
            <w:r>
              <w:rPr>
                <w:rFonts w:hint="eastAsia" w:ascii="宋体" w:hAnsi="宋体" w:cs="宋体"/>
                <w:color w:val="auto"/>
                <w:szCs w:val="21"/>
                <w:highlight w:val="none"/>
              </w:rPr>
              <w:t>储存罐</w:t>
            </w:r>
          </w:p>
        </w:tc>
        <w:tc>
          <w:tcPr>
            <w:tcW w:w="1590" w:type="dxa"/>
            <w:vAlign w:val="center"/>
          </w:tcPr>
          <w:p w14:paraId="71569E98">
            <w:pPr>
              <w:spacing w:line="500" w:lineRule="exact"/>
              <w:rPr>
                <w:rFonts w:ascii="宋体" w:hAnsi="宋体" w:cs="宋体"/>
                <w:color w:val="auto"/>
                <w:szCs w:val="21"/>
                <w:highlight w:val="none"/>
              </w:rPr>
            </w:pPr>
            <w:r>
              <w:rPr>
                <w:rFonts w:hint="eastAsia" w:ascii="宋体" w:hAnsi="宋体" w:cs="宋体"/>
                <w:color w:val="auto"/>
                <w:szCs w:val="21"/>
                <w:highlight w:val="none"/>
              </w:rPr>
              <w:t>V≥3.5 m</w:t>
            </w:r>
            <w:r>
              <w:rPr>
                <w:rFonts w:hint="eastAsia" w:ascii="宋体" w:hAnsi="宋体" w:cs="宋体"/>
                <w:color w:val="auto"/>
                <w:szCs w:val="21"/>
                <w:highlight w:val="none"/>
                <w:vertAlign w:val="superscript"/>
              </w:rPr>
              <w:t>3</w:t>
            </w:r>
            <w:r>
              <w:rPr>
                <w:rFonts w:hint="eastAsia" w:ascii="宋体" w:hAnsi="宋体" w:cs="宋体"/>
                <w:color w:val="auto"/>
                <w:kern w:val="0"/>
                <w:szCs w:val="21"/>
                <w:highlight w:val="none"/>
              </w:rPr>
              <w:t>，δ=4mm</w:t>
            </w:r>
          </w:p>
        </w:tc>
        <w:tc>
          <w:tcPr>
            <w:tcW w:w="780" w:type="dxa"/>
            <w:vAlign w:val="center"/>
          </w:tcPr>
          <w:p w14:paraId="503D38BA">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7C28AB65">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725" w:type="dxa"/>
            <w:vAlign w:val="center"/>
          </w:tcPr>
          <w:p w14:paraId="76AE4F68">
            <w:pPr>
              <w:spacing w:line="500" w:lineRule="exact"/>
              <w:rPr>
                <w:rFonts w:ascii="宋体" w:hAnsi="宋体" w:cs="宋体"/>
                <w:color w:val="auto"/>
                <w:szCs w:val="21"/>
                <w:highlight w:val="none"/>
              </w:rPr>
            </w:pPr>
            <w:r>
              <w:rPr>
                <w:rFonts w:hint="eastAsia" w:ascii="宋体" w:hAnsi="宋体" w:cs="宋体"/>
                <w:color w:val="auto"/>
                <w:szCs w:val="21"/>
                <w:highlight w:val="none"/>
              </w:rPr>
              <w:t>含制备水及相关阀门、排渣口、压力变送器，溢流管，人孔等配套件。</w:t>
            </w:r>
          </w:p>
        </w:tc>
      </w:tr>
      <w:tr w14:paraId="1A56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1474F9A7">
            <w:pPr>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155" w:type="dxa"/>
            <w:vAlign w:val="center"/>
          </w:tcPr>
          <w:p w14:paraId="2D7E56F5">
            <w:pPr>
              <w:spacing w:line="500" w:lineRule="exact"/>
              <w:rPr>
                <w:rFonts w:ascii="宋体" w:hAnsi="宋体" w:cs="宋体"/>
                <w:color w:val="auto"/>
                <w:szCs w:val="21"/>
                <w:highlight w:val="none"/>
              </w:rPr>
            </w:pPr>
            <w:r>
              <w:rPr>
                <w:rFonts w:hint="eastAsia" w:ascii="宋体" w:hAnsi="宋体" w:cs="宋体"/>
                <w:color w:val="auto"/>
                <w:szCs w:val="21"/>
                <w:highlight w:val="none"/>
              </w:rPr>
              <w:t>搅拌机</w:t>
            </w:r>
          </w:p>
        </w:tc>
        <w:tc>
          <w:tcPr>
            <w:tcW w:w="1590" w:type="dxa"/>
            <w:vAlign w:val="center"/>
          </w:tcPr>
          <w:p w14:paraId="6A7D5DE0">
            <w:pPr>
              <w:spacing w:line="500" w:lineRule="exact"/>
              <w:rPr>
                <w:rFonts w:ascii="宋体" w:hAnsi="宋体" w:cs="宋体"/>
                <w:color w:val="auto"/>
                <w:szCs w:val="21"/>
                <w:highlight w:val="none"/>
              </w:rPr>
            </w:pPr>
            <w:r>
              <w:rPr>
                <w:rFonts w:hint="eastAsia" w:ascii="宋体" w:hAnsi="宋体" w:cs="宋体"/>
                <w:color w:val="auto"/>
                <w:szCs w:val="21"/>
                <w:highlight w:val="none"/>
              </w:rPr>
              <w:t>1.1KW</w:t>
            </w:r>
          </w:p>
        </w:tc>
        <w:tc>
          <w:tcPr>
            <w:tcW w:w="780" w:type="dxa"/>
            <w:vAlign w:val="center"/>
          </w:tcPr>
          <w:p w14:paraId="4147C744">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380" w:type="dxa"/>
            <w:vAlign w:val="center"/>
          </w:tcPr>
          <w:p w14:paraId="2AADBD68">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725" w:type="dxa"/>
            <w:vAlign w:val="center"/>
          </w:tcPr>
          <w:p w14:paraId="49350C5D">
            <w:pPr>
              <w:spacing w:line="500" w:lineRule="exact"/>
              <w:rPr>
                <w:rFonts w:ascii="宋体" w:hAnsi="宋体" w:cs="宋体"/>
                <w:color w:val="auto"/>
                <w:szCs w:val="21"/>
                <w:highlight w:val="none"/>
              </w:rPr>
            </w:pPr>
            <w:r>
              <w:rPr>
                <w:rFonts w:hint="eastAsia" w:ascii="宋体" w:hAnsi="宋体" w:cs="宋体"/>
                <w:color w:val="auto"/>
                <w:szCs w:val="21"/>
                <w:highlight w:val="none"/>
              </w:rPr>
              <w:t>采用SEW、Nord、</w:t>
            </w:r>
            <w:r>
              <w:rPr>
                <w:rFonts w:hint="eastAsia" w:ascii="宋体" w:hAnsi="宋体" w:cs="宋体"/>
                <w:color w:val="auto"/>
                <w:spacing w:val="8"/>
                <w:szCs w:val="21"/>
                <w:highlight w:val="none"/>
              </w:rPr>
              <w:t>Flender</w:t>
            </w:r>
            <w:r>
              <w:rPr>
                <w:rFonts w:hint="eastAsia" w:ascii="宋体" w:hAnsi="宋体" w:cs="宋体"/>
                <w:color w:val="auto"/>
                <w:szCs w:val="21"/>
                <w:highlight w:val="none"/>
              </w:rPr>
              <w:t>或同档次及以上品牌减速机，其中2台安装在制备罐上。</w:t>
            </w:r>
          </w:p>
        </w:tc>
      </w:tr>
      <w:tr w14:paraId="4DBA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0509A507">
            <w:pPr>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155" w:type="dxa"/>
            <w:vAlign w:val="center"/>
          </w:tcPr>
          <w:p w14:paraId="652BA478">
            <w:pPr>
              <w:spacing w:line="500" w:lineRule="exact"/>
              <w:rPr>
                <w:rFonts w:ascii="宋体" w:hAnsi="宋体" w:cs="宋体"/>
                <w:color w:val="auto"/>
                <w:szCs w:val="21"/>
                <w:highlight w:val="none"/>
              </w:rPr>
            </w:pPr>
            <w:r>
              <w:rPr>
                <w:rFonts w:hint="eastAsia" w:ascii="宋体" w:hAnsi="宋体" w:cs="宋体"/>
                <w:color w:val="auto"/>
                <w:szCs w:val="21"/>
                <w:highlight w:val="none"/>
              </w:rPr>
              <w:t>制备溶解罐负压除尘器</w:t>
            </w:r>
          </w:p>
        </w:tc>
        <w:tc>
          <w:tcPr>
            <w:tcW w:w="1590" w:type="dxa"/>
            <w:vAlign w:val="center"/>
          </w:tcPr>
          <w:p w14:paraId="70BCCD62">
            <w:pPr>
              <w:spacing w:line="500" w:lineRule="exact"/>
              <w:rPr>
                <w:rFonts w:ascii="宋体" w:hAnsi="宋体" w:cs="宋体"/>
                <w:color w:val="auto"/>
                <w:szCs w:val="21"/>
                <w:highlight w:val="none"/>
              </w:rPr>
            </w:pPr>
            <w:r>
              <w:rPr>
                <w:rFonts w:hint="eastAsia" w:ascii="宋体" w:hAnsi="宋体" w:cs="宋体"/>
                <w:color w:val="auto"/>
                <w:szCs w:val="21"/>
                <w:highlight w:val="none"/>
              </w:rPr>
              <w:t>水控，双级除尘</w:t>
            </w:r>
          </w:p>
        </w:tc>
        <w:tc>
          <w:tcPr>
            <w:tcW w:w="780" w:type="dxa"/>
            <w:vAlign w:val="center"/>
          </w:tcPr>
          <w:p w14:paraId="42D7264C">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380" w:type="dxa"/>
            <w:vAlign w:val="center"/>
          </w:tcPr>
          <w:p w14:paraId="24F74F31">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725" w:type="dxa"/>
            <w:vAlign w:val="center"/>
          </w:tcPr>
          <w:p w14:paraId="0410AEA3">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w:t>
            </w:r>
          </w:p>
        </w:tc>
      </w:tr>
      <w:tr w14:paraId="6EC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Align w:val="center"/>
          </w:tcPr>
          <w:p w14:paraId="4A696922">
            <w:pPr>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155" w:type="dxa"/>
            <w:vAlign w:val="center"/>
          </w:tcPr>
          <w:p w14:paraId="26CBDA68">
            <w:pPr>
              <w:spacing w:line="500" w:lineRule="exact"/>
              <w:rPr>
                <w:rFonts w:ascii="宋体" w:hAnsi="宋体" w:cs="宋体"/>
                <w:color w:val="auto"/>
                <w:szCs w:val="21"/>
                <w:highlight w:val="none"/>
              </w:rPr>
            </w:pPr>
            <w:r>
              <w:rPr>
                <w:rFonts w:hint="eastAsia" w:ascii="宋体" w:hAnsi="宋体" w:cs="宋体"/>
                <w:color w:val="auto"/>
                <w:szCs w:val="21"/>
                <w:highlight w:val="none"/>
              </w:rPr>
              <w:t>电磁流量计</w:t>
            </w:r>
          </w:p>
        </w:tc>
        <w:tc>
          <w:tcPr>
            <w:tcW w:w="1590" w:type="dxa"/>
            <w:vAlign w:val="center"/>
          </w:tcPr>
          <w:p w14:paraId="3B31D9AF">
            <w:pPr>
              <w:spacing w:line="500" w:lineRule="exact"/>
              <w:rPr>
                <w:rFonts w:ascii="宋体" w:hAnsi="宋体" w:cs="宋体"/>
                <w:color w:val="auto"/>
                <w:szCs w:val="21"/>
                <w:highlight w:val="none"/>
              </w:rPr>
            </w:pPr>
            <w:r>
              <w:rPr>
                <w:rFonts w:hint="eastAsia" w:ascii="宋体" w:hAnsi="宋体" w:cs="宋体"/>
                <w:color w:val="auto"/>
                <w:szCs w:val="21"/>
                <w:highlight w:val="none"/>
              </w:rPr>
              <w:t>DN40</w:t>
            </w:r>
          </w:p>
        </w:tc>
        <w:tc>
          <w:tcPr>
            <w:tcW w:w="780" w:type="dxa"/>
            <w:vAlign w:val="center"/>
          </w:tcPr>
          <w:p w14:paraId="45DF0179">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2F458761">
            <w:pPr>
              <w:spacing w:line="500" w:lineRule="exact"/>
              <w:rPr>
                <w:rFonts w:ascii="宋体" w:hAnsi="宋体" w:cs="宋体"/>
                <w:color w:val="auto"/>
                <w:szCs w:val="21"/>
                <w:highlight w:val="none"/>
              </w:rPr>
            </w:pPr>
          </w:p>
        </w:tc>
        <w:tc>
          <w:tcPr>
            <w:tcW w:w="4725" w:type="dxa"/>
            <w:vAlign w:val="center"/>
          </w:tcPr>
          <w:p w14:paraId="3952AF28">
            <w:pPr>
              <w:pStyle w:val="9"/>
              <w:spacing w:line="500" w:lineRule="exact"/>
              <w:rPr>
                <w:rFonts w:ascii="宋体" w:hAnsi="宋体" w:cs="宋体"/>
                <w:color w:val="auto"/>
                <w:szCs w:val="21"/>
                <w:highlight w:val="none"/>
              </w:rPr>
            </w:pPr>
            <w:r>
              <w:rPr>
                <w:rFonts w:hint="eastAsia" w:ascii="宋体" w:hAnsi="宋体" w:cs="宋体"/>
                <w:color w:val="auto"/>
                <w:szCs w:val="21"/>
                <w:highlight w:val="none"/>
              </w:rPr>
              <w:t>用于溶液配置用自来水计量，需满足溶液罐在出药情况下配水的时间不宜过长,需配备稳压阀、压力表电动阀门等附件。E+H、科隆、西门子或同档次及以上品牌。</w:t>
            </w:r>
          </w:p>
        </w:tc>
      </w:tr>
      <w:tr w14:paraId="19A2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5AE24451">
            <w:pPr>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1155" w:type="dxa"/>
            <w:vAlign w:val="center"/>
          </w:tcPr>
          <w:p w14:paraId="66C58A0C">
            <w:pPr>
              <w:spacing w:line="500" w:lineRule="exact"/>
              <w:rPr>
                <w:rFonts w:ascii="宋体" w:hAnsi="宋体" w:cs="宋体"/>
                <w:color w:val="auto"/>
                <w:szCs w:val="21"/>
                <w:highlight w:val="none"/>
              </w:rPr>
            </w:pPr>
            <w:r>
              <w:rPr>
                <w:rFonts w:hint="eastAsia" w:ascii="宋体" w:hAnsi="宋体" w:cs="宋体"/>
                <w:color w:val="auto"/>
                <w:szCs w:val="21"/>
                <w:highlight w:val="none"/>
              </w:rPr>
              <w:t>耐磨离心泵</w:t>
            </w:r>
          </w:p>
        </w:tc>
        <w:tc>
          <w:tcPr>
            <w:tcW w:w="1590" w:type="dxa"/>
            <w:vAlign w:val="center"/>
          </w:tcPr>
          <w:p w14:paraId="6AC3B19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Q=4.5m³，H=3bar</w:t>
            </w:r>
          </w:p>
        </w:tc>
        <w:tc>
          <w:tcPr>
            <w:tcW w:w="780" w:type="dxa"/>
            <w:vAlign w:val="center"/>
          </w:tcPr>
          <w:p w14:paraId="03314B4C">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380" w:type="dxa"/>
            <w:vAlign w:val="center"/>
          </w:tcPr>
          <w:p w14:paraId="59413146">
            <w:pPr>
              <w:spacing w:line="500" w:lineRule="exact"/>
              <w:rPr>
                <w:rFonts w:ascii="宋体" w:hAnsi="宋体" w:cs="宋体"/>
                <w:color w:val="auto"/>
                <w:szCs w:val="21"/>
                <w:highlight w:val="none"/>
              </w:rPr>
            </w:pPr>
          </w:p>
        </w:tc>
        <w:tc>
          <w:tcPr>
            <w:tcW w:w="4725" w:type="dxa"/>
            <w:vAlign w:val="center"/>
          </w:tcPr>
          <w:p w14:paraId="386ADE1D">
            <w:pPr>
              <w:spacing w:line="500" w:lineRule="exact"/>
              <w:rPr>
                <w:rFonts w:ascii="宋体" w:hAnsi="宋体" w:cs="宋体"/>
                <w:color w:val="auto"/>
                <w:szCs w:val="21"/>
                <w:highlight w:val="none"/>
              </w:rPr>
            </w:pPr>
            <w:r>
              <w:rPr>
                <w:rFonts w:hint="eastAsia" w:ascii="宋体" w:hAnsi="宋体" w:cs="宋体"/>
                <w:color w:val="auto"/>
                <w:szCs w:val="21"/>
                <w:highlight w:val="none"/>
              </w:rPr>
              <w:t>南方、东方、凯泉或同档次品牌，变频调节，包括密封冲洗及管路冲洗装置。其中配套电机必须为变频专用电机。</w:t>
            </w:r>
          </w:p>
        </w:tc>
      </w:tr>
      <w:tr w14:paraId="605E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90" w:type="dxa"/>
            <w:vAlign w:val="center"/>
          </w:tcPr>
          <w:p w14:paraId="5219C5FA">
            <w:pPr>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155" w:type="dxa"/>
            <w:vAlign w:val="center"/>
          </w:tcPr>
          <w:p w14:paraId="3B35FFAE">
            <w:pPr>
              <w:spacing w:line="500" w:lineRule="exact"/>
              <w:rPr>
                <w:rFonts w:ascii="宋体" w:hAnsi="宋体" w:cs="宋体"/>
                <w:color w:val="auto"/>
                <w:szCs w:val="21"/>
                <w:highlight w:val="none"/>
              </w:rPr>
            </w:pPr>
            <w:r>
              <w:rPr>
                <w:rFonts w:hint="eastAsia" w:ascii="宋体" w:hAnsi="宋体" w:cs="宋体"/>
                <w:color w:val="auto"/>
                <w:szCs w:val="21"/>
                <w:highlight w:val="none"/>
              </w:rPr>
              <w:t>电接点压力表</w:t>
            </w:r>
          </w:p>
        </w:tc>
        <w:tc>
          <w:tcPr>
            <w:tcW w:w="1590" w:type="dxa"/>
            <w:vAlign w:val="center"/>
          </w:tcPr>
          <w:p w14:paraId="1B968F51">
            <w:pPr>
              <w:spacing w:line="500" w:lineRule="exact"/>
              <w:rPr>
                <w:rFonts w:ascii="宋体" w:hAnsi="宋体" w:cs="宋体"/>
                <w:color w:val="auto"/>
                <w:szCs w:val="21"/>
                <w:highlight w:val="none"/>
              </w:rPr>
            </w:pPr>
            <w:r>
              <w:rPr>
                <w:rFonts w:hint="eastAsia" w:ascii="宋体" w:hAnsi="宋体" w:cs="宋体"/>
                <w:color w:val="auto"/>
                <w:szCs w:val="21"/>
                <w:highlight w:val="none"/>
              </w:rPr>
              <w:t>0-1.0Mpa</w:t>
            </w:r>
          </w:p>
        </w:tc>
        <w:tc>
          <w:tcPr>
            <w:tcW w:w="780" w:type="dxa"/>
            <w:vAlign w:val="center"/>
          </w:tcPr>
          <w:p w14:paraId="24545B16">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380" w:type="dxa"/>
            <w:vAlign w:val="center"/>
          </w:tcPr>
          <w:p w14:paraId="1B7F64D0">
            <w:pPr>
              <w:spacing w:line="500" w:lineRule="exact"/>
              <w:rPr>
                <w:rFonts w:ascii="宋体" w:hAnsi="宋体" w:cs="宋体"/>
                <w:color w:val="auto"/>
                <w:szCs w:val="21"/>
                <w:highlight w:val="none"/>
              </w:rPr>
            </w:pPr>
          </w:p>
        </w:tc>
        <w:tc>
          <w:tcPr>
            <w:tcW w:w="4725" w:type="dxa"/>
            <w:vAlign w:val="center"/>
          </w:tcPr>
          <w:p w14:paraId="108EC92F">
            <w:pPr>
              <w:spacing w:line="500" w:lineRule="exact"/>
              <w:rPr>
                <w:rFonts w:ascii="宋体" w:hAnsi="宋体" w:cs="宋体"/>
                <w:color w:val="auto"/>
                <w:szCs w:val="21"/>
                <w:highlight w:val="none"/>
              </w:rPr>
            </w:pPr>
            <w:r>
              <w:rPr>
                <w:rFonts w:hint="eastAsia" w:ascii="宋体" w:hAnsi="宋体" w:cs="宋体"/>
                <w:color w:val="auto"/>
                <w:szCs w:val="21"/>
                <w:highlight w:val="none"/>
              </w:rPr>
              <w:t>用于泵出口高压停泵，要求每个投加泵后配备一套。</w:t>
            </w:r>
          </w:p>
        </w:tc>
      </w:tr>
      <w:tr w14:paraId="0B8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0" w:type="dxa"/>
            <w:vAlign w:val="center"/>
          </w:tcPr>
          <w:p w14:paraId="5271CFD9">
            <w:pPr>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1155" w:type="dxa"/>
            <w:vAlign w:val="center"/>
          </w:tcPr>
          <w:p w14:paraId="61FEFB0F">
            <w:pPr>
              <w:spacing w:line="500" w:lineRule="exact"/>
              <w:rPr>
                <w:rFonts w:ascii="宋体" w:hAnsi="宋体" w:cs="宋体"/>
                <w:color w:val="auto"/>
                <w:szCs w:val="21"/>
                <w:highlight w:val="none"/>
              </w:rPr>
            </w:pPr>
            <w:r>
              <w:rPr>
                <w:rFonts w:hint="eastAsia" w:ascii="宋体" w:hAnsi="宋体" w:cs="宋体"/>
                <w:color w:val="auto"/>
                <w:szCs w:val="21"/>
                <w:highlight w:val="none"/>
              </w:rPr>
              <w:t>电磁流量计</w:t>
            </w:r>
          </w:p>
        </w:tc>
        <w:tc>
          <w:tcPr>
            <w:tcW w:w="1590" w:type="dxa"/>
            <w:vAlign w:val="center"/>
          </w:tcPr>
          <w:p w14:paraId="78552B2C">
            <w:pPr>
              <w:spacing w:line="500" w:lineRule="exact"/>
              <w:rPr>
                <w:rFonts w:ascii="宋体" w:hAnsi="宋体" w:cs="宋体"/>
                <w:color w:val="auto"/>
                <w:szCs w:val="21"/>
                <w:highlight w:val="none"/>
              </w:rPr>
            </w:pPr>
            <w:r>
              <w:rPr>
                <w:rFonts w:hint="eastAsia" w:ascii="宋体" w:hAnsi="宋体" w:cs="宋体"/>
                <w:color w:val="auto"/>
                <w:szCs w:val="21"/>
                <w:highlight w:val="none"/>
              </w:rPr>
              <w:t>DN40</w:t>
            </w:r>
          </w:p>
        </w:tc>
        <w:tc>
          <w:tcPr>
            <w:tcW w:w="780" w:type="dxa"/>
            <w:vAlign w:val="center"/>
          </w:tcPr>
          <w:p w14:paraId="02E351D8">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380" w:type="dxa"/>
            <w:vAlign w:val="center"/>
          </w:tcPr>
          <w:p w14:paraId="18EB512C">
            <w:pPr>
              <w:spacing w:line="500" w:lineRule="exact"/>
              <w:ind w:left="420" w:leftChars="200"/>
              <w:jc w:val="center"/>
              <w:rPr>
                <w:rFonts w:ascii="宋体" w:hAnsi="宋体" w:cs="宋体"/>
                <w:color w:val="auto"/>
                <w:szCs w:val="21"/>
                <w:highlight w:val="none"/>
              </w:rPr>
            </w:pPr>
          </w:p>
        </w:tc>
        <w:tc>
          <w:tcPr>
            <w:tcW w:w="4725" w:type="dxa"/>
            <w:vAlign w:val="center"/>
          </w:tcPr>
          <w:p w14:paraId="04911E4A">
            <w:pPr>
              <w:spacing w:line="500" w:lineRule="exact"/>
              <w:rPr>
                <w:rFonts w:ascii="宋体" w:hAnsi="宋体" w:cs="宋体"/>
                <w:color w:val="auto"/>
                <w:szCs w:val="21"/>
                <w:highlight w:val="none"/>
              </w:rPr>
            </w:pPr>
            <w:r>
              <w:rPr>
                <w:rFonts w:hint="eastAsia" w:ascii="宋体" w:hAnsi="宋体" w:cs="宋体"/>
                <w:color w:val="auto"/>
                <w:szCs w:val="21"/>
                <w:highlight w:val="none"/>
              </w:rPr>
              <w:t>用于投加泵投加管路， E+H、科隆、西门子或同档次及以上品牌。</w:t>
            </w:r>
          </w:p>
        </w:tc>
      </w:tr>
      <w:tr w14:paraId="3F4F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90" w:type="dxa"/>
            <w:vAlign w:val="center"/>
          </w:tcPr>
          <w:p w14:paraId="2EAF1735">
            <w:pPr>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1155" w:type="dxa"/>
            <w:vAlign w:val="center"/>
          </w:tcPr>
          <w:p w14:paraId="6A0AB952">
            <w:pPr>
              <w:spacing w:line="500" w:lineRule="exact"/>
              <w:rPr>
                <w:rFonts w:ascii="宋体" w:hAnsi="宋体" w:cs="宋体"/>
                <w:color w:val="auto"/>
                <w:szCs w:val="21"/>
                <w:highlight w:val="none"/>
              </w:rPr>
            </w:pPr>
            <w:r>
              <w:rPr>
                <w:rFonts w:hint="eastAsia" w:ascii="宋体" w:hAnsi="宋体" w:cs="宋体"/>
                <w:color w:val="auto"/>
                <w:szCs w:val="21"/>
                <w:highlight w:val="none"/>
              </w:rPr>
              <w:t>管路及阀门</w:t>
            </w:r>
          </w:p>
        </w:tc>
        <w:tc>
          <w:tcPr>
            <w:tcW w:w="1590" w:type="dxa"/>
            <w:vAlign w:val="center"/>
          </w:tcPr>
          <w:p w14:paraId="037304AF">
            <w:pPr>
              <w:spacing w:line="500" w:lineRule="exact"/>
              <w:rPr>
                <w:rFonts w:ascii="宋体" w:hAnsi="宋体" w:cs="宋体"/>
                <w:color w:val="auto"/>
                <w:szCs w:val="21"/>
                <w:highlight w:val="none"/>
              </w:rPr>
            </w:pPr>
            <w:r>
              <w:rPr>
                <w:rFonts w:hint="eastAsia" w:ascii="宋体" w:hAnsi="宋体" w:cs="宋体"/>
                <w:color w:val="auto"/>
                <w:szCs w:val="21"/>
                <w:highlight w:val="none"/>
              </w:rPr>
              <w:t>DN25-DN100</w:t>
            </w:r>
          </w:p>
        </w:tc>
        <w:tc>
          <w:tcPr>
            <w:tcW w:w="780" w:type="dxa"/>
            <w:vAlign w:val="center"/>
          </w:tcPr>
          <w:p w14:paraId="52F551CE">
            <w:pPr>
              <w:spacing w:line="500" w:lineRule="exact"/>
              <w:rPr>
                <w:rFonts w:ascii="宋体" w:hAnsi="宋体" w:cs="宋体"/>
                <w:color w:val="auto"/>
                <w:szCs w:val="21"/>
                <w:highlight w:val="none"/>
              </w:rPr>
            </w:pPr>
            <w:r>
              <w:rPr>
                <w:rFonts w:hint="eastAsia" w:ascii="宋体" w:hAnsi="宋体" w:cs="宋体"/>
                <w:color w:val="auto"/>
                <w:szCs w:val="21"/>
                <w:highlight w:val="none"/>
              </w:rPr>
              <w:t>1批</w:t>
            </w:r>
          </w:p>
        </w:tc>
        <w:tc>
          <w:tcPr>
            <w:tcW w:w="1380" w:type="dxa"/>
            <w:vAlign w:val="center"/>
          </w:tcPr>
          <w:p w14:paraId="278249B6">
            <w:pPr>
              <w:spacing w:line="500" w:lineRule="exact"/>
              <w:rPr>
                <w:rFonts w:ascii="宋体" w:hAnsi="宋体" w:cs="宋体"/>
                <w:color w:val="auto"/>
                <w:szCs w:val="21"/>
                <w:highlight w:val="none"/>
              </w:rPr>
            </w:pPr>
            <w:r>
              <w:rPr>
                <w:rFonts w:hint="eastAsia" w:ascii="宋体" w:hAnsi="宋体" w:cs="宋体"/>
                <w:color w:val="auto"/>
                <w:szCs w:val="21"/>
                <w:highlight w:val="none"/>
              </w:rPr>
              <w:t>UPVC</w:t>
            </w:r>
          </w:p>
        </w:tc>
        <w:tc>
          <w:tcPr>
            <w:tcW w:w="4725" w:type="dxa"/>
            <w:vAlign w:val="center"/>
          </w:tcPr>
          <w:p w14:paraId="34EC99DC">
            <w:pPr>
              <w:spacing w:line="500" w:lineRule="exact"/>
              <w:rPr>
                <w:rFonts w:ascii="宋体" w:hAnsi="宋体" w:cs="宋体"/>
                <w:color w:val="auto"/>
                <w:szCs w:val="21"/>
                <w:highlight w:val="none"/>
              </w:rPr>
            </w:pPr>
            <w:r>
              <w:rPr>
                <w:rFonts w:hint="eastAsia" w:ascii="宋体" w:hAnsi="宋体" w:cs="宋体"/>
                <w:color w:val="auto"/>
                <w:szCs w:val="21"/>
                <w:highlight w:val="none"/>
              </w:rPr>
              <w:t>投加泵出口阀门后至投加点的管材采用内UPVC材质</w:t>
            </w:r>
          </w:p>
        </w:tc>
      </w:tr>
      <w:tr w14:paraId="19E0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0" w:type="dxa"/>
            <w:vAlign w:val="center"/>
          </w:tcPr>
          <w:p w14:paraId="331A4ECE">
            <w:pPr>
              <w:spacing w:line="500" w:lineRule="exact"/>
              <w:rPr>
                <w:rFonts w:ascii="宋体" w:hAnsi="宋体" w:cs="宋体"/>
                <w:color w:val="auto"/>
                <w:szCs w:val="21"/>
                <w:highlight w:val="none"/>
              </w:rPr>
            </w:pPr>
            <w:r>
              <w:rPr>
                <w:rFonts w:hint="eastAsia" w:ascii="宋体" w:hAnsi="宋体" w:cs="宋体"/>
                <w:color w:val="auto"/>
                <w:szCs w:val="21"/>
                <w:highlight w:val="none"/>
              </w:rPr>
              <w:t>19</w:t>
            </w:r>
          </w:p>
        </w:tc>
        <w:tc>
          <w:tcPr>
            <w:tcW w:w="1155" w:type="dxa"/>
            <w:vAlign w:val="center"/>
          </w:tcPr>
          <w:p w14:paraId="741BD58A">
            <w:pPr>
              <w:spacing w:line="500" w:lineRule="exact"/>
              <w:rPr>
                <w:rFonts w:ascii="宋体" w:hAnsi="宋体" w:cs="宋体"/>
                <w:color w:val="auto"/>
                <w:szCs w:val="21"/>
                <w:highlight w:val="none"/>
              </w:rPr>
            </w:pPr>
            <w:r>
              <w:rPr>
                <w:rFonts w:hint="eastAsia" w:ascii="宋体" w:hAnsi="宋体" w:cs="宋体"/>
                <w:color w:val="auto"/>
                <w:szCs w:val="21"/>
                <w:highlight w:val="none"/>
              </w:rPr>
              <w:t>空压机系统</w:t>
            </w:r>
          </w:p>
        </w:tc>
        <w:tc>
          <w:tcPr>
            <w:tcW w:w="1590" w:type="dxa"/>
            <w:vAlign w:val="center"/>
          </w:tcPr>
          <w:p w14:paraId="0AEE85D6">
            <w:pPr>
              <w:spacing w:line="500" w:lineRule="exact"/>
              <w:jc w:val="left"/>
              <w:rPr>
                <w:rFonts w:ascii="宋体" w:hAnsi="宋体" w:cs="宋体"/>
                <w:color w:val="auto"/>
                <w:szCs w:val="21"/>
                <w:highlight w:val="none"/>
              </w:rPr>
            </w:pPr>
            <w:r>
              <w:rPr>
                <w:rFonts w:hint="eastAsia" w:ascii="宋体" w:hAnsi="宋体" w:cs="宋体"/>
                <w:color w:val="auto"/>
                <w:spacing w:val="8"/>
                <w:szCs w:val="21"/>
                <w:highlight w:val="none"/>
              </w:rPr>
              <w:t>排气量&gt;0.67m</w:t>
            </w:r>
            <w:r>
              <w:rPr>
                <w:rFonts w:hint="eastAsia" w:ascii="宋体" w:hAnsi="宋体" w:cs="宋体"/>
                <w:color w:val="auto"/>
                <w:spacing w:val="8"/>
                <w:szCs w:val="21"/>
                <w:highlight w:val="none"/>
                <w:vertAlign w:val="superscript"/>
              </w:rPr>
              <w:t>3</w:t>
            </w:r>
            <w:r>
              <w:rPr>
                <w:rFonts w:hint="eastAsia" w:ascii="宋体" w:hAnsi="宋体" w:cs="宋体"/>
                <w:color w:val="auto"/>
                <w:spacing w:val="8"/>
                <w:szCs w:val="21"/>
                <w:highlight w:val="none"/>
              </w:rPr>
              <w:t>/min     最高工作压力 8bar。</w:t>
            </w:r>
          </w:p>
        </w:tc>
        <w:tc>
          <w:tcPr>
            <w:tcW w:w="780" w:type="dxa"/>
            <w:vAlign w:val="center"/>
          </w:tcPr>
          <w:p w14:paraId="3934FD4D">
            <w:pPr>
              <w:spacing w:line="500" w:lineRule="exact"/>
              <w:ind w:left="420" w:leftChars="200"/>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3022EE99">
            <w:pPr>
              <w:spacing w:line="500" w:lineRule="exact"/>
              <w:ind w:left="420" w:leftChars="200" w:firstLine="420"/>
              <w:jc w:val="center"/>
              <w:rPr>
                <w:rFonts w:ascii="宋体" w:hAnsi="宋体" w:cs="宋体"/>
                <w:color w:val="auto"/>
                <w:szCs w:val="21"/>
                <w:highlight w:val="none"/>
              </w:rPr>
            </w:pPr>
          </w:p>
        </w:tc>
        <w:tc>
          <w:tcPr>
            <w:tcW w:w="4725" w:type="dxa"/>
            <w:vAlign w:val="center"/>
          </w:tcPr>
          <w:p w14:paraId="6E0D4422">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空压机采用活塞结构形式，推荐寿力、复盛、阿特拉斯或同档次及以上品牌；管路要求配套冷冻式干燥机、相应2级过滤器、储气罐1个、，配套自动排水器；室外配套气路管道必须采用不锈钢或铜管。 </w:t>
            </w:r>
          </w:p>
        </w:tc>
      </w:tr>
      <w:tr w14:paraId="2A6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11D15B53">
            <w:pPr>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1155" w:type="dxa"/>
            <w:vAlign w:val="center"/>
          </w:tcPr>
          <w:p w14:paraId="3A0D9219">
            <w:pPr>
              <w:spacing w:line="500" w:lineRule="exact"/>
              <w:rPr>
                <w:rFonts w:ascii="宋体" w:hAnsi="宋体" w:cs="宋体"/>
                <w:color w:val="auto"/>
                <w:szCs w:val="21"/>
                <w:highlight w:val="none"/>
              </w:rPr>
            </w:pPr>
            <w:r>
              <w:rPr>
                <w:rFonts w:hint="eastAsia" w:ascii="宋体" w:hAnsi="宋体" w:cs="宋体"/>
                <w:color w:val="auto"/>
                <w:szCs w:val="21"/>
                <w:highlight w:val="none"/>
              </w:rPr>
              <w:t>增压泵</w:t>
            </w:r>
          </w:p>
        </w:tc>
        <w:tc>
          <w:tcPr>
            <w:tcW w:w="1590" w:type="dxa"/>
            <w:vAlign w:val="center"/>
          </w:tcPr>
          <w:p w14:paraId="52F1E8F0">
            <w:pPr>
              <w:spacing w:line="500" w:lineRule="exact"/>
              <w:rPr>
                <w:rFonts w:ascii="宋体" w:hAnsi="宋体" w:cs="宋体"/>
                <w:color w:val="auto"/>
                <w:szCs w:val="21"/>
                <w:highlight w:val="none"/>
              </w:rPr>
            </w:pPr>
            <w:r>
              <w:rPr>
                <w:rFonts w:hint="eastAsia" w:ascii="宋体" w:hAnsi="宋体" w:cs="宋体"/>
                <w:color w:val="auto"/>
                <w:szCs w:val="21"/>
                <w:highlight w:val="none"/>
              </w:rPr>
              <w:t>Q=12m³，H=3bar</w:t>
            </w:r>
          </w:p>
        </w:tc>
        <w:tc>
          <w:tcPr>
            <w:tcW w:w="780" w:type="dxa"/>
            <w:vAlign w:val="center"/>
          </w:tcPr>
          <w:p w14:paraId="7A6C4BD7">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380" w:type="dxa"/>
            <w:vAlign w:val="center"/>
          </w:tcPr>
          <w:p w14:paraId="1E75B8A0">
            <w:pPr>
              <w:spacing w:line="500" w:lineRule="exact"/>
              <w:ind w:left="420" w:leftChars="200" w:firstLine="420"/>
              <w:jc w:val="center"/>
              <w:rPr>
                <w:rFonts w:ascii="宋体" w:hAnsi="宋体" w:cs="宋体"/>
                <w:color w:val="auto"/>
                <w:szCs w:val="21"/>
                <w:highlight w:val="none"/>
              </w:rPr>
            </w:pPr>
          </w:p>
        </w:tc>
        <w:tc>
          <w:tcPr>
            <w:tcW w:w="4725" w:type="dxa"/>
            <w:vAlign w:val="center"/>
          </w:tcPr>
          <w:p w14:paraId="247003C0">
            <w:pPr>
              <w:spacing w:line="500" w:lineRule="exact"/>
              <w:rPr>
                <w:rFonts w:ascii="宋体" w:hAnsi="宋体" w:cs="宋体"/>
                <w:color w:val="auto"/>
                <w:szCs w:val="21"/>
                <w:highlight w:val="none"/>
              </w:rPr>
            </w:pPr>
            <w:r>
              <w:rPr>
                <w:rFonts w:hint="eastAsia" w:ascii="宋体" w:hAnsi="宋体" w:cs="宋体"/>
                <w:color w:val="auto"/>
                <w:szCs w:val="21"/>
                <w:highlight w:val="none"/>
              </w:rPr>
              <w:t>用于冲洗管路、配水，采用立式离心泵形式，推荐格兰富、东方、南方同档次及以上品牌，包括相关配套手动切换阀门，压力表等。</w:t>
            </w:r>
          </w:p>
        </w:tc>
      </w:tr>
      <w:tr w14:paraId="737E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5EA75ABF">
            <w:pPr>
              <w:spacing w:line="500" w:lineRule="exact"/>
              <w:rPr>
                <w:rFonts w:ascii="宋体" w:hAnsi="宋体" w:cs="宋体"/>
                <w:color w:val="auto"/>
                <w:szCs w:val="21"/>
                <w:highlight w:val="none"/>
              </w:rPr>
            </w:pPr>
            <w:r>
              <w:rPr>
                <w:rFonts w:hint="eastAsia" w:ascii="宋体" w:hAnsi="宋体" w:cs="宋体"/>
                <w:color w:val="auto"/>
                <w:szCs w:val="21"/>
                <w:highlight w:val="none"/>
              </w:rPr>
              <w:t>21</w:t>
            </w:r>
          </w:p>
        </w:tc>
        <w:tc>
          <w:tcPr>
            <w:tcW w:w="1155" w:type="dxa"/>
            <w:vAlign w:val="center"/>
          </w:tcPr>
          <w:p w14:paraId="2251FC29">
            <w:pPr>
              <w:spacing w:line="500" w:lineRule="exact"/>
              <w:rPr>
                <w:rFonts w:ascii="宋体" w:hAnsi="宋体" w:cs="宋体"/>
                <w:color w:val="auto"/>
                <w:szCs w:val="21"/>
                <w:highlight w:val="none"/>
              </w:rPr>
            </w:pPr>
            <w:r>
              <w:rPr>
                <w:rFonts w:hint="eastAsia" w:ascii="宋体" w:hAnsi="宋体" w:cs="宋体"/>
                <w:color w:val="auto"/>
                <w:szCs w:val="21"/>
                <w:highlight w:val="none"/>
              </w:rPr>
              <w:t>控制系统</w:t>
            </w:r>
          </w:p>
        </w:tc>
        <w:tc>
          <w:tcPr>
            <w:tcW w:w="1590" w:type="dxa"/>
            <w:vAlign w:val="center"/>
          </w:tcPr>
          <w:p w14:paraId="35EA3E03">
            <w:pPr>
              <w:spacing w:line="500" w:lineRule="exact"/>
              <w:rPr>
                <w:rFonts w:ascii="宋体" w:hAnsi="宋体" w:cs="宋体"/>
                <w:color w:val="auto"/>
                <w:szCs w:val="21"/>
                <w:highlight w:val="none"/>
              </w:rPr>
            </w:pPr>
          </w:p>
        </w:tc>
        <w:tc>
          <w:tcPr>
            <w:tcW w:w="780" w:type="dxa"/>
            <w:vAlign w:val="center"/>
          </w:tcPr>
          <w:p w14:paraId="4BC2E4D3">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14D83E5F">
            <w:pPr>
              <w:spacing w:line="500" w:lineRule="exact"/>
              <w:ind w:left="420" w:leftChars="200"/>
              <w:jc w:val="center"/>
              <w:rPr>
                <w:rFonts w:ascii="宋体" w:hAnsi="宋体" w:cs="宋体"/>
                <w:color w:val="auto"/>
                <w:szCs w:val="21"/>
                <w:highlight w:val="none"/>
              </w:rPr>
            </w:pPr>
          </w:p>
        </w:tc>
        <w:tc>
          <w:tcPr>
            <w:tcW w:w="4725" w:type="dxa"/>
            <w:vAlign w:val="center"/>
          </w:tcPr>
          <w:p w14:paraId="0F5288CA">
            <w:pPr>
              <w:spacing w:line="500" w:lineRule="exact"/>
              <w:rPr>
                <w:rFonts w:ascii="宋体" w:hAnsi="宋体" w:cs="宋体"/>
                <w:color w:val="auto"/>
                <w:szCs w:val="21"/>
                <w:highlight w:val="none"/>
              </w:rPr>
            </w:pPr>
            <w:r>
              <w:rPr>
                <w:rFonts w:hint="eastAsia" w:ascii="宋体" w:hAnsi="宋体" w:cs="宋体"/>
                <w:color w:val="auto"/>
                <w:szCs w:val="21"/>
                <w:highlight w:val="none"/>
              </w:rPr>
              <w:t>PLC选用罗克韦尔、西门子、施耐德或同档次及以上品牌，含变频器、PLC模块及各元气件等，主要各元器件必须为罗克韦尔、施耐德、ABB、西门子或同档次及以上产品</w:t>
            </w:r>
          </w:p>
        </w:tc>
      </w:tr>
      <w:tr w14:paraId="5D39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0" w:type="dxa"/>
            <w:vAlign w:val="center"/>
          </w:tcPr>
          <w:p w14:paraId="67E8B6B2">
            <w:pPr>
              <w:spacing w:line="500" w:lineRule="exact"/>
              <w:rPr>
                <w:rFonts w:ascii="宋体" w:hAnsi="宋体" w:cs="宋体"/>
                <w:color w:val="auto"/>
                <w:szCs w:val="21"/>
                <w:highlight w:val="none"/>
              </w:rPr>
            </w:pPr>
            <w:r>
              <w:rPr>
                <w:rFonts w:hint="eastAsia" w:ascii="宋体" w:hAnsi="宋体" w:cs="宋体"/>
                <w:color w:val="auto"/>
                <w:szCs w:val="21"/>
                <w:highlight w:val="none"/>
              </w:rPr>
              <w:t>22</w:t>
            </w:r>
          </w:p>
        </w:tc>
        <w:tc>
          <w:tcPr>
            <w:tcW w:w="1155" w:type="dxa"/>
            <w:vAlign w:val="center"/>
          </w:tcPr>
          <w:p w14:paraId="71356CC2">
            <w:pPr>
              <w:spacing w:line="500" w:lineRule="exact"/>
              <w:rPr>
                <w:rFonts w:ascii="宋体" w:hAnsi="宋体" w:cs="宋体"/>
                <w:color w:val="auto"/>
                <w:szCs w:val="21"/>
                <w:highlight w:val="none"/>
              </w:rPr>
            </w:pPr>
            <w:r>
              <w:rPr>
                <w:rFonts w:hint="eastAsia" w:ascii="宋体" w:hAnsi="宋体" w:cs="宋体"/>
                <w:color w:val="auto"/>
                <w:szCs w:val="21"/>
                <w:highlight w:val="none"/>
              </w:rPr>
              <w:t>触摸屏</w:t>
            </w:r>
          </w:p>
        </w:tc>
        <w:tc>
          <w:tcPr>
            <w:tcW w:w="1590" w:type="dxa"/>
            <w:vAlign w:val="center"/>
          </w:tcPr>
          <w:p w14:paraId="647F2CC9">
            <w:pPr>
              <w:spacing w:line="500" w:lineRule="exact"/>
              <w:rPr>
                <w:rFonts w:ascii="宋体" w:hAnsi="宋体" w:cs="宋体"/>
                <w:color w:val="auto"/>
                <w:spacing w:val="8"/>
                <w:szCs w:val="21"/>
                <w:highlight w:val="none"/>
              </w:rPr>
            </w:pPr>
            <w:r>
              <w:rPr>
                <w:rFonts w:hint="eastAsia" w:ascii="宋体" w:hAnsi="宋体" w:cs="宋体"/>
                <w:color w:val="auto"/>
                <w:spacing w:val="8"/>
                <w:szCs w:val="21"/>
                <w:highlight w:val="none"/>
              </w:rPr>
              <w:t>不小于10寸显示屏</w:t>
            </w:r>
          </w:p>
        </w:tc>
        <w:tc>
          <w:tcPr>
            <w:tcW w:w="780" w:type="dxa"/>
            <w:vAlign w:val="center"/>
          </w:tcPr>
          <w:p w14:paraId="5C5CCB8C">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380" w:type="dxa"/>
            <w:vAlign w:val="center"/>
          </w:tcPr>
          <w:p w14:paraId="6A39EECF">
            <w:pPr>
              <w:spacing w:line="500" w:lineRule="exact"/>
              <w:ind w:left="420" w:leftChars="200" w:firstLine="420"/>
              <w:jc w:val="center"/>
              <w:rPr>
                <w:rFonts w:ascii="宋体" w:hAnsi="宋体" w:cs="宋体"/>
                <w:color w:val="auto"/>
                <w:szCs w:val="21"/>
                <w:highlight w:val="none"/>
              </w:rPr>
            </w:pPr>
          </w:p>
        </w:tc>
        <w:tc>
          <w:tcPr>
            <w:tcW w:w="4725" w:type="dxa"/>
            <w:vAlign w:val="center"/>
          </w:tcPr>
          <w:p w14:paraId="2106E92E">
            <w:pPr>
              <w:spacing w:line="500" w:lineRule="exact"/>
              <w:rPr>
                <w:rFonts w:ascii="宋体" w:hAnsi="宋体" w:cs="宋体"/>
                <w:color w:val="auto"/>
                <w:szCs w:val="21"/>
                <w:highlight w:val="none"/>
              </w:rPr>
            </w:pPr>
            <w:r>
              <w:rPr>
                <w:rFonts w:hint="eastAsia" w:ascii="宋体" w:hAnsi="宋体" w:cs="宋体"/>
                <w:color w:val="auto"/>
                <w:szCs w:val="21"/>
                <w:highlight w:val="none"/>
              </w:rPr>
              <w:t>含人机中文界面制作调试。</w:t>
            </w:r>
          </w:p>
        </w:tc>
      </w:tr>
      <w:tr w14:paraId="68F7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3517A430">
            <w:pPr>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1155" w:type="dxa"/>
            <w:vAlign w:val="center"/>
          </w:tcPr>
          <w:p w14:paraId="4AB47FE4">
            <w:pPr>
              <w:spacing w:line="500" w:lineRule="exact"/>
              <w:rPr>
                <w:rFonts w:ascii="宋体" w:hAnsi="宋体" w:cs="宋体"/>
                <w:color w:val="auto"/>
                <w:szCs w:val="21"/>
                <w:highlight w:val="none"/>
              </w:rPr>
            </w:pPr>
            <w:r>
              <w:rPr>
                <w:rFonts w:hint="eastAsia" w:ascii="宋体" w:hAnsi="宋体" w:cs="宋体"/>
                <w:color w:val="auto"/>
                <w:szCs w:val="21"/>
                <w:highlight w:val="none"/>
              </w:rPr>
              <w:t>动力电缆、控制电缆、信号电缆</w:t>
            </w:r>
          </w:p>
        </w:tc>
        <w:tc>
          <w:tcPr>
            <w:tcW w:w="1590" w:type="dxa"/>
            <w:vAlign w:val="center"/>
          </w:tcPr>
          <w:p w14:paraId="1608AF54">
            <w:pPr>
              <w:spacing w:line="500" w:lineRule="exact"/>
              <w:rPr>
                <w:rFonts w:ascii="宋体" w:hAnsi="宋体" w:cs="宋体"/>
                <w:color w:val="auto"/>
                <w:spacing w:val="8"/>
                <w:szCs w:val="21"/>
                <w:highlight w:val="none"/>
              </w:rPr>
            </w:pPr>
            <w:r>
              <w:rPr>
                <w:rFonts w:hint="eastAsia" w:ascii="宋体" w:hAnsi="宋体" w:cs="宋体"/>
                <w:color w:val="auto"/>
                <w:szCs w:val="21"/>
                <w:highlight w:val="none"/>
              </w:rPr>
              <w:t>规格大小厂家自定，满足系统使用需求</w:t>
            </w:r>
          </w:p>
        </w:tc>
        <w:tc>
          <w:tcPr>
            <w:tcW w:w="780" w:type="dxa"/>
            <w:vAlign w:val="center"/>
          </w:tcPr>
          <w:p w14:paraId="101DBCC1">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380" w:type="dxa"/>
            <w:vAlign w:val="center"/>
          </w:tcPr>
          <w:p w14:paraId="04185D8D">
            <w:pPr>
              <w:spacing w:line="500" w:lineRule="exact"/>
              <w:rPr>
                <w:rFonts w:ascii="宋体" w:hAnsi="宋体" w:cs="宋体"/>
                <w:color w:val="auto"/>
                <w:szCs w:val="21"/>
                <w:highlight w:val="none"/>
              </w:rPr>
            </w:pPr>
          </w:p>
        </w:tc>
        <w:tc>
          <w:tcPr>
            <w:tcW w:w="4725" w:type="dxa"/>
            <w:vAlign w:val="center"/>
          </w:tcPr>
          <w:p w14:paraId="4FC1334F">
            <w:pPr>
              <w:spacing w:line="500" w:lineRule="exact"/>
              <w:rPr>
                <w:rFonts w:ascii="宋体" w:hAnsi="宋体" w:cs="宋体"/>
                <w:color w:val="auto"/>
                <w:szCs w:val="21"/>
                <w:highlight w:val="none"/>
              </w:rPr>
            </w:pPr>
            <w:r>
              <w:rPr>
                <w:rFonts w:hint="eastAsia" w:ascii="宋体" w:hAnsi="宋体" w:cs="宋体"/>
                <w:color w:val="auto"/>
                <w:szCs w:val="21"/>
                <w:highlight w:val="none"/>
              </w:rPr>
              <w:t>推荐金龙羽、深缆、起帆或同档次及以上国内知名品牌。</w:t>
            </w:r>
          </w:p>
        </w:tc>
      </w:tr>
      <w:tr w14:paraId="710D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618EEBAE">
            <w:pPr>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1155" w:type="dxa"/>
            <w:vAlign w:val="center"/>
          </w:tcPr>
          <w:p w14:paraId="18FE103D">
            <w:pPr>
              <w:spacing w:line="500" w:lineRule="exact"/>
              <w:rPr>
                <w:rFonts w:ascii="宋体" w:hAnsi="宋体" w:cs="宋体"/>
                <w:color w:val="auto"/>
                <w:szCs w:val="21"/>
                <w:highlight w:val="none"/>
              </w:rPr>
            </w:pPr>
            <w:r>
              <w:rPr>
                <w:rFonts w:hint="eastAsia" w:ascii="宋体" w:hAnsi="宋体" w:cs="宋体"/>
                <w:color w:val="auto"/>
                <w:szCs w:val="21"/>
                <w:highlight w:val="none"/>
              </w:rPr>
              <w:t>集装箱</w:t>
            </w:r>
          </w:p>
        </w:tc>
        <w:tc>
          <w:tcPr>
            <w:tcW w:w="1590" w:type="dxa"/>
            <w:vAlign w:val="center"/>
          </w:tcPr>
          <w:p w14:paraId="14AA6C2C">
            <w:pPr>
              <w:spacing w:line="500" w:lineRule="exact"/>
              <w:rPr>
                <w:rFonts w:ascii="宋体" w:hAnsi="宋体" w:cs="宋体"/>
                <w:color w:val="auto"/>
                <w:szCs w:val="21"/>
                <w:highlight w:val="none"/>
              </w:rPr>
            </w:pPr>
            <w:r>
              <w:rPr>
                <w:rFonts w:hint="eastAsia" w:ascii="宋体" w:hAnsi="宋体" w:cs="宋体"/>
                <w:color w:val="auto"/>
                <w:szCs w:val="21"/>
                <w:highlight w:val="none"/>
              </w:rPr>
              <w:t>20尺标箱</w:t>
            </w:r>
          </w:p>
        </w:tc>
        <w:tc>
          <w:tcPr>
            <w:tcW w:w="780" w:type="dxa"/>
            <w:vAlign w:val="center"/>
          </w:tcPr>
          <w:p w14:paraId="48975A75">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380" w:type="dxa"/>
            <w:vAlign w:val="center"/>
          </w:tcPr>
          <w:p w14:paraId="5A927389">
            <w:pPr>
              <w:spacing w:line="500" w:lineRule="exact"/>
              <w:ind w:left="420" w:leftChars="200" w:firstLine="420"/>
              <w:jc w:val="center"/>
              <w:rPr>
                <w:rFonts w:ascii="宋体" w:hAnsi="宋体" w:cs="宋体"/>
                <w:color w:val="auto"/>
                <w:szCs w:val="21"/>
                <w:highlight w:val="none"/>
              </w:rPr>
            </w:pPr>
          </w:p>
        </w:tc>
        <w:tc>
          <w:tcPr>
            <w:tcW w:w="4725" w:type="dxa"/>
            <w:vAlign w:val="center"/>
          </w:tcPr>
          <w:p w14:paraId="4609766C">
            <w:pPr>
              <w:spacing w:line="500" w:lineRule="exact"/>
              <w:ind w:left="420" w:leftChars="200"/>
              <w:rPr>
                <w:rFonts w:ascii="宋体" w:hAnsi="宋体" w:cs="宋体"/>
                <w:color w:val="auto"/>
                <w:szCs w:val="21"/>
                <w:highlight w:val="none"/>
              </w:rPr>
            </w:pPr>
          </w:p>
        </w:tc>
      </w:tr>
    </w:tbl>
    <w:p w14:paraId="77E14664">
      <w:pPr>
        <w:spacing w:line="500" w:lineRule="exact"/>
        <w:ind w:left="420" w:leftChars="200"/>
        <w:rPr>
          <w:rFonts w:ascii="宋体" w:hAnsi="宋体" w:cs="宋体"/>
          <w:b/>
          <w:color w:val="auto"/>
          <w:szCs w:val="21"/>
          <w:highlight w:val="none"/>
        </w:rPr>
      </w:pPr>
      <w:r>
        <w:rPr>
          <w:rFonts w:hint="eastAsia" w:ascii="宋体" w:hAnsi="宋体" w:cs="宋体"/>
          <w:b/>
          <w:color w:val="auto"/>
          <w:szCs w:val="21"/>
          <w:highlight w:val="none"/>
        </w:rPr>
        <w:t>备注：</w:t>
      </w:r>
    </w:p>
    <w:p w14:paraId="54E90A8D">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1、设备粉炭使用防爆要求不限于上表所列，中标人须提供整套符合国家粉炭使用防爆要求的设备。 料仓储罐应有抗滁州地区台风，防倾覆设计，其中防倾覆拉杆螺栓必须使用高强度螺栓（大于等于7级，规格大于M20以上。）（中标方设计校核）。</w:t>
      </w:r>
    </w:p>
    <w:p w14:paraId="2A22BE1F">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2、本“采购设备清单”不得被认为是详尽无遗的，无论规定与否，中标人应提供满足该项目工艺技术要求的设备及所有业主未提及的必要的元件、器材、附件、配套设备和相应材料等，并在投标文件报价中一一列明。包括但不限于数量、规格型号、材质及生产厂家等。设备数量以二次设计为准，满足使用要求。</w:t>
      </w:r>
    </w:p>
    <w:p w14:paraId="0664BE9A">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3、以上货物清单需由供货商一一列出，表明产地。若为原装产品交货时如需提供报关单或当地商会、厂家提供的原产地证明。</w:t>
      </w:r>
    </w:p>
    <w:p w14:paraId="491CE130">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4、本项目系统设备为交钥匙工程，中标人应将功能完整，运行良好的系统交给采购人，包括设备供货、卸货、设备管线施工以及设备安装调试、使用培训等。</w:t>
      </w:r>
    </w:p>
    <w:p w14:paraId="72F172E2">
      <w:pPr>
        <w:spacing w:line="500" w:lineRule="exact"/>
        <w:ind w:left="420" w:leftChars="200"/>
        <w:jc w:val="left"/>
        <w:rPr>
          <w:rFonts w:ascii="宋体" w:hAnsi="宋体" w:cs="宋体"/>
          <w:color w:val="auto"/>
          <w:szCs w:val="21"/>
          <w:highlight w:val="none"/>
        </w:rPr>
      </w:pPr>
      <w:r>
        <w:rPr>
          <w:rFonts w:hint="eastAsia" w:ascii="宋体" w:hAnsi="宋体" w:cs="宋体"/>
          <w:color w:val="auto"/>
          <w:szCs w:val="21"/>
          <w:highlight w:val="none"/>
        </w:rPr>
        <w:t>5、中标人应就设备基础施工、安装布局以及管路走向进行二次设计并得到甲方认可方可施工。</w:t>
      </w:r>
    </w:p>
    <w:p w14:paraId="3004A261">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货物技术要求：</w:t>
      </w:r>
    </w:p>
    <w:p w14:paraId="12943AB7">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（一）料仓（1套）</w:t>
      </w:r>
    </w:p>
    <w:p w14:paraId="5F356715">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 xml:space="preserve">容积不小于40m³， 碳钢Q235B材质，厚度8mm以上。料仓整体室外安装； </w:t>
      </w:r>
    </w:p>
    <w:p w14:paraId="437AADC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料仓、锥斗及支架；</w:t>
      </w:r>
    </w:p>
    <w:p w14:paraId="395AFBF3">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人孔600mm；</w:t>
      </w:r>
    </w:p>
    <w:p w14:paraId="0E56A9E1">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送料管100，包括接口、旋风分离器及盖子；</w:t>
      </w:r>
    </w:p>
    <w:p w14:paraId="5FE9F3A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进料入口旋风分离器处安装格栅；</w:t>
      </w:r>
    </w:p>
    <w:p w14:paraId="376A244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料仓顶部护栏高度1.2m；</w:t>
      </w:r>
    </w:p>
    <w:p w14:paraId="527A02D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带背部护圈的爬梯；</w:t>
      </w:r>
    </w:p>
    <w:p w14:paraId="7B8A680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为避免料仓过压及滤布被粉尘堵塞，每个料仓应配置2个安全阀（1用1备）；</w:t>
      </w:r>
    </w:p>
    <w:p w14:paraId="4A99F78F">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料仓配套具有自动清灰功能的除尘装置，清灰应采用气动清灰（脉冲式）；</w:t>
      </w:r>
    </w:p>
    <w:p w14:paraId="1424AEB5">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料仓应配有空穴位及满位报警器及现场紧急按钮箱，该报警器于室外可发声光报警；</w:t>
      </w:r>
    </w:p>
    <w:p w14:paraId="0C01E3B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料仓放室外，料仓内外表面防腐处理,应考虑防雨、防雷、防潮及防尘等；</w:t>
      </w:r>
    </w:p>
    <w:p w14:paraId="4C96432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设计时底部倾斜角度应确保物料不产生堆积，同时无论料仓处于何种状态均确保不倾覆而引发安全事故。</w:t>
      </w:r>
    </w:p>
    <w:p w14:paraId="62FD341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要求符合《GB 50011-2010建筑抗震设计规范》、《GB 50191-2012 构筑物抗震设计规范》以及防风等国家法律法规及行业标准。其中料仓储罐应有抗滁州地区台风，防倾覆设计，其中防倾覆拉杆螺栓必须使用高强度螺栓（大于等于7级，规格大于M20以上。）（中标方设计校核）。</w:t>
      </w:r>
    </w:p>
    <w:p w14:paraId="359FCC0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（二）料位及空穴报警</w:t>
      </w:r>
    </w:p>
    <w:p w14:paraId="2D4AA7B3">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为控制物料自动输送过程，料仓内应配有高、低料位报警及空穴显示料位计；</w:t>
      </w:r>
    </w:p>
    <w:p w14:paraId="23B5E25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当料斗内粉料出现空穴、架桥情况时，系统应启动相应处理系统，实现安全排放；</w:t>
      </w:r>
    </w:p>
    <w:p w14:paraId="57445EC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用于显示满、低及空位。并提供相关报警信号；</w:t>
      </w:r>
    </w:p>
    <w:p w14:paraId="76B50CA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型号：桨板式，220V。</w:t>
      </w:r>
    </w:p>
    <w:p w14:paraId="7FAAC600">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（三）料仓除尘器</w:t>
      </w:r>
    </w:p>
    <w:p w14:paraId="3B55E26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为保护操作环境，与料仓配套应包括顶部粉尘过滤系统，以在向料仓中输送物料时收集粉尘，气动清灰；</w:t>
      </w:r>
    </w:p>
    <w:p w14:paraId="3323E33F">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配置手动按钮盒，包括定时脉冲式清灰；</w:t>
      </w:r>
    </w:p>
    <w:p w14:paraId="1262AE6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材质：低碳钢，表面防腐处理。包括与罐相连的连接管路；</w:t>
      </w:r>
    </w:p>
    <w:p w14:paraId="530D7A6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气源要求：4.5Nm3/h, 5.5bar；</w:t>
      </w:r>
    </w:p>
    <w:p w14:paraId="47BE2AB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材质：不锈钢304。</w:t>
      </w:r>
    </w:p>
    <w:p w14:paraId="4E4DC8A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（四）安全阀</w:t>
      </w:r>
    </w:p>
    <w:p w14:paraId="33D810D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膜片式，正负压开启，压差为0.05bar时，风量不小于100m3/min；</w:t>
      </w:r>
    </w:p>
    <w:p w14:paraId="32F98605">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阀门开启时，空气由阀门进出，无粉尘泄漏；</w:t>
      </w:r>
    </w:p>
    <w:p w14:paraId="0F2A6AA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碳钢材质。</w:t>
      </w:r>
    </w:p>
    <w:p w14:paraId="4D372A0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（五）称重系统：</w:t>
      </w:r>
    </w:p>
    <w:p w14:paraId="1397CE63">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在料仓的底部支架下部安装4只称重传感器，精确计量料仓内已有粉料的余量，以控制料仓内物料进出。提供接线盒及称重显示器，可以现场直接显示，4-20mA信号输出到整个控制系统的PLC系统中，实现系统的远程监控。传感器材质为AISI304,防护等级IP65以上。称重显示器外壳选用不锈钢，品牌设备，防护等级IP65或以上。</w:t>
      </w:r>
    </w:p>
    <w:p w14:paraId="09F6B19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（六）料仓出口阀：</w:t>
      </w:r>
    </w:p>
    <w:p w14:paraId="216B36CF">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手动操作，与给料机配套，安装于料仓及给料机之间，以控制物料进出；</w:t>
      </w:r>
    </w:p>
    <w:p w14:paraId="385464B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阀板为不锈钢AISI304，采用三层填料密封。当安装高度较高时，应配套链条手动装置在地面操作该阀。</w:t>
      </w:r>
    </w:p>
    <w:p w14:paraId="3BA89D69">
      <w:pPr>
        <w:pStyle w:val="11"/>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5F745199">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（七）螺旋给料机：</w:t>
      </w:r>
    </w:p>
    <w:p w14:paraId="4A07D0A1">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给料机由机身、进料口、出料口、螺旋、观察口及驱动系统等组成。给料机应保证干粉计量精度。给料机流量稳定、连续，流量与转速应有线性关系，螺旋应具有自洁功能；</w:t>
      </w:r>
    </w:p>
    <w:p w14:paraId="2DDD7B0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材质：碳钢；</w:t>
      </w:r>
    </w:p>
    <w:p w14:paraId="073F68C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计量能力：不小于350kg/h；</w:t>
      </w:r>
    </w:p>
    <w:p w14:paraId="5CD1D67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精度：±1%；</w:t>
      </w:r>
    </w:p>
    <w:p w14:paraId="0D81182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电压：380 V，防护等级不低于IP55；</w:t>
      </w:r>
    </w:p>
    <w:p w14:paraId="57569B29">
      <w:pPr>
        <w:pStyle w:val="11"/>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绝缘等级：F级。</w:t>
      </w:r>
    </w:p>
    <w:p w14:paraId="1630713A">
      <w:pPr>
        <w:pStyle w:val="11"/>
        <w:spacing w:line="5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78F43B8C">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（八）螺旋输送机</w:t>
      </w:r>
    </w:p>
    <w:p w14:paraId="4F411160">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材质：碳钢及以上材质；</w:t>
      </w:r>
    </w:p>
    <w:p w14:paraId="62D4513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轴承：SKF、FAG、NTN，减速机采用SEW、Nord、Flender或同档次及以上品牌；</w:t>
      </w:r>
    </w:p>
    <w:p w14:paraId="0488A2C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与给料机出口相连，输送计量后的活性炭至溶解罐。螺旋输送器由进口、出口、取样点、检查孔、紧急卸料口及驱动电机等组成；</w:t>
      </w:r>
    </w:p>
    <w:p w14:paraId="0C06894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螺旋输送机与溶解罐连接出料口需配套气动阀门以及除湿装置，确保在不配药时防止溶解罐内水汽对螺杆侵润而产生结块造成堵塞。</w:t>
      </w:r>
    </w:p>
    <w:p w14:paraId="707B47C4">
      <w:pPr>
        <w:tabs>
          <w:tab w:val="left" w:pos="907"/>
        </w:tabs>
        <w:spacing w:line="500"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5ED60153">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（九）制备溶解罐：</w:t>
      </w:r>
    </w:p>
    <w:p w14:paraId="576BF20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材质：不锈钢AISI304，厚4mm或4mm以上；</w:t>
      </w:r>
    </w:p>
    <w:p w14:paraId="5610D5F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溶液罐容积不小于3.5m3，罐体强度须满足相关技术规范，罐体形式不限；底部排渣口口径DN50，安装自动法兰不锈钢球阀；</w:t>
      </w:r>
    </w:p>
    <w:p w14:paraId="416BCEC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功能实现：（1）1.0-5%左右的活性碳乳液。包括排空阀、不锈钢AISI304搅拌器、溶解水系统等附件。溶解水应包括过滤器、调节阀、电动阀、电磁流量计等，溶解水部件应为UVPC材质。溶解罐应配套除尘器，不锈钢材质，包括管路冲洗除尘管线以清除除尘器内的收集的粉尘；溶解罐应配备排渣系统。</w:t>
      </w:r>
    </w:p>
    <w:p w14:paraId="4F7C5AA0">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（十）溶液罐：</w:t>
      </w:r>
    </w:p>
    <w:p w14:paraId="1013A95D">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材质：不锈钢AISI304，厚4mm或4mm以上；</w:t>
      </w:r>
    </w:p>
    <w:p w14:paraId="5D9C38E8">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罐体强度须满足相关技术规范，罐体形式不限；</w:t>
      </w:r>
    </w:p>
    <w:p w14:paraId="1D0C4873">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储存制备罐的乳液。包括排空阀、超声波液位计，不锈钢AISI304搅拌机等附件。罐底配有排渣口。溶解罐包括溢流口；</w:t>
      </w:r>
    </w:p>
    <w:p w14:paraId="6011C39B">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溶液罐配有自动排渣系统装置，实现自动排渣。</w:t>
      </w:r>
    </w:p>
    <w:p w14:paraId="7F15F417">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（十一）搅拌机：</w:t>
      </w:r>
    </w:p>
    <w:p w14:paraId="1FC6C8E0">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减速机采用SEW、Nord、Flender或同档次及以上品牌减速机；</w:t>
      </w:r>
    </w:p>
    <w:p w14:paraId="08F5868B">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所有的螺母、螺钉和垫圈为AISI304以上不锈钢材质；</w:t>
      </w:r>
    </w:p>
    <w:p w14:paraId="0572482C">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搅拌轴及搅拌叶材料选定应采用防腐AISI304以上不锈钢材质。</w:t>
      </w:r>
    </w:p>
    <w:p w14:paraId="0C458529">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（十二）投加泵成套装置：</w:t>
      </w:r>
      <w:r>
        <w:rPr>
          <w:rFonts w:hint="eastAsia" w:ascii="宋体" w:hAnsi="宋体" w:cs="宋体"/>
          <w:color w:val="auto"/>
          <w:sz w:val="21"/>
          <w:szCs w:val="21"/>
          <w:highlight w:val="none"/>
        </w:rPr>
        <w:tab/>
      </w:r>
    </w:p>
    <w:p w14:paraId="1E77613D">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泵流量可以通过变频器实现现场及远程调节，泵密封配套自动冲洗装置；</w:t>
      </w:r>
    </w:p>
    <w:p w14:paraId="60B87A24">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每台泵出口配套隔膜压力表及压力开关，可以实现现场显示及远程传输，同时具有过压保护；</w:t>
      </w:r>
    </w:p>
    <w:p w14:paraId="709C2EA7">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每个投加点须配备独立的电磁流量计, 计量精度不低于0.5%，流量信号可以现场显示，也可以远传。不锈钢电极，PTFE衬里，防护等级IP67,包括瞬时及累积量显示，一体式，4-20mA输出。设计压力4MPa；</w:t>
      </w:r>
    </w:p>
    <w:p w14:paraId="060FD08F">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管路自动冲洗，一旦停泵立即注水冲洗。也可以根据设定时间自动冲洗，包括相关自动冲洗电动阀；</w:t>
      </w:r>
    </w:p>
    <w:p w14:paraId="205F703B">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（十三）空气压缩机系统：</w:t>
      </w:r>
    </w:p>
    <w:p w14:paraId="287C8B0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每套投加系统配备一套空压机系统。空压机系统包括空压机一台及相关附件；</w:t>
      </w:r>
    </w:p>
    <w:p w14:paraId="39E3380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排气量&gt;0.67</w:t>
      </w:r>
      <w:r>
        <w:rPr>
          <w:rFonts w:hint="eastAsia" w:ascii="宋体" w:hAnsi="宋体" w:cs="宋体"/>
          <w:color w:val="auto"/>
          <w:szCs w:val="21"/>
          <w:highlight w:val="none"/>
          <w:vertAlign w:val="superscript"/>
        </w:rPr>
        <w:t>m3</w:t>
      </w:r>
      <w:r>
        <w:rPr>
          <w:rFonts w:hint="eastAsia" w:ascii="宋体" w:hAnsi="宋体" w:cs="宋体"/>
          <w:color w:val="auto"/>
          <w:szCs w:val="21"/>
          <w:highlight w:val="none"/>
        </w:rPr>
        <w:t>/min，最高工作压力8bar；</w:t>
      </w:r>
    </w:p>
    <w:p w14:paraId="6B62BA6F">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冷却方式:风冷；</w:t>
      </w:r>
    </w:p>
    <w:p w14:paraId="21E3B8CA">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附件包括：冷干机，前后2级过滤器，其中冷干机不允许集成在空压机内部，必须单独配套。</w:t>
      </w:r>
    </w:p>
    <w:p w14:paraId="0A1DB074">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（十四）增压系统：</w:t>
      </w:r>
    </w:p>
    <w:p w14:paraId="22F9D02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两台增压泵，4只手动切换阀，2只止回阀，1只压力表，压力表带信号输出；</w:t>
      </w:r>
    </w:p>
    <w:p w14:paraId="44AAA8C0">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泵流量：12m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/h（参考）, 扬程：30m,系统1用1备，为活性炭系统供水；</w:t>
      </w:r>
    </w:p>
    <w:p w14:paraId="37160B3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包括电极点压力表可以实现低压启动，高压停止。</w:t>
      </w:r>
    </w:p>
    <w:p w14:paraId="2A6F8CD9">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（十五）控制柜：</w:t>
      </w:r>
    </w:p>
    <w:p w14:paraId="0CA8E8F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随机应包括一套完整控制柜，控制柜本身防护等级IP55以上，环境腐蚀类别0类。采用标准机柜，双层柜门，柜体不小于2mm厚的喷塑碳钢, 采用折叠式的焊接结构, 前开门，门上配有手柄、锁及铭牌，所有的门或出入口都用氯丁橡胶密封。控制柜内提供门控30W 荧光灯，安装在柜的顶部，并且要具有更换灯管的操作空间。柜体设有防小动物进入的通风装置。</w:t>
      </w:r>
    </w:p>
    <w:p w14:paraId="66CCA02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整套活性炭投加系统采用PLC自动控制，PLC采用罗克韦尔/西门子/施耐德或同等档次以上系统，能与水厂中控系统（含上位机及组态软件）兼容。现场控制柜包括触摸屏，能显示、设置、修改工艺参数，控制制备及投加。泵的流量可以通过4-20mA信号调节。控制柜内的变频器须采用施耐德、ABB、丹佛斯或同档次及以上品牌，其他元器件须采用“默勒”、“ABB”、“施耐德”、“西门子”品牌或同档次以上品牌。控制柜放在设备现场，现场设置转换开关。</w:t>
      </w:r>
    </w:p>
    <w:p w14:paraId="0FD157E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系统至少需具备以下功能：</w:t>
      </w:r>
    </w:p>
    <w:p w14:paraId="70B8CEA4">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全套系统PLC控制；</w:t>
      </w:r>
    </w:p>
    <w:p w14:paraId="1D801A0F">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系统各设备的运行及报警显示（中文人机界面）；</w:t>
      </w:r>
    </w:p>
    <w:p w14:paraId="47D8B0DA">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相关信号的远程输出；</w:t>
      </w:r>
    </w:p>
    <w:p w14:paraId="2F720C06">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配备标准通讯接口及与接入的加药间主站PLC所需的相关通讯设备（如加药间主站通讯卡、T接线头等），与水厂现有控制系统兼容（系统接入立新水厂主站PLC）并负责完善上位机监控画面；</w:t>
      </w:r>
    </w:p>
    <w:p w14:paraId="64D72FB0">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按设定浓度自动配料；</w:t>
      </w:r>
    </w:p>
    <w:p w14:paraId="00DF5D25">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投加点根据原水流量自动投加；</w:t>
      </w:r>
    </w:p>
    <w:p w14:paraId="1F27F870">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可供电源：3x380/220V，50Hz；</w:t>
      </w:r>
    </w:p>
    <w:p w14:paraId="1E9AE24A">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在投加系统自动运行过程中可以对设备进行手动控制，方便检修维护；</w:t>
      </w:r>
    </w:p>
    <w:p w14:paraId="008CD1A9">
      <w:pPr>
        <w:tabs>
          <w:tab w:val="left" w:pos="425"/>
          <w:tab w:val="left" w:pos="907"/>
        </w:tabs>
        <w:spacing w:line="500" w:lineRule="exact"/>
        <w:ind w:left="420" w:leftChars="200"/>
        <w:rPr>
          <w:rFonts w:ascii="宋体" w:hAnsi="宋体" w:cs="宋体"/>
          <w:color w:val="auto"/>
          <w:spacing w:val="8"/>
          <w:szCs w:val="21"/>
          <w:highlight w:val="none"/>
        </w:rPr>
      </w:pPr>
      <w:r>
        <w:rPr>
          <w:rFonts w:hint="eastAsia" w:ascii="宋体" w:hAnsi="宋体" w:cs="宋体"/>
          <w:color w:val="auto"/>
          <w:spacing w:val="8"/>
          <w:szCs w:val="21"/>
          <w:highlight w:val="none"/>
        </w:rPr>
        <w:t>具有自动排放渣水的功能。</w:t>
      </w:r>
    </w:p>
    <w:p w14:paraId="63030839">
      <w:pPr>
        <w:pStyle w:val="6"/>
        <w:spacing w:before="0" w:after="0" w:line="500" w:lineRule="exact"/>
        <w:ind w:left="420" w:leftChars="200"/>
        <w:rPr>
          <w:rFonts w:ascii="宋体" w:hAnsi="宋体" w:cs="宋体"/>
          <w:color w:val="auto"/>
          <w:sz w:val="21"/>
          <w:szCs w:val="21"/>
          <w:highlight w:val="none"/>
        </w:rPr>
      </w:pPr>
      <w:bookmarkStart w:id="743" w:name="_Toc260068911"/>
      <w:r>
        <w:rPr>
          <w:rFonts w:hint="eastAsia" w:ascii="宋体" w:hAnsi="宋体" w:cs="宋体"/>
          <w:color w:val="auto"/>
          <w:sz w:val="21"/>
          <w:szCs w:val="21"/>
          <w:highlight w:val="none"/>
        </w:rPr>
        <w:t>（十六）表面处理</w:t>
      </w:r>
      <w:bookmarkEnd w:id="743"/>
      <w:r>
        <w:rPr>
          <w:rFonts w:hint="eastAsia" w:ascii="宋体" w:hAnsi="宋体" w:cs="宋体"/>
          <w:color w:val="auto"/>
          <w:sz w:val="21"/>
          <w:szCs w:val="21"/>
          <w:highlight w:val="none"/>
        </w:rPr>
        <w:t>：</w:t>
      </w:r>
    </w:p>
    <w:p w14:paraId="1526086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所有碳钢材质表面均需多层防腐处理，除锈达到Sa2.5级，完全除去金属表面的油脂、氧化皮、锈蚀物等一些杂物，外壁采用经喷砂处理到SA 2 ½后，2层100µm环氧底漆，外涂同一颜色50µm丙烯酸面层。</w:t>
      </w:r>
    </w:p>
    <w:p w14:paraId="5033CD3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不锈钢表面喷砂处理。</w:t>
      </w:r>
    </w:p>
    <w:p w14:paraId="5C4B31E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料仓表面喷砂除锈SA2 ½，料仓内外表面均须喷涂环氧漆，内表面涂食品级环氧漆2层；外表面2层环氧底漆100μm，外涂同一颜色50μm丙烯酸/聚氨酯面层。</w:t>
      </w:r>
    </w:p>
    <w:p w14:paraId="2B9DB07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电机、齿轮箱等按照相应供应商的标准表面处理。</w:t>
      </w:r>
    </w:p>
    <w:p w14:paraId="3F1789F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现场安装时，对于已经损坏的涂漆表面、由承包人和供货商负责修复并完成最终涂装。</w:t>
      </w:r>
    </w:p>
    <w:p w14:paraId="04F1BAF4">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（十七）备品备件及专用工具（包含在投标总价中）</w:t>
      </w:r>
    </w:p>
    <w:p w14:paraId="62D2729F">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222283E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卖方应提供投标产品的备品备件清单及单价。</w:t>
      </w:r>
    </w:p>
    <w:p w14:paraId="456251CA">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卖方应按标准提供1年的易损备品备件。列出易损备品备件明细。</w:t>
      </w:r>
    </w:p>
    <w:p w14:paraId="412A646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卖方应提供随机专用工具清单。</w:t>
      </w:r>
    </w:p>
    <w:p w14:paraId="591C44C5">
      <w:pPr>
        <w:pStyle w:val="6"/>
        <w:spacing w:before="93" w:beforeLines="30" w:after="93" w:afterLines="30"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4.2.4 三水厂原水端增加高锰酸钾复合盐及粉炭投加系统</w:t>
      </w:r>
    </w:p>
    <w:p w14:paraId="729F157E">
      <w:pPr>
        <w:pStyle w:val="11"/>
        <w:spacing w:line="360" w:lineRule="auto"/>
        <w:ind w:firstLine="241" w:firstLineChars="100"/>
        <w:rPr>
          <w:rFonts w:ascii="宋体" w:hAnsi="宋体" w:cs="宋体"/>
          <w:color w:val="auto"/>
          <w:sz w:val="24"/>
          <w:highlight w:val="none"/>
        </w:rPr>
      </w:pPr>
      <w:r>
        <w:rPr>
          <w:rFonts w:hint="eastAsia" w:ascii="宋体" w:hAnsi="宋体" w:cs="宋体"/>
          <w:b/>
          <w:color w:val="auto"/>
          <w:sz w:val="24"/>
          <w:highlight w:val="none"/>
        </w:rPr>
        <w:t>一体化</w:t>
      </w:r>
      <w:r>
        <w:rPr>
          <w:rFonts w:hint="eastAsia" w:ascii="宋体" w:hAnsi="宋体" w:cs="宋体"/>
          <w:b/>
          <w:color w:val="auto"/>
          <w:sz w:val="24"/>
          <w:highlight w:val="none"/>
          <w:lang w:val="en-US" w:eastAsia="zh-CN"/>
        </w:rPr>
        <w:t>成套系统</w:t>
      </w:r>
      <w:r>
        <w:rPr>
          <w:rFonts w:hint="eastAsia" w:ascii="宋体" w:hAnsi="宋体" w:cs="宋体"/>
          <w:b/>
          <w:bCs/>
          <w:color w:val="auto"/>
          <w:sz w:val="24"/>
          <w:highlight w:val="none"/>
        </w:rPr>
        <w:t>推荐品牌：上海轩浦、固莱环保、净化控股等</w:t>
      </w:r>
    </w:p>
    <w:p w14:paraId="1BD34B3D">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项目概况</w:t>
      </w:r>
    </w:p>
    <w:p w14:paraId="6948EDD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滁州三水厂取水泵站粉炭一体化投加设施和高锰酸钾复合盐建设地点位于黄栗树水库取水泵站预留空地内。建设内容主要包括：新增粉炭投加设备和高锰酸钾复合盐以15万m3/d规模设计，粉碳原料采用罐车输送至料仓的一体化投加装置。设于室外露天安装，并对相应的电气设备、料仓做遮雨防水设计。</w:t>
      </w:r>
      <w:bookmarkStart w:id="744" w:name="OLE_LINK30"/>
      <w:r>
        <w:rPr>
          <w:rFonts w:hint="eastAsia" w:ascii="宋体" w:hAnsi="宋体" w:cs="宋体"/>
          <w:color w:val="auto"/>
          <w:szCs w:val="21"/>
          <w:highlight w:val="none"/>
        </w:rPr>
        <w:t>高锰酸钾复合盐</w:t>
      </w:r>
      <w:bookmarkEnd w:id="744"/>
      <w:r>
        <w:rPr>
          <w:rFonts w:hint="eastAsia" w:ascii="宋体" w:hAnsi="宋体" w:cs="宋体"/>
          <w:color w:val="auto"/>
          <w:szCs w:val="21"/>
          <w:highlight w:val="none"/>
        </w:rPr>
        <w:t>采用25KG袋装，现场制备。</w:t>
      </w:r>
    </w:p>
    <w:p w14:paraId="5FAA353A">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系统描述</w:t>
      </w:r>
    </w:p>
    <w:p w14:paraId="4463505D">
      <w:pPr>
        <w:tabs>
          <w:tab w:val="left" w:pos="907"/>
        </w:tabs>
        <w:spacing w:line="500" w:lineRule="exact"/>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本次招标的一体化投加系统具有连续计量、输送、溶解及投加活性炭与水的混合溶液，活性炭吸附水中杂质、异味等有害物质，高锰酸钾复合盐用于杀藻，除铁锰。</w:t>
      </w:r>
    </w:p>
    <w:p w14:paraId="44176A52">
      <w:pPr>
        <w:numPr>
          <w:ilvl w:val="255"/>
          <w:numId w:val="0"/>
        </w:numPr>
        <w:tabs>
          <w:tab w:val="left" w:pos="907"/>
        </w:tabs>
        <w:spacing w:line="500" w:lineRule="exact"/>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活性炭粉末罐车来料时，通过车载风机将活性炭粉末送入室外料仓，经输送、给料至溶液制备罐，溶液从制备罐重力自流至储罐，再由储罐经泵投至投加点。</w:t>
      </w:r>
    </w:p>
    <w:p w14:paraId="4E5A6137">
      <w:pPr>
        <w:numPr>
          <w:ilvl w:val="255"/>
          <w:numId w:val="0"/>
        </w:numPr>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高锰酸钾复合盐采用采用25KG袋装，人工破包投入投料站，射流进料到制备罐内搅拌制备，一天制备一次，制备好的溶液，通过计量泵投加至投加点。</w:t>
      </w:r>
    </w:p>
    <w:p w14:paraId="4CBEAFDA">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招标人提供本系统所需的总电源及清洁自来水源，接至系统处的管、线均由招标方负责。系统的外形尺寸应满足现场空间要求。投标人应提供系统流程图，设备外形布置图，从设备至各投加点管道安装布置图以及其它结构图，并应标注相关部件的接口尺寸。</w:t>
      </w:r>
    </w:p>
    <w:p w14:paraId="31EE3C6E">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系统集成设计及施工范围</w:t>
      </w:r>
    </w:p>
    <w:p w14:paraId="28A3DC7F">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本次滁州三水厂取水泵站粉炭和高锰酸钾复合盐一体化投加设施招标范围包从原料进料到投加点之间所有投加系统（含配水、配电、自控、各类管沟、场地硬化、绿化、冲洗喷淋装置等）的设计、相应设备的供货、安装及预留通讯与监控接口、完成上位机中控界面及相应的技术培训和售后服务等工作。</w:t>
      </w:r>
    </w:p>
    <w:p w14:paraId="6E9165EB">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设计要求</w:t>
      </w:r>
    </w:p>
    <w:p w14:paraId="303391EB">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投标人需根据项目情况对全套系统进行相关计算及详细设计，以保证药剂投加管路的适当流速及背压，同时还应采取措施保证投加泵的最大使用寿命。投标人应提供设计范围内全套储存、计量、输送、溶解装置及投加药剂粉末的相关设备。包括除尘装置、开关阀、给料机、螺旋输送器、药剂粉末溶解罐，投加泵及控制系统等。供货商还应供应投加系统运行所必需的一些附件，以保证整个投药系统安全、有效、可靠的运行。</w:t>
      </w:r>
    </w:p>
    <w:p w14:paraId="6FB7CE7F">
      <w:pPr>
        <w:numPr>
          <w:ilvl w:val="255"/>
          <w:numId w:val="0"/>
        </w:numPr>
        <w:spacing w:line="360" w:lineRule="auto"/>
        <w:ind w:left="420" w:leftChars="200"/>
        <w:rPr>
          <w:rFonts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主要设备材料表</w:t>
      </w:r>
    </w:p>
    <w:tbl>
      <w:tblPr>
        <w:tblStyle w:val="23"/>
        <w:tblW w:w="0" w:type="auto"/>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50"/>
        <w:gridCol w:w="2085"/>
        <w:gridCol w:w="720"/>
        <w:gridCol w:w="1245"/>
        <w:gridCol w:w="4005"/>
      </w:tblGrid>
      <w:tr w14:paraId="125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15" w:type="dxa"/>
            <w:vAlign w:val="center"/>
          </w:tcPr>
          <w:p w14:paraId="36CD6FE7">
            <w:pPr>
              <w:spacing w:line="500" w:lineRule="exact"/>
              <w:rPr>
                <w:rFonts w:ascii="宋体" w:hAnsi="宋体" w:cs="宋体"/>
                <w:b/>
                <w:color w:val="auto"/>
                <w:szCs w:val="21"/>
                <w:highlight w:val="none"/>
              </w:rPr>
            </w:pPr>
            <w:r>
              <w:rPr>
                <w:rFonts w:hint="eastAsia" w:ascii="宋体" w:hAnsi="宋体" w:cs="宋体"/>
                <w:b/>
                <w:color w:val="auto"/>
                <w:szCs w:val="21"/>
                <w:highlight w:val="none"/>
              </w:rPr>
              <w:t>序号</w:t>
            </w:r>
          </w:p>
        </w:tc>
        <w:tc>
          <w:tcPr>
            <w:tcW w:w="1650" w:type="dxa"/>
            <w:vAlign w:val="center"/>
          </w:tcPr>
          <w:p w14:paraId="4EA0CEC4">
            <w:pPr>
              <w:spacing w:line="500" w:lineRule="exact"/>
              <w:rPr>
                <w:rFonts w:ascii="宋体" w:hAnsi="宋体" w:cs="宋体"/>
                <w:b/>
                <w:color w:val="auto"/>
                <w:szCs w:val="21"/>
                <w:highlight w:val="none"/>
              </w:rPr>
            </w:pPr>
            <w:r>
              <w:rPr>
                <w:rFonts w:hint="eastAsia" w:ascii="宋体" w:hAnsi="宋体" w:cs="宋体"/>
                <w:b/>
                <w:color w:val="auto"/>
                <w:szCs w:val="21"/>
                <w:highlight w:val="none"/>
              </w:rPr>
              <w:t>名称</w:t>
            </w:r>
          </w:p>
        </w:tc>
        <w:tc>
          <w:tcPr>
            <w:tcW w:w="2085" w:type="dxa"/>
            <w:vAlign w:val="center"/>
          </w:tcPr>
          <w:p w14:paraId="5928BEFE">
            <w:pPr>
              <w:spacing w:line="500" w:lineRule="exact"/>
              <w:rPr>
                <w:rFonts w:ascii="宋体" w:hAnsi="宋体" w:cs="宋体"/>
                <w:b/>
                <w:color w:val="auto"/>
                <w:szCs w:val="21"/>
                <w:highlight w:val="none"/>
              </w:rPr>
            </w:pPr>
            <w:r>
              <w:rPr>
                <w:rFonts w:hint="eastAsia" w:ascii="宋体" w:hAnsi="宋体" w:cs="宋体"/>
                <w:b/>
                <w:color w:val="auto"/>
                <w:szCs w:val="21"/>
                <w:highlight w:val="none"/>
              </w:rPr>
              <w:t>型号及规格</w:t>
            </w:r>
          </w:p>
        </w:tc>
        <w:tc>
          <w:tcPr>
            <w:tcW w:w="720" w:type="dxa"/>
            <w:vAlign w:val="center"/>
          </w:tcPr>
          <w:p w14:paraId="72680E86">
            <w:pPr>
              <w:spacing w:line="500" w:lineRule="exact"/>
              <w:rPr>
                <w:rFonts w:ascii="宋体" w:hAnsi="宋体" w:cs="宋体"/>
                <w:b/>
                <w:color w:val="auto"/>
                <w:szCs w:val="21"/>
                <w:highlight w:val="none"/>
              </w:rPr>
            </w:pPr>
            <w:r>
              <w:rPr>
                <w:rFonts w:hint="eastAsia" w:ascii="宋体" w:hAnsi="宋体" w:cs="宋体"/>
                <w:b/>
                <w:color w:val="auto"/>
                <w:szCs w:val="21"/>
                <w:highlight w:val="none"/>
              </w:rPr>
              <w:t>数量</w:t>
            </w:r>
          </w:p>
        </w:tc>
        <w:tc>
          <w:tcPr>
            <w:tcW w:w="1245" w:type="dxa"/>
            <w:vAlign w:val="center"/>
          </w:tcPr>
          <w:p w14:paraId="487399A7">
            <w:pPr>
              <w:spacing w:line="500" w:lineRule="exact"/>
              <w:rPr>
                <w:rFonts w:ascii="宋体" w:hAnsi="宋体" w:cs="宋体"/>
                <w:b/>
                <w:color w:val="auto"/>
                <w:szCs w:val="21"/>
                <w:highlight w:val="none"/>
              </w:rPr>
            </w:pPr>
            <w:r>
              <w:rPr>
                <w:rFonts w:hint="eastAsia" w:ascii="宋体" w:hAnsi="宋体" w:cs="宋体"/>
                <w:b/>
                <w:color w:val="auto"/>
                <w:szCs w:val="21"/>
                <w:highlight w:val="none"/>
              </w:rPr>
              <w:t>材质</w:t>
            </w:r>
          </w:p>
        </w:tc>
        <w:tc>
          <w:tcPr>
            <w:tcW w:w="4005" w:type="dxa"/>
            <w:vAlign w:val="center"/>
          </w:tcPr>
          <w:p w14:paraId="48372781">
            <w:pPr>
              <w:spacing w:line="500" w:lineRule="exact"/>
              <w:rPr>
                <w:rFonts w:ascii="宋体" w:hAnsi="宋体" w:cs="宋体"/>
                <w:b/>
                <w:color w:val="auto"/>
                <w:szCs w:val="21"/>
                <w:highlight w:val="none"/>
              </w:rPr>
            </w:pPr>
            <w:r>
              <w:rPr>
                <w:rFonts w:hint="eastAsia" w:ascii="宋体" w:hAnsi="宋体" w:cs="宋体"/>
                <w:b/>
                <w:color w:val="auto"/>
                <w:szCs w:val="21"/>
                <w:highlight w:val="none"/>
              </w:rPr>
              <w:t>备注</w:t>
            </w:r>
          </w:p>
        </w:tc>
      </w:tr>
      <w:tr w14:paraId="58D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0320" w:type="dxa"/>
            <w:gridSpan w:val="6"/>
            <w:vAlign w:val="center"/>
          </w:tcPr>
          <w:p w14:paraId="40438477">
            <w:pPr>
              <w:spacing w:line="500" w:lineRule="exact"/>
              <w:ind w:left="420" w:leftChars="200"/>
              <w:jc w:val="left"/>
              <w:rPr>
                <w:rFonts w:ascii="宋体" w:hAnsi="宋体" w:cs="宋体"/>
                <w:b/>
                <w:color w:val="auto"/>
                <w:szCs w:val="21"/>
                <w:highlight w:val="none"/>
              </w:rPr>
            </w:pPr>
            <w:r>
              <w:rPr>
                <w:rFonts w:hint="eastAsia" w:ascii="宋体" w:hAnsi="宋体" w:cs="宋体"/>
                <w:b/>
                <w:color w:val="auto"/>
                <w:szCs w:val="21"/>
                <w:highlight w:val="none"/>
              </w:rPr>
              <w:t>活性炭投加系统</w:t>
            </w:r>
          </w:p>
        </w:tc>
      </w:tr>
      <w:tr w14:paraId="4608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15" w:type="dxa"/>
            <w:vAlign w:val="center"/>
          </w:tcPr>
          <w:p w14:paraId="605BC5C0">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50" w:type="dxa"/>
            <w:vAlign w:val="center"/>
          </w:tcPr>
          <w:p w14:paraId="099822C5">
            <w:pPr>
              <w:spacing w:line="500" w:lineRule="exact"/>
              <w:rPr>
                <w:rFonts w:ascii="宋体" w:hAnsi="宋体" w:cs="宋体"/>
                <w:color w:val="auto"/>
                <w:szCs w:val="21"/>
                <w:highlight w:val="none"/>
              </w:rPr>
            </w:pPr>
            <w:r>
              <w:rPr>
                <w:rFonts w:hint="eastAsia" w:ascii="宋体" w:hAnsi="宋体" w:cs="宋体"/>
                <w:color w:val="auto"/>
                <w:szCs w:val="21"/>
                <w:highlight w:val="none"/>
              </w:rPr>
              <w:t>户外料仓</w:t>
            </w:r>
          </w:p>
        </w:tc>
        <w:tc>
          <w:tcPr>
            <w:tcW w:w="2085" w:type="dxa"/>
            <w:vAlign w:val="center"/>
          </w:tcPr>
          <w:p w14:paraId="20782D51">
            <w:pPr>
              <w:spacing w:line="500" w:lineRule="exact"/>
              <w:rPr>
                <w:rFonts w:ascii="宋体" w:hAnsi="宋体" w:cs="宋体"/>
                <w:color w:val="auto"/>
                <w:szCs w:val="21"/>
                <w:highlight w:val="none"/>
              </w:rPr>
            </w:pPr>
            <w:r>
              <w:rPr>
                <w:rFonts w:hint="eastAsia" w:ascii="宋体" w:hAnsi="宋体" w:cs="宋体"/>
                <w:color w:val="auto"/>
                <w:szCs w:val="21"/>
                <w:highlight w:val="none"/>
              </w:rPr>
              <w:t>容积40m</w:t>
            </w:r>
            <w:r>
              <w:rPr>
                <w:rFonts w:hint="eastAsia" w:ascii="宋体" w:hAnsi="宋体" w:cs="宋体"/>
                <w:color w:val="auto"/>
                <w:szCs w:val="21"/>
                <w:highlight w:val="none"/>
                <w:vertAlign w:val="superscript"/>
              </w:rPr>
              <w:t>3</w:t>
            </w:r>
          </w:p>
        </w:tc>
        <w:tc>
          <w:tcPr>
            <w:tcW w:w="720" w:type="dxa"/>
            <w:vAlign w:val="center"/>
          </w:tcPr>
          <w:p w14:paraId="50EBF2F5">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62213A35">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005" w:type="dxa"/>
            <w:vAlign w:val="center"/>
          </w:tcPr>
          <w:p w14:paraId="3C12FF4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要求壁厚不小于8mm，关键受力部分不小于10mm，符合粉炭使用国家相关防爆要求。配套楼梯应采取分段式，中间设置停留休息平台。</w:t>
            </w:r>
          </w:p>
        </w:tc>
      </w:tr>
      <w:tr w14:paraId="5F19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15" w:type="dxa"/>
            <w:vAlign w:val="center"/>
          </w:tcPr>
          <w:p w14:paraId="3CAC25A5">
            <w:pPr>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50" w:type="dxa"/>
            <w:vAlign w:val="center"/>
          </w:tcPr>
          <w:p w14:paraId="32E27959">
            <w:pPr>
              <w:spacing w:line="500" w:lineRule="exact"/>
              <w:rPr>
                <w:rFonts w:ascii="宋体" w:hAnsi="宋体" w:cs="宋体"/>
                <w:color w:val="auto"/>
                <w:szCs w:val="21"/>
                <w:highlight w:val="none"/>
              </w:rPr>
            </w:pPr>
            <w:r>
              <w:rPr>
                <w:rFonts w:hint="eastAsia" w:ascii="宋体" w:hAnsi="宋体" w:cs="宋体"/>
                <w:color w:val="auto"/>
                <w:szCs w:val="21"/>
                <w:highlight w:val="none"/>
              </w:rPr>
              <w:t>料位及空穴报警计</w:t>
            </w:r>
          </w:p>
        </w:tc>
        <w:tc>
          <w:tcPr>
            <w:tcW w:w="2085" w:type="dxa"/>
            <w:vAlign w:val="center"/>
          </w:tcPr>
          <w:p w14:paraId="6380EC2F">
            <w:pPr>
              <w:spacing w:line="500" w:lineRule="exact"/>
              <w:rPr>
                <w:rFonts w:ascii="宋体" w:hAnsi="宋体" w:cs="宋体"/>
                <w:color w:val="auto"/>
                <w:szCs w:val="21"/>
                <w:highlight w:val="none"/>
              </w:rPr>
            </w:pPr>
            <w:r>
              <w:rPr>
                <w:rFonts w:hint="eastAsia" w:ascii="宋体" w:hAnsi="宋体" w:cs="宋体"/>
                <w:color w:val="auto"/>
                <w:spacing w:val="8"/>
                <w:szCs w:val="21"/>
                <w:highlight w:val="none"/>
              </w:rPr>
              <w:t>桨板式</w:t>
            </w:r>
          </w:p>
        </w:tc>
        <w:tc>
          <w:tcPr>
            <w:tcW w:w="720" w:type="dxa"/>
            <w:vAlign w:val="center"/>
          </w:tcPr>
          <w:p w14:paraId="7435FB22">
            <w:pPr>
              <w:spacing w:line="500" w:lineRule="exact"/>
              <w:rPr>
                <w:rFonts w:ascii="宋体" w:hAnsi="宋体" w:cs="宋体"/>
                <w:color w:val="auto"/>
                <w:szCs w:val="21"/>
                <w:highlight w:val="none"/>
              </w:rPr>
            </w:pPr>
            <w:r>
              <w:rPr>
                <w:rFonts w:hint="eastAsia" w:ascii="宋体" w:hAnsi="宋体" w:cs="宋体"/>
                <w:color w:val="auto"/>
                <w:szCs w:val="21"/>
                <w:highlight w:val="none"/>
              </w:rPr>
              <w:t>3个</w:t>
            </w:r>
          </w:p>
        </w:tc>
        <w:tc>
          <w:tcPr>
            <w:tcW w:w="1245" w:type="dxa"/>
            <w:vAlign w:val="center"/>
          </w:tcPr>
          <w:p w14:paraId="744B6FD5">
            <w:pPr>
              <w:spacing w:line="500" w:lineRule="exact"/>
              <w:rPr>
                <w:rFonts w:ascii="宋体" w:hAnsi="宋体" w:cs="宋体"/>
                <w:color w:val="auto"/>
                <w:szCs w:val="21"/>
                <w:highlight w:val="none"/>
              </w:rPr>
            </w:pPr>
            <w:r>
              <w:rPr>
                <w:rFonts w:hint="eastAsia" w:ascii="宋体" w:hAnsi="宋体" w:cs="宋体"/>
                <w:color w:val="auto"/>
                <w:szCs w:val="21"/>
                <w:highlight w:val="none"/>
              </w:rPr>
              <w:t>不锈钢</w:t>
            </w:r>
          </w:p>
        </w:tc>
        <w:tc>
          <w:tcPr>
            <w:tcW w:w="4005" w:type="dxa"/>
            <w:vAlign w:val="center"/>
          </w:tcPr>
          <w:p w14:paraId="1805F23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UWT、E+H、WAM或同档次及以上品牌设备，料仓外适当位置有报警装置警示，符合粉炭使用国家相关防爆要求。</w:t>
            </w:r>
          </w:p>
        </w:tc>
      </w:tr>
      <w:tr w14:paraId="4DF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5" w:type="dxa"/>
            <w:vAlign w:val="center"/>
          </w:tcPr>
          <w:p w14:paraId="0F73CF48">
            <w:pPr>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650" w:type="dxa"/>
            <w:vAlign w:val="center"/>
          </w:tcPr>
          <w:p w14:paraId="2A850211">
            <w:pPr>
              <w:spacing w:line="500" w:lineRule="exact"/>
              <w:rPr>
                <w:rFonts w:ascii="宋体" w:hAnsi="宋体" w:cs="宋体"/>
                <w:color w:val="auto"/>
                <w:szCs w:val="21"/>
                <w:highlight w:val="none"/>
              </w:rPr>
            </w:pPr>
            <w:r>
              <w:rPr>
                <w:rFonts w:hint="eastAsia" w:ascii="宋体" w:hAnsi="宋体" w:cs="宋体"/>
                <w:color w:val="auto"/>
                <w:szCs w:val="21"/>
                <w:highlight w:val="none"/>
              </w:rPr>
              <w:t>除尘器（料仓）</w:t>
            </w:r>
          </w:p>
        </w:tc>
        <w:tc>
          <w:tcPr>
            <w:tcW w:w="2085" w:type="dxa"/>
            <w:vAlign w:val="center"/>
          </w:tcPr>
          <w:p w14:paraId="313E1E8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气动清灰，过滤面积22m</w:t>
            </w:r>
            <w:r>
              <w:rPr>
                <w:rFonts w:hint="eastAsia" w:ascii="宋体" w:hAnsi="宋体" w:cs="宋体"/>
                <w:color w:val="auto"/>
                <w:szCs w:val="21"/>
                <w:highlight w:val="none"/>
                <w:vertAlign w:val="superscript"/>
              </w:rPr>
              <w:t>2.</w:t>
            </w:r>
          </w:p>
        </w:tc>
        <w:tc>
          <w:tcPr>
            <w:tcW w:w="720" w:type="dxa"/>
            <w:vAlign w:val="center"/>
          </w:tcPr>
          <w:p w14:paraId="3FE36E41">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15001F56">
            <w:pPr>
              <w:spacing w:line="500" w:lineRule="exact"/>
              <w:rPr>
                <w:rFonts w:ascii="宋体" w:hAnsi="宋体" w:cs="宋体"/>
                <w:color w:val="auto"/>
                <w:szCs w:val="21"/>
                <w:highlight w:val="none"/>
              </w:rPr>
            </w:pPr>
            <w:r>
              <w:rPr>
                <w:rFonts w:hint="eastAsia" w:ascii="宋体" w:hAnsi="宋体" w:cs="宋体"/>
                <w:color w:val="auto"/>
                <w:szCs w:val="21"/>
                <w:highlight w:val="none"/>
              </w:rPr>
              <w:t>不锈钢</w:t>
            </w:r>
          </w:p>
        </w:tc>
        <w:tc>
          <w:tcPr>
            <w:tcW w:w="4005" w:type="dxa"/>
            <w:vAlign w:val="center"/>
          </w:tcPr>
          <w:p w14:paraId="3EBD42CE">
            <w:pPr>
              <w:spacing w:line="500" w:lineRule="exact"/>
              <w:rPr>
                <w:rFonts w:ascii="宋体" w:hAnsi="宋体" w:cs="宋体"/>
                <w:color w:val="auto"/>
                <w:szCs w:val="21"/>
                <w:highlight w:val="none"/>
              </w:rPr>
            </w:pPr>
            <w:r>
              <w:rPr>
                <w:rFonts w:hint="eastAsia" w:ascii="宋体" w:hAnsi="宋体" w:cs="宋体"/>
                <w:color w:val="auto"/>
                <w:szCs w:val="21"/>
                <w:highlight w:val="none"/>
              </w:rPr>
              <w:t>曼威立、WAM、Sodimate、或同档次及以上品牌设备，符合粉炭使用国家相关防爆要求。</w:t>
            </w:r>
          </w:p>
        </w:tc>
      </w:tr>
      <w:tr w14:paraId="4AC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5" w:type="dxa"/>
            <w:vAlign w:val="center"/>
          </w:tcPr>
          <w:p w14:paraId="234FE784">
            <w:pPr>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650" w:type="dxa"/>
            <w:vAlign w:val="center"/>
          </w:tcPr>
          <w:p w14:paraId="31E7B1C7">
            <w:pPr>
              <w:spacing w:line="500" w:lineRule="exact"/>
              <w:rPr>
                <w:rFonts w:ascii="宋体" w:hAnsi="宋体" w:cs="宋体"/>
                <w:color w:val="auto"/>
                <w:szCs w:val="21"/>
                <w:highlight w:val="none"/>
              </w:rPr>
            </w:pPr>
            <w:r>
              <w:rPr>
                <w:rFonts w:hint="eastAsia" w:ascii="宋体" w:hAnsi="宋体" w:cs="宋体"/>
                <w:color w:val="auto"/>
                <w:szCs w:val="21"/>
                <w:highlight w:val="none"/>
              </w:rPr>
              <w:t>安全阀</w:t>
            </w:r>
          </w:p>
        </w:tc>
        <w:tc>
          <w:tcPr>
            <w:tcW w:w="2085" w:type="dxa"/>
            <w:vAlign w:val="center"/>
          </w:tcPr>
          <w:p w14:paraId="4C157B06">
            <w:pPr>
              <w:spacing w:line="500" w:lineRule="exact"/>
              <w:rPr>
                <w:rFonts w:ascii="宋体" w:hAnsi="宋体" w:cs="宋体"/>
                <w:color w:val="auto"/>
                <w:szCs w:val="21"/>
                <w:highlight w:val="none"/>
              </w:rPr>
            </w:pPr>
            <w:r>
              <w:rPr>
                <w:rFonts w:hint="eastAsia" w:ascii="宋体" w:hAnsi="宋体" w:cs="宋体"/>
                <w:color w:val="auto"/>
                <w:szCs w:val="21"/>
                <w:highlight w:val="none"/>
              </w:rPr>
              <w:t>正负压</w:t>
            </w:r>
          </w:p>
        </w:tc>
        <w:tc>
          <w:tcPr>
            <w:tcW w:w="720" w:type="dxa"/>
            <w:vAlign w:val="center"/>
          </w:tcPr>
          <w:p w14:paraId="3AEB711E">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06CBE180">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005" w:type="dxa"/>
            <w:vAlign w:val="center"/>
          </w:tcPr>
          <w:p w14:paraId="6A917139">
            <w:pPr>
              <w:spacing w:line="500" w:lineRule="exact"/>
              <w:rPr>
                <w:rFonts w:ascii="宋体" w:hAnsi="宋体" w:cs="宋体"/>
                <w:color w:val="auto"/>
                <w:szCs w:val="21"/>
                <w:highlight w:val="none"/>
              </w:rPr>
            </w:pPr>
            <w:r>
              <w:rPr>
                <w:rFonts w:hint="eastAsia" w:ascii="宋体" w:hAnsi="宋体" w:cs="宋体"/>
                <w:color w:val="auto"/>
                <w:szCs w:val="21"/>
                <w:highlight w:val="none"/>
              </w:rPr>
              <w:t>安装于料仓顶部,符合粉炭使用国家相关防爆要求。</w:t>
            </w:r>
          </w:p>
        </w:tc>
      </w:tr>
      <w:tr w14:paraId="3953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5" w:type="dxa"/>
            <w:vAlign w:val="center"/>
          </w:tcPr>
          <w:p w14:paraId="73DB70E9">
            <w:pPr>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1650" w:type="dxa"/>
            <w:vAlign w:val="center"/>
          </w:tcPr>
          <w:p w14:paraId="79954FFF">
            <w:pPr>
              <w:spacing w:line="500" w:lineRule="exact"/>
              <w:rPr>
                <w:rFonts w:ascii="宋体" w:hAnsi="宋体" w:cs="宋体"/>
                <w:color w:val="auto"/>
                <w:szCs w:val="21"/>
                <w:highlight w:val="none"/>
              </w:rPr>
            </w:pPr>
            <w:r>
              <w:rPr>
                <w:rFonts w:hint="eastAsia" w:ascii="宋体" w:hAnsi="宋体" w:cs="宋体"/>
                <w:color w:val="auto"/>
                <w:szCs w:val="21"/>
                <w:highlight w:val="none"/>
              </w:rPr>
              <w:t>称重系统</w:t>
            </w:r>
          </w:p>
        </w:tc>
        <w:tc>
          <w:tcPr>
            <w:tcW w:w="2085" w:type="dxa"/>
            <w:vAlign w:val="center"/>
          </w:tcPr>
          <w:p w14:paraId="2B014E1B">
            <w:pPr>
              <w:spacing w:line="500" w:lineRule="exact"/>
              <w:rPr>
                <w:rFonts w:ascii="宋体" w:hAnsi="宋体" w:cs="宋体"/>
                <w:color w:val="auto"/>
                <w:szCs w:val="21"/>
                <w:highlight w:val="none"/>
              </w:rPr>
            </w:pPr>
            <w:r>
              <w:rPr>
                <w:rFonts w:hint="eastAsia" w:ascii="宋体" w:hAnsi="宋体" w:cs="宋体"/>
                <w:color w:val="auto"/>
                <w:szCs w:val="21"/>
                <w:highlight w:val="none"/>
              </w:rPr>
              <w:t>4-20mA输出</w:t>
            </w:r>
          </w:p>
          <w:p w14:paraId="1C97609A">
            <w:pPr>
              <w:spacing w:line="500" w:lineRule="exact"/>
              <w:rPr>
                <w:rFonts w:ascii="宋体" w:hAnsi="宋体" w:cs="宋体"/>
                <w:color w:val="auto"/>
                <w:szCs w:val="21"/>
                <w:highlight w:val="none"/>
              </w:rPr>
            </w:pPr>
            <w:r>
              <w:rPr>
                <w:rFonts w:hint="eastAsia" w:ascii="宋体" w:hAnsi="宋体" w:cs="宋体"/>
                <w:color w:val="auto"/>
                <w:szCs w:val="21"/>
                <w:highlight w:val="none"/>
              </w:rPr>
              <w:t>配显示仪表，带通讯接口。</w:t>
            </w:r>
          </w:p>
        </w:tc>
        <w:tc>
          <w:tcPr>
            <w:tcW w:w="720" w:type="dxa"/>
            <w:vAlign w:val="center"/>
          </w:tcPr>
          <w:p w14:paraId="179FFD4A">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4CD5A901">
            <w:pPr>
              <w:spacing w:line="500" w:lineRule="exact"/>
              <w:rPr>
                <w:rFonts w:ascii="宋体" w:hAnsi="宋体" w:cs="宋体"/>
                <w:color w:val="auto"/>
                <w:szCs w:val="21"/>
                <w:highlight w:val="none"/>
              </w:rPr>
            </w:pPr>
            <w:r>
              <w:rPr>
                <w:rFonts w:hint="eastAsia" w:ascii="宋体" w:hAnsi="宋体" w:cs="宋体"/>
                <w:color w:val="auto"/>
                <w:szCs w:val="21"/>
                <w:highlight w:val="none"/>
              </w:rPr>
              <w:t>不锈钢304</w:t>
            </w:r>
          </w:p>
        </w:tc>
        <w:tc>
          <w:tcPr>
            <w:tcW w:w="4005" w:type="dxa"/>
            <w:vAlign w:val="center"/>
          </w:tcPr>
          <w:p w14:paraId="770E5C91">
            <w:pPr>
              <w:spacing w:line="500" w:lineRule="exact"/>
              <w:rPr>
                <w:rFonts w:ascii="宋体" w:hAnsi="宋体" w:cs="宋体"/>
                <w:color w:val="auto"/>
                <w:szCs w:val="21"/>
                <w:highlight w:val="none"/>
              </w:rPr>
            </w:pPr>
            <w:r>
              <w:rPr>
                <w:rFonts w:hint="eastAsia" w:ascii="宋体" w:hAnsi="宋体" w:cs="宋体"/>
                <w:color w:val="auto"/>
                <w:szCs w:val="21"/>
                <w:highlight w:val="none"/>
              </w:rPr>
              <w:t>梅特勒-托利多、HBM、尤梯赛尔或同档次及以上品牌。</w:t>
            </w:r>
          </w:p>
        </w:tc>
      </w:tr>
      <w:tr w14:paraId="3FF6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5" w:type="dxa"/>
            <w:vAlign w:val="center"/>
          </w:tcPr>
          <w:p w14:paraId="7DE3F72B">
            <w:pPr>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1650" w:type="dxa"/>
            <w:vAlign w:val="center"/>
          </w:tcPr>
          <w:p w14:paraId="37245595">
            <w:pPr>
              <w:spacing w:line="500" w:lineRule="exact"/>
              <w:rPr>
                <w:rFonts w:ascii="宋体" w:hAnsi="宋体" w:cs="宋体"/>
                <w:color w:val="auto"/>
                <w:szCs w:val="21"/>
                <w:highlight w:val="none"/>
              </w:rPr>
            </w:pPr>
            <w:r>
              <w:rPr>
                <w:rFonts w:hint="eastAsia" w:ascii="宋体" w:hAnsi="宋体" w:cs="宋体"/>
                <w:color w:val="auto"/>
                <w:szCs w:val="21"/>
                <w:highlight w:val="none"/>
              </w:rPr>
              <w:t>料仓空穴处理装置</w:t>
            </w:r>
          </w:p>
        </w:tc>
        <w:tc>
          <w:tcPr>
            <w:tcW w:w="2085" w:type="dxa"/>
            <w:vAlign w:val="center"/>
          </w:tcPr>
          <w:p w14:paraId="33A21CCD">
            <w:pPr>
              <w:spacing w:line="500" w:lineRule="exact"/>
              <w:rPr>
                <w:rFonts w:ascii="宋体" w:hAnsi="宋体" w:cs="宋体"/>
                <w:color w:val="auto"/>
                <w:szCs w:val="21"/>
                <w:highlight w:val="none"/>
              </w:rPr>
            </w:pPr>
            <w:r>
              <w:rPr>
                <w:rFonts w:hint="eastAsia" w:ascii="宋体" w:hAnsi="宋体" w:cs="宋体"/>
                <w:color w:val="auto"/>
                <w:szCs w:val="21"/>
                <w:highlight w:val="none"/>
              </w:rPr>
              <w:t>气动或机械式防空穴装置</w:t>
            </w:r>
          </w:p>
        </w:tc>
        <w:tc>
          <w:tcPr>
            <w:tcW w:w="720" w:type="dxa"/>
            <w:vAlign w:val="center"/>
          </w:tcPr>
          <w:p w14:paraId="5BDF411D">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0B32C819">
            <w:pPr>
              <w:spacing w:line="500" w:lineRule="exact"/>
              <w:ind w:left="420" w:leftChars="200" w:firstLine="420"/>
              <w:jc w:val="center"/>
              <w:rPr>
                <w:rFonts w:ascii="宋体" w:hAnsi="宋体" w:cs="宋体"/>
                <w:color w:val="auto"/>
                <w:szCs w:val="21"/>
                <w:highlight w:val="none"/>
              </w:rPr>
            </w:pPr>
          </w:p>
        </w:tc>
        <w:tc>
          <w:tcPr>
            <w:tcW w:w="4005" w:type="dxa"/>
            <w:vAlign w:val="center"/>
          </w:tcPr>
          <w:p w14:paraId="134B1125">
            <w:pPr>
              <w:spacing w:line="500" w:lineRule="exact"/>
              <w:rPr>
                <w:rFonts w:ascii="宋体" w:hAnsi="宋体" w:cs="宋体"/>
                <w:color w:val="auto"/>
                <w:szCs w:val="21"/>
                <w:highlight w:val="none"/>
              </w:rPr>
            </w:pPr>
            <w:r>
              <w:rPr>
                <w:rFonts w:hint="eastAsia" w:ascii="宋体" w:hAnsi="宋体" w:cs="宋体"/>
                <w:color w:val="auto"/>
                <w:szCs w:val="21"/>
                <w:highlight w:val="none"/>
              </w:rPr>
              <w:t>曼威立、WAM、Sodimate、固莱或同档次及以上品牌，符合粉炭使用国家相关防爆要求。</w:t>
            </w:r>
          </w:p>
        </w:tc>
      </w:tr>
      <w:tr w14:paraId="3448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292B8E38">
            <w:pPr>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1650" w:type="dxa"/>
            <w:vAlign w:val="center"/>
          </w:tcPr>
          <w:p w14:paraId="6E8C15EA">
            <w:pPr>
              <w:spacing w:line="500" w:lineRule="exact"/>
              <w:rPr>
                <w:rFonts w:ascii="宋体" w:hAnsi="宋体" w:cs="宋体"/>
                <w:color w:val="auto"/>
                <w:szCs w:val="21"/>
                <w:highlight w:val="none"/>
              </w:rPr>
            </w:pPr>
            <w:r>
              <w:rPr>
                <w:rFonts w:hint="eastAsia" w:ascii="宋体" w:hAnsi="宋体" w:cs="宋体"/>
                <w:color w:val="auto"/>
                <w:szCs w:val="21"/>
                <w:highlight w:val="none"/>
              </w:rPr>
              <w:t>料仓出口阀</w:t>
            </w:r>
          </w:p>
        </w:tc>
        <w:tc>
          <w:tcPr>
            <w:tcW w:w="2085" w:type="dxa"/>
            <w:vAlign w:val="center"/>
          </w:tcPr>
          <w:p w14:paraId="72E2A873">
            <w:pPr>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720" w:type="dxa"/>
            <w:vAlign w:val="center"/>
          </w:tcPr>
          <w:p w14:paraId="1FCA3DA9">
            <w:pPr>
              <w:spacing w:line="500" w:lineRule="exact"/>
              <w:rPr>
                <w:rFonts w:ascii="宋体" w:hAnsi="宋体" w:cs="宋体"/>
                <w:color w:val="auto"/>
                <w:szCs w:val="21"/>
                <w:highlight w:val="none"/>
              </w:rPr>
            </w:pPr>
            <w:r>
              <w:rPr>
                <w:rFonts w:hint="eastAsia" w:ascii="宋体" w:hAnsi="宋体" w:cs="宋体"/>
                <w:color w:val="auto"/>
                <w:szCs w:val="21"/>
                <w:highlight w:val="none"/>
              </w:rPr>
              <w:t>1个</w:t>
            </w:r>
          </w:p>
        </w:tc>
        <w:tc>
          <w:tcPr>
            <w:tcW w:w="1245" w:type="dxa"/>
            <w:vAlign w:val="center"/>
          </w:tcPr>
          <w:p w14:paraId="13B89176">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不锈钢AISI302阀板</w:t>
            </w:r>
          </w:p>
        </w:tc>
        <w:tc>
          <w:tcPr>
            <w:tcW w:w="4005" w:type="dxa"/>
            <w:vAlign w:val="center"/>
          </w:tcPr>
          <w:p w14:paraId="4FB9728B">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w:t>
            </w:r>
          </w:p>
        </w:tc>
      </w:tr>
      <w:tr w14:paraId="6AEB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5" w:type="dxa"/>
            <w:vAlign w:val="center"/>
          </w:tcPr>
          <w:p w14:paraId="11BF4277">
            <w:pPr>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650" w:type="dxa"/>
            <w:vAlign w:val="center"/>
          </w:tcPr>
          <w:p w14:paraId="6058DB77">
            <w:pPr>
              <w:spacing w:line="500" w:lineRule="exact"/>
              <w:rPr>
                <w:rFonts w:ascii="宋体" w:hAnsi="宋体" w:cs="宋体"/>
                <w:color w:val="auto"/>
                <w:szCs w:val="21"/>
                <w:highlight w:val="none"/>
              </w:rPr>
            </w:pPr>
            <w:r>
              <w:rPr>
                <w:rFonts w:hint="eastAsia" w:ascii="宋体" w:hAnsi="宋体" w:cs="宋体"/>
                <w:color w:val="auto"/>
                <w:szCs w:val="21"/>
                <w:highlight w:val="none"/>
              </w:rPr>
              <w:t>螺旋给料机</w:t>
            </w:r>
          </w:p>
        </w:tc>
        <w:tc>
          <w:tcPr>
            <w:tcW w:w="2085" w:type="dxa"/>
            <w:vAlign w:val="center"/>
          </w:tcPr>
          <w:p w14:paraId="6A1E6ADB">
            <w:pPr>
              <w:spacing w:line="500" w:lineRule="exact"/>
              <w:rPr>
                <w:rFonts w:ascii="宋体" w:hAnsi="宋体" w:cs="宋体"/>
                <w:color w:val="auto"/>
                <w:szCs w:val="21"/>
                <w:highlight w:val="none"/>
              </w:rPr>
            </w:pPr>
            <w:r>
              <w:rPr>
                <w:rFonts w:hint="eastAsia" w:ascii="宋体" w:hAnsi="宋体" w:cs="宋体"/>
                <w:color w:val="auto"/>
                <w:szCs w:val="21"/>
                <w:highlight w:val="none"/>
              </w:rPr>
              <w:t>400型</w:t>
            </w:r>
          </w:p>
        </w:tc>
        <w:tc>
          <w:tcPr>
            <w:tcW w:w="720" w:type="dxa"/>
            <w:vAlign w:val="center"/>
          </w:tcPr>
          <w:p w14:paraId="17AEF43D">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245" w:type="dxa"/>
            <w:vAlign w:val="center"/>
          </w:tcPr>
          <w:p w14:paraId="442EB4C7">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005" w:type="dxa"/>
            <w:vAlign w:val="center"/>
          </w:tcPr>
          <w:p w14:paraId="06285C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LOVE、法国PARIMIX或同档次及以上品牌。符合粉炭使用国家相关防爆要求。</w:t>
            </w:r>
          </w:p>
        </w:tc>
      </w:tr>
      <w:tr w14:paraId="39B2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15" w:type="dxa"/>
            <w:vAlign w:val="center"/>
          </w:tcPr>
          <w:p w14:paraId="42C8BB36">
            <w:pPr>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1650" w:type="dxa"/>
            <w:vAlign w:val="center"/>
          </w:tcPr>
          <w:p w14:paraId="33168107">
            <w:pPr>
              <w:spacing w:line="500" w:lineRule="exact"/>
              <w:rPr>
                <w:rFonts w:ascii="宋体" w:hAnsi="宋体" w:cs="宋体"/>
                <w:color w:val="auto"/>
                <w:szCs w:val="21"/>
                <w:highlight w:val="none"/>
              </w:rPr>
            </w:pPr>
            <w:r>
              <w:rPr>
                <w:rFonts w:hint="eastAsia" w:ascii="宋体" w:hAnsi="宋体" w:cs="宋体"/>
                <w:color w:val="auto"/>
                <w:szCs w:val="21"/>
                <w:highlight w:val="none"/>
              </w:rPr>
              <w:t>螺旋输送机</w:t>
            </w:r>
          </w:p>
        </w:tc>
        <w:tc>
          <w:tcPr>
            <w:tcW w:w="2085" w:type="dxa"/>
            <w:vAlign w:val="center"/>
          </w:tcPr>
          <w:p w14:paraId="73D9FEE4">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水平或倾角输送量为350kg/H </w:t>
            </w:r>
          </w:p>
        </w:tc>
        <w:tc>
          <w:tcPr>
            <w:tcW w:w="720" w:type="dxa"/>
            <w:vAlign w:val="center"/>
          </w:tcPr>
          <w:p w14:paraId="65DEAFA0">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53C39F9E">
            <w:pPr>
              <w:spacing w:line="500" w:lineRule="exact"/>
              <w:rPr>
                <w:rFonts w:ascii="宋体" w:hAnsi="宋体" w:cs="宋体"/>
                <w:color w:val="auto"/>
                <w:szCs w:val="21"/>
                <w:highlight w:val="none"/>
              </w:rPr>
            </w:pPr>
            <w:r>
              <w:rPr>
                <w:rFonts w:hint="eastAsia" w:ascii="宋体" w:hAnsi="宋体" w:cs="宋体"/>
                <w:color w:val="auto"/>
                <w:szCs w:val="21"/>
                <w:highlight w:val="none"/>
              </w:rPr>
              <w:t>碳钢</w:t>
            </w:r>
          </w:p>
        </w:tc>
        <w:tc>
          <w:tcPr>
            <w:tcW w:w="4005" w:type="dxa"/>
            <w:vAlign w:val="center"/>
          </w:tcPr>
          <w:p w14:paraId="3950735E">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LOVE、法国PARIMIX或同档次及以上品牌，符合粉炭使用国家相关防爆要求，符合粉炭使用国家相关防爆要</w:t>
            </w:r>
            <w:r>
              <w:rPr>
                <w:rFonts w:hint="eastAsia" w:ascii="宋体" w:hAnsi="宋体" w:cs="宋体"/>
                <w:color w:val="auto"/>
                <w:szCs w:val="21"/>
                <w:highlight w:val="none"/>
                <w:lang w:val="en-US" w:eastAsia="zh-CN"/>
              </w:rPr>
              <w:t>求</w:t>
            </w:r>
            <w:r>
              <w:rPr>
                <w:rFonts w:hint="eastAsia" w:ascii="宋体" w:hAnsi="宋体" w:cs="宋体"/>
                <w:color w:val="auto"/>
                <w:szCs w:val="21"/>
                <w:highlight w:val="none"/>
              </w:rPr>
              <w:t>。</w:t>
            </w:r>
          </w:p>
        </w:tc>
      </w:tr>
      <w:tr w14:paraId="7B4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18559C3D">
            <w:pPr>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650" w:type="dxa"/>
            <w:vAlign w:val="center"/>
          </w:tcPr>
          <w:p w14:paraId="3FE4DA91">
            <w:pPr>
              <w:spacing w:line="500" w:lineRule="exact"/>
              <w:rPr>
                <w:rFonts w:ascii="宋体" w:hAnsi="宋体" w:cs="宋体"/>
                <w:color w:val="auto"/>
                <w:szCs w:val="21"/>
                <w:highlight w:val="none"/>
              </w:rPr>
            </w:pPr>
            <w:r>
              <w:rPr>
                <w:rFonts w:hint="eastAsia" w:ascii="宋体" w:hAnsi="宋体" w:cs="宋体"/>
                <w:color w:val="auto"/>
                <w:szCs w:val="21"/>
                <w:highlight w:val="none"/>
              </w:rPr>
              <w:t>制备溶解罐</w:t>
            </w:r>
          </w:p>
        </w:tc>
        <w:tc>
          <w:tcPr>
            <w:tcW w:w="2085" w:type="dxa"/>
            <w:vAlign w:val="center"/>
          </w:tcPr>
          <w:p w14:paraId="0D3835C9">
            <w:pPr>
              <w:spacing w:line="500" w:lineRule="exact"/>
              <w:rPr>
                <w:rFonts w:ascii="宋体" w:hAnsi="宋体" w:cs="宋体"/>
                <w:color w:val="auto"/>
                <w:szCs w:val="21"/>
                <w:highlight w:val="none"/>
              </w:rPr>
            </w:pPr>
            <w:r>
              <w:rPr>
                <w:rFonts w:hint="eastAsia" w:ascii="宋体" w:hAnsi="宋体" w:cs="宋体"/>
                <w:color w:val="auto"/>
                <w:szCs w:val="21"/>
                <w:highlight w:val="none"/>
              </w:rPr>
              <w:t>V≥3.5 m</w:t>
            </w:r>
            <w:r>
              <w:rPr>
                <w:rFonts w:hint="eastAsia" w:ascii="宋体" w:hAnsi="宋体" w:cs="宋体"/>
                <w:color w:val="auto"/>
                <w:szCs w:val="21"/>
                <w:highlight w:val="none"/>
                <w:vertAlign w:val="superscript"/>
              </w:rPr>
              <w:t>3</w:t>
            </w:r>
            <w:r>
              <w:rPr>
                <w:rFonts w:hint="eastAsia" w:ascii="宋体" w:hAnsi="宋体" w:cs="宋体"/>
                <w:color w:val="auto"/>
                <w:kern w:val="0"/>
                <w:szCs w:val="21"/>
                <w:highlight w:val="none"/>
              </w:rPr>
              <w:t>，δ=4mm</w:t>
            </w:r>
          </w:p>
        </w:tc>
        <w:tc>
          <w:tcPr>
            <w:tcW w:w="720" w:type="dxa"/>
            <w:vAlign w:val="center"/>
          </w:tcPr>
          <w:p w14:paraId="523FF106">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1F93B204">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005" w:type="dxa"/>
            <w:vAlign w:val="center"/>
          </w:tcPr>
          <w:p w14:paraId="4EEDA13B">
            <w:pPr>
              <w:spacing w:line="500" w:lineRule="exact"/>
              <w:rPr>
                <w:rFonts w:ascii="宋体" w:hAnsi="宋体" w:cs="宋体"/>
                <w:color w:val="auto"/>
                <w:szCs w:val="21"/>
                <w:highlight w:val="none"/>
              </w:rPr>
            </w:pPr>
            <w:r>
              <w:rPr>
                <w:rFonts w:hint="eastAsia" w:ascii="宋体" w:hAnsi="宋体" w:cs="宋体"/>
                <w:color w:val="auto"/>
                <w:szCs w:val="21"/>
                <w:highlight w:val="none"/>
              </w:rPr>
              <w:t>含制备水及相关阀门、排渣口、除尘、液位计等配套件，其中排渣口口径DN50，安装手动不锈钢法兰球阀。手自动排渣，符合粉炭使用国家相关防爆要求。</w:t>
            </w:r>
          </w:p>
        </w:tc>
      </w:tr>
      <w:tr w14:paraId="6DA9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5D298205">
            <w:pPr>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1650" w:type="dxa"/>
            <w:vAlign w:val="center"/>
          </w:tcPr>
          <w:p w14:paraId="2EB4636E">
            <w:pPr>
              <w:spacing w:line="500" w:lineRule="exact"/>
              <w:rPr>
                <w:rFonts w:ascii="宋体" w:hAnsi="宋体" w:cs="宋体"/>
                <w:color w:val="auto"/>
                <w:szCs w:val="21"/>
                <w:highlight w:val="none"/>
              </w:rPr>
            </w:pPr>
            <w:r>
              <w:rPr>
                <w:rFonts w:hint="eastAsia" w:ascii="宋体" w:hAnsi="宋体" w:cs="宋体"/>
                <w:color w:val="auto"/>
                <w:szCs w:val="21"/>
                <w:highlight w:val="none"/>
              </w:rPr>
              <w:t>储存罐</w:t>
            </w:r>
          </w:p>
        </w:tc>
        <w:tc>
          <w:tcPr>
            <w:tcW w:w="2085" w:type="dxa"/>
            <w:vAlign w:val="center"/>
          </w:tcPr>
          <w:p w14:paraId="34D972B8">
            <w:pPr>
              <w:spacing w:line="500" w:lineRule="exact"/>
              <w:rPr>
                <w:rFonts w:ascii="宋体" w:hAnsi="宋体" w:cs="宋体"/>
                <w:color w:val="auto"/>
                <w:szCs w:val="21"/>
                <w:highlight w:val="none"/>
              </w:rPr>
            </w:pPr>
            <w:r>
              <w:rPr>
                <w:rFonts w:hint="eastAsia" w:ascii="宋体" w:hAnsi="宋体" w:cs="宋体"/>
                <w:color w:val="auto"/>
                <w:szCs w:val="21"/>
                <w:highlight w:val="none"/>
              </w:rPr>
              <w:t>V≥3.5 m</w:t>
            </w:r>
            <w:r>
              <w:rPr>
                <w:rFonts w:hint="eastAsia" w:ascii="宋体" w:hAnsi="宋体" w:cs="宋体"/>
                <w:color w:val="auto"/>
                <w:szCs w:val="21"/>
                <w:highlight w:val="none"/>
                <w:vertAlign w:val="superscript"/>
              </w:rPr>
              <w:t>3</w:t>
            </w:r>
            <w:r>
              <w:rPr>
                <w:rFonts w:hint="eastAsia" w:ascii="宋体" w:hAnsi="宋体" w:cs="宋体"/>
                <w:color w:val="auto"/>
                <w:kern w:val="0"/>
                <w:szCs w:val="21"/>
                <w:highlight w:val="none"/>
              </w:rPr>
              <w:t>，δ=4mm</w:t>
            </w:r>
          </w:p>
        </w:tc>
        <w:tc>
          <w:tcPr>
            <w:tcW w:w="720" w:type="dxa"/>
            <w:vAlign w:val="center"/>
          </w:tcPr>
          <w:p w14:paraId="2BFE0BE4">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66FF0E8F">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005" w:type="dxa"/>
            <w:vAlign w:val="center"/>
          </w:tcPr>
          <w:p w14:paraId="57E77B9A">
            <w:pPr>
              <w:spacing w:line="500" w:lineRule="exact"/>
              <w:rPr>
                <w:rFonts w:ascii="宋体" w:hAnsi="宋体" w:cs="宋体"/>
                <w:color w:val="auto"/>
                <w:szCs w:val="21"/>
                <w:highlight w:val="none"/>
              </w:rPr>
            </w:pPr>
            <w:r>
              <w:rPr>
                <w:rFonts w:hint="eastAsia" w:ascii="宋体" w:hAnsi="宋体" w:cs="宋体"/>
                <w:color w:val="auto"/>
                <w:szCs w:val="21"/>
                <w:highlight w:val="none"/>
              </w:rPr>
              <w:t>含制备水及相关阀门、排渣口、压力变送器，溢流管，人孔等配套件。</w:t>
            </w:r>
          </w:p>
        </w:tc>
      </w:tr>
      <w:tr w14:paraId="2459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3E4E8D16">
            <w:pPr>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650" w:type="dxa"/>
            <w:vAlign w:val="center"/>
          </w:tcPr>
          <w:p w14:paraId="64E53E18">
            <w:pPr>
              <w:spacing w:line="500" w:lineRule="exact"/>
              <w:rPr>
                <w:rFonts w:ascii="宋体" w:hAnsi="宋体" w:cs="宋体"/>
                <w:color w:val="auto"/>
                <w:szCs w:val="21"/>
                <w:highlight w:val="none"/>
              </w:rPr>
            </w:pPr>
            <w:r>
              <w:rPr>
                <w:rFonts w:hint="eastAsia" w:ascii="宋体" w:hAnsi="宋体" w:cs="宋体"/>
                <w:color w:val="auto"/>
                <w:szCs w:val="21"/>
                <w:highlight w:val="none"/>
              </w:rPr>
              <w:t>搅拌机</w:t>
            </w:r>
          </w:p>
        </w:tc>
        <w:tc>
          <w:tcPr>
            <w:tcW w:w="2085" w:type="dxa"/>
            <w:vAlign w:val="center"/>
          </w:tcPr>
          <w:p w14:paraId="689627EA">
            <w:pPr>
              <w:spacing w:line="500" w:lineRule="exact"/>
              <w:rPr>
                <w:rFonts w:ascii="宋体" w:hAnsi="宋体" w:cs="宋体"/>
                <w:color w:val="auto"/>
                <w:szCs w:val="21"/>
                <w:highlight w:val="none"/>
              </w:rPr>
            </w:pPr>
            <w:r>
              <w:rPr>
                <w:rFonts w:hint="eastAsia" w:ascii="宋体" w:hAnsi="宋体" w:cs="宋体"/>
                <w:color w:val="auto"/>
                <w:szCs w:val="21"/>
                <w:highlight w:val="none"/>
              </w:rPr>
              <w:t>1.1KW</w:t>
            </w:r>
          </w:p>
        </w:tc>
        <w:tc>
          <w:tcPr>
            <w:tcW w:w="720" w:type="dxa"/>
            <w:vAlign w:val="center"/>
          </w:tcPr>
          <w:p w14:paraId="54F41A12">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7896E562">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005" w:type="dxa"/>
            <w:vAlign w:val="center"/>
          </w:tcPr>
          <w:p w14:paraId="5D5F8FA4">
            <w:pPr>
              <w:spacing w:line="500" w:lineRule="exact"/>
              <w:rPr>
                <w:rFonts w:ascii="宋体" w:hAnsi="宋体" w:cs="宋体"/>
                <w:color w:val="auto"/>
                <w:szCs w:val="21"/>
                <w:highlight w:val="none"/>
              </w:rPr>
            </w:pPr>
            <w:r>
              <w:rPr>
                <w:rFonts w:hint="eastAsia" w:ascii="宋体" w:hAnsi="宋体" w:cs="宋体"/>
                <w:color w:val="auto"/>
                <w:szCs w:val="21"/>
                <w:highlight w:val="none"/>
              </w:rPr>
              <w:t>采用SEW、Nord、</w:t>
            </w:r>
            <w:r>
              <w:rPr>
                <w:rFonts w:hint="eastAsia" w:ascii="宋体" w:hAnsi="宋体" w:cs="宋体"/>
                <w:color w:val="auto"/>
                <w:spacing w:val="8"/>
                <w:szCs w:val="21"/>
                <w:highlight w:val="none"/>
              </w:rPr>
              <w:t>Flender</w:t>
            </w:r>
            <w:r>
              <w:rPr>
                <w:rFonts w:hint="eastAsia" w:ascii="宋体" w:hAnsi="宋体" w:cs="宋体"/>
                <w:color w:val="auto"/>
                <w:szCs w:val="21"/>
                <w:highlight w:val="none"/>
              </w:rPr>
              <w:t>或同档次及以上品牌减速机，其中2台安装在制备罐上。</w:t>
            </w:r>
          </w:p>
        </w:tc>
      </w:tr>
      <w:tr w14:paraId="0105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36010D04">
            <w:pPr>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650" w:type="dxa"/>
            <w:vAlign w:val="center"/>
          </w:tcPr>
          <w:p w14:paraId="59633AF8">
            <w:pPr>
              <w:spacing w:line="500" w:lineRule="exact"/>
              <w:rPr>
                <w:rFonts w:ascii="宋体" w:hAnsi="宋体" w:cs="宋体"/>
                <w:color w:val="auto"/>
                <w:szCs w:val="21"/>
                <w:highlight w:val="none"/>
              </w:rPr>
            </w:pPr>
            <w:r>
              <w:rPr>
                <w:rFonts w:hint="eastAsia" w:ascii="宋体" w:hAnsi="宋体" w:cs="宋体"/>
                <w:color w:val="auto"/>
                <w:szCs w:val="21"/>
                <w:highlight w:val="none"/>
              </w:rPr>
              <w:t>制备溶解罐负压除尘器</w:t>
            </w:r>
          </w:p>
        </w:tc>
        <w:tc>
          <w:tcPr>
            <w:tcW w:w="2085" w:type="dxa"/>
            <w:vAlign w:val="center"/>
          </w:tcPr>
          <w:p w14:paraId="4D00CAC6">
            <w:pPr>
              <w:spacing w:line="500" w:lineRule="exact"/>
              <w:rPr>
                <w:rFonts w:ascii="宋体" w:hAnsi="宋体" w:cs="宋体"/>
                <w:color w:val="auto"/>
                <w:szCs w:val="21"/>
                <w:highlight w:val="none"/>
              </w:rPr>
            </w:pPr>
            <w:r>
              <w:rPr>
                <w:rFonts w:hint="eastAsia" w:ascii="宋体" w:hAnsi="宋体" w:cs="宋体"/>
                <w:color w:val="auto"/>
                <w:szCs w:val="21"/>
                <w:highlight w:val="none"/>
              </w:rPr>
              <w:t>水控，双级除尘</w:t>
            </w:r>
          </w:p>
        </w:tc>
        <w:tc>
          <w:tcPr>
            <w:tcW w:w="720" w:type="dxa"/>
            <w:vAlign w:val="center"/>
          </w:tcPr>
          <w:p w14:paraId="2F5C6F26">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245" w:type="dxa"/>
            <w:vAlign w:val="center"/>
          </w:tcPr>
          <w:p w14:paraId="28D35780">
            <w:pPr>
              <w:spacing w:line="500" w:lineRule="exact"/>
              <w:rPr>
                <w:rFonts w:ascii="宋体" w:hAnsi="宋体" w:cs="宋体"/>
                <w:color w:val="auto"/>
                <w:szCs w:val="21"/>
                <w:highlight w:val="none"/>
              </w:rPr>
            </w:pPr>
            <w:r>
              <w:rPr>
                <w:rFonts w:hint="eastAsia" w:ascii="宋体" w:hAnsi="宋体" w:cs="宋体"/>
                <w:color w:val="auto"/>
                <w:szCs w:val="21"/>
                <w:highlight w:val="none"/>
              </w:rPr>
              <w:t>不锈钢AISI304</w:t>
            </w:r>
          </w:p>
        </w:tc>
        <w:tc>
          <w:tcPr>
            <w:tcW w:w="4005" w:type="dxa"/>
            <w:vAlign w:val="center"/>
          </w:tcPr>
          <w:p w14:paraId="761AF9BC">
            <w:pPr>
              <w:spacing w:line="500" w:lineRule="exact"/>
              <w:rPr>
                <w:rFonts w:ascii="宋体" w:hAnsi="宋体" w:cs="宋体"/>
                <w:color w:val="auto"/>
                <w:szCs w:val="21"/>
                <w:highlight w:val="none"/>
              </w:rPr>
            </w:pPr>
            <w:r>
              <w:rPr>
                <w:rFonts w:hint="eastAsia" w:ascii="宋体" w:hAnsi="宋体" w:cs="宋体"/>
                <w:color w:val="auto"/>
                <w:szCs w:val="21"/>
                <w:highlight w:val="none"/>
              </w:rPr>
              <w:t>法国Sodimate、英国GREAT LOVE、法国PARIMIX或同档次及以上品牌。</w:t>
            </w:r>
          </w:p>
        </w:tc>
      </w:tr>
      <w:tr w14:paraId="11FE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15" w:type="dxa"/>
            <w:vAlign w:val="center"/>
          </w:tcPr>
          <w:p w14:paraId="043805AA">
            <w:pPr>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650" w:type="dxa"/>
            <w:vAlign w:val="center"/>
          </w:tcPr>
          <w:p w14:paraId="217CC3E8">
            <w:pPr>
              <w:spacing w:line="500" w:lineRule="exact"/>
              <w:rPr>
                <w:rFonts w:ascii="宋体" w:hAnsi="宋体" w:cs="宋体"/>
                <w:color w:val="auto"/>
                <w:szCs w:val="21"/>
                <w:highlight w:val="none"/>
              </w:rPr>
            </w:pPr>
            <w:r>
              <w:rPr>
                <w:rFonts w:hint="eastAsia" w:ascii="宋体" w:hAnsi="宋体" w:cs="宋体"/>
                <w:color w:val="auto"/>
                <w:szCs w:val="21"/>
                <w:highlight w:val="none"/>
              </w:rPr>
              <w:t>电磁流量计</w:t>
            </w:r>
          </w:p>
        </w:tc>
        <w:tc>
          <w:tcPr>
            <w:tcW w:w="2085" w:type="dxa"/>
            <w:vAlign w:val="center"/>
          </w:tcPr>
          <w:p w14:paraId="33D3B3A0">
            <w:pPr>
              <w:spacing w:line="500" w:lineRule="exact"/>
              <w:rPr>
                <w:rFonts w:ascii="宋体" w:hAnsi="宋体" w:cs="宋体"/>
                <w:color w:val="auto"/>
                <w:szCs w:val="21"/>
                <w:highlight w:val="none"/>
              </w:rPr>
            </w:pPr>
            <w:r>
              <w:rPr>
                <w:rFonts w:hint="eastAsia" w:ascii="宋体" w:hAnsi="宋体" w:cs="宋体"/>
                <w:color w:val="auto"/>
                <w:szCs w:val="21"/>
                <w:highlight w:val="none"/>
              </w:rPr>
              <w:t>DN40</w:t>
            </w:r>
          </w:p>
        </w:tc>
        <w:tc>
          <w:tcPr>
            <w:tcW w:w="720" w:type="dxa"/>
            <w:vAlign w:val="center"/>
          </w:tcPr>
          <w:p w14:paraId="71A3A56E">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4147A509">
            <w:pPr>
              <w:spacing w:line="500" w:lineRule="exact"/>
              <w:ind w:left="420" w:leftChars="200" w:firstLine="420"/>
              <w:jc w:val="center"/>
              <w:rPr>
                <w:rFonts w:ascii="宋体" w:hAnsi="宋体" w:cs="宋体"/>
                <w:color w:val="auto"/>
                <w:szCs w:val="21"/>
                <w:highlight w:val="none"/>
              </w:rPr>
            </w:pPr>
          </w:p>
        </w:tc>
        <w:tc>
          <w:tcPr>
            <w:tcW w:w="4005" w:type="dxa"/>
            <w:vAlign w:val="center"/>
          </w:tcPr>
          <w:p w14:paraId="233C4F19">
            <w:pPr>
              <w:pStyle w:val="9"/>
              <w:spacing w:line="500" w:lineRule="exact"/>
              <w:rPr>
                <w:rFonts w:ascii="宋体" w:hAnsi="宋体" w:cs="宋体"/>
                <w:color w:val="auto"/>
                <w:szCs w:val="21"/>
                <w:highlight w:val="none"/>
              </w:rPr>
            </w:pPr>
            <w:r>
              <w:rPr>
                <w:rFonts w:hint="eastAsia" w:ascii="宋体" w:hAnsi="宋体" w:cs="宋体"/>
                <w:color w:val="auto"/>
                <w:szCs w:val="21"/>
                <w:highlight w:val="none"/>
              </w:rPr>
              <w:t>用于溶液配置用自来水计量，需满足溶液罐在出药情况下配水的时间不宜过长,需配备稳压阀、压力表电动阀门等附件。E+H、科隆、西门子或同档次及以上品牌。</w:t>
            </w:r>
          </w:p>
        </w:tc>
      </w:tr>
      <w:tr w14:paraId="36A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6F01EDE2">
            <w:pPr>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1650" w:type="dxa"/>
            <w:vAlign w:val="center"/>
          </w:tcPr>
          <w:p w14:paraId="1A5F3FA1">
            <w:pPr>
              <w:spacing w:line="500" w:lineRule="exact"/>
              <w:rPr>
                <w:rFonts w:ascii="宋体" w:hAnsi="宋体" w:cs="宋体"/>
                <w:color w:val="auto"/>
                <w:szCs w:val="21"/>
                <w:highlight w:val="none"/>
              </w:rPr>
            </w:pPr>
            <w:r>
              <w:rPr>
                <w:rFonts w:hint="eastAsia" w:ascii="宋体" w:hAnsi="宋体" w:cs="宋体"/>
                <w:color w:val="auto"/>
                <w:szCs w:val="21"/>
                <w:highlight w:val="none"/>
              </w:rPr>
              <w:t>耐磨离心泵</w:t>
            </w:r>
          </w:p>
        </w:tc>
        <w:tc>
          <w:tcPr>
            <w:tcW w:w="2085" w:type="dxa"/>
            <w:vAlign w:val="center"/>
          </w:tcPr>
          <w:p w14:paraId="545DF76E">
            <w:pPr>
              <w:spacing w:line="500" w:lineRule="exact"/>
              <w:rPr>
                <w:rFonts w:ascii="宋体" w:hAnsi="宋体" w:cs="宋体"/>
                <w:color w:val="auto"/>
                <w:szCs w:val="21"/>
                <w:highlight w:val="none"/>
              </w:rPr>
            </w:pPr>
            <w:r>
              <w:rPr>
                <w:rFonts w:hint="eastAsia" w:ascii="宋体" w:hAnsi="宋体" w:cs="宋体"/>
                <w:color w:val="auto"/>
                <w:szCs w:val="21"/>
                <w:highlight w:val="none"/>
              </w:rPr>
              <w:t>Q=4.5m³，H=3bar</w:t>
            </w:r>
          </w:p>
        </w:tc>
        <w:tc>
          <w:tcPr>
            <w:tcW w:w="720" w:type="dxa"/>
            <w:vAlign w:val="center"/>
          </w:tcPr>
          <w:p w14:paraId="1F4B590F">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59EE6ED8">
            <w:pPr>
              <w:spacing w:line="500" w:lineRule="exact"/>
              <w:ind w:left="420" w:leftChars="200" w:firstLine="420"/>
              <w:jc w:val="center"/>
              <w:rPr>
                <w:rFonts w:ascii="宋体" w:hAnsi="宋体" w:cs="宋体"/>
                <w:color w:val="auto"/>
                <w:szCs w:val="21"/>
                <w:highlight w:val="none"/>
              </w:rPr>
            </w:pPr>
          </w:p>
        </w:tc>
        <w:tc>
          <w:tcPr>
            <w:tcW w:w="4005" w:type="dxa"/>
            <w:vAlign w:val="center"/>
          </w:tcPr>
          <w:p w14:paraId="67C4A443">
            <w:pPr>
              <w:spacing w:line="500" w:lineRule="exact"/>
              <w:rPr>
                <w:rFonts w:ascii="宋体" w:hAnsi="宋体" w:cs="宋体"/>
                <w:color w:val="auto"/>
                <w:szCs w:val="21"/>
                <w:highlight w:val="none"/>
              </w:rPr>
            </w:pPr>
            <w:r>
              <w:rPr>
                <w:rFonts w:hint="eastAsia" w:ascii="宋体" w:hAnsi="宋体" w:cs="宋体"/>
                <w:color w:val="auto"/>
                <w:szCs w:val="21"/>
                <w:highlight w:val="none"/>
              </w:rPr>
              <w:t>南方、东方、凯泉或同档次品牌，变频调节，包括密封冲洗及管路冲洗装置。其中配套电机必须为变频专用电机。</w:t>
            </w:r>
          </w:p>
        </w:tc>
      </w:tr>
      <w:tr w14:paraId="1D1A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15" w:type="dxa"/>
            <w:vAlign w:val="center"/>
          </w:tcPr>
          <w:p w14:paraId="7863AA4D">
            <w:pPr>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650" w:type="dxa"/>
            <w:vAlign w:val="center"/>
          </w:tcPr>
          <w:p w14:paraId="4E5AD198">
            <w:pPr>
              <w:spacing w:line="500" w:lineRule="exact"/>
              <w:rPr>
                <w:rFonts w:ascii="宋体" w:hAnsi="宋体" w:cs="宋体"/>
                <w:color w:val="auto"/>
                <w:szCs w:val="21"/>
                <w:highlight w:val="none"/>
              </w:rPr>
            </w:pPr>
            <w:r>
              <w:rPr>
                <w:rFonts w:hint="eastAsia" w:ascii="宋体" w:hAnsi="宋体" w:cs="宋体"/>
                <w:color w:val="auto"/>
                <w:szCs w:val="21"/>
                <w:highlight w:val="none"/>
              </w:rPr>
              <w:t>电接点压力表</w:t>
            </w:r>
          </w:p>
        </w:tc>
        <w:tc>
          <w:tcPr>
            <w:tcW w:w="2085" w:type="dxa"/>
            <w:vAlign w:val="center"/>
          </w:tcPr>
          <w:p w14:paraId="1581A6F4">
            <w:pPr>
              <w:spacing w:line="500" w:lineRule="exact"/>
              <w:rPr>
                <w:rFonts w:ascii="宋体" w:hAnsi="宋体" w:cs="宋体"/>
                <w:color w:val="auto"/>
                <w:szCs w:val="21"/>
                <w:highlight w:val="none"/>
              </w:rPr>
            </w:pPr>
            <w:r>
              <w:rPr>
                <w:rFonts w:hint="eastAsia" w:ascii="宋体" w:hAnsi="宋体" w:cs="宋体"/>
                <w:color w:val="auto"/>
                <w:szCs w:val="21"/>
                <w:highlight w:val="none"/>
              </w:rPr>
              <w:t>0-1.0Mpa</w:t>
            </w:r>
          </w:p>
        </w:tc>
        <w:tc>
          <w:tcPr>
            <w:tcW w:w="720" w:type="dxa"/>
            <w:vAlign w:val="center"/>
          </w:tcPr>
          <w:p w14:paraId="1B6E6250">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4AD43535">
            <w:pPr>
              <w:spacing w:line="500" w:lineRule="exact"/>
              <w:ind w:left="420" w:leftChars="200" w:firstLine="420"/>
              <w:jc w:val="center"/>
              <w:rPr>
                <w:rFonts w:ascii="宋体" w:hAnsi="宋体" w:cs="宋体"/>
                <w:color w:val="auto"/>
                <w:szCs w:val="21"/>
                <w:highlight w:val="none"/>
              </w:rPr>
            </w:pPr>
          </w:p>
        </w:tc>
        <w:tc>
          <w:tcPr>
            <w:tcW w:w="4005" w:type="dxa"/>
            <w:vAlign w:val="center"/>
          </w:tcPr>
          <w:p w14:paraId="72E11745">
            <w:pPr>
              <w:spacing w:line="500" w:lineRule="exact"/>
              <w:rPr>
                <w:rFonts w:ascii="宋体" w:hAnsi="宋体" w:cs="宋体"/>
                <w:color w:val="auto"/>
                <w:szCs w:val="21"/>
                <w:highlight w:val="none"/>
              </w:rPr>
            </w:pPr>
            <w:r>
              <w:rPr>
                <w:rFonts w:hint="eastAsia" w:ascii="宋体" w:hAnsi="宋体" w:cs="宋体"/>
                <w:color w:val="auto"/>
                <w:szCs w:val="21"/>
                <w:highlight w:val="none"/>
              </w:rPr>
              <w:t>用于泵出口高压停泵，要求每个投加泵后配备一套。</w:t>
            </w:r>
          </w:p>
        </w:tc>
      </w:tr>
      <w:tr w14:paraId="4C8E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15" w:type="dxa"/>
            <w:vAlign w:val="center"/>
          </w:tcPr>
          <w:p w14:paraId="033352A5">
            <w:pPr>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1650" w:type="dxa"/>
            <w:vAlign w:val="center"/>
          </w:tcPr>
          <w:p w14:paraId="4FFB93F1">
            <w:pPr>
              <w:spacing w:line="500" w:lineRule="exact"/>
              <w:rPr>
                <w:rFonts w:ascii="宋体" w:hAnsi="宋体" w:cs="宋体"/>
                <w:color w:val="auto"/>
                <w:szCs w:val="21"/>
                <w:highlight w:val="none"/>
              </w:rPr>
            </w:pPr>
            <w:r>
              <w:rPr>
                <w:rFonts w:hint="eastAsia" w:ascii="宋体" w:hAnsi="宋体" w:cs="宋体"/>
                <w:color w:val="auto"/>
                <w:szCs w:val="21"/>
                <w:highlight w:val="none"/>
              </w:rPr>
              <w:t>电磁流量计</w:t>
            </w:r>
          </w:p>
        </w:tc>
        <w:tc>
          <w:tcPr>
            <w:tcW w:w="2085" w:type="dxa"/>
            <w:vAlign w:val="center"/>
          </w:tcPr>
          <w:p w14:paraId="49B13F3F">
            <w:pPr>
              <w:spacing w:line="500" w:lineRule="exact"/>
              <w:rPr>
                <w:rFonts w:ascii="宋体" w:hAnsi="宋体" w:cs="宋体"/>
                <w:color w:val="auto"/>
                <w:szCs w:val="21"/>
                <w:highlight w:val="none"/>
              </w:rPr>
            </w:pPr>
            <w:r>
              <w:rPr>
                <w:rFonts w:hint="eastAsia" w:ascii="宋体" w:hAnsi="宋体" w:cs="宋体"/>
                <w:color w:val="auto"/>
                <w:szCs w:val="21"/>
                <w:highlight w:val="none"/>
              </w:rPr>
              <w:t>DN40</w:t>
            </w:r>
          </w:p>
        </w:tc>
        <w:tc>
          <w:tcPr>
            <w:tcW w:w="720" w:type="dxa"/>
            <w:vAlign w:val="center"/>
          </w:tcPr>
          <w:p w14:paraId="7AF85619">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245" w:type="dxa"/>
            <w:vAlign w:val="center"/>
          </w:tcPr>
          <w:p w14:paraId="5EB8F64B">
            <w:pPr>
              <w:spacing w:line="500" w:lineRule="exact"/>
              <w:ind w:left="420" w:leftChars="200"/>
              <w:jc w:val="center"/>
              <w:rPr>
                <w:rFonts w:ascii="宋体" w:hAnsi="宋体" w:cs="宋体"/>
                <w:color w:val="auto"/>
                <w:szCs w:val="21"/>
                <w:highlight w:val="none"/>
              </w:rPr>
            </w:pPr>
          </w:p>
        </w:tc>
        <w:tc>
          <w:tcPr>
            <w:tcW w:w="4005" w:type="dxa"/>
            <w:vAlign w:val="center"/>
          </w:tcPr>
          <w:p w14:paraId="24094239">
            <w:pPr>
              <w:spacing w:line="500" w:lineRule="exact"/>
              <w:rPr>
                <w:rFonts w:ascii="宋体" w:hAnsi="宋体" w:cs="宋体"/>
                <w:color w:val="auto"/>
                <w:szCs w:val="21"/>
                <w:highlight w:val="none"/>
              </w:rPr>
            </w:pPr>
            <w:r>
              <w:rPr>
                <w:rFonts w:hint="eastAsia" w:ascii="宋体" w:hAnsi="宋体" w:cs="宋体"/>
                <w:color w:val="auto"/>
                <w:szCs w:val="21"/>
                <w:highlight w:val="none"/>
              </w:rPr>
              <w:t>用于投加泵投加管路， E+H、科隆、西门子或同档次及以上品牌。</w:t>
            </w:r>
          </w:p>
        </w:tc>
      </w:tr>
      <w:tr w14:paraId="254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15" w:type="dxa"/>
            <w:vAlign w:val="center"/>
          </w:tcPr>
          <w:p w14:paraId="2738FF99">
            <w:pPr>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1650" w:type="dxa"/>
            <w:vAlign w:val="center"/>
          </w:tcPr>
          <w:p w14:paraId="6315B301">
            <w:pPr>
              <w:spacing w:line="500" w:lineRule="exact"/>
              <w:rPr>
                <w:rFonts w:ascii="宋体" w:hAnsi="宋体" w:cs="宋体"/>
                <w:color w:val="auto"/>
                <w:szCs w:val="21"/>
                <w:highlight w:val="none"/>
              </w:rPr>
            </w:pPr>
            <w:r>
              <w:rPr>
                <w:rFonts w:hint="eastAsia" w:ascii="宋体" w:hAnsi="宋体" w:cs="宋体"/>
                <w:color w:val="auto"/>
                <w:szCs w:val="21"/>
                <w:highlight w:val="none"/>
              </w:rPr>
              <w:t>管路及阀门</w:t>
            </w:r>
          </w:p>
        </w:tc>
        <w:tc>
          <w:tcPr>
            <w:tcW w:w="2085" w:type="dxa"/>
            <w:vAlign w:val="center"/>
          </w:tcPr>
          <w:p w14:paraId="4EF7CE56">
            <w:pPr>
              <w:spacing w:line="500" w:lineRule="exact"/>
              <w:rPr>
                <w:rFonts w:ascii="宋体" w:hAnsi="宋体" w:cs="宋体"/>
                <w:color w:val="auto"/>
                <w:szCs w:val="21"/>
                <w:highlight w:val="none"/>
              </w:rPr>
            </w:pPr>
            <w:r>
              <w:rPr>
                <w:rFonts w:hint="eastAsia" w:ascii="宋体" w:hAnsi="宋体" w:cs="宋体"/>
                <w:color w:val="auto"/>
                <w:szCs w:val="21"/>
                <w:highlight w:val="none"/>
              </w:rPr>
              <w:t>DN25-DN100</w:t>
            </w:r>
          </w:p>
        </w:tc>
        <w:tc>
          <w:tcPr>
            <w:tcW w:w="720" w:type="dxa"/>
            <w:vAlign w:val="center"/>
          </w:tcPr>
          <w:p w14:paraId="3DCC9A88">
            <w:pPr>
              <w:spacing w:line="500" w:lineRule="exact"/>
              <w:rPr>
                <w:rFonts w:ascii="宋体" w:hAnsi="宋体" w:cs="宋体"/>
                <w:color w:val="auto"/>
                <w:szCs w:val="21"/>
                <w:highlight w:val="none"/>
              </w:rPr>
            </w:pPr>
            <w:r>
              <w:rPr>
                <w:rFonts w:hint="eastAsia" w:ascii="宋体" w:hAnsi="宋体" w:cs="宋体"/>
                <w:color w:val="auto"/>
                <w:szCs w:val="21"/>
                <w:highlight w:val="none"/>
              </w:rPr>
              <w:t>1批</w:t>
            </w:r>
          </w:p>
        </w:tc>
        <w:tc>
          <w:tcPr>
            <w:tcW w:w="1245" w:type="dxa"/>
            <w:vAlign w:val="center"/>
          </w:tcPr>
          <w:p w14:paraId="5E26EF81">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0A502C08">
            <w:pPr>
              <w:spacing w:line="500" w:lineRule="exact"/>
              <w:rPr>
                <w:rFonts w:ascii="宋体" w:hAnsi="宋体" w:cs="宋体"/>
                <w:color w:val="auto"/>
                <w:szCs w:val="21"/>
                <w:highlight w:val="none"/>
              </w:rPr>
            </w:pPr>
            <w:r>
              <w:rPr>
                <w:rFonts w:hint="eastAsia" w:ascii="宋体" w:hAnsi="宋体" w:cs="宋体"/>
                <w:color w:val="auto"/>
                <w:szCs w:val="21"/>
                <w:highlight w:val="none"/>
              </w:rPr>
              <w:t>投加泵出口阀门后至投加点的管材采用内UPVC材质</w:t>
            </w:r>
          </w:p>
        </w:tc>
      </w:tr>
      <w:tr w14:paraId="0535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15" w:type="dxa"/>
            <w:vAlign w:val="center"/>
          </w:tcPr>
          <w:p w14:paraId="6A21AB95">
            <w:pPr>
              <w:spacing w:line="500" w:lineRule="exact"/>
              <w:rPr>
                <w:rFonts w:ascii="宋体" w:hAnsi="宋体" w:cs="宋体"/>
                <w:color w:val="auto"/>
                <w:szCs w:val="21"/>
                <w:highlight w:val="none"/>
              </w:rPr>
            </w:pPr>
            <w:r>
              <w:rPr>
                <w:rFonts w:hint="eastAsia" w:ascii="宋体" w:hAnsi="宋体" w:cs="宋体"/>
                <w:color w:val="auto"/>
                <w:szCs w:val="21"/>
                <w:highlight w:val="none"/>
              </w:rPr>
              <w:t>19</w:t>
            </w:r>
          </w:p>
        </w:tc>
        <w:tc>
          <w:tcPr>
            <w:tcW w:w="1650" w:type="dxa"/>
            <w:vAlign w:val="center"/>
          </w:tcPr>
          <w:p w14:paraId="62FEF7A7">
            <w:pPr>
              <w:spacing w:line="500" w:lineRule="exact"/>
              <w:rPr>
                <w:rFonts w:ascii="宋体" w:hAnsi="宋体" w:cs="宋体"/>
                <w:color w:val="auto"/>
                <w:szCs w:val="21"/>
                <w:highlight w:val="none"/>
              </w:rPr>
            </w:pPr>
            <w:r>
              <w:rPr>
                <w:rFonts w:hint="eastAsia" w:ascii="宋体" w:hAnsi="宋体" w:cs="宋体"/>
                <w:color w:val="auto"/>
                <w:szCs w:val="21"/>
                <w:highlight w:val="none"/>
              </w:rPr>
              <w:t>空压机系统</w:t>
            </w:r>
          </w:p>
        </w:tc>
        <w:tc>
          <w:tcPr>
            <w:tcW w:w="2085" w:type="dxa"/>
            <w:vAlign w:val="center"/>
          </w:tcPr>
          <w:p w14:paraId="02F56792">
            <w:pPr>
              <w:spacing w:line="500" w:lineRule="exact"/>
              <w:rPr>
                <w:rFonts w:ascii="宋体" w:hAnsi="宋体" w:cs="宋体"/>
                <w:color w:val="auto"/>
                <w:szCs w:val="21"/>
                <w:highlight w:val="none"/>
              </w:rPr>
            </w:pPr>
            <w:r>
              <w:rPr>
                <w:rFonts w:hint="eastAsia" w:ascii="宋体" w:hAnsi="宋体" w:cs="宋体"/>
                <w:color w:val="auto"/>
                <w:spacing w:val="8"/>
                <w:szCs w:val="21"/>
                <w:highlight w:val="none"/>
              </w:rPr>
              <w:t>排气量&gt;0.67m</w:t>
            </w:r>
            <w:r>
              <w:rPr>
                <w:rFonts w:hint="eastAsia" w:ascii="宋体" w:hAnsi="宋体" w:cs="宋体"/>
                <w:color w:val="auto"/>
                <w:spacing w:val="8"/>
                <w:szCs w:val="21"/>
                <w:highlight w:val="none"/>
                <w:vertAlign w:val="superscript"/>
              </w:rPr>
              <w:t>3</w:t>
            </w:r>
            <w:r>
              <w:rPr>
                <w:rFonts w:hint="eastAsia" w:ascii="宋体" w:hAnsi="宋体" w:cs="宋体"/>
                <w:color w:val="auto"/>
                <w:spacing w:val="8"/>
                <w:szCs w:val="21"/>
                <w:highlight w:val="none"/>
              </w:rPr>
              <w:t>/min     最高工作压力 8bar。</w:t>
            </w:r>
          </w:p>
        </w:tc>
        <w:tc>
          <w:tcPr>
            <w:tcW w:w="720" w:type="dxa"/>
            <w:vAlign w:val="center"/>
          </w:tcPr>
          <w:p w14:paraId="79F52A69">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66BEB7A6">
            <w:pPr>
              <w:spacing w:line="500" w:lineRule="exact"/>
              <w:ind w:left="420" w:leftChars="200" w:firstLine="420"/>
              <w:jc w:val="center"/>
              <w:rPr>
                <w:rFonts w:ascii="宋体" w:hAnsi="宋体" w:cs="宋体"/>
                <w:color w:val="auto"/>
                <w:szCs w:val="21"/>
                <w:highlight w:val="none"/>
              </w:rPr>
            </w:pPr>
          </w:p>
        </w:tc>
        <w:tc>
          <w:tcPr>
            <w:tcW w:w="4005" w:type="dxa"/>
            <w:vAlign w:val="center"/>
          </w:tcPr>
          <w:p w14:paraId="1AEABC62">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空压机采用活塞结构形式，推荐寿力、复盛、阿特拉斯或同档次及以上品牌；管路要求配套冷冻式干燥机、相应2级过滤器、储气罐1个、，配套自动排水器；室外配套气路管道必须采用不锈钢或铜管。 </w:t>
            </w:r>
          </w:p>
        </w:tc>
      </w:tr>
      <w:tr w14:paraId="2FF6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15993951">
            <w:pPr>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1650" w:type="dxa"/>
            <w:vAlign w:val="center"/>
          </w:tcPr>
          <w:p w14:paraId="093D9AAB">
            <w:pPr>
              <w:spacing w:line="500" w:lineRule="exact"/>
              <w:rPr>
                <w:rFonts w:ascii="宋体" w:hAnsi="宋体" w:cs="宋体"/>
                <w:color w:val="auto"/>
                <w:szCs w:val="21"/>
                <w:highlight w:val="none"/>
              </w:rPr>
            </w:pPr>
            <w:r>
              <w:rPr>
                <w:rFonts w:hint="eastAsia" w:ascii="宋体" w:hAnsi="宋体" w:cs="宋体"/>
                <w:color w:val="auto"/>
                <w:szCs w:val="21"/>
                <w:highlight w:val="none"/>
              </w:rPr>
              <w:t>增压泵</w:t>
            </w:r>
          </w:p>
        </w:tc>
        <w:tc>
          <w:tcPr>
            <w:tcW w:w="2085" w:type="dxa"/>
            <w:vAlign w:val="center"/>
          </w:tcPr>
          <w:p w14:paraId="7667B6D3">
            <w:pPr>
              <w:spacing w:line="500" w:lineRule="exact"/>
              <w:rPr>
                <w:rFonts w:ascii="宋体" w:hAnsi="宋体" w:cs="宋体"/>
                <w:color w:val="auto"/>
                <w:szCs w:val="21"/>
                <w:highlight w:val="none"/>
              </w:rPr>
            </w:pPr>
            <w:r>
              <w:rPr>
                <w:rFonts w:hint="eastAsia" w:ascii="宋体" w:hAnsi="宋体" w:cs="宋体"/>
                <w:color w:val="auto"/>
                <w:szCs w:val="21"/>
                <w:highlight w:val="none"/>
              </w:rPr>
              <w:t>Q=12m³，H=3bar</w:t>
            </w:r>
          </w:p>
        </w:tc>
        <w:tc>
          <w:tcPr>
            <w:tcW w:w="720" w:type="dxa"/>
            <w:vAlign w:val="center"/>
          </w:tcPr>
          <w:p w14:paraId="0DBEB835">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22F9DA2E">
            <w:pPr>
              <w:spacing w:line="500" w:lineRule="exact"/>
              <w:ind w:left="420" w:leftChars="200" w:firstLine="420"/>
              <w:jc w:val="center"/>
              <w:rPr>
                <w:rFonts w:ascii="宋体" w:hAnsi="宋体" w:cs="宋体"/>
                <w:color w:val="auto"/>
                <w:szCs w:val="21"/>
                <w:highlight w:val="none"/>
              </w:rPr>
            </w:pPr>
          </w:p>
        </w:tc>
        <w:tc>
          <w:tcPr>
            <w:tcW w:w="4005" w:type="dxa"/>
            <w:vAlign w:val="center"/>
          </w:tcPr>
          <w:p w14:paraId="45B7BEB5">
            <w:pPr>
              <w:spacing w:line="500" w:lineRule="exact"/>
              <w:rPr>
                <w:rFonts w:ascii="宋体" w:hAnsi="宋体" w:cs="宋体"/>
                <w:color w:val="auto"/>
                <w:szCs w:val="21"/>
                <w:highlight w:val="none"/>
              </w:rPr>
            </w:pPr>
            <w:r>
              <w:rPr>
                <w:rFonts w:hint="eastAsia" w:ascii="宋体" w:hAnsi="宋体" w:cs="宋体"/>
                <w:color w:val="auto"/>
                <w:szCs w:val="21"/>
                <w:highlight w:val="none"/>
              </w:rPr>
              <w:t>用于冲洗管路、配水，采用立式离心泵形式，推荐格兰富、东方、南方同档次及以上品牌，包括相关配套手动切换阀门，压力表等。</w:t>
            </w:r>
          </w:p>
        </w:tc>
      </w:tr>
      <w:tr w14:paraId="08BD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5801E7DF">
            <w:pPr>
              <w:spacing w:line="500" w:lineRule="exact"/>
              <w:rPr>
                <w:rFonts w:ascii="宋体" w:hAnsi="宋体" w:cs="宋体"/>
                <w:color w:val="auto"/>
                <w:szCs w:val="21"/>
                <w:highlight w:val="none"/>
              </w:rPr>
            </w:pPr>
            <w:r>
              <w:rPr>
                <w:rFonts w:hint="eastAsia" w:ascii="宋体" w:hAnsi="宋体" w:cs="宋体"/>
                <w:color w:val="auto"/>
                <w:szCs w:val="21"/>
                <w:highlight w:val="none"/>
              </w:rPr>
              <w:t>21</w:t>
            </w:r>
          </w:p>
        </w:tc>
        <w:tc>
          <w:tcPr>
            <w:tcW w:w="1650" w:type="dxa"/>
            <w:vAlign w:val="center"/>
          </w:tcPr>
          <w:p w14:paraId="591781D6">
            <w:pPr>
              <w:spacing w:line="500" w:lineRule="exact"/>
              <w:rPr>
                <w:rFonts w:ascii="宋体" w:hAnsi="宋体" w:cs="宋体"/>
                <w:color w:val="auto"/>
                <w:szCs w:val="21"/>
                <w:highlight w:val="none"/>
              </w:rPr>
            </w:pPr>
            <w:r>
              <w:rPr>
                <w:rFonts w:hint="eastAsia" w:ascii="宋体" w:hAnsi="宋体" w:cs="宋体"/>
                <w:color w:val="auto"/>
                <w:szCs w:val="21"/>
                <w:highlight w:val="none"/>
              </w:rPr>
              <w:t>控制系统</w:t>
            </w:r>
          </w:p>
        </w:tc>
        <w:tc>
          <w:tcPr>
            <w:tcW w:w="2085" w:type="dxa"/>
            <w:vAlign w:val="center"/>
          </w:tcPr>
          <w:p w14:paraId="554D8425">
            <w:pPr>
              <w:spacing w:line="500" w:lineRule="exact"/>
              <w:ind w:left="420" w:leftChars="200"/>
              <w:jc w:val="center"/>
              <w:rPr>
                <w:rFonts w:ascii="宋体" w:hAnsi="宋体" w:cs="宋体"/>
                <w:color w:val="auto"/>
                <w:szCs w:val="21"/>
                <w:highlight w:val="none"/>
              </w:rPr>
            </w:pPr>
          </w:p>
        </w:tc>
        <w:tc>
          <w:tcPr>
            <w:tcW w:w="720" w:type="dxa"/>
            <w:vAlign w:val="center"/>
          </w:tcPr>
          <w:p w14:paraId="07696537">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1C187701">
            <w:pPr>
              <w:spacing w:line="500" w:lineRule="exact"/>
              <w:ind w:left="420" w:leftChars="200"/>
              <w:jc w:val="center"/>
              <w:rPr>
                <w:rFonts w:ascii="宋体" w:hAnsi="宋体" w:cs="宋体"/>
                <w:color w:val="auto"/>
                <w:szCs w:val="21"/>
                <w:highlight w:val="none"/>
              </w:rPr>
            </w:pPr>
          </w:p>
        </w:tc>
        <w:tc>
          <w:tcPr>
            <w:tcW w:w="4005" w:type="dxa"/>
            <w:vAlign w:val="center"/>
          </w:tcPr>
          <w:p w14:paraId="0278236A">
            <w:pPr>
              <w:spacing w:line="500" w:lineRule="exact"/>
              <w:rPr>
                <w:rFonts w:ascii="宋体" w:hAnsi="宋体" w:cs="宋体"/>
                <w:color w:val="auto"/>
                <w:szCs w:val="21"/>
                <w:highlight w:val="none"/>
              </w:rPr>
            </w:pPr>
            <w:r>
              <w:rPr>
                <w:rFonts w:hint="eastAsia" w:ascii="宋体" w:hAnsi="宋体" w:cs="宋体"/>
                <w:color w:val="auto"/>
                <w:szCs w:val="21"/>
                <w:highlight w:val="none"/>
              </w:rPr>
              <w:t>PLC选用罗克韦尔、西门子、施耐德或同档次及以上品牌，含变频器、PLC模块及各元气件等，主要各元器件必须为罗克韦尔、施耐德、ABB、西门子或同档次及以上产品</w:t>
            </w:r>
          </w:p>
        </w:tc>
      </w:tr>
      <w:tr w14:paraId="6247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5" w:type="dxa"/>
            <w:vAlign w:val="center"/>
          </w:tcPr>
          <w:p w14:paraId="74634516">
            <w:pPr>
              <w:spacing w:line="500" w:lineRule="exact"/>
              <w:rPr>
                <w:rFonts w:ascii="宋体" w:hAnsi="宋体" w:cs="宋体"/>
                <w:color w:val="auto"/>
                <w:szCs w:val="21"/>
                <w:highlight w:val="none"/>
              </w:rPr>
            </w:pPr>
            <w:r>
              <w:rPr>
                <w:rFonts w:hint="eastAsia" w:ascii="宋体" w:hAnsi="宋体" w:cs="宋体"/>
                <w:color w:val="auto"/>
                <w:szCs w:val="21"/>
                <w:highlight w:val="none"/>
              </w:rPr>
              <w:t>22</w:t>
            </w:r>
          </w:p>
        </w:tc>
        <w:tc>
          <w:tcPr>
            <w:tcW w:w="1650" w:type="dxa"/>
            <w:vAlign w:val="center"/>
          </w:tcPr>
          <w:p w14:paraId="6B6A41F0">
            <w:pPr>
              <w:spacing w:line="500" w:lineRule="exact"/>
              <w:rPr>
                <w:rFonts w:ascii="宋体" w:hAnsi="宋体" w:cs="宋体"/>
                <w:color w:val="auto"/>
                <w:szCs w:val="21"/>
                <w:highlight w:val="none"/>
              </w:rPr>
            </w:pPr>
            <w:r>
              <w:rPr>
                <w:rFonts w:hint="eastAsia" w:ascii="宋体" w:hAnsi="宋体" w:cs="宋体"/>
                <w:color w:val="auto"/>
                <w:szCs w:val="21"/>
                <w:highlight w:val="none"/>
              </w:rPr>
              <w:t>触摸屏</w:t>
            </w:r>
          </w:p>
        </w:tc>
        <w:tc>
          <w:tcPr>
            <w:tcW w:w="2085" w:type="dxa"/>
            <w:vAlign w:val="center"/>
          </w:tcPr>
          <w:p w14:paraId="42745D09">
            <w:pPr>
              <w:spacing w:line="500" w:lineRule="exact"/>
              <w:rPr>
                <w:rFonts w:ascii="宋体" w:hAnsi="宋体" w:cs="宋体"/>
                <w:color w:val="auto"/>
                <w:spacing w:val="8"/>
                <w:szCs w:val="21"/>
                <w:highlight w:val="none"/>
              </w:rPr>
            </w:pPr>
            <w:r>
              <w:rPr>
                <w:rFonts w:hint="eastAsia" w:ascii="宋体" w:hAnsi="宋体" w:cs="宋体"/>
                <w:color w:val="auto"/>
                <w:spacing w:val="8"/>
                <w:szCs w:val="21"/>
                <w:highlight w:val="none"/>
              </w:rPr>
              <w:t>不小于10寸显示屏</w:t>
            </w:r>
          </w:p>
        </w:tc>
        <w:tc>
          <w:tcPr>
            <w:tcW w:w="720" w:type="dxa"/>
            <w:vAlign w:val="center"/>
          </w:tcPr>
          <w:p w14:paraId="7602B2ED">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245" w:type="dxa"/>
            <w:vAlign w:val="center"/>
          </w:tcPr>
          <w:p w14:paraId="60627F15">
            <w:pPr>
              <w:spacing w:line="500" w:lineRule="exact"/>
              <w:ind w:left="420" w:leftChars="200" w:firstLine="420"/>
              <w:jc w:val="center"/>
              <w:rPr>
                <w:rFonts w:ascii="宋体" w:hAnsi="宋体" w:cs="宋体"/>
                <w:color w:val="auto"/>
                <w:szCs w:val="21"/>
                <w:highlight w:val="none"/>
              </w:rPr>
            </w:pPr>
          </w:p>
        </w:tc>
        <w:tc>
          <w:tcPr>
            <w:tcW w:w="4005" w:type="dxa"/>
            <w:vAlign w:val="center"/>
          </w:tcPr>
          <w:p w14:paraId="1516D3C6">
            <w:pPr>
              <w:spacing w:line="500" w:lineRule="exact"/>
              <w:rPr>
                <w:rFonts w:ascii="宋体" w:hAnsi="宋体" w:cs="宋体"/>
                <w:color w:val="auto"/>
                <w:szCs w:val="21"/>
                <w:highlight w:val="none"/>
              </w:rPr>
            </w:pPr>
            <w:r>
              <w:rPr>
                <w:rFonts w:hint="eastAsia" w:ascii="宋体" w:hAnsi="宋体" w:cs="宋体"/>
                <w:color w:val="auto"/>
                <w:szCs w:val="21"/>
                <w:highlight w:val="none"/>
              </w:rPr>
              <w:t>含人机中文界面制作调试。</w:t>
            </w:r>
          </w:p>
        </w:tc>
      </w:tr>
      <w:tr w14:paraId="743B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4B9EDDE">
            <w:pPr>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1650" w:type="dxa"/>
            <w:vAlign w:val="center"/>
          </w:tcPr>
          <w:p w14:paraId="265360B1">
            <w:pPr>
              <w:spacing w:line="500" w:lineRule="exact"/>
              <w:rPr>
                <w:rFonts w:ascii="宋体" w:hAnsi="宋体" w:cs="宋体"/>
                <w:color w:val="auto"/>
                <w:szCs w:val="21"/>
                <w:highlight w:val="none"/>
              </w:rPr>
            </w:pPr>
            <w:r>
              <w:rPr>
                <w:rFonts w:hint="eastAsia" w:ascii="宋体" w:hAnsi="宋体" w:cs="宋体"/>
                <w:color w:val="auto"/>
                <w:szCs w:val="21"/>
                <w:highlight w:val="none"/>
              </w:rPr>
              <w:t>动力电缆、控制电缆、信号电缆</w:t>
            </w:r>
          </w:p>
        </w:tc>
        <w:tc>
          <w:tcPr>
            <w:tcW w:w="2085" w:type="dxa"/>
            <w:vAlign w:val="center"/>
          </w:tcPr>
          <w:p w14:paraId="49A7C769">
            <w:pPr>
              <w:spacing w:line="500" w:lineRule="exact"/>
              <w:rPr>
                <w:rFonts w:ascii="宋体" w:hAnsi="宋体" w:cs="宋体"/>
                <w:color w:val="auto"/>
                <w:spacing w:val="8"/>
                <w:szCs w:val="21"/>
                <w:highlight w:val="none"/>
              </w:rPr>
            </w:pPr>
            <w:r>
              <w:rPr>
                <w:rFonts w:hint="eastAsia" w:ascii="宋体" w:hAnsi="宋体" w:cs="宋体"/>
                <w:color w:val="auto"/>
                <w:szCs w:val="21"/>
                <w:highlight w:val="none"/>
              </w:rPr>
              <w:t>规格大小厂家自定，满足系统使用需求</w:t>
            </w:r>
          </w:p>
        </w:tc>
        <w:tc>
          <w:tcPr>
            <w:tcW w:w="720" w:type="dxa"/>
            <w:vAlign w:val="center"/>
          </w:tcPr>
          <w:p w14:paraId="41800B79">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6BB7E2D8">
            <w:pPr>
              <w:spacing w:line="500" w:lineRule="exact"/>
              <w:ind w:left="420" w:leftChars="200" w:firstLine="420"/>
              <w:jc w:val="center"/>
              <w:rPr>
                <w:rFonts w:ascii="宋体" w:hAnsi="宋体" w:cs="宋体"/>
                <w:color w:val="auto"/>
                <w:szCs w:val="21"/>
                <w:highlight w:val="none"/>
              </w:rPr>
            </w:pPr>
          </w:p>
        </w:tc>
        <w:tc>
          <w:tcPr>
            <w:tcW w:w="4005" w:type="dxa"/>
            <w:vAlign w:val="center"/>
          </w:tcPr>
          <w:p w14:paraId="77F34357">
            <w:pPr>
              <w:spacing w:line="500" w:lineRule="exact"/>
              <w:ind w:left="0" w:leftChars="0"/>
              <w:rPr>
                <w:rFonts w:ascii="宋体" w:hAnsi="宋体" w:cs="宋体"/>
                <w:color w:val="auto"/>
                <w:szCs w:val="21"/>
                <w:highlight w:val="none"/>
              </w:rPr>
            </w:pPr>
            <w:r>
              <w:rPr>
                <w:rFonts w:hint="eastAsia" w:ascii="宋体" w:hAnsi="宋体" w:cs="宋体"/>
                <w:color w:val="auto"/>
                <w:szCs w:val="21"/>
                <w:highlight w:val="none"/>
              </w:rPr>
              <w:t>推荐金龙羽、深缆、起凡或同档次及以上国内知名品牌。</w:t>
            </w:r>
          </w:p>
        </w:tc>
      </w:tr>
      <w:tr w14:paraId="1D4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320" w:type="dxa"/>
            <w:gridSpan w:val="6"/>
            <w:vAlign w:val="center"/>
          </w:tcPr>
          <w:p w14:paraId="4AA63C7D">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复合高锰酸盐投加系统</w:t>
            </w:r>
          </w:p>
        </w:tc>
      </w:tr>
      <w:tr w14:paraId="1BA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FE20F22">
            <w:pPr>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58B0F0B">
            <w:pPr>
              <w:spacing w:line="500" w:lineRule="exact"/>
              <w:rPr>
                <w:rFonts w:ascii="宋体" w:hAnsi="宋体" w:cs="宋体"/>
                <w:color w:val="auto"/>
                <w:szCs w:val="21"/>
                <w:highlight w:val="none"/>
              </w:rPr>
            </w:pPr>
            <w:r>
              <w:rPr>
                <w:rFonts w:hint="eastAsia" w:ascii="宋体" w:hAnsi="宋体" w:cs="宋体"/>
                <w:color w:val="auto"/>
                <w:szCs w:val="21"/>
                <w:highlight w:val="none"/>
              </w:rPr>
              <w:t>加药数字隔膜计量泵</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336094FA">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Q=375L/h, H=40m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520013">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3F5D15AD">
            <w:pPr>
              <w:spacing w:line="500" w:lineRule="exact"/>
              <w:ind w:left="420" w:leftChars="200" w:firstLine="420"/>
              <w:jc w:val="center"/>
              <w:rPr>
                <w:rFonts w:ascii="宋体" w:hAnsi="宋体" w:cs="宋体"/>
                <w:color w:val="auto"/>
                <w:szCs w:val="21"/>
                <w:highlight w:val="none"/>
              </w:rPr>
            </w:pPr>
          </w:p>
        </w:tc>
        <w:tc>
          <w:tcPr>
            <w:tcW w:w="4005" w:type="dxa"/>
            <w:vAlign w:val="center"/>
          </w:tcPr>
          <w:p w14:paraId="0BF70526">
            <w:pPr>
              <w:spacing w:line="500" w:lineRule="exact"/>
              <w:rPr>
                <w:rFonts w:ascii="宋体" w:hAnsi="宋体" w:cs="宋体"/>
                <w:color w:val="auto"/>
                <w:szCs w:val="21"/>
                <w:highlight w:val="none"/>
              </w:rPr>
            </w:pPr>
            <w:r>
              <w:rPr>
                <w:rFonts w:hint="eastAsia" w:ascii="宋体" w:hAnsi="宋体" w:cs="宋体"/>
                <w:color w:val="auto"/>
                <w:szCs w:val="21"/>
                <w:highlight w:val="none"/>
              </w:rPr>
              <w:t>格兰富、普罗名特、米顿罗等或同档次及以上品牌，</w:t>
            </w:r>
          </w:p>
        </w:tc>
      </w:tr>
      <w:tr w14:paraId="24FA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77F4AE9C">
            <w:pPr>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50" w:type="dxa"/>
            <w:tcBorders>
              <w:top w:val="nil"/>
              <w:left w:val="single" w:color="auto" w:sz="4" w:space="0"/>
              <w:bottom w:val="single" w:color="auto" w:sz="4" w:space="0"/>
              <w:right w:val="single" w:color="auto" w:sz="4" w:space="0"/>
            </w:tcBorders>
            <w:shd w:val="clear" w:color="auto" w:fill="auto"/>
            <w:vAlign w:val="center"/>
          </w:tcPr>
          <w:p w14:paraId="75F8BA38">
            <w:pPr>
              <w:spacing w:line="500" w:lineRule="exact"/>
              <w:rPr>
                <w:rFonts w:ascii="宋体" w:hAnsi="宋体" w:cs="宋体"/>
                <w:color w:val="auto"/>
                <w:szCs w:val="21"/>
                <w:highlight w:val="none"/>
              </w:rPr>
            </w:pPr>
            <w:r>
              <w:rPr>
                <w:rFonts w:hint="eastAsia" w:ascii="宋体" w:hAnsi="宋体" w:cs="宋体"/>
                <w:color w:val="auto"/>
                <w:szCs w:val="21"/>
                <w:highlight w:val="none"/>
              </w:rPr>
              <w:t>PE搅拌罐</w:t>
            </w:r>
          </w:p>
        </w:tc>
        <w:tc>
          <w:tcPr>
            <w:tcW w:w="2085" w:type="dxa"/>
            <w:tcBorders>
              <w:top w:val="nil"/>
              <w:left w:val="single" w:color="auto" w:sz="4" w:space="0"/>
              <w:bottom w:val="single" w:color="auto" w:sz="4" w:space="0"/>
              <w:right w:val="single" w:color="auto" w:sz="4" w:space="0"/>
            </w:tcBorders>
            <w:shd w:val="clear" w:color="auto" w:fill="auto"/>
            <w:vAlign w:val="center"/>
          </w:tcPr>
          <w:p w14:paraId="73F4CAA9">
            <w:pPr>
              <w:spacing w:line="500" w:lineRule="exact"/>
              <w:rPr>
                <w:rFonts w:ascii="宋体" w:hAnsi="宋体" w:cs="宋体"/>
                <w:color w:val="auto"/>
                <w:szCs w:val="21"/>
                <w:highlight w:val="none"/>
              </w:rPr>
            </w:pPr>
            <w:r>
              <w:rPr>
                <w:rFonts w:hint="eastAsia" w:ascii="宋体" w:hAnsi="宋体" w:cs="宋体"/>
                <w:color w:val="auto"/>
                <w:szCs w:val="21"/>
                <w:highlight w:val="none"/>
              </w:rPr>
              <w:t>V=8m3</w:t>
            </w:r>
          </w:p>
        </w:tc>
        <w:tc>
          <w:tcPr>
            <w:tcW w:w="720" w:type="dxa"/>
            <w:tcBorders>
              <w:top w:val="nil"/>
              <w:left w:val="single" w:color="auto" w:sz="4" w:space="0"/>
              <w:bottom w:val="single" w:color="auto" w:sz="4" w:space="0"/>
              <w:right w:val="single" w:color="auto" w:sz="4" w:space="0"/>
            </w:tcBorders>
            <w:shd w:val="clear" w:color="auto" w:fill="auto"/>
            <w:vAlign w:val="center"/>
          </w:tcPr>
          <w:p w14:paraId="3AEDC806">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0DB70CBB">
            <w:pPr>
              <w:spacing w:line="500" w:lineRule="exact"/>
              <w:rPr>
                <w:rFonts w:ascii="宋体" w:hAnsi="宋体" w:cs="宋体"/>
                <w:color w:val="auto"/>
                <w:szCs w:val="21"/>
                <w:highlight w:val="none"/>
              </w:rPr>
            </w:pPr>
            <w:r>
              <w:rPr>
                <w:rFonts w:hint="eastAsia" w:ascii="宋体" w:hAnsi="宋体" w:cs="宋体"/>
                <w:color w:val="auto"/>
                <w:szCs w:val="21"/>
                <w:highlight w:val="none"/>
              </w:rPr>
              <w:t>PE</w:t>
            </w:r>
          </w:p>
        </w:tc>
        <w:tc>
          <w:tcPr>
            <w:tcW w:w="4005" w:type="dxa"/>
            <w:vAlign w:val="center"/>
          </w:tcPr>
          <w:p w14:paraId="4B4FB57E">
            <w:pPr>
              <w:spacing w:line="500" w:lineRule="exact"/>
              <w:rPr>
                <w:rFonts w:ascii="宋体" w:hAnsi="宋体" w:cs="宋体"/>
                <w:color w:val="auto"/>
                <w:szCs w:val="21"/>
                <w:highlight w:val="none"/>
              </w:rPr>
            </w:pPr>
            <w:r>
              <w:rPr>
                <w:rFonts w:hint="eastAsia" w:ascii="宋体" w:hAnsi="宋体" w:cs="宋体"/>
                <w:color w:val="auto"/>
                <w:szCs w:val="21"/>
                <w:highlight w:val="none"/>
              </w:rPr>
              <w:t>配套液位管，一体成型法兰</w:t>
            </w:r>
          </w:p>
        </w:tc>
      </w:tr>
      <w:tr w14:paraId="12B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049A7733">
            <w:pPr>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650" w:type="dxa"/>
            <w:tcBorders>
              <w:top w:val="nil"/>
              <w:left w:val="single" w:color="auto" w:sz="4" w:space="0"/>
              <w:bottom w:val="single" w:color="auto" w:sz="4" w:space="0"/>
              <w:right w:val="single" w:color="auto" w:sz="4" w:space="0"/>
            </w:tcBorders>
            <w:shd w:val="clear" w:color="auto" w:fill="auto"/>
            <w:vAlign w:val="center"/>
          </w:tcPr>
          <w:p w14:paraId="5EF752DC">
            <w:pPr>
              <w:spacing w:line="500" w:lineRule="exact"/>
              <w:rPr>
                <w:rFonts w:ascii="宋体" w:hAnsi="宋体" w:cs="宋体"/>
                <w:color w:val="auto"/>
                <w:szCs w:val="21"/>
                <w:highlight w:val="none"/>
              </w:rPr>
            </w:pPr>
            <w:r>
              <w:rPr>
                <w:rFonts w:hint="eastAsia" w:ascii="宋体" w:hAnsi="宋体" w:cs="宋体"/>
                <w:color w:val="auto"/>
                <w:szCs w:val="21"/>
                <w:highlight w:val="none"/>
              </w:rPr>
              <w:t>搅拌器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39E42A63">
            <w:pPr>
              <w:spacing w:line="500" w:lineRule="exact"/>
              <w:rPr>
                <w:rFonts w:ascii="宋体" w:hAnsi="宋体" w:cs="宋体"/>
                <w:color w:val="auto"/>
                <w:szCs w:val="21"/>
                <w:highlight w:val="none"/>
              </w:rPr>
            </w:pPr>
            <w:r>
              <w:rPr>
                <w:rFonts w:hint="eastAsia" w:ascii="宋体" w:hAnsi="宋体" w:cs="宋体"/>
                <w:color w:val="auto"/>
                <w:szCs w:val="21"/>
                <w:highlight w:val="none"/>
              </w:rPr>
              <w:t>P=2.2KW</w:t>
            </w:r>
          </w:p>
        </w:tc>
        <w:tc>
          <w:tcPr>
            <w:tcW w:w="720" w:type="dxa"/>
            <w:tcBorders>
              <w:top w:val="nil"/>
              <w:left w:val="single" w:color="auto" w:sz="4" w:space="0"/>
              <w:bottom w:val="single" w:color="auto" w:sz="4" w:space="0"/>
              <w:right w:val="single" w:color="auto" w:sz="4" w:space="0"/>
            </w:tcBorders>
            <w:shd w:val="clear" w:color="auto" w:fill="auto"/>
            <w:vAlign w:val="center"/>
          </w:tcPr>
          <w:p w14:paraId="0296AA65">
            <w:pPr>
              <w:spacing w:line="500" w:lineRule="exact"/>
              <w:rPr>
                <w:rFonts w:ascii="宋体" w:hAnsi="宋体" w:cs="宋体"/>
                <w:color w:val="auto"/>
                <w:szCs w:val="21"/>
                <w:highlight w:val="none"/>
              </w:rPr>
            </w:pPr>
            <w:r>
              <w:rPr>
                <w:rFonts w:hint="eastAsia" w:ascii="宋体" w:hAnsi="宋体" w:cs="宋体"/>
                <w:color w:val="auto"/>
                <w:szCs w:val="21"/>
                <w:highlight w:val="none"/>
              </w:rPr>
              <w:t>2台</w:t>
            </w:r>
          </w:p>
        </w:tc>
        <w:tc>
          <w:tcPr>
            <w:tcW w:w="1245" w:type="dxa"/>
            <w:vAlign w:val="center"/>
          </w:tcPr>
          <w:p w14:paraId="2B90243D">
            <w:pPr>
              <w:spacing w:line="500" w:lineRule="exact"/>
              <w:rPr>
                <w:rFonts w:ascii="宋体" w:hAnsi="宋体" w:cs="宋体"/>
                <w:color w:val="auto"/>
                <w:szCs w:val="21"/>
                <w:highlight w:val="none"/>
              </w:rPr>
            </w:pPr>
            <w:r>
              <w:rPr>
                <w:rFonts w:hint="eastAsia" w:ascii="宋体" w:hAnsi="宋体" w:cs="宋体"/>
                <w:color w:val="auto"/>
                <w:szCs w:val="21"/>
                <w:highlight w:val="none"/>
              </w:rPr>
              <w:t>钢衬塑</w:t>
            </w:r>
          </w:p>
        </w:tc>
        <w:tc>
          <w:tcPr>
            <w:tcW w:w="4005" w:type="dxa"/>
            <w:vAlign w:val="center"/>
          </w:tcPr>
          <w:p w14:paraId="6CE77E35">
            <w:pPr>
              <w:spacing w:line="500" w:lineRule="exact"/>
              <w:rPr>
                <w:rFonts w:ascii="宋体" w:hAnsi="宋体" w:cs="宋体"/>
                <w:color w:val="auto"/>
                <w:szCs w:val="21"/>
                <w:highlight w:val="none"/>
              </w:rPr>
            </w:pPr>
            <w:r>
              <w:rPr>
                <w:rFonts w:hint="eastAsia" w:ascii="宋体" w:hAnsi="宋体" w:cs="宋体"/>
                <w:color w:val="auto"/>
                <w:szCs w:val="21"/>
                <w:highlight w:val="none"/>
              </w:rPr>
              <w:t>桨叶采用钢衬塑防腐处理，附带安装支架</w:t>
            </w:r>
          </w:p>
        </w:tc>
      </w:tr>
      <w:tr w14:paraId="489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30994A6C">
            <w:pPr>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650" w:type="dxa"/>
            <w:tcBorders>
              <w:top w:val="nil"/>
              <w:left w:val="single" w:color="auto" w:sz="4" w:space="0"/>
              <w:bottom w:val="single" w:color="auto" w:sz="4" w:space="0"/>
              <w:right w:val="single" w:color="auto" w:sz="4" w:space="0"/>
            </w:tcBorders>
            <w:shd w:val="clear" w:color="auto" w:fill="auto"/>
            <w:vAlign w:val="center"/>
          </w:tcPr>
          <w:p w14:paraId="7679BFC4">
            <w:pPr>
              <w:spacing w:line="500" w:lineRule="exact"/>
              <w:rPr>
                <w:rFonts w:ascii="宋体" w:hAnsi="宋体" w:cs="宋体"/>
                <w:color w:val="auto"/>
                <w:szCs w:val="21"/>
                <w:highlight w:val="none"/>
              </w:rPr>
            </w:pPr>
            <w:r>
              <w:rPr>
                <w:rFonts w:hint="eastAsia" w:ascii="宋体" w:hAnsi="宋体" w:cs="宋体"/>
                <w:color w:val="auto"/>
                <w:szCs w:val="21"/>
                <w:highlight w:val="none"/>
              </w:rPr>
              <w:t>液位计</w:t>
            </w:r>
          </w:p>
        </w:tc>
        <w:tc>
          <w:tcPr>
            <w:tcW w:w="2085" w:type="dxa"/>
            <w:tcBorders>
              <w:top w:val="nil"/>
              <w:left w:val="single" w:color="auto" w:sz="4" w:space="0"/>
              <w:bottom w:val="single" w:color="auto" w:sz="4" w:space="0"/>
              <w:right w:val="single" w:color="auto" w:sz="4" w:space="0"/>
            </w:tcBorders>
            <w:shd w:val="clear" w:color="auto" w:fill="auto"/>
            <w:vAlign w:val="center"/>
          </w:tcPr>
          <w:p w14:paraId="7DA19859">
            <w:pPr>
              <w:spacing w:line="500" w:lineRule="exact"/>
              <w:rPr>
                <w:rFonts w:ascii="宋体" w:hAnsi="宋体" w:cs="宋体"/>
                <w:color w:val="auto"/>
                <w:szCs w:val="21"/>
                <w:highlight w:val="none"/>
              </w:rPr>
            </w:pPr>
            <w:r>
              <w:rPr>
                <w:rFonts w:hint="eastAsia" w:ascii="宋体" w:hAnsi="宋体" w:cs="宋体"/>
                <w:color w:val="auto"/>
                <w:szCs w:val="21"/>
                <w:highlight w:val="none"/>
              </w:rPr>
              <w:t>0-5m,4-20mA</w:t>
            </w:r>
          </w:p>
        </w:tc>
        <w:tc>
          <w:tcPr>
            <w:tcW w:w="720" w:type="dxa"/>
            <w:tcBorders>
              <w:top w:val="nil"/>
              <w:left w:val="single" w:color="auto" w:sz="4" w:space="0"/>
              <w:bottom w:val="single" w:color="auto" w:sz="4" w:space="0"/>
              <w:right w:val="single" w:color="auto" w:sz="4" w:space="0"/>
            </w:tcBorders>
            <w:shd w:val="clear" w:color="auto" w:fill="auto"/>
            <w:vAlign w:val="center"/>
          </w:tcPr>
          <w:p w14:paraId="1F601415">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497C80F5">
            <w:pPr>
              <w:spacing w:line="500" w:lineRule="exact"/>
              <w:ind w:left="420" w:leftChars="200" w:firstLine="420"/>
              <w:jc w:val="center"/>
              <w:rPr>
                <w:rFonts w:ascii="宋体" w:hAnsi="宋体" w:cs="宋体"/>
                <w:color w:val="auto"/>
                <w:szCs w:val="21"/>
                <w:highlight w:val="none"/>
              </w:rPr>
            </w:pPr>
          </w:p>
        </w:tc>
        <w:tc>
          <w:tcPr>
            <w:tcW w:w="4005" w:type="dxa"/>
            <w:vAlign w:val="center"/>
          </w:tcPr>
          <w:p w14:paraId="4FEB6E6C">
            <w:pPr>
              <w:spacing w:line="500" w:lineRule="exact"/>
              <w:rPr>
                <w:rFonts w:ascii="宋体" w:hAnsi="宋体" w:cs="宋体"/>
                <w:color w:val="auto"/>
                <w:szCs w:val="21"/>
                <w:highlight w:val="none"/>
              </w:rPr>
            </w:pPr>
            <w:r>
              <w:rPr>
                <w:rFonts w:hint="eastAsia" w:ascii="宋体" w:hAnsi="宋体" w:cs="宋体"/>
                <w:color w:val="auto"/>
                <w:szCs w:val="21"/>
                <w:highlight w:val="none"/>
              </w:rPr>
              <w:t>E+H、西门子、科隆等或同档次及以上品牌，</w:t>
            </w:r>
          </w:p>
        </w:tc>
      </w:tr>
      <w:tr w14:paraId="465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C235F2C">
            <w:pPr>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1650" w:type="dxa"/>
            <w:tcBorders>
              <w:top w:val="nil"/>
              <w:left w:val="single" w:color="auto" w:sz="4" w:space="0"/>
              <w:bottom w:val="single" w:color="auto" w:sz="4" w:space="0"/>
              <w:right w:val="single" w:color="auto" w:sz="4" w:space="0"/>
            </w:tcBorders>
            <w:shd w:val="clear" w:color="auto" w:fill="auto"/>
            <w:vAlign w:val="center"/>
          </w:tcPr>
          <w:p w14:paraId="5B540B30">
            <w:pPr>
              <w:spacing w:line="500" w:lineRule="exact"/>
              <w:rPr>
                <w:rFonts w:ascii="宋体" w:hAnsi="宋体" w:cs="宋体"/>
                <w:color w:val="auto"/>
                <w:szCs w:val="21"/>
                <w:highlight w:val="none"/>
              </w:rPr>
            </w:pPr>
            <w:r>
              <w:rPr>
                <w:rFonts w:hint="eastAsia" w:ascii="宋体" w:hAnsi="宋体" w:cs="宋体"/>
                <w:color w:val="auto"/>
                <w:szCs w:val="21"/>
                <w:highlight w:val="none"/>
              </w:rPr>
              <w:t>电动球阀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60B51217">
            <w:pPr>
              <w:spacing w:line="500" w:lineRule="exact"/>
              <w:rPr>
                <w:rFonts w:ascii="宋体" w:hAnsi="宋体" w:cs="宋体"/>
                <w:color w:val="auto"/>
                <w:szCs w:val="21"/>
                <w:highlight w:val="none"/>
              </w:rPr>
            </w:pPr>
            <w:r>
              <w:rPr>
                <w:rFonts w:hint="eastAsia" w:ascii="宋体" w:hAnsi="宋体" w:cs="宋体"/>
                <w:color w:val="auto"/>
                <w:szCs w:val="21"/>
                <w:highlight w:val="none"/>
              </w:rPr>
              <w:t>DN50</w:t>
            </w:r>
          </w:p>
        </w:tc>
        <w:tc>
          <w:tcPr>
            <w:tcW w:w="720" w:type="dxa"/>
            <w:tcBorders>
              <w:top w:val="nil"/>
              <w:left w:val="single" w:color="auto" w:sz="4" w:space="0"/>
              <w:bottom w:val="single" w:color="auto" w:sz="4" w:space="0"/>
              <w:right w:val="single" w:color="auto" w:sz="4" w:space="0"/>
            </w:tcBorders>
            <w:shd w:val="clear" w:color="auto" w:fill="auto"/>
            <w:vAlign w:val="center"/>
          </w:tcPr>
          <w:p w14:paraId="535219A7">
            <w:pPr>
              <w:spacing w:line="500" w:lineRule="exact"/>
              <w:rPr>
                <w:rFonts w:ascii="宋体" w:hAnsi="宋体" w:cs="宋体"/>
                <w:color w:val="auto"/>
                <w:szCs w:val="21"/>
                <w:highlight w:val="none"/>
              </w:rPr>
            </w:pPr>
            <w:r>
              <w:rPr>
                <w:rFonts w:hint="eastAsia" w:ascii="宋体" w:hAnsi="宋体" w:cs="宋体"/>
                <w:color w:val="auto"/>
                <w:szCs w:val="21"/>
                <w:highlight w:val="none"/>
              </w:rPr>
              <w:t>5只</w:t>
            </w:r>
          </w:p>
        </w:tc>
        <w:tc>
          <w:tcPr>
            <w:tcW w:w="1245" w:type="dxa"/>
            <w:vAlign w:val="center"/>
          </w:tcPr>
          <w:p w14:paraId="3A43E132">
            <w:pPr>
              <w:spacing w:line="500" w:lineRule="exac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0FA3903A">
            <w:pPr>
              <w:spacing w:line="500" w:lineRule="exact"/>
              <w:ind w:left="420" w:leftChars="200"/>
              <w:rPr>
                <w:rFonts w:ascii="宋体" w:hAnsi="宋体" w:cs="宋体"/>
                <w:color w:val="auto"/>
                <w:szCs w:val="21"/>
                <w:highlight w:val="none"/>
              </w:rPr>
            </w:pPr>
          </w:p>
        </w:tc>
      </w:tr>
      <w:tr w14:paraId="21F9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31FC91E">
            <w:pPr>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1650" w:type="dxa"/>
            <w:tcBorders>
              <w:top w:val="nil"/>
              <w:left w:val="single" w:color="auto" w:sz="4" w:space="0"/>
              <w:bottom w:val="single" w:color="auto" w:sz="4" w:space="0"/>
              <w:right w:val="single" w:color="auto" w:sz="4" w:space="0"/>
            </w:tcBorders>
            <w:shd w:val="clear" w:color="auto" w:fill="auto"/>
            <w:vAlign w:val="center"/>
          </w:tcPr>
          <w:p w14:paraId="6EEACB4D">
            <w:pPr>
              <w:spacing w:line="500" w:lineRule="exact"/>
              <w:rPr>
                <w:rFonts w:ascii="宋体" w:hAnsi="宋体" w:cs="宋体"/>
                <w:color w:val="auto"/>
                <w:szCs w:val="21"/>
                <w:highlight w:val="none"/>
              </w:rPr>
            </w:pPr>
            <w:r>
              <w:rPr>
                <w:rFonts w:hint="eastAsia" w:ascii="宋体" w:hAnsi="宋体" w:cs="宋体"/>
                <w:color w:val="auto"/>
                <w:szCs w:val="21"/>
                <w:highlight w:val="none"/>
              </w:rPr>
              <w:t>投料站</w:t>
            </w:r>
          </w:p>
        </w:tc>
        <w:tc>
          <w:tcPr>
            <w:tcW w:w="2085" w:type="dxa"/>
            <w:tcBorders>
              <w:top w:val="nil"/>
              <w:left w:val="single" w:color="auto" w:sz="4" w:space="0"/>
              <w:bottom w:val="single" w:color="auto" w:sz="4" w:space="0"/>
              <w:right w:val="single" w:color="auto" w:sz="4" w:space="0"/>
            </w:tcBorders>
            <w:shd w:val="clear" w:color="auto" w:fill="auto"/>
            <w:vAlign w:val="center"/>
          </w:tcPr>
          <w:p w14:paraId="1E4D45BE">
            <w:pPr>
              <w:spacing w:line="500" w:lineRule="exact"/>
              <w:rPr>
                <w:rFonts w:ascii="宋体" w:hAnsi="宋体" w:cs="宋体"/>
                <w:color w:val="auto"/>
                <w:szCs w:val="21"/>
                <w:highlight w:val="none"/>
              </w:rPr>
            </w:pPr>
            <w:r>
              <w:rPr>
                <w:rFonts w:hint="eastAsia" w:ascii="宋体" w:hAnsi="宋体" w:cs="宋体"/>
                <w:color w:val="auto"/>
                <w:szCs w:val="21"/>
                <w:highlight w:val="none"/>
              </w:rPr>
              <w:t>500型</w:t>
            </w:r>
          </w:p>
        </w:tc>
        <w:tc>
          <w:tcPr>
            <w:tcW w:w="720" w:type="dxa"/>
            <w:tcBorders>
              <w:top w:val="nil"/>
              <w:left w:val="single" w:color="auto" w:sz="4" w:space="0"/>
              <w:bottom w:val="single" w:color="auto" w:sz="4" w:space="0"/>
              <w:right w:val="single" w:color="auto" w:sz="4" w:space="0"/>
            </w:tcBorders>
            <w:shd w:val="clear" w:color="auto" w:fill="auto"/>
            <w:vAlign w:val="center"/>
          </w:tcPr>
          <w:p w14:paraId="30B3711E">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695F0754">
            <w:pPr>
              <w:spacing w:line="500" w:lineRule="exact"/>
              <w:rPr>
                <w:rFonts w:ascii="宋体" w:hAnsi="宋体" w:cs="宋体"/>
                <w:color w:val="auto"/>
                <w:szCs w:val="21"/>
                <w:highlight w:val="none"/>
              </w:rPr>
            </w:pPr>
            <w:r>
              <w:rPr>
                <w:rFonts w:hint="eastAsia" w:ascii="宋体" w:hAnsi="宋体" w:cs="宋体"/>
                <w:color w:val="auto"/>
                <w:szCs w:val="21"/>
                <w:highlight w:val="none"/>
              </w:rPr>
              <w:t>316材质</w:t>
            </w:r>
          </w:p>
        </w:tc>
        <w:tc>
          <w:tcPr>
            <w:tcW w:w="4005" w:type="dxa"/>
            <w:vAlign w:val="center"/>
          </w:tcPr>
          <w:p w14:paraId="7CA956FF">
            <w:pPr>
              <w:spacing w:line="500" w:lineRule="exact"/>
              <w:rPr>
                <w:rFonts w:ascii="宋体" w:hAnsi="宋体" w:cs="宋体"/>
                <w:color w:val="auto"/>
                <w:szCs w:val="21"/>
                <w:highlight w:val="none"/>
              </w:rPr>
            </w:pPr>
            <w:r>
              <w:rPr>
                <w:rFonts w:hint="eastAsia" w:ascii="宋体" w:hAnsi="宋体" w:cs="宋体"/>
                <w:color w:val="auto"/>
                <w:szCs w:val="21"/>
                <w:highlight w:val="none"/>
              </w:rPr>
              <w:t>包括射流器，不锈钢下料阀</w:t>
            </w:r>
          </w:p>
        </w:tc>
      </w:tr>
      <w:tr w14:paraId="3DC2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C60F79F">
            <w:pPr>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1650" w:type="dxa"/>
            <w:tcBorders>
              <w:top w:val="nil"/>
              <w:left w:val="single" w:color="auto" w:sz="4" w:space="0"/>
              <w:bottom w:val="single" w:color="auto" w:sz="4" w:space="0"/>
              <w:right w:val="single" w:color="auto" w:sz="4" w:space="0"/>
            </w:tcBorders>
            <w:shd w:val="clear" w:color="auto" w:fill="auto"/>
            <w:vAlign w:val="center"/>
          </w:tcPr>
          <w:p w14:paraId="78000728">
            <w:pPr>
              <w:spacing w:line="500" w:lineRule="exact"/>
              <w:rPr>
                <w:rFonts w:ascii="宋体" w:hAnsi="宋体" w:cs="宋体"/>
                <w:color w:val="auto"/>
                <w:szCs w:val="21"/>
                <w:highlight w:val="none"/>
              </w:rPr>
            </w:pPr>
            <w:r>
              <w:rPr>
                <w:rFonts w:hint="eastAsia" w:ascii="宋体" w:hAnsi="宋体" w:cs="宋体"/>
                <w:color w:val="auto"/>
                <w:szCs w:val="21"/>
                <w:highlight w:val="none"/>
              </w:rPr>
              <w:t>电磁阀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09D2383">
            <w:pPr>
              <w:spacing w:line="500" w:lineRule="exact"/>
              <w:rPr>
                <w:rFonts w:ascii="宋体" w:hAnsi="宋体" w:cs="宋体"/>
                <w:color w:val="auto"/>
                <w:szCs w:val="21"/>
                <w:highlight w:val="none"/>
              </w:rPr>
            </w:pPr>
            <w:r>
              <w:rPr>
                <w:rFonts w:hint="eastAsia" w:ascii="宋体" w:hAnsi="宋体" w:cs="宋体"/>
                <w:color w:val="auto"/>
                <w:szCs w:val="21"/>
                <w:highlight w:val="none"/>
              </w:rPr>
              <w:t>DN25</w:t>
            </w:r>
          </w:p>
        </w:tc>
        <w:tc>
          <w:tcPr>
            <w:tcW w:w="720" w:type="dxa"/>
            <w:tcBorders>
              <w:top w:val="nil"/>
              <w:left w:val="single" w:color="auto" w:sz="4" w:space="0"/>
              <w:bottom w:val="single" w:color="auto" w:sz="4" w:space="0"/>
              <w:right w:val="single" w:color="auto" w:sz="4" w:space="0"/>
            </w:tcBorders>
            <w:shd w:val="clear" w:color="auto" w:fill="auto"/>
            <w:vAlign w:val="center"/>
          </w:tcPr>
          <w:p w14:paraId="67B336F2">
            <w:pPr>
              <w:spacing w:line="500" w:lineRule="exact"/>
              <w:rPr>
                <w:rFonts w:ascii="宋体" w:hAnsi="宋体" w:cs="宋体"/>
                <w:color w:val="auto"/>
                <w:szCs w:val="21"/>
                <w:highlight w:val="none"/>
              </w:rPr>
            </w:pPr>
            <w:r>
              <w:rPr>
                <w:rFonts w:hint="eastAsia" w:ascii="宋体" w:hAnsi="宋体" w:cs="宋体"/>
                <w:color w:val="auto"/>
                <w:szCs w:val="21"/>
                <w:highlight w:val="none"/>
              </w:rPr>
              <w:t>1只</w:t>
            </w:r>
          </w:p>
        </w:tc>
        <w:tc>
          <w:tcPr>
            <w:tcW w:w="1245" w:type="dxa"/>
            <w:vAlign w:val="center"/>
          </w:tcPr>
          <w:p w14:paraId="0CD2F012">
            <w:pPr>
              <w:spacing w:line="500" w:lineRule="exact"/>
              <w:ind w:left="420" w:leftChars="200" w:firstLine="420"/>
              <w:jc w:val="left"/>
              <w:rPr>
                <w:rFonts w:ascii="宋体" w:hAnsi="宋体" w:cs="宋体"/>
                <w:color w:val="auto"/>
                <w:szCs w:val="21"/>
                <w:highlight w:val="none"/>
              </w:rPr>
            </w:pPr>
          </w:p>
        </w:tc>
        <w:tc>
          <w:tcPr>
            <w:tcW w:w="4005" w:type="dxa"/>
            <w:vAlign w:val="center"/>
          </w:tcPr>
          <w:p w14:paraId="4F4121D5">
            <w:pPr>
              <w:spacing w:line="500" w:lineRule="exact"/>
              <w:ind w:left="420" w:leftChars="200"/>
              <w:jc w:val="left"/>
              <w:rPr>
                <w:rFonts w:ascii="宋体" w:hAnsi="宋体" w:cs="宋体"/>
                <w:color w:val="auto"/>
                <w:szCs w:val="21"/>
                <w:highlight w:val="none"/>
              </w:rPr>
            </w:pPr>
          </w:p>
        </w:tc>
      </w:tr>
      <w:tr w14:paraId="2DF8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F31A330">
            <w:pPr>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650" w:type="dxa"/>
            <w:tcBorders>
              <w:top w:val="nil"/>
              <w:left w:val="single" w:color="auto" w:sz="4" w:space="0"/>
              <w:bottom w:val="single" w:color="auto" w:sz="4" w:space="0"/>
              <w:right w:val="single" w:color="auto" w:sz="4" w:space="0"/>
            </w:tcBorders>
            <w:shd w:val="clear" w:color="auto" w:fill="auto"/>
            <w:vAlign w:val="center"/>
          </w:tcPr>
          <w:p w14:paraId="2B1442E8">
            <w:pPr>
              <w:spacing w:line="500" w:lineRule="exact"/>
              <w:rPr>
                <w:rFonts w:ascii="宋体" w:hAnsi="宋体" w:cs="宋体"/>
                <w:color w:val="auto"/>
                <w:szCs w:val="21"/>
                <w:highlight w:val="none"/>
              </w:rPr>
            </w:pPr>
            <w:r>
              <w:rPr>
                <w:rFonts w:hint="eastAsia" w:ascii="宋体" w:hAnsi="宋体" w:cs="宋体"/>
                <w:color w:val="auto"/>
                <w:szCs w:val="21"/>
                <w:highlight w:val="none"/>
              </w:rPr>
              <w:t>Y型过滤器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2360297C">
            <w:pPr>
              <w:spacing w:line="500" w:lineRule="exact"/>
              <w:rPr>
                <w:rFonts w:ascii="宋体" w:hAnsi="宋体" w:cs="宋体"/>
                <w:color w:val="auto"/>
                <w:szCs w:val="21"/>
                <w:highlight w:val="none"/>
              </w:rPr>
            </w:pPr>
            <w:r>
              <w:rPr>
                <w:rFonts w:hint="eastAsia" w:ascii="宋体" w:hAnsi="宋体" w:cs="宋体"/>
                <w:color w:val="auto"/>
                <w:szCs w:val="21"/>
                <w:highlight w:val="none"/>
              </w:rPr>
              <w:t>DN32</w:t>
            </w:r>
          </w:p>
        </w:tc>
        <w:tc>
          <w:tcPr>
            <w:tcW w:w="720" w:type="dxa"/>
            <w:tcBorders>
              <w:top w:val="nil"/>
              <w:left w:val="single" w:color="auto" w:sz="4" w:space="0"/>
              <w:bottom w:val="single" w:color="auto" w:sz="4" w:space="0"/>
              <w:right w:val="single" w:color="auto" w:sz="4" w:space="0"/>
            </w:tcBorders>
            <w:shd w:val="clear" w:color="auto" w:fill="auto"/>
            <w:vAlign w:val="center"/>
          </w:tcPr>
          <w:p w14:paraId="0EF3F95F">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0E8AD7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14AA809F">
            <w:pPr>
              <w:spacing w:line="500" w:lineRule="exact"/>
              <w:ind w:left="420" w:leftChars="200"/>
              <w:jc w:val="left"/>
              <w:rPr>
                <w:rFonts w:ascii="宋体" w:hAnsi="宋体" w:cs="宋体"/>
                <w:color w:val="auto"/>
                <w:szCs w:val="21"/>
                <w:highlight w:val="none"/>
              </w:rPr>
            </w:pPr>
          </w:p>
        </w:tc>
      </w:tr>
      <w:tr w14:paraId="4B7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5D0D1AB">
            <w:pPr>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1650" w:type="dxa"/>
            <w:tcBorders>
              <w:top w:val="nil"/>
              <w:left w:val="single" w:color="auto" w:sz="4" w:space="0"/>
              <w:bottom w:val="single" w:color="auto" w:sz="4" w:space="0"/>
              <w:right w:val="single" w:color="auto" w:sz="4" w:space="0"/>
            </w:tcBorders>
            <w:shd w:val="clear" w:color="auto" w:fill="auto"/>
            <w:vAlign w:val="center"/>
          </w:tcPr>
          <w:p w14:paraId="36F02E71">
            <w:pPr>
              <w:spacing w:line="500" w:lineRule="exact"/>
              <w:rPr>
                <w:rFonts w:ascii="宋体" w:hAnsi="宋体" w:cs="宋体"/>
                <w:color w:val="auto"/>
                <w:szCs w:val="21"/>
                <w:highlight w:val="none"/>
              </w:rPr>
            </w:pPr>
            <w:r>
              <w:rPr>
                <w:rFonts w:hint="eastAsia" w:ascii="宋体" w:hAnsi="宋体" w:cs="宋体"/>
                <w:color w:val="auto"/>
                <w:szCs w:val="21"/>
                <w:highlight w:val="none"/>
              </w:rPr>
              <w:t>标定柱</w:t>
            </w:r>
          </w:p>
        </w:tc>
        <w:tc>
          <w:tcPr>
            <w:tcW w:w="2085" w:type="dxa"/>
            <w:tcBorders>
              <w:top w:val="nil"/>
              <w:left w:val="single" w:color="auto" w:sz="4" w:space="0"/>
              <w:bottom w:val="single" w:color="auto" w:sz="4" w:space="0"/>
              <w:right w:val="single" w:color="auto" w:sz="4" w:space="0"/>
            </w:tcBorders>
            <w:shd w:val="clear" w:color="auto" w:fill="auto"/>
            <w:vAlign w:val="center"/>
          </w:tcPr>
          <w:p w14:paraId="199C5F48">
            <w:pPr>
              <w:spacing w:line="500" w:lineRule="exact"/>
              <w:rPr>
                <w:rFonts w:ascii="宋体" w:hAnsi="宋体" w:cs="宋体"/>
                <w:color w:val="auto"/>
                <w:szCs w:val="21"/>
                <w:highlight w:val="none"/>
              </w:rPr>
            </w:pPr>
            <w:r>
              <w:rPr>
                <w:rFonts w:hint="eastAsia" w:ascii="宋体" w:hAnsi="宋体" w:cs="宋体"/>
                <w:color w:val="auto"/>
                <w:szCs w:val="21"/>
                <w:highlight w:val="none"/>
              </w:rPr>
              <w:t>1L</w:t>
            </w:r>
          </w:p>
        </w:tc>
        <w:tc>
          <w:tcPr>
            <w:tcW w:w="720" w:type="dxa"/>
            <w:tcBorders>
              <w:top w:val="nil"/>
              <w:left w:val="single" w:color="auto" w:sz="4" w:space="0"/>
              <w:bottom w:val="single" w:color="auto" w:sz="4" w:space="0"/>
              <w:right w:val="single" w:color="auto" w:sz="4" w:space="0"/>
            </w:tcBorders>
            <w:shd w:val="clear" w:color="auto" w:fill="auto"/>
            <w:vAlign w:val="center"/>
          </w:tcPr>
          <w:p w14:paraId="1935B8ED">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030E7D7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5E3F630F">
            <w:pPr>
              <w:spacing w:line="500" w:lineRule="exact"/>
              <w:ind w:left="420" w:leftChars="200"/>
              <w:jc w:val="left"/>
              <w:rPr>
                <w:rFonts w:ascii="宋体" w:hAnsi="宋体" w:cs="宋体"/>
                <w:color w:val="auto"/>
                <w:szCs w:val="21"/>
                <w:highlight w:val="none"/>
              </w:rPr>
            </w:pPr>
          </w:p>
        </w:tc>
      </w:tr>
      <w:tr w14:paraId="24B6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302C10F9">
            <w:pPr>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650" w:type="dxa"/>
            <w:tcBorders>
              <w:top w:val="nil"/>
              <w:left w:val="single" w:color="auto" w:sz="4" w:space="0"/>
              <w:bottom w:val="single" w:color="auto" w:sz="4" w:space="0"/>
              <w:right w:val="single" w:color="auto" w:sz="4" w:space="0"/>
            </w:tcBorders>
            <w:shd w:val="clear" w:color="auto" w:fill="auto"/>
            <w:vAlign w:val="center"/>
          </w:tcPr>
          <w:p w14:paraId="4A4B173F">
            <w:pPr>
              <w:spacing w:line="500" w:lineRule="exact"/>
              <w:rPr>
                <w:rFonts w:ascii="宋体" w:hAnsi="宋体" w:cs="宋体"/>
                <w:color w:val="auto"/>
                <w:szCs w:val="21"/>
                <w:highlight w:val="none"/>
              </w:rPr>
            </w:pPr>
            <w:r>
              <w:rPr>
                <w:rFonts w:hint="eastAsia" w:ascii="宋体" w:hAnsi="宋体" w:cs="宋体"/>
                <w:color w:val="auto"/>
                <w:szCs w:val="21"/>
                <w:highlight w:val="none"/>
              </w:rPr>
              <w:t>流量计</w:t>
            </w:r>
          </w:p>
        </w:tc>
        <w:tc>
          <w:tcPr>
            <w:tcW w:w="2085" w:type="dxa"/>
            <w:tcBorders>
              <w:top w:val="nil"/>
              <w:left w:val="single" w:color="auto" w:sz="4" w:space="0"/>
              <w:bottom w:val="single" w:color="auto" w:sz="4" w:space="0"/>
              <w:right w:val="single" w:color="auto" w:sz="4" w:space="0"/>
            </w:tcBorders>
            <w:shd w:val="clear" w:color="auto" w:fill="auto"/>
            <w:vAlign w:val="center"/>
          </w:tcPr>
          <w:p w14:paraId="548922FF">
            <w:pPr>
              <w:spacing w:line="500" w:lineRule="exact"/>
              <w:rPr>
                <w:rFonts w:ascii="宋体" w:hAnsi="宋体" w:cs="宋体"/>
                <w:color w:val="auto"/>
                <w:szCs w:val="21"/>
                <w:highlight w:val="none"/>
              </w:rPr>
            </w:pPr>
            <w:r>
              <w:rPr>
                <w:rFonts w:hint="eastAsia" w:ascii="宋体" w:hAnsi="宋体" w:cs="宋体"/>
                <w:color w:val="auto"/>
                <w:szCs w:val="21"/>
                <w:highlight w:val="none"/>
              </w:rPr>
              <w:t>DN15</w:t>
            </w:r>
          </w:p>
        </w:tc>
        <w:tc>
          <w:tcPr>
            <w:tcW w:w="720" w:type="dxa"/>
            <w:tcBorders>
              <w:top w:val="nil"/>
              <w:left w:val="single" w:color="auto" w:sz="4" w:space="0"/>
              <w:bottom w:val="single" w:color="auto" w:sz="4" w:space="0"/>
              <w:right w:val="single" w:color="auto" w:sz="4" w:space="0"/>
            </w:tcBorders>
            <w:shd w:val="clear" w:color="auto" w:fill="auto"/>
            <w:vAlign w:val="center"/>
          </w:tcPr>
          <w:p w14:paraId="55FCA6FA">
            <w:pPr>
              <w:spacing w:line="500" w:lineRule="exact"/>
              <w:rPr>
                <w:rFonts w:ascii="宋体" w:hAnsi="宋体" w:cs="宋体"/>
                <w:color w:val="auto"/>
                <w:szCs w:val="21"/>
                <w:highlight w:val="none"/>
              </w:rPr>
            </w:pPr>
            <w:r>
              <w:rPr>
                <w:rFonts w:hint="eastAsia" w:ascii="宋体" w:hAnsi="宋体" w:cs="宋体"/>
                <w:color w:val="auto"/>
                <w:szCs w:val="21"/>
                <w:highlight w:val="none"/>
              </w:rPr>
              <w:t>1台</w:t>
            </w:r>
          </w:p>
        </w:tc>
        <w:tc>
          <w:tcPr>
            <w:tcW w:w="1245" w:type="dxa"/>
            <w:vAlign w:val="center"/>
          </w:tcPr>
          <w:p w14:paraId="1B02A65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2132D6C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用于投加泵投加管路， E+H、科隆、西门子或同档次及以上品牌。</w:t>
            </w:r>
          </w:p>
        </w:tc>
      </w:tr>
      <w:tr w14:paraId="01C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4E44BD81">
            <w:pPr>
              <w:spacing w:line="500" w:lineRule="exact"/>
              <w:rPr>
                <w:rFonts w:ascii="宋体" w:hAnsi="宋体" w:cs="宋体"/>
                <w:color w:val="auto"/>
                <w:szCs w:val="21"/>
                <w:highlight w:val="none"/>
              </w:rPr>
            </w:pPr>
            <w:bookmarkStart w:id="745" w:name="_Hlk196388868"/>
            <w:r>
              <w:rPr>
                <w:rFonts w:hint="eastAsia" w:ascii="宋体" w:hAnsi="宋体" w:cs="宋体"/>
                <w:color w:val="auto"/>
                <w:szCs w:val="21"/>
                <w:highlight w:val="none"/>
              </w:rPr>
              <w:t>11</w:t>
            </w:r>
          </w:p>
        </w:tc>
        <w:tc>
          <w:tcPr>
            <w:tcW w:w="1650" w:type="dxa"/>
            <w:tcBorders>
              <w:top w:val="nil"/>
              <w:left w:val="single" w:color="auto" w:sz="4" w:space="0"/>
              <w:bottom w:val="single" w:color="auto" w:sz="4" w:space="0"/>
              <w:right w:val="single" w:color="auto" w:sz="4" w:space="0"/>
            </w:tcBorders>
            <w:shd w:val="clear" w:color="auto" w:fill="auto"/>
            <w:vAlign w:val="center"/>
          </w:tcPr>
          <w:p w14:paraId="4622CDE4">
            <w:pPr>
              <w:spacing w:line="500" w:lineRule="exact"/>
              <w:rPr>
                <w:rFonts w:ascii="宋体" w:hAnsi="宋体" w:cs="宋体"/>
                <w:color w:val="auto"/>
                <w:szCs w:val="21"/>
                <w:highlight w:val="none"/>
              </w:rPr>
            </w:pPr>
            <w:r>
              <w:rPr>
                <w:rFonts w:hint="eastAsia" w:ascii="宋体" w:hAnsi="宋体" w:cs="宋体"/>
                <w:color w:val="auto"/>
                <w:szCs w:val="21"/>
                <w:highlight w:val="none"/>
              </w:rPr>
              <w:t>安全阀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E8E6E0C">
            <w:pPr>
              <w:spacing w:line="500" w:lineRule="exact"/>
              <w:rPr>
                <w:rFonts w:ascii="宋体" w:hAnsi="宋体" w:cs="宋体"/>
                <w:color w:val="auto"/>
                <w:szCs w:val="21"/>
                <w:highlight w:val="none"/>
              </w:rPr>
            </w:pPr>
            <w:r>
              <w:rPr>
                <w:rFonts w:hint="eastAsia" w:ascii="宋体" w:hAnsi="宋体" w:cs="宋体"/>
                <w:color w:val="auto"/>
                <w:szCs w:val="21"/>
                <w:highlight w:val="none"/>
              </w:rPr>
              <w:t>DN20</w:t>
            </w:r>
          </w:p>
        </w:tc>
        <w:tc>
          <w:tcPr>
            <w:tcW w:w="720" w:type="dxa"/>
            <w:tcBorders>
              <w:top w:val="nil"/>
              <w:left w:val="single" w:color="auto" w:sz="4" w:space="0"/>
              <w:bottom w:val="single" w:color="auto" w:sz="4" w:space="0"/>
              <w:right w:val="single" w:color="auto" w:sz="4" w:space="0"/>
            </w:tcBorders>
            <w:shd w:val="clear" w:color="auto" w:fill="auto"/>
            <w:vAlign w:val="center"/>
          </w:tcPr>
          <w:p w14:paraId="5100FD4A">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65C06CD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45C3DC2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推荐格兰富、普罗名特、米顿罗等或同档次及以上知名品牌。</w:t>
            </w:r>
          </w:p>
        </w:tc>
      </w:tr>
      <w:bookmarkEnd w:id="745"/>
      <w:tr w14:paraId="4C6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A3623DE">
            <w:pPr>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650" w:type="dxa"/>
            <w:tcBorders>
              <w:top w:val="nil"/>
              <w:left w:val="single" w:color="auto" w:sz="4" w:space="0"/>
              <w:bottom w:val="single" w:color="auto" w:sz="4" w:space="0"/>
              <w:right w:val="single" w:color="auto" w:sz="4" w:space="0"/>
            </w:tcBorders>
            <w:shd w:val="clear" w:color="auto" w:fill="auto"/>
            <w:vAlign w:val="center"/>
          </w:tcPr>
          <w:p w14:paraId="558FCD0E">
            <w:pPr>
              <w:spacing w:line="500" w:lineRule="exact"/>
              <w:rPr>
                <w:rFonts w:ascii="宋体" w:hAnsi="宋体" w:cs="宋体"/>
                <w:color w:val="auto"/>
                <w:szCs w:val="21"/>
                <w:highlight w:val="none"/>
              </w:rPr>
            </w:pPr>
            <w:r>
              <w:rPr>
                <w:rFonts w:hint="eastAsia" w:ascii="宋体" w:hAnsi="宋体" w:cs="宋体"/>
                <w:color w:val="auto"/>
                <w:szCs w:val="21"/>
                <w:highlight w:val="none"/>
              </w:rPr>
              <w:t>背压阀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377E383">
            <w:pPr>
              <w:spacing w:line="500" w:lineRule="exact"/>
              <w:rPr>
                <w:rFonts w:ascii="宋体" w:hAnsi="宋体" w:cs="宋体"/>
                <w:color w:val="auto"/>
                <w:szCs w:val="21"/>
                <w:highlight w:val="none"/>
              </w:rPr>
            </w:pPr>
            <w:r>
              <w:rPr>
                <w:rFonts w:hint="eastAsia" w:ascii="宋体" w:hAnsi="宋体" w:cs="宋体"/>
                <w:color w:val="auto"/>
                <w:szCs w:val="21"/>
                <w:highlight w:val="none"/>
              </w:rPr>
              <w:t>DN20</w:t>
            </w:r>
          </w:p>
        </w:tc>
        <w:tc>
          <w:tcPr>
            <w:tcW w:w="720" w:type="dxa"/>
            <w:tcBorders>
              <w:top w:val="nil"/>
              <w:left w:val="single" w:color="auto" w:sz="4" w:space="0"/>
              <w:bottom w:val="single" w:color="auto" w:sz="4" w:space="0"/>
              <w:right w:val="single" w:color="auto" w:sz="4" w:space="0"/>
            </w:tcBorders>
            <w:shd w:val="clear" w:color="auto" w:fill="auto"/>
            <w:vAlign w:val="center"/>
          </w:tcPr>
          <w:p w14:paraId="6F28B151">
            <w:pPr>
              <w:spacing w:line="500" w:lineRule="exact"/>
              <w:rPr>
                <w:rFonts w:ascii="宋体" w:hAnsi="宋体" w:cs="宋体"/>
                <w:color w:val="auto"/>
                <w:szCs w:val="21"/>
                <w:highlight w:val="none"/>
              </w:rPr>
            </w:pPr>
            <w:r>
              <w:rPr>
                <w:rFonts w:hint="eastAsia" w:ascii="宋体" w:hAnsi="宋体" w:cs="宋体"/>
                <w:color w:val="auto"/>
                <w:szCs w:val="21"/>
                <w:highlight w:val="none"/>
              </w:rPr>
              <w:t>1只</w:t>
            </w:r>
          </w:p>
        </w:tc>
        <w:tc>
          <w:tcPr>
            <w:tcW w:w="1245" w:type="dxa"/>
            <w:vAlign w:val="center"/>
          </w:tcPr>
          <w:p w14:paraId="7A0819B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1B175F8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推荐格兰富、普罗名特、米顿罗等或同档次及以上知名品牌。</w:t>
            </w:r>
          </w:p>
        </w:tc>
      </w:tr>
      <w:tr w14:paraId="1812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956CAC6">
            <w:pPr>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1650" w:type="dxa"/>
            <w:tcBorders>
              <w:top w:val="nil"/>
              <w:left w:val="single" w:color="auto" w:sz="4" w:space="0"/>
              <w:bottom w:val="single" w:color="auto" w:sz="4" w:space="0"/>
              <w:right w:val="single" w:color="auto" w:sz="4" w:space="0"/>
            </w:tcBorders>
            <w:shd w:val="clear" w:color="auto" w:fill="auto"/>
            <w:vAlign w:val="center"/>
          </w:tcPr>
          <w:p w14:paraId="5A030447">
            <w:pPr>
              <w:spacing w:line="500" w:lineRule="exact"/>
              <w:rPr>
                <w:rFonts w:ascii="宋体" w:hAnsi="宋体" w:cs="宋体"/>
                <w:color w:val="auto"/>
                <w:szCs w:val="21"/>
                <w:highlight w:val="none"/>
              </w:rPr>
            </w:pPr>
            <w:r>
              <w:rPr>
                <w:rFonts w:hint="eastAsia" w:ascii="宋体" w:hAnsi="宋体" w:cs="宋体"/>
                <w:color w:val="auto"/>
                <w:szCs w:val="21"/>
                <w:highlight w:val="none"/>
              </w:rPr>
              <w:t>阻尼器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277071B3">
            <w:pPr>
              <w:spacing w:line="500" w:lineRule="exact"/>
              <w:rPr>
                <w:rFonts w:ascii="宋体" w:hAnsi="宋体" w:cs="宋体"/>
                <w:color w:val="auto"/>
                <w:szCs w:val="21"/>
                <w:highlight w:val="none"/>
              </w:rPr>
            </w:pPr>
            <w:r>
              <w:rPr>
                <w:rFonts w:hint="eastAsia" w:ascii="宋体" w:hAnsi="宋体" w:cs="宋体"/>
                <w:color w:val="auto"/>
                <w:szCs w:val="21"/>
                <w:highlight w:val="none"/>
              </w:rPr>
              <w:t>0.5L</w:t>
            </w:r>
          </w:p>
        </w:tc>
        <w:tc>
          <w:tcPr>
            <w:tcW w:w="720" w:type="dxa"/>
            <w:tcBorders>
              <w:top w:val="nil"/>
              <w:left w:val="single" w:color="auto" w:sz="4" w:space="0"/>
              <w:bottom w:val="single" w:color="auto" w:sz="4" w:space="0"/>
              <w:right w:val="single" w:color="auto" w:sz="4" w:space="0"/>
            </w:tcBorders>
            <w:shd w:val="clear" w:color="auto" w:fill="auto"/>
            <w:vAlign w:val="center"/>
          </w:tcPr>
          <w:p w14:paraId="0C3B6320">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0D08C43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471A662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推荐格兰富、普罗名特、米顿罗等或同档次及以上知名品牌。</w:t>
            </w:r>
          </w:p>
        </w:tc>
      </w:tr>
      <w:tr w14:paraId="3311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01C120D2">
            <w:pPr>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1650" w:type="dxa"/>
            <w:vAlign w:val="center"/>
          </w:tcPr>
          <w:p w14:paraId="61B900A3">
            <w:pPr>
              <w:spacing w:line="500" w:lineRule="exact"/>
              <w:rPr>
                <w:rFonts w:ascii="宋体" w:hAnsi="宋体" w:cs="宋体"/>
                <w:color w:val="auto"/>
                <w:szCs w:val="21"/>
                <w:highlight w:val="none"/>
              </w:rPr>
            </w:pPr>
            <w:r>
              <w:rPr>
                <w:rFonts w:hint="eastAsia" w:ascii="宋体" w:hAnsi="宋体" w:cs="宋体"/>
                <w:color w:val="auto"/>
                <w:szCs w:val="21"/>
                <w:highlight w:val="none"/>
              </w:rPr>
              <w:t>压力表</w:t>
            </w:r>
          </w:p>
        </w:tc>
        <w:tc>
          <w:tcPr>
            <w:tcW w:w="2085" w:type="dxa"/>
            <w:vAlign w:val="center"/>
          </w:tcPr>
          <w:p w14:paraId="116090E9">
            <w:pPr>
              <w:spacing w:line="500" w:lineRule="exact"/>
              <w:ind w:left="420" w:leftChars="200" w:firstLine="452"/>
              <w:jc w:val="center"/>
              <w:rPr>
                <w:rFonts w:ascii="宋体" w:hAnsi="宋体" w:cs="宋体"/>
                <w:color w:val="auto"/>
                <w:szCs w:val="21"/>
                <w:highlight w:val="none"/>
              </w:rPr>
            </w:pPr>
          </w:p>
        </w:tc>
        <w:tc>
          <w:tcPr>
            <w:tcW w:w="720" w:type="dxa"/>
            <w:vAlign w:val="center"/>
          </w:tcPr>
          <w:p w14:paraId="10A32E37">
            <w:pPr>
              <w:spacing w:line="500" w:lineRule="exact"/>
              <w:rPr>
                <w:rFonts w:ascii="宋体" w:hAnsi="宋体" w:cs="宋体"/>
                <w:color w:val="auto"/>
                <w:szCs w:val="21"/>
                <w:highlight w:val="none"/>
              </w:rPr>
            </w:pPr>
            <w:r>
              <w:rPr>
                <w:rFonts w:hint="eastAsia" w:ascii="宋体" w:hAnsi="宋体" w:cs="宋体"/>
                <w:color w:val="auto"/>
                <w:szCs w:val="21"/>
                <w:highlight w:val="none"/>
              </w:rPr>
              <w:t>2只</w:t>
            </w:r>
          </w:p>
        </w:tc>
        <w:tc>
          <w:tcPr>
            <w:tcW w:w="1245" w:type="dxa"/>
            <w:vAlign w:val="center"/>
          </w:tcPr>
          <w:p w14:paraId="16CB838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PP</w:t>
            </w:r>
          </w:p>
        </w:tc>
        <w:tc>
          <w:tcPr>
            <w:tcW w:w="4005" w:type="dxa"/>
            <w:vAlign w:val="center"/>
          </w:tcPr>
          <w:p w14:paraId="04FD1749">
            <w:pPr>
              <w:spacing w:line="500" w:lineRule="exact"/>
              <w:ind w:left="420" w:leftChars="200"/>
              <w:jc w:val="left"/>
              <w:rPr>
                <w:rFonts w:ascii="宋体" w:hAnsi="宋体" w:cs="宋体"/>
                <w:color w:val="auto"/>
                <w:szCs w:val="21"/>
                <w:highlight w:val="none"/>
              </w:rPr>
            </w:pPr>
          </w:p>
        </w:tc>
      </w:tr>
      <w:tr w14:paraId="387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1C35B76">
            <w:pPr>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1650" w:type="dxa"/>
            <w:vAlign w:val="center"/>
          </w:tcPr>
          <w:p w14:paraId="0E7A4C4F">
            <w:pPr>
              <w:spacing w:line="500" w:lineRule="exact"/>
              <w:rPr>
                <w:rFonts w:ascii="宋体" w:hAnsi="宋体" w:cs="宋体"/>
                <w:color w:val="auto"/>
                <w:szCs w:val="21"/>
                <w:highlight w:val="none"/>
              </w:rPr>
            </w:pPr>
            <w:r>
              <w:rPr>
                <w:rFonts w:hint="eastAsia" w:ascii="宋体" w:hAnsi="宋体" w:cs="宋体"/>
                <w:color w:val="auto"/>
                <w:szCs w:val="21"/>
                <w:highlight w:val="none"/>
              </w:rPr>
              <w:t>管路阀门</w:t>
            </w:r>
          </w:p>
        </w:tc>
        <w:tc>
          <w:tcPr>
            <w:tcW w:w="2085" w:type="dxa"/>
            <w:vAlign w:val="center"/>
          </w:tcPr>
          <w:p w14:paraId="51A3E192">
            <w:pPr>
              <w:spacing w:line="500" w:lineRule="exact"/>
              <w:rPr>
                <w:rFonts w:ascii="宋体" w:hAnsi="宋体" w:cs="宋体"/>
                <w:color w:val="auto"/>
                <w:szCs w:val="21"/>
                <w:highlight w:val="none"/>
              </w:rPr>
            </w:pPr>
            <w:r>
              <w:rPr>
                <w:rFonts w:hint="eastAsia" w:ascii="宋体" w:hAnsi="宋体" w:cs="宋体"/>
                <w:color w:val="auto"/>
                <w:szCs w:val="21"/>
                <w:highlight w:val="none"/>
              </w:rPr>
              <w:t>DN15-DN80</w:t>
            </w:r>
          </w:p>
        </w:tc>
        <w:tc>
          <w:tcPr>
            <w:tcW w:w="720" w:type="dxa"/>
            <w:vAlign w:val="center"/>
          </w:tcPr>
          <w:p w14:paraId="6105C5A4">
            <w:pPr>
              <w:spacing w:line="500" w:lineRule="exact"/>
              <w:rPr>
                <w:rFonts w:ascii="宋体" w:hAnsi="宋体" w:cs="宋体"/>
                <w:color w:val="auto"/>
                <w:szCs w:val="21"/>
                <w:highlight w:val="none"/>
              </w:rPr>
            </w:pPr>
            <w:r>
              <w:rPr>
                <w:rFonts w:hint="eastAsia" w:ascii="宋体" w:hAnsi="宋体" w:cs="宋体"/>
                <w:color w:val="auto"/>
                <w:szCs w:val="21"/>
                <w:highlight w:val="none"/>
              </w:rPr>
              <w:t>1批</w:t>
            </w:r>
          </w:p>
        </w:tc>
        <w:tc>
          <w:tcPr>
            <w:tcW w:w="1245" w:type="dxa"/>
            <w:vAlign w:val="center"/>
          </w:tcPr>
          <w:p w14:paraId="4DA105F6">
            <w:pPr>
              <w:spacing w:line="500" w:lineRule="exact"/>
              <w:rPr>
                <w:rFonts w:ascii="宋体" w:hAnsi="宋体" w:cs="宋体"/>
                <w:color w:val="auto"/>
                <w:szCs w:val="21"/>
                <w:highlight w:val="none"/>
              </w:rPr>
            </w:pPr>
            <w:r>
              <w:rPr>
                <w:rFonts w:hint="eastAsia" w:ascii="宋体" w:hAnsi="宋体" w:cs="宋体"/>
                <w:color w:val="auto"/>
                <w:szCs w:val="21"/>
                <w:highlight w:val="none"/>
              </w:rPr>
              <w:t>UPVC</w:t>
            </w:r>
          </w:p>
        </w:tc>
        <w:tc>
          <w:tcPr>
            <w:tcW w:w="4005" w:type="dxa"/>
            <w:vAlign w:val="center"/>
          </w:tcPr>
          <w:p w14:paraId="5E6B3DCD">
            <w:pPr>
              <w:spacing w:line="500" w:lineRule="exact"/>
              <w:ind w:left="420" w:leftChars="200"/>
              <w:rPr>
                <w:rFonts w:ascii="宋体" w:hAnsi="宋体" w:cs="宋体"/>
                <w:color w:val="auto"/>
                <w:szCs w:val="21"/>
                <w:highlight w:val="none"/>
              </w:rPr>
            </w:pPr>
          </w:p>
        </w:tc>
      </w:tr>
      <w:tr w14:paraId="378E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66F19EB9">
            <w:pPr>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650" w:type="dxa"/>
            <w:vAlign w:val="center"/>
          </w:tcPr>
          <w:p w14:paraId="450E19B0">
            <w:pPr>
              <w:spacing w:line="500" w:lineRule="exact"/>
              <w:rPr>
                <w:rFonts w:ascii="宋体" w:hAnsi="宋体" w:cs="宋体"/>
                <w:color w:val="auto"/>
                <w:szCs w:val="21"/>
                <w:highlight w:val="none"/>
              </w:rPr>
            </w:pPr>
            <w:r>
              <w:rPr>
                <w:rFonts w:hint="eastAsia" w:ascii="宋体" w:hAnsi="宋体" w:cs="宋体"/>
                <w:color w:val="auto"/>
                <w:szCs w:val="21"/>
                <w:highlight w:val="none"/>
              </w:rPr>
              <w:t>动力电缆、控制电缆、信号电缆</w:t>
            </w:r>
          </w:p>
        </w:tc>
        <w:tc>
          <w:tcPr>
            <w:tcW w:w="2085" w:type="dxa"/>
            <w:vAlign w:val="center"/>
          </w:tcPr>
          <w:p w14:paraId="4AAEFE43">
            <w:pPr>
              <w:spacing w:line="500" w:lineRule="exact"/>
              <w:rPr>
                <w:rFonts w:ascii="宋体" w:hAnsi="宋体" w:cs="宋体"/>
                <w:color w:val="auto"/>
                <w:szCs w:val="21"/>
                <w:highlight w:val="none"/>
              </w:rPr>
            </w:pPr>
            <w:r>
              <w:rPr>
                <w:rFonts w:hint="eastAsia" w:ascii="宋体" w:hAnsi="宋体" w:cs="宋体"/>
                <w:color w:val="auto"/>
                <w:szCs w:val="21"/>
                <w:highlight w:val="none"/>
              </w:rPr>
              <w:t>规格大小厂家自定，满足系统使用需求</w:t>
            </w:r>
          </w:p>
        </w:tc>
        <w:tc>
          <w:tcPr>
            <w:tcW w:w="720" w:type="dxa"/>
            <w:vAlign w:val="center"/>
          </w:tcPr>
          <w:p w14:paraId="3EF970F6">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02283910">
            <w:pPr>
              <w:spacing w:line="500" w:lineRule="exact"/>
              <w:ind w:left="420" w:leftChars="200" w:firstLine="420"/>
              <w:jc w:val="center"/>
              <w:rPr>
                <w:rFonts w:ascii="宋体" w:hAnsi="宋体" w:cs="宋体"/>
                <w:color w:val="auto"/>
                <w:szCs w:val="21"/>
                <w:highlight w:val="none"/>
              </w:rPr>
            </w:pPr>
          </w:p>
        </w:tc>
        <w:tc>
          <w:tcPr>
            <w:tcW w:w="4005" w:type="dxa"/>
            <w:vAlign w:val="center"/>
          </w:tcPr>
          <w:p w14:paraId="5B74B049">
            <w:pPr>
              <w:spacing w:line="500" w:lineRule="exact"/>
              <w:rPr>
                <w:rFonts w:ascii="宋体" w:hAnsi="宋体" w:cs="宋体"/>
                <w:color w:val="auto"/>
                <w:szCs w:val="21"/>
                <w:highlight w:val="none"/>
              </w:rPr>
            </w:pPr>
            <w:r>
              <w:rPr>
                <w:rFonts w:hint="eastAsia" w:ascii="宋体" w:hAnsi="宋体" w:cs="宋体"/>
                <w:color w:val="auto"/>
                <w:szCs w:val="21"/>
                <w:highlight w:val="none"/>
              </w:rPr>
              <w:t>推荐金龙羽、深缆、起凡或同档次及以上知名品牌。</w:t>
            </w:r>
          </w:p>
        </w:tc>
      </w:tr>
      <w:tr w14:paraId="08D9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5A94C061">
            <w:pPr>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1650" w:type="dxa"/>
            <w:vAlign w:val="center"/>
          </w:tcPr>
          <w:p w14:paraId="57053A82">
            <w:pPr>
              <w:spacing w:line="500" w:lineRule="exact"/>
              <w:rPr>
                <w:rFonts w:ascii="宋体" w:hAnsi="宋体" w:cs="宋体"/>
                <w:color w:val="auto"/>
                <w:szCs w:val="21"/>
                <w:highlight w:val="none"/>
              </w:rPr>
            </w:pPr>
            <w:r>
              <w:rPr>
                <w:rFonts w:hint="eastAsia" w:ascii="宋体" w:hAnsi="宋体" w:cs="宋体"/>
                <w:color w:val="auto"/>
                <w:szCs w:val="21"/>
                <w:highlight w:val="none"/>
              </w:rPr>
              <w:t>撬装泵架</w:t>
            </w:r>
          </w:p>
        </w:tc>
        <w:tc>
          <w:tcPr>
            <w:tcW w:w="2085" w:type="dxa"/>
            <w:vAlign w:val="center"/>
          </w:tcPr>
          <w:p w14:paraId="63466DC9">
            <w:pPr>
              <w:spacing w:line="500" w:lineRule="exact"/>
              <w:ind w:left="420" w:leftChars="200" w:firstLine="452"/>
              <w:jc w:val="center"/>
              <w:rPr>
                <w:rFonts w:ascii="宋体" w:hAnsi="宋体" w:cs="宋体"/>
                <w:color w:val="auto"/>
                <w:szCs w:val="21"/>
                <w:highlight w:val="none"/>
              </w:rPr>
            </w:pPr>
          </w:p>
        </w:tc>
        <w:tc>
          <w:tcPr>
            <w:tcW w:w="720" w:type="dxa"/>
            <w:vAlign w:val="center"/>
          </w:tcPr>
          <w:p w14:paraId="2E126A60">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381432CD">
            <w:pPr>
              <w:spacing w:line="500" w:lineRule="exact"/>
              <w:rPr>
                <w:rFonts w:ascii="宋体" w:hAnsi="宋体" w:cs="宋体"/>
                <w:color w:val="auto"/>
                <w:szCs w:val="21"/>
                <w:highlight w:val="none"/>
              </w:rPr>
            </w:pPr>
            <w:r>
              <w:rPr>
                <w:rFonts w:hint="eastAsia" w:ascii="宋体" w:hAnsi="宋体" w:cs="宋体"/>
                <w:color w:val="auto"/>
                <w:szCs w:val="21"/>
                <w:highlight w:val="none"/>
              </w:rPr>
              <w:t>铝合金</w:t>
            </w:r>
          </w:p>
        </w:tc>
        <w:tc>
          <w:tcPr>
            <w:tcW w:w="4005" w:type="dxa"/>
            <w:vAlign w:val="center"/>
          </w:tcPr>
          <w:p w14:paraId="5B8FD118">
            <w:pPr>
              <w:spacing w:line="500" w:lineRule="exact"/>
              <w:rPr>
                <w:rFonts w:ascii="宋体" w:hAnsi="宋体" w:cs="宋体"/>
                <w:color w:val="auto"/>
                <w:szCs w:val="21"/>
                <w:highlight w:val="none"/>
              </w:rPr>
            </w:pPr>
            <w:r>
              <w:rPr>
                <w:rFonts w:hint="eastAsia" w:ascii="宋体" w:hAnsi="宋体" w:cs="宋体"/>
                <w:color w:val="auto"/>
                <w:szCs w:val="21"/>
                <w:highlight w:val="none"/>
              </w:rPr>
              <w:t>推荐上海轩浦、固莱环保、净化控股等同档次及以上知名品牌。</w:t>
            </w:r>
          </w:p>
        </w:tc>
      </w:tr>
      <w:tr w14:paraId="7959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75388FA2">
            <w:pPr>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1650" w:type="dxa"/>
            <w:vAlign w:val="center"/>
          </w:tcPr>
          <w:p w14:paraId="70B8A2C9">
            <w:pPr>
              <w:spacing w:line="500" w:lineRule="exact"/>
              <w:rPr>
                <w:rFonts w:ascii="宋体" w:hAnsi="宋体" w:cs="宋体"/>
                <w:color w:val="auto"/>
                <w:szCs w:val="21"/>
                <w:highlight w:val="none"/>
              </w:rPr>
            </w:pPr>
            <w:r>
              <w:rPr>
                <w:rFonts w:hint="eastAsia" w:ascii="宋体" w:hAnsi="宋体" w:cs="宋体"/>
                <w:color w:val="auto"/>
                <w:szCs w:val="21"/>
                <w:highlight w:val="none"/>
              </w:rPr>
              <w:t>控制柜</w:t>
            </w:r>
          </w:p>
        </w:tc>
        <w:tc>
          <w:tcPr>
            <w:tcW w:w="2085" w:type="dxa"/>
            <w:vAlign w:val="center"/>
          </w:tcPr>
          <w:p w14:paraId="68442C41">
            <w:pPr>
              <w:spacing w:line="500" w:lineRule="exact"/>
              <w:rPr>
                <w:rFonts w:ascii="宋体" w:hAnsi="宋体" w:cs="宋体"/>
                <w:color w:val="auto"/>
                <w:szCs w:val="21"/>
                <w:highlight w:val="none"/>
              </w:rPr>
            </w:pPr>
            <w:r>
              <w:rPr>
                <w:rFonts w:hint="eastAsia" w:ascii="宋体" w:hAnsi="宋体" w:cs="宋体"/>
                <w:color w:val="auto"/>
                <w:szCs w:val="21"/>
                <w:highlight w:val="none"/>
              </w:rPr>
              <w:t>规格：800*600*2000</w:t>
            </w:r>
          </w:p>
        </w:tc>
        <w:tc>
          <w:tcPr>
            <w:tcW w:w="720" w:type="dxa"/>
            <w:vAlign w:val="center"/>
          </w:tcPr>
          <w:p w14:paraId="7732ACCD">
            <w:pPr>
              <w:spacing w:line="500" w:lineRule="exact"/>
              <w:rPr>
                <w:rFonts w:ascii="宋体" w:hAnsi="宋体" w:cs="宋体"/>
                <w:color w:val="auto"/>
                <w:szCs w:val="21"/>
                <w:highlight w:val="none"/>
              </w:rPr>
            </w:pPr>
            <w:r>
              <w:rPr>
                <w:rFonts w:hint="eastAsia" w:ascii="宋体" w:hAnsi="宋体" w:cs="宋体"/>
                <w:color w:val="auto"/>
                <w:szCs w:val="21"/>
                <w:highlight w:val="none"/>
              </w:rPr>
              <w:t>1套</w:t>
            </w:r>
          </w:p>
        </w:tc>
        <w:tc>
          <w:tcPr>
            <w:tcW w:w="1245" w:type="dxa"/>
            <w:vAlign w:val="center"/>
          </w:tcPr>
          <w:p w14:paraId="00A472CD">
            <w:pPr>
              <w:spacing w:line="500" w:lineRule="exact"/>
              <w:ind w:left="420" w:leftChars="200" w:firstLine="420"/>
              <w:jc w:val="center"/>
              <w:rPr>
                <w:rFonts w:ascii="宋体" w:hAnsi="宋体" w:cs="宋体"/>
                <w:color w:val="auto"/>
                <w:szCs w:val="21"/>
                <w:highlight w:val="none"/>
              </w:rPr>
            </w:pPr>
          </w:p>
        </w:tc>
        <w:tc>
          <w:tcPr>
            <w:tcW w:w="4005" w:type="dxa"/>
            <w:vAlign w:val="center"/>
          </w:tcPr>
          <w:p w14:paraId="07BAAF9A">
            <w:pPr>
              <w:spacing w:line="500" w:lineRule="exact"/>
              <w:rPr>
                <w:rFonts w:ascii="宋体" w:hAnsi="宋体" w:cs="宋体"/>
                <w:color w:val="auto"/>
                <w:szCs w:val="21"/>
                <w:highlight w:val="none"/>
              </w:rPr>
            </w:pPr>
            <w:r>
              <w:rPr>
                <w:rFonts w:hint="eastAsia" w:ascii="宋体" w:hAnsi="宋体" w:cs="宋体"/>
                <w:color w:val="auto"/>
                <w:szCs w:val="21"/>
                <w:highlight w:val="none"/>
              </w:rPr>
              <w:t>PLC选用罗克韦尔、西门子、施耐德或同档次及以上品牌，含变频器、PLC模块及各元气件等，主要各元器件必须为罗克韦尔、施耐德、ABB、西门子或同档次及以上产品</w:t>
            </w:r>
          </w:p>
        </w:tc>
      </w:tr>
    </w:tbl>
    <w:p w14:paraId="4AE8FA53">
      <w:pPr>
        <w:spacing w:line="500" w:lineRule="exact"/>
        <w:ind w:left="420" w:leftChars="200"/>
        <w:rPr>
          <w:rFonts w:ascii="宋体" w:hAnsi="宋体" w:cs="宋体"/>
          <w:b/>
          <w:color w:val="auto"/>
          <w:szCs w:val="21"/>
          <w:highlight w:val="none"/>
        </w:rPr>
      </w:pPr>
      <w:r>
        <w:rPr>
          <w:rFonts w:hint="eastAsia" w:ascii="宋体" w:hAnsi="宋体" w:cs="宋体"/>
          <w:b/>
          <w:color w:val="auto"/>
          <w:szCs w:val="21"/>
          <w:highlight w:val="none"/>
        </w:rPr>
        <w:t>备注：</w:t>
      </w:r>
    </w:p>
    <w:p w14:paraId="582777C8">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1、设备粉炭使用防爆要求不限于上表所列，中标人须提供整套符合国家粉炭使用防爆要求的设备。 料仓储罐应有抗滁州地区台风，防倾覆设计，其中防倾覆拉杆螺栓必须使用高强度螺栓（大于等于7级，规格大于M20以上。）（中标方设计校核）。</w:t>
      </w:r>
    </w:p>
    <w:p w14:paraId="41B3537C">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2、本“采购设备清单”不得被认为是详尽无遗的，无论规定与否，中标人应提供满足该项目工艺技术要求的设备及所有业主未提及的必要的元件、器材、附件、配套设备和相应材料等，并在投标文件报价中一一列明。包括但不限于数量、规格型号、材质及生产厂家等。设备数量以最终设计为准，满足使用要求。</w:t>
      </w:r>
    </w:p>
    <w:p w14:paraId="56431818">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3、以上货物清单需由供货商一一列出，表明产地。若为原装产品交货时如需提供报关单或当地商会、厂家提供的原产地证明。</w:t>
      </w:r>
    </w:p>
    <w:p w14:paraId="239F6E22">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4、本项目系统设备为交钥匙工程，中标人应将功能完整，运行良好的系统交给采购人，包括设备供货、卸货、设备管线施工以及设备安装调试、使用培训等。</w:t>
      </w:r>
    </w:p>
    <w:p w14:paraId="66A1D464">
      <w:pPr>
        <w:spacing w:line="500" w:lineRule="exact"/>
        <w:ind w:left="420" w:leftChars="200"/>
        <w:jc w:val="left"/>
        <w:rPr>
          <w:rFonts w:ascii="宋体" w:hAnsi="宋体" w:cs="宋体"/>
          <w:color w:val="auto"/>
          <w:szCs w:val="21"/>
          <w:highlight w:val="none"/>
        </w:rPr>
      </w:pPr>
      <w:r>
        <w:rPr>
          <w:rFonts w:hint="eastAsia" w:ascii="宋体" w:hAnsi="宋体" w:cs="宋体"/>
          <w:color w:val="auto"/>
          <w:szCs w:val="21"/>
          <w:highlight w:val="none"/>
        </w:rPr>
        <w:t>5、中标人应就设备基础施工、安装布局以及管路走向进行最终设计并得到甲方认可方可施工。</w:t>
      </w:r>
    </w:p>
    <w:p w14:paraId="3D31AA42">
      <w:pPr>
        <w:spacing w:line="500" w:lineRule="exact"/>
        <w:ind w:left="1327" w:leftChars="200" w:hanging="907"/>
        <w:rPr>
          <w:rFonts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货物技术要求</w:t>
      </w:r>
    </w:p>
    <w:p w14:paraId="325788E4">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（一）料仓</w:t>
      </w:r>
    </w:p>
    <w:p w14:paraId="5FBE57F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 xml:space="preserve">容积不小于40m³， 碳钢Q235B材质，厚度8mm以上。料仓整体室外安装； </w:t>
      </w:r>
    </w:p>
    <w:p w14:paraId="43257AE1">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料仓、锥斗及支架；</w:t>
      </w:r>
    </w:p>
    <w:p w14:paraId="399B020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人孔600mm；</w:t>
      </w:r>
    </w:p>
    <w:p w14:paraId="3E90CDA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送料管100，包括接口、旋风分离器及盖子；</w:t>
      </w:r>
    </w:p>
    <w:p w14:paraId="5F4FF12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进料入口旋风分离器处安装格栅；</w:t>
      </w:r>
    </w:p>
    <w:p w14:paraId="1F4DB16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料仓顶部护栏高度1.2m；</w:t>
      </w:r>
    </w:p>
    <w:p w14:paraId="14BDC57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带背部护圈的爬梯；</w:t>
      </w:r>
    </w:p>
    <w:p w14:paraId="39A3415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为避免料仓过压及滤布被粉尘堵塞，每个料仓应配置2个安全阀（1用1备）；</w:t>
      </w:r>
    </w:p>
    <w:p w14:paraId="7BE5793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料仓配套具有自动清灰功能的除尘装置，清灰应采用气动清灰（脉冲式）；</w:t>
      </w:r>
    </w:p>
    <w:p w14:paraId="577697E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料仓应配有空穴位及满位报警器及现场紧急按钮箱，该报警器于室外可发声光报警；</w:t>
      </w:r>
    </w:p>
    <w:p w14:paraId="4DCAA1C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料仓放室外，料仓内外表面防腐处理,应考虑防雨、防雷、防潮及防尘等；</w:t>
      </w:r>
    </w:p>
    <w:p w14:paraId="5D897DFA">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设计时底部倾斜角度应确保物料不产生堆积，同时无论料仓处于何种态均确保不倾覆而引发安全事故。</w:t>
      </w:r>
    </w:p>
    <w:p w14:paraId="6302B575">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要求符合《GB 50011-2010建筑抗震设计规范》、《GB 50191-2012 构筑物抗震设计规范》以及防风等国家法律法规及行业标准。其中料仓储罐应有抗滁州地区台风，防倾覆设计，其中防倾覆拉杆螺栓必须使用高强度螺栓（大于等于7级，规格大于M20以上。）（中标方设计校核）。</w:t>
      </w:r>
    </w:p>
    <w:p w14:paraId="7FE2AC73">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（二）料位及空穴报警：</w:t>
      </w:r>
    </w:p>
    <w:p w14:paraId="6A06DE0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为控制物料自动输送过程，料仓内应配有高、低料位报警及空穴显示料位计；</w:t>
      </w:r>
    </w:p>
    <w:p w14:paraId="13EED00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当料斗内粉料出现空穴、架桥情况时，系统应启动相应处理系统，实现安全排放；</w:t>
      </w:r>
    </w:p>
    <w:p w14:paraId="5FCCE375">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用于显示满、低及空位。并提供相关报警信号；</w:t>
      </w:r>
    </w:p>
    <w:p w14:paraId="3DC6852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型号：桨板式，220V。</w:t>
      </w:r>
    </w:p>
    <w:p w14:paraId="13B88409">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（三）料仓除尘器</w:t>
      </w:r>
    </w:p>
    <w:p w14:paraId="493A040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为保护操作环境，与料仓配套应包括顶部粉尘过滤系统，以在向料仓中输送物料时收集粉尘，气动清灰；</w:t>
      </w:r>
    </w:p>
    <w:p w14:paraId="23F7FA2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配置手动按钮盒，包括定时脉冲式清灰；</w:t>
      </w:r>
    </w:p>
    <w:p w14:paraId="51AEB1B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材质：低碳钢，表面防腐处理。包括与罐相连的连接管路；</w:t>
      </w:r>
    </w:p>
    <w:p w14:paraId="6D30B0A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气源要求：4.5Nm3/h, 5.5bar；</w:t>
      </w:r>
    </w:p>
    <w:p w14:paraId="2A01454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材质：不锈钢304。</w:t>
      </w:r>
    </w:p>
    <w:p w14:paraId="07230881">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（四）安全阀</w:t>
      </w:r>
    </w:p>
    <w:p w14:paraId="3443D01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膜片式，正负压开启，压差为0.05bar时，风量不小于100m3/min；</w:t>
      </w:r>
    </w:p>
    <w:p w14:paraId="1CD8B67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阀门开启时，空气由阀门进出，无粉尘泄漏；</w:t>
      </w:r>
    </w:p>
    <w:p w14:paraId="49FBF06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碳钢材质。</w:t>
      </w:r>
    </w:p>
    <w:p w14:paraId="562C374C">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（五）称重系统</w:t>
      </w:r>
    </w:p>
    <w:p w14:paraId="4140660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在料仓的底部支架下部安装4只称重传感器，精确计量料仓内已有粉的余量，以控制料仓内物料进出。提供接线盒及称重显示器，可以现场直接显示，4-20mA信号输出到整个控制系统的PLC系统中，实现系统的远程监控。传感器材质为AISI304,防护等级IP65以上。称重显示器外壳选用不锈钢，品牌设备，防护等级IP65或以上。</w:t>
      </w:r>
    </w:p>
    <w:p w14:paraId="264DC662">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（六）料仓出口阀</w:t>
      </w:r>
    </w:p>
    <w:p w14:paraId="5824408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手动操作，与给料机配套，安装于料仓及给料机之间，以控制物料进出；</w:t>
      </w:r>
    </w:p>
    <w:p w14:paraId="4B19E937">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阀板为不锈钢AISI304，采用三层填料密封。当安装高度较高时，应配套链条手动装置在地面操作该阀。</w:t>
      </w:r>
    </w:p>
    <w:p w14:paraId="6D08EA24">
      <w:pPr>
        <w:pStyle w:val="11"/>
        <w:spacing w:line="500" w:lineRule="exact"/>
        <w:ind w:left="0" w:leftChars="0"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381E9FD2">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（七）螺旋给料机</w:t>
      </w:r>
    </w:p>
    <w:p w14:paraId="0406DB6B">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给料机由机身、进料口、出料口、螺旋、观察口及驱动系统等组成。给料机应保证干粉计量精度。给料机流量稳定、连续，流量与转速应有线性关系，螺旋应具有自洁功能；</w:t>
      </w:r>
    </w:p>
    <w:p w14:paraId="3C8D4E5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材质：碳钢；</w:t>
      </w:r>
    </w:p>
    <w:p w14:paraId="5E1DC1E1">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计量能力：不小于350kg/h；</w:t>
      </w:r>
    </w:p>
    <w:p w14:paraId="4E7428E2">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精度：±1%；</w:t>
      </w:r>
    </w:p>
    <w:p w14:paraId="5338C863">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电压：380 V，防护等级不低于IP55；</w:t>
      </w:r>
    </w:p>
    <w:p w14:paraId="401010E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绝缘等级：F级。</w:t>
      </w:r>
    </w:p>
    <w:p w14:paraId="4F4C43E6">
      <w:pPr>
        <w:pStyle w:val="11"/>
        <w:spacing w:line="500" w:lineRule="exact"/>
        <w:ind w:left="0" w:leftChars="0"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18C94B5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（八）螺旋输送机</w:t>
      </w:r>
    </w:p>
    <w:p w14:paraId="47305B9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材质：碳钢及以上材质；</w:t>
      </w:r>
    </w:p>
    <w:p w14:paraId="677CF1C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轴承：SKF、FAG、NTN，减速机采用SEW、Nord、Flender或同档次及以上品牌；</w:t>
      </w:r>
    </w:p>
    <w:p w14:paraId="0466653D">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与给料机出口相连，输送计量后的活性炭至溶解罐。螺旋输送器由进口、出口、取样点、检查孔、紧急卸料口及驱动电机等组成；</w:t>
      </w:r>
    </w:p>
    <w:p w14:paraId="110FB0F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螺旋输送机与溶解罐连接出料口需配套气动阀门以及除湿装置，确保在不配药时防止溶解罐内水汽对螺杆侵润而产生结块造成堵塞。</w:t>
      </w:r>
    </w:p>
    <w:p w14:paraId="350F7182">
      <w:pPr>
        <w:pStyle w:val="11"/>
        <w:spacing w:line="500" w:lineRule="exact"/>
        <w:ind w:left="0" w:leftChars="0"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推荐品牌：索得曼、GREAT LOVE、PARIMIX等</w:t>
      </w:r>
    </w:p>
    <w:p w14:paraId="4286698C">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（九）制备溶解罐</w:t>
      </w:r>
    </w:p>
    <w:p w14:paraId="5441984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材质：不锈钢AISI304，厚4mm或4mm以上；</w:t>
      </w:r>
    </w:p>
    <w:p w14:paraId="19B4C5E6">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溶液罐容积不小于3.5m3，罐体强度须满足相关技术规范，罐体形式不限；底部排渣口口径DN50，安装自动法兰不锈钢球阀；</w:t>
      </w:r>
    </w:p>
    <w:p w14:paraId="0F89EFD8">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功能实现：（1）1.0-5%左右的活性碳乳液。包括排空阀、不锈钢AISI304搅拌器、溶解水系统等附件。溶解水应包括过滤器、调节阀、电动阀、电磁流量计等，溶解水部件应为UVPC材质。溶解罐应配套除尘器，不锈钢材质，包括管路冲洗除尘管线以清除除尘器内的收集的粉尘；溶解罐应配备排渣系统。</w:t>
      </w:r>
    </w:p>
    <w:p w14:paraId="39934483">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（十）溶液罐</w:t>
      </w:r>
    </w:p>
    <w:p w14:paraId="2931667E">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材质：不锈钢AISI304，厚4mm或4mm以上；</w:t>
      </w:r>
    </w:p>
    <w:p w14:paraId="4C809ADE">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罐体强度须满足相关技术规范，罐体形式不限；</w:t>
      </w:r>
    </w:p>
    <w:p w14:paraId="16A7CDE0">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储存制备罐的乳液。包括排空阀、超声波液位计，不锈钢AISI304搅拌机等附件。罐底配有排渣口。溶解罐包括溢流口；</w:t>
      </w:r>
    </w:p>
    <w:p w14:paraId="57F2B6C2">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溶液罐配有自动排渣系统装置，实现自动排渣。</w:t>
      </w:r>
    </w:p>
    <w:p w14:paraId="7D98D33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（十一）搅拌机</w:t>
      </w:r>
    </w:p>
    <w:p w14:paraId="6A82B311">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减速机采用SEW、Nord、Flender或同档次及以上品牌减速机；</w:t>
      </w:r>
    </w:p>
    <w:p w14:paraId="0A5DE168">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所有的螺母、螺钉和垫圈为AISI304以上不锈钢材质；</w:t>
      </w:r>
    </w:p>
    <w:p w14:paraId="71F5D6C5">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搅拌轴及搅拌叶材料选定应采用防腐AISI304以上不锈钢材质。</w:t>
      </w:r>
    </w:p>
    <w:p w14:paraId="59B5D13A">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（十二）投加泵成套装置</w:t>
      </w:r>
    </w:p>
    <w:p w14:paraId="073FCB27">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泵流量可以通过变频器实现现场及远程调节，泵密封配套自动冲洗装置；</w:t>
      </w:r>
    </w:p>
    <w:p w14:paraId="0149DF4B">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每台泵出口配套隔膜压力表及压力开关，可以实现现场显示及远程传输，同时具有过压保护；</w:t>
      </w:r>
    </w:p>
    <w:p w14:paraId="4388FA7F">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每个投加点须配备独立的电磁流量计, 计量精度不低于0.5%，流量信号可以现场显示，也可以远传。不锈钢电极，PTFE衬里，防护等级IP67,包括瞬时及累积量显示，一体式，4-20mA输出。设计压力4MPa；</w:t>
      </w:r>
    </w:p>
    <w:p w14:paraId="22A1D364">
      <w:pPr>
        <w:tabs>
          <w:tab w:val="left" w:pos="425"/>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管路自动冲洗，一旦停泵立即注水冲洗。也可以根据设定时间自动冲洗，包括相关自动冲洗电动阀；</w:t>
      </w:r>
    </w:p>
    <w:p w14:paraId="651A9B2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（十三）空气压缩机系统</w:t>
      </w:r>
    </w:p>
    <w:p w14:paraId="6E4C263C">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每套投加系统配备一套空压机系统。空压机系统包括空压机一台及相关附件；</w:t>
      </w:r>
    </w:p>
    <w:p w14:paraId="381497B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排气量&gt;0.67m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/min，最高工作压力8bar；</w:t>
      </w:r>
    </w:p>
    <w:p w14:paraId="00369F9E">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冷却方式:风冷；</w:t>
      </w:r>
    </w:p>
    <w:p w14:paraId="2AE33861">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附件包括：冷干机，前后2级过滤器，其中冷干机不允许集成在空压机内部，必须单独配套。</w:t>
      </w:r>
    </w:p>
    <w:p w14:paraId="66B09ED2">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（十四）增压系统</w:t>
      </w:r>
    </w:p>
    <w:p w14:paraId="1D2F15B3">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两台增压泵，4只手动切换阀，2只止回阀，1只压力表，压力表带信号输出；</w:t>
      </w:r>
    </w:p>
    <w:p w14:paraId="5345F114">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泵流量：12m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/h（参考）, 扬程：30m,系统1用1备，为活性炭系统供水；</w:t>
      </w:r>
    </w:p>
    <w:p w14:paraId="2293F159">
      <w:pPr>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包括电极点压力表可以实现低压启动，高压停止。</w:t>
      </w:r>
    </w:p>
    <w:p w14:paraId="516C37A8">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（十五）数字计量泵系统</w:t>
      </w:r>
    </w:p>
    <w:p w14:paraId="7436939E">
      <w:pPr>
        <w:spacing w:line="500" w:lineRule="exact"/>
        <w:ind w:left="420" w:leftChars="200"/>
        <w:rPr>
          <w:rFonts w:ascii="宋体" w:hAnsi="宋体" w:cs="宋体"/>
          <w:b/>
          <w:bCs/>
          <w:color w:val="auto"/>
          <w:szCs w:val="21"/>
          <w:highlight w:val="none"/>
          <w:u w:val="wave"/>
        </w:rPr>
      </w:pPr>
      <w:r>
        <w:rPr>
          <w:rFonts w:hint="eastAsia" w:ascii="宋体" w:hAnsi="宋体" w:cs="宋体"/>
          <w:b/>
          <w:bCs/>
          <w:color w:val="auto"/>
          <w:szCs w:val="21"/>
          <w:highlight w:val="none"/>
          <w:u w:val="wave"/>
        </w:rPr>
        <w:t>计量泵为原装产品</w:t>
      </w:r>
      <w:r>
        <w:rPr>
          <w:rFonts w:hint="eastAsia" w:ascii="宋体" w:hAnsi="宋体" w:cs="宋体"/>
          <w:b/>
          <w:color w:val="auto"/>
          <w:szCs w:val="21"/>
          <w:highlight w:val="none"/>
          <w:u w:val="wave"/>
        </w:rPr>
        <w:t>。</w:t>
      </w:r>
    </w:p>
    <w:p w14:paraId="735C4FD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隔膜计量泵采用原装采用数字隔膜式计量泵，计量泵采用直流无刷电机驱动，本身设有可读的液晶显示屏，通过显示屏可以直接读取显示的流量（ml/h或者l/h），通过按钮设定投加量。</w:t>
      </w:r>
    </w:p>
    <w:p w14:paraId="35637439">
      <w:pPr>
        <w:pStyle w:val="48"/>
        <w:tabs>
          <w:tab w:val="left" w:pos="907"/>
        </w:tabs>
        <w:spacing w:line="500" w:lineRule="exact"/>
        <w:ind w:left="420" w:leftChars="200"/>
        <w:rPr>
          <w:rFonts w:ascii="宋体" w:hAnsi="宋体" w:cs="宋体"/>
          <w:b/>
          <w:bCs/>
          <w:color w:val="auto"/>
          <w:szCs w:val="21"/>
          <w:highlight w:val="none"/>
          <w:u w:val="wave"/>
        </w:rPr>
      </w:pPr>
      <w:r>
        <w:rPr>
          <w:rFonts w:hint="eastAsia" w:ascii="宋体" w:hAnsi="宋体" w:cs="宋体"/>
          <w:b/>
          <w:bCs/>
          <w:color w:val="auto"/>
          <w:szCs w:val="21"/>
          <w:highlight w:val="none"/>
          <w:u w:val="wave"/>
        </w:rPr>
        <w:t>不得采用普通三相电机配置控制器的形式的替代驱动方案。</w:t>
      </w:r>
    </w:p>
    <w:p w14:paraId="3596DE43">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计量泵满足在不外接变频器或电动冲程长度调节装置的情况下实现流量自动调节。通过接受外部的控制信号，计量泵能够通过自动调节直流无刷电机的转速来调节排出速度，实现自动调节投加过程，确保最佳和充分的调节效果。</w:t>
      </w:r>
    </w:p>
    <w:p w14:paraId="47F03A62">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数字隔膜计量泵的投加精度必须达到±1%以上。</w:t>
      </w:r>
    </w:p>
    <w:p w14:paraId="3B8B1CC2">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加药计量泵采用数字式隔膜计量泵，计量泵本身设有可读的液晶面板，通过显示屏可以直接读取显示的流量（ml/h或者l/h），脉冲或者批量投加。</w:t>
      </w:r>
    </w:p>
    <w:p w14:paraId="0CF5F7FC">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友好的界面显示能让每一个人可以容易地操作泵。仅仅用几个按钮，你就能通过菜单来使用标准控制功能，包括脉冲、模拟量、定时、批投加和排气控制，以及标定和更多的功能。</w:t>
      </w:r>
    </w:p>
    <w:p w14:paraId="48F230B3">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计量泵采用可显示的控制面板，所有的手动操作仅通过设置在计量泵上的控制面板实现。同时要求面板采用友好的界面显示，简洁的菜单设置，能让每一个人可以容易地操作泵。流量的调节仅需通过按钮实现，并可显示需要设置的目标流量。</w:t>
      </w:r>
    </w:p>
    <w:p w14:paraId="36119451">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计量泵需自带以4-20ma模拟量信号的形式输出泵的实际工作流量的功能，同时计量泵的控制面板能够接受包括脉冲、模拟量4—20mA调节、定时、批投。</w:t>
      </w:r>
    </w:p>
    <w:p w14:paraId="3AF08127">
      <w:pPr>
        <w:pStyle w:val="48"/>
        <w:tabs>
          <w:tab w:val="left" w:pos="907"/>
        </w:tabs>
        <w:spacing w:line="500" w:lineRule="exact"/>
        <w:ind w:left="420" w:leftChars="200"/>
        <w:rPr>
          <w:rFonts w:ascii="宋体" w:hAnsi="宋体" w:cs="宋体"/>
          <w:color w:val="auto"/>
          <w:szCs w:val="21"/>
          <w:highlight w:val="none"/>
        </w:rPr>
      </w:pPr>
      <w:bookmarkStart w:id="746" w:name="OLE_LINK21"/>
      <w:bookmarkStart w:id="747" w:name="OLE_LINK22"/>
      <w:r>
        <w:rPr>
          <w:rFonts w:hint="eastAsia" w:ascii="宋体" w:hAnsi="宋体" w:cs="宋体"/>
          <w:color w:val="auto"/>
          <w:szCs w:val="21"/>
          <w:highlight w:val="none"/>
        </w:rPr>
        <w:t>在不同背压和吸水水头编号的情况下，加注泵的精度都应优于额定能力的1%。</w:t>
      </w:r>
      <w:bookmarkEnd w:id="746"/>
      <w:bookmarkEnd w:id="747"/>
      <w:r>
        <w:rPr>
          <w:rFonts w:hint="eastAsia" w:ascii="宋体" w:hAnsi="宋体" w:cs="宋体"/>
          <w:color w:val="auto"/>
          <w:szCs w:val="21"/>
          <w:highlight w:val="none"/>
        </w:rPr>
        <w:t>在该调节比范围内，计量泵的投加精度不会受到任何影响，达到精确投加、节省原料的目的。</w:t>
      </w:r>
    </w:p>
    <w:p w14:paraId="7006951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泵具备面板锁定的功能，通过设置密码的方式，保证该泵在调试完成后，设置的参数在现场不会遭受其他不相干人员的误操作。</w:t>
      </w:r>
    </w:p>
    <w:p w14:paraId="21F4BEBF">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在220V，50Hz的电压能够满足使用的情况下，不接受380V，50Hz的三相电机。</w:t>
      </w:r>
    </w:p>
    <w:p w14:paraId="7A2EF3D5">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数字隔膜计量泵由PVC或者PVDF泵头、齿轮箱组成，使隔膜内的空气及时排出，保证泵的运行精度。</w:t>
      </w:r>
    </w:p>
    <w:p w14:paraId="00CBBAA0">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数字隔膜计量泵的液力端部分包括隔膜、单向阀及泵头外壳等组成。单向止回球阀采用PVC 的阀体、阀座，聚四氟密封件和垫片，加工精度高，强固耐腐蚀，以保证计量泵的精度和运行稳定。泵头外壳材质为PVC。</w:t>
      </w:r>
    </w:p>
    <w:p w14:paraId="1652B0C5">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数字隔膜计量泵运行时，泵的噪音不高于60 dB(A)，轴承温度不高于65oC，无异常振动，各密封处没有泄漏，隔膜采用PTFE材料</w:t>
      </w:r>
    </w:p>
    <w:p w14:paraId="34CFA326">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随机备件清单：各隔膜1个；单向阀1个。</w:t>
      </w:r>
    </w:p>
    <w:p w14:paraId="723FCA03">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数字投加泵精度： ±1%</w:t>
      </w:r>
    </w:p>
    <w:p w14:paraId="4827D8A9">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出口：PVC承插接口</w:t>
      </w:r>
    </w:p>
    <w:p w14:paraId="3DC8CDE4">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泵头材质：PVDF</w:t>
      </w:r>
    </w:p>
    <w:p w14:paraId="30108CC8">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密封材质：PTFE或FKM</w:t>
      </w:r>
    </w:p>
    <w:p w14:paraId="087AE5C8">
      <w:pPr>
        <w:pStyle w:val="48"/>
        <w:tabs>
          <w:tab w:val="left" w:pos="907"/>
        </w:tabs>
        <w:spacing w:line="500" w:lineRule="exact"/>
        <w:ind w:left="420" w:leftChars="200"/>
        <w:rPr>
          <w:rFonts w:ascii="宋体" w:hAnsi="宋体" w:cs="宋体"/>
          <w:b/>
          <w:color w:val="auto"/>
          <w:szCs w:val="21"/>
          <w:highlight w:val="none"/>
          <w:u w:val="wave"/>
        </w:rPr>
      </w:pPr>
      <w:r>
        <w:rPr>
          <w:rFonts w:hint="eastAsia" w:ascii="宋体" w:hAnsi="宋体" w:cs="宋体"/>
          <w:b/>
          <w:color w:val="auto"/>
          <w:szCs w:val="21"/>
          <w:highlight w:val="none"/>
          <w:u w:val="wave"/>
        </w:rPr>
        <w:t>计量泵加药系统应该一体化撬装设计，包含计量泵组，电气接线盒，安装管路附件（背压阀、脉冲阻尼器、安全阀、Y型过滤器）等，形成一个完整的系统。为避免堵塞，计量泵加药系统应配合理的管路冲洗设计。一体化撬装支架应采用铝合金型材，单个计量泵撬装最大尺寸2080*1820*720，最多3台计量泵设一个支架。</w:t>
      </w:r>
    </w:p>
    <w:p w14:paraId="4FD77A9A">
      <w:pPr>
        <w:pStyle w:val="11"/>
        <w:spacing w:line="500" w:lineRule="exact"/>
        <w:ind w:left="0" w:leftChars="0" w:firstLine="632" w:firstLineChars="300"/>
        <w:rPr>
          <w:rFonts w:ascii="宋体" w:hAnsi="宋体" w:cs="宋体"/>
          <w:b/>
          <w:bCs/>
          <w:color w:val="auto"/>
          <w:szCs w:val="21"/>
          <w:highlight w:val="none"/>
        </w:rPr>
      </w:pPr>
      <w:r>
        <w:rPr>
          <w:rFonts w:hint="eastAsia" w:ascii="宋体" w:hAnsi="宋体" w:cs="宋体"/>
          <w:b/>
          <w:bCs/>
          <w:color w:val="auto"/>
          <w:szCs w:val="21"/>
          <w:highlight w:val="none"/>
        </w:rPr>
        <w:t>一体化集成商推荐品牌：上海轩浦、固莱环保、净化控股等</w:t>
      </w:r>
    </w:p>
    <w:p w14:paraId="7644292B">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（十六）PE罐</w:t>
      </w:r>
    </w:p>
    <w:p w14:paraId="415ED244">
      <w:pPr>
        <w:pStyle w:val="48"/>
        <w:tabs>
          <w:tab w:val="left" w:pos="540"/>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容积：8m³</w:t>
      </w:r>
    </w:p>
    <w:p w14:paraId="01365078">
      <w:pPr>
        <w:pStyle w:val="48"/>
        <w:tabs>
          <w:tab w:val="left" w:pos="540"/>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材质：食品级，PE，加强筋</w:t>
      </w:r>
    </w:p>
    <w:p w14:paraId="24525482">
      <w:pPr>
        <w:pStyle w:val="48"/>
        <w:tabs>
          <w:tab w:val="left" w:pos="540"/>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盖直径：600mm；</w:t>
      </w:r>
    </w:p>
    <w:p w14:paraId="22FB9B6E">
      <w:pPr>
        <w:pStyle w:val="48"/>
        <w:tabs>
          <w:tab w:val="left" w:pos="540"/>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标准进出接口： DN65法兰；</w:t>
      </w:r>
    </w:p>
    <w:p w14:paraId="74B8A106">
      <w:pPr>
        <w:pStyle w:val="48"/>
        <w:tabs>
          <w:tab w:val="left" w:pos="540"/>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其他参数：储罐上预留排气口。</w:t>
      </w:r>
    </w:p>
    <w:p w14:paraId="5D338A3C">
      <w:pPr>
        <w:pStyle w:val="48"/>
        <w:tabs>
          <w:tab w:val="left" w:pos="907"/>
        </w:tabs>
        <w:spacing w:line="500" w:lineRule="exact"/>
        <w:ind w:left="420" w:leftChars="200"/>
        <w:rPr>
          <w:rFonts w:ascii="宋体" w:hAnsi="宋体" w:cs="宋体"/>
          <w:b/>
          <w:color w:val="auto"/>
          <w:szCs w:val="21"/>
          <w:highlight w:val="none"/>
          <w:u w:val="wave"/>
        </w:rPr>
      </w:pPr>
      <w:r>
        <w:rPr>
          <w:rFonts w:hint="eastAsia" w:ascii="宋体" w:hAnsi="宋体" w:cs="宋体"/>
          <w:b/>
          <w:color w:val="auto"/>
          <w:szCs w:val="21"/>
          <w:highlight w:val="none"/>
          <w:u w:val="wave"/>
        </w:rPr>
        <w:t>壁厚：≥18mm；</w:t>
      </w:r>
    </w:p>
    <w:p w14:paraId="07794760">
      <w:pPr>
        <w:pStyle w:val="48"/>
        <w:tabs>
          <w:tab w:val="left" w:pos="907"/>
        </w:tabs>
        <w:overflowPunct w:val="0"/>
        <w:autoSpaceDE w:val="0"/>
        <w:autoSpaceDN w:val="0"/>
        <w:adjustRightInd w:val="0"/>
        <w:spacing w:line="500" w:lineRule="exact"/>
        <w:ind w:left="420" w:leftChars="200"/>
        <w:textAlignment w:val="baseline"/>
        <w:rPr>
          <w:rFonts w:ascii="宋体" w:hAnsi="宋体" w:cs="宋体"/>
          <w:b/>
          <w:color w:val="auto"/>
          <w:szCs w:val="21"/>
          <w:highlight w:val="none"/>
          <w:u w:val="wave"/>
        </w:rPr>
      </w:pPr>
      <w:r>
        <w:rPr>
          <w:rFonts w:hint="eastAsia" w:ascii="宋体" w:hAnsi="宋体" w:cs="宋体"/>
          <w:b/>
          <w:bCs/>
          <w:color w:val="auto"/>
          <w:szCs w:val="21"/>
          <w:highlight w:val="none"/>
          <w:u w:val="wave"/>
        </w:rPr>
        <w:t>立式储罐生产原料为食品级，储液桶须有省级卫生部门颁发的涉水产品卫生许可证（</w:t>
      </w:r>
      <w:r>
        <w:rPr>
          <w:rFonts w:hint="eastAsia" w:ascii="宋体" w:hAnsi="宋体" w:cs="宋体"/>
          <w:b/>
          <w:color w:val="auto"/>
          <w:szCs w:val="21"/>
          <w:highlight w:val="none"/>
          <w:u w:val="wave"/>
        </w:rPr>
        <w:t>供货时提供相关证书复印件及制造商加盖公章）</w:t>
      </w:r>
    </w:p>
    <w:p w14:paraId="3877208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（十七）计量泵附件</w:t>
      </w:r>
    </w:p>
    <w:p w14:paraId="06F7F692">
      <w:pPr>
        <w:spacing w:line="500"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安全阀（内密封圈、接口O型圈必须耐腐蚀）</w:t>
      </w:r>
    </w:p>
    <w:p w14:paraId="45B3AAE9">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安装在计量泵的压力端，可以防止管路出现过高的压力。</w:t>
      </w:r>
    </w:p>
    <w:p w14:paraId="0A1B210B">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连接口径：根据设备清单</w:t>
      </w:r>
    </w:p>
    <w:p w14:paraId="62F6028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阀体材质：UPVC</w:t>
      </w:r>
    </w:p>
    <w:p w14:paraId="41BF66B3">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O型圈：Viton</w:t>
      </w:r>
    </w:p>
    <w:p w14:paraId="354A1A66">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隔膜：PTFE</w:t>
      </w:r>
    </w:p>
    <w:p w14:paraId="7046FCED">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出厂调节至3bar</w:t>
      </w:r>
    </w:p>
    <w:p w14:paraId="76A8B197">
      <w:pPr>
        <w:spacing w:line="500"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背压阀（压力保持阀）</w:t>
      </w:r>
    </w:p>
    <w:p w14:paraId="771992C5">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在投加系统没有背压、背压不稳定或者投加点位置比泵低时，用于维持计量泵投加流量的稳定。通过一个带弹簧的调节螺帽可以调节背压阀的压力。PVC材质，PTFE隔膜，出厂调节至2bar。</w:t>
      </w:r>
    </w:p>
    <w:p w14:paraId="073C44C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连接口径：根据设备清单</w:t>
      </w:r>
    </w:p>
    <w:p w14:paraId="403FD5CE">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阀体材质：UPVC</w:t>
      </w:r>
    </w:p>
    <w:p w14:paraId="7C07544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O型圈：Viton</w:t>
      </w:r>
    </w:p>
    <w:p w14:paraId="36565203">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隔膜：PTFE</w:t>
      </w:r>
    </w:p>
    <w:p w14:paraId="52C51EA8">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出厂调节至2bar</w:t>
      </w:r>
    </w:p>
    <w:p w14:paraId="3EAF6C91">
      <w:pPr>
        <w:spacing w:line="500"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脉动阻尼器</w:t>
      </w:r>
    </w:p>
    <w:p w14:paraId="3FDD292C">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通过能量平衡的方式减少精密计量泵药液输出的脉冲，使精密计量泵药液输出均匀，形成近似线性的流体特性，增加进料的平稳性，并消除因脉冲可能引起的振动对计量泵和系统造成的伤害。脉冲阻尼器隔膜材质为PTFE。</w:t>
      </w:r>
    </w:p>
    <w:p w14:paraId="6D54CD9D">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连接口径：根据设备清单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062"/>
      </w:tblGrid>
      <w:tr w14:paraId="5EB1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291CE932">
            <w:pPr>
              <w:spacing w:line="500" w:lineRule="exact"/>
              <w:rPr>
                <w:rFonts w:ascii="宋体" w:hAnsi="宋体" w:cs="宋体"/>
                <w:color w:val="auto"/>
                <w:szCs w:val="21"/>
                <w:highlight w:val="none"/>
              </w:rPr>
            </w:pPr>
            <w:r>
              <w:rPr>
                <w:rFonts w:hint="eastAsia" w:ascii="宋体" w:hAnsi="宋体" w:cs="宋体"/>
                <w:color w:val="auto"/>
                <w:szCs w:val="21"/>
                <w:highlight w:val="none"/>
              </w:rPr>
              <w:t>材质：</w:t>
            </w:r>
          </w:p>
        </w:tc>
        <w:tc>
          <w:tcPr>
            <w:tcW w:w="5062" w:type="dxa"/>
            <w:tcBorders>
              <w:top w:val="single" w:color="auto" w:sz="4" w:space="0"/>
              <w:left w:val="single" w:color="auto" w:sz="4" w:space="0"/>
              <w:bottom w:val="single" w:color="auto" w:sz="4" w:space="0"/>
              <w:right w:val="single" w:color="auto" w:sz="4" w:space="0"/>
            </w:tcBorders>
            <w:noWrap/>
            <w:vAlign w:val="center"/>
          </w:tcPr>
          <w:p w14:paraId="75DDCACC">
            <w:pPr>
              <w:spacing w:line="500" w:lineRule="exact"/>
              <w:ind w:left="420" w:leftChars="200" w:firstLine="420"/>
              <w:rPr>
                <w:rFonts w:ascii="宋体" w:hAnsi="宋体" w:cs="宋体"/>
                <w:color w:val="auto"/>
                <w:szCs w:val="21"/>
                <w:highlight w:val="none"/>
              </w:rPr>
            </w:pPr>
            <w:r>
              <w:rPr>
                <w:rFonts w:hint="eastAsia" w:ascii="宋体" w:hAnsi="宋体" w:cs="宋体"/>
                <w:color w:val="auto"/>
                <w:szCs w:val="21"/>
                <w:highlight w:val="none"/>
              </w:rPr>
              <w:t>壳体：UPVC，密封垫：Viton</w:t>
            </w:r>
          </w:p>
        </w:tc>
      </w:tr>
      <w:tr w14:paraId="6704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216C7060">
            <w:pPr>
              <w:spacing w:line="500" w:lineRule="exact"/>
              <w:rPr>
                <w:rFonts w:ascii="宋体" w:hAnsi="宋体" w:cs="宋体"/>
                <w:color w:val="auto"/>
                <w:szCs w:val="21"/>
                <w:highlight w:val="none"/>
              </w:rPr>
            </w:pPr>
            <w:r>
              <w:rPr>
                <w:rFonts w:hint="eastAsia" w:ascii="宋体" w:hAnsi="宋体" w:cs="宋体"/>
                <w:color w:val="auto"/>
                <w:szCs w:val="21"/>
                <w:highlight w:val="none"/>
              </w:rPr>
              <w:t>连接：</w:t>
            </w:r>
          </w:p>
        </w:tc>
        <w:tc>
          <w:tcPr>
            <w:tcW w:w="5062" w:type="dxa"/>
            <w:tcBorders>
              <w:top w:val="single" w:color="auto" w:sz="4" w:space="0"/>
              <w:left w:val="single" w:color="auto" w:sz="4" w:space="0"/>
              <w:bottom w:val="single" w:color="auto" w:sz="4" w:space="0"/>
              <w:right w:val="single" w:color="auto" w:sz="4" w:space="0"/>
            </w:tcBorders>
            <w:noWrap/>
            <w:vAlign w:val="center"/>
          </w:tcPr>
          <w:p w14:paraId="536825C2">
            <w:pPr>
              <w:spacing w:line="500" w:lineRule="exact"/>
              <w:ind w:left="420" w:leftChars="200" w:firstLine="420"/>
              <w:rPr>
                <w:rFonts w:ascii="宋体" w:hAnsi="宋体" w:cs="宋体"/>
                <w:color w:val="auto"/>
                <w:szCs w:val="21"/>
                <w:highlight w:val="none"/>
              </w:rPr>
            </w:pPr>
            <w:r>
              <w:rPr>
                <w:rFonts w:hint="eastAsia" w:ascii="宋体" w:hAnsi="宋体" w:cs="宋体"/>
                <w:color w:val="auto"/>
                <w:szCs w:val="21"/>
                <w:highlight w:val="none"/>
              </w:rPr>
              <w:t>准备UPVC承插连接</w:t>
            </w:r>
          </w:p>
        </w:tc>
      </w:tr>
      <w:tr w14:paraId="6CE0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61C45249">
            <w:pPr>
              <w:spacing w:line="500" w:lineRule="exact"/>
              <w:rPr>
                <w:rFonts w:ascii="宋体" w:hAnsi="宋体" w:cs="宋体"/>
                <w:color w:val="auto"/>
                <w:szCs w:val="21"/>
                <w:highlight w:val="none"/>
              </w:rPr>
            </w:pPr>
            <w:r>
              <w:rPr>
                <w:rFonts w:hint="eastAsia" w:ascii="宋体" w:hAnsi="宋体" w:cs="宋体"/>
                <w:color w:val="auto"/>
                <w:szCs w:val="21"/>
                <w:highlight w:val="none"/>
              </w:rPr>
              <w:t>容积：</w:t>
            </w:r>
          </w:p>
        </w:tc>
        <w:tc>
          <w:tcPr>
            <w:tcW w:w="5062" w:type="dxa"/>
            <w:tcBorders>
              <w:top w:val="single" w:color="auto" w:sz="4" w:space="0"/>
              <w:left w:val="single" w:color="auto" w:sz="4" w:space="0"/>
              <w:bottom w:val="single" w:color="auto" w:sz="4" w:space="0"/>
              <w:right w:val="single" w:color="auto" w:sz="4" w:space="0"/>
            </w:tcBorders>
            <w:noWrap/>
            <w:vAlign w:val="center"/>
          </w:tcPr>
          <w:p w14:paraId="6DA9CAD5">
            <w:pPr>
              <w:spacing w:line="500" w:lineRule="exact"/>
              <w:ind w:left="420" w:leftChars="200" w:firstLine="420"/>
              <w:rPr>
                <w:rFonts w:ascii="宋体" w:hAnsi="宋体" w:cs="宋体"/>
                <w:color w:val="auto"/>
                <w:szCs w:val="21"/>
                <w:highlight w:val="none"/>
              </w:rPr>
            </w:pPr>
            <w:r>
              <w:rPr>
                <w:rFonts w:hint="eastAsia" w:ascii="宋体" w:hAnsi="宋体" w:cs="宋体"/>
                <w:color w:val="auto"/>
                <w:szCs w:val="21"/>
                <w:highlight w:val="none"/>
              </w:rPr>
              <w:t>1.0L/2.5L</w:t>
            </w:r>
          </w:p>
        </w:tc>
      </w:tr>
      <w:tr w14:paraId="1EC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7DE92132">
            <w:pPr>
              <w:spacing w:line="500" w:lineRule="exact"/>
              <w:rPr>
                <w:rFonts w:ascii="宋体" w:hAnsi="宋体" w:cs="宋体"/>
                <w:color w:val="auto"/>
                <w:szCs w:val="21"/>
                <w:highlight w:val="none"/>
              </w:rPr>
            </w:pPr>
            <w:r>
              <w:rPr>
                <w:rFonts w:hint="eastAsia" w:ascii="宋体" w:hAnsi="宋体" w:cs="宋体"/>
                <w:color w:val="auto"/>
                <w:szCs w:val="21"/>
                <w:highlight w:val="none"/>
              </w:rPr>
              <w:t>最大压力：</w:t>
            </w:r>
          </w:p>
        </w:tc>
        <w:tc>
          <w:tcPr>
            <w:tcW w:w="5062" w:type="dxa"/>
            <w:tcBorders>
              <w:top w:val="single" w:color="auto" w:sz="4" w:space="0"/>
              <w:left w:val="single" w:color="auto" w:sz="4" w:space="0"/>
              <w:bottom w:val="single" w:color="auto" w:sz="4" w:space="0"/>
              <w:right w:val="single" w:color="auto" w:sz="4" w:space="0"/>
            </w:tcBorders>
            <w:noWrap/>
            <w:vAlign w:val="center"/>
          </w:tcPr>
          <w:p w14:paraId="1861F885">
            <w:pPr>
              <w:spacing w:line="500" w:lineRule="exact"/>
              <w:ind w:left="420" w:leftChars="200" w:firstLine="420"/>
              <w:rPr>
                <w:rFonts w:ascii="宋体" w:hAnsi="宋体" w:cs="宋体"/>
                <w:color w:val="auto"/>
                <w:szCs w:val="21"/>
                <w:highlight w:val="none"/>
              </w:rPr>
            </w:pPr>
            <w:r>
              <w:rPr>
                <w:rFonts w:hint="eastAsia" w:ascii="宋体" w:hAnsi="宋体" w:cs="宋体"/>
                <w:color w:val="auto"/>
                <w:szCs w:val="21"/>
                <w:highlight w:val="none"/>
              </w:rPr>
              <w:t>5bar</w:t>
            </w:r>
          </w:p>
        </w:tc>
      </w:tr>
    </w:tbl>
    <w:p w14:paraId="5BA59D3F">
      <w:pPr>
        <w:spacing w:line="500"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Y型过滤器</w:t>
      </w:r>
    </w:p>
    <w:p w14:paraId="6CE88BAD">
      <w:pPr>
        <w:pStyle w:val="48"/>
        <w:tabs>
          <w:tab w:val="left" w:pos="907"/>
        </w:tabs>
        <w:spacing w:line="500" w:lineRule="exact"/>
        <w:ind w:left="218" w:leftChars="104" w:firstLine="480"/>
        <w:rPr>
          <w:rFonts w:ascii="宋体" w:hAnsi="宋体" w:cs="宋体"/>
          <w:color w:val="auto"/>
          <w:szCs w:val="21"/>
          <w:highlight w:val="none"/>
        </w:rPr>
      </w:pPr>
      <w:r>
        <w:rPr>
          <w:rFonts w:hint="eastAsia" w:ascii="宋体" w:hAnsi="宋体" w:cs="宋体"/>
          <w:color w:val="auto"/>
          <w:szCs w:val="21"/>
          <w:highlight w:val="none"/>
        </w:rPr>
        <w:t>是输送介质的管道系统不可缺少的一种过滤装置，Y型过滤器通常安装在减压阀、泄压阀、定水位阀或其他设备的进口端，用来清除介质中的杂质，以保护阀门及设备的正常使用。Y型过滤器应具有结构先进，阻力小，排污方便等特点。</w:t>
      </w:r>
    </w:p>
    <w:p w14:paraId="31C91FC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材质：UPVC，滤芯应易于检查和拆卸清除杂质。</w:t>
      </w:r>
    </w:p>
    <w:p w14:paraId="3E9681C7">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公称压力：0.6MPa</w:t>
      </w:r>
    </w:p>
    <w:p w14:paraId="725CB6AD">
      <w:pPr>
        <w:pStyle w:val="48"/>
        <w:tabs>
          <w:tab w:val="left" w:pos="907"/>
        </w:tabs>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连接口径：根据设备清单</w:t>
      </w:r>
    </w:p>
    <w:p w14:paraId="73EE0452">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（十八）控制柜</w:t>
      </w:r>
    </w:p>
    <w:p w14:paraId="1F405D0E">
      <w:pPr>
        <w:numPr>
          <w:ilvl w:val="2"/>
          <w:numId w:val="0"/>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随机应包括一套完整控制柜，控制柜本身防护等级IP55以上，环境腐蚀类别0类。采用标准机柜，双层柜门，柜体不小于2mm厚的喷塑碳钢, 采用折叠式的焊接结构, 前开门，门上配有手柄、锁及铭牌，所有的门或出入口都用氯丁橡胶密封。控制柜内提供门控30W 荧光灯，安装在柜的顶部，并且要具有更换灯管的操作空间。柜体设有防小动物进入的通风装置。</w:t>
      </w:r>
    </w:p>
    <w:p w14:paraId="11F2E185">
      <w:pPr>
        <w:numPr>
          <w:ilvl w:val="2"/>
          <w:numId w:val="0"/>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整套活性炭投加系统采用PLC自动控制， PLC采用罗克韦尔/西门子/施耐德或同等档次以上系统，能与水厂中控系统（含上位机及组态软件）兼容。现场控制柜包括触摸屏，能显示、设置、修改工艺参数，控制</w:t>
      </w:r>
    </w:p>
    <w:p w14:paraId="1784B446">
      <w:pPr>
        <w:numPr>
          <w:ilvl w:val="2"/>
          <w:numId w:val="0"/>
        </w:numPr>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制备及投加。泵的流量可以通过4-20mA信号调节。控制柜内的变频器须采用施耐德、ABB、丹佛斯或同档次及以上品牌，其他元器件须采用“默勒”、“ABB”、“施耐德”、“西门子”品牌或同档次以上品牌。控制柜放在设备现场，现场设置转换开关。</w:t>
      </w:r>
    </w:p>
    <w:p w14:paraId="016696C6">
      <w:pPr>
        <w:tabs>
          <w:tab w:val="left" w:pos="907"/>
        </w:tabs>
        <w:spacing w:line="500" w:lineRule="exact"/>
        <w:ind w:left="420" w:leftChars="200" w:firstLine="420" w:firstLineChars="200"/>
        <w:jc w:val="left"/>
        <w:rPr>
          <w:rFonts w:ascii="宋体" w:hAnsi="宋体" w:cs="宋体"/>
          <w:color w:val="auto"/>
          <w:szCs w:val="21"/>
          <w:highlight w:val="none"/>
        </w:rPr>
      </w:pPr>
      <w:r>
        <w:rPr>
          <w:rFonts w:hint="eastAsia" w:ascii="宋体" w:hAnsi="宋体" w:cs="宋体"/>
          <w:color w:val="auto"/>
          <w:szCs w:val="21"/>
          <w:highlight w:val="none"/>
        </w:rPr>
        <w:t>系统至少需具备以下功能：</w:t>
      </w:r>
    </w:p>
    <w:p w14:paraId="761CD98C">
      <w:pPr>
        <w:tabs>
          <w:tab w:val="left" w:pos="425"/>
          <w:tab w:val="left" w:pos="907"/>
        </w:tabs>
        <w:spacing w:line="500" w:lineRule="exact"/>
        <w:ind w:left="420" w:leftChars="200" w:firstLine="452" w:firstLineChars="200"/>
        <w:jc w:val="left"/>
        <w:rPr>
          <w:rFonts w:ascii="宋体" w:hAnsi="宋体" w:cs="宋体"/>
          <w:color w:val="auto"/>
          <w:spacing w:val="8"/>
          <w:szCs w:val="21"/>
          <w:highlight w:val="none"/>
        </w:rPr>
      </w:pPr>
      <w:r>
        <w:rPr>
          <w:rFonts w:hint="eastAsia" w:ascii="宋体" w:hAnsi="宋体" w:cs="宋体"/>
          <w:color w:val="auto"/>
          <w:spacing w:val="8"/>
          <w:szCs w:val="21"/>
          <w:highlight w:val="none"/>
        </w:rPr>
        <w:t>全套系统PLC控制；</w:t>
      </w:r>
    </w:p>
    <w:p w14:paraId="3E4E5A36">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系统各设备的运行及报警显示（中文人机界面）；</w:t>
      </w:r>
    </w:p>
    <w:p w14:paraId="0250E4EB">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相关信号的远程输出；</w:t>
      </w:r>
    </w:p>
    <w:p w14:paraId="3AFA2D47">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配备标准通讯接口及与接入的加药间主站PLC所需的相关通讯设备（如加药间主站通讯卡、T接线头等），与水厂现有控制系统兼容（系统接入立新水厂主站PLC）并负责完善上位机监控画面；</w:t>
      </w:r>
    </w:p>
    <w:p w14:paraId="60BC8126">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按设定浓度自动配料；</w:t>
      </w:r>
    </w:p>
    <w:p w14:paraId="6EB6D045">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投加点根据原水流量自动投加；</w:t>
      </w:r>
    </w:p>
    <w:p w14:paraId="5E5E4F86">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可供电源：3x380/220V，50Hz；</w:t>
      </w:r>
    </w:p>
    <w:p w14:paraId="46353627">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在投加系统自动运行过程中可以对设备进行手动控制，方便检修维护；</w:t>
      </w:r>
    </w:p>
    <w:p w14:paraId="6518435E">
      <w:pPr>
        <w:tabs>
          <w:tab w:val="left" w:pos="425"/>
          <w:tab w:val="left" w:pos="907"/>
        </w:tabs>
        <w:spacing w:line="500" w:lineRule="exact"/>
        <w:ind w:left="420" w:leftChars="200"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具有自动排放渣水的功能。</w:t>
      </w:r>
    </w:p>
    <w:p w14:paraId="32FC9C95">
      <w:pPr>
        <w:numPr>
          <w:ilvl w:val="1"/>
          <w:numId w:val="0"/>
        </w:numPr>
        <w:spacing w:line="500" w:lineRule="exact"/>
        <w:ind w:left="420" w:leftChars="200" w:firstLine="422" w:firstLineChars="200"/>
        <w:rPr>
          <w:rFonts w:ascii="宋体" w:hAnsi="宋体" w:cs="宋体"/>
          <w:b/>
          <w:color w:val="auto"/>
          <w:szCs w:val="21"/>
          <w:highlight w:val="none"/>
        </w:rPr>
      </w:pPr>
      <w:r>
        <w:rPr>
          <w:rFonts w:hint="eastAsia" w:ascii="宋体" w:hAnsi="宋体" w:cs="宋体"/>
          <w:b/>
          <w:color w:val="auto"/>
          <w:szCs w:val="21"/>
          <w:highlight w:val="none"/>
        </w:rPr>
        <w:t>表面处理：</w:t>
      </w:r>
    </w:p>
    <w:p w14:paraId="782E3516">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所有碳钢材质表面均需多层防腐处理，除锈达到Sa2.5级，完全除去金属表面的油脂、氧化皮、锈蚀物等一些杂物，外壁采用经喷砂处理到SA 2 ½后，2层100µm环氧底漆，外涂同一颜色50µm丙烯酸面层。</w:t>
      </w:r>
    </w:p>
    <w:p w14:paraId="35E751E1">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不锈钢表面喷砂处理。</w:t>
      </w:r>
    </w:p>
    <w:p w14:paraId="02B3A89F">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料仓表面喷砂除锈SA2 ½，料仓内外表面均须喷涂环氧漆，内表面涂食品级环氧漆2层；外表面2层环氧底漆100μm，外涂同一颜色50μm丙烯酸/聚氨酯面层。</w:t>
      </w:r>
    </w:p>
    <w:p w14:paraId="2B4CF87C">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电机、齿轮箱等按照相应供应商的标准表面处理。</w:t>
      </w:r>
    </w:p>
    <w:p w14:paraId="39BC9C0E">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现场安装时，对于已经损坏的涂漆表面、由承包人和供货商负责修复并完成最终涂装。</w:t>
      </w:r>
    </w:p>
    <w:p w14:paraId="0F6BD63A">
      <w:pPr>
        <w:spacing w:line="500" w:lineRule="exact"/>
        <w:ind w:left="420" w:lef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（十九）备品备件及专用工具（含在投标总价中）</w:t>
      </w:r>
    </w:p>
    <w:p w14:paraId="2CFB200C">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5648C61E">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卖方应提供投标产品的备品备件清单及单价。</w:t>
      </w:r>
    </w:p>
    <w:p w14:paraId="6D339C55">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卖方应按标准提供1年的易损备品备件。列出易损备品备件明细。</w:t>
      </w:r>
    </w:p>
    <w:p w14:paraId="7A386324">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卖方应提供随机专用工具清单。</w:t>
      </w:r>
    </w:p>
    <w:p w14:paraId="0E9C49BB">
      <w:pPr>
        <w:tabs>
          <w:tab w:val="left" w:pos="907"/>
        </w:tabs>
        <w:spacing w:line="5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卖方应承诺在保修期外以不高于第二章九条第3款的价格向买方提供备品备件，并在寿命期内保证零配件供应。</w:t>
      </w:r>
    </w:p>
    <w:p w14:paraId="14795A98">
      <w:pPr>
        <w:pStyle w:val="6"/>
        <w:spacing w:before="93" w:beforeLines="30" w:after="93" w:afterLines="30" w:line="500" w:lineRule="exact"/>
        <w:jc w:val="left"/>
        <w:rPr>
          <w:rFonts w:ascii="宋体" w:hAnsi="宋体" w:cs="宋体"/>
          <w:color w:val="auto"/>
          <w:sz w:val="21"/>
          <w:szCs w:val="21"/>
          <w:highlight w:val="none"/>
        </w:rPr>
      </w:pPr>
      <w:bookmarkStart w:id="748" w:name="_Toc132564825"/>
      <w:bookmarkStart w:id="749" w:name="_Toc132547684"/>
      <w:bookmarkStart w:id="750" w:name="_Toc132546123"/>
      <w:bookmarkStart w:id="751" w:name="_Toc132633459"/>
      <w:r>
        <w:rPr>
          <w:rFonts w:hint="eastAsia" w:ascii="宋体" w:hAnsi="宋体" w:cs="宋体"/>
          <w:color w:val="auto"/>
          <w:sz w:val="21"/>
          <w:szCs w:val="21"/>
          <w:highlight w:val="none"/>
        </w:rPr>
        <w:t>4.2.5 滤池气浮工艺改造</w:t>
      </w:r>
    </w:p>
    <w:p w14:paraId="15A674D6">
      <w:pPr>
        <w:numPr>
          <w:ilvl w:val="255"/>
          <w:numId w:val="0"/>
        </w:numPr>
        <w:spacing w:line="360" w:lineRule="auto"/>
        <w:ind w:left="420" w:leftChars="200"/>
        <w:rPr>
          <w:rFonts w:ascii="宋体" w:hAnsi="宋体" w:cs="宋体"/>
          <w:b/>
          <w:color w:val="auto"/>
          <w:sz w:val="24"/>
          <w:highlight w:val="none"/>
        </w:rPr>
      </w:pPr>
      <w:r>
        <w:rPr>
          <w:rFonts w:hint="eastAsia" w:ascii="宋体" w:hAnsi="宋体" w:cs="宋体"/>
          <w:b/>
          <w:color w:val="auto"/>
          <w:sz w:val="24"/>
          <w:highlight w:val="none"/>
        </w:rPr>
        <w:t>★主要设备材料表</w:t>
      </w:r>
    </w:p>
    <w:p w14:paraId="76221460">
      <w:pPr>
        <w:pStyle w:val="53"/>
        <w:spacing w:before="120" w:line="360" w:lineRule="auto"/>
        <w:rPr>
          <w:color w:val="auto"/>
          <w:highlight w:val="none"/>
        </w:rPr>
      </w:pPr>
      <w:r>
        <w:rPr>
          <w:color w:val="auto"/>
          <w:highlight w:val="none"/>
        </w:rPr>
        <w:t>表4-4 主要工程量表</w:t>
      </w:r>
    </w:p>
    <w:tbl>
      <w:tblPr>
        <w:tblStyle w:val="23"/>
        <w:tblW w:w="0" w:type="auto"/>
        <w:tblInd w:w="-313" w:type="dxa"/>
        <w:tblLayout w:type="fixed"/>
        <w:tblCellMar>
          <w:top w:w="0" w:type="dxa"/>
          <w:left w:w="108" w:type="dxa"/>
          <w:bottom w:w="0" w:type="dxa"/>
          <w:right w:w="108" w:type="dxa"/>
        </w:tblCellMar>
      </w:tblPr>
      <w:tblGrid>
        <w:gridCol w:w="899"/>
        <w:gridCol w:w="967"/>
        <w:gridCol w:w="886"/>
        <w:gridCol w:w="2597"/>
        <w:gridCol w:w="672"/>
        <w:gridCol w:w="579"/>
        <w:gridCol w:w="915"/>
        <w:gridCol w:w="780"/>
        <w:gridCol w:w="1950"/>
      </w:tblGrid>
      <w:tr w14:paraId="68578735">
        <w:tblPrEx>
          <w:tblCellMar>
            <w:top w:w="0" w:type="dxa"/>
            <w:left w:w="108" w:type="dxa"/>
            <w:bottom w:w="0" w:type="dxa"/>
            <w:right w:w="108" w:type="dxa"/>
          </w:tblCellMar>
        </w:tblPrEx>
        <w:trPr>
          <w:trHeight w:val="570" w:hRule="atLeast"/>
          <w:tblHeader/>
        </w:trPr>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30A2246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967" w:type="dxa"/>
            <w:tcBorders>
              <w:top w:val="single" w:color="auto" w:sz="4" w:space="0"/>
              <w:left w:val="nil"/>
              <w:bottom w:val="single" w:color="auto" w:sz="4" w:space="0"/>
              <w:right w:val="single" w:color="auto" w:sz="4" w:space="0"/>
            </w:tcBorders>
            <w:shd w:val="clear" w:color="auto" w:fill="auto"/>
            <w:vAlign w:val="center"/>
          </w:tcPr>
          <w:p w14:paraId="646C51C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标准或图号</w:t>
            </w:r>
          </w:p>
        </w:tc>
        <w:tc>
          <w:tcPr>
            <w:tcW w:w="886" w:type="dxa"/>
            <w:tcBorders>
              <w:top w:val="single" w:color="auto" w:sz="4" w:space="0"/>
              <w:left w:val="nil"/>
              <w:bottom w:val="single" w:color="auto" w:sz="4" w:space="0"/>
              <w:right w:val="single" w:color="auto" w:sz="4" w:space="0"/>
            </w:tcBorders>
            <w:shd w:val="clear" w:color="auto" w:fill="auto"/>
            <w:vAlign w:val="center"/>
          </w:tcPr>
          <w:p w14:paraId="1358428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2597" w:type="dxa"/>
            <w:tcBorders>
              <w:top w:val="single" w:color="auto" w:sz="4" w:space="0"/>
              <w:left w:val="nil"/>
              <w:bottom w:val="single" w:color="auto" w:sz="4" w:space="0"/>
              <w:right w:val="single" w:color="auto" w:sz="4" w:space="0"/>
            </w:tcBorders>
            <w:shd w:val="clear" w:color="auto" w:fill="auto"/>
            <w:vAlign w:val="center"/>
          </w:tcPr>
          <w:p w14:paraId="64EBF37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规格</w:t>
            </w:r>
          </w:p>
        </w:tc>
        <w:tc>
          <w:tcPr>
            <w:tcW w:w="672" w:type="dxa"/>
            <w:tcBorders>
              <w:top w:val="single" w:color="auto" w:sz="4" w:space="0"/>
              <w:left w:val="nil"/>
              <w:bottom w:val="single" w:color="auto" w:sz="4" w:space="0"/>
              <w:right w:val="single" w:color="auto" w:sz="4" w:space="0"/>
            </w:tcBorders>
            <w:shd w:val="clear" w:color="auto" w:fill="auto"/>
            <w:vAlign w:val="center"/>
          </w:tcPr>
          <w:p w14:paraId="3BABCB2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材料</w:t>
            </w:r>
          </w:p>
        </w:tc>
        <w:tc>
          <w:tcPr>
            <w:tcW w:w="579" w:type="dxa"/>
            <w:tcBorders>
              <w:top w:val="single" w:color="auto" w:sz="4" w:space="0"/>
              <w:left w:val="nil"/>
              <w:bottom w:val="single" w:color="auto" w:sz="4" w:space="0"/>
              <w:right w:val="single" w:color="auto" w:sz="4" w:space="0"/>
            </w:tcBorders>
            <w:shd w:val="clear" w:color="auto" w:fill="auto"/>
            <w:vAlign w:val="center"/>
          </w:tcPr>
          <w:p w14:paraId="286B8D1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915" w:type="dxa"/>
            <w:tcBorders>
              <w:top w:val="single" w:color="auto" w:sz="4" w:space="0"/>
              <w:left w:val="nil"/>
              <w:bottom w:val="single" w:color="auto" w:sz="4" w:space="0"/>
              <w:right w:val="single" w:color="auto" w:sz="4" w:space="0"/>
            </w:tcBorders>
            <w:shd w:val="clear" w:color="auto" w:fill="auto"/>
            <w:vAlign w:val="center"/>
          </w:tcPr>
          <w:p w14:paraId="5B52FE1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单套设备数量</w:t>
            </w:r>
          </w:p>
        </w:tc>
        <w:tc>
          <w:tcPr>
            <w:tcW w:w="780" w:type="dxa"/>
            <w:tcBorders>
              <w:top w:val="single" w:color="auto" w:sz="4" w:space="0"/>
              <w:left w:val="nil"/>
              <w:bottom w:val="single" w:color="auto" w:sz="4" w:space="0"/>
              <w:right w:val="single" w:color="auto" w:sz="4" w:space="0"/>
            </w:tcBorders>
            <w:shd w:val="clear" w:color="auto" w:fill="auto"/>
            <w:vAlign w:val="center"/>
          </w:tcPr>
          <w:p w14:paraId="4D334C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总数量</w:t>
            </w:r>
          </w:p>
        </w:tc>
        <w:tc>
          <w:tcPr>
            <w:tcW w:w="1950" w:type="dxa"/>
            <w:tcBorders>
              <w:top w:val="single" w:color="auto" w:sz="4" w:space="0"/>
              <w:left w:val="nil"/>
              <w:bottom w:val="single" w:color="auto" w:sz="4" w:space="0"/>
              <w:right w:val="single" w:color="auto" w:sz="4" w:space="0"/>
            </w:tcBorders>
            <w:shd w:val="clear" w:color="auto" w:fill="auto"/>
            <w:vAlign w:val="center"/>
          </w:tcPr>
          <w:p w14:paraId="2D1AA0C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备注</w:t>
            </w:r>
          </w:p>
        </w:tc>
      </w:tr>
      <w:tr w14:paraId="1C1CBF6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2EE6D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第二水厂</w:t>
            </w:r>
          </w:p>
        </w:tc>
        <w:tc>
          <w:tcPr>
            <w:tcW w:w="967" w:type="dxa"/>
            <w:tcBorders>
              <w:top w:val="nil"/>
              <w:left w:val="nil"/>
              <w:bottom w:val="single" w:color="auto" w:sz="4" w:space="0"/>
              <w:right w:val="single" w:color="auto" w:sz="4" w:space="0"/>
            </w:tcBorders>
            <w:shd w:val="clear" w:color="auto" w:fill="auto"/>
            <w:vAlign w:val="center"/>
          </w:tcPr>
          <w:p w14:paraId="09423D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1D2558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2597" w:type="dxa"/>
            <w:tcBorders>
              <w:top w:val="nil"/>
              <w:left w:val="nil"/>
              <w:bottom w:val="single" w:color="auto" w:sz="4" w:space="0"/>
              <w:right w:val="single" w:color="auto" w:sz="4" w:space="0"/>
            </w:tcBorders>
            <w:shd w:val="clear" w:color="auto" w:fill="auto"/>
            <w:vAlign w:val="center"/>
          </w:tcPr>
          <w:p w14:paraId="3A724F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0C659CE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1E70F7D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915" w:type="dxa"/>
            <w:tcBorders>
              <w:top w:val="nil"/>
              <w:left w:val="nil"/>
              <w:bottom w:val="single" w:color="auto" w:sz="4" w:space="0"/>
              <w:right w:val="single" w:color="auto" w:sz="4" w:space="0"/>
            </w:tcBorders>
            <w:shd w:val="clear" w:color="auto" w:fill="auto"/>
            <w:vAlign w:val="center"/>
          </w:tcPr>
          <w:p w14:paraId="5982153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780" w:type="dxa"/>
            <w:tcBorders>
              <w:top w:val="nil"/>
              <w:left w:val="nil"/>
              <w:bottom w:val="single" w:color="auto" w:sz="4" w:space="0"/>
              <w:right w:val="single" w:color="auto" w:sz="4" w:space="0"/>
            </w:tcBorders>
            <w:shd w:val="clear" w:color="auto" w:fill="auto"/>
            <w:vAlign w:val="center"/>
          </w:tcPr>
          <w:p w14:paraId="709069E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1950" w:type="dxa"/>
            <w:tcBorders>
              <w:top w:val="nil"/>
              <w:left w:val="nil"/>
              <w:bottom w:val="single" w:color="auto" w:sz="4" w:space="0"/>
              <w:right w:val="single" w:color="auto" w:sz="4" w:space="0"/>
            </w:tcBorders>
            <w:shd w:val="clear" w:color="auto" w:fill="auto"/>
            <w:vAlign w:val="center"/>
          </w:tcPr>
          <w:p w14:paraId="4E3618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56BEBB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CB297C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967" w:type="dxa"/>
            <w:tcBorders>
              <w:top w:val="nil"/>
              <w:left w:val="nil"/>
              <w:bottom w:val="single" w:color="auto" w:sz="4" w:space="0"/>
              <w:right w:val="single" w:color="auto" w:sz="4" w:space="0"/>
            </w:tcBorders>
            <w:shd w:val="clear" w:color="auto" w:fill="auto"/>
            <w:noWrap/>
            <w:vAlign w:val="bottom"/>
          </w:tcPr>
          <w:p w14:paraId="1822817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8F29B9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不停水开口</w:t>
            </w:r>
          </w:p>
        </w:tc>
        <w:tc>
          <w:tcPr>
            <w:tcW w:w="2597" w:type="dxa"/>
            <w:tcBorders>
              <w:top w:val="nil"/>
              <w:left w:val="nil"/>
              <w:bottom w:val="single" w:color="auto" w:sz="4" w:space="0"/>
              <w:right w:val="single" w:color="auto" w:sz="4" w:space="0"/>
            </w:tcBorders>
            <w:shd w:val="clear" w:color="auto" w:fill="auto"/>
            <w:vAlign w:val="center"/>
          </w:tcPr>
          <w:p w14:paraId="0674C2D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DN900xDN200</w:t>
            </w:r>
          </w:p>
        </w:tc>
        <w:tc>
          <w:tcPr>
            <w:tcW w:w="672" w:type="dxa"/>
            <w:tcBorders>
              <w:top w:val="nil"/>
              <w:left w:val="nil"/>
              <w:bottom w:val="single" w:color="auto" w:sz="4" w:space="0"/>
              <w:right w:val="single" w:color="auto" w:sz="4" w:space="0"/>
            </w:tcBorders>
            <w:shd w:val="clear" w:color="auto" w:fill="auto"/>
            <w:vAlign w:val="center"/>
          </w:tcPr>
          <w:p w14:paraId="7B18833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760D397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1B358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1DBFEC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3920DE2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52BA656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32FF72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967" w:type="dxa"/>
            <w:tcBorders>
              <w:top w:val="nil"/>
              <w:left w:val="nil"/>
              <w:bottom w:val="single" w:color="auto" w:sz="4" w:space="0"/>
              <w:right w:val="single" w:color="auto" w:sz="4" w:space="0"/>
            </w:tcBorders>
            <w:shd w:val="clear" w:color="auto" w:fill="auto"/>
            <w:vAlign w:val="center"/>
          </w:tcPr>
          <w:p w14:paraId="7AC6B68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D0C776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100914D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DN200，δ=6mm</w:t>
            </w:r>
          </w:p>
        </w:tc>
        <w:tc>
          <w:tcPr>
            <w:tcW w:w="672" w:type="dxa"/>
            <w:tcBorders>
              <w:top w:val="nil"/>
              <w:left w:val="nil"/>
              <w:bottom w:val="single" w:color="auto" w:sz="4" w:space="0"/>
              <w:right w:val="single" w:color="auto" w:sz="4" w:space="0"/>
            </w:tcBorders>
            <w:shd w:val="clear" w:color="auto" w:fill="auto"/>
            <w:vAlign w:val="center"/>
          </w:tcPr>
          <w:p w14:paraId="2F1F83F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69AE713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AFC892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780" w:type="dxa"/>
            <w:tcBorders>
              <w:top w:val="nil"/>
              <w:left w:val="nil"/>
              <w:bottom w:val="single" w:color="auto" w:sz="4" w:space="0"/>
              <w:right w:val="single" w:color="auto" w:sz="4" w:space="0"/>
            </w:tcBorders>
            <w:shd w:val="clear" w:color="auto" w:fill="auto"/>
            <w:vAlign w:val="center"/>
          </w:tcPr>
          <w:p w14:paraId="1CAA898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46</w:t>
            </w:r>
          </w:p>
        </w:tc>
        <w:tc>
          <w:tcPr>
            <w:tcW w:w="1950" w:type="dxa"/>
            <w:tcBorders>
              <w:top w:val="nil"/>
              <w:left w:val="nil"/>
              <w:bottom w:val="single" w:color="auto" w:sz="4" w:space="0"/>
              <w:right w:val="single" w:color="auto" w:sz="4" w:space="0"/>
            </w:tcBorders>
            <w:shd w:val="clear" w:color="auto" w:fill="auto"/>
            <w:vAlign w:val="center"/>
          </w:tcPr>
          <w:p w14:paraId="3871DE5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241C19C3">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454839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967" w:type="dxa"/>
            <w:tcBorders>
              <w:top w:val="nil"/>
              <w:left w:val="nil"/>
              <w:bottom w:val="single" w:color="auto" w:sz="4" w:space="0"/>
              <w:right w:val="single" w:color="auto" w:sz="4" w:space="0"/>
            </w:tcBorders>
            <w:shd w:val="clear" w:color="auto" w:fill="auto"/>
            <w:vAlign w:val="center"/>
          </w:tcPr>
          <w:p w14:paraId="06665C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C62265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分流变频泵</w:t>
            </w:r>
          </w:p>
        </w:tc>
        <w:tc>
          <w:tcPr>
            <w:tcW w:w="2597" w:type="dxa"/>
            <w:tcBorders>
              <w:top w:val="nil"/>
              <w:left w:val="nil"/>
              <w:bottom w:val="single" w:color="auto" w:sz="4" w:space="0"/>
              <w:right w:val="single" w:color="auto" w:sz="4" w:space="0"/>
            </w:tcBorders>
            <w:shd w:val="clear" w:color="auto" w:fill="auto"/>
            <w:vAlign w:val="center"/>
          </w:tcPr>
          <w:p w14:paraId="7808483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Q=150m3/h,H=50m,P=37kw</w:t>
            </w:r>
          </w:p>
        </w:tc>
        <w:tc>
          <w:tcPr>
            <w:tcW w:w="672" w:type="dxa"/>
            <w:tcBorders>
              <w:top w:val="nil"/>
              <w:left w:val="nil"/>
              <w:bottom w:val="single" w:color="auto" w:sz="4" w:space="0"/>
              <w:right w:val="single" w:color="auto" w:sz="4" w:space="0"/>
            </w:tcBorders>
            <w:shd w:val="clear" w:color="auto" w:fill="auto"/>
            <w:vAlign w:val="center"/>
          </w:tcPr>
          <w:p w14:paraId="40121E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2730BB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2C098A5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5485784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1A802AD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0B4CCD95">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7B4F6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967" w:type="dxa"/>
            <w:tcBorders>
              <w:top w:val="nil"/>
              <w:left w:val="nil"/>
              <w:bottom w:val="single" w:color="auto" w:sz="4" w:space="0"/>
              <w:right w:val="single" w:color="auto" w:sz="4" w:space="0"/>
            </w:tcBorders>
            <w:shd w:val="clear" w:color="auto" w:fill="auto"/>
            <w:vAlign w:val="center"/>
          </w:tcPr>
          <w:p w14:paraId="0E053D7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0C2D39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585C65A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Q=60m3/h，0.8mpa,P=7.5kw</w:t>
            </w:r>
          </w:p>
        </w:tc>
        <w:tc>
          <w:tcPr>
            <w:tcW w:w="672" w:type="dxa"/>
            <w:tcBorders>
              <w:top w:val="nil"/>
              <w:left w:val="nil"/>
              <w:bottom w:val="single" w:color="auto" w:sz="4" w:space="0"/>
              <w:right w:val="single" w:color="auto" w:sz="4" w:space="0"/>
            </w:tcBorders>
            <w:shd w:val="clear" w:color="auto" w:fill="auto"/>
            <w:vAlign w:val="center"/>
          </w:tcPr>
          <w:p w14:paraId="7E631A2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4D47E5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2A26A79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5F15BCD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59E3763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3943BDCA">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5AF07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967" w:type="dxa"/>
            <w:tcBorders>
              <w:top w:val="nil"/>
              <w:left w:val="nil"/>
              <w:bottom w:val="single" w:color="auto" w:sz="4" w:space="0"/>
              <w:right w:val="single" w:color="auto" w:sz="4" w:space="0"/>
            </w:tcBorders>
            <w:shd w:val="clear" w:color="auto" w:fill="auto"/>
            <w:vAlign w:val="center"/>
          </w:tcPr>
          <w:p w14:paraId="527AB5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461E81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溶气罐</w:t>
            </w:r>
          </w:p>
        </w:tc>
        <w:tc>
          <w:tcPr>
            <w:tcW w:w="2597" w:type="dxa"/>
            <w:tcBorders>
              <w:top w:val="nil"/>
              <w:left w:val="nil"/>
              <w:bottom w:val="single" w:color="auto" w:sz="4" w:space="0"/>
              <w:right w:val="single" w:color="auto" w:sz="4" w:space="0"/>
            </w:tcBorders>
            <w:shd w:val="clear" w:color="auto" w:fill="auto"/>
            <w:vAlign w:val="center"/>
          </w:tcPr>
          <w:p w14:paraId="67BA9F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V=6m3</w:t>
            </w:r>
          </w:p>
        </w:tc>
        <w:tc>
          <w:tcPr>
            <w:tcW w:w="672" w:type="dxa"/>
            <w:tcBorders>
              <w:top w:val="nil"/>
              <w:left w:val="nil"/>
              <w:bottom w:val="single" w:color="auto" w:sz="4" w:space="0"/>
              <w:right w:val="single" w:color="auto" w:sz="4" w:space="0"/>
            </w:tcBorders>
            <w:shd w:val="clear" w:color="auto" w:fill="auto"/>
            <w:vAlign w:val="center"/>
          </w:tcPr>
          <w:p w14:paraId="614890B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896503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41499A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2FC9194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2D3FFB5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溶气系统设备，含压力表等附件</w:t>
            </w:r>
          </w:p>
        </w:tc>
      </w:tr>
      <w:tr w14:paraId="02C624D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78713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967" w:type="dxa"/>
            <w:tcBorders>
              <w:top w:val="nil"/>
              <w:left w:val="nil"/>
              <w:bottom w:val="single" w:color="auto" w:sz="4" w:space="0"/>
              <w:right w:val="single" w:color="auto" w:sz="4" w:space="0"/>
            </w:tcBorders>
            <w:shd w:val="clear" w:color="auto" w:fill="auto"/>
            <w:vAlign w:val="center"/>
          </w:tcPr>
          <w:p w14:paraId="5906180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C9375A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2C669F9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De200，PN10</w:t>
            </w:r>
          </w:p>
        </w:tc>
        <w:tc>
          <w:tcPr>
            <w:tcW w:w="672" w:type="dxa"/>
            <w:tcBorders>
              <w:top w:val="nil"/>
              <w:left w:val="nil"/>
              <w:bottom w:val="single" w:color="auto" w:sz="4" w:space="0"/>
              <w:right w:val="single" w:color="auto" w:sz="4" w:space="0"/>
            </w:tcBorders>
            <w:shd w:val="clear" w:color="auto" w:fill="auto"/>
            <w:vAlign w:val="center"/>
          </w:tcPr>
          <w:p w14:paraId="39AF828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02811D3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5E2F8C1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6E53FDB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507849D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5EC1615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C6B9B1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967" w:type="dxa"/>
            <w:tcBorders>
              <w:top w:val="nil"/>
              <w:left w:val="nil"/>
              <w:bottom w:val="single" w:color="auto" w:sz="4" w:space="0"/>
              <w:right w:val="single" w:color="auto" w:sz="4" w:space="0"/>
            </w:tcBorders>
            <w:shd w:val="clear" w:color="auto" w:fill="auto"/>
            <w:vAlign w:val="center"/>
          </w:tcPr>
          <w:p w14:paraId="58F529E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EEA122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0428734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De150，PN10</w:t>
            </w:r>
          </w:p>
        </w:tc>
        <w:tc>
          <w:tcPr>
            <w:tcW w:w="672" w:type="dxa"/>
            <w:tcBorders>
              <w:top w:val="nil"/>
              <w:left w:val="nil"/>
              <w:bottom w:val="single" w:color="auto" w:sz="4" w:space="0"/>
              <w:right w:val="single" w:color="auto" w:sz="4" w:space="0"/>
            </w:tcBorders>
            <w:shd w:val="clear" w:color="auto" w:fill="auto"/>
            <w:vAlign w:val="center"/>
          </w:tcPr>
          <w:p w14:paraId="58C2C55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47A998A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2A48E73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90</w:t>
            </w:r>
          </w:p>
        </w:tc>
        <w:tc>
          <w:tcPr>
            <w:tcW w:w="780" w:type="dxa"/>
            <w:tcBorders>
              <w:top w:val="nil"/>
              <w:left w:val="nil"/>
              <w:bottom w:val="single" w:color="auto" w:sz="4" w:space="0"/>
              <w:right w:val="single" w:color="auto" w:sz="4" w:space="0"/>
            </w:tcBorders>
            <w:shd w:val="clear" w:color="auto" w:fill="auto"/>
            <w:vAlign w:val="center"/>
          </w:tcPr>
          <w:p w14:paraId="2272AD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180</w:t>
            </w:r>
          </w:p>
        </w:tc>
        <w:tc>
          <w:tcPr>
            <w:tcW w:w="1950" w:type="dxa"/>
            <w:tcBorders>
              <w:top w:val="nil"/>
              <w:left w:val="nil"/>
              <w:bottom w:val="single" w:color="auto" w:sz="4" w:space="0"/>
              <w:right w:val="single" w:color="auto" w:sz="4" w:space="0"/>
            </w:tcBorders>
            <w:shd w:val="clear" w:color="auto" w:fill="auto"/>
            <w:vAlign w:val="center"/>
          </w:tcPr>
          <w:p w14:paraId="0219B55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34AC1E9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468500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967" w:type="dxa"/>
            <w:tcBorders>
              <w:top w:val="nil"/>
              <w:left w:val="nil"/>
              <w:bottom w:val="single" w:color="auto" w:sz="4" w:space="0"/>
              <w:right w:val="single" w:color="auto" w:sz="4" w:space="0"/>
            </w:tcBorders>
            <w:shd w:val="clear" w:color="auto" w:fill="auto"/>
            <w:vAlign w:val="center"/>
          </w:tcPr>
          <w:p w14:paraId="27273FA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5F9D6F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现状侧壁开孔</w:t>
            </w:r>
          </w:p>
        </w:tc>
        <w:tc>
          <w:tcPr>
            <w:tcW w:w="2597" w:type="dxa"/>
            <w:tcBorders>
              <w:top w:val="nil"/>
              <w:left w:val="nil"/>
              <w:bottom w:val="single" w:color="auto" w:sz="4" w:space="0"/>
              <w:right w:val="single" w:color="auto" w:sz="4" w:space="0"/>
            </w:tcBorders>
            <w:shd w:val="clear" w:color="auto" w:fill="auto"/>
            <w:vAlign w:val="center"/>
          </w:tcPr>
          <w:p w14:paraId="716C214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DN250</w:t>
            </w:r>
          </w:p>
        </w:tc>
        <w:tc>
          <w:tcPr>
            <w:tcW w:w="672" w:type="dxa"/>
            <w:tcBorders>
              <w:top w:val="nil"/>
              <w:left w:val="nil"/>
              <w:bottom w:val="single" w:color="auto" w:sz="4" w:space="0"/>
              <w:right w:val="single" w:color="auto" w:sz="4" w:space="0"/>
            </w:tcBorders>
            <w:shd w:val="clear" w:color="auto" w:fill="auto"/>
            <w:vAlign w:val="center"/>
          </w:tcPr>
          <w:p w14:paraId="2C56D43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566EAF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CE2D70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58864BB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noWrap/>
            <w:vAlign w:val="center"/>
          </w:tcPr>
          <w:p w14:paraId="1B9B34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4349B7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437602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967" w:type="dxa"/>
            <w:tcBorders>
              <w:top w:val="nil"/>
              <w:left w:val="nil"/>
              <w:bottom w:val="single" w:color="auto" w:sz="4" w:space="0"/>
              <w:right w:val="single" w:color="auto" w:sz="4" w:space="0"/>
            </w:tcBorders>
            <w:shd w:val="clear" w:color="auto" w:fill="auto"/>
            <w:vAlign w:val="center"/>
          </w:tcPr>
          <w:p w14:paraId="6506FCD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5FDFFB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3468DE4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De110，PN10</w:t>
            </w:r>
          </w:p>
        </w:tc>
        <w:tc>
          <w:tcPr>
            <w:tcW w:w="672" w:type="dxa"/>
            <w:tcBorders>
              <w:top w:val="nil"/>
              <w:left w:val="nil"/>
              <w:bottom w:val="single" w:color="auto" w:sz="4" w:space="0"/>
              <w:right w:val="single" w:color="auto" w:sz="4" w:space="0"/>
            </w:tcBorders>
            <w:shd w:val="clear" w:color="auto" w:fill="auto"/>
            <w:vAlign w:val="center"/>
          </w:tcPr>
          <w:p w14:paraId="23B50C5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018E77D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1F1F105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780" w:type="dxa"/>
            <w:tcBorders>
              <w:top w:val="nil"/>
              <w:left w:val="nil"/>
              <w:bottom w:val="single" w:color="auto" w:sz="4" w:space="0"/>
              <w:right w:val="single" w:color="auto" w:sz="4" w:space="0"/>
            </w:tcBorders>
            <w:shd w:val="clear" w:color="auto" w:fill="auto"/>
            <w:vAlign w:val="center"/>
          </w:tcPr>
          <w:p w14:paraId="017A139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1950" w:type="dxa"/>
            <w:tcBorders>
              <w:top w:val="nil"/>
              <w:left w:val="nil"/>
              <w:bottom w:val="single" w:color="auto" w:sz="4" w:space="0"/>
              <w:right w:val="single" w:color="auto" w:sz="4" w:space="0"/>
            </w:tcBorders>
            <w:shd w:val="clear" w:color="auto" w:fill="auto"/>
            <w:vAlign w:val="center"/>
          </w:tcPr>
          <w:p w14:paraId="442DBE8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4C21E0D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C2D53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967" w:type="dxa"/>
            <w:tcBorders>
              <w:top w:val="nil"/>
              <w:left w:val="nil"/>
              <w:bottom w:val="single" w:color="auto" w:sz="4" w:space="0"/>
              <w:right w:val="single" w:color="auto" w:sz="4" w:space="0"/>
            </w:tcBorders>
            <w:shd w:val="clear" w:color="auto" w:fill="auto"/>
            <w:vAlign w:val="center"/>
          </w:tcPr>
          <w:p w14:paraId="1CC5532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8C829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5DC5DBC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De90，PN10</w:t>
            </w:r>
          </w:p>
        </w:tc>
        <w:tc>
          <w:tcPr>
            <w:tcW w:w="672" w:type="dxa"/>
            <w:tcBorders>
              <w:top w:val="nil"/>
              <w:left w:val="nil"/>
              <w:bottom w:val="single" w:color="auto" w:sz="4" w:space="0"/>
              <w:right w:val="single" w:color="auto" w:sz="4" w:space="0"/>
            </w:tcBorders>
            <w:shd w:val="clear" w:color="auto" w:fill="auto"/>
            <w:vAlign w:val="center"/>
          </w:tcPr>
          <w:p w14:paraId="2B59A74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4799FB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016EB9D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780" w:type="dxa"/>
            <w:tcBorders>
              <w:top w:val="nil"/>
              <w:left w:val="nil"/>
              <w:bottom w:val="single" w:color="auto" w:sz="4" w:space="0"/>
              <w:right w:val="single" w:color="auto" w:sz="4" w:space="0"/>
            </w:tcBorders>
            <w:shd w:val="clear" w:color="auto" w:fill="auto"/>
            <w:vAlign w:val="center"/>
          </w:tcPr>
          <w:p w14:paraId="1CE706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64</w:t>
            </w:r>
          </w:p>
        </w:tc>
        <w:tc>
          <w:tcPr>
            <w:tcW w:w="1950" w:type="dxa"/>
            <w:tcBorders>
              <w:top w:val="nil"/>
              <w:left w:val="nil"/>
              <w:bottom w:val="single" w:color="auto" w:sz="4" w:space="0"/>
              <w:right w:val="single" w:color="auto" w:sz="4" w:space="0"/>
            </w:tcBorders>
            <w:shd w:val="clear" w:color="auto" w:fill="auto"/>
            <w:vAlign w:val="center"/>
          </w:tcPr>
          <w:p w14:paraId="4A91813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610E03D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A3100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967" w:type="dxa"/>
            <w:tcBorders>
              <w:top w:val="nil"/>
              <w:left w:val="nil"/>
              <w:bottom w:val="single" w:color="auto" w:sz="4" w:space="0"/>
              <w:right w:val="single" w:color="auto" w:sz="4" w:space="0"/>
            </w:tcBorders>
            <w:shd w:val="clear" w:color="auto" w:fill="auto"/>
            <w:vAlign w:val="center"/>
          </w:tcPr>
          <w:p w14:paraId="3BA8873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BCB077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59FC2E2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2C9DCA6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4112E75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2B9370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780" w:type="dxa"/>
            <w:tcBorders>
              <w:top w:val="nil"/>
              <w:left w:val="nil"/>
              <w:bottom w:val="single" w:color="auto" w:sz="4" w:space="0"/>
              <w:right w:val="single" w:color="auto" w:sz="4" w:space="0"/>
            </w:tcBorders>
            <w:shd w:val="clear" w:color="auto" w:fill="auto"/>
            <w:vAlign w:val="center"/>
          </w:tcPr>
          <w:p w14:paraId="6B771B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1950" w:type="dxa"/>
            <w:tcBorders>
              <w:top w:val="nil"/>
              <w:left w:val="nil"/>
              <w:bottom w:val="single" w:color="auto" w:sz="4" w:space="0"/>
              <w:right w:val="single" w:color="auto" w:sz="4" w:space="0"/>
            </w:tcBorders>
            <w:shd w:val="clear" w:color="auto" w:fill="auto"/>
            <w:vAlign w:val="center"/>
          </w:tcPr>
          <w:p w14:paraId="04A3F0C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399D1A0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137EAC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967" w:type="dxa"/>
            <w:tcBorders>
              <w:top w:val="nil"/>
              <w:left w:val="nil"/>
              <w:bottom w:val="single" w:color="auto" w:sz="4" w:space="0"/>
              <w:right w:val="single" w:color="auto" w:sz="4" w:space="0"/>
            </w:tcBorders>
            <w:shd w:val="clear" w:color="auto" w:fill="auto"/>
            <w:vAlign w:val="center"/>
          </w:tcPr>
          <w:p w14:paraId="396BBC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AC6BA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594471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De200xDe150</w:t>
            </w:r>
          </w:p>
        </w:tc>
        <w:tc>
          <w:tcPr>
            <w:tcW w:w="672" w:type="dxa"/>
            <w:tcBorders>
              <w:top w:val="nil"/>
              <w:left w:val="nil"/>
              <w:bottom w:val="single" w:color="auto" w:sz="4" w:space="0"/>
              <w:right w:val="single" w:color="auto" w:sz="4" w:space="0"/>
            </w:tcBorders>
            <w:shd w:val="clear" w:color="auto" w:fill="auto"/>
            <w:vAlign w:val="center"/>
          </w:tcPr>
          <w:p w14:paraId="4B50F35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640690B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AFCF2D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1D71D11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30B8483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78F3E3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A27730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967" w:type="dxa"/>
            <w:tcBorders>
              <w:top w:val="nil"/>
              <w:left w:val="nil"/>
              <w:bottom w:val="single" w:color="auto" w:sz="4" w:space="0"/>
              <w:right w:val="single" w:color="auto" w:sz="4" w:space="0"/>
            </w:tcBorders>
            <w:shd w:val="clear" w:color="auto" w:fill="auto"/>
            <w:vAlign w:val="center"/>
          </w:tcPr>
          <w:p w14:paraId="52C1919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C03D49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06CCAE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De150xDe90</w:t>
            </w:r>
          </w:p>
        </w:tc>
        <w:tc>
          <w:tcPr>
            <w:tcW w:w="672" w:type="dxa"/>
            <w:tcBorders>
              <w:top w:val="nil"/>
              <w:left w:val="nil"/>
              <w:bottom w:val="single" w:color="auto" w:sz="4" w:space="0"/>
              <w:right w:val="single" w:color="auto" w:sz="4" w:space="0"/>
            </w:tcBorders>
            <w:shd w:val="clear" w:color="auto" w:fill="auto"/>
            <w:vAlign w:val="center"/>
          </w:tcPr>
          <w:p w14:paraId="21B2DFF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4B375CE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903AAB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5A7230F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noWrap/>
            <w:vAlign w:val="center"/>
          </w:tcPr>
          <w:p w14:paraId="7FB4709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E59B44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FDF2DF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967" w:type="dxa"/>
            <w:tcBorders>
              <w:top w:val="nil"/>
              <w:left w:val="nil"/>
              <w:bottom w:val="single" w:color="auto" w:sz="4" w:space="0"/>
              <w:right w:val="single" w:color="auto" w:sz="4" w:space="0"/>
            </w:tcBorders>
            <w:shd w:val="clear" w:color="auto" w:fill="auto"/>
            <w:vAlign w:val="center"/>
          </w:tcPr>
          <w:p w14:paraId="3E4E23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41D35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异径管</w:t>
            </w:r>
          </w:p>
        </w:tc>
        <w:tc>
          <w:tcPr>
            <w:tcW w:w="2597" w:type="dxa"/>
            <w:tcBorders>
              <w:top w:val="nil"/>
              <w:left w:val="nil"/>
              <w:bottom w:val="single" w:color="auto" w:sz="4" w:space="0"/>
              <w:right w:val="single" w:color="auto" w:sz="4" w:space="0"/>
            </w:tcBorders>
            <w:shd w:val="clear" w:color="auto" w:fill="auto"/>
            <w:vAlign w:val="center"/>
          </w:tcPr>
          <w:p w14:paraId="177E1FC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De200xDe150</w:t>
            </w:r>
          </w:p>
        </w:tc>
        <w:tc>
          <w:tcPr>
            <w:tcW w:w="672" w:type="dxa"/>
            <w:tcBorders>
              <w:top w:val="nil"/>
              <w:left w:val="nil"/>
              <w:bottom w:val="single" w:color="auto" w:sz="4" w:space="0"/>
              <w:right w:val="single" w:color="auto" w:sz="4" w:space="0"/>
            </w:tcBorders>
            <w:shd w:val="clear" w:color="auto" w:fill="auto"/>
            <w:vAlign w:val="center"/>
          </w:tcPr>
          <w:p w14:paraId="790DF9E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2A2B3F1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D6B074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1062A8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noWrap/>
            <w:vAlign w:val="center"/>
          </w:tcPr>
          <w:p w14:paraId="3E5D79B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BE3012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4A83A4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967" w:type="dxa"/>
            <w:tcBorders>
              <w:top w:val="nil"/>
              <w:left w:val="nil"/>
              <w:bottom w:val="single" w:color="auto" w:sz="4" w:space="0"/>
              <w:right w:val="single" w:color="auto" w:sz="4" w:space="0"/>
            </w:tcBorders>
            <w:shd w:val="clear" w:color="auto" w:fill="auto"/>
            <w:vAlign w:val="center"/>
          </w:tcPr>
          <w:p w14:paraId="295FD9B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7D4FA0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弯头</w:t>
            </w:r>
          </w:p>
        </w:tc>
        <w:tc>
          <w:tcPr>
            <w:tcW w:w="2597" w:type="dxa"/>
            <w:tcBorders>
              <w:top w:val="nil"/>
              <w:left w:val="nil"/>
              <w:bottom w:val="single" w:color="auto" w:sz="4" w:space="0"/>
              <w:right w:val="single" w:color="auto" w:sz="4" w:space="0"/>
            </w:tcBorders>
            <w:shd w:val="clear" w:color="auto" w:fill="auto"/>
            <w:vAlign w:val="center"/>
          </w:tcPr>
          <w:p w14:paraId="14D0125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De200x90°</w:t>
            </w:r>
          </w:p>
        </w:tc>
        <w:tc>
          <w:tcPr>
            <w:tcW w:w="672" w:type="dxa"/>
            <w:tcBorders>
              <w:top w:val="nil"/>
              <w:left w:val="nil"/>
              <w:bottom w:val="single" w:color="auto" w:sz="4" w:space="0"/>
              <w:right w:val="single" w:color="auto" w:sz="4" w:space="0"/>
            </w:tcBorders>
            <w:shd w:val="clear" w:color="auto" w:fill="auto"/>
            <w:vAlign w:val="center"/>
          </w:tcPr>
          <w:p w14:paraId="7715EE3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7CA53C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777B9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5488192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vAlign w:val="center"/>
          </w:tcPr>
          <w:p w14:paraId="4F47DE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28CA97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8C7BE1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967" w:type="dxa"/>
            <w:tcBorders>
              <w:top w:val="nil"/>
              <w:left w:val="nil"/>
              <w:bottom w:val="single" w:color="auto" w:sz="4" w:space="0"/>
              <w:right w:val="single" w:color="auto" w:sz="4" w:space="0"/>
            </w:tcBorders>
            <w:shd w:val="clear" w:color="auto" w:fill="auto"/>
            <w:vAlign w:val="center"/>
          </w:tcPr>
          <w:p w14:paraId="2E2329B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83F500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弯头</w:t>
            </w:r>
          </w:p>
        </w:tc>
        <w:tc>
          <w:tcPr>
            <w:tcW w:w="2597" w:type="dxa"/>
            <w:tcBorders>
              <w:top w:val="nil"/>
              <w:left w:val="nil"/>
              <w:bottom w:val="single" w:color="auto" w:sz="4" w:space="0"/>
              <w:right w:val="single" w:color="auto" w:sz="4" w:space="0"/>
            </w:tcBorders>
            <w:shd w:val="clear" w:color="auto" w:fill="auto"/>
            <w:vAlign w:val="center"/>
          </w:tcPr>
          <w:p w14:paraId="0267B25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De150x90°</w:t>
            </w:r>
          </w:p>
        </w:tc>
        <w:tc>
          <w:tcPr>
            <w:tcW w:w="672" w:type="dxa"/>
            <w:tcBorders>
              <w:top w:val="nil"/>
              <w:left w:val="nil"/>
              <w:bottom w:val="single" w:color="auto" w:sz="4" w:space="0"/>
              <w:right w:val="single" w:color="auto" w:sz="4" w:space="0"/>
            </w:tcBorders>
            <w:shd w:val="clear" w:color="auto" w:fill="auto"/>
            <w:vAlign w:val="center"/>
          </w:tcPr>
          <w:p w14:paraId="588596A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4EF3D8E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B18FF0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780" w:type="dxa"/>
            <w:tcBorders>
              <w:top w:val="nil"/>
              <w:left w:val="nil"/>
              <w:bottom w:val="single" w:color="auto" w:sz="4" w:space="0"/>
              <w:right w:val="single" w:color="auto" w:sz="4" w:space="0"/>
            </w:tcBorders>
            <w:shd w:val="clear" w:color="auto" w:fill="auto"/>
            <w:vAlign w:val="center"/>
          </w:tcPr>
          <w:p w14:paraId="1528175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1950" w:type="dxa"/>
            <w:tcBorders>
              <w:top w:val="nil"/>
              <w:left w:val="nil"/>
              <w:bottom w:val="single" w:color="auto" w:sz="4" w:space="0"/>
              <w:right w:val="single" w:color="auto" w:sz="4" w:space="0"/>
            </w:tcBorders>
            <w:shd w:val="clear" w:color="auto" w:fill="auto"/>
            <w:vAlign w:val="center"/>
          </w:tcPr>
          <w:p w14:paraId="1086AB4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50CE48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3F70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967" w:type="dxa"/>
            <w:tcBorders>
              <w:top w:val="nil"/>
              <w:left w:val="nil"/>
              <w:bottom w:val="single" w:color="auto" w:sz="4" w:space="0"/>
              <w:right w:val="single" w:color="auto" w:sz="4" w:space="0"/>
            </w:tcBorders>
            <w:shd w:val="clear" w:color="auto" w:fill="auto"/>
            <w:vAlign w:val="center"/>
          </w:tcPr>
          <w:p w14:paraId="1197B69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4039F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弯头</w:t>
            </w:r>
          </w:p>
        </w:tc>
        <w:tc>
          <w:tcPr>
            <w:tcW w:w="2597" w:type="dxa"/>
            <w:tcBorders>
              <w:top w:val="nil"/>
              <w:left w:val="nil"/>
              <w:bottom w:val="single" w:color="auto" w:sz="4" w:space="0"/>
              <w:right w:val="single" w:color="auto" w:sz="4" w:space="0"/>
            </w:tcBorders>
            <w:shd w:val="clear" w:color="auto" w:fill="auto"/>
            <w:vAlign w:val="center"/>
          </w:tcPr>
          <w:p w14:paraId="5AEA138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De90x90°</w:t>
            </w:r>
          </w:p>
        </w:tc>
        <w:tc>
          <w:tcPr>
            <w:tcW w:w="672" w:type="dxa"/>
            <w:tcBorders>
              <w:top w:val="nil"/>
              <w:left w:val="nil"/>
              <w:bottom w:val="single" w:color="auto" w:sz="4" w:space="0"/>
              <w:right w:val="single" w:color="auto" w:sz="4" w:space="0"/>
            </w:tcBorders>
            <w:shd w:val="clear" w:color="auto" w:fill="auto"/>
            <w:vAlign w:val="center"/>
          </w:tcPr>
          <w:p w14:paraId="4297C26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5B8CBFA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397699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780" w:type="dxa"/>
            <w:tcBorders>
              <w:top w:val="nil"/>
              <w:left w:val="nil"/>
              <w:bottom w:val="single" w:color="auto" w:sz="4" w:space="0"/>
              <w:right w:val="single" w:color="auto" w:sz="4" w:space="0"/>
            </w:tcBorders>
            <w:shd w:val="clear" w:color="auto" w:fill="auto"/>
            <w:vAlign w:val="center"/>
          </w:tcPr>
          <w:p w14:paraId="48FDE6C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40</w:t>
            </w:r>
          </w:p>
        </w:tc>
        <w:tc>
          <w:tcPr>
            <w:tcW w:w="1950" w:type="dxa"/>
            <w:tcBorders>
              <w:top w:val="nil"/>
              <w:left w:val="nil"/>
              <w:bottom w:val="single" w:color="auto" w:sz="4" w:space="0"/>
              <w:right w:val="single" w:color="auto" w:sz="4" w:space="0"/>
            </w:tcBorders>
            <w:shd w:val="clear" w:color="auto" w:fill="auto"/>
            <w:vAlign w:val="center"/>
          </w:tcPr>
          <w:p w14:paraId="4B89E73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4884555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72DCA0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967" w:type="dxa"/>
            <w:tcBorders>
              <w:top w:val="nil"/>
              <w:left w:val="nil"/>
              <w:bottom w:val="single" w:color="auto" w:sz="4" w:space="0"/>
              <w:right w:val="single" w:color="auto" w:sz="4" w:space="0"/>
            </w:tcBorders>
            <w:shd w:val="clear" w:color="auto" w:fill="auto"/>
            <w:vAlign w:val="center"/>
          </w:tcPr>
          <w:p w14:paraId="31D3D08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F7E77F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1F6646E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De90xDe63</w:t>
            </w:r>
          </w:p>
        </w:tc>
        <w:tc>
          <w:tcPr>
            <w:tcW w:w="672" w:type="dxa"/>
            <w:tcBorders>
              <w:top w:val="nil"/>
              <w:left w:val="nil"/>
              <w:bottom w:val="single" w:color="auto" w:sz="4" w:space="0"/>
              <w:right w:val="single" w:color="auto" w:sz="4" w:space="0"/>
            </w:tcBorders>
            <w:shd w:val="clear" w:color="auto" w:fill="auto"/>
            <w:vAlign w:val="center"/>
          </w:tcPr>
          <w:p w14:paraId="0F4A08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BA4809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146A486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56</w:t>
            </w:r>
          </w:p>
        </w:tc>
        <w:tc>
          <w:tcPr>
            <w:tcW w:w="780" w:type="dxa"/>
            <w:tcBorders>
              <w:top w:val="nil"/>
              <w:left w:val="nil"/>
              <w:bottom w:val="single" w:color="auto" w:sz="4" w:space="0"/>
              <w:right w:val="single" w:color="auto" w:sz="4" w:space="0"/>
            </w:tcBorders>
            <w:shd w:val="clear" w:color="auto" w:fill="auto"/>
            <w:vAlign w:val="center"/>
          </w:tcPr>
          <w:p w14:paraId="4D39BA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112</w:t>
            </w:r>
          </w:p>
        </w:tc>
        <w:tc>
          <w:tcPr>
            <w:tcW w:w="1950" w:type="dxa"/>
            <w:tcBorders>
              <w:top w:val="nil"/>
              <w:left w:val="nil"/>
              <w:bottom w:val="single" w:color="auto" w:sz="4" w:space="0"/>
              <w:right w:val="single" w:color="auto" w:sz="4" w:space="0"/>
            </w:tcBorders>
            <w:shd w:val="clear" w:color="auto" w:fill="auto"/>
            <w:vAlign w:val="center"/>
          </w:tcPr>
          <w:p w14:paraId="65B1264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2C25D9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29D55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19</w:t>
            </w:r>
          </w:p>
        </w:tc>
        <w:tc>
          <w:tcPr>
            <w:tcW w:w="967" w:type="dxa"/>
            <w:tcBorders>
              <w:top w:val="nil"/>
              <w:left w:val="nil"/>
              <w:bottom w:val="single" w:color="auto" w:sz="4" w:space="0"/>
              <w:right w:val="single" w:color="auto" w:sz="4" w:space="0"/>
            </w:tcBorders>
            <w:shd w:val="clear" w:color="auto" w:fill="auto"/>
            <w:vAlign w:val="center"/>
          </w:tcPr>
          <w:p w14:paraId="1541D74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356EF2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391C5A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De32，PN10</w:t>
            </w:r>
          </w:p>
        </w:tc>
        <w:tc>
          <w:tcPr>
            <w:tcW w:w="672" w:type="dxa"/>
            <w:tcBorders>
              <w:top w:val="nil"/>
              <w:left w:val="nil"/>
              <w:bottom w:val="single" w:color="auto" w:sz="4" w:space="0"/>
              <w:right w:val="single" w:color="auto" w:sz="4" w:space="0"/>
            </w:tcBorders>
            <w:shd w:val="clear" w:color="auto" w:fill="auto"/>
            <w:vAlign w:val="center"/>
          </w:tcPr>
          <w:p w14:paraId="671634E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743809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6C5F3B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30</w:t>
            </w:r>
          </w:p>
        </w:tc>
        <w:tc>
          <w:tcPr>
            <w:tcW w:w="780" w:type="dxa"/>
            <w:tcBorders>
              <w:top w:val="nil"/>
              <w:left w:val="nil"/>
              <w:bottom w:val="single" w:color="auto" w:sz="4" w:space="0"/>
              <w:right w:val="single" w:color="auto" w:sz="4" w:space="0"/>
            </w:tcBorders>
            <w:shd w:val="clear" w:color="auto" w:fill="auto"/>
            <w:vAlign w:val="center"/>
          </w:tcPr>
          <w:p w14:paraId="21FFEF5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60</w:t>
            </w:r>
          </w:p>
        </w:tc>
        <w:tc>
          <w:tcPr>
            <w:tcW w:w="1950" w:type="dxa"/>
            <w:tcBorders>
              <w:top w:val="nil"/>
              <w:left w:val="nil"/>
              <w:bottom w:val="single" w:color="auto" w:sz="4" w:space="0"/>
              <w:right w:val="single" w:color="auto" w:sz="4" w:space="0"/>
            </w:tcBorders>
            <w:shd w:val="clear" w:color="auto" w:fill="auto"/>
            <w:vAlign w:val="center"/>
          </w:tcPr>
          <w:p w14:paraId="1C3D58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8A7B06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42D92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967" w:type="dxa"/>
            <w:tcBorders>
              <w:top w:val="nil"/>
              <w:left w:val="nil"/>
              <w:bottom w:val="single" w:color="auto" w:sz="4" w:space="0"/>
              <w:right w:val="single" w:color="auto" w:sz="4" w:space="0"/>
            </w:tcBorders>
            <w:shd w:val="clear" w:color="auto" w:fill="auto"/>
            <w:vAlign w:val="center"/>
          </w:tcPr>
          <w:p w14:paraId="270810D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ED219B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均匀分布器</w:t>
            </w:r>
          </w:p>
        </w:tc>
        <w:tc>
          <w:tcPr>
            <w:tcW w:w="2597" w:type="dxa"/>
            <w:tcBorders>
              <w:top w:val="nil"/>
              <w:left w:val="nil"/>
              <w:bottom w:val="single" w:color="auto" w:sz="4" w:space="0"/>
              <w:right w:val="single" w:color="auto" w:sz="4" w:space="0"/>
            </w:tcBorders>
            <w:shd w:val="clear" w:color="auto" w:fill="auto"/>
            <w:vAlign w:val="center"/>
          </w:tcPr>
          <w:p w14:paraId="3213F46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TV-Ⅱ，Φ200，2.96m3/h</w:t>
            </w:r>
          </w:p>
        </w:tc>
        <w:tc>
          <w:tcPr>
            <w:tcW w:w="672" w:type="dxa"/>
            <w:tcBorders>
              <w:top w:val="nil"/>
              <w:left w:val="nil"/>
              <w:bottom w:val="single" w:color="auto" w:sz="4" w:space="0"/>
              <w:right w:val="single" w:color="auto" w:sz="4" w:space="0"/>
            </w:tcBorders>
            <w:shd w:val="clear" w:color="auto" w:fill="auto"/>
            <w:vAlign w:val="center"/>
          </w:tcPr>
          <w:p w14:paraId="2A72D18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2C86F7D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57F427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56</w:t>
            </w:r>
          </w:p>
        </w:tc>
        <w:tc>
          <w:tcPr>
            <w:tcW w:w="780" w:type="dxa"/>
            <w:tcBorders>
              <w:top w:val="nil"/>
              <w:left w:val="nil"/>
              <w:bottom w:val="single" w:color="auto" w:sz="4" w:space="0"/>
              <w:right w:val="single" w:color="auto" w:sz="4" w:space="0"/>
            </w:tcBorders>
            <w:shd w:val="clear" w:color="auto" w:fill="auto"/>
            <w:vAlign w:val="center"/>
          </w:tcPr>
          <w:p w14:paraId="2F9FAE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112</w:t>
            </w:r>
          </w:p>
        </w:tc>
        <w:tc>
          <w:tcPr>
            <w:tcW w:w="1950" w:type="dxa"/>
            <w:tcBorders>
              <w:top w:val="nil"/>
              <w:left w:val="nil"/>
              <w:bottom w:val="single" w:color="auto" w:sz="4" w:space="0"/>
              <w:right w:val="single" w:color="auto" w:sz="4" w:space="0"/>
            </w:tcBorders>
            <w:shd w:val="clear" w:color="auto" w:fill="auto"/>
            <w:vAlign w:val="center"/>
          </w:tcPr>
          <w:p w14:paraId="0082F2A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DDD70A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F2256C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21</w:t>
            </w:r>
          </w:p>
        </w:tc>
        <w:tc>
          <w:tcPr>
            <w:tcW w:w="967" w:type="dxa"/>
            <w:tcBorders>
              <w:top w:val="nil"/>
              <w:left w:val="nil"/>
              <w:bottom w:val="single" w:color="auto" w:sz="4" w:space="0"/>
              <w:right w:val="single" w:color="auto" w:sz="4" w:space="0"/>
            </w:tcBorders>
            <w:shd w:val="clear" w:color="auto" w:fill="auto"/>
            <w:vAlign w:val="center"/>
          </w:tcPr>
          <w:p w14:paraId="6170B07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904BC9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蝶阀</w:t>
            </w:r>
          </w:p>
        </w:tc>
        <w:tc>
          <w:tcPr>
            <w:tcW w:w="2597" w:type="dxa"/>
            <w:tcBorders>
              <w:top w:val="nil"/>
              <w:left w:val="nil"/>
              <w:bottom w:val="single" w:color="auto" w:sz="4" w:space="0"/>
              <w:right w:val="single" w:color="auto" w:sz="4" w:space="0"/>
            </w:tcBorders>
            <w:shd w:val="clear" w:color="auto" w:fill="auto"/>
            <w:vAlign w:val="center"/>
          </w:tcPr>
          <w:p w14:paraId="708B148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5524C6D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5144C1F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5D4BFA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078C542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4562617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91F9E5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1DB9F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22</w:t>
            </w:r>
          </w:p>
        </w:tc>
        <w:tc>
          <w:tcPr>
            <w:tcW w:w="967" w:type="dxa"/>
            <w:tcBorders>
              <w:top w:val="nil"/>
              <w:left w:val="nil"/>
              <w:bottom w:val="single" w:color="auto" w:sz="4" w:space="0"/>
              <w:right w:val="single" w:color="auto" w:sz="4" w:space="0"/>
            </w:tcBorders>
            <w:shd w:val="clear" w:color="auto" w:fill="auto"/>
            <w:vAlign w:val="center"/>
          </w:tcPr>
          <w:p w14:paraId="370CD1B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7042E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缓闭式止回阀</w:t>
            </w:r>
          </w:p>
        </w:tc>
        <w:tc>
          <w:tcPr>
            <w:tcW w:w="2597" w:type="dxa"/>
            <w:tcBorders>
              <w:top w:val="nil"/>
              <w:left w:val="nil"/>
              <w:bottom w:val="single" w:color="auto" w:sz="4" w:space="0"/>
              <w:right w:val="single" w:color="auto" w:sz="4" w:space="0"/>
            </w:tcBorders>
            <w:shd w:val="clear" w:color="auto" w:fill="auto"/>
            <w:vAlign w:val="center"/>
          </w:tcPr>
          <w:p w14:paraId="4AE1F4B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280B271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62FD893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08A806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125B4A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62EC34A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8FD72C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CFC8D1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967" w:type="dxa"/>
            <w:tcBorders>
              <w:top w:val="nil"/>
              <w:left w:val="nil"/>
              <w:bottom w:val="single" w:color="auto" w:sz="4" w:space="0"/>
              <w:right w:val="single" w:color="auto" w:sz="4" w:space="0"/>
            </w:tcBorders>
            <w:shd w:val="clear" w:color="auto" w:fill="auto"/>
            <w:vAlign w:val="center"/>
          </w:tcPr>
          <w:p w14:paraId="7FEE381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DB2E16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39D1554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31F5B14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25B906E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261F8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5DFBF1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514CCB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F0104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645F8A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967" w:type="dxa"/>
            <w:tcBorders>
              <w:top w:val="nil"/>
              <w:left w:val="nil"/>
              <w:bottom w:val="single" w:color="auto" w:sz="4" w:space="0"/>
              <w:right w:val="single" w:color="auto" w:sz="4" w:space="0"/>
            </w:tcBorders>
            <w:shd w:val="clear" w:color="auto" w:fill="auto"/>
            <w:vAlign w:val="center"/>
          </w:tcPr>
          <w:p w14:paraId="4803A5D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DC669A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球阀</w:t>
            </w:r>
          </w:p>
        </w:tc>
        <w:tc>
          <w:tcPr>
            <w:tcW w:w="2597" w:type="dxa"/>
            <w:tcBorders>
              <w:top w:val="nil"/>
              <w:left w:val="nil"/>
              <w:bottom w:val="single" w:color="auto" w:sz="4" w:space="0"/>
              <w:right w:val="single" w:color="auto" w:sz="4" w:space="0"/>
            </w:tcBorders>
            <w:shd w:val="clear" w:color="auto" w:fill="auto"/>
            <w:vAlign w:val="center"/>
          </w:tcPr>
          <w:p w14:paraId="1AF2146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DN150</w:t>
            </w:r>
          </w:p>
        </w:tc>
        <w:tc>
          <w:tcPr>
            <w:tcW w:w="672" w:type="dxa"/>
            <w:tcBorders>
              <w:top w:val="nil"/>
              <w:left w:val="nil"/>
              <w:bottom w:val="single" w:color="auto" w:sz="4" w:space="0"/>
              <w:right w:val="single" w:color="auto" w:sz="4" w:space="0"/>
            </w:tcBorders>
            <w:shd w:val="clear" w:color="auto" w:fill="auto"/>
            <w:vAlign w:val="center"/>
          </w:tcPr>
          <w:p w14:paraId="394D5FC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塑料</w:t>
            </w:r>
          </w:p>
        </w:tc>
        <w:tc>
          <w:tcPr>
            <w:tcW w:w="579" w:type="dxa"/>
            <w:tcBorders>
              <w:top w:val="nil"/>
              <w:left w:val="nil"/>
              <w:bottom w:val="single" w:color="auto" w:sz="4" w:space="0"/>
              <w:right w:val="single" w:color="auto" w:sz="4" w:space="0"/>
            </w:tcBorders>
            <w:shd w:val="clear" w:color="auto" w:fill="auto"/>
            <w:vAlign w:val="center"/>
          </w:tcPr>
          <w:p w14:paraId="6B9AB7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7C71817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46CBA23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03C5B5D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591E2BD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DA43C9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25</w:t>
            </w:r>
          </w:p>
        </w:tc>
        <w:tc>
          <w:tcPr>
            <w:tcW w:w="967" w:type="dxa"/>
            <w:tcBorders>
              <w:top w:val="nil"/>
              <w:left w:val="nil"/>
              <w:bottom w:val="single" w:color="auto" w:sz="4" w:space="0"/>
              <w:right w:val="single" w:color="auto" w:sz="4" w:space="0"/>
            </w:tcBorders>
            <w:shd w:val="clear" w:color="auto" w:fill="auto"/>
            <w:vAlign w:val="center"/>
          </w:tcPr>
          <w:p w14:paraId="1EC66E4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E7A2DA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电动球阀</w:t>
            </w:r>
          </w:p>
        </w:tc>
        <w:tc>
          <w:tcPr>
            <w:tcW w:w="2597" w:type="dxa"/>
            <w:tcBorders>
              <w:top w:val="nil"/>
              <w:left w:val="nil"/>
              <w:bottom w:val="single" w:color="auto" w:sz="4" w:space="0"/>
              <w:right w:val="single" w:color="auto" w:sz="4" w:space="0"/>
            </w:tcBorders>
            <w:shd w:val="clear" w:color="auto" w:fill="auto"/>
            <w:vAlign w:val="center"/>
          </w:tcPr>
          <w:p w14:paraId="0C899C5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DN150</w:t>
            </w:r>
          </w:p>
        </w:tc>
        <w:tc>
          <w:tcPr>
            <w:tcW w:w="672" w:type="dxa"/>
            <w:tcBorders>
              <w:top w:val="nil"/>
              <w:left w:val="nil"/>
              <w:bottom w:val="single" w:color="auto" w:sz="4" w:space="0"/>
              <w:right w:val="single" w:color="auto" w:sz="4" w:space="0"/>
            </w:tcBorders>
            <w:shd w:val="clear" w:color="auto" w:fill="auto"/>
            <w:vAlign w:val="center"/>
          </w:tcPr>
          <w:p w14:paraId="1B10C6E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3B9760F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6AAEB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12A842D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2A84A85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E31A1C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D308DB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26</w:t>
            </w:r>
          </w:p>
        </w:tc>
        <w:tc>
          <w:tcPr>
            <w:tcW w:w="967" w:type="dxa"/>
            <w:tcBorders>
              <w:top w:val="nil"/>
              <w:left w:val="nil"/>
              <w:bottom w:val="single" w:color="auto" w:sz="4" w:space="0"/>
              <w:right w:val="single" w:color="auto" w:sz="4" w:space="0"/>
            </w:tcBorders>
            <w:shd w:val="clear" w:color="auto" w:fill="auto"/>
            <w:vAlign w:val="center"/>
          </w:tcPr>
          <w:p w14:paraId="5DF3E8B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64EFFC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新旧接驳口</w:t>
            </w:r>
          </w:p>
        </w:tc>
        <w:tc>
          <w:tcPr>
            <w:tcW w:w="2597" w:type="dxa"/>
            <w:tcBorders>
              <w:top w:val="nil"/>
              <w:left w:val="nil"/>
              <w:bottom w:val="single" w:color="auto" w:sz="4" w:space="0"/>
              <w:right w:val="single" w:color="auto" w:sz="4" w:space="0"/>
            </w:tcBorders>
            <w:shd w:val="clear" w:color="auto" w:fill="auto"/>
            <w:vAlign w:val="center"/>
          </w:tcPr>
          <w:p w14:paraId="67E4B95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DN150xDN100</w:t>
            </w:r>
          </w:p>
        </w:tc>
        <w:tc>
          <w:tcPr>
            <w:tcW w:w="672" w:type="dxa"/>
            <w:tcBorders>
              <w:top w:val="nil"/>
              <w:left w:val="nil"/>
              <w:bottom w:val="single" w:color="auto" w:sz="4" w:space="0"/>
              <w:right w:val="single" w:color="auto" w:sz="4" w:space="0"/>
            </w:tcBorders>
            <w:shd w:val="clear" w:color="auto" w:fill="auto"/>
            <w:noWrap/>
            <w:vAlign w:val="bottom"/>
          </w:tcPr>
          <w:p w14:paraId="120CF83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1F05946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处</w:t>
            </w:r>
          </w:p>
        </w:tc>
        <w:tc>
          <w:tcPr>
            <w:tcW w:w="915" w:type="dxa"/>
            <w:tcBorders>
              <w:top w:val="nil"/>
              <w:left w:val="nil"/>
              <w:bottom w:val="single" w:color="auto" w:sz="4" w:space="0"/>
              <w:right w:val="single" w:color="auto" w:sz="4" w:space="0"/>
            </w:tcBorders>
            <w:shd w:val="clear" w:color="auto" w:fill="auto"/>
            <w:vAlign w:val="center"/>
          </w:tcPr>
          <w:p w14:paraId="340B9A0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4FAC698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3CC70AF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96E788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7DDC0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27</w:t>
            </w:r>
          </w:p>
        </w:tc>
        <w:tc>
          <w:tcPr>
            <w:tcW w:w="967" w:type="dxa"/>
            <w:tcBorders>
              <w:top w:val="nil"/>
              <w:left w:val="nil"/>
              <w:bottom w:val="single" w:color="auto" w:sz="4" w:space="0"/>
              <w:right w:val="single" w:color="auto" w:sz="4" w:space="0"/>
            </w:tcBorders>
            <w:shd w:val="clear" w:color="auto" w:fill="auto"/>
            <w:vAlign w:val="center"/>
          </w:tcPr>
          <w:p w14:paraId="3377EB9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3A4889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1116FA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DN100，δ=4mm</w:t>
            </w:r>
          </w:p>
        </w:tc>
        <w:tc>
          <w:tcPr>
            <w:tcW w:w="672" w:type="dxa"/>
            <w:tcBorders>
              <w:top w:val="nil"/>
              <w:left w:val="nil"/>
              <w:bottom w:val="single" w:color="auto" w:sz="4" w:space="0"/>
              <w:right w:val="single" w:color="auto" w:sz="4" w:space="0"/>
            </w:tcBorders>
            <w:shd w:val="clear" w:color="auto" w:fill="auto"/>
            <w:vAlign w:val="center"/>
          </w:tcPr>
          <w:p w14:paraId="321A1AA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钢</w:t>
            </w:r>
          </w:p>
        </w:tc>
        <w:tc>
          <w:tcPr>
            <w:tcW w:w="579" w:type="dxa"/>
            <w:tcBorders>
              <w:top w:val="nil"/>
              <w:left w:val="nil"/>
              <w:bottom w:val="single" w:color="auto" w:sz="4" w:space="0"/>
              <w:right w:val="single" w:color="auto" w:sz="4" w:space="0"/>
            </w:tcBorders>
            <w:shd w:val="clear" w:color="auto" w:fill="auto"/>
            <w:vAlign w:val="center"/>
          </w:tcPr>
          <w:p w14:paraId="7F2E56A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0EFC3A5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780" w:type="dxa"/>
            <w:tcBorders>
              <w:top w:val="nil"/>
              <w:left w:val="nil"/>
              <w:bottom w:val="single" w:color="auto" w:sz="4" w:space="0"/>
              <w:right w:val="single" w:color="auto" w:sz="4" w:space="0"/>
            </w:tcBorders>
            <w:shd w:val="clear" w:color="auto" w:fill="auto"/>
            <w:vAlign w:val="center"/>
          </w:tcPr>
          <w:p w14:paraId="422392C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1950" w:type="dxa"/>
            <w:tcBorders>
              <w:top w:val="nil"/>
              <w:left w:val="nil"/>
              <w:bottom w:val="single" w:color="auto" w:sz="4" w:space="0"/>
              <w:right w:val="single" w:color="auto" w:sz="4" w:space="0"/>
            </w:tcBorders>
            <w:shd w:val="clear" w:color="auto" w:fill="auto"/>
            <w:vAlign w:val="center"/>
          </w:tcPr>
          <w:p w14:paraId="7E45A6D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2476F2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BECCEB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28</w:t>
            </w:r>
          </w:p>
        </w:tc>
        <w:tc>
          <w:tcPr>
            <w:tcW w:w="967" w:type="dxa"/>
            <w:tcBorders>
              <w:top w:val="nil"/>
              <w:left w:val="nil"/>
              <w:bottom w:val="single" w:color="auto" w:sz="4" w:space="0"/>
              <w:right w:val="single" w:color="auto" w:sz="4" w:space="0"/>
            </w:tcBorders>
            <w:shd w:val="clear" w:color="auto" w:fill="auto"/>
            <w:vAlign w:val="center"/>
          </w:tcPr>
          <w:p w14:paraId="6537390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2AAE2D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焊接法兰</w:t>
            </w:r>
          </w:p>
        </w:tc>
        <w:tc>
          <w:tcPr>
            <w:tcW w:w="2597" w:type="dxa"/>
            <w:tcBorders>
              <w:top w:val="nil"/>
              <w:left w:val="nil"/>
              <w:bottom w:val="single" w:color="auto" w:sz="4" w:space="0"/>
              <w:right w:val="single" w:color="auto" w:sz="4" w:space="0"/>
            </w:tcBorders>
            <w:shd w:val="clear" w:color="auto" w:fill="auto"/>
            <w:vAlign w:val="center"/>
          </w:tcPr>
          <w:p w14:paraId="0C989E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DN100，PN10</w:t>
            </w:r>
          </w:p>
        </w:tc>
        <w:tc>
          <w:tcPr>
            <w:tcW w:w="672" w:type="dxa"/>
            <w:tcBorders>
              <w:top w:val="nil"/>
              <w:left w:val="nil"/>
              <w:bottom w:val="single" w:color="auto" w:sz="4" w:space="0"/>
              <w:right w:val="single" w:color="auto" w:sz="4" w:space="0"/>
            </w:tcBorders>
            <w:shd w:val="clear" w:color="auto" w:fill="auto"/>
            <w:vAlign w:val="center"/>
          </w:tcPr>
          <w:p w14:paraId="0E4B717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231C6A1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358588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0200FA6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7A5742A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C282B3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8B091D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29</w:t>
            </w:r>
          </w:p>
        </w:tc>
        <w:tc>
          <w:tcPr>
            <w:tcW w:w="967" w:type="dxa"/>
            <w:tcBorders>
              <w:top w:val="nil"/>
              <w:left w:val="nil"/>
              <w:bottom w:val="single" w:color="auto" w:sz="4" w:space="0"/>
              <w:right w:val="single" w:color="auto" w:sz="4" w:space="0"/>
            </w:tcBorders>
            <w:shd w:val="clear" w:color="auto" w:fill="auto"/>
            <w:vAlign w:val="center"/>
          </w:tcPr>
          <w:p w14:paraId="6506A62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774E9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0A5F7A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De90，PN10</w:t>
            </w:r>
          </w:p>
        </w:tc>
        <w:tc>
          <w:tcPr>
            <w:tcW w:w="672" w:type="dxa"/>
            <w:tcBorders>
              <w:top w:val="nil"/>
              <w:left w:val="nil"/>
              <w:bottom w:val="single" w:color="auto" w:sz="4" w:space="0"/>
              <w:right w:val="single" w:color="auto" w:sz="4" w:space="0"/>
            </w:tcBorders>
            <w:shd w:val="clear" w:color="auto" w:fill="auto"/>
            <w:vAlign w:val="center"/>
          </w:tcPr>
          <w:p w14:paraId="0B324A4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B1FC91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6667ADC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780" w:type="dxa"/>
            <w:tcBorders>
              <w:top w:val="nil"/>
              <w:left w:val="nil"/>
              <w:bottom w:val="single" w:color="auto" w:sz="4" w:space="0"/>
              <w:right w:val="single" w:color="auto" w:sz="4" w:space="0"/>
            </w:tcBorders>
            <w:shd w:val="clear" w:color="auto" w:fill="auto"/>
            <w:vAlign w:val="center"/>
          </w:tcPr>
          <w:p w14:paraId="7753493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1950" w:type="dxa"/>
            <w:tcBorders>
              <w:top w:val="nil"/>
              <w:left w:val="nil"/>
              <w:bottom w:val="single" w:color="auto" w:sz="4" w:space="0"/>
              <w:right w:val="single" w:color="auto" w:sz="4" w:space="0"/>
            </w:tcBorders>
            <w:shd w:val="clear" w:color="auto" w:fill="auto"/>
            <w:vAlign w:val="center"/>
          </w:tcPr>
          <w:p w14:paraId="299097B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74130B5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1ECC92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30</w:t>
            </w:r>
          </w:p>
        </w:tc>
        <w:tc>
          <w:tcPr>
            <w:tcW w:w="967" w:type="dxa"/>
            <w:tcBorders>
              <w:top w:val="nil"/>
              <w:left w:val="nil"/>
              <w:bottom w:val="single" w:color="auto" w:sz="4" w:space="0"/>
              <w:right w:val="single" w:color="auto" w:sz="4" w:space="0"/>
            </w:tcBorders>
            <w:shd w:val="clear" w:color="auto" w:fill="auto"/>
            <w:vAlign w:val="center"/>
          </w:tcPr>
          <w:p w14:paraId="27B0CDA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76CDAE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30BAE40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38EC207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069095D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6DAFA05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173</w:t>
            </w:r>
          </w:p>
        </w:tc>
        <w:tc>
          <w:tcPr>
            <w:tcW w:w="780" w:type="dxa"/>
            <w:tcBorders>
              <w:top w:val="nil"/>
              <w:left w:val="nil"/>
              <w:bottom w:val="single" w:color="auto" w:sz="4" w:space="0"/>
              <w:right w:val="single" w:color="auto" w:sz="4" w:space="0"/>
            </w:tcBorders>
            <w:shd w:val="clear" w:color="auto" w:fill="auto"/>
            <w:vAlign w:val="center"/>
          </w:tcPr>
          <w:p w14:paraId="781E778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346</w:t>
            </w:r>
          </w:p>
        </w:tc>
        <w:tc>
          <w:tcPr>
            <w:tcW w:w="1950" w:type="dxa"/>
            <w:tcBorders>
              <w:top w:val="nil"/>
              <w:left w:val="nil"/>
              <w:bottom w:val="single" w:color="auto" w:sz="4" w:space="0"/>
              <w:right w:val="single" w:color="auto" w:sz="4" w:space="0"/>
            </w:tcBorders>
            <w:shd w:val="clear" w:color="auto" w:fill="auto"/>
            <w:vAlign w:val="center"/>
          </w:tcPr>
          <w:p w14:paraId="287584E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7ED3C09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91A91B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31</w:t>
            </w:r>
          </w:p>
        </w:tc>
        <w:tc>
          <w:tcPr>
            <w:tcW w:w="967" w:type="dxa"/>
            <w:tcBorders>
              <w:top w:val="nil"/>
              <w:left w:val="nil"/>
              <w:bottom w:val="single" w:color="auto" w:sz="4" w:space="0"/>
              <w:right w:val="single" w:color="auto" w:sz="4" w:space="0"/>
            </w:tcBorders>
            <w:shd w:val="clear" w:color="auto" w:fill="auto"/>
            <w:vAlign w:val="center"/>
          </w:tcPr>
          <w:p w14:paraId="670F7FC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702CE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20AC5BF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De32，PN10</w:t>
            </w:r>
          </w:p>
        </w:tc>
        <w:tc>
          <w:tcPr>
            <w:tcW w:w="672" w:type="dxa"/>
            <w:tcBorders>
              <w:top w:val="nil"/>
              <w:left w:val="nil"/>
              <w:bottom w:val="single" w:color="auto" w:sz="4" w:space="0"/>
              <w:right w:val="single" w:color="auto" w:sz="4" w:space="0"/>
            </w:tcBorders>
            <w:shd w:val="clear" w:color="auto" w:fill="auto"/>
            <w:vAlign w:val="center"/>
          </w:tcPr>
          <w:p w14:paraId="090711E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F8F75A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E9A61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128</w:t>
            </w:r>
          </w:p>
        </w:tc>
        <w:tc>
          <w:tcPr>
            <w:tcW w:w="780" w:type="dxa"/>
            <w:tcBorders>
              <w:top w:val="nil"/>
              <w:left w:val="nil"/>
              <w:bottom w:val="single" w:color="auto" w:sz="4" w:space="0"/>
              <w:right w:val="single" w:color="auto" w:sz="4" w:space="0"/>
            </w:tcBorders>
            <w:shd w:val="clear" w:color="auto" w:fill="auto"/>
            <w:vAlign w:val="center"/>
          </w:tcPr>
          <w:p w14:paraId="4677C6D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256</w:t>
            </w:r>
          </w:p>
        </w:tc>
        <w:tc>
          <w:tcPr>
            <w:tcW w:w="1950" w:type="dxa"/>
            <w:tcBorders>
              <w:top w:val="nil"/>
              <w:left w:val="nil"/>
              <w:bottom w:val="single" w:color="auto" w:sz="4" w:space="0"/>
              <w:right w:val="single" w:color="auto" w:sz="4" w:space="0"/>
            </w:tcBorders>
            <w:shd w:val="clear" w:color="auto" w:fill="auto"/>
            <w:vAlign w:val="center"/>
          </w:tcPr>
          <w:p w14:paraId="1AF0FB1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52C2935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B31EC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967" w:type="dxa"/>
            <w:tcBorders>
              <w:top w:val="nil"/>
              <w:left w:val="nil"/>
              <w:bottom w:val="single" w:color="auto" w:sz="4" w:space="0"/>
              <w:right w:val="single" w:color="auto" w:sz="4" w:space="0"/>
            </w:tcBorders>
            <w:shd w:val="clear" w:color="auto" w:fill="auto"/>
            <w:vAlign w:val="center"/>
          </w:tcPr>
          <w:p w14:paraId="6BFBA1B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BED45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聚渣喷头</w:t>
            </w:r>
          </w:p>
        </w:tc>
        <w:tc>
          <w:tcPr>
            <w:tcW w:w="2597" w:type="dxa"/>
            <w:tcBorders>
              <w:top w:val="nil"/>
              <w:left w:val="nil"/>
              <w:bottom w:val="single" w:color="auto" w:sz="4" w:space="0"/>
              <w:right w:val="single" w:color="auto" w:sz="4" w:space="0"/>
            </w:tcBorders>
            <w:shd w:val="clear" w:color="auto" w:fill="auto"/>
            <w:vAlign w:val="center"/>
          </w:tcPr>
          <w:p w14:paraId="4E9B9F0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2CB45F4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65C3AD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78C8FAA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64</w:t>
            </w:r>
          </w:p>
        </w:tc>
        <w:tc>
          <w:tcPr>
            <w:tcW w:w="780" w:type="dxa"/>
            <w:tcBorders>
              <w:top w:val="nil"/>
              <w:left w:val="nil"/>
              <w:bottom w:val="single" w:color="auto" w:sz="4" w:space="0"/>
              <w:right w:val="single" w:color="auto" w:sz="4" w:space="0"/>
            </w:tcBorders>
            <w:shd w:val="clear" w:color="auto" w:fill="auto"/>
            <w:vAlign w:val="center"/>
          </w:tcPr>
          <w:p w14:paraId="0C4434F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128</w:t>
            </w:r>
          </w:p>
        </w:tc>
        <w:tc>
          <w:tcPr>
            <w:tcW w:w="1950" w:type="dxa"/>
            <w:tcBorders>
              <w:top w:val="nil"/>
              <w:left w:val="nil"/>
              <w:bottom w:val="single" w:color="auto" w:sz="4" w:space="0"/>
              <w:right w:val="single" w:color="auto" w:sz="4" w:space="0"/>
            </w:tcBorders>
            <w:shd w:val="clear" w:color="auto" w:fill="auto"/>
            <w:vAlign w:val="center"/>
          </w:tcPr>
          <w:p w14:paraId="47B8BE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48072C1D">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B35F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33</w:t>
            </w:r>
          </w:p>
        </w:tc>
        <w:tc>
          <w:tcPr>
            <w:tcW w:w="967" w:type="dxa"/>
            <w:tcBorders>
              <w:top w:val="nil"/>
              <w:left w:val="nil"/>
              <w:bottom w:val="single" w:color="auto" w:sz="4" w:space="0"/>
              <w:right w:val="single" w:color="auto" w:sz="4" w:space="0"/>
            </w:tcBorders>
            <w:shd w:val="clear" w:color="auto" w:fill="auto"/>
            <w:vAlign w:val="center"/>
          </w:tcPr>
          <w:p w14:paraId="060B98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2ED3FF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浮渣清除器</w:t>
            </w:r>
          </w:p>
        </w:tc>
        <w:tc>
          <w:tcPr>
            <w:tcW w:w="2597" w:type="dxa"/>
            <w:tcBorders>
              <w:top w:val="nil"/>
              <w:left w:val="nil"/>
              <w:bottom w:val="single" w:color="auto" w:sz="4" w:space="0"/>
              <w:right w:val="single" w:color="auto" w:sz="4" w:space="0"/>
            </w:tcBorders>
            <w:shd w:val="clear" w:color="auto" w:fill="auto"/>
            <w:vAlign w:val="center"/>
          </w:tcPr>
          <w:p w14:paraId="71BA7EB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06AA43A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22D7AAC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4B6AA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780" w:type="dxa"/>
            <w:tcBorders>
              <w:top w:val="nil"/>
              <w:left w:val="nil"/>
              <w:bottom w:val="single" w:color="auto" w:sz="4" w:space="0"/>
              <w:right w:val="single" w:color="auto" w:sz="4" w:space="0"/>
            </w:tcBorders>
            <w:shd w:val="clear" w:color="auto" w:fill="auto"/>
            <w:vAlign w:val="center"/>
          </w:tcPr>
          <w:p w14:paraId="5C2A12A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1950" w:type="dxa"/>
            <w:tcBorders>
              <w:top w:val="nil"/>
              <w:left w:val="nil"/>
              <w:bottom w:val="single" w:color="auto" w:sz="4" w:space="0"/>
              <w:right w:val="single" w:color="auto" w:sz="4" w:space="0"/>
            </w:tcBorders>
            <w:shd w:val="clear" w:color="auto" w:fill="auto"/>
            <w:vAlign w:val="center"/>
          </w:tcPr>
          <w:p w14:paraId="4FEC250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C64FAB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5668F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34</w:t>
            </w:r>
          </w:p>
        </w:tc>
        <w:tc>
          <w:tcPr>
            <w:tcW w:w="967" w:type="dxa"/>
            <w:tcBorders>
              <w:top w:val="nil"/>
              <w:left w:val="nil"/>
              <w:bottom w:val="single" w:color="auto" w:sz="4" w:space="0"/>
              <w:right w:val="single" w:color="auto" w:sz="4" w:space="0"/>
            </w:tcBorders>
            <w:shd w:val="clear" w:color="auto" w:fill="auto"/>
            <w:vAlign w:val="center"/>
          </w:tcPr>
          <w:p w14:paraId="39C03D2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D5E108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金属软管</w:t>
            </w:r>
          </w:p>
        </w:tc>
        <w:tc>
          <w:tcPr>
            <w:tcW w:w="2597" w:type="dxa"/>
            <w:tcBorders>
              <w:top w:val="nil"/>
              <w:left w:val="nil"/>
              <w:bottom w:val="single" w:color="auto" w:sz="4" w:space="0"/>
              <w:right w:val="single" w:color="auto" w:sz="4" w:space="0"/>
            </w:tcBorders>
            <w:shd w:val="clear" w:color="auto" w:fill="auto"/>
            <w:vAlign w:val="center"/>
          </w:tcPr>
          <w:p w14:paraId="5D2D265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w:t>
            </w:r>
          </w:p>
        </w:tc>
        <w:tc>
          <w:tcPr>
            <w:tcW w:w="672" w:type="dxa"/>
            <w:tcBorders>
              <w:top w:val="nil"/>
              <w:left w:val="nil"/>
              <w:bottom w:val="single" w:color="auto" w:sz="4" w:space="0"/>
              <w:right w:val="single" w:color="auto" w:sz="4" w:space="0"/>
            </w:tcBorders>
            <w:shd w:val="clear" w:color="auto" w:fill="auto"/>
            <w:vAlign w:val="center"/>
          </w:tcPr>
          <w:p w14:paraId="4070F4F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5FCE28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4AEBEB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780" w:type="dxa"/>
            <w:tcBorders>
              <w:top w:val="nil"/>
              <w:left w:val="nil"/>
              <w:bottom w:val="single" w:color="auto" w:sz="4" w:space="0"/>
              <w:right w:val="single" w:color="auto" w:sz="4" w:space="0"/>
            </w:tcBorders>
            <w:shd w:val="clear" w:color="auto" w:fill="auto"/>
            <w:vAlign w:val="center"/>
          </w:tcPr>
          <w:p w14:paraId="486B56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1950" w:type="dxa"/>
            <w:tcBorders>
              <w:top w:val="nil"/>
              <w:left w:val="nil"/>
              <w:bottom w:val="single" w:color="auto" w:sz="4" w:space="0"/>
              <w:right w:val="single" w:color="auto" w:sz="4" w:space="0"/>
            </w:tcBorders>
            <w:shd w:val="clear" w:color="auto" w:fill="auto"/>
            <w:vAlign w:val="center"/>
          </w:tcPr>
          <w:p w14:paraId="4D52D34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701F41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01260C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35</w:t>
            </w:r>
          </w:p>
        </w:tc>
        <w:tc>
          <w:tcPr>
            <w:tcW w:w="967" w:type="dxa"/>
            <w:tcBorders>
              <w:top w:val="nil"/>
              <w:left w:val="nil"/>
              <w:bottom w:val="single" w:color="auto" w:sz="4" w:space="0"/>
              <w:right w:val="single" w:color="auto" w:sz="4" w:space="0"/>
            </w:tcBorders>
            <w:shd w:val="clear" w:color="auto" w:fill="auto"/>
            <w:vAlign w:val="center"/>
          </w:tcPr>
          <w:p w14:paraId="0EA9F01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297177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103E521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4655064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DF52ED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1500FF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85</w:t>
            </w:r>
          </w:p>
        </w:tc>
        <w:tc>
          <w:tcPr>
            <w:tcW w:w="780" w:type="dxa"/>
            <w:tcBorders>
              <w:top w:val="nil"/>
              <w:left w:val="nil"/>
              <w:bottom w:val="single" w:color="auto" w:sz="4" w:space="0"/>
              <w:right w:val="single" w:color="auto" w:sz="4" w:space="0"/>
            </w:tcBorders>
            <w:shd w:val="clear" w:color="auto" w:fill="auto"/>
            <w:vAlign w:val="center"/>
          </w:tcPr>
          <w:p w14:paraId="6B21C2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170</w:t>
            </w:r>
          </w:p>
        </w:tc>
        <w:tc>
          <w:tcPr>
            <w:tcW w:w="1950" w:type="dxa"/>
            <w:tcBorders>
              <w:top w:val="nil"/>
              <w:left w:val="nil"/>
              <w:bottom w:val="single" w:color="auto" w:sz="4" w:space="0"/>
              <w:right w:val="single" w:color="auto" w:sz="4" w:space="0"/>
            </w:tcBorders>
            <w:shd w:val="clear" w:color="auto" w:fill="auto"/>
            <w:vAlign w:val="center"/>
          </w:tcPr>
          <w:p w14:paraId="37E983F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16BD08D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55348A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36</w:t>
            </w:r>
          </w:p>
        </w:tc>
        <w:tc>
          <w:tcPr>
            <w:tcW w:w="967" w:type="dxa"/>
            <w:tcBorders>
              <w:top w:val="nil"/>
              <w:left w:val="nil"/>
              <w:bottom w:val="single" w:color="auto" w:sz="4" w:space="0"/>
              <w:right w:val="single" w:color="auto" w:sz="4" w:space="0"/>
            </w:tcBorders>
            <w:shd w:val="clear" w:color="auto" w:fill="auto"/>
            <w:vAlign w:val="center"/>
          </w:tcPr>
          <w:p w14:paraId="298627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175221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排渣泵</w:t>
            </w:r>
          </w:p>
        </w:tc>
        <w:tc>
          <w:tcPr>
            <w:tcW w:w="2597" w:type="dxa"/>
            <w:tcBorders>
              <w:top w:val="nil"/>
              <w:left w:val="nil"/>
              <w:bottom w:val="single" w:color="auto" w:sz="4" w:space="0"/>
              <w:right w:val="single" w:color="auto" w:sz="4" w:space="0"/>
            </w:tcBorders>
            <w:shd w:val="clear" w:color="auto" w:fill="auto"/>
            <w:vAlign w:val="center"/>
          </w:tcPr>
          <w:p w14:paraId="2D7C39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2m3/min P=4Kw</w:t>
            </w:r>
          </w:p>
        </w:tc>
        <w:tc>
          <w:tcPr>
            <w:tcW w:w="672" w:type="dxa"/>
            <w:tcBorders>
              <w:top w:val="nil"/>
              <w:left w:val="nil"/>
              <w:bottom w:val="single" w:color="auto" w:sz="4" w:space="0"/>
              <w:right w:val="single" w:color="auto" w:sz="4" w:space="0"/>
            </w:tcBorders>
            <w:shd w:val="clear" w:color="auto" w:fill="auto"/>
            <w:vAlign w:val="center"/>
          </w:tcPr>
          <w:p w14:paraId="0CDAF69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61E414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600CD2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4F86063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079BEB2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2D21C6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F737D3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37</w:t>
            </w:r>
          </w:p>
        </w:tc>
        <w:tc>
          <w:tcPr>
            <w:tcW w:w="967" w:type="dxa"/>
            <w:tcBorders>
              <w:top w:val="nil"/>
              <w:left w:val="nil"/>
              <w:bottom w:val="single" w:color="auto" w:sz="4" w:space="0"/>
              <w:right w:val="single" w:color="auto" w:sz="4" w:space="0"/>
            </w:tcBorders>
            <w:shd w:val="clear" w:color="auto" w:fill="auto"/>
            <w:vAlign w:val="center"/>
          </w:tcPr>
          <w:p w14:paraId="4C92239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05130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聚渣槽</w:t>
            </w:r>
          </w:p>
        </w:tc>
        <w:tc>
          <w:tcPr>
            <w:tcW w:w="2597" w:type="dxa"/>
            <w:tcBorders>
              <w:top w:val="nil"/>
              <w:left w:val="nil"/>
              <w:bottom w:val="single" w:color="auto" w:sz="4" w:space="0"/>
              <w:right w:val="single" w:color="auto" w:sz="4" w:space="0"/>
            </w:tcBorders>
            <w:shd w:val="clear" w:color="auto" w:fill="auto"/>
            <w:vAlign w:val="center"/>
          </w:tcPr>
          <w:p w14:paraId="0A5F26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w:t>
            </w:r>
          </w:p>
        </w:tc>
        <w:tc>
          <w:tcPr>
            <w:tcW w:w="672" w:type="dxa"/>
            <w:tcBorders>
              <w:top w:val="nil"/>
              <w:left w:val="nil"/>
              <w:bottom w:val="single" w:color="auto" w:sz="4" w:space="0"/>
              <w:right w:val="single" w:color="auto" w:sz="4" w:space="0"/>
            </w:tcBorders>
            <w:shd w:val="clear" w:color="auto" w:fill="auto"/>
            <w:vAlign w:val="center"/>
          </w:tcPr>
          <w:p w14:paraId="5035051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6CD7F76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6F6F951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2B68087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67365F0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4BAC5E3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8ED06C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38</w:t>
            </w:r>
          </w:p>
        </w:tc>
        <w:tc>
          <w:tcPr>
            <w:tcW w:w="967" w:type="dxa"/>
            <w:tcBorders>
              <w:top w:val="nil"/>
              <w:left w:val="nil"/>
              <w:bottom w:val="single" w:color="auto" w:sz="4" w:space="0"/>
              <w:right w:val="single" w:color="auto" w:sz="4" w:space="0"/>
            </w:tcBorders>
            <w:shd w:val="clear" w:color="auto" w:fill="auto"/>
            <w:vAlign w:val="center"/>
          </w:tcPr>
          <w:p w14:paraId="118F9DD1">
            <w:pPr>
              <w:pStyle w:val="52"/>
              <w:spacing w:line="500" w:lineRule="exact"/>
              <w:rPr>
                <w:rFonts w:ascii="宋体" w:hAnsi="宋体" w:cs="宋体"/>
                <w:color w:val="auto"/>
                <w:szCs w:val="21"/>
                <w:highlight w:val="none"/>
              </w:rPr>
            </w:pPr>
          </w:p>
        </w:tc>
        <w:tc>
          <w:tcPr>
            <w:tcW w:w="886" w:type="dxa"/>
            <w:tcBorders>
              <w:top w:val="nil"/>
              <w:left w:val="nil"/>
              <w:bottom w:val="single" w:color="auto" w:sz="4" w:space="0"/>
              <w:right w:val="single" w:color="auto" w:sz="4" w:space="0"/>
            </w:tcBorders>
            <w:shd w:val="clear" w:color="auto" w:fill="auto"/>
            <w:vAlign w:val="center"/>
          </w:tcPr>
          <w:p w14:paraId="55480EC2">
            <w:pPr>
              <w:widowControl/>
              <w:spacing w:line="500" w:lineRule="exact"/>
              <w:jc w:val="center"/>
              <w:rPr>
                <w:rFonts w:ascii="宋体" w:hAnsi="宋体" w:cs="宋体"/>
                <w:color w:val="auto"/>
                <w:kern w:val="0"/>
                <w:szCs w:val="21"/>
                <w:highlight w:val="none"/>
              </w:rPr>
            </w:pPr>
            <w:r>
              <w:rPr>
                <w:rFonts w:hint="eastAsia" w:ascii="宋体" w:hAnsi="宋体" w:cs="宋体"/>
                <w:color w:val="auto"/>
                <w:szCs w:val="21"/>
                <w:highlight w:val="none"/>
              </w:rPr>
              <w:t>8x4x3m不锈钢围栏加雨棚</w:t>
            </w:r>
          </w:p>
        </w:tc>
        <w:tc>
          <w:tcPr>
            <w:tcW w:w="2597" w:type="dxa"/>
            <w:tcBorders>
              <w:top w:val="nil"/>
              <w:left w:val="nil"/>
              <w:bottom w:val="single" w:color="auto" w:sz="4" w:space="0"/>
              <w:right w:val="single" w:color="auto" w:sz="4" w:space="0"/>
            </w:tcBorders>
            <w:shd w:val="clear" w:color="auto" w:fill="auto"/>
            <w:vAlign w:val="center"/>
          </w:tcPr>
          <w:p w14:paraId="1CA761BB">
            <w:pPr>
              <w:pStyle w:val="52"/>
              <w:spacing w:line="500" w:lineRule="exact"/>
              <w:rPr>
                <w:rFonts w:ascii="宋体" w:hAnsi="宋体" w:cs="宋体"/>
                <w:color w:val="auto"/>
                <w:szCs w:val="21"/>
                <w:highlight w:val="none"/>
              </w:rPr>
            </w:pPr>
          </w:p>
        </w:tc>
        <w:tc>
          <w:tcPr>
            <w:tcW w:w="672" w:type="dxa"/>
            <w:tcBorders>
              <w:top w:val="nil"/>
              <w:left w:val="nil"/>
              <w:bottom w:val="single" w:color="auto" w:sz="4" w:space="0"/>
              <w:right w:val="single" w:color="auto" w:sz="4" w:space="0"/>
            </w:tcBorders>
            <w:shd w:val="clear" w:color="auto" w:fill="auto"/>
            <w:vAlign w:val="center"/>
          </w:tcPr>
          <w:p w14:paraId="6B9508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304不锈钢</w:t>
            </w:r>
          </w:p>
        </w:tc>
        <w:tc>
          <w:tcPr>
            <w:tcW w:w="579" w:type="dxa"/>
            <w:tcBorders>
              <w:top w:val="nil"/>
              <w:left w:val="nil"/>
              <w:bottom w:val="single" w:color="auto" w:sz="4" w:space="0"/>
              <w:right w:val="single" w:color="auto" w:sz="4" w:space="0"/>
            </w:tcBorders>
            <w:shd w:val="clear" w:color="auto" w:fill="auto"/>
            <w:vAlign w:val="center"/>
          </w:tcPr>
          <w:p w14:paraId="485DA28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套</w:t>
            </w:r>
          </w:p>
        </w:tc>
        <w:tc>
          <w:tcPr>
            <w:tcW w:w="915" w:type="dxa"/>
            <w:tcBorders>
              <w:top w:val="nil"/>
              <w:left w:val="nil"/>
              <w:bottom w:val="single" w:color="auto" w:sz="4" w:space="0"/>
              <w:right w:val="single" w:color="auto" w:sz="4" w:space="0"/>
            </w:tcBorders>
            <w:shd w:val="clear" w:color="auto" w:fill="auto"/>
            <w:vAlign w:val="center"/>
          </w:tcPr>
          <w:p w14:paraId="2C2D457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03BB3C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68AE52B6">
            <w:pPr>
              <w:pStyle w:val="52"/>
              <w:spacing w:line="500" w:lineRule="exact"/>
              <w:rPr>
                <w:rFonts w:ascii="宋体" w:hAnsi="宋体" w:cs="宋体"/>
                <w:color w:val="auto"/>
                <w:szCs w:val="21"/>
                <w:highlight w:val="none"/>
              </w:rPr>
            </w:pPr>
          </w:p>
        </w:tc>
      </w:tr>
      <w:tr w14:paraId="2C6A214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70F23E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第三水厂</w:t>
            </w:r>
          </w:p>
        </w:tc>
        <w:tc>
          <w:tcPr>
            <w:tcW w:w="967" w:type="dxa"/>
            <w:tcBorders>
              <w:top w:val="nil"/>
              <w:left w:val="nil"/>
              <w:bottom w:val="single" w:color="auto" w:sz="4" w:space="0"/>
              <w:right w:val="single" w:color="auto" w:sz="4" w:space="0"/>
            </w:tcBorders>
            <w:shd w:val="clear" w:color="auto" w:fill="auto"/>
            <w:vAlign w:val="center"/>
          </w:tcPr>
          <w:p w14:paraId="6B8ADE6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DDB2F4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2597" w:type="dxa"/>
            <w:tcBorders>
              <w:top w:val="nil"/>
              <w:left w:val="nil"/>
              <w:bottom w:val="single" w:color="auto" w:sz="4" w:space="0"/>
              <w:right w:val="single" w:color="auto" w:sz="4" w:space="0"/>
            </w:tcBorders>
            <w:shd w:val="clear" w:color="auto" w:fill="auto"/>
            <w:vAlign w:val="center"/>
          </w:tcPr>
          <w:p w14:paraId="2296800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1E5914C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7164B02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915" w:type="dxa"/>
            <w:tcBorders>
              <w:top w:val="nil"/>
              <w:left w:val="nil"/>
              <w:bottom w:val="single" w:color="auto" w:sz="4" w:space="0"/>
              <w:right w:val="single" w:color="auto" w:sz="4" w:space="0"/>
            </w:tcBorders>
            <w:shd w:val="clear" w:color="auto" w:fill="auto"/>
            <w:vAlign w:val="center"/>
          </w:tcPr>
          <w:p w14:paraId="5EA43F7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780" w:type="dxa"/>
            <w:tcBorders>
              <w:top w:val="nil"/>
              <w:left w:val="nil"/>
              <w:bottom w:val="single" w:color="auto" w:sz="4" w:space="0"/>
              <w:right w:val="single" w:color="auto" w:sz="4" w:space="0"/>
            </w:tcBorders>
            <w:shd w:val="clear" w:color="auto" w:fill="auto"/>
            <w:vAlign w:val="center"/>
          </w:tcPr>
          <w:p w14:paraId="445957B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1950" w:type="dxa"/>
            <w:tcBorders>
              <w:top w:val="nil"/>
              <w:left w:val="nil"/>
              <w:bottom w:val="single" w:color="auto" w:sz="4" w:space="0"/>
              <w:right w:val="single" w:color="auto" w:sz="4" w:space="0"/>
            </w:tcBorders>
            <w:shd w:val="clear" w:color="auto" w:fill="auto"/>
            <w:vAlign w:val="center"/>
          </w:tcPr>
          <w:p w14:paraId="553193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46770D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7DF9C6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967" w:type="dxa"/>
            <w:tcBorders>
              <w:top w:val="nil"/>
              <w:left w:val="nil"/>
              <w:bottom w:val="single" w:color="auto" w:sz="4" w:space="0"/>
              <w:right w:val="single" w:color="auto" w:sz="4" w:space="0"/>
            </w:tcBorders>
            <w:shd w:val="clear" w:color="auto" w:fill="auto"/>
            <w:vAlign w:val="center"/>
          </w:tcPr>
          <w:p w14:paraId="4F1CF82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649BE0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不停水开口</w:t>
            </w:r>
          </w:p>
        </w:tc>
        <w:tc>
          <w:tcPr>
            <w:tcW w:w="2597" w:type="dxa"/>
            <w:tcBorders>
              <w:top w:val="nil"/>
              <w:left w:val="nil"/>
              <w:bottom w:val="single" w:color="auto" w:sz="4" w:space="0"/>
              <w:right w:val="single" w:color="auto" w:sz="4" w:space="0"/>
            </w:tcBorders>
            <w:shd w:val="clear" w:color="auto" w:fill="auto"/>
            <w:vAlign w:val="center"/>
          </w:tcPr>
          <w:p w14:paraId="2E85DD9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DN900xDN300</w:t>
            </w:r>
          </w:p>
        </w:tc>
        <w:tc>
          <w:tcPr>
            <w:tcW w:w="672" w:type="dxa"/>
            <w:tcBorders>
              <w:top w:val="nil"/>
              <w:left w:val="nil"/>
              <w:bottom w:val="single" w:color="auto" w:sz="4" w:space="0"/>
              <w:right w:val="single" w:color="auto" w:sz="4" w:space="0"/>
            </w:tcBorders>
            <w:shd w:val="clear" w:color="auto" w:fill="auto"/>
            <w:vAlign w:val="center"/>
          </w:tcPr>
          <w:p w14:paraId="74F74E3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1D1588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1C69FFF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269126E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3DC937E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A130C8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C2CDD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967" w:type="dxa"/>
            <w:tcBorders>
              <w:top w:val="nil"/>
              <w:left w:val="nil"/>
              <w:bottom w:val="single" w:color="auto" w:sz="4" w:space="0"/>
              <w:right w:val="single" w:color="auto" w:sz="4" w:space="0"/>
            </w:tcBorders>
            <w:shd w:val="clear" w:color="auto" w:fill="auto"/>
            <w:vAlign w:val="center"/>
          </w:tcPr>
          <w:p w14:paraId="47EAD2F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2E90A8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6172A3B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DN200，δ=8mm</w:t>
            </w:r>
          </w:p>
        </w:tc>
        <w:tc>
          <w:tcPr>
            <w:tcW w:w="672" w:type="dxa"/>
            <w:tcBorders>
              <w:top w:val="nil"/>
              <w:left w:val="nil"/>
              <w:bottom w:val="single" w:color="auto" w:sz="4" w:space="0"/>
              <w:right w:val="single" w:color="auto" w:sz="4" w:space="0"/>
            </w:tcBorders>
            <w:shd w:val="clear" w:color="auto" w:fill="auto"/>
            <w:vAlign w:val="center"/>
          </w:tcPr>
          <w:p w14:paraId="204FE8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钢</w:t>
            </w:r>
          </w:p>
        </w:tc>
        <w:tc>
          <w:tcPr>
            <w:tcW w:w="579" w:type="dxa"/>
            <w:tcBorders>
              <w:top w:val="nil"/>
              <w:left w:val="nil"/>
              <w:bottom w:val="single" w:color="auto" w:sz="4" w:space="0"/>
              <w:right w:val="single" w:color="auto" w:sz="4" w:space="0"/>
            </w:tcBorders>
            <w:shd w:val="clear" w:color="auto" w:fill="auto"/>
            <w:vAlign w:val="center"/>
          </w:tcPr>
          <w:p w14:paraId="7435C7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60B0255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35</w:t>
            </w:r>
          </w:p>
        </w:tc>
        <w:tc>
          <w:tcPr>
            <w:tcW w:w="780" w:type="dxa"/>
            <w:tcBorders>
              <w:top w:val="nil"/>
              <w:left w:val="nil"/>
              <w:bottom w:val="single" w:color="auto" w:sz="4" w:space="0"/>
              <w:right w:val="single" w:color="auto" w:sz="4" w:space="0"/>
            </w:tcBorders>
            <w:shd w:val="clear" w:color="auto" w:fill="auto"/>
            <w:vAlign w:val="center"/>
          </w:tcPr>
          <w:p w14:paraId="11ED9CB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70</w:t>
            </w:r>
          </w:p>
        </w:tc>
        <w:tc>
          <w:tcPr>
            <w:tcW w:w="1950" w:type="dxa"/>
            <w:tcBorders>
              <w:top w:val="nil"/>
              <w:left w:val="nil"/>
              <w:bottom w:val="single" w:color="auto" w:sz="4" w:space="0"/>
              <w:right w:val="single" w:color="auto" w:sz="4" w:space="0"/>
            </w:tcBorders>
            <w:shd w:val="clear" w:color="auto" w:fill="auto"/>
            <w:vAlign w:val="center"/>
          </w:tcPr>
          <w:p w14:paraId="440CB80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沥青机动车道下敷设，覆土1.2m</w:t>
            </w:r>
          </w:p>
        </w:tc>
      </w:tr>
      <w:tr w14:paraId="207B1B3E">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422BE7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967" w:type="dxa"/>
            <w:tcBorders>
              <w:top w:val="nil"/>
              <w:left w:val="nil"/>
              <w:bottom w:val="single" w:color="auto" w:sz="4" w:space="0"/>
              <w:right w:val="single" w:color="auto" w:sz="4" w:space="0"/>
            </w:tcBorders>
            <w:shd w:val="clear" w:color="auto" w:fill="auto"/>
            <w:vAlign w:val="center"/>
          </w:tcPr>
          <w:p w14:paraId="6CBD500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DAE5B9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13C1A5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DN200，δ=8mm</w:t>
            </w:r>
          </w:p>
        </w:tc>
        <w:tc>
          <w:tcPr>
            <w:tcW w:w="672" w:type="dxa"/>
            <w:tcBorders>
              <w:top w:val="nil"/>
              <w:left w:val="nil"/>
              <w:bottom w:val="single" w:color="auto" w:sz="4" w:space="0"/>
              <w:right w:val="single" w:color="auto" w:sz="4" w:space="0"/>
            </w:tcBorders>
            <w:shd w:val="clear" w:color="auto" w:fill="auto"/>
            <w:vAlign w:val="center"/>
          </w:tcPr>
          <w:p w14:paraId="7EFF1FE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钢</w:t>
            </w:r>
          </w:p>
        </w:tc>
        <w:tc>
          <w:tcPr>
            <w:tcW w:w="579" w:type="dxa"/>
            <w:tcBorders>
              <w:top w:val="nil"/>
              <w:left w:val="nil"/>
              <w:bottom w:val="single" w:color="auto" w:sz="4" w:space="0"/>
              <w:right w:val="single" w:color="auto" w:sz="4" w:space="0"/>
            </w:tcBorders>
            <w:shd w:val="clear" w:color="auto" w:fill="auto"/>
            <w:vAlign w:val="center"/>
          </w:tcPr>
          <w:p w14:paraId="4C66A36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550713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780" w:type="dxa"/>
            <w:tcBorders>
              <w:top w:val="nil"/>
              <w:left w:val="nil"/>
              <w:bottom w:val="single" w:color="auto" w:sz="4" w:space="0"/>
              <w:right w:val="single" w:color="auto" w:sz="4" w:space="0"/>
            </w:tcBorders>
            <w:shd w:val="clear" w:color="auto" w:fill="auto"/>
            <w:vAlign w:val="center"/>
          </w:tcPr>
          <w:p w14:paraId="05AD96F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48</w:t>
            </w:r>
          </w:p>
        </w:tc>
        <w:tc>
          <w:tcPr>
            <w:tcW w:w="1950" w:type="dxa"/>
            <w:tcBorders>
              <w:top w:val="nil"/>
              <w:left w:val="nil"/>
              <w:bottom w:val="single" w:color="auto" w:sz="4" w:space="0"/>
              <w:right w:val="single" w:color="auto" w:sz="4" w:space="0"/>
            </w:tcBorders>
            <w:shd w:val="clear" w:color="auto" w:fill="auto"/>
            <w:vAlign w:val="center"/>
          </w:tcPr>
          <w:p w14:paraId="27803E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4DB40CF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3A047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967" w:type="dxa"/>
            <w:tcBorders>
              <w:top w:val="nil"/>
              <w:left w:val="nil"/>
              <w:bottom w:val="single" w:color="auto" w:sz="4" w:space="0"/>
              <w:right w:val="single" w:color="auto" w:sz="4" w:space="0"/>
            </w:tcBorders>
            <w:shd w:val="clear" w:color="auto" w:fill="auto"/>
            <w:noWrap/>
            <w:vAlign w:val="center"/>
          </w:tcPr>
          <w:p w14:paraId="0826705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7387B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蝶阀</w:t>
            </w:r>
          </w:p>
        </w:tc>
        <w:tc>
          <w:tcPr>
            <w:tcW w:w="2597" w:type="dxa"/>
            <w:tcBorders>
              <w:top w:val="nil"/>
              <w:left w:val="nil"/>
              <w:bottom w:val="single" w:color="auto" w:sz="4" w:space="0"/>
              <w:right w:val="single" w:color="auto" w:sz="4" w:space="0"/>
            </w:tcBorders>
            <w:shd w:val="clear" w:color="auto" w:fill="auto"/>
            <w:vAlign w:val="center"/>
          </w:tcPr>
          <w:p w14:paraId="16C1D6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DN200，PN10</w:t>
            </w:r>
          </w:p>
        </w:tc>
        <w:tc>
          <w:tcPr>
            <w:tcW w:w="672" w:type="dxa"/>
            <w:tcBorders>
              <w:top w:val="nil"/>
              <w:left w:val="nil"/>
              <w:bottom w:val="single" w:color="auto" w:sz="4" w:space="0"/>
              <w:right w:val="single" w:color="auto" w:sz="4" w:space="0"/>
            </w:tcBorders>
            <w:shd w:val="clear" w:color="auto" w:fill="auto"/>
            <w:noWrap/>
            <w:vAlign w:val="center"/>
          </w:tcPr>
          <w:p w14:paraId="19B251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3E87AD8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7186F96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7A4B9BA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center"/>
          </w:tcPr>
          <w:p w14:paraId="45B40D1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明装，配双法兰伸缩器</w:t>
            </w:r>
          </w:p>
        </w:tc>
      </w:tr>
      <w:tr w14:paraId="57D16E57">
        <w:tblPrEx>
          <w:tblCellMar>
            <w:top w:w="0" w:type="dxa"/>
            <w:left w:w="108" w:type="dxa"/>
            <w:bottom w:w="0" w:type="dxa"/>
            <w:right w:w="108" w:type="dxa"/>
          </w:tblCellMar>
        </w:tblPrEx>
        <w:trPr>
          <w:trHeight w:val="43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955B12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967" w:type="dxa"/>
            <w:tcBorders>
              <w:top w:val="nil"/>
              <w:left w:val="nil"/>
              <w:bottom w:val="single" w:color="auto" w:sz="4" w:space="0"/>
              <w:right w:val="single" w:color="auto" w:sz="4" w:space="0"/>
            </w:tcBorders>
            <w:shd w:val="clear" w:color="auto" w:fill="auto"/>
            <w:noWrap/>
            <w:vAlign w:val="bottom"/>
          </w:tcPr>
          <w:p w14:paraId="547C7C0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B9AD34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3E3408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DN200，PN10</w:t>
            </w:r>
          </w:p>
        </w:tc>
        <w:tc>
          <w:tcPr>
            <w:tcW w:w="672" w:type="dxa"/>
            <w:tcBorders>
              <w:top w:val="nil"/>
              <w:left w:val="nil"/>
              <w:bottom w:val="single" w:color="auto" w:sz="4" w:space="0"/>
              <w:right w:val="single" w:color="auto" w:sz="4" w:space="0"/>
            </w:tcBorders>
            <w:shd w:val="clear" w:color="auto" w:fill="auto"/>
            <w:noWrap/>
            <w:vAlign w:val="center"/>
          </w:tcPr>
          <w:p w14:paraId="4531BE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7146F55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noWrap/>
            <w:vAlign w:val="center"/>
          </w:tcPr>
          <w:p w14:paraId="75CF2FE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248B000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center"/>
          </w:tcPr>
          <w:p w14:paraId="292792D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169818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CBCDCB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967" w:type="dxa"/>
            <w:tcBorders>
              <w:top w:val="nil"/>
              <w:left w:val="nil"/>
              <w:bottom w:val="single" w:color="auto" w:sz="4" w:space="0"/>
              <w:right w:val="single" w:color="auto" w:sz="4" w:space="0"/>
            </w:tcBorders>
            <w:shd w:val="clear" w:color="auto" w:fill="auto"/>
            <w:noWrap/>
            <w:vAlign w:val="bottom"/>
          </w:tcPr>
          <w:p w14:paraId="12FE2D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08015F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微阻缓闭止回阀</w:t>
            </w:r>
          </w:p>
        </w:tc>
        <w:tc>
          <w:tcPr>
            <w:tcW w:w="2597" w:type="dxa"/>
            <w:tcBorders>
              <w:top w:val="nil"/>
              <w:left w:val="nil"/>
              <w:bottom w:val="single" w:color="auto" w:sz="4" w:space="0"/>
              <w:right w:val="single" w:color="auto" w:sz="4" w:space="0"/>
            </w:tcBorders>
            <w:shd w:val="clear" w:color="auto" w:fill="auto"/>
            <w:vAlign w:val="center"/>
          </w:tcPr>
          <w:p w14:paraId="7D01F75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DN200，PN10</w:t>
            </w:r>
          </w:p>
        </w:tc>
        <w:tc>
          <w:tcPr>
            <w:tcW w:w="672" w:type="dxa"/>
            <w:tcBorders>
              <w:top w:val="nil"/>
              <w:left w:val="nil"/>
              <w:bottom w:val="single" w:color="auto" w:sz="4" w:space="0"/>
              <w:right w:val="single" w:color="auto" w:sz="4" w:space="0"/>
            </w:tcBorders>
            <w:shd w:val="clear" w:color="auto" w:fill="auto"/>
            <w:noWrap/>
            <w:vAlign w:val="center"/>
          </w:tcPr>
          <w:p w14:paraId="436FE3E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4B621B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470CF0C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CC214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24D5CF8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46460E8">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1D65EF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967" w:type="dxa"/>
            <w:tcBorders>
              <w:top w:val="nil"/>
              <w:left w:val="nil"/>
              <w:bottom w:val="single" w:color="auto" w:sz="4" w:space="0"/>
              <w:right w:val="single" w:color="auto" w:sz="4" w:space="0"/>
            </w:tcBorders>
            <w:shd w:val="clear" w:color="auto" w:fill="auto"/>
            <w:noWrap/>
            <w:vAlign w:val="bottom"/>
          </w:tcPr>
          <w:p w14:paraId="4409E8F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7DFEFD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分流变频泵</w:t>
            </w:r>
          </w:p>
        </w:tc>
        <w:tc>
          <w:tcPr>
            <w:tcW w:w="2597" w:type="dxa"/>
            <w:tcBorders>
              <w:top w:val="nil"/>
              <w:left w:val="nil"/>
              <w:bottom w:val="single" w:color="auto" w:sz="4" w:space="0"/>
              <w:right w:val="single" w:color="auto" w:sz="4" w:space="0"/>
            </w:tcBorders>
            <w:shd w:val="clear" w:color="auto" w:fill="auto"/>
            <w:vAlign w:val="center"/>
          </w:tcPr>
          <w:p w14:paraId="50C66B8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Q=150m3/h,H=50m,P=37kw</w:t>
            </w:r>
          </w:p>
        </w:tc>
        <w:tc>
          <w:tcPr>
            <w:tcW w:w="672" w:type="dxa"/>
            <w:tcBorders>
              <w:top w:val="nil"/>
              <w:left w:val="nil"/>
              <w:bottom w:val="single" w:color="auto" w:sz="4" w:space="0"/>
              <w:right w:val="single" w:color="auto" w:sz="4" w:space="0"/>
            </w:tcBorders>
            <w:shd w:val="clear" w:color="auto" w:fill="auto"/>
            <w:noWrap/>
            <w:vAlign w:val="center"/>
          </w:tcPr>
          <w:p w14:paraId="5298F2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noWrap/>
            <w:vAlign w:val="center"/>
          </w:tcPr>
          <w:p w14:paraId="76C502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111B9A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B67C8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781D660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22C4F49C">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4ACFD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967" w:type="dxa"/>
            <w:tcBorders>
              <w:top w:val="nil"/>
              <w:left w:val="nil"/>
              <w:bottom w:val="single" w:color="auto" w:sz="4" w:space="0"/>
              <w:right w:val="single" w:color="auto" w:sz="4" w:space="0"/>
            </w:tcBorders>
            <w:shd w:val="clear" w:color="auto" w:fill="auto"/>
            <w:noWrap/>
            <w:vAlign w:val="bottom"/>
          </w:tcPr>
          <w:p w14:paraId="4070ACA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2221D4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4C9CAB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Q=60m3/h，0.8mpa,P=11kw</w:t>
            </w:r>
          </w:p>
        </w:tc>
        <w:tc>
          <w:tcPr>
            <w:tcW w:w="672" w:type="dxa"/>
            <w:tcBorders>
              <w:top w:val="nil"/>
              <w:left w:val="nil"/>
              <w:bottom w:val="single" w:color="auto" w:sz="4" w:space="0"/>
              <w:right w:val="single" w:color="auto" w:sz="4" w:space="0"/>
            </w:tcBorders>
            <w:shd w:val="clear" w:color="auto" w:fill="auto"/>
            <w:vAlign w:val="center"/>
          </w:tcPr>
          <w:p w14:paraId="77307C2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noWrap/>
            <w:vAlign w:val="center"/>
          </w:tcPr>
          <w:p w14:paraId="37A7AC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6A963D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C13CA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2C44700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692E18FF">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B3378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967" w:type="dxa"/>
            <w:tcBorders>
              <w:top w:val="nil"/>
              <w:left w:val="nil"/>
              <w:bottom w:val="single" w:color="auto" w:sz="4" w:space="0"/>
              <w:right w:val="single" w:color="auto" w:sz="4" w:space="0"/>
            </w:tcBorders>
            <w:shd w:val="clear" w:color="auto" w:fill="auto"/>
            <w:noWrap/>
            <w:vAlign w:val="bottom"/>
          </w:tcPr>
          <w:p w14:paraId="3DC2028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3C3436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溶气罐</w:t>
            </w:r>
          </w:p>
        </w:tc>
        <w:tc>
          <w:tcPr>
            <w:tcW w:w="2597" w:type="dxa"/>
            <w:tcBorders>
              <w:top w:val="nil"/>
              <w:left w:val="nil"/>
              <w:bottom w:val="single" w:color="auto" w:sz="4" w:space="0"/>
              <w:right w:val="single" w:color="auto" w:sz="4" w:space="0"/>
            </w:tcBorders>
            <w:shd w:val="clear" w:color="auto" w:fill="auto"/>
            <w:vAlign w:val="center"/>
          </w:tcPr>
          <w:p w14:paraId="147A120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V=6m3</w:t>
            </w:r>
          </w:p>
        </w:tc>
        <w:tc>
          <w:tcPr>
            <w:tcW w:w="672" w:type="dxa"/>
            <w:tcBorders>
              <w:top w:val="nil"/>
              <w:left w:val="nil"/>
              <w:bottom w:val="single" w:color="auto" w:sz="4" w:space="0"/>
              <w:right w:val="single" w:color="auto" w:sz="4" w:space="0"/>
            </w:tcBorders>
            <w:shd w:val="clear" w:color="auto" w:fill="auto"/>
            <w:vAlign w:val="center"/>
          </w:tcPr>
          <w:p w14:paraId="2DF8FB6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noWrap/>
            <w:vAlign w:val="center"/>
          </w:tcPr>
          <w:p w14:paraId="47934E6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0AEBFDF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05D680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vAlign w:val="center"/>
          </w:tcPr>
          <w:p w14:paraId="7C6712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溶气系统设备，含压力表等附件</w:t>
            </w:r>
          </w:p>
        </w:tc>
      </w:tr>
      <w:tr w14:paraId="3DBFCD7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866A31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967" w:type="dxa"/>
            <w:tcBorders>
              <w:top w:val="nil"/>
              <w:left w:val="nil"/>
              <w:bottom w:val="single" w:color="auto" w:sz="4" w:space="0"/>
              <w:right w:val="single" w:color="auto" w:sz="4" w:space="0"/>
            </w:tcBorders>
            <w:shd w:val="clear" w:color="auto" w:fill="auto"/>
            <w:noWrap/>
            <w:vAlign w:val="bottom"/>
          </w:tcPr>
          <w:p w14:paraId="67379DC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35D732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2E874CA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DN200，δ=8mm</w:t>
            </w:r>
          </w:p>
        </w:tc>
        <w:tc>
          <w:tcPr>
            <w:tcW w:w="672" w:type="dxa"/>
            <w:tcBorders>
              <w:top w:val="nil"/>
              <w:left w:val="nil"/>
              <w:bottom w:val="single" w:color="auto" w:sz="4" w:space="0"/>
              <w:right w:val="single" w:color="auto" w:sz="4" w:space="0"/>
            </w:tcBorders>
            <w:shd w:val="clear" w:color="auto" w:fill="auto"/>
            <w:vAlign w:val="center"/>
          </w:tcPr>
          <w:p w14:paraId="52DA40B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钢</w:t>
            </w:r>
          </w:p>
        </w:tc>
        <w:tc>
          <w:tcPr>
            <w:tcW w:w="579" w:type="dxa"/>
            <w:tcBorders>
              <w:top w:val="nil"/>
              <w:left w:val="nil"/>
              <w:bottom w:val="single" w:color="auto" w:sz="4" w:space="0"/>
              <w:right w:val="single" w:color="auto" w:sz="4" w:space="0"/>
            </w:tcBorders>
            <w:shd w:val="clear" w:color="auto" w:fill="auto"/>
            <w:vAlign w:val="center"/>
          </w:tcPr>
          <w:p w14:paraId="320ED7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8E8B7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780" w:type="dxa"/>
            <w:tcBorders>
              <w:top w:val="nil"/>
              <w:left w:val="nil"/>
              <w:bottom w:val="single" w:color="auto" w:sz="4" w:space="0"/>
              <w:right w:val="single" w:color="auto" w:sz="4" w:space="0"/>
            </w:tcBorders>
            <w:shd w:val="clear" w:color="auto" w:fill="auto"/>
            <w:vAlign w:val="center"/>
          </w:tcPr>
          <w:p w14:paraId="42A33ED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48</w:t>
            </w:r>
          </w:p>
        </w:tc>
        <w:tc>
          <w:tcPr>
            <w:tcW w:w="1950" w:type="dxa"/>
            <w:tcBorders>
              <w:top w:val="nil"/>
              <w:left w:val="nil"/>
              <w:bottom w:val="single" w:color="auto" w:sz="4" w:space="0"/>
              <w:right w:val="single" w:color="auto" w:sz="4" w:space="0"/>
            </w:tcBorders>
            <w:shd w:val="clear" w:color="auto" w:fill="auto"/>
            <w:vAlign w:val="center"/>
          </w:tcPr>
          <w:p w14:paraId="16814B8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明装</w:t>
            </w:r>
          </w:p>
        </w:tc>
      </w:tr>
      <w:tr w14:paraId="3A3E6E3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BF666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967" w:type="dxa"/>
            <w:tcBorders>
              <w:top w:val="nil"/>
              <w:left w:val="nil"/>
              <w:bottom w:val="single" w:color="auto" w:sz="4" w:space="0"/>
              <w:right w:val="single" w:color="auto" w:sz="4" w:space="0"/>
            </w:tcBorders>
            <w:shd w:val="clear" w:color="auto" w:fill="auto"/>
            <w:vAlign w:val="center"/>
          </w:tcPr>
          <w:p w14:paraId="161A95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D63922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4C66453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DN200，δ=8mm</w:t>
            </w:r>
          </w:p>
        </w:tc>
        <w:tc>
          <w:tcPr>
            <w:tcW w:w="672" w:type="dxa"/>
            <w:tcBorders>
              <w:top w:val="nil"/>
              <w:left w:val="nil"/>
              <w:bottom w:val="single" w:color="auto" w:sz="4" w:space="0"/>
              <w:right w:val="single" w:color="auto" w:sz="4" w:space="0"/>
            </w:tcBorders>
            <w:shd w:val="clear" w:color="auto" w:fill="auto"/>
            <w:vAlign w:val="center"/>
          </w:tcPr>
          <w:p w14:paraId="368E599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钢</w:t>
            </w:r>
          </w:p>
        </w:tc>
        <w:tc>
          <w:tcPr>
            <w:tcW w:w="579" w:type="dxa"/>
            <w:tcBorders>
              <w:top w:val="nil"/>
              <w:left w:val="nil"/>
              <w:bottom w:val="single" w:color="auto" w:sz="4" w:space="0"/>
              <w:right w:val="single" w:color="auto" w:sz="4" w:space="0"/>
            </w:tcBorders>
            <w:shd w:val="clear" w:color="auto" w:fill="auto"/>
            <w:vAlign w:val="center"/>
          </w:tcPr>
          <w:p w14:paraId="184651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37C8FF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4B3CE33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vAlign w:val="center"/>
          </w:tcPr>
          <w:p w14:paraId="0021436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491284F8">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B5E616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967" w:type="dxa"/>
            <w:tcBorders>
              <w:top w:val="nil"/>
              <w:left w:val="nil"/>
              <w:bottom w:val="single" w:color="auto" w:sz="4" w:space="0"/>
              <w:right w:val="single" w:color="auto" w:sz="4" w:space="0"/>
            </w:tcBorders>
            <w:shd w:val="clear" w:color="auto" w:fill="auto"/>
            <w:vAlign w:val="center"/>
          </w:tcPr>
          <w:p w14:paraId="40681A8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B3F5B4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2A3F5C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DN200，δ=6mm</w:t>
            </w:r>
          </w:p>
        </w:tc>
        <w:tc>
          <w:tcPr>
            <w:tcW w:w="672" w:type="dxa"/>
            <w:tcBorders>
              <w:top w:val="nil"/>
              <w:left w:val="nil"/>
              <w:bottom w:val="single" w:color="auto" w:sz="4" w:space="0"/>
              <w:right w:val="single" w:color="auto" w:sz="4" w:space="0"/>
            </w:tcBorders>
            <w:shd w:val="clear" w:color="auto" w:fill="auto"/>
            <w:vAlign w:val="center"/>
          </w:tcPr>
          <w:p w14:paraId="2A377BB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A8AD6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1B4DE5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44</w:t>
            </w:r>
          </w:p>
        </w:tc>
        <w:tc>
          <w:tcPr>
            <w:tcW w:w="780" w:type="dxa"/>
            <w:tcBorders>
              <w:top w:val="nil"/>
              <w:left w:val="nil"/>
              <w:bottom w:val="single" w:color="auto" w:sz="4" w:space="0"/>
              <w:right w:val="single" w:color="auto" w:sz="4" w:space="0"/>
            </w:tcBorders>
            <w:shd w:val="clear" w:color="auto" w:fill="auto"/>
            <w:vAlign w:val="center"/>
          </w:tcPr>
          <w:p w14:paraId="1D42C46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88</w:t>
            </w:r>
          </w:p>
        </w:tc>
        <w:tc>
          <w:tcPr>
            <w:tcW w:w="1950" w:type="dxa"/>
            <w:tcBorders>
              <w:top w:val="nil"/>
              <w:left w:val="nil"/>
              <w:bottom w:val="single" w:color="auto" w:sz="4" w:space="0"/>
              <w:right w:val="single" w:color="auto" w:sz="4" w:space="0"/>
            </w:tcBorders>
            <w:shd w:val="clear" w:color="auto" w:fill="auto"/>
            <w:vAlign w:val="center"/>
          </w:tcPr>
          <w:p w14:paraId="739F72C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59AE8E4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8E992B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967" w:type="dxa"/>
            <w:tcBorders>
              <w:top w:val="nil"/>
              <w:left w:val="nil"/>
              <w:bottom w:val="single" w:color="auto" w:sz="4" w:space="0"/>
              <w:right w:val="single" w:color="auto" w:sz="4" w:space="0"/>
            </w:tcBorders>
            <w:shd w:val="clear" w:color="auto" w:fill="auto"/>
            <w:vAlign w:val="center"/>
          </w:tcPr>
          <w:p w14:paraId="0F59D94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9BB67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65E9322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De200，PN10</w:t>
            </w:r>
          </w:p>
        </w:tc>
        <w:tc>
          <w:tcPr>
            <w:tcW w:w="672" w:type="dxa"/>
            <w:tcBorders>
              <w:top w:val="nil"/>
              <w:left w:val="nil"/>
              <w:bottom w:val="single" w:color="auto" w:sz="4" w:space="0"/>
              <w:right w:val="single" w:color="auto" w:sz="4" w:space="0"/>
            </w:tcBorders>
            <w:shd w:val="clear" w:color="auto" w:fill="auto"/>
            <w:vAlign w:val="center"/>
          </w:tcPr>
          <w:p w14:paraId="24138E3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29A542C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12E53A2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78</w:t>
            </w:r>
          </w:p>
        </w:tc>
        <w:tc>
          <w:tcPr>
            <w:tcW w:w="780" w:type="dxa"/>
            <w:tcBorders>
              <w:top w:val="nil"/>
              <w:left w:val="nil"/>
              <w:bottom w:val="single" w:color="auto" w:sz="4" w:space="0"/>
              <w:right w:val="single" w:color="auto" w:sz="4" w:space="0"/>
            </w:tcBorders>
            <w:shd w:val="clear" w:color="auto" w:fill="auto"/>
            <w:vAlign w:val="center"/>
          </w:tcPr>
          <w:p w14:paraId="19CC9C2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156</w:t>
            </w:r>
          </w:p>
        </w:tc>
        <w:tc>
          <w:tcPr>
            <w:tcW w:w="1950" w:type="dxa"/>
            <w:tcBorders>
              <w:top w:val="nil"/>
              <w:left w:val="nil"/>
              <w:bottom w:val="single" w:color="auto" w:sz="4" w:space="0"/>
              <w:right w:val="single" w:color="auto" w:sz="4" w:space="0"/>
            </w:tcBorders>
            <w:shd w:val="clear" w:color="auto" w:fill="auto"/>
            <w:vAlign w:val="center"/>
          </w:tcPr>
          <w:p w14:paraId="4BB33A0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377375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E302C1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967" w:type="dxa"/>
            <w:tcBorders>
              <w:top w:val="nil"/>
              <w:left w:val="nil"/>
              <w:bottom w:val="single" w:color="auto" w:sz="4" w:space="0"/>
              <w:right w:val="single" w:color="auto" w:sz="4" w:space="0"/>
            </w:tcBorders>
            <w:shd w:val="clear" w:color="auto" w:fill="auto"/>
            <w:vAlign w:val="center"/>
          </w:tcPr>
          <w:p w14:paraId="1E4E4D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3EC76A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3CD6E94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De110，PN10</w:t>
            </w:r>
          </w:p>
        </w:tc>
        <w:tc>
          <w:tcPr>
            <w:tcW w:w="672" w:type="dxa"/>
            <w:tcBorders>
              <w:top w:val="nil"/>
              <w:left w:val="nil"/>
              <w:bottom w:val="single" w:color="auto" w:sz="4" w:space="0"/>
              <w:right w:val="single" w:color="auto" w:sz="4" w:space="0"/>
            </w:tcBorders>
            <w:shd w:val="clear" w:color="auto" w:fill="auto"/>
            <w:vAlign w:val="center"/>
          </w:tcPr>
          <w:p w14:paraId="31300C4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5444CC7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22F7D1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1ABB5B0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vAlign w:val="center"/>
          </w:tcPr>
          <w:p w14:paraId="0264751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63B243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DE9403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967" w:type="dxa"/>
            <w:tcBorders>
              <w:top w:val="nil"/>
              <w:left w:val="nil"/>
              <w:bottom w:val="single" w:color="auto" w:sz="4" w:space="0"/>
              <w:right w:val="single" w:color="auto" w:sz="4" w:space="0"/>
            </w:tcBorders>
            <w:shd w:val="clear" w:color="auto" w:fill="auto"/>
            <w:vAlign w:val="center"/>
          </w:tcPr>
          <w:p w14:paraId="1C1ACC2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480013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1B55A62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De90，PN10</w:t>
            </w:r>
          </w:p>
        </w:tc>
        <w:tc>
          <w:tcPr>
            <w:tcW w:w="672" w:type="dxa"/>
            <w:tcBorders>
              <w:top w:val="nil"/>
              <w:left w:val="nil"/>
              <w:bottom w:val="single" w:color="auto" w:sz="4" w:space="0"/>
              <w:right w:val="single" w:color="auto" w:sz="4" w:space="0"/>
            </w:tcBorders>
            <w:shd w:val="clear" w:color="auto" w:fill="auto"/>
            <w:vAlign w:val="center"/>
          </w:tcPr>
          <w:p w14:paraId="186D79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3C3CCB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9BBED5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216</w:t>
            </w:r>
          </w:p>
        </w:tc>
        <w:tc>
          <w:tcPr>
            <w:tcW w:w="780" w:type="dxa"/>
            <w:tcBorders>
              <w:top w:val="nil"/>
              <w:left w:val="nil"/>
              <w:bottom w:val="single" w:color="auto" w:sz="4" w:space="0"/>
              <w:right w:val="single" w:color="auto" w:sz="4" w:space="0"/>
            </w:tcBorders>
            <w:shd w:val="clear" w:color="auto" w:fill="auto"/>
            <w:vAlign w:val="center"/>
          </w:tcPr>
          <w:p w14:paraId="70FC64E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400</w:t>
            </w:r>
          </w:p>
        </w:tc>
        <w:tc>
          <w:tcPr>
            <w:tcW w:w="1950" w:type="dxa"/>
            <w:tcBorders>
              <w:top w:val="nil"/>
              <w:left w:val="nil"/>
              <w:bottom w:val="single" w:color="auto" w:sz="4" w:space="0"/>
              <w:right w:val="single" w:color="auto" w:sz="4" w:space="0"/>
            </w:tcBorders>
            <w:shd w:val="clear" w:color="auto" w:fill="auto"/>
            <w:vAlign w:val="center"/>
          </w:tcPr>
          <w:p w14:paraId="5ED06D7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5930AC5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F09F16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967" w:type="dxa"/>
            <w:tcBorders>
              <w:top w:val="nil"/>
              <w:left w:val="nil"/>
              <w:bottom w:val="single" w:color="auto" w:sz="4" w:space="0"/>
              <w:right w:val="single" w:color="auto" w:sz="4" w:space="0"/>
            </w:tcBorders>
            <w:shd w:val="clear" w:color="auto" w:fill="auto"/>
            <w:vAlign w:val="center"/>
          </w:tcPr>
          <w:p w14:paraId="4C42E83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BDE34C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0EAB722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De200xDe110</w:t>
            </w:r>
          </w:p>
        </w:tc>
        <w:tc>
          <w:tcPr>
            <w:tcW w:w="672" w:type="dxa"/>
            <w:tcBorders>
              <w:top w:val="nil"/>
              <w:left w:val="nil"/>
              <w:bottom w:val="single" w:color="auto" w:sz="4" w:space="0"/>
              <w:right w:val="single" w:color="auto" w:sz="4" w:space="0"/>
            </w:tcBorders>
            <w:shd w:val="clear" w:color="auto" w:fill="auto"/>
            <w:vAlign w:val="center"/>
          </w:tcPr>
          <w:p w14:paraId="373BE5D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654BB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45A5726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50FED45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vAlign w:val="center"/>
          </w:tcPr>
          <w:p w14:paraId="5025000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484E5A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FFFD3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967" w:type="dxa"/>
            <w:tcBorders>
              <w:top w:val="nil"/>
              <w:left w:val="nil"/>
              <w:bottom w:val="single" w:color="auto" w:sz="4" w:space="0"/>
              <w:right w:val="single" w:color="auto" w:sz="4" w:space="0"/>
            </w:tcBorders>
            <w:shd w:val="clear" w:color="auto" w:fill="auto"/>
            <w:vAlign w:val="center"/>
          </w:tcPr>
          <w:p w14:paraId="3E6D2F8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F00B2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17715A1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De110xDe110</w:t>
            </w:r>
          </w:p>
        </w:tc>
        <w:tc>
          <w:tcPr>
            <w:tcW w:w="672" w:type="dxa"/>
            <w:tcBorders>
              <w:top w:val="nil"/>
              <w:left w:val="nil"/>
              <w:bottom w:val="single" w:color="auto" w:sz="4" w:space="0"/>
              <w:right w:val="single" w:color="auto" w:sz="4" w:space="0"/>
            </w:tcBorders>
            <w:shd w:val="clear" w:color="auto" w:fill="auto"/>
            <w:vAlign w:val="center"/>
          </w:tcPr>
          <w:p w14:paraId="0A15AD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23FC439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8268D8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30976C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vAlign w:val="center"/>
          </w:tcPr>
          <w:p w14:paraId="4291B06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A6E402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A4DE7B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967" w:type="dxa"/>
            <w:tcBorders>
              <w:top w:val="nil"/>
              <w:left w:val="nil"/>
              <w:bottom w:val="single" w:color="auto" w:sz="4" w:space="0"/>
              <w:right w:val="single" w:color="auto" w:sz="4" w:space="0"/>
            </w:tcBorders>
            <w:shd w:val="clear" w:color="auto" w:fill="auto"/>
            <w:vAlign w:val="center"/>
          </w:tcPr>
          <w:p w14:paraId="761E981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8EE0F9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异径管</w:t>
            </w:r>
          </w:p>
        </w:tc>
        <w:tc>
          <w:tcPr>
            <w:tcW w:w="2597" w:type="dxa"/>
            <w:tcBorders>
              <w:top w:val="nil"/>
              <w:left w:val="nil"/>
              <w:bottom w:val="single" w:color="auto" w:sz="4" w:space="0"/>
              <w:right w:val="single" w:color="auto" w:sz="4" w:space="0"/>
            </w:tcBorders>
            <w:shd w:val="clear" w:color="auto" w:fill="auto"/>
            <w:vAlign w:val="center"/>
          </w:tcPr>
          <w:p w14:paraId="6B287A2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De110xDe90</w:t>
            </w:r>
          </w:p>
        </w:tc>
        <w:tc>
          <w:tcPr>
            <w:tcW w:w="672" w:type="dxa"/>
            <w:tcBorders>
              <w:top w:val="nil"/>
              <w:left w:val="nil"/>
              <w:bottom w:val="single" w:color="auto" w:sz="4" w:space="0"/>
              <w:right w:val="single" w:color="auto" w:sz="4" w:space="0"/>
            </w:tcBorders>
            <w:shd w:val="clear" w:color="auto" w:fill="auto"/>
            <w:vAlign w:val="center"/>
          </w:tcPr>
          <w:p w14:paraId="0E47EE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D3390D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8112DB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780" w:type="dxa"/>
            <w:tcBorders>
              <w:top w:val="nil"/>
              <w:left w:val="nil"/>
              <w:bottom w:val="single" w:color="auto" w:sz="4" w:space="0"/>
              <w:right w:val="single" w:color="auto" w:sz="4" w:space="0"/>
            </w:tcBorders>
            <w:shd w:val="clear" w:color="auto" w:fill="auto"/>
            <w:vAlign w:val="center"/>
          </w:tcPr>
          <w:p w14:paraId="4DFBA6E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1950" w:type="dxa"/>
            <w:tcBorders>
              <w:top w:val="nil"/>
              <w:left w:val="nil"/>
              <w:bottom w:val="single" w:color="auto" w:sz="4" w:space="0"/>
              <w:right w:val="single" w:color="auto" w:sz="4" w:space="0"/>
            </w:tcBorders>
            <w:shd w:val="clear" w:color="auto" w:fill="auto"/>
            <w:vAlign w:val="center"/>
          </w:tcPr>
          <w:p w14:paraId="261970E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1D763D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71734B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19</w:t>
            </w:r>
          </w:p>
        </w:tc>
        <w:tc>
          <w:tcPr>
            <w:tcW w:w="967" w:type="dxa"/>
            <w:tcBorders>
              <w:top w:val="nil"/>
              <w:left w:val="nil"/>
              <w:bottom w:val="single" w:color="auto" w:sz="4" w:space="0"/>
              <w:right w:val="single" w:color="auto" w:sz="4" w:space="0"/>
            </w:tcBorders>
            <w:shd w:val="clear" w:color="auto" w:fill="auto"/>
            <w:vAlign w:val="center"/>
          </w:tcPr>
          <w:p w14:paraId="55F7029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7ED982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三通</w:t>
            </w:r>
          </w:p>
        </w:tc>
        <w:tc>
          <w:tcPr>
            <w:tcW w:w="2597" w:type="dxa"/>
            <w:tcBorders>
              <w:top w:val="nil"/>
              <w:left w:val="nil"/>
              <w:bottom w:val="single" w:color="auto" w:sz="4" w:space="0"/>
              <w:right w:val="single" w:color="auto" w:sz="4" w:space="0"/>
            </w:tcBorders>
            <w:shd w:val="clear" w:color="auto" w:fill="auto"/>
            <w:vAlign w:val="center"/>
          </w:tcPr>
          <w:p w14:paraId="786180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De90xDe90</w:t>
            </w:r>
          </w:p>
        </w:tc>
        <w:tc>
          <w:tcPr>
            <w:tcW w:w="672" w:type="dxa"/>
            <w:tcBorders>
              <w:top w:val="nil"/>
              <w:left w:val="nil"/>
              <w:bottom w:val="single" w:color="auto" w:sz="4" w:space="0"/>
              <w:right w:val="single" w:color="auto" w:sz="4" w:space="0"/>
            </w:tcBorders>
            <w:shd w:val="clear" w:color="auto" w:fill="auto"/>
            <w:vAlign w:val="center"/>
          </w:tcPr>
          <w:p w14:paraId="3572FD2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5011BFA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103DB8D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780" w:type="dxa"/>
            <w:tcBorders>
              <w:top w:val="nil"/>
              <w:left w:val="nil"/>
              <w:bottom w:val="single" w:color="auto" w:sz="4" w:space="0"/>
              <w:right w:val="single" w:color="auto" w:sz="4" w:space="0"/>
            </w:tcBorders>
            <w:shd w:val="clear" w:color="auto" w:fill="auto"/>
            <w:vAlign w:val="center"/>
          </w:tcPr>
          <w:p w14:paraId="7619441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32</w:t>
            </w:r>
          </w:p>
        </w:tc>
        <w:tc>
          <w:tcPr>
            <w:tcW w:w="1950" w:type="dxa"/>
            <w:tcBorders>
              <w:top w:val="nil"/>
              <w:left w:val="nil"/>
              <w:bottom w:val="single" w:color="auto" w:sz="4" w:space="0"/>
              <w:right w:val="single" w:color="auto" w:sz="4" w:space="0"/>
            </w:tcBorders>
            <w:shd w:val="clear" w:color="auto" w:fill="auto"/>
            <w:vAlign w:val="center"/>
          </w:tcPr>
          <w:p w14:paraId="0147BF4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80E9AE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00524C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967" w:type="dxa"/>
            <w:tcBorders>
              <w:top w:val="nil"/>
              <w:left w:val="nil"/>
              <w:bottom w:val="single" w:color="auto" w:sz="4" w:space="0"/>
              <w:right w:val="single" w:color="auto" w:sz="4" w:space="0"/>
            </w:tcBorders>
            <w:shd w:val="clear" w:color="auto" w:fill="auto"/>
            <w:vAlign w:val="center"/>
          </w:tcPr>
          <w:p w14:paraId="66D1BCB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5BD5D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均匀分布器</w:t>
            </w:r>
          </w:p>
        </w:tc>
        <w:tc>
          <w:tcPr>
            <w:tcW w:w="2597" w:type="dxa"/>
            <w:tcBorders>
              <w:top w:val="nil"/>
              <w:left w:val="nil"/>
              <w:bottom w:val="single" w:color="auto" w:sz="4" w:space="0"/>
              <w:right w:val="single" w:color="auto" w:sz="4" w:space="0"/>
            </w:tcBorders>
            <w:shd w:val="clear" w:color="auto" w:fill="auto"/>
            <w:vAlign w:val="center"/>
          </w:tcPr>
          <w:p w14:paraId="10D899E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TV-Ⅱ，Φ200，2.96m3/h</w:t>
            </w:r>
          </w:p>
        </w:tc>
        <w:tc>
          <w:tcPr>
            <w:tcW w:w="672" w:type="dxa"/>
            <w:tcBorders>
              <w:top w:val="nil"/>
              <w:left w:val="nil"/>
              <w:bottom w:val="single" w:color="auto" w:sz="4" w:space="0"/>
              <w:right w:val="single" w:color="auto" w:sz="4" w:space="0"/>
            </w:tcBorders>
            <w:shd w:val="clear" w:color="auto" w:fill="auto"/>
            <w:vAlign w:val="center"/>
          </w:tcPr>
          <w:p w14:paraId="233EBF8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2B585A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41741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112</w:t>
            </w:r>
          </w:p>
        </w:tc>
        <w:tc>
          <w:tcPr>
            <w:tcW w:w="780" w:type="dxa"/>
            <w:tcBorders>
              <w:top w:val="nil"/>
              <w:left w:val="nil"/>
              <w:bottom w:val="single" w:color="auto" w:sz="4" w:space="0"/>
              <w:right w:val="single" w:color="auto" w:sz="4" w:space="0"/>
            </w:tcBorders>
            <w:shd w:val="clear" w:color="auto" w:fill="auto"/>
            <w:vAlign w:val="center"/>
          </w:tcPr>
          <w:p w14:paraId="1246999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112</w:t>
            </w:r>
          </w:p>
        </w:tc>
        <w:tc>
          <w:tcPr>
            <w:tcW w:w="1950" w:type="dxa"/>
            <w:tcBorders>
              <w:top w:val="nil"/>
              <w:left w:val="nil"/>
              <w:bottom w:val="single" w:color="auto" w:sz="4" w:space="0"/>
              <w:right w:val="single" w:color="auto" w:sz="4" w:space="0"/>
            </w:tcBorders>
            <w:shd w:val="clear" w:color="auto" w:fill="auto"/>
            <w:vAlign w:val="center"/>
          </w:tcPr>
          <w:p w14:paraId="529D7D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EF1750">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AF6DF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21</w:t>
            </w:r>
          </w:p>
        </w:tc>
        <w:tc>
          <w:tcPr>
            <w:tcW w:w="967" w:type="dxa"/>
            <w:tcBorders>
              <w:top w:val="nil"/>
              <w:left w:val="nil"/>
              <w:bottom w:val="single" w:color="auto" w:sz="4" w:space="0"/>
              <w:right w:val="single" w:color="auto" w:sz="4" w:space="0"/>
            </w:tcBorders>
            <w:shd w:val="clear" w:color="auto" w:fill="auto"/>
            <w:noWrap/>
            <w:vAlign w:val="center"/>
          </w:tcPr>
          <w:p w14:paraId="1210D10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12A9EC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2597" w:type="dxa"/>
            <w:tcBorders>
              <w:top w:val="nil"/>
              <w:left w:val="nil"/>
              <w:bottom w:val="single" w:color="auto" w:sz="4" w:space="0"/>
              <w:right w:val="single" w:color="auto" w:sz="4" w:space="0"/>
            </w:tcBorders>
            <w:shd w:val="clear" w:color="auto" w:fill="auto"/>
            <w:vAlign w:val="center"/>
          </w:tcPr>
          <w:p w14:paraId="591828D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De110，PN10</w:t>
            </w:r>
          </w:p>
        </w:tc>
        <w:tc>
          <w:tcPr>
            <w:tcW w:w="672" w:type="dxa"/>
            <w:tcBorders>
              <w:top w:val="nil"/>
              <w:left w:val="nil"/>
              <w:bottom w:val="single" w:color="auto" w:sz="4" w:space="0"/>
              <w:right w:val="single" w:color="auto" w:sz="4" w:space="0"/>
            </w:tcBorders>
            <w:shd w:val="clear" w:color="auto" w:fill="auto"/>
            <w:vAlign w:val="center"/>
          </w:tcPr>
          <w:p w14:paraId="0783CE7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579" w:type="dxa"/>
            <w:tcBorders>
              <w:top w:val="nil"/>
              <w:left w:val="nil"/>
              <w:bottom w:val="single" w:color="auto" w:sz="4" w:space="0"/>
              <w:right w:val="single" w:color="auto" w:sz="4" w:space="0"/>
            </w:tcBorders>
            <w:shd w:val="clear" w:color="auto" w:fill="auto"/>
            <w:vAlign w:val="center"/>
          </w:tcPr>
          <w:p w14:paraId="1E6A01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0EC9FE5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780" w:type="dxa"/>
            <w:tcBorders>
              <w:top w:val="nil"/>
              <w:left w:val="nil"/>
              <w:bottom w:val="single" w:color="auto" w:sz="4" w:space="0"/>
              <w:right w:val="single" w:color="auto" w:sz="4" w:space="0"/>
            </w:tcBorders>
            <w:shd w:val="clear" w:color="auto" w:fill="auto"/>
            <w:vAlign w:val="center"/>
          </w:tcPr>
          <w:p w14:paraId="434C86F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1950" w:type="dxa"/>
            <w:tcBorders>
              <w:top w:val="nil"/>
              <w:left w:val="nil"/>
              <w:bottom w:val="single" w:color="auto" w:sz="4" w:space="0"/>
              <w:right w:val="single" w:color="auto" w:sz="4" w:space="0"/>
            </w:tcBorders>
            <w:shd w:val="clear" w:color="auto" w:fill="auto"/>
            <w:vAlign w:val="center"/>
          </w:tcPr>
          <w:p w14:paraId="303EB5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122D3114">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D19AC3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22</w:t>
            </w:r>
          </w:p>
        </w:tc>
        <w:tc>
          <w:tcPr>
            <w:tcW w:w="967" w:type="dxa"/>
            <w:tcBorders>
              <w:top w:val="nil"/>
              <w:left w:val="nil"/>
              <w:bottom w:val="single" w:color="auto" w:sz="4" w:space="0"/>
              <w:right w:val="single" w:color="auto" w:sz="4" w:space="0"/>
            </w:tcBorders>
            <w:shd w:val="clear" w:color="auto" w:fill="auto"/>
            <w:vAlign w:val="center"/>
          </w:tcPr>
          <w:p w14:paraId="2B5CD42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5157AF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2597" w:type="dxa"/>
            <w:tcBorders>
              <w:top w:val="nil"/>
              <w:left w:val="nil"/>
              <w:bottom w:val="single" w:color="auto" w:sz="4" w:space="0"/>
              <w:right w:val="single" w:color="auto" w:sz="4" w:space="0"/>
            </w:tcBorders>
            <w:shd w:val="clear" w:color="auto" w:fill="auto"/>
            <w:vAlign w:val="center"/>
          </w:tcPr>
          <w:p w14:paraId="6155D46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356037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579" w:type="dxa"/>
            <w:tcBorders>
              <w:top w:val="nil"/>
              <w:left w:val="nil"/>
              <w:bottom w:val="single" w:color="auto" w:sz="4" w:space="0"/>
              <w:right w:val="single" w:color="auto" w:sz="4" w:space="0"/>
            </w:tcBorders>
            <w:shd w:val="clear" w:color="auto" w:fill="auto"/>
            <w:vAlign w:val="center"/>
          </w:tcPr>
          <w:p w14:paraId="493C000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00F46D3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45</w:t>
            </w:r>
          </w:p>
        </w:tc>
        <w:tc>
          <w:tcPr>
            <w:tcW w:w="780" w:type="dxa"/>
            <w:tcBorders>
              <w:top w:val="nil"/>
              <w:left w:val="nil"/>
              <w:bottom w:val="single" w:color="auto" w:sz="4" w:space="0"/>
              <w:right w:val="single" w:color="auto" w:sz="4" w:space="0"/>
            </w:tcBorders>
            <w:shd w:val="clear" w:color="auto" w:fill="auto"/>
            <w:vAlign w:val="center"/>
          </w:tcPr>
          <w:p w14:paraId="26134B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90</w:t>
            </w:r>
          </w:p>
        </w:tc>
        <w:tc>
          <w:tcPr>
            <w:tcW w:w="1950" w:type="dxa"/>
            <w:tcBorders>
              <w:top w:val="nil"/>
              <w:left w:val="nil"/>
              <w:bottom w:val="single" w:color="auto" w:sz="4" w:space="0"/>
              <w:right w:val="single" w:color="auto" w:sz="4" w:space="0"/>
            </w:tcBorders>
            <w:shd w:val="clear" w:color="auto" w:fill="auto"/>
            <w:vAlign w:val="center"/>
          </w:tcPr>
          <w:p w14:paraId="50AF3A2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46D2838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F99575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967" w:type="dxa"/>
            <w:tcBorders>
              <w:top w:val="nil"/>
              <w:left w:val="nil"/>
              <w:bottom w:val="single" w:color="auto" w:sz="4" w:space="0"/>
              <w:right w:val="single" w:color="auto" w:sz="4" w:space="0"/>
            </w:tcBorders>
            <w:shd w:val="clear" w:color="auto" w:fill="auto"/>
            <w:vAlign w:val="center"/>
          </w:tcPr>
          <w:p w14:paraId="5F858D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50D17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4AE5784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6559722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56F1563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1787AF3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182</w:t>
            </w:r>
          </w:p>
        </w:tc>
        <w:tc>
          <w:tcPr>
            <w:tcW w:w="780" w:type="dxa"/>
            <w:tcBorders>
              <w:top w:val="nil"/>
              <w:left w:val="nil"/>
              <w:bottom w:val="single" w:color="auto" w:sz="4" w:space="0"/>
              <w:right w:val="single" w:color="auto" w:sz="4" w:space="0"/>
            </w:tcBorders>
            <w:shd w:val="clear" w:color="auto" w:fill="auto"/>
            <w:vAlign w:val="center"/>
          </w:tcPr>
          <w:p w14:paraId="24999B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364</w:t>
            </w:r>
          </w:p>
        </w:tc>
        <w:tc>
          <w:tcPr>
            <w:tcW w:w="1950" w:type="dxa"/>
            <w:tcBorders>
              <w:top w:val="nil"/>
              <w:left w:val="nil"/>
              <w:bottom w:val="single" w:color="auto" w:sz="4" w:space="0"/>
              <w:right w:val="single" w:color="auto" w:sz="4" w:space="0"/>
            </w:tcBorders>
            <w:shd w:val="clear" w:color="auto" w:fill="auto"/>
            <w:vAlign w:val="center"/>
          </w:tcPr>
          <w:p w14:paraId="6A5533B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D76393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0D66D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967" w:type="dxa"/>
            <w:tcBorders>
              <w:top w:val="nil"/>
              <w:left w:val="nil"/>
              <w:bottom w:val="single" w:color="auto" w:sz="4" w:space="0"/>
              <w:right w:val="single" w:color="auto" w:sz="4" w:space="0"/>
            </w:tcBorders>
            <w:shd w:val="clear" w:color="auto" w:fill="auto"/>
            <w:vAlign w:val="center"/>
          </w:tcPr>
          <w:p w14:paraId="742C82B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20BC84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487181B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De32，PN10</w:t>
            </w:r>
          </w:p>
        </w:tc>
        <w:tc>
          <w:tcPr>
            <w:tcW w:w="672" w:type="dxa"/>
            <w:tcBorders>
              <w:top w:val="nil"/>
              <w:left w:val="nil"/>
              <w:bottom w:val="single" w:color="auto" w:sz="4" w:space="0"/>
              <w:right w:val="single" w:color="auto" w:sz="4" w:space="0"/>
            </w:tcBorders>
            <w:shd w:val="clear" w:color="auto" w:fill="auto"/>
            <w:vAlign w:val="center"/>
          </w:tcPr>
          <w:p w14:paraId="387309D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242442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4E3A8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176</w:t>
            </w:r>
          </w:p>
        </w:tc>
        <w:tc>
          <w:tcPr>
            <w:tcW w:w="780" w:type="dxa"/>
            <w:tcBorders>
              <w:top w:val="nil"/>
              <w:left w:val="nil"/>
              <w:bottom w:val="single" w:color="auto" w:sz="4" w:space="0"/>
              <w:right w:val="single" w:color="auto" w:sz="4" w:space="0"/>
            </w:tcBorders>
            <w:shd w:val="clear" w:color="auto" w:fill="auto"/>
            <w:vAlign w:val="center"/>
          </w:tcPr>
          <w:p w14:paraId="4C1DA54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353</w:t>
            </w:r>
          </w:p>
        </w:tc>
        <w:tc>
          <w:tcPr>
            <w:tcW w:w="1950" w:type="dxa"/>
            <w:tcBorders>
              <w:top w:val="nil"/>
              <w:left w:val="nil"/>
              <w:bottom w:val="single" w:color="auto" w:sz="4" w:space="0"/>
              <w:right w:val="single" w:color="auto" w:sz="4" w:space="0"/>
            </w:tcBorders>
            <w:shd w:val="clear" w:color="auto" w:fill="auto"/>
            <w:vAlign w:val="center"/>
          </w:tcPr>
          <w:p w14:paraId="3DAF6C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9FEA24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3E8CDA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25</w:t>
            </w:r>
          </w:p>
        </w:tc>
        <w:tc>
          <w:tcPr>
            <w:tcW w:w="967" w:type="dxa"/>
            <w:tcBorders>
              <w:top w:val="nil"/>
              <w:left w:val="nil"/>
              <w:bottom w:val="single" w:color="auto" w:sz="4" w:space="0"/>
              <w:right w:val="single" w:color="auto" w:sz="4" w:space="0"/>
            </w:tcBorders>
            <w:shd w:val="clear" w:color="auto" w:fill="auto"/>
            <w:vAlign w:val="center"/>
          </w:tcPr>
          <w:p w14:paraId="7827C9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D03B92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聚渣喷头</w:t>
            </w:r>
          </w:p>
        </w:tc>
        <w:tc>
          <w:tcPr>
            <w:tcW w:w="2597" w:type="dxa"/>
            <w:tcBorders>
              <w:top w:val="nil"/>
              <w:left w:val="nil"/>
              <w:bottom w:val="single" w:color="auto" w:sz="4" w:space="0"/>
              <w:right w:val="single" w:color="auto" w:sz="4" w:space="0"/>
            </w:tcBorders>
            <w:shd w:val="clear" w:color="auto" w:fill="auto"/>
            <w:vAlign w:val="center"/>
          </w:tcPr>
          <w:p w14:paraId="30B5C36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549161E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474434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5059025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64</w:t>
            </w:r>
          </w:p>
        </w:tc>
        <w:tc>
          <w:tcPr>
            <w:tcW w:w="780" w:type="dxa"/>
            <w:tcBorders>
              <w:top w:val="nil"/>
              <w:left w:val="nil"/>
              <w:bottom w:val="single" w:color="auto" w:sz="4" w:space="0"/>
              <w:right w:val="single" w:color="auto" w:sz="4" w:space="0"/>
            </w:tcBorders>
            <w:shd w:val="clear" w:color="auto" w:fill="auto"/>
            <w:vAlign w:val="center"/>
          </w:tcPr>
          <w:p w14:paraId="4948C7E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64</w:t>
            </w:r>
          </w:p>
        </w:tc>
        <w:tc>
          <w:tcPr>
            <w:tcW w:w="1950" w:type="dxa"/>
            <w:tcBorders>
              <w:top w:val="nil"/>
              <w:left w:val="nil"/>
              <w:bottom w:val="single" w:color="auto" w:sz="4" w:space="0"/>
              <w:right w:val="single" w:color="auto" w:sz="4" w:space="0"/>
            </w:tcBorders>
            <w:shd w:val="clear" w:color="auto" w:fill="auto"/>
            <w:noWrap/>
            <w:vAlign w:val="center"/>
          </w:tcPr>
          <w:p w14:paraId="0249738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981A8E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ED23A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26</w:t>
            </w:r>
          </w:p>
        </w:tc>
        <w:tc>
          <w:tcPr>
            <w:tcW w:w="967" w:type="dxa"/>
            <w:tcBorders>
              <w:top w:val="nil"/>
              <w:left w:val="nil"/>
              <w:bottom w:val="single" w:color="auto" w:sz="4" w:space="0"/>
              <w:right w:val="single" w:color="auto" w:sz="4" w:space="0"/>
            </w:tcBorders>
            <w:shd w:val="clear" w:color="auto" w:fill="auto"/>
            <w:vAlign w:val="center"/>
          </w:tcPr>
          <w:p w14:paraId="19F74A6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43C02C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浮渣清除器</w:t>
            </w:r>
          </w:p>
        </w:tc>
        <w:tc>
          <w:tcPr>
            <w:tcW w:w="2597" w:type="dxa"/>
            <w:tcBorders>
              <w:top w:val="nil"/>
              <w:left w:val="nil"/>
              <w:bottom w:val="single" w:color="auto" w:sz="4" w:space="0"/>
              <w:right w:val="single" w:color="auto" w:sz="4" w:space="0"/>
            </w:tcBorders>
            <w:shd w:val="clear" w:color="auto" w:fill="auto"/>
            <w:vAlign w:val="center"/>
          </w:tcPr>
          <w:p w14:paraId="1AA3F8A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46FD799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1458A9D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7379A8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19F2CF4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center"/>
          </w:tcPr>
          <w:p w14:paraId="57CB653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B3AA09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27ADE6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27</w:t>
            </w:r>
          </w:p>
        </w:tc>
        <w:tc>
          <w:tcPr>
            <w:tcW w:w="967" w:type="dxa"/>
            <w:tcBorders>
              <w:top w:val="nil"/>
              <w:left w:val="nil"/>
              <w:bottom w:val="single" w:color="auto" w:sz="4" w:space="0"/>
              <w:right w:val="single" w:color="auto" w:sz="4" w:space="0"/>
            </w:tcBorders>
            <w:shd w:val="clear" w:color="auto" w:fill="auto"/>
            <w:vAlign w:val="center"/>
          </w:tcPr>
          <w:p w14:paraId="240161B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84807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金属软管</w:t>
            </w:r>
          </w:p>
        </w:tc>
        <w:tc>
          <w:tcPr>
            <w:tcW w:w="2597" w:type="dxa"/>
            <w:tcBorders>
              <w:top w:val="nil"/>
              <w:left w:val="nil"/>
              <w:bottom w:val="single" w:color="auto" w:sz="4" w:space="0"/>
              <w:right w:val="single" w:color="auto" w:sz="4" w:space="0"/>
            </w:tcBorders>
            <w:shd w:val="clear" w:color="auto" w:fill="auto"/>
            <w:vAlign w:val="center"/>
          </w:tcPr>
          <w:p w14:paraId="7E1BE9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w:t>
            </w:r>
          </w:p>
        </w:tc>
        <w:tc>
          <w:tcPr>
            <w:tcW w:w="672" w:type="dxa"/>
            <w:tcBorders>
              <w:top w:val="nil"/>
              <w:left w:val="nil"/>
              <w:bottom w:val="single" w:color="auto" w:sz="4" w:space="0"/>
              <w:right w:val="single" w:color="auto" w:sz="4" w:space="0"/>
            </w:tcBorders>
            <w:shd w:val="clear" w:color="auto" w:fill="auto"/>
            <w:vAlign w:val="center"/>
          </w:tcPr>
          <w:p w14:paraId="5D40155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7EF3B96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2D7849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780" w:type="dxa"/>
            <w:tcBorders>
              <w:top w:val="nil"/>
              <w:left w:val="nil"/>
              <w:bottom w:val="single" w:color="auto" w:sz="4" w:space="0"/>
              <w:right w:val="single" w:color="auto" w:sz="4" w:space="0"/>
            </w:tcBorders>
            <w:shd w:val="clear" w:color="auto" w:fill="auto"/>
            <w:vAlign w:val="center"/>
          </w:tcPr>
          <w:p w14:paraId="516CB86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center"/>
          </w:tcPr>
          <w:p w14:paraId="6361FE3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B36F2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EF910A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28</w:t>
            </w:r>
          </w:p>
        </w:tc>
        <w:tc>
          <w:tcPr>
            <w:tcW w:w="967" w:type="dxa"/>
            <w:tcBorders>
              <w:top w:val="nil"/>
              <w:left w:val="nil"/>
              <w:bottom w:val="single" w:color="auto" w:sz="4" w:space="0"/>
              <w:right w:val="single" w:color="auto" w:sz="4" w:space="0"/>
            </w:tcBorders>
            <w:shd w:val="clear" w:color="auto" w:fill="auto"/>
            <w:vAlign w:val="center"/>
          </w:tcPr>
          <w:p w14:paraId="5BE46D9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2A178B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0329F3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084D834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5F464BC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1BD83F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126</w:t>
            </w:r>
          </w:p>
        </w:tc>
        <w:tc>
          <w:tcPr>
            <w:tcW w:w="780" w:type="dxa"/>
            <w:tcBorders>
              <w:top w:val="nil"/>
              <w:left w:val="nil"/>
              <w:bottom w:val="single" w:color="auto" w:sz="4" w:space="0"/>
              <w:right w:val="single" w:color="auto" w:sz="4" w:space="0"/>
            </w:tcBorders>
            <w:shd w:val="clear" w:color="auto" w:fill="auto"/>
            <w:vAlign w:val="center"/>
          </w:tcPr>
          <w:p w14:paraId="099C671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126</w:t>
            </w:r>
          </w:p>
        </w:tc>
        <w:tc>
          <w:tcPr>
            <w:tcW w:w="1950" w:type="dxa"/>
            <w:tcBorders>
              <w:top w:val="nil"/>
              <w:left w:val="nil"/>
              <w:bottom w:val="single" w:color="auto" w:sz="4" w:space="0"/>
              <w:right w:val="single" w:color="auto" w:sz="4" w:space="0"/>
            </w:tcBorders>
            <w:shd w:val="clear" w:color="auto" w:fill="auto"/>
            <w:noWrap/>
            <w:vAlign w:val="center"/>
          </w:tcPr>
          <w:p w14:paraId="067FA9C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24143A2">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3AD891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29</w:t>
            </w:r>
          </w:p>
        </w:tc>
        <w:tc>
          <w:tcPr>
            <w:tcW w:w="967" w:type="dxa"/>
            <w:tcBorders>
              <w:top w:val="nil"/>
              <w:left w:val="nil"/>
              <w:bottom w:val="single" w:color="auto" w:sz="4" w:space="0"/>
              <w:right w:val="single" w:color="auto" w:sz="4" w:space="0"/>
            </w:tcBorders>
            <w:shd w:val="clear" w:color="auto" w:fill="auto"/>
            <w:vAlign w:val="center"/>
          </w:tcPr>
          <w:p w14:paraId="5F938C5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5F0DDF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2597" w:type="dxa"/>
            <w:tcBorders>
              <w:top w:val="nil"/>
              <w:left w:val="nil"/>
              <w:bottom w:val="single" w:color="auto" w:sz="4" w:space="0"/>
              <w:right w:val="single" w:color="auto" w:sz="4" w:space="0"/>
            </w:tcBorders>
            <w:shd w:val="clear" w:color="auto" w:fill="auto"/>
            <w:vAlign w:val="center"/>
          </w:tcPr>
          <w:p w14:paraId="09ABCDD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35AE358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579" w:type="dxa"/>
            <w:tcBorders>
              <w:top w:val="nil"/>
              <w:left w:val="nil"/>
              <w:bottom w:val="single" w:color="auto" w:sz="4" w:space="0"/>
              <w:right w:val="single" w:color="auto" w:sz="4" w:space="0"/>
            </w:tcBorders>
            <w:shd w:val="clear" w:color="auto" w:fill="auto"/>
            <w:vAlign w:val="center"/>
          </w:tcPr>
          <w:p w14:paraId="46259FF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65A3103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75</w:t>
            </w:r>
          </w:p>
        </w:tc>
        <w:tc>
          <w:tcPr>
            <w:tcW w:w="780" w:type="dxa"/>
            <w:tcBorders>
              <w:top w:val="nil"/>
              <w:left w:val="nil"/>
              <w:bottom w:val="single" w:color="auto" w:sz="4" w:space="0"/>
              <w:right w:val="single" w:color="auto" w:sz="4" w:space="0"/>
            </w:tcBorders>
            <w:shd w:val="clear" w:color="auto" w:fill="auto"/>
            <w:vAlign w:val="center"/>
          </w:tcPr>
          <w:p w14:paraId="2FB217F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75</w:t>
            </w:r>
          </w:p>
        </w:tc>
        <w:tc>
          <w:tcPr>
            <w:tcW w:w="1950" w:type="dxa"/>
            <w:tcBorders>
              <w:top w:val="nil"/>
              <w:left w:val="nil"/>
              <w:bottom w:val="single" w:color="auto" w:sz="4" w:space="0"/>
              <w:right w:val="single" w:color="auto" w:sz="4" w:space="0"/>
            </w:tcBorders>
            <w:shd w:val="clear" w:color="auto" w:fill="auto"/>
            <w:vAlign w:val="center"/>
          </w:tcPr>
          <w:p w14:paraId="77EE66F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1668B70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707613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30</w:t>
            </w:r>
          </w:p>
        </w:tc>
        <w:tc>
          <w:tcPr>
            <w:tcW w:w="967" w:type="dxa"/>
            <w:tcBorders>
              <w:top w:val="nil"/>
              <w:left w:val="nil"/>
              <w:bottom w:val="single" w:color="auto" w:sz="4" w:space="0"/>
              <w:right w:val="single" w:color="auto" w:sz="4" w:space="0"/>
            </w:tcBorders>
            <w:shd w:val="clear" w:color="auto" w:fill="auto"/>
            <w:vAlign w:val="center"/>
          </w:tcPr>
          <w:p w14:paraId="7B840F3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E1D9BF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排渣泵</w:t>
            </w:r>
          </w:p>
        </w:tc>
        <w:tc>
          <w:tcPr>
            <w:tcW w:w="2597" w:type="dxa"/>
            <w:tcBorders>
              <w:top w:val="nil"/>
              <w:left w:val="nil"/>
              <w:bottom w:val="single" w:color="auto" w:sz="4" w:space="0"/>
              <w:right w:val="single" w:color="auto" w:sz="4" w:space="0"/>
            </w:tcBorders>
            <w:shd w:val="clear" w:color="auto" w:fill="auto"/>
            <w:vAlign w:val="center"/>
          </w:tcPr>
          <w:p w14:paraId="44C2C22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2m3/min P=4Kw</w:t>
            </w:r>
          </w:p>
        </w:tc>
        <w:tc>
          <w:tcPr>
            <w:tcW w:w="672" w:type="dxa"/>
            <w:tcBorders>
              <w:top w:val="nil"/>
              <w:left w:val="nil"/>
              <w:bottom w:val="single" w:color="auto" w:sz="4" w:space="0"/>
              <w:right w:val="single" w:color="auto" w:sz="4" w:space="0"/>
            </w:tcBorders>
            <w:shd w:val="clear" w:color="auto" w:fill="auto"/>
            <w:vAlign w:val="center"/>
          </w:tcPr>
          <w:p w14:paraId="26AE69E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6A9856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17904D0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77D31A3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noWrap/>
            <w:vAlign w:val="bottom"/>
          </w:tcPr>
          <w:p w14:paraId="14DCD3E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4B8B7C3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5B8EF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31</w:t>
            </w:r>
          </w:p>
        </w:tc>
        <w:tc>
          <w:tcPr>
            <w:tcW w:w="967" w:type="dxa"/>
            <w:tcBorders>
              <w:top w:val="nil"/>
              <w:left w:val="nil"/>
              <w:bottom w:val="single" w:color="auto" w:sz="4" w:space="0"/>
              <w:right w:val="single" w:color="auto" w:sz="4" w:space="0"/>
            </w:tcBorders>
            <w:shd w:val="clear" w:color="auto" w:fill="auto"/>
            <w:vAlign w:val="center"/>
          </w:tcPr>
          <w:p w14:paraId="0C85499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ABD2EF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聚渣槽</w:t>
            </w:r>
          </w:p>
        </w:tc>
        <w:tc>
          <w:tcPr>
            <w:tcW w:w="2597" w:type="dxa"/>
            <w:tcBorders>
              <w:top w:val="nil"/>
              <w:left w:val="nil"/>
              <w:bottom w:val="single" w:color="auto" w:sz="4" w:space="0"/>
              <w:right w:val="single" w:color="auto" w:sz="4" w:space="0"/>
            </w:tcBorders>
            <w:shd w:val="clear" w:color="auto" w:fill="auto"/>
            <w:vAlign w:val="center"/>
          </w:tcPr>
          <w:p w14:paraId="4B9CF7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w:t>
            </w:r>
          </w:p>
        </w:tc>
        <w:tc>
          <w:tcPr>
            <w:tcW w:w="672" w:type="dxa"/>
            <w:tcBorders>
              <w:top w:val="nil"/>
              <w:left w:val="nil"/>
              <w:bottom w:val="single" w:color="auto" w:sz="4" w:space="0"/>
              <w:right w:val="single" w:color="auto" w:sz="4" w:space="0"/>
            </w:tcBorders>
            <w:shd w:val="clear" w:color="auto" w:fill="auto"/>
            <w:vAlign w:val="center"/>
          </w:tcPr>
          <w:p w14:paraId="1A421F9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7A00FB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6E25905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1F249E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1950" w:type="dxa"/>
            <w:tcBorders>
              <w:top w:val="nil"/>
              <w:left w:val="nil"/>
              <w:bottom w:val="single" w:color="auto" w:sz="4" w:space="0"/>
              <w:right w:val="single" w:color="auto" w:sz="4" w:space="0"/>
            </w:tcBorders>
            <w:shd w:val="clear" w:color="auto" w:fill="auto"/>
            <w:noWrap/>
            <w:vAlign w:val="bottom"/>
          </w:tcPr>
          <w:p w14:paraId="22AC6C5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037A48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noWrap/>
            <w:vAlign w:val="bottom"/>
          </w:tcPr>
          <w:p w14:paraId="299F407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第四水厂</w:t>
            </w:r>
          </w:p>
        </w:tc>
        <w:tc>
          <w:tcPr>
            <w:tcW w:w="967" w:type="dxa"/>
            <w:tcBorders>
              <w:top w:val="nil"/>
              <w:left w:val="nil"/>
              <w:bottom w:val="single" w:color="auto" w:sz="4" w:space="0"/>
              <w:right w:val="single" w:color="auto" w:sz="4" w:space="0"/>
            </w:tcBorders>
            <w:shd w:val="clear" w:color="auto" w:fill="auto"/>
            <w:vAlign w:val="center"/>
          </w:tcPr>
          <w:p w14:paraId="11D1F93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073D89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2597" w:type="dxa"/>
            <w:tcBorders>
              <w:top w:val="nil"/>
              <w:left w:val="nil"/>
              <w:bottom w:val="single" w:color="auto" w:sz="4" w:space="0"/>
              <w:right w:val="single" w:color="auto" w:sz="4" w:space="0"/>
            </w:tcBorders>
            <w:shd w:val="clear" w:color="auto" w:fill="auto"/>
            <w:noWrap/>
            <w:vAlign w:val="center"/>
          </w:tcPr>
          <w:p w14:paraId="4D00499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06BA54F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noWrap/>
            <w:vAlign w:val="center"/>
          </w:tcPr>
          <w:p w14:paraId="33FB613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915" w:type="dxa"/>
            <w:tcBorders>
              <w:top w:val="nil"/>
              <w:left w:val="nil"/>
              <w:bottom w:val="single" w:color="auto" w:sz="4" w:space="0"/>
              <w:right w:val="single" w:color="auto" w:sz="4" w:space="0"/>
            </w:tcBorders>
            <w:shd w:val="clear" w:color="auto" w:fill="auto"/>
            <w:noWrap/>
            <w:vAlign w:val="bottom"/>
          </w:tcPr>
          <w:p w14:paraId="23F3EB5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780" w:type="dxa"/>
            <w:tcBorders>
              <w:top w:val="nil"/>
              <w:left w:val="nil"/>
              <w:bottom w:val="single" w:color="auto" w:sz="4" w:space="0"/>
              <w:right w:val="single" w:color="auto" w:sz="4" w:space="0"/>
            </w:tcBorders>
            <w:shd w:val="clear" w:color="auto" w:fill="auto"/>
            <w:noWrap/>
            <w:vAlign w:val="bottom"/>
          </w:tcPr>
          <w:p w14:paraId="516C5F5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1950" w:type="dxa"/>
            <w:tcBorders>
              <w:top w:val="nil"/>
              <w:left w:val="nil"/>
              <w:bottom w:val="single" w:color="auto" w:sz="4" w:space="0"/>
              <w:right w:val="single" w:color="auto" w:sz="4" w:space="0"/>
            </w:tcBorders>
            <w:shd w:val="clear" w:color="auto" w:fill="auto"/>
            <w:noWrap/>
            <w:vAlign w:val="bottom"/>
          </w:tcPr>
          <w:p w14:paraId="4E2C815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CDD845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B80647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967" w:type="dxa"/>
            <w:tcBorders>
              <w:top w:val="nil"/>
              <w:left w:val="nil"/>
              <w:bottom w:val="single" w:color="auto" w:sz="4" w:space="0"/>
              <w:right w:val="single" w:color="auto" w:sz="4" w:space="0"/>
            </w:tcBorders>
            <w:shd w:val="clear" w:color="auto" w:fill="auto"/>
            <w:noWrap/>
            <w:vAlign w:val="bottom"/>
          </w:tcPr>
          <w:p w14:paraId="734527D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C160B0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不停水开口</w:t>
            </w:r>
          </w:p>
        </w:tc>
        <w:tc>
          <w:tcPr>
            <w:tcW w:w="2597" w:type="dxa"/>
            <w:tcBorders>
              <w:top w:val="nil"/>
              <w:left w:val="nil"/>
              <w:bottom w:val="single" w:color="auto" w:sz="4" w:space="0"/>
              <w:right w:val="single" w:color="auto" w:sz="4" w:space="0"/>
            </w:tcBorders>
            <w:shd w:val="clear" w:color="auto" w:fill="auto"/>
            <w:vAlign w:val="center"/>
          </w:tcPr>
          <w:p w14:paraId="392C139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DN900xDN200</w:t>
            </w:r>
          </w:p>
        </w:tc>
        <w:tc>
          <w:tcPr>
            <w:tcW w:w="672" w:type="dxa"/>
            <w:tcBorders>
              <w:top w:val="nil"/>
              <w:left w:val="nil"/>
              <w:bottom w:val="single" w:color="auto" w:sz="4" w:space="0"/>
              <w:right w:val="single" w:color="auto" w:sz="4" w:space="0"/>
            </w:tcBorders>
            <w:shd w:val="clear" w:color="auto" w:fill="auto"/>
            <w:vAlign w:val="center"/>
          </w:tcPr>
          <w:p w14:paraId="022F22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435D60D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0795CB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73148FB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bottom"/>
          </w:tcPr>
          <w:p w14:paraId="541153D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F384873">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94C6AF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967" w:type="dxa"/>
            <w:tcBorders>
              <w:top w:val="nil"/>
              <w:left w:val="nil"/>
              <w:bottom w:val="single" w:color="auto" w:sz="4" w:space="0"/>
              <w:right w:val="single" w:color="auto" w:sz="4" w:space="0"/>
            </w:tcBorders>
            <w:shd w:val="clear" w:color="auto" w:fill="auto"/>
            <w:noWrap/>
            <w:vAlign w:val="bottom"/>
          </w:tcPr>
          <w:p w14:paraId="70954E3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34AD85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焊接钢管</w:t>
            </w:r>
          </w:p>
        </w:tc>
        <w:tc>
          <w:tcPr>
            <w:tcW w:w="2597" w:type="dxa"/>
            <w:tcBorders>
              <w:top w:val="nil"/>
              <w:left w:val="nil"/>
              <w:bottom w:val="single" w:color="auto" w:sz="4" w:space="0"/>
              <w:right w:val="single" w:color="auto" w:sz="4" w:space="0"/>
            </w:tcBorders>
            <w:shd w:val="clear" w:color="auto" w:fill="auto"/>
            <w:vAlign w:val="center"/>
          </w:tcPr>
          <w:p w14:paraId="2042AD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DN200，δ=6mm</w:t>
            </w:r>
          </w:p>
        </w:tc>
        <w:tc>
          <w:tcPr>
            <w:tcW w:w="672" w:type="dxa"/>
            <w:tcBorders>
              <w:top w:val="nil"/>
              <w:left w:val="nil"/>
              <w:bottom w:val="single" w:color="auto" w:sz="4" w:space="0"/>
              <w:right w:val="single" w:color="auto" w:sz="4" w:space="0"/>
            </w:tcBorders>
            <w:shd w:val="clear" w:color="auto" w:fill="auto"/>
            <w:vAlign w:val="center"/>
          </w:tcPr>
          <w:p w14:paraId="74DDCE7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E203B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3A3748A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25</w:t>
            </w:r>
          </w:p>
        </w:tc>
        <w:tc>
          <w:tcPr>
            <w:tcW w:w="780" w:type="dxa"/>
            <w:tcBorders>
              <w:top w:val="nil"/>
              <w:left w:val="nil"/>
              <w:bottom w:val="single" w:color="auto" w:sz="4" w:space="0"/>
              <w:right w:val="single" w:color="auto" w:sz="4" w:space="0"/>
            </w:tcBorders>
            <w:shd w:val="clear" w:color="auto" w:fill="auto"/>
            <w:vAlign w:val="center"/>
          </w:tcPr>
          <w:p w14:paraId="00C0B4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100</w:t>
            </w:r>
          </w:p>
        </w:tc>
        <w:tc>
          <w:tcPr>
            <w:tcW w:w="1950" w:type="dxa"/>
            <w:tcBorders>
              <w:top w:val="nil"/>
              <w:left w:val="nil"/>
              <w:bottom w:val="single" w:color="auto" w:sz="4" w:space="0"/>
              <w:right w:val="single" w:color="auto" w:sz="4" w:space="0"/>
            </w:tcBorders>
            <w:shd w:val="clear" w:color="auto" w:fill="auto"/>
            <w:vAlign w:val="center"/>
          </w:tcPr>
          <w:p w14:paraId="247CA3C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637CAB8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0D9E77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w:t>
            </w:r>
          </w:p>
        </w:tc>
        <w:tc>
          <w:tcPr>
            <w:tcW w:w="967" w:type="dxa"/>
            <w:tcBorders>
              <w:top w:val="nil"/>
              <w:left w:val="nil"/>
              <w:bottom w:val="single" w:color="auto" w:sz="4" w:space="0"/>
              <w:right w:val="single" w:color="auto" w:sz="4" w:space="0"/>
            </w:tcBorders>
            <w:shd w:val="clear" w:color="auto" w:fill="auto"/>
            <w:noWrap/>
            <w:vAlign w:val="bottom"/>
          </w:tcPr>
          <w:p w14:paraId="69EB71B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7BA8F0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蝶阀</w:t>
            </w:r>
          </w:p>
        </w:tc>
        <w:tc>
          <w:tcPr>
            <w:tcW w:w="2597" w:type="dxa"/>
            <w:tcBorders>
              <w:top w:val="nil"/>
              <w:left w:val="nil"/>
              <w:bottom w:val="single" w:color="auto" w:sz="4" w:space="0"/>
              <w:right w:val="single" w:color="auto" w:sz="4" w:space="0"/>
            </w:tcBorders>
            <w:shd w:val="clear" w:color="auto" w:fill="auto"/>
            <w:vAlign w:val="center"/>
          </w:tcPr>
          <w:p w14:paraId="653B80B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 PN10</w:t>
            </w:r>
          </w:p>
        </w:tc>
        <w:tc>
          <w:tcPr>
            <w:tcW w:w="672" w:type="dxa"/>
            <w:tcBorders>
              <w:top w:val="nil"/>
              <w:left w:val="nil"/>
              <w:bottom w:val="single" w:color="auto" w:sz="4" w:space="0"/>
              <w:right w:val="single" w:color="auto" w:sz="4" w:space="0"/>
            </w:tcBorders>
            <w:shd w:val="clear" w:color="auto" w:fill="auto"/>
            <w:vAlign w:val="center"/>
          </w:tcPr>
          <w:p w14:paraId="3EC5DEB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10A86C4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7335038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4746A7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bottom"/>
          </w:tcPr>
          <w:p w14:paraId="1D56E7B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E87190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26A71D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967" w:type="dxa"/>
            <w:tcBorders>
              <w:top w:val="nil"/>
              <w:left w:val="nil"/>
              <w:bottom w:val="single" w:color="auto" w:sz="4" w:space="0"/>
              <w:right w:val="single" w:color="auto" w:sz="4" w:space="0"/>
            </w:tcBorders>
            <w:shd w:val="clear" w:color="auto" w:fill="auto"/>
            <w:noWrap/>
            <w:vAlign w:val="bottom"/>
          </w:tcPr>
          <w:p w14:paraId="4E93CF2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205CA83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缓闭式止回阀</w:t>
            </w:r>
          </w:p>
        </w:tc>
        <w:tc>
          <w:tcPr>
            <w:tcW w:w="2597" w:type="dxa"/>
            <w:tcBorders>
              <w:top w:val="nil"/>
              <w:left w:val="nil"/>
              <w:bottom w:val="single" w:color="auto" w:sz="4" w:space="0"/>
              <w:right w:val="single" w:color="auto" w:sz="4" w:space="0"/>
            </w:tcBorders>
            <w:shd w:val="clear" w:color="auto" w:fill="auto"/>
            <w:vAlign w:val="center"/>
          </w:tcPr>
          <w:p w14:paraId="7781C40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7052AD9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229FC85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E56503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31E541D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bottom"/>
          </w:tcPr>
          <w:p w14:paraId="7BF407A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3CF0C2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A5925E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w:t>
            </w:r>
          </w:p>
        </w:tc>
        <w:tc>
          <w:tcPr>
            <w:tcW w:w="967" w:type="dxa"/>
            <w:tcBorders>
              <w:top w:val="nil"/>
              <w:left w:val="nil"/>
              <w:bottom w:val="single" w:color="auto" w:sz="4" w:space="0"/>
              <w:right w:val="single" w:color="auto" w:sz="4" w:space="0"/>
            </w:tcBorders>
            <w:shd w:val="clear" w:color="auto" w:fill="auto"/>
            <w:noWrap/>
            <w:vAlign w:val="bottom"/>
          </w:tcPr>
          <w:p w14:paraId="36FC8E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27D639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66935CA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640A213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6E361AE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48A6EE9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552C89C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bottom"/>
          </w:tcPr>
          <w:p w14:paraId="5D08741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1B4E43D">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50A3D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w:t>
            </w:r>
          </w:p>
        </w:tc>
        <w:tc>
          <w:tcPr>
            <w:tcW w:w="967" w:type="dxa"/>
            <w:tcBorders>
              <w:top w:val="nil"/>
              <w:left w:val="nil"/>
              <w:bottom w:val="single" w:color="auto" w:sz="4" w:space="0"/>
              <w:right w:val="single" w:color="auto" w:sz="4" w:space="0"/>
            </w:tcBorders>
            <w:shd w:val="clear" w:color="auto" w:fill="auto"/>
            <w:noWrap/>
            <w:vAlign w:val="bottom"/>
          </w:tcPr>
          <w:p w14:paraId="3251768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E740C1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分流变频泵</w:t>
            </w:r>
          </w:p>
        </w:tc>
        <w:tc>
          <w:tcPr>
            <w:tcW w:w="2597" w:type="dxa"/>
            <w:tcBorders>
              <w:top w:val="nil"/>
              <w:left w:val="nil"/>
              <w:bottom w:val="single" w:color="auto" w:sz="4" w:space="0"/>
              <w:right w:val="single" w:color="auto" w:sz="4" w:space="0"/>
            </w:tcBorders>
            <w:shd w:val="clear" w:color="auto" w:fill="auto"/>
            <w:vAlign w:val="center"/>
          </w:tcPr>
          <w:p w14:paraId="2610228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Q=150m3/h,H=50m,P=37kw</w:t>
            </w:r>
          </w:p>
        </w:tc>
        <w:tc>
          <w:tcPr>
            <w:tcW w:w="672" w:type="dxa"/>
            <w:tcBorders>
              <w:top w:val="nil"/>
              <w:left w:val="nil"/>
              <w:bottom w:val="single" w:color="auto" w:sz="4" w:space="0"/>
              <w:right w:val="single" w:color="auto" w:sz="4" w:space="0"/>
            </w:tcBorders>
            <w:shd w:val="clear" w:color="auto" w:fill="auto"/>
            <w:vAlign w:val="center"/>
          </w:tcPr>
          <w:p w14:paraId="39B15F1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77EC128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19CABD6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337F998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409AD0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48A3A44F">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214170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w:t>
            </w:r>
          </w:p>
        </w:tc>
        <w:tc>
          <w:tcPr>
            <w:tcW w:w="967" w:type="dxa"/>
            <w:tcBorders>
              <w:top w:val="nil"/>
              <w:left w:val="nil"/>
              <w:bottom w:val="single" w:color="auto" w:sz="4" w:space="0"/>
              <w:right w:val="single" w:color="auto" w:sz="4" w:space="0"/>
            </w:tcBorders>
            <w:shd w:val="clear" w:color="auto" w:fill="auto"/>
            <w:noWrap/>
            <w:vAlign w:val="bottom"/>
          </w:tcPr>
          <w:p w14:paraId="6D7299C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0BB1C55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6DE992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Q=60m3/h，0.8mpa,P=7.5kw</w:t>
            </w:r>
          </w:p>
        </w:tc>
        <w:tc>
          <w:tcPr>
            <w:tcW w:w="672" w:type="dxa"/>
            <w:tcBorders>
              <w:top w:val="nil"/>
              <w:left w:val="nil"/>
              <w:bottom w:val="single" w:color="auto" w:sz="4" w:space="0"/>
              <w:right w:val="single" w:color="auto" w:sz="4" w:space="0"/>
            </w:tcBorders>
            <w:shd w:val="clear" w:color="auto" w:fill="auto"/>
            <w:vAlign w:val="center"/>
          </w:tcPr>
          <w:p w14:paraId="44A4054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622DDB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2E70A36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1F97717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12E62F6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w:t>
            </w:r>
          </w:p>
        </w:tc>
      </w:tr>
      <w:tr w14:paraId="0F10F30C">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2E699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967" w:type="dxa"/>
            <w:tcBorders>
              <w:top w:val="nil"/>
              <w:left w:val="nil"/>
              <w:bottom w:val="single" w:color="auto" w:sz="4" w:space="0"/>
              <w:right w:val="single" w:color="auto" w:sz="4" w:space="0"/>
            </w:tcBorders>
            <w:shd w:val="clear" w:color="auto" w:fill="auto"/>
            <w:noWrap/>
            <w:vAlign w:val="bottom"/>
          </w:tcPr>
          <w:p w14:paraId="659C26F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788705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溶气罐</w:t>
            </w:r>
          </w:p>
        </w:tc>
        <w:tc>
          <w:tcPr>
            <w:tcW w:w="2597" w:type="dxa"/>
            <w:tcBorders>
              <w:top w:val="nil"/>
              <w:left w:val="nil"/>
              <w:bottom w:val="single" w:color="auto" w:sz="4" w:space="0"/>
              <w:right w:val="single" w:color="auto" w:sz="4" w:space="0"/>
            </w:tcBorders>
            <w:shd w:val="clear" w:color="auto" w:fill="auto"/>
            <w:vAlign w:val="center"/>
          </w:tcPr>
          <w:p w14:paraId="6292EB9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V=6m3</w:t>
            </w:r>
          </w:p>
        </w:tc>
        <w:tc>
          <w:tcPr>
            <w:tcW w:w="672" w:type="dxa"/>
            <w:tcBorders>
              <w:top w:val="nil"/>
              <w:left w:val="nil"/>
              <w:bottom w:val="single" w:color="auto" w:sz="4" w:space="0"/>
              <w:right w:val="single" w:color="auto" w:sz="4" w:space="0"/>
            </w:tcBorders>
            <w:shd w:val="clear" w:color="auto" w:fill="auto"/>
            <w:vAlign w:val="center"/>
          </w:tcPr>
          <w:p w14:paraId="363C724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6484DD3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4F400A2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355D2A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vAlign w:val="center"/>
          </w:tcPr>
          <w:p w14:paraId="49406E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溶气系统设备，含压力表等附件</w:t>
            </w:r>
          </w:p>
        </w:tc>
      </w:tr>
      <w:tr w14:paraId="429B847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B6C86D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w:t>
            </w:r>
          </w:p>
        </w:tc>
        <w:tc>
          <w:tcPr>
            <w:tcW w:w="967" w:type="dxa"/>
            <w:tcBorders>
              <w:top w:val="nil"/>
              <w:left w:val="nil"/>
              <w:bottom w:val="single" w:color="auto" w:sz="4" w:space="0"/>
              <w:right w:val="single" w:color="auto" w:sz="4" w:space="0"/>
            </w:tcBorders>
            <w:shd w:val="clear" w:color="auto" w:fill="auto"/>
            <w:noWrap/>
            <w:vAlign w:val="bottom"/>
          </w:tcPr>
          <w:p w14:paraId="4B42859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743614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球阀</w:t>
            </w:r>
          </w:p>
        </w:tc>
        <w:tc>
          <w:tcPr>
            <w:tcW w:w="2597" w:type="dxa"/>
            <w:tcBorders>
              <w:top w:val="nil"/>
              <w:left w:val="nil"/>
              <w:bottom w:val="single" w:color="auto" w:sz="4" w:space="0"/>
              <w:right w:val="single" w:color="auto" w:sz="4" w:space="0"/>
            </w:tcBorders>
            <w:shd w:val="clear" w:color="auto" w:fill="auto"/>
            <w:vAlign w:val="center"/>
          </w:tcPr>
          <w:p w14:paraId="71AFB8A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DN200</w:t>
            </w:r>
          </w:p>
        </w:tc>
        <w:tc>
          <w:tcPr>
            <w:tcW w:w="672" w:type="dxa"/>
            <w:tcBorders>
              <w:top w:val="nil"/>
              <w:left w:val="nil"/>
              <w:bottom w:val="single" w:color="auto" w:sz="4" w:space="0"/>
              <w:right w:val="single" w:color="auto" w:sz="4" w:space="0"/>
            </w:tcBorders>
            <w:shd w:val="clear" w:color="auto" w:fill="auto"/>
            <w:vAlign w:val="center"/>
          </w:tcPr>
          <w:p w14:paraId="474DB0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06E49D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7A8215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55C676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bottom"/>
          </w:tcPr>
          <w:p w14:paraId="19B9582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59C196D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DFDEB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w:t>
            </w:r>
          </w:p>
        </w:tc>
        <w:tc>
          <w:tcPr>
            <w:tcW w:w="967" w:type="dxa"/>
            <w:tcBorders>
              <w:top w:val="nil"/>
              <w:left w:val="nil"/>
              <w:bottom w:val="single" w:color="auto" w:sz="4" w:space="0"/>
              <w:right w:val="single" w:color="auto" w:sz="4" w:space="0"/>
            </w:tcBorders>
            <w:shd w:val="clear" w:color="auto" w:fill="auto"/>
            <w:noWrap/>
            <w:vAlign w:val="bottom"/>
          </w:tcPr>
          <w:p w14:paraId="751D354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AF5FE2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44895C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De200，PN10</w:t>
            </w:r>
          </w:p>
        </w:tc>
        <w:tc>
          <w:tcPr>
            <w:tcW w:w="672" w:type="dxa"/>
            <w:tcBorders>
              <w:top w:val="nil"/>
              <w:left w:val="nil"/>
              <w:bottom w:val="single" w:color="auto" w:sz="4" w:space="0"/>
              <w:right w:val="single" w:color="auto" w:sz="4" w:space="0"/>
            </w:tcBorders>
            <w:shd w:val="clear" w:color="auto" w:fill="auto"/>
            <w:vAlign w:val="center"/>
          </w:tcPr>
          <w:p w14:paraId="60595D3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0B5766D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477605C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60</w:t>
            </w:r>
          </w:p>
        </w:tc>
        <w:tc>
          <w:tcPr>
            <w:tcW w:w="780" w:type="dxa"/>
            <w:tcBorders>
              <w:top w:val="nil"/>
              <w:left w:val="nil"/>
              <w:bottom w:val="single" w:color="auto" w:sz="4" w:space="0"/>
              <w:right w:val="single" w:color="auto" w:sz="4" w:space="0"/>
            </w:tcBorders>
            <w:shd w:val="clear" w:color="auto" w:fill="auto"/>
            <w:vAlign w:val="center"/>
          </w:tcPr>
          <w:p w14:paraId="0EC1C6A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240</w:t>
            </w:r>
          </w:p>
        </w:tc>
        <w:tc>
          <w:tcPr>
            <w:tcW w:w="1950" w:type="dxa"/>
            <w:tcBorders>
              <w:top w:val="nil"/>
              <w:left w:val="nil"/>
              <w:bottom w:val="single" w:color="auto" w:sz="4" w:space="0"/>
              <w:right w:val="single" w:color="auto" w:sz="4" w:space="0"/>
            </w:tcBorders>
            <w:shd w:val="clear" w:color="auto" w:fill="auto"/>
            <w:noWrap/>
            <w:vAlign w:val="bottom"/>
          </w:tcPr>
          <w:p w14:paraId="4F3B6E5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0773AB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56C87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11</w:t>
            </w:r>
          </w:p>
        </w:tc>
        <w:tc>
          <w:tcPr>
            <w:tcW w:w="967" w:type="dxa"/>
            <w:tcBorders>
              <w:top w:val="nil"/>
              <w:left w:val="nil"/>
              <w:bottom w:val="single" w:color="auto" w:sz="4" w:space="0"/>
              <w:right w:val="single" w:color="auto" w:sz="4" w:space="0"/>
            </w:tcBorders>
            <w:shd w:val="clear" w:color="auto" w:fill="auto"/>
            <w:noWrap/>
            <w:vAlign w:val="bottom"/>
          </w:tcPr>
          <w:p w14:paraId="7E513EB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665C622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060B09D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De110，PN10</w:t>
            </w:r>
          </w:p>
        </w:tc>
        <w:tc>
          <w:tcPr>
            <w:tcW w:w="672" w:type="dxa"/>
            <w:tcBorders>
              <w:top w:val="nil"/>
              <w:left w:val="nil"/>
              <w:bottom w:val="single" w:color="auto" w:sz="4" w:space="0"/>
              <w:right w:val="single" w:color="auto" w:sz="4" w:space="0"/>
            </w:tcBorders>
            <w:shd w:val="clear" w:color="auto" w:fill="auto"/>
            <w:vAlign w:val="center"/>
          </w:tcPr>
          <w:p w14:paraId="6756BD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69CD919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5ECF009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4BC97A3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noWrap/>
            <w:vAlign w:val="bottom"/>
          </w:tcPr>
          <w:p w14:paraId="22DB15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FCC350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B9990B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12</w:t>
            </w:r>
          </w:p>
        </w:tc>
        <w:tc>
          <w:tcPr>
            <w:tcW w:w="967" w:type="dxa"/>
            <w:tcBorders>
              <w:top w:val="nil"/>
              <w:left w:val="nil"/>
              <w:bottom w:val="single" w:color="auto" w:sz="4" w:space="0"/>
              <w:right w:val="single" w:color="auto" w:sz="4" w:space="0"/>
            </w:tcBorders>
            <w:shd w:val="clear" w:color="auto" w:fill="auto"/>
            <w:noWrap/>
            <w:vAlign w:val="bottom"/>
          </w:tcPr>
          <w:p w14:paraId="6BCAC65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CD6E0C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230090A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De90，PN10</w:t>
            </w:r>
          </w:p>
        </w:tc>
        <w:tc>
          <w:tcPr>
            <w:tcW w:w="672" w:type="dxa"/>
            <w:tcBorders>
              <w:top w:val="nil"/>
              <w:left w:val="nil"/>
              <w:bottom w:val="single" w:color="auto" w:sz="4" w:space="0"/>
              <w:right w:val="single" w:color="auto" w:sz="4" w:space="0"/>
            </w:tcBorders>
            <w:shd w:val="clear" w:color="auto" w:fill="auto"/>
            <w:vAlign w:val="center"/>
          </w:tcPr>
          <w:p w14:paraId="39E95E8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150969B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2EEA9A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108</w:t>
            </w:r>
          </w:p>
        </w:tc>
        <w:tc>
          <w:tcPr>
            <w:tcW w:w="780" w:type="dxa"/>
            <w:tcBorders>
              <w:top w:val="nil"/>
              <w:left w:val="nil"/>
              <w:bottom w:val="single" w:color="auto" w:sz="4" w:space="0"/>
              <w:right w:val="single" w:color="auto" w:sz="4" w:space="0"/>
            </w:tcBorders>
            <w:shd w:val="clear" w:color="auto" w:fill="auto"/>
            <w:vAlign w:val="center"/>
          </w:tcPr>
          <w:p w14:paraId="2A60F1E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432</w:t>
            </w:r>
          </w:p>
        </w:tc>
        <w:tc>
          <w:tcPr>
            <w:tcW w:w="1950" w:type="dxa"/>
            <w:tcBorders>
              <w:top w:val="nil"/>
              <w:left w:val="nil"/>
              <w:bottom w:val="single" w:color="auto" w:sz="4" w:space="0"/>
              <w:right w:val="single" w:color="auto" w:sz="4" w:space="0"/>
            </w:tcBorders>
            <w:shd w:val="clear" w:color="auto" w:fill="auto"/>
            <w:noWrap/>
            <w:vAlign w:val="bottom"/>
          </w:tcPr>
          <w:p w14:paraId="144DADA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239B4E7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DFDBE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13</w:t>
            </w:r>
          </w:p>
        </w:tc>
        <w:tc>
          <w:tcPr>
            <w:tcW w:w="967" w:type="dxa"/>
            <w:tcBorders>
              <w:top w:val="nil"/>
              <w:left w:val="nil"/>
              <w:bottom w:val="single" w:color="auto" w:sz="4" w:space="0"/>
              <w:right w:val="single" w:color="auto" w:sz="4" w:space="0"/>
            </w:tcBorders>
            <w:shd w:val="clear" w:color="auto" w:fill="auto"/>
            <w:noWrap/>
            <w:vAlign w:val="bottom"/>
          </w:tcPr>
          <w:p w14:paraId="6A90382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5C929F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球阀</w:t>
            </w:r>
          </w:p>
        </w:tc>
        <w:tc>
          <w:tcPr>
            <w:tcW w:w="2597" w:type="dxa"/>
            <w:tcBorders>
              <w:top w:val="nil"/>
              <w:left w:val="nil"/>
              <w:bottom w:val="single" w:color="auto" w:sz="4" w:space="0"/>
              <w:right w:val="single" w:color="auto" w:sz="4" w:space="0"/>
            </w:tcBorders>
            <w:shd w:val="clear" w:color="auto" w:fill="auto"/>
            <w:vAlign w:val="center"/>
          </w:tcPr>
          <w:p w14:paraId="0F0F0C0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DN100</w:t>
            </w:r>
          </w:p>
        </w:tc>
        <w:tc>
          <w:tcPr>
            <w:tcW w:w="672" w:type="dxa"/>
            <w:tcBorders>
              <w:top w:val="nil"/>
              <w:left w:val="nil"/>
              <w:bottom w:val="single" w:color="auto" w:sz="4" w:space="0"/>
              <w:right w:val="single" w:color="auto" w:sz="4" w:space="0"/>
            </w:tcBorders>
            <w:shd w:val="clear" w:color="auto" w:fill="auto"/>
            <w:vAlign w:val="center"/>
          </w:tcPr>
          <w:p w14:paraId="0B5DCFB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1F03D9F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4F1462F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137A6B3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noWrap/>
            <w:vAlign w:val="bottom"/>
          </w:tcPr>
          <w:p w14:paraId="0AD961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39A728D">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A4AFF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14</w:t>
            </w:r>
          </w:p>
        </w:tc>
        <w:tc>
          <w:tcPr>
            <w:tcW w:w="967" w:type="dxa"/>
            <w:tcBorders>
              <w:top w:val="nil"/>
              <w:left w:val="nil"/>
              <w:bottom w:val="single" w:color="auto" w:sz="4" w:space="0"/>
              <w:right w:val="single" w:color="auto" w:sz="4" w:space="0"/>
            </w:tcBorders>
            <w:shd w:val="clear" w:color="auto" w:fill="auto"/>
            <w:noWrap/>
            <w:vAlign w:val="bottom"/>
          </w:tcPr>
          <w:p w14:paraId="7A7094C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429A95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均匀分布器</w:t>
            </w:r>
          </w:p>
        </w:tc>
        <w:tc>
          <w:tcPr>
            <w:tcW w:w="2597" w:type="dxa"/>
            <w:tcBorders>
              <w:top w:val="nil"/>
              <w:left w:val="nil"/>
              <w:bottom w:val="single" w:color="auto" w:sz="4" w:space="0"/>
              <w:right w:val="single" w:color="auto" w:sz="4" w:space="0"/>
            </w:tcBorders>
            <w:shd w:val="clear" w:color="auto" w:fill="auto"/>
            <w:vAlign w:val="center"/>
          </w:tcPr>
          <w:p w14:paraId="1B00A2B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TV-Ⅱ，Φ200，2.96m3/h</w:t>
            </w:r>
          </w:p>
        </w:tc>
        <w:tc>
          <w:tcPr>
            <w:tcW w:w="672" w:type="dxa"/>
            <w:tcBorders>
              <w:top w:val="nil"/>
              <w:left w:val="nil"/>
              <w:bottom w:val="single" w:color="auto" w:sz="4" w:space="0"/>
              <w:right w:val="single" w:color="auto" w:sz="4" w:space="0"/>
            </w:tcBorders>
            <w:shd w:val="clear" w:color="auto" w:fill="auto"/>
            <w:vAlign w:val="center"/>
          </w:tcPr>
          <w:p w14:paraId="415A64E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54B109B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2599AB7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56</w:t>
            </w:r>
          </w:p>
        </w:tc>
        <w:tc>
          <w:tcPr>
            <w:tcW w:w="780" w:type="dxa"/>
            <w:tcBorders>
              <w:top w:val="nil"/>
              <w:left w:val="nil"/>
              <w:bottom w:val="single" w:color="auto" w:sz="4" w:space="0"/>
              <w:right w:val="single" w:color="auto" w:sz="4" w:space="0"/>
            </w:tcBorders>
            <w:shd w:val="clear" w:color="auto" w:fill="auto"/>
            <w:vAlign w:val="center"/>
          </w:tcPr>
          <w:p w14:paraId="0F22E44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224</w:t>
            </w:r>
          </w:p>
        </w:tc>
        <w:tc>
          <w:tcPr>
            <w:tcW w:w="1950" w:type="dxa"/>
            <w:tcBorders>
              <w:top w:val="nil"/>
              <w:left w:val="nil"/>
              <w:bottom w:val="single" w:color="auto" w:sz="4" w:space="0"/>
              <w:right w:val="single" w:color="auto" w:sz="4" w:space="0"/>
            </w:tcBorders>
            <w:shd w:val="clear" w:color="auto" w:fill="auto"/>
            <w:noWrap/>
            <w:vAlign w:val="bottom"/>
          </w:tcPr>
          <w:p w14:paraId="652CEDC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64CE2AA">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43F47F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15</w:t>
            </w:r>
          </w:p>
        </w:tc>
        <w:tc>
          <w:tcPr>
            <w:tcW w:w="967" w:type="dxa"/>
            <w:tcBorders>
              <w:top w:val="nil"/>
              <w:left w:val="nil"/>
              <w:bottom w:val="single" w:color="auto" w:sz="4" w:space="0"/>
              <w:right w:val="single" w:color="auto" w:sz="4" w:space="0"/>
            </w:tcBorders>
            <w:shd w:val="clear" w:color="auto" w:fill="auto"/>
            <w:noWrap/>
            <w:vAlign w:val="bottom"/>
          </w:tcPr>
          <w:p w14:paraId="2B3E0E8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FF596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2597" w:type="dxa"/>
            <w:tcBorders>
              <w:top w:val="nil"/>
              <w:left w:val="nil"/>
              <w:bottom w:val="single" w:color="auto" w:sz="4" w:space="0"/>
              <w:right w:val="single" w:color="auto" w:sz="4" w:space="0"/>
            </w:tcBorders>
            <w:shd w:val="clear" w:color="auto" w:fill="auto"/>
            <w:vAlign w:val="center"/>
          </w:tcPr>
          <w:p w14:paraId="182F08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163A59C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PE管</w:t>
            </w:r>
          </w:p>
        </w:tc>
        <w:tc>
          <w:tcPr>
            <w:tcW w:w="579" w:type="dxa"/>
            <w:tcBorders>
              <w:top w:val="nil"/>
              <w:left w:val="nil"/>
              <w:bottom w:val="single" w:color="auto" w:sz="4" w:space="0"/>
              <w:right w:val="single" w:color="auto" w:sz="4" w:space="0"/>
            </w:tcBorders>
            <w:shd w:val="clear" w:color="auto" w:fill="auto"/>
            <w:vAlign w:val="center"/>
          </w:tcPr>
          <w:p w14:paraId="6EF468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69B5DD0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780" w:type="dxa"/>
            <w:tcBorders>
              <w:top w:val="nil"/>
              <w:left w:val="nil"/>
              <w:bottom w:val="single" w:color="auto" w:sz="4" w:space="0"/>
              <w:right w:val="single" w:color="auto" w:sz="4" w:space="0"/>
            </w:tcBorders>
            <w:shd w:val="clear" w:color="auto" w:fill="auto"/>
            <w:vAlign w:val="center"/>
          </w:tcPr>
          <w:p w14:paraId="7A02DCA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80</w:t>
            </w:r>
          </w:p>
        </w:tc>
        <w:tc>
          <w:tcPr>
            <w:tcW w:w="1950" w:type="dxa"/>
            <w:tcBorders>
              <w:top w:val="nil"/>
              <w:left w:val="nil"/>
              <w:bottom w:val="single" w:color="auto" w:sz="4" w:space="0"/>
              <w:right w:val="single" w:color="auto" w:sz="4" w:space="0"/>
            </w:tcBorders>
            <w:shd w:val="clear" w:color="auto" w:fill="auto"/>
            <w:vAlign w:val="center"/>
          </w:tcPr>
          <w:p w14:paraId="5D14134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绿化下埋地敷设，覆土0.5m</w:t>
            </w:r>
          </w:p>
        </w:tc>
      </w:tr>
      <w:tr w14:paraId="435156A6">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C7E50E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967" w:type="dxa"/>
            <w:tcBorders>
              <w:top w:val="nil"/>
              <w:left w:val="nil"/>
              <w:bottom w:val="single" w:color="auto" w:sz="4" w:space="0"/>
              <w:right w:val="single" w:color="auto" w:sz="4" w:space="0"/>
            </w:tcBorders>
            <w:shd w:val="clear" w:color="auto" w:fill="auto"/>
            <w:noWrap/>
            <w:vAlign w:val="bottom"/>
          </w:tcPr>
          <w:p w14:paraId="205B6EF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500C58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球阀</w:t>
            </w:r>
          </w:p>
        </w:tc>
        <w:tc>
          <w:tcPr>
            <w:tcW w:w="2597" w:type="dxa"/>
            <w:tcBorders>
              <w:top w:val="nil"/>
              <w:left w:val="nil"/>
              <w:bottom w:val="single" w:color="auto" w:sz="4" w:space="0"/>
              <w:right w:val="single" w:color="auto" w:sz="4" w:space="0"/>
            </w:tcBorders>
            <w:shd w:val="clear" w:color="auto" w:fill="auto"/>
            <w:vAlign w:val="center"/>
          </w:tcPr>
          <w:p w14:paraId="39D16C6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DN50</w:t>
            </w:r>
          </w:p>
        </w:tc>
        <w:tc>
          <w:tcPr>
            <w:tcW w:w="672" w:type="dxa"/>
            <w:tcBorders>
              <w:top w:val="nil"/>
              <w:left w:val="nil"/>
              <w:bottom w:val="single" w:color="auto" w:sz="4" w:space="0"/>
              <w:right w:val="single" w:color="auto" w:sz="4" w:space="0"/>
            </w:tcBorders>
            <w:shd w:val="clear" w:color="auto" w:fill="auto"/>
            <w:vAlign w:val="center"/>
          </w:tcPr>
          <w:p w14:paraId="0479025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塑料</w:t>
            </w:r>
          </w:p>
        </w:tc>
        <w:tc>
          <w:tcPr>
            <w:tcW w:w="579" w:type="dxa"/>
            <w:tcBorders>
              <w:top w:val="nil"/>
              <w:left w:val="nil"/>
              <w:bottom w:val="single" w:color="auto" w:sz="4" w:space="0"/>
              <w:right w:val="single" w:color="auto" w:sz="4" w:space="0"/>
            </w:tcBorders>
            <w:shd w:val="clear" w:color="auto" w:fill="auto"/>
            <w:vAlign w:val="center"/>
          </w:tcPr>
          <w:p w14:paraId="18CC1C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59DB691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1B8C0F9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bottom"/>
          </w:tcPr>
          <w:p w14:paraId="2785321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35E8720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33781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17</w:t>
            </w:r>
          </w:p>
        </w:tc>
        <w:tc>
          <w:tcPr>
            <w:tcW w:w="967" w:type="dxa"/>
            <w:tcBorders>
              <w:top w:val="nil"/>
              <w:left w:val="nil"/>
              <w:bottom w:val="single" w:color="auto" w:sz="4" w:space="0"/>
              <w:right w:val="single" w:color="auto" w:sz="4" w:space="0"/>
            </w:tcBorders>
            <w:shd w:val="clear" w:color="auto" w:fill="auto"/>
            <w:noWrap/>
            <w:vAlign w:val="bottom"/>
          </w:tcPr>
          <w:p w14:paraId="5A688E8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08D6EF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电动球阀</w:t>
            </w:r>
          </w:p>
        </w:tc>
        <w:tc>
          <w:tcPr>
            <w:tcW w:w="2597" w:type="dxa"/>
            <w:tcBorders>
              <w:top w:val="nil"/>
              <w:left w:val="nil"/>
              <w:bottom w:val="single" w:color="auto" w:sz="4" w:space="0"/>
              <w:right w:val="single" w:color="auto" w:sz="4" w:space="0"/>
            </w:tcBorders>
            <w:shd w:val="clear" w:color="auto" w:fill="auto"/>
            <w:vAlign w:val="center"/>
          </w:tcPr>
          <w:p w14:paraId="65AABB1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DN50</w:t>
            </w:r>
          </w:p>
        </w:tc>
        <w:tc>
          <w:tcPr>
            <w:tcW w:w="672" w:type="dxa"/>
            <w:tcBorders>
              <w:top w:val="nil"/>
              <w:left w:val="nil"/>
              <w:bottom w:val="single" w:color="auto" w:sz="4" w:space="0"/>
              <w:right w:val="single" w:color="auto" w:sz="4" w:space="0"/>
            </w:tcBorders>
            <w:shd w:val="clear" w:color="auto" w:fill="auto"/>
            <w:vAlign w:val="center"/>
          </w:tcPr>
          <w:p w14:paraId="5949646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铸铁</w:t>
            </w:r>
          </w:p>
        </w:tc>
        <w:tc>
          <w:tcPr>
            <w:tcW w:w="579" w:type="dxa"/>
            <w:tcBorders>
              <w:top w:val="nil"/>
              <w:left w:val="nil"/>
              <w:bottom w:val="single" w:color="auto" w:sz="4" w:space="0"/>
              <w:right w:val="single" w:color="auto" w:sz="4" w:space="0"/>
            </w:tcBorders>
            <w:shd w:val="clear" w:color="auto" w:fill="auto"/>
            <w:vAlign w:val="center"/>
          </w:tcPr>
          <w:p w14:paraId="2B8FCF6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5076720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w:t>
            </w:r>
          </w:p>
        </w:tc>
        <w:tc>
          <w:tcPr>
            <w:tcW w:w="780" w:type="dxa"/>
            <w:tcBorders>
              <w:top w:val="nil"/>
              <w:left w:val="nil"/>
              <w:bottom w:val="single" w:color="auto" w:sz="4" w:space="0"/>
              <w:right w:val="single" w:color="auto" w:sz="4" w:space="0"/>
            </w:tcBorders>
            <w:shd w:val="clear" w:color="auto" w:fill="auto"/>
            <w:vAlign w:val="center"/>
          </w:tcPr>
          <w:p w14:paraId="00BB05C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w:t>
            </w:r>
          </w:p>
        </w:tc>
        <w:tc>
          <w:tcPr>
            <w:tcW w:w="1950" w:type="dxa"/>
            <w:tcBorders>
              <w:top w:val="nil"/>
              <w:left w:val="nil"/>
              <w:bottom w:val="single" w:color="auto" w:sz="4" w:space="0"/>
              <w:right w:val="single" w:color="auto" w:sz="4" w:space="0"/>
            </w:tcBorders>
            <w:shd w:val="clear" w:color="auto" w:fill="auto"/>
            <w:noWrap/>
            <w:vAlign w:val="bottom"/>
          </w:tcPr>
          <w:p w14:paraId="3BD65E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54B71E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66D87F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967" w:type="dxa"/>
            <w:tcBorders>
              <w:top w:val="nil"/>
              <w:left w:val="nil"/>
              <w:bottom w:val="single" w:color="auto" w:sz="4" w:space="0"/>
              <w:right w:val="single" w:color="auto" w:sz="4" w:space="0"/>
            </w:tcBorders>
            <w:shd w:val="clear" w:color="auto" w:fill="auto"/>
            <w:noWrap/>
            <w:vAlign w:val="bottom"/>
          </w:tcPr>
          <w:p w14:paraId="2AD8F8B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2556CC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3AD4A46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2024C05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7F32B58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2F09157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79</w:t>
            </w:r>
          </w:p>
        </w:tc>
        <w:tc>
          <w:tcPr>
            <w:tcW w:w="780" w:type="dxa"/>
            <w:tcBorders>
              <w:top w:val="nil"/>
              <w:left w:val="nil"/>
              <w:bottom w:val="single" w:color="auto" w:sz="4" w:space="0"/>
              <w:right w:val="single" w:color="auto" w:sz="4" w:space="0"/>
            </w:tcBorders>
            <w:shd w:val="clear" w:color="auto" w:fill="auto"/>
            <w:vAlign w:val="center"/>
          </w:tcPr>
          <w:p w14:paraId="2047F3D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316</w:t>
            </w:r>
          </w:p>
        </w:tc>
        <w:tc>
          <w:tcPr>
            <w:tcW w:w="1950" w:type="dxa"/>
            <w:tcBorders>
              <w:top w:val="nil"/>
              <w:left w:val="nil"/>
              <w:bottom w:val="single" w:color="auto" w:sz="4" w:space="0"/>
              <w:right w:val="single" w:color="auto" w:sz="4" w:space="0"/>
            </w:tcBorders>
            <w:shd w:val="clear" w:color="auto" w:fill="auto"/>
            <w:noWrap/>
            <w:vAlign w:val="bottom"/>
          </w:tcPr>
          <w:p w14:paraId="4DA4F3F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1E38F4D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5D7F1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19</w:t>
            </w:r>
          </w:p>
        </w:tc>
        <w:tc>
          <w:tcPr>
            <w:tcW w:w="967" w:type="dxa"/>
            <w:tcBorders>
              <w:top w:val="nil"/>
              <w:left w:val="nil"/>
              <w:bottom w:val="single" w:color="auto" w:sz="4" w:space="0"/>
              <w:right w:val="single" w:color="auto" w:sz="4" w:space="0"/>
            </w:tcBorders>
            <w:shd w:val="clear" w:color="auto" w:fill="auto"/>
            <w:noWrap/>
            <w:vAlign w:val="bottom"/>
          </w:tcPr>
          <w:p w14:paraId="19EEE30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81BBCE9">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1392D95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De32，PN10</w:t>
            </w:r>
          </w:p>
        </w:tc>
        <w:tc>
          <w:tcPr>
            <w:tcW w:w="672" w:type="dxa"/>
            <w:tcBorders>
              <w:top w:val="nil"/>
              <w:left w:val="nil"/>
              <w:bottom w:val="single" w:color="auto" w:sz="4" w:space="0"/>
              <w:right w:val="single" w:color="auto" w:sz="4" w:space="0"/>
            </w:tcBorders>
            <w:shd w:val="clear" w:color="auto" w:fill="auto"/>
            <w:vAlign w:val="center"/>
          </w:tcPr>
          <w:p w14:paraId="06BADE9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0ABAACF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5333CD9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88</w:t>
            </w:r>
          </w:p>
        </w:tc>
        <w:tc>
          <w:tcPr>
            <w:tcW w:w="780" w:type="dxa"/>
            <w:tcBorders>
              <w:top w:val="nil"/>
              <w:left w:val="nil"/>
              <w:bottom w:val="single" w:color="auto" w:sz="4" w:space="0"/>
              <w:right w:val="single" w:color="auto" w:sz="4" w:space="0"/>
            </w:tcBorders>
            <w:shd w:val="clear" w:color="auto" w:fill="auto"/>
            <w:vAlign w:val="center"/>
          </w:tcPr>
          <w:p w14:paraId="417D81C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352</w:t>
            </w:r>
          </w:p>
        </w:tc>
        <w:tc>
          <w:tcPr>
            <w:tcW w:w="1950" w:type="dxa"/>
            <w:tcBorders>
              <w:top w:val="nil"/>
              <w:left w:val="nil"/>
              <w:bottom w:val="single" w:color="auto" w:sz="4" w:space="0"/>
              <w:right w:val="single" w:color="auto" w:sz="4" w:space="0"/>
            </w:tcBorders>
            <w:shd w:val="clear" w:color="auto" w:fill="auto"/>
            <w:noWrap/>
            <w:vAlign w:val="bottom"/>
          </w:tcPr>
          <w:p w14:paraId="773B1A4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F9B8B4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BDA10B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20</w:t>
            </w:r>
          </w:p>
        </w:tc>
        <w:tc>
          <w:tcPr>
            <w:tcW w:w="967" w:type="dxa"/>
            <w:tcBorders>
              <w:top w:val="nil"/>
              <w:left w:val="nil"/>
              <w:bottom w:val="single" w:color="auto" w:sz="4" w:space="0"/>
              <w:right w:val="single" w:color="auto" w:sz="4" w:space="0"/>
            </w:tcBorders>
            <w:shd w:val="clear" w:color="auto" w:fill="auto"/>
            <w:noWrap/>
            <w:vAlign w:val="bottom"/>
          </w:tcPr>
          <w:p w14:paraId="21E39E4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7532418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聚渣喷头</w:t>
            </w:r>
          </w:p>
        </w:tc>
        <w:tc>
          <w:tcPr>
            <w:tcW w:w="2597" w:type="dxa"/>
            <w:tcBorders>
              <w:top w:val="nil"/>
              <w:left w:val="nil"/>
              <w:bottom w:val="single" w:color="auto" w:sz="4" w:space="0"/>
              <w:right w:val="single" w:color="auto" w:sz="4" w:space="0"/>
            </w:tcBorders>
            <w:shd w:val="clear" w:color="auto" w:fill="auto"/>
            <w:vAlign w:val="center"/>
          </w:tcPr>
          <w:p w14:paraId="23C8187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64A5BDD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0A3A26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68FB220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780" w:type="dxa"/>
            <w:tcBorders>
              <w:top w:val="nil"/>
              <w:left w:val="nil"/>
              <w:bottom w:val="single" w:color="auto" w:sz="4" w:space="0"/>
              <w:right w:val="single" w:color="auto" w:sz="4" w:space="0"/>
            </w:tcBorders>
            <w:shd w:val="clear" w:color="auto" w:fill="auto"/>
            <w:vAlign w:val="center"/>
          </w:tcPr>
          <w:p w14:paraId="08637D22">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96</w:t>
            </w:r>
          </w:p>
        </w:tc>
        <w:tc>
          <w:tcPr>
            <w:tcW w:w="1950" w:type="dxa"/>
            <w:tcBorders>
              <w:top w:val="nil"/>
              <w:left w:val="nil"/>
              <w:bottom w:val="single" w:color="auto" w:sz="4" w:space="0"/>
              <w:right w:val="single" w:color="auto" w:sz="4" w:space="0"/>
            </w:tcBorders>
            <w:shd w:val="clear" w:color="auto" w:fill="auto"/>
            <w:noWrap/>
            <w:vAlign w:val="bottom"/>
          </w:tcPr>
          <w:p w14:paraId="64F26CA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619FD3E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F42CC6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21</w:t>
            </w:r>
          </w:p>
        </w:tc>
        <w:tc>
          <w:tcPr>
            <w:tcW w:w="967" w:type="dxa"/>
            <w:tcBorders>
              <w:top w:val="nil"/>
              <w:left w:val="nil"/>
              <w:bottom w:val="single" w:color="auto" w:sz="4" w:space="0"/>
              <w:right w:val="single" w:color="auto" w:sz="4" w:space="0"/>
            </w:tcBorders>
            <w:shd w:val="clear" w:color="auto" w:fill="auto"/>
            <w:noWrap/>
            <w:vAlign w:val="bottom"/>
          </w:tcPr>
          <w:p w14:paraId="56A8D37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32CEFBC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浮渣清除器</w:t>
            </w:r>
          </w:p>
        </w:tc>
        <w:tc>
          <w:tcPr>
            <w:tcW w:w="2597" w:type="dxa"/>
            <w:tcBorders>
              <w:top w:val="nil"/>
              <w:left w:val="nil"/>
              <w:bottom w:val="single" w:color="auto" w:sz="4" w:space="0"/>
              <w:right w:val="single" w:color="auto" w:sz="4" w:space="0"/>
            </w:tcBorders>
            <w:shd w:val="clear" w:color="auto" w:fill="auto"/>
            <w:vAlign w:val="center"/>
          </w:tcPr>
          <w:p w14:paraId="4E88377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672" w:type="dxa"/>
            <w:tcBorders>
              <w:top w:val="nil"/>
              <w:left w:val="nil"/>
              <w:bottom w:val="single" w:color="auto" w:sz="4" w:space="0"/>
              <w:right w:val="single" w:color="auto" w:sz="4" w:space="0"/>
            </w:tcBorders>
            <w:shd w:val="clear" w:color="auto" w:fill="auto"/>
            <w:vAlign w:val="center"/>
          </w:tcPr>
          <w:p w14:paraId="7CE7A60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00E7C48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15A78F5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2F43E6A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noWrap/>
            <w:vAlign w:val="bottom"/>
          </w:tcPr>
          <w:p w14:paraId="426E1F8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FF62D4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3D1136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22</w:t>
            </w:r>
          </w:p>
        </w:tc>
        <w:tc>
          <w:tcPr>
            <w:tcW w:w="967" w:type="dxa"/>
            <w:tcBorders>
              <w:top w:val="nil"/>
              <w:left w:val="nil"/>
              <w:bottom w:val="single" w:color="auto" w:sz="4" w:space="0"/>
              <w:right w:val="single" w:color="auto" w:sz="4" w:space="0"/>
            </w:tcBorders>
            <w:shd w:val="clear" w:color="auto" w:fill="auto"/>
            <w:noWrap/>
            <w:vAlign w:val="bottom"/>
          </w:tcPr>
          <w:p w14:paraId="6086602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9B15E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金属软管</w:t>
            </w:r>
          </w:p>
        </w:tc>
        <w:tc>
          <w:tcPr>
            <w:tcW w:w="2597" w:type="dxa"/>
            <w:tcBorders>
              <w:top w:val="nil"/>
              <w:left w:val="nil"/>
              <w:bottom w:val="single" w:color="auto" w:sz="4" w:space="0"/>
              <w:right w:val="single" w:color="auto" w:sz="4" w:space="0"/>
            </w:tcBorders>
            <w:shd w:val="clear" w:color="auto" w:fill="auto"/>
            <w:vAlign w:val="center"/>
          </w:tcPr>
          <w:p w14:paraId="6A26254B">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De32</w:t>
            </w:r>
          </w:p>
        </w:tc>
        <w:tc>
          <w:tcPr>
            <w:tcW w:w="672" w:type="dxa"/>
            <w:tcBorders>
              <w:top w:val="nil"/>
              <w:left w:val="nil"/>
              <w:bottom w:val="single" w:color="auto" w:sz="4" w:space="0"/>
              <w:right w:val="single" w:color="auto" w:sz="4" w:space="0"/>
            </w:tcBorders>
            <w:shd w:val="clear" w:color="auto" w:fill="auto"/>
            <w:vAlign w:val="center"/>
          </w:tcPr>
          <w:p w14:paraId="49A8E84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B66404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个</w:t>
            </w:r>
          </w:p>
        </w:tc>
        <w:tc>
          <w:tcPr>
            <w:tcW w:w="915" w:type="dxa"/>
            <w:tcBorders>
              <w:top w:val="nil"/>
              <w:left w:val="nil"/>
              <w:bottom w:val="single" w:color="auto" w:sz="4" w:space="0"/>
              <w:right w:val="single" w:color="auto" w:sz="4" w:space="0"/>
            </w:tcBorders>
            <w:shd w:val="clear" w:color="auto" w:fill="auto"/>
            <w:vAlign w:val="center"/>
          </w:tcPr>
          <w:p w14:paraId="32BFD990">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780" w:type="dxa"/>
            <w:tcBorders>
              <w:top w:val="nil"/>
              <w:left w:val="nil"/>
              <w:bottom w:val="single" w:color="auto" w:sz="4" w:space="0"/>
              <w:right w:val="single" w:color="auto" w:sz="4" w:space="0"/>
            </w:tcBorders>
            <w:shd w:val="clear" w:color="auto" w:fill="auto"/>
            <w:vAlign w:val="center"/>
          </w:tcPr>
          <w:p w14:paraId="204ED98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16</w:t>
            </w:r>
          </w:p>
        </w:tc>
        <w:tc>
          <w:tcPr>
            <w:tcW w:w="1950" w:type="dxa"/>
            <w:tcBorders>
              <w:top w:val="nil"/>
              <w:left w:val="nil"/>
              <w:bottom w:val="single" w:color="auto" w:sz="4" w:space="0"/>
              <w:right w:val="single" w:color="auto" w:sz="4" w:space="0"/>
            </w:tcBorders>
            <w:shd w:val="clear" w:color="auto" w:fill="auto"/>
            <w:noWrap/>
            <w:vAlign w:val="bottom"/>
          </w:tcPr>
          <w:p w14:paraId="219672D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AFFB10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E09E22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967" w:type="dxa"/>
            <w:tcBorders>
              <w:top w:val="nil"/>
              <w:left w:val="nil"/>
              <w:bottom w:val="single" w:color="auto" w:sz="4" w:space="0"/>
              <w:right w:val="single" w:color="auto" w:sz="4" w:space="0"/>
            </w:tcBorders>
            <w:shd w:val="clear" w:color="auto" w:fill="auto"/>
            <w:noWrap/>
            <w:vAlign w:val="bottom"/>
          </w:tcPr>
          <w:p w14:paraId="7BBAD11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5A9AAEF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2597" w:type="dxa"/>
            <w:tcBorders>
              <w:top w:val="nil"/>
              <w:left w:val="nil"/>
              <w:bottom w:val="single" w:color="auto" w:sz="4" w:space="0"/>
              <w:right w:val="single" w:color="auto" w:sz="4" w:space="0"/>
            </w:tcBorders>
            <w:shd w:val="clear" w:color="auto" w:fill="auto"/>
            <w:vAlign w:val="center"/>
          </w:tcPr>
          <w:p w14:paraId="4FFA291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De63，PN10</w:t>
            </w:r>
          </w:p>
        </w:tc>
        <w:tc>
          <w:tcPr>
            <w:tcW w:w="672" w:type="dxa"/>
            <w:tcBorders>
              <w:top w:val="nil"/>
              <w:left w:val="nil"/>
              <w:bottom w:val="single" w:color="auto" w:sz="4" w:space="0"/>
              <w:right w:val="single" w:color="auto" w:sz="4" w:space="0"/>
            </w:tcBorders>
            <w:shd w:val="clear" w:color="auto" w:fill="auto"/>
            <w:vAlign w:val="center"/>
          </w:tcPr>
          <w:p w14:paraId="15571B41">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UPVC管</w:t>
            </w:r>
          </w:p>
        </w:tc>
        <w:tc>
          <w:tcPr>
            <w:tcW w:w="579" w:type="dxa"/>
            <w:tcBorders>
              <w:top w:val="nil"/>
              <w:left w:val="nil"/>
              <w:bottom w:val="single" w:color="auto" w:sz="4" w:space="0"/>
              <w:right w:val="single" w:color="auto" w:sz="4" w:space="0"/>
            </w:tcBorders>
            <w:shd w:val="clear" w:color="auto" w:fill="auto"/>
            <w:vAlign w:val="center"/>
          </w:tcPr>
          <w:p w14:paraId="2544E476">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米</w:t>
            </w:r>
          </w:p>
        </w:tc>
        <w:tc>
          <w:tcPr>
            <w:tcW w:w="915" w:type="dxa"/>
            <w:tcBorders>
              <w:top w:val="nil"/>
              <w:left w:val="nil"/>
              <w:bottom w:val="single" w:color="auto" w:sz="4" w:space="0"/>
              <w:right w:val="single" w:color="auto" w:sz="4" w:space="0"/>
            </w:tcBorders>
            <w:shd w:val="clear" w:color="auto" w:fill="auto"/>
            <w:vAlign w:val="center"/>
          </w:tcPr>
          <w:p w14:paraId="75D7598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55</w:t>
            </w:r>
          </w:p>
        </w:tc>
        <w:tc>
          <w:tcPr>
            <w:tcW w:w="780" w:type="dxa"/>
            <w:tcBorders>
              <w:top w:val="nil"/>
              <w:left w:val="nil"/>
              <w:bottom w:val="single" w:color="auto" w:sz="4" w:space="0"/>
              <w:right w:val="single" w:color="auto" w:sz="4" w:space="0"/>
            </w:tcBorders>
            <w:shd w:val="clear" w:color="auto" w:fill="auto"/>
            <w:vAlign w:val="center"/>
          </w:tcPr>
          <w:p w14:paraId="5EB6987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220</w:t>
            </w:r>
          </w:p>
        </w:tc>
        <w:tc>
          <w:tcPr>
            <w:tcW w:w="1950" w:type="dxa"/>
            <w:tcBorders>
              <w:top w:val="nil"/>
              <w:left w:val="nil"/>
              <w:bottom w:val="single" w:color="auto" w:sz="4" w:space="0"/>
              <w:right w:val="single" w:color="auto" w:sz="4" w:space="0"/>
            </w:tcBorders>
            <w:shd w:val="clear" w:color="auto" w:fill="auto"/>
            <w:noWrap/>
            <w:vAlign w:val="bottom"/>
          </w:tcPr>
          <w:p w14:paraId="284A118F">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70B9B896">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2913DF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24</w:t>
            </w:r>
          </w:p>
        </w:tc>
        <w:tc>
          <w:tcPr>
            <w:tcW w:w="967" w:type="dxa"/>
            <w:tcBorders>
              <w:top w:val="nil"/>
              <w:left w:val="nil"/>
              <w:bottom w:val="single" w:color="auto" w:sz="4" w:space="0"/>
              <w:right w:val="single" w:color="auto" w:sz="4" w:space="0"/>
            </w:tcBorders>
            <w:shd w:val="clear" w:color="auto" w:fill="auto"/>
            <w:noWrap/>
            <w:vAlign w:val="bottom"/>
          </w:tcPr>
          <w:p w14:paraId="57A24C1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468AC76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排渣泵</w:t>
            </w:r>
          </w:p>
        </w:tc>
        <w:tc>
          <w:tcPr>
            <w:tcW w:w="2597" w:type="dxa"/>
            <w:tcBorders>
              <w:top w:val="nil"/>
              <w:left w:val="nil"/>
              <w:bottom w:val="single" w:color="auto" w:sz="4" w:space="0"/>
              <w:right w:val="single" w:color="auto" w:sz="4" w:space="0"/>
            </w:tcBorders>
            <w:shd w:val="clear" w:color="auto" w:fill="auto"/>
            <w:vAlign w:val="center"/>
          </w:tcPr>
          <w:p w14:paraId="458937AD">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2m3/min P=4Kw</w:t>
            </w:r>
          </w:p>
        </w:tc>
        <w:tc>
          <w:tcPr>
            <w:tcW w:w="672" w:type="dxa"/>
            <w:tcBorders>
              <w:top w:val="nil"/>
              <w:left w:val="nil"/>
              <w:bottom w:val="single" w:color="auto" w:sz="4" w:space="0"/>
              <w:right w:val="single" w:color="auto" w:sz="4" w:space="0"/>
            </w:tcBorders>
            <w:shd w:val="clear" w:color="auto" w:fill="auto"/>
            <w:vAlign w:val="center"/>
          </w:tcPr>
          <w:p w14:paraId="214CF8DA">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3E60AF1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66674983">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38E0F3C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bottom"/>
          </w:tcPr>
          <w:p w14:paraId="68762DA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r w14:paraId="00E8AD9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D1A1EAC">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25</w:t>
            </w:r>
          </w:p>
        </w:tc>
        <w:tc>
          <w:tcPr>
            <w:tcW w:w="967" w:type="dxa"/>
            <w:tcBorders>
              <w:top w:val="nil"/>
              <w:left w:val="nil"/>
              <w:bottom w:val="single" w:color="auto" w:sz="4" w:space="0"/>
              <w:right w:val="single" w:color="auto" w:sz="4" w:space="0"/>
            </w:tcBorders>
            <w:shd w:val="clear" w:color="auto" w:fill="auto"/>
            <w:noWrap/>
            <w:vAlign w:val="bottom"/>
          </w:tcPr>
          <w:p w14:paraId="0BFEA56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886" w:type="dxa"/>
            <w:tcBorders>
              <w:top w:val="nil"/>
              <w:left w:val="nil"/>
              <w:bottom w:val="single" w:color="auto" w:sz="4" w:space="0"/>
              <w:right w:val="single" w:color="auto" w:sz="4" w:space="0"/>
            </w:tcBorders>
            <w:shd w:val="clear" w:color="auto" w:fill="auto"/>
            <w:vAlign w:val="center"/>
          </w:tcPr>
          <w:p w14:paraId="1012FB4E">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聚渣槽</w:t>
            </w:r>
          </w:p>
        </w:tc>
        <w:tc>
          <w:tcPr>
            <w:tcW w:w="2597" w:type="dxa"/>
            <w:tcBorders>
              <w:top w:val="nil"/>
              <w:left w:val="nil"/>
              <w:bottom w:val="single" w:color="auto" w:sz="4" w:space="0"/>
              <w:right w:val="single" w:color="auto" w:sz="4" w:space="0"/>
            </w:tcBorders>
            <w:shd w:val="clear" w:color="auto" w:fill="auto"/>
            <w:vAlign w:val="center"/>
          </w:tcPr>
          <w:p w14:paraId="39064A34">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2m3</w:t>
            </w:r>
          </w:p>
        </w:tc>
        <w:tc>
          <w:tcPr>
            <w:tcW w:w="672" w:type="dxa"/>
            <w:tcBorders>
              <w:top w:val="nil"/>
              <w:left w:val="nil"/>
              <w:bottom w:val="single" w:color="auto" w:sz="4" w:space="0"/>
              <w:right w:val="single" w:color="auto" w:sz="4" w:space="0"/>
            </w:tcBorders>
            <w:shd w:val="clear" w:color="auto" w:fill="auto"/>
            <w:vAlign w:val="center"/>
          </w:tcPr>
          <w:p w14:paraId="43BFA09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c>
          <w:tcPr>
            <w:tcW w:w="579" w:type="dxa"/>
            <w:tcBorders>
              <w:top w:val="nil"/>
              <w:left w:val="nil"/>
              <w:bottom w:val="single" w:color="auto" w:sz="4" w:space="0"/>
              <w:right w:val="single" w:color="auto" w:sz="4" w:space="0"/>
            </w:tcBorders>
            <w:shd w:val="clear" w:color="auto" w:fill="auto"/>
            <w:vAlign w:val="center"/>
          </w:tcPr>
          <w:p w14:paraId="58E11A17">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台</w:t>
            </w:r>
          </w:p>
        </w:tc>
        <w:tc>
          <w:tcPr>
            <w:tcW w:w="915" w:type="dxa"/>
            <w:tcBorders>
              <w:top w:val="nil"/>
              <w:left w:val="nil"/>
              <w:bottom w:val="single" w:color="auto" w:sz="4" w:space="0"/>
              <w:right w:val="single" w:color="auto" w:sz="4" w:space="0"/>
            </w:tcBorders>
            <w:shd w:val="clear" w:color="auto" w:fill="auto"/>
            <w:vAlign w:val="center"/>
          </w:tcPr>
          <w:p w14:paraId="09D5F91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1</w:t>
            </w:r>
          </w:p>
        </w:tc>
        <w:tc>
          <w:tcPr>
            <w:tcW w:w="780" w:type="dxa"/>
            <w:tcBorders>
              <w:top w:val="nil"/>
              <w:left w:val="nil"/>
              <w:bottom w:val="single" w:color="auto" w:sz="4" w:space="0"/>
              <w:right w:val="single" w:color="auto" w:sz="4" w:space="0"/>
            </w:tcBorders>
            <w:shd w:val="clear" w:color="auto" w:fill="auto"/>
            <w:vAlign w:val="center"/>
          </w:tcPr>
          <w:p w14:paraId="4091C885">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4</w:t>
            </w:r>
          </w:p>
        </w:tc>
        <w:tc>
          <w:tcPr>
            <w:tcW w:w="1950" w:type="dxa"/>
            <w:tcBorders>
              <w:top w:val="nil"/>
              <w:left w:val="nil"/>
              <w:bottom w:val="single" w:color="auto" w:sz="4" w:space="0"/>
              <w:right w:val="single" w:color="auto" w:sz="4" w:space="0"/>
            </w:tcBorders>
            <w:shd w:val="clear" w:color="auto" w:fill="auto"/>
            <w:noWrap/>
            <w:vAlign w:val="bottom"/>
          </w:tcPr>
          <w:p w14:paraId="1681B058">
            <w:pPr>
              <w:pStyle w:val="52"/>
              <w:spacing w:line="500" w:lineRule="exact"/>
              <w:rPr>
                <w:rFonts w:ascii="宋体" w:hAnsi="宋体" w:cs="宋体"/>
                <w:color w:val="auto"/>
                <w:szCs w:val="21"/>
                <w:highlight w:val="none"/>
              </w:rPr>
            </w:pPr>
            <w:r>
              <w:rPr>
                <w:rFonts w:hint="eastAsia" w:ascii="宋体" w:hAnsi="宋体" w:cs="宋体"/>
                <w:color w:val="auto"/>
                <w:szCs w:val="21"/>
                <w:highlight w:val="none"/>
              </w:rPr>
              <w:t>　</w:t>
            </w:r>
          </w:p>
        </w:tc>
      </w:tr>
    </w:tbl>
    <w:p w14:paraId="4F189B22">
      <w:pPr>
        <w:pStyle w:val="6"/>
        <w:spacing w:before="0" w:after="0" w:line="500" w:lineRule="exact"/>
        <w:ind w:left="420" w:leftChars="200"/>
        <w:jc w:val="left"/>
        <w:rPr>
          <w:rFonts w:ascii="宋体" w:hAnsi="宋体" w:cs="宋体"/>
          <w:color w:val="auto"/>
          <w:sz w:val="24"/>
          <w:highlight w:val="none"/>
        </w:rPr>
      </w:pPr>
      <w:r>
        <w:rPr>
          <w:rFonts w:hint="eastAsia" w:ascii="宋体" w:hAnsi="宋体" w:cs="宋体"/>
          <w:color w:val="auto"/>
          <w:sz w:val="24"/>
          <w:highlight w:val="none"/>
        </w:rPr>
        <w:t>（一）加压泵</w:t>
      </w:r>
    </w:p>
    <w:p w14:paraId="68B2197E">
      <w:pPr>
        <w:spacing w:line="500" w:lineRule="exact"/>
        <w:ind w:firstLine="240" w:firstLineChars="100"/>
        <w:jc w:val="left"/>
        <w:rPr>
          <w:rFonts w:ascii="宋体" w:hAnsi="宋体" w:cs="宋体"/>
          <w:b/>
          <w:color w:val="auto"/>
          <w:sz w:val="24"/>
          <w:highlight w:val="none"/>
        </w:rPr>
      </w:pPr>
      <w:r>
        <w:rPr>
          <w:rFonts w:hint="eastAsia" w:ascii="宋体" w:hAnsi="宋体" w:cs="宋体"/>
          <w:color w:val="auto"/>
          <w:sz w:val="24"/>
          <w:highlight w:val="none"/>
        </w:rPr>
        <w:t>采用卧式增压泵，Q=150m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/h，H=50m。增压泵进出口配有手动切换阀，止回阀，一体式撬装，变频调节流量。根据进水流量调节分流水量。</w:t>
      </w:r>
    </w:p>
    <w:p w14:paraId="2700AEA4">
      <w:pPr>
        <w:pStyle w:val="6"/>
        <w:spacing w:before="0" w:after="0" w:line="500" w:lineRule="exact"/>
        <w:ind w:left="420" w:leftChars="200"/>
        <w:jc w:val="left"/>
        <w:rPr>
          <w:rFonts w:ascii="宋体" w:hAnsi="宋体" w:cs="宋体"/>
          <w:color w:val="auto"/>
          <w:sz w:val="24"/>
          <w:highlight w:val="none"/>
        </w:rPr>
      </w:pPr>
      <w:r>
        <w:rPr>
          <w:rFonts w:hint="eastAsia" w:ascii="宋体" w:hAnsi="宋体" w:cs="宋体"/>
          <w:color w:val="auto"/>
          <w:sz w:val="24"/>
          <w:highlight w:val="none"/>
        </w:rPr>
        <w:t>（二）溶气罐</w:t>
      </w:r>
    </w:p>
    <w:p w14:paraId="175BC143">
      <w:pPr>
        <w:spacing w:line="500" w:lineRule="exact"/>
        <w:ind w:firstLine="480"/>
        <w:jc w:val="left"/>
        <w:rPr>
          <w:rFonts w:ascii="宋体" w:hAnsi="宋体" w:cs="宋体"/>
          <w:color w:val="auto"/>
          <w:sz w:val="24"/>
          <w:highlight w:val="none"/>
        </w:rPr>
      </w:pPr>
      <w:r>
        <w:rPr>
          <w:rFonts w:hint="eastAsia" w:ascii="宋体" w:hAnsi="宋体" w:cs="宋体"/>
          <w:color w:val="auto"/>
          <w:sz w:val="24"/>
          <w:highlight w:val="none"/>
        </w:rPr>
        <w:t>根据现场空间需求，可将溶气罐设置成立式或卧式；溶气罐采用普通钢板卷焊而成，并在罐内行防腐处理。其内部结构相对简单，高度与直径的比值一般为2～4。溶气罐采用卧式安装，并沿长度方向将罐长分为进水段、填料段、出水段，这种形式的溶气罐进出水稳定，而且可以对进水中的杂质予以截留，避免溶气释放器的堵塞问题。</w:t>
      </w:r>
    </w:p>
    <w:p w14:paraId="2BFA7A66">
      <w:pPr>
        <w:spacing w:line="500" w:lineRule="exact"/>
        <w:ind w:firstLine="480"/>
        <w:jc w:val="left"/>
        <w:rPr>
          <w:rFonts w:ascii="宋体" w:hAnsi="宋体" w:cs="宋体"/>
          <w:color w:val="auto"/>
          <w:sz w:val="24"/>
          <w:highlight w:val="none"/>
        </w:rPr>
      </w:pPr>
      <w:r>
        <w:rPr>
          <w:rFonts w:hint="eastAsia" w:ascii="宋体" w:hAnsi="宋体" w:cs="宋体"/>
          <w:color w:val="auto"/>
          <w:sz w:val="24"/>
          <w:highlight w:val="none"/>
        </w:rPr>
        <w:t>压力溶气罐的作用是使水与空气充分接触，促进空气的溶解。压力溶气罐是影响溶气效率的关键设备，其外部结构由进水口、进气口、排气安全阀接口、视镜、压力表接嘴、排气口、液位计、出水口、入孔等组成。应设置安全阀、压力表等安全装置，确保设备在安全压力范围内运行，防止因超压等原因导致设备损坏或安全事故的发生</w:t>
      </w:r>
    </w:p>
    <w:p w14:paraId="372FBF4C">
      <w:pPr>
        <w:spacing w:line="500" w:lineRule="exact"/>
        <w:ind w:firstLine="480"/>
        <w:jc w:val="left"/>
        <w:rPr>
          <w:rFonts w:ascii="宋体" w:hAnsi="宋体" w:cs="宋体"/>
          <w:color w:val="auto"/>
          <w:sz w:val="24"/>
          <w:highlight w:val="none"/>
        </w:rPr>
      </w:pPr>
      <w:r>
        <w:rPr>
          <w:rFonts w:hint="eastAsia" w:ascii="宋体" w:hAnsi="宋体" w:cs="宋体"/>
          <w:color w:val="auto"/>
          <w:sz w:val="24"/>
          <w:highlight w:val="none"/>
          <w:lang w:eastAsia="zh-TW"/>
        </w:rPr>
        <w:t>溶气罐的形式有很多种，采用填充式溶气罐，罐內填充填料，可使溶气罐效率提高。</w:t>
      </w:r>
      <w:r>
        <w:rPr>
          <w:rFonts w:hint="eastAsia" w:ascii="宋体" w:hAnsi="宋体" w:cs="宋体"/>
          <w:color w:val="auto"/>
          <w:sz w:val="24"/>
          <w:highlight w:val="none"/>
        </w:rPr>
        <w:t>因其装有填料可加剧紊动程度，提高液相的分散程度，不断更新液相与气相的界面，从而提高了溶气效率。填料有各种形式，采用阶榜环的溶气效率最高，可达90％以上。</w:t>
      </w:r>
    </w:p>
    <w:p w14:paraId="6911777E">
      <w:pPr>
        <w:pStyle w:val="6"/>
        <w:spacing w:before="0" w:after="0" w:line="500" w:lineRule="exact"/>
        <w:ind w:left="420" w:leftChars="200"/>
        <w:jc w:val="left"/>
        <w:rPr>
          <w:rFonts w:ascii="宋体" w:hAnsi="宋体" w:cs="宋体"/>
          <w:color w:val="auto"/>
          <w:sz w:val="24"/>
          <w:highlight w:val="none"/>
        </w:rPr>
      </w:pPr>
      <w:r>
        <w:rPr>
          <w:rFonts w:hint="eastAsia" w:ascii="宋体" w:hAnsi="宋体" w:cs="宋体"/>
          <w:color w:val="auto"/>
          <w:sz w:val="24"/>
          <w:highlight w:val="none"/>
        </w:rPr>
        <w:t>（三）空压机</w:t>
      </w:r>
    </w:p>
    <w:p w14:paraId="79BFCEF0">
      <w:pPr>
        <w:spacing w:line="500" w:lineRule="exact"/>
        <w:ind w:firstLine="480"/>
        <w:jc w:val="left"/>
        <w:rPr>
          <w:rFonts w:ascii="宋体" w:hAnsi="宋体" w:cs="宋体"/>
          <w:color w:val="auto"/>
          <w:sz w:val="24"/>
          <w:highlight w:val="none"/>
        </w:rPr>
      </w:pPr>
      <w:r>
        <w:rPr>
          <w:rFonts w:hint="eastAsia" w:ascii="宋体" w:hAnsi="宋体" w:cs="宋体"/>
          <w:color w:val="auto"/>
          <w:sz w:val="24"/>
          <w:highlight w:val="none"/>
        </w:rPr>
        <w:t>采用无油螺杆式空压机，Q=60m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/h，0.8Mpa，P=7.5kw，气管采用不锈钢304材质，管径DN25；管路配有电磁阀和止回阀，防止反水进入空压机组损坏设备；</w:t>
      </w:r>
    </w:p>
    <w:p w14:paraId="2C9C05DA">
      <w:pPr>
        <w:pStyle w:val="6"/>
        <w:spacing w:before="0" w:after="0" w:line="500" w:lineRule="exact"/>
        <w:ind w:left="420" w:leftChars="200"/>
        <w:jc w:val="left"/>
        <w:rPr>
          <w:rFonts w:ascii="宋体" w:hAnsi="宋体" w:cs="宋体"/>
          <w:color w:val="auto"/>
          <w:sz w:val="24"/>
          <w:highlight w:val="none"/>
        </w:rPr>
      </w:pPr>
      <w:r>
        <w:rPr>
          <w:rFonts w:hint="eastAsia" w:ascii="宋体" w:hAnsi="宋体" w:cs="宋体"/>
          <w:color w:val="auto"/>
          <w:sz w:val="24"/>
          <w:highlight w:val="none"/>
        </w:rPr>
        <w:t>（四）释放器</w:t>
      </w:r>
    </w:p>
    <w:p w14:paraId="41F08CCB">
      <w:pPr>
        <w:spacing w:line="500" w:lineRule="exact"/>
        <w:ind w:firstLine="480"/>
        <w:jc w:val="left"/>
        <w:rPr>
          <w:rFonts w:ascii="宋体" w:hAnsi="宋体" w:cs="宋体"/>
          <w:b/>
          <w:color w:val="auto"/>
          <w:sz w:val="24"/>
          <w:highlight w:val="none"/>
        </w:rPr>
      </w:pPr>
      <w:r>
        <w:rPr>
          <w:rFonts w:hint="eastAsia" w:ascii="宋体" w:hAnsi="宋体" w:cs="宋体"/>
          <w:color w:val="auto"/>
          <w:sz w:val="24"/>
          <w:highlight w:val="none"/>
        </w:rPr>
        <w:t>溶气释放器是气浮法的核心设备，其功能是将溶气水中的气体以微细气泡的形式释放出来，以便与待处理污水中的悬浮杂质黏附良好。采用微纳米ABS塑料材质曝气盘作为释放器。在滤池进水槽及进水口各设置3个释放器，尽可能的使所有进入滤池的水体与溶气水混合，气泡分布和混合均匀。</w:t>
      </w:r>
    </w:p>
    <w:p w14:paraId="32B37B83">
      <w:pPr>
        <w:pStyle w:val="6"/>
        <w:spacing w:before="93" w:beforeLines="30" w:after="93" w:afterLines="30"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4.2.6设备品牌</w:t>
      </w:r>
      <w:bookmarkEnd w:id="748"/>
      <w:bookmarkEnd w:id="749"/>
      <w:bookmarkEnd w:id="750"/>
      <w:r>
        <w:rPr>
          <w:rFonts w:hint="eastAsia" w:ascii="宋体" w:hAnsi="宋体" w:cs="宋体"/>
          <w:color w:val="auto"/>
          <w:sz w:val="21"/>
          <w:szCs w:val="21"/>
          <w:highlight w:val="none"/>
        </w:rPr>
        <w:t>参考表</w:t>
      </w:r>
      <w:bookmarkEnd w:id="751"/>
    </w:p>
    <w:tbl>
      <w:tblPr>
        <w:tblStyle w:val="23"/>
        <w:tblpPr w:leftFromText="180" w:rightFromText="180" w:vertAnchor="text" w:horzAnchor="page" w:tblpXSpec="center" w:tblpY="553"/>
        <w:tblOverlap w:val="never"/>
        <w:tblW w:w="0" w:type="auto"/>
        <w:jc w:val="center"/>
        <w:tblLayout w:type="fixed"/>
        <w:tblCellMar>
          <w:top w:w="0" w:type="dxa"/>
          <w:left w:w="108" w:type="dxa"/>
          <w:bottom w:w="0" w:type="dxa"/>
          <w:right w:w="108" w:type="dxa"/>
        </w:tblCellMar>
      </w:tblPr>
      <w:tblGrid>
        <w:gridCol w:w="796"/>
        <w:gridCol w:w="2844"/>
        <w:gridCol w:w="1670"/>
        <w:gridCol w:w="2756"/>
        <w:gridCol w:w="1610"/>
      </w:tblGrid>
      <w:tr w14:paraId="5217B99B">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2F7FE">
            <w:pPr>
              <w:pStyle w:val="45"/>
              <w:spacing w:line="500" w:lineRule="exact"/>
              <w:jc w:val="center"/>
              <w:rPr>
                <w:rFonts w:ascii="宋体" w:hAnsi="宋体" w:eastAsia="宋体" w:cs="宋体"/>
                <w:color w:val="auto"/>
                <w:highlight w:val="none"/>
              </w:rPr>
            </w:pPr>
            <w:bookmarkStart w:id="752" w:name="_Toc202768721"/>
            <w:bookmarkEnd w:id="752"/>
            <w:bookmarkStart w:id="753" w:name="_Toc206408740"/>
            <w:bookmarkEnd w:id="753"/>
            <w:bookmarkStart w:id="754" w:name="_Toc202765105"/>
            <w:bookmarkEnd w:id="754"/>
            <w:bookmarkStart w:id="755" w:name="_Toc177806862"/>
            <w:bookmarkEnd w:id="755"/>
            <w:bookmarkStart w:id="756" w:name="_Toc202768698"/>
            <w:bookmarkEnd w:id="756"/>
            <w:bookmarkStart w:id="757" w:name="_Toc202933405"/>
            <w:bookmarkEnd w:id="757"/>
            <w:bookmarkStart w:id="758" w:name="_Toc202089253"/>
            <w:bookmarkEnd w:id="758"/>
            <w:bookmarkStart w:id="759" w:name="_Toc202768595"/>
            <w:bookmarkEnd w:id="759"/>
            <w:bookmarkStart w:id="760" w:name="_Toc202768756"/>
            <w:bookmarkEnd w:id="760"/>
            <w:bookmarkStart w:id="761" w:name="_Toc202768652"/>
            <w:bookmarkEnd w:id="761"/>
            <w:r>
              <w:rPr>
                <w:rFonts w:hint="eastAsia" w:ascii="宋体" w:hAnsi="宋体" w:eastAsia="宋体" w:cs="宋体"/>
                <w:color w:val="auto"/>
                <w:highlight w:val="none"/>
              </w:rPr>
              <w:t xml:space="preserve"> 序号</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329AF">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名称</w:t>
            </w:r>
          </w:p>
        </w:tc>
        <w:tc>
          <w:tcPr>
            <w:tcW w:w="6036"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14:paraId="1FB27B12">
            <w:pPr>
              <w:pStyle w:val="45"/>
              <w:spacing w:line="500" w:lineRule="exact"/>
              <w:jc w:val="center"/>
              <w:rPr>
                <w:rFonts w:ascii="宋体" w:hAnsi="宋体" w:eastAsia="宋体" w:cs="宋体"/>
                <w:color w:val="auto"/>
                <w:highlight w:val="none"/>
              </w:rPr>
            </w:pPr>
            <w:r>
              <w:rPr>
                <w:rFonts w:hint="eastAsia" w:ascii="宋体" w:hAnsi="宋体" w:eastAsia="宋体" w:cs="宋体"/>
                <w:color w:val="auto"/>
                <w:highlight w:val="none"/>
              </w:rPr>
              <w:t>推荐品牌</w:t>
            </w:r>
          </w:p>
        </w:tc>
      </w:tr>
      <w:tr w14:paraId="7C358D52">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37F6">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1</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AB432">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粉末活性炭投加系统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C6153">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C9F3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固莱环保</w:t>
            </w:r>
          </w:p>
        </w:tc>
        <w:tc>
          <w:tcPr>
            <w:tcW w:w="161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A04867">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净化控股</w:t>
            </w:r>
          </w:p>
        </w:tc>
      </w:tr>
      <w:tr w14:paraId="40186E5D">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5E13">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2</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FE95">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高锰酸钾复合盐投加系统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E59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619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固莱环保</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2F97">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净化控股</w:t>
            </w:r>
          </w:p>
        </w:tc>
      </w:tr>
      <w:tr w14:paraId="0C42006A">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69779">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3</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53B2">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二氧化碳投加系统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520C2">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03B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固莱环保</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8216">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净化控股</w:t>
            </w:r>
          </w:p>
        </w:tc>
      </w:tr>
      <w:tr w14:paraId="4A4CF1E4">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B60BD">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4</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15E7">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插入式电磁流量计</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4CE7">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艾默生</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6EBE">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ABB</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E70">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霍尼韦尔</w:t>
            </w:r>
          </w:p>
        </w:tc>
      </w:tr>
      <w:tr w14:paraId="2FC60CB2">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93CC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5</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BDF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阀门电动控制机构</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42EC">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ROTORK</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2652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AUMA</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C078">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BERNARD</w:t>
            </w:r>
          </w:p>
        </w:tc>
      </w:tr>
      <w:tr w14:paraId="015239EC">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D8A8">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6</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72C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余氯分析仪</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1E5B6">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HACH</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49170">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E+H</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D755">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德菲</w:t>
            </w:r>
          </w:p>
        </w:tc>
      </w:tr>
      <w:tr w14:paraId="702B666D">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A834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7</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9C7C1">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数字计量泵</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6457">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格兰富</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F04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普罗名特</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C7D4">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米顿罗</w:t>
            </w:r>
          </w:p>
        </w:tc>
      </w:tr>
      <w:tr w14:paraId="78DC0431">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BC9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8</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0034">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rPr>
              <w:t>电磁流量计</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45DC9">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西门子</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52242">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eastAsia="宋体" w:cs="宋体"/>
                <w:b/>
                <w:bCs/>
                <w:color w:val="auto"/>
                <w:sz w:val="21"/>
                <w:szCs w:val="21"/>
                <w:highlight w:val="none"/>
              </w:rPr>
              <w:t>ABB</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F098">
            <w:pPr>
              <w:pStyle w:val="20"/>
              <w:widowControl/>
              <w:spacing w:line="500" w:lineRule="exact"/>
              <w:jc w:val="center"/>
              <w:rPr>
                <w:rFonts w:ascii="宋体" w:hAnsi="宋体" w:cs="宋体"/>
                <w:color w:val="auto"/>
                <w:sz w:val="21"/>
                <w:szCs w:val="21"/>
                <w:highlight w:val="none"/>
              </w:rPr>
            </w:pPr>
            <w:r>
              <w:rPr>
                <w:rFonts w:hint="eastAsia" w:ascii="宋体" w:hAnsi="宋体" w:eastAsia="宋体" w:cs="宋体"/>
                <w:b/>
                <w:bCs/>
                <w:color w:val="auto"/>
                <w:sz w:val="21"/>
                <w:szCs w:val="21"/>
                <w:highlight w:val="none"/>
              </w:rPr>
              <w:t>E+H</w:t>
            </w:r>
          </w:p>
        </w:tc>
      </w:tr>
      <w:tr w14:paraId="7D6A6CD5">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7ABF">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lang w:val="en-US" w:eastAsia="zh-CN"/>
              </w:rPr>
              <w:t>9</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212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highlight w:val="none"/>
              </w:rPr>
            </w:pPr>
            <w:r>
              <w:rPr>
                <w:rFonts w:hint="eastAsia" w:ascii="宋体" w:hAnsi="宋体" w:eastAsia="宋体" w:cs="宋体"/>
                <w:color w:val="auto"/>
                <w:sz w:val="21"/>
                <w:szCs w:val="21"/>
                <w:highlight w:val="none"/>
                <w:lang w:val="en-US" w:eastAsia="zh-CN"/>
              </w:rPr>
              <w:t>变频加压泵（溶气系统设备）</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5CA6">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南方</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5C01">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东方</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091F1">
            <w:pPr>
              <w:pStyle w:val="20"/>
              <w:widowControl/>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连成</w:t>
            </w:r>
          </w:p>
        </w:tc>
      </w:tr>
      <w:tr w14:paraId="355BDB35">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1A9A">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highlight w:val="none"/>
                <w:lang w:val="en-US"/>
              </w:rPr>
            </w:pPr>
            <w:r>
              <w:rPr>
                <w:rFonts w:hint="eastAsia" w:ascii="宋体" w:hAnsi="宋体" w:eastAsia="宋体" w:cs="宋体"/>
                <w:color w:val="auto"/>
                <w:sz w:val="21"/>
                <w:szCs w:val="21"/>
                <w:highlight w:val="none"/>
                <w:lang w:val="en-US" w:eastAsia="zh-CN"/>
              </w:rPr>
              <w:t>10</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3723">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空压机（溶气系统设备）</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C9EC">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复盛</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6451">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阿特拉斯</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8222">
            <w:pPr>
              <w:pStyle w:val="20"/>
              <w:widowControl/>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英格索兰</w:t>
            </w:r>
          </w:p>
        </w:tc>
      </w:tr>
    </w:tbl>
    <w:p w14:paraId="0273D30E">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五、技术服务与保证</w:t>
      </w:r>
    </w:p>
    <w:p w14:paraId="2A5770A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卖方须对一切与本合同有关的供货设备及技术接口、技术服务等问题负全部责任。</w:t>
      </w:r>
    </w:p>
    <w:p w14:paraId="38292E5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凡与本合同设备相连接的其他设备装置、卖方有提供接口和技术配合的义务，并不由此而发生合同价格以外的任何费用。</w:t>
      </w:r>
    </w:p>
    <w:p w14:paraId="2A70451D">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六、检验、测试与验收</w:t>
      </w:r>
    </w:p>
    <w:p w14:paraId="5F19C64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卖方的检验部门在制造过程中和完工后，应按本标书中所提出的标准和规范，对设备进行各项具体的检验和试验，提出检验报告，并对检验报告的准确性和完整性负责。所有检验报告及合格证作为技术资料的一部分交给买方存档，以便买方工程师进行监理。此外，卖方还应在随机文件中提供合格证和质量证明文件。</w:t>
      </w:r>
    </w:p>
    <w:p w14:paraId="63702A8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到达项目现场后，卖方在接到买方通知后应及时到现场，与买方一起根据运单和装箱单对货物的包装、外观及件数进行清点检验。如发现有任何不符之处经双方代表确认属卖方责任，由卖方处理解决。当货物运到项目现场后，买方应尽快开箱检验，检验货物的数量、规格和质量。买方应在开箱检查前</w:t>
      </w:r>
      <w:r>
        <w:rPr>
          <w:rFonts w:hint="eastAsia" w:ascii="宋体" w:hAnsi="宋体" w:cs="宋体"/>
          <w:color w:val="auto"/>
          <w:szCs w:val="21"/>
          <w:highlight w:val="none"/>
          <w:u w:val="single"/>
        </w:rPr>
        <w:t>7天</w:t>
      </w:r>
      <w:r>
        <w:rPr>
          <w:rFonts w:hint="eastAsia" w:ascii="宋体" w:hAnsi="宋体" w:cs="宋体"/>
          <w:color w:val="auto"/>
          <w:szCs w:val="21"/>
          <w:highlight w:val="none"/>
        </w:rPr>
        <w:t>通知卖方开箱检验日期，卖方应派遣检验人员参加现场检验工作，买方应为卖方检验人员提供工作方便。如检验时，卖方人员未按时赴现场，买方有权自行开箱检验，检验结果和记录对双方同样有效，并作为买方向卖方提出索赔的有效证据。</w:t>
      </w:r>
    </w:p>
    <w:p w14:paraId="580F53A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现场检验时，须由买方、卖方、施工单位、监理单位等四方组成的验收小组，与买方一起检验。如发现设备由于卖方原因（包括运输）有任何损坏、缺陷、短少或不符合合同中规定的质量标准和规范时，应做好记录，并由双方代表签字，各执一份，作为买方向卖方提出修理和/或更换和/或索赔的依据；如果卖方委托买方修理损坏的设备，所有修理设备的费用由卖方承担；如果由于买方原因，发现损坏或短缺，卖方在接到需方通知后，应尽快提供或替换相应的部件，但费用由买方自负。</w:t>
      </w:r>
    </w:p>
    <w:p w14:paraId="6D802A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同时卖方还应提交一份完整的（包括单台设备和整套系统）检验办法和验收标准。作为买方的验收依据。</w:t>
      </w:r>
    </w:p>
    <w:p w14:paraId="7D95158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当满足以下条件时，买方才向卖方颁发验收合格证书。</w:t>
      </w:r>
    </w:p>
    <w:p w14:paraId="00727FB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卖方已提供了合同中签署的全部货物及完整的技术资料。</w:t>
      </w:r>
    </w:p>
    <w:p w14:paraId="3D18186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货物符合规格书中的规定，性能满足要求。</w:t>
      </w:r>
    </w:p>
    <w:p w14:paraId="367AD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性能试验和系统试行中出现的所有缺陷已经改正至买方满意。</w:t>
      </w:r>
    </w:p>
    <w:p w14:paraId="0D9664E6">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七、安装、调试与试运行</w:t>
      </w:r>
    </w:p>
    <w:p w14:paraId="73B74127">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安装工程范围</w:t>
      </w:r>
    </w:p>
    <w:p w14:paraId="3AB89AC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本合同安装工程范围包括项目的全部设备、材料安装工程，主要有： </w:t>
      </w:r>
    </w:p>
    <w:p w14:paraId="20F80AB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本合同包括的全部机械设备</w:t>
      </w:r>
    </w:p>
    <w:p w14:paraId="0FD332E2">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全部电器设备及电缆的安装与敷设 </w:t>
      </w:r>
    </w:p>
    <w:p w14:paraId="32EACF78">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自动控制系统及现场仪表、控制阀门等。</w:t>
      </w:r>
    </w:p>
    <w:p w14:paraId="6B06B762">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项目的界区为施工图设计所含的全部范围和要求。</w:t>
      </w:r>
    </w:p>
    <w:p w14:paraId="56198A0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安装工程内容</w:t>
      </w:r>
    </w:p>
    <w:p w14:paraId="10801CFC">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承包人必须完成的项目安装工程主要内容有：</w:t>
      </w:r>
    </w:p>
    <w:p w14:paraId="6C919EC8">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安装前对安装设备、材料的检验，试验和验收保管；对土建基础等有关构筑物的检查验收；</w:t>
      </w:r>
    </w:p>
    <w:p w14:paraId="4D8C5C91">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机电设备、专有设备，电气及仪表盘等设备的安装及二次浇灌。</w:t>
      </w:r>
    </w:p>
    <w:p w14:paraId="392EC33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各种管道、阀门、管件等的安装：管架、支吊架、钢平台等的制作与安装。</w:t>
      </w:r>
    </w:p>
    <w:p w14:paraId="1D323275">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电气、控制仪表系统设备、电缆、电线的安装，支架的制作与安装；电气、仪表控制系统的软件编程。</w:t>
      </w:r>
    </w:p>
    <w:p w14:paraId="5728904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设备及管道的全部金属构件的外部油漆防腐。</w:t>
      </w:r>
    </w:p>
    <w:p w14:paraId="4FD684B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按规范和规定安装工程中完成的关的检验、试压、试验等检测工作，并办理与当地劳动部门的有关手续。</w:t>
      </w:r>
    </w:p>
    <w:p w14:paraId="46CCADB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设备、仪器仪表、系统的调式、单机试运行和系统联动试车。</w:t>
      </w:r>
    </w:p>
    <w:p w14:paraId="03D512B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由于供应设备、仪器与原设计不一，因此需修改原设计的设备基础，管道联接方式和尺寸，管道走向等，承包人完成修改设计，经项目经理审核后实施，且费用自理。</w:t>
      </w:r>
    </w:p>
    <w:p w14:paraId="1298333D">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八、培训</w:t>
      </w:r>
    </w:p>
    <w:p w14:paraId="6D9605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免费为甲方的维修人员提供现场培训，使受培训人员至少达到以下水平：掌握一般运行原理、使用方法、紧急救援及日常维护等常用技能。</w:t>
      </w:r>
    </w:p>
    <w:p w14:paraId="5228E31C">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九、质量保证期</w:t>
      </w:r>
    </w:p>
    <w:p w14:paraId="7983C0B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质量保证期：</w:t>
      </w:r>
      <w:r>
        <w:rPr>
          <w:rFonts w:hint="eastAsia" w:ascii="宋体" w:hAnsi="宋体" w:cs="宋体"/>
          <w:color w:val="auto"/>
          <w:highlight w:val="none"/>
        </w:rPr>
        <w:t>自整体项目验收完毕之日起两年之内为质保期。</w:t>
      </w:r>
      <w:r>
        <w:rPr>
          <w:rFonts w:hint="eastAsia" w:ascii="宋体" w:hAnsi="宋体" w:cs="宋体"/>
          <w:color w:val="auto"/>
          <w:szCs w:val="21"/>
          <w:highlight w:val="none"/>
        </w:rPr>
        <w:t>质量保证期内，系统确因制造质量不良而发生损坏或不能正常工作时，卖方应免费修理或更换并免费提供维修保养服务。更换的零部件的质量保证期从更换之日起再延长</w:t>
      </w:r>
      <w:r>
        <w:rPr>
          <w:rFonts w:hint="eastAsia" w:ascii="宋体" w:hAnsi="宋体" w:cs="宋体"/>
          <w:color w:val="auto"/>
          <w:szCs w:val="21"/>
          <w:highlight w:val="none"/>
          <w:u w:val="single"/>
        </w:rPr>
        <w:t>1年</w:t>
      </w:r>
      <w:r>
        <w:rPr>
          <w:rFonts w:hint="eastAsia" w:ascii="宋体" w:hAnsi="宋体" w:cs="宋体"/>
          <w:color w:val="auto"/>
          <w:szCs w:val="21"/>
          <w:highlight w:val="none"/>
        </w:rPr>
        <w:t>。对于隐蔽性的、合理的检查和试验都不能发觉得缺陷，即使质量保证期已过，由于其产品本身的设计缺陷、制造缺陷、安装缺陷造成的故障，仍由投标人免费负责。维修保养内容包括但不限于：</w:t>
      </w:r>
    </w:p>
    <w:p w14:paraId="2A889DA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24h</w:t>
      </w:r>
      <w:r>
        <w:rPr>
          <w:rFonts w:hint="eastAsia" w:ascii="宋体" w:hAnsi="宋体" w:cs="宋体"/>
          <w:color w:val="auto"/>
          <w:szCs w:val="21"/>
          <w:highlight w:val="none"/>
        </w:rPr>
        <w:t>应急服务，并不收取法定工作日和日常工作时间以外的附加费用。</w:t>
      </w:r>
    </w:p>
    <w:p w14:paraId="12D75C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普通故障的修复时间为不大于</w:t>
      </w:r>
      <w:r>
        <w:rPr>
          <w:rFonts w:hint="eastAsia" w:ascii="宋体" w:hAnsi="宋体" w:cs="宋体"/>
          <w:color w:val="auto"/>
          <w:szCs w:val="21"/>
          <w:highlight w:val="none"/>
          <w:u w:val="single"/>
        </w:rPr>
        <w:t>4h</w:t>
      </w:r>
      <w:r>
        <w:rPr>
          <w:rFonts w:hint="eastAsia" w:ascii="宋体" w:hAnsi="宋体" w:cs="宋体"/>
          <w:color w:val="auto"/>
          <w:szCs w:val="21"/>
          <w:highlight w:val="none"/>
        </w:rPr>
        <w:t>。修复时间从投标人接到故障通知时计算。注明由谁提供维修保养服务，如果不是制造商提供维修保养服务，则需提供制造商的委托书，制造商承担连带责任。</w:t>
      </w:r>
    </w:p>
    <w:p w14:paraId="586FADF7">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十、备品备件及专用工具</w:t>
      </w:r>
    </w:p>
    <w:p w14:paraId="6717073A">
      <w:pPr>
        <w:spacing w:before="156" w:beforeLines="50" w:line="360" w:lineRule="auto"/>
        <w:jc w:val="center"/>
        <w:rPr>
          <w:rFonts w:ascii="宋体" w:hAnsi="宋体" w:cs="宋体"/>
          <w:b/>
          <w:color w:val="auto"/>
          <w:sz w:val="24"/>
          <w:highlight w:val="none"/>
        </w:rPr>
      </w:pPr>
      <w:r>
        <w:rPr>
          <w:rFonts w:hint="eastAsia" w:ascii="宋体" w:hAnsi="宋体" w:cs="宋体"/>
          <w:b/>
          <w:color w:val="auto"/>
          <w:sz w:val="24"/>
          <w:highlight w:val="none"/>
        </w:rPr>
        <w:t>（包含在投标总价中）</w:t>
      </w:r>
    </w:p>
    <w:p w14:paraId="2D18F20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1C347FA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供货厂商应按标准提供</w:t>
      </w:r>
      <w:r>
        <w:rPr>
          <w:rFonts w:hint="eastAsia" w:ascii="宋体" w:hAnsi="宋体" w:cs="宋体"/>
          <w:color w:val="auto"/>
          <w:szCs w:val="21"/>
          <w:highlight w:val="none"/>
          <w:u w:val="single"/>
        </w:rPr>
        <w:t>2年</w:t>
      </w:r>
      <w:r>
        <w:rPr>
          <w:rFonts w:hint="eastAsia" w:ascii="宋体" w:hAnsi="宋体" w:cs="宋体"/>
          <w:color w:val="auto"/>
          <w:szCs w:val="21"/>
          <w:highlight w:val="none"/>
        </w:rPr>
        <w:t>的易损备品备件。</w:t>
      </w:r>
    </w:p>
    <w:p w14:paraId="0E4FB31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供货厂商应提供随机专用工具清单。</w:t>
      </w:r>
    </w:p>
    <w:p w14:paraId="0BD65D4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供货厂商应承诺在保修期外以不高于十一条第2款的价格向买方提供备品备件，并在寿命期内保证零配件供应。</w:t>
      </w:r>
    </w:p>
    <w:p w14:paraId="751E30D7">
      <w:pPr>
        <w:pStyle w:val="3"/>
        <w:spacing w:before="93" w:beforeLines="30" w:after="93" w:afterLines="30"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十一、其他要求</w:t>
      </w:r>
    </w:p>
    <w:p w14:paraId="1FE1CC10">
      <w:pPr>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本技术条件及卖方提供的所有书面文件资料将作为合同的必要组成部分与合同一起生效执行。</w:t>
      </w:r>
    </w:p>
    <w:p w14:paraId="5E86E42F">
      <w:pPr>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合同签订后二周内，卖方应提交下述买方一式4份文件以供买方确认批准： </w:t>
      </w:r>
    </w:p>
    <w:p w14:paraId="3EBBD74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设备的技术参数表，设备的外形尺寸、总重、最大部件重量说明</w:t>
      </w:r>
    </w:p>
    <w:p w14:paraId="52E423D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所有与土建施工相关的图纸资料，包括预留孔、预埋件、电缆沟（槽）的尺寸及位置、地脚螺栓位置、土建荷载图、基础安装图等。</w:t>
      </w:r>
    </w:p>
    <w:p w14:paraId="1D0007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电气原理图，如典型逻辑图、框图及接线图等。</w:t>
      </w:r>
    </w:p>
    <w:p w14:paraId="69101225">
      <w:pPr>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合同设备交货前一周，卖方应提交下述一式6份文件(同时提供电子版6份)：</w:t>
      </w:r>
    </w:p>
    <w:p w14:paraId="3B3C1613">
      <w:pPr>
        <w:widowControl/>
        <w:numPr>
          <w:ilvl w:val="0"/>
          <w:numId w:val="11"/>
        </w:numPr>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安装使用说明书（包括结构图及易损件零件图）及附属设备安装使用说明书。</w:t>
      </w:r>
    </w:p>
    <w:p w14:paraId="7E34C4E8">
      <w:pPr>
        <w:widowControl/>
        <w:numPr>
          <w:ilvl w:val="0"/>
          <w:numId w:val="11"/>
        </w:numPr>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设备操作、保养和维护手册</w:t>
      </w:r>
    </w:p>
    <w:p w14:paraId="31CE97C6">
      <w:pPr>
        <w:widowControl/>
        <w:numPr>
          <w:ilvl w:val="0"/>
          <w:numId w:val="11"/>
        </w:numPr>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产品合格证书</w:t>
      </w:r>
    </w:p>
    <w:p w14:paraId="68BFED23">
      <w:pPr>
        <w:widowControl/>
        <w:numPr>
          <w:ilvl w:val="0"/>
          <w:numId w:val="11"/>
        </w:numPr>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制造商及合同中所规定的各种试验报告、材料检验报告。</w:t>
      </w:r>
    </w:p>
    <w:p w14:paraId="3D353FAD">
      <w:pPr>
        <w:widowControl/>
        <w:numPr>
          <w:ilvl w:val="0"/>
          <w:numId w:val="11"/>
        </w:numPr>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现场最终试验程序</w:t>
      </w:r>
    </w:p>
    <w:p w14:paraId="476ED136">
      <w:pPr>
        <w:widowControl/>
        <w:adjustRightInd w:val="0"/>
        <w:spacing w:line="500" w:lineRule="exact"/>
        <w:ind w:firstLine="413" w:firstLineChars="196"/>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技术资料的语言文字</w:t>
      </w:r>
    </w:p>
    <w:p w14:paraId="51569B6B">
      <w:pPr>
        <w:widowControl/>
        <w:adjustRightIn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    提交的技术文件和图纸一律用中文书写。文字资料纸采用A4规格，大于A4的图表应折叠成A4尺寸。此外，资料、图纸应装在硬质塑料封面内。同时提供电子版。</w:t>
      </w:r>
    </w:p>
    <w:p w14:paraId="77B21ED6">
      <w:pPr>
        <w:widowControl/>
        <w:adjustRightInd w:val="0"/>
        <w:spacing w:line="500" w:lineRule="exact"/>
        <w:ind w:firstLine="413" w:firstLineChars="196"/>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专利</w:t>
      </w:r>
    </w:p>
    <w:p w14:paraId="12CB108B">
      <w:pPr>
        <w:widowControl/>
        <w:adjustRightInd w:val="0"/>
        <w:spacing w:line="500" w:lineRule="exact"/>
        <w:ind w:firstLine="435"/>
        <w:textAlignment w:val="bottom"/>
        <w:rPr>
          <w:rFonts w:ascii="宋体" w:hAnsi="宋体" w:cs="宋体"/>
          <w:color w:val="auto"/>
          <w:szCs w:val="21"/>
          <w:highlight w:val="none"/>
        </w:rPr>
      </w:pPr>
      <w:r>
        <w:rPr>
          <w:rFonts w:hint="eastAsia" w:ascii="宋体" w:hAnsi="宋体" w:cs="宋体"/>
          <w:color w:val="auto"/>
          <w:szCs w:val="21"/>
          <w:highlight w:val="none"/>
        </w:rPr>
        <w:t>设备采用的专利涉及到的全部费用均被认为已含在设备费用之内。卖方应保证发包者不承担有关设备专利的一切责任。</w:t>
      </w:r>
    </w:p>
    <w:p w14:paraId="54D327A8">
      <w:pPr>
        <w:widowControl/>
        <w:adjustRightInd w:val="0"/>
        <w:spacing w:line="500" w:lineRule="exact"/>
        <w:ind w:firstLine="413" w:firstLineChars="196"/>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包装与标志</w:t>
      </w:r>
    </w:p>
    <w:p w14:paraId="71FE4C4F">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val="en-US" w:eastAsia="zh-CN"/>
        </w:rPr>
        <w:t>6.1</w:t>
      </w:r>
      <w:r>
        <w:rPr>
          <w:rFonts w:hint="eastAsia" w:ascii="宋体" w:hAnsi="宋体" w:cs="宋体"/>
          <w:color w:val="auto"/>
          <w:szCs w:val="21"/>
          <w:highlight w:val="none"/>
        </w:rPr>
        <w:t>备的包装应坚固以适应各种运输方式，包括在中国境内的内陆运输及多种装卸的需要，并应保护得当以防止潮湿、震荡和锈蚀。卖方应对由卖方不适当包装而引起的任何锈蚀、损坏和损失负责</w:t>
      </w:r>
    </w:p>
    <w:p w14:paraId="5F938FCA">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val="en-US" w:eastAsia="zh-CN"/>
        </w:rPr>
        <w:t>6.2</w:t>
      </w:r>
      <w:r>
        <w:rPr>
          <w:rFonts w:hint="eastAsia" w:ascii="宋体" w:hAnsi="宋体" w:cs="宋体"/>
          <w:color w:val="auto"/>
          <w:szCs w:val="21"/>
          <w:highlight w:val="none"/>
        </w:rPr>
        <w:t>包装须符合中国国家质量监督检验检疫局对进口包装材料的检疫要求。</w:t>
      </w:r>
    </w:p>
    <w:p w14:paraId="56FECEBB">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val="en-US" w:eastAsia="zh-CN"/>
        </w:rPr>
        <w:t>6.3</w:t>
      </w:r>
      <w:r>
        <w:rPr>
          <w:rFonts w:hint="eastAsia" w:ascii="宋体" w:hAnsi="宋体" w:cs="宋体"/>
          <w:color w:val="auto"/>
          <w:szCs w:val="21"/>
          <w:highlight w:val="none"/>
        </w:rPr>
        <w:t>每件包装箱内应附有相应的装箱单、质量证书、技术文件。</w:t>
      </w:r>
    </w:p>
    <w:p w14:paraId="64AE1D1F">
      <w:pPr>
        <w:tabs>
          <w:tab w:val="left" w:pos="360"/>
          <w:tab w:val="left" w:pos="42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卖方应在每一件包装箱外的四面用不可擦除和不易被溶解的油漆或涂料标记出以下明显的英文字样：收货人（买方）、合同号、目的港、货物名称、箱号、货物编号、毛重/净重（用Kg表示），尺寸（长、宽、高用cm表示）。</w:t>
      </w:r>
    </w:p>
    <w:p w14:paraId="429D87DA">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如单件包装的重量在2吨或以上，卖方应在包装箱的四个侧面用英文及国际贸易运输常用的标记图案标明重量及挂绳和重心位置，以便装卸和搬运，根据设备的特点和装卸、运输上的不同要求，在包装箱上应以英文明显的印刷“轻放”“勿倒置”“防雨”等字样及相同的国际贸易运输常用的标记图</w:t>
      </w:r>
    </w:p>
    <w:p w14:paraId="7CE9ED9B">
      <w:pPr>
        <w:spacing w:line="360" w:lineRule="auto"/>
        <w:rPr>
          <w:color w:val="auto"/>
          <w:highlight w:val="none"/>
        </w:rPr>
      </w:pPr>
    </w:p>
    <w:p w14:paraId="11609847">
      <w:pPr>
        <w:numPr>
          <w:ilvl w:val="0"/>
          <w:numId w:val="12"/>
        </w:numPr>
        <w:ind w:firstLine="600"/>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26272452">
      <w:pPr>
        <w:pStyle w:val="2"/>
        <w:spacing w:before="156" w:beforeLines="50" w:after="156" w:afterLines="5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第九章   投标文件格式</w:t>
      </w:r>
      <w:bookmarkEnd w:id="722"/>
    </w:p>
    <w:p w14:paraId="0717F7AF">
      <w:pPr>
        <w:adjustRightInd w:val="0"/>
        <w:snapToGrid w:val="0"/>
        <w:spacing w:line="560" w:lineRule="exact"/>
        <w:rPr>
          <w:color w:val="auto"/>
          <w:highlight w:val="none"/>
        </w:rPr>
      </w:pPr>
    </w:p>
    <w:p w14:paraId="64E3445D">
      <w:pPr>
        <w:adjustRightInd w:val="0"/>
        <w:snapToGrid w:val="0"/>
        <w:spacing w:line="560" w:lineRule="exact"/>
        <w:rPr>
          <w:color w:val="auto"/>
          <w:highlight w:val="none"/>
        </w:rPr>
      </w:pPr>
    </w:p>
    <w:p w14:paraId="01199BEA">
      <w:pPr>
        <w:adjustRightInd w:val="0"/>
        <w:snapToGrid w:val="0"/>
        <w:spacing w:line="560" w:lineRule="exact"/>
        <w:rPr>
          <w:color w:val="auto"/>
          <w:highlight w:val="none"/>
        </w:rPr>
      </w:pPr>
    </w:p>
    <w:p w14:paraId="2D629E53">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bookmarkStart w:id="762" w:name="_Toc15058933"/>
      <w:bookmarkStart w:id="763" w:name="_Toc60061573"/>
      <w:bookmarkStart w:id="764" w:name="_Toc506107339"/>
      <w:bookmarkStart w:id="765" w:name="_Toc484173788"/>
      <w:r>
        <w:rPr>
          <w:rFonts w:hint="eastAsia" w:eastAsia="黑体"/>
          <w:color w:val="auto"/>
          <w:sz w:val="28"/>
          <w:szCs w:val="28"/>
          <w:highlight w:val="none"/>
          <w:u w:val="single"/>
        </w:rPr>
        <w:t xml:space="preserve">            </w:t>
      </w:r>
      <w:bookmarkEnd w:id="762"/>
      <w:bookmarkEnd w:id="763"/>
      <w:bookmarkEnd w:id="764"/>
      <w:bookmarkEnd w:id="765"/>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766" w:name="_Toc247085872"/>
      <w:bookmarkStart w:id="767" w:name="_Toc152042575"/>
      <w:bookmarkStart w:id="768" w:name="_Toc152045786"/>
      <w:bookmarkStart w:id="769" w:name="_Toc246996354"/>
      <w:bookmarkStart w:id="770" w:name="_Toc179632806"/>
      <w:bookmarkStart w:id="771" w:name="_Toc144974855"/>
      <w:bookmarkStart w:id="772" w:name="_Toc246997097"/>
      <w:r>
        <w:rPr>
          <w:rFonts w:eastAsia="黑体"/>
          <w:color w:val="auto"/>
          <w:sz w:val="28"/>
          <w:szCs w:val="28"/>
          <w:highlight w:val="none"/>
        </w:rPr>
        <w:t>）</w:t>
      </w:r>
      <w:bookmarkStart w:id="773" w:name="_Toc15058934"/>
      <w:bookmarkStart w:id="774" w:name="_Toc60061574"/>
      <w:bookmarkStart w:id="775" w:name="_Toc324404888"/>
      <w:bookmarkStart w:id="776" w:name="_Toc506107340"/>
    </w:p>
    <w:p w14:paraId="38B383B4">
      <w:pPr>
        <w:adjustRightInd w:val="0"/>
        <w:snapToGrid w:val="0"/>
        <w:spacing w:line="560" w:lineRule="exact"/>
        <w:jc w:val="center"/>
        <w:rPr>
          <w:rFonts w:eastAsia="黑体"/>
          <w:color w:val="auto"/>
          <w:sz w:val="20"/>
          <w:szCs w:val="20"/>
          <w:highlight w:val="none"/>
        </w:rPr>
      </w:pPr>
    </w:p>
    <w:p w14:paraId="3CE6D57D">
      <w:pPr>
        <w:adjustRightInd w:val="0"/>
        <w:snapToGrid w:val="0"/>
        <w:spacing w:line="560" w:lineRule="exact"/>
        <w:jc w:val="center"/>
        <w:rPr>
          <w:rFonts w:eastAsia="黑体"/>
          <w:color w:val="auto"/>
          <w:sz w:val="20"/>
          <w:szCs w:val="20"/>
          <w:highlight w:val="none"/>
        </w:rPr>
      </w:pPr>
    </w:p>
    <w:p w14:paraId="7AFE564D">
      <w:pPr>
        <w:adjustRightInd w:val="0"/>
        <w:snapToGrid w:val="0"/>
        <w:spacing w:line="560" w:lineRule="exact"/>
        <w:jc w:val="center"/>
        <w:rPr>
          <w:rFonts w:eastAsia="黑体"/>
          <w:color w:val="auto"/>
          <w:sz w:val="20"/>
          <w:szCs w:val="20"/>
          <w:highlight w:val="none"/>
        </w:rPr>
      </w:pPr>
    </w:p>
    <w:p w14:paraId="42619BCD">
      <w:pPr>
        <w:adjustRightInd w:val="0"/>
        <w:snapToGrid w:val="0"/>
        <w:spacing w:line="560" w:lineRule="exact"/>
        <w:rPr>
          <w:rFonts w:eastAsia="黑体"/>
          <w:color w:val="auto"/>
          <w:sz w:val="20"/>
          <w:szCs w:val="20"/>
          <w:highlight w:val="none"/>
        </w:rPr>
      </w:pPr>
    </w:p>
    <w:p w14:paraId="0CEEFB62">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w:t>
      </w:r>
      <w:bookmarkEnd w:id="766"/>
      <w:bookmarkEnd w:id="767"/>
      <w:bookmarkEnd w:id="768"/>
      <w:bookmarkEnd w:id="769"/>
      <w:bookmarkEnd w:id="770"/>
      <w:bookmarkEnd w:id="771"/>
      <w:bookmarkEnd w:id="772"/>
      <w:bookmarkEnd w:id="773"/>
      <w:bookmarkEnd w:id="774"/>
      <w:bookmarkEnd w:id="775"/>
      <w:bookmarkEnd w:id="776"/>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2895170F">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（资信证明文件）</w:t>
      </w:r>
    </w:p>
    <w:p w14:paraId="5F646AF1">
      <w:pPr>
        <w:adjustRightInd w:val="0"/>
        <w:snapToGrid w:val="0"/>
        <w:spacing w:line="560" w:lineRule="exact"/>
        <w:rPr>
          <w:rFonts w:eastAsia="黑体"/>
          <w:color w:val="auto"/>
          <w:sz w:val="28"/>
          <w:szCs w:val="28"/>
          <w:highlight w:val="none"/>
        </w:rPr>
      </w:pPr>
    </w:p>
    <w:p w14:paraId="6402C583">
      <w:pPr>
        <w:adjustRightInd w:val="0"/>
        <w:snapToGrid w:val="0"/>
        <w:spacing w:line="560" w:lineRule="exact"/>
        <w:rPr>
          <w:rFonts w:eastAsia="黑体"/>
          <w:color w:val="auto"/>
          <w:sz w:val="28"/>
          <w:szCs w:val="28"/>
          <w:highlight w:val="none"/>
        </w:rPr>
      </w:pPr>
    </w:p>
    <w:p w14:paraId="597278D1">
      <w:pPr>
        <w:adjustRightInd w:val="0"/>
        <w:snapToGrid w:val="0"/>
        <w:spacing w:line="560" w:lineRule="exact"/>
        <w:rPr>
          <w:rFonts w:eastAsia="黑体"/>
          <w:color w:val="auto"/>
          <w:sz w:val="28"/>
          <w:szCs w:val="28"/>
          <w:highlight w:val="none"/>
        </w:rPr>
      </w:pPr>
    </w:p>
    <w:p w14:paraId="52527FF1">
      <w:pPr>
        <w:adjustRightInd w:val="0"/>
        <w:snapToGrid w:val="0"/>
        <w:spacing w:line="560" w:lineRule="exact"/>
        <w:rPr>
          <w:rFonts w:eastAsia="黑体"/>
          <w:color w:val="auto"/>
          <w:sz w:val="28"/>
          <w:szCs w:val="28"/>
          <w:highlight w:val="none"/>
        </w:rPr>
      </w:pPr>
    </w:p>
    <w:p w14:paraId="27DE5965">
      <w:pPr>
        <w:adjustRightInd w:val="0"/>
        <w:snapToGrid w:val="0"/>
        <w:spacing w:line="560" w:lineRule="exact"/>
        <w:rPr>
          <w:rFonts w:eastAsia="黑体"/>
          <w:color w:val="auto"/>
          <w:sz w:val="28"/>
          <w:szCs w:val="28"/>
          <w:highlight w:val="none"/>
        </w:rPr>
      </w:pPr>
    </w:p>
    <w:p w14:paraId="13DC4B53">
      <w:pPr>
        <w:adjustRightInd w:val="0"/>
        <w:snapToGrid w:val="0"/>
        <w:spacing w:line="560" w:lineRule="exact"/>
        <w:rPr>
          <w:rFonts w:eastAsia="黑体"/>
          <w:color w:val="auto"/>
          <w:sz w:val="28"/>
          <w:szCs w:val="28"/>
          <w:highlight w:val="none"/>
        </w:rPr>
      </w:pPr>
    </w:p>
    <w:p w14:paraId="75038E1D">
      <w:pPr>
        <w:adjustRightInd w:val="0"/>
        <w:snapToGrid w:val="0"/>
        <w:spacing w:line="560" w:lineRule="exact"/>
        <w:rPr>
          <w:rFonts w:eastAsia="黑体"/>
          <w:color w:val="auto"/>
          <w:sz w:val="28"/>
          <w:szCs w:val="28"/>
          <w:highlight w:val="none"/>
        </w:rPr>
      </w:pPr>
    </w:p>
    <w:p w14:paraId="20609263">
      <w:pPr>
        <w:adjustRightInd w:val="0"/>
        <w:snapToGrid w:val="0"/>
        <w:spacing w:line="560" w:lineRule="exact"/>
        <w:rPr>
          <w:rFonts w:eastAsia="黑体"/>
          <w:color w:val="auto"/>
          <w:sz w:val="28"/>
          <w:szCs w:val="28"/>
          <w:highlight w:val="none"/>
        </w:rPr>
      </w:pPr>
    </w:p>
    <w:p w14:paraId="4AE22744">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50C85039">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1C3E5B78">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031F7FC4">
      <w:pPr>
        <w:rPr>
          <w:color w:val="auto"/>
          <w:highlight w:val="none"/>
        </w:rPr>
      </w:pPr>
      <w:bookmarkStart w:id="777" w:name="_Toc95223532"/>
      <w:bookmarkStart w:id="778" w:name="_Toc179632833"/>
      <w:bookmarkStart w:id="779" w:name="_Toc246996374"/>
      <w:bookmarkStart w:id="780" w:name="_Toc246997117"/>
      <w:bookmarkStart w:id="781" w:name="_Toc152045813"/>
      <w:bookmarkStart w:id="782" w:name="_Toc296602622"/>
      <w:bookmarkStart w:id="783" w:name="_Toc247085892"/>
      <w:bookmarkStart w:id="784" w:name="_Toc144974881"/>
      <w:bookmarkStart w:id="785" w:name="_Toc152042602"/>
      <w:r>
        <w:rPr>
          <w:rFonts w:hint="eastAsia"/>
          <w:color w:val="auto"/>
          <w:highlight w:val="none"/>
        </w:rPr>
        <w:br w:type="page"/>
      </w:r>
    </w:p>
    <w:p w14:paraId="15CF553C">
      <w:pPr>
        <w:pStyle w:val="3"/>
        <w:rPr>
          <w:color w:val="auto"/>
          <w:highlight w:val="none"/>
        </w:rPr>
      </w:pPr>
      <w:r>
        <w:rPr>
          <w:rFonts w:hint="eastAsia"/>
          <w:color w:val="auto"/>
          <w:highlight w:val="none"/>
        </w:rPr>
        <w:t>投标文件一：资信证明文件目录</w:t>
      </w:r>
      <w:bookmarkEnd w:id="777"/>
    </w:p>
    <w:p w14:paraId="28E64588">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（1）投标人基本情况表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r>
        <w:rPr>
          <w:rFonts w:hint="eastAsia" w:ascii="宋体" w:hAnsi="宋体" w:cs="宋体"/>
          <w:color w:val="auto"/>
          <w:highlight w:val="none"/>
        </w:rPr>
        <w:t>；</w:t>
      </w:r>
    </w:p>
    <w:p w14:paraId="081C2AF6">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（2）近年财务状况表（本项目不采用）；</w:t>
      </w:r>
    </w:p>
    <w:p w14:paraId="371CD422">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（3）近年完成的类似项目情况表（本项目不采用）；</w:t>
      </w:r>
    </w:p>
    <w:p w14:paraId="47B58768">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（4）正在实施的和新承接的项目情况表（本项目不采用）；</w:t>
      </w:r>
    </w:p>
    <w:p w14:paraId="3C8F82C8">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（5）联合体协议书（</w:t>
      </w:r>
      <w:r>
        <w:rPr>
          <w:rFonts w:hint="eastAsia" w:ascii="宋体" w:hAnsi="宋体" w:cs="宋体"/>
          <w:color w:val="auto"/>
          <w:szCs w:val="21"/>
          <w:highlight w:val="none"/>
        </w:rPr>
        <w:t>如有</w:t>
      </w:r>
      <w:r>
        <w:rPr>
          <w:rFonts w:hint="eastAsia" w:ascii="宋体" w:hAnsi="宋体" w:cs="宋体"/>
          <w:color w:val="auto"/>
          <w:highlight w:val="none"/>
        </w:rPr>
        <w:t>）；</w:t>
      </w:r>
    </w:p>
    <w:p w14:paraId="19733E92">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项目管理机构</w:t>
      </w:r>
      <w:r>
        <w:rPr>
          <w:rFonts w:hint="eastAsia" w:ascii="宋体" w:hAnsi="宋体" w:cs="宋体"/>
          <w:color w:val="auto"/>
          <w:highlight w:val="none"/>
        </w:rPr>
        <w:t>；</w:t>
      </w:r>
    </w:p>
    <w:p w14:paraId="3C5B3E42">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（7）其他资格审查资料（由以下材料</w:t>
      </w:r>
      <w:r>
        <w:rPr>
          <w:rFonts w:hint="eastAsia" w:ascii="宋体" w:hAnsi="宋体" w:cs="宋体"/>
          <w:color w:val="auto"/>
          <w:szCs w:val="21"/>
          <w:highlight w:val="none"/>
        </w:rPr>
        <w:t>组成</w:t>
      </w:r>
      <w:r>
        <w:rPr>
          <w:rFonts w:hint="eastAsia" w:ascii="宋体" w:hAnsi="宋体" w:cs="宋体"/>
          <w:color w:val="auto"/>
          <w:highlight w:val="none"/>
        </w:rPr>
        <w:t>）：</w:t>
      </w:r>
    </w:p>
    <w:p w14:paraId="224D39D3">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658EAC2">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2）诚信投标承诺书（或《公共信用信息报告（无违法违规证明版或核查版）》）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r>
        <w:rPr>
          <w:rFonts w:hint="eastAsia" w:ascii="宋体" w:hAnsi="宋体" w:cs="宋体"/>
          <w:color w:val="auto"/>
          <w:szCs w:val="21"/>
          <w:highlight w:val="none"/>
        </w:rPr>
        <w:t>；</w:t>
      </w:r>
    </w:p>
    <w:p w14:paraId="2647B5AF">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3）企业法人营业执照</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若为联合体投标，均须提供）</w:t>
      </w:r>
      <w:r>
        <w:rPr>
          <w:rFonts w:hint="eastAsia" w:ascii="宋体" w:hAnsi="宋体" w:cs="宋体"/>
          <w:color w:val="auto"/>
          <w:szCs w:val="21"/>
          <w:highlight w:val="none"/>
        </w:rPr>
        <w:t>；</w:t>
      </w:r>
    </w:p>
    <w:p w14:paraId="5BDED44D">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若为联合体投标，设计方及施工方均须提供）</w:t>
      </w:r>
      <w:r>
        <w:rPr>
          <w:rFonts w:hint="eastAsia" w:ascii="宋体" w:hAnsi="宋体" w:cs="宋体"/>
          <w:color w:val="auto"/>
          <w:szCs w:val="21"/>
          <w:highlight w:val="none"/>
        </w:rPr>
        <w:t>；</w:t>
      </w:r>
    </w:p>
    <w:p w14:paraId="064AEC64">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5）企业安全生产许可证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若为联合体投标，施工方须提供）</w:t>
      </w:r>
      <w:r>
        <w:rPr>
          <w:rFonts w:hint="eastAsia" w:ascii="宋体" w:hAnsi="宋体" w:cs="宋体"/>
          <w:color w:val="auto"/>
          <w:szCs w:val="21"/>
          <w:highlight w:val="none"/>
        </w:rPr>
        <w:t>；</w:t>
      </w:r>
    </w:p>
    <w:p w14:paraId="1D4BA75B">
      <w:pPr>
        <w:adjustRightInd w:val="0"/>
        <w:snapToGrid w:val="0"/>
        <w:spacing w:line="52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424F17FE">
      <w:pPr>
        <w:widowControl/>
        <w:adjustRightInd w:val="0"/>
        <w:snapToGrid w:val="0"/>
        <w:spacing w:line="520" w:lineRule="exact"/>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7）设计负责人有效身份证、注册证书及职称证书；</w:t>
      </w:r>
    </w:p>
    <w:p w14:paraId="1BA5F4AC">
      <w:pPr>
        <w:widowControl/>
        <w:adjustRightInd w:val="0"/>
        <w:snapToGrid w:val="0"/>
        <w:spacing w:line="520" w:lineRule="exact"/>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8）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3D8D8E16">
      <w:pPr>
        <w:adjustRightInd w:val="0"/>
        <w:snapToGrid w:val="0"/>
        <w:spacing w:line="560" w:lineRule="exact"/>
        <w:ind w:firstLine="840" w:firstLineChars="4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）资信评审业绩、得分业绩等证明和投标人认为需要的其它证明材料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rPr>
        <w:t>。</w:t>
      </w:r>
    </w:p>
    <w:p w14:paraId="78F3DD22">
      <w:pPr>
        <w:adjustRightInd w:val="0"/>
        <w:snapToGrid w:val="0"/>
        <w:spacing w:line="560" w:lineRule="exact"/>
        <w:rPr>
          <w:rFonts w:eastAsia="黑体"/>
          <w:color w:val="auto"/>
          <w:sz w:val="20"/>
          <w:szCs w:val="20"/>
          <w:highlight w:val="none"/>
        </w:rPr>
      </w:pPr>
    </w:p>
    <w:p w14:paraId="543BF2C5">
      <w:pPr>
        <w:adjustRightInd w:val="0"/>
        <w:snapToGrid w:val="0"/>
        <w:spacing w:line="560" w:lineRule="exact"/>
        <w:rPr>
          <w:color w:val="auto"/>
          <w:highlight w:val="none"/>
        </w:rPr>
      </w:pPr>
    </w:p>
    <w:p w14:paraId="08876067">
      <w:pPr>
        <w:adjustRightInd w:val="0"/>
        <w:snapToGrid w:val="0"/>
        <w:spacing w:line="560" w:lineRule="exact"/>
        <w:rPr>
          <w:b/>
          <w:color w:val="auto"/>
          <w:sz w:val="28"/>
          <w:szCs w:val="28"/>
          <w:highlight w:val="none"/>
        </w:rPr>
      </w:pPr>
    </w:p>
    <w:p w14:paraId="605EFF1E">
      <w:pPr>
        <w:pStyle w:val="4"/>
        <w:pageBreakBefore/>
        <w:adjustRightInd w:val="0"/>
        <w:snapToGrid w:val="0"/>
        <w:spacing w:line="560" w:lineRule="exact"/>
        <w:jc w:val="center"/>
        <w:rPr>
          <w:color w:val="auto"/>
          <w:highlight w:val="none"/>
        </w:rPr>
      </w:pPr>
      <w:bookmarkStart w:id="786" w:name="_Toc95223533"/>
      <w:r>
        <w:rPr>
          <w:color w:val="auto"/>
          <w:highlight w:val="none"/>
        </w:rPr>
        <w:t>（</w:t>
      </w:r>
      <w:r>
        <w:rPr>
          <w:rFonts w:hint="eastAsia"/>
          <w:color w:val="auto"/>
          <w:highlight w:val="none"/>
        </w:rPr>
        <w:t>1</w:t>
      </w:r>
      <w:r>
        <w:rPr>
          <w:color w:val="auto"/>
          <w:highlight w:val="none"/>
        </w:rPr>
        <w:t>）投标人基本情况表</w:t>
      </w:r>
      <w:bookmarkEnd w:id="786"/>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6F418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23821ED4">
            <w:pPr>
              <w:topLinePunct/>
              <w:adjustRightInd w:val="0"/>
              <w:snapToGrid w:val="0"/>
              <w:spacing w:line="560" w:lineRule="exact"/>
              <w:jc w:val="center"/>
              <w:rPr>
                <w:color w:val="auto"/>
                <w:szCs w:val="21"/>
                <w:highlight w:val="none"/>
              </w:rPr>
            </w:pPr>
            <w:r>
              <w:rPr>
                <w:color w:val="auto"/>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37FD4EE4">
            <w:pPr>
              <w:topLinePunct/>
              <w:adjustRightInd w:val="0"/>
              <w:snapToGrid w:val="0"/>
              <w:spacing w:line="560" w:lineRule="exact"/>
              <w:jc w:val="center"/>
              <w:rPr>
                <w:color w:val="auto"/>
                <w:szCs w:val="21"/>
                <w:highlight w:val="none"/>
              </w:rPr>
            </w:pPr>
          </w:p>
        </w:tc>
      </w:tr>
      <w:tr w14:paraId="70CCE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A403B05">
            <w:pPr>
              <w:topLinePunct/>
              <w:adjustRightInd w:val="0"/>
              <w:snapToGrid w:val="0"/>
              <w:spacing w:line="560" w:lineRule="exact"/>
              <w:jc w:val="center"/>
              <w:rPr>
                <w:color w:val="auto"/>
                <w:szCs w:val="21"/>
                <w:highlight w:val="none"/>
              </w:rPr>
            </w:pPr>
            <w:r>
              <w:rPr>
                <w:color w:val="auto"/>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vAlign w:val="center"/>
          </w:tcPr>
          <w:p w14:paraId="12995027">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99D881A">
            <w:pPr>
              <w:topLinePunct/>
              <w:adjustRightInd w:val="0"/>
              <w:snapToGrid w:val="0"/>
              <w:spacing w:line="560" w:lineRule="exact"/>
              <w:jc w:val="center"/>
              <w:rPr>
                <w:color w:val="auto"/>
                <w:szCs w:val="21"/>
                <w:highlight w:val="none"/>
              </w:rPr>
            </w:pPr>
            <w:r>
              <w:rPr>
                <w:color w:val="auto"/>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5EAFEC9D">
            <w:pPr>
              <w:topLinePunct/>
              <w:adjustRightInd w:val="0"/>
              <w:snapToGrid w:val="0"/>
              <w:spacing w:line="560" w:lineRule="exact"/>
              <w:jc w:val="center"/>
              <w:rPr>
                <w:color w:val="auto"/>
                <w:szCs w:val="21"/>
                <w:highlight w:val="none"/>
              </w:rPr>
            </w:pPr>
          </w:p>
        </w:tc>
        <w:bookmarkStart w:id="787" w:name="_Toc152045808"/>
        <w:bookmarkStart w:id="788" w:name="_Toc246997116"/>
        <w:bookmarkStart w:id="789" w:name="_Toc179632828"/>
        <w:bookmarkStart w:id="790" w:name="_Toc296602618"/>
        <w:bookmarkStart w:id="791" w:name="_Toc144974876"/>
        <w:bookmarkStart w:id="792" w:name="_Toc152042597"/>
        <w:bookmarkStart w:id="793" w:name="_Toc246996373"/>
        <w:bookmarkStart w:id="794" w:name="_Toc247085891"/>
        <w:bookmarkStart w:id="795" w:name="_Toc324404889"/>
      </w:tr>
      <w:tr w14:paraId="640E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vAlign w:val="center"/>
          </w:tcPr>
          <w:p w14:paraId="696F5E22">
            <w:pPr>
              <w:topLinePunct/>
              <w:adjustRightInd w:val="0"/>
              <w:snapToGrid w:val="0"/>
              <w:spacing w:line="560" w:lineRule="exact"/>
              <w:jc w:val="center"/>
              <w:rPr>
                <w:color w:val="auto"/>
                <w:szCs w:val="21"/>
                <w:highlight w:val="none"/>
              </w:rPr>
            </w:pPr>
            <w:r>
              <w:rPr>
                <w:color w:val="auto"/>
                <w:szCs w:val="21"/>
                <w:highlight w:val="none"/>
              </w:rPr>
              <w:t>联系方式</w:t>
            </w:r>
            <w:bookmarkStart w:id="796" w:name="_Toc16718"/>
          </w:p>
        </w:tc>
        <w:tc>
          <w:tcPr>
            <w:tcW w:w="1036" w:type="dxa"/>
            <w:tcBorders>
              <w:top w:val="single" w:color="auto" w:sz="4" w:space="0"/>
              <w:left w:val="single" w:color="auto" w:sz="4" w:space="0"/>
              <w:bottom w:val="single" w:color="auto" w:sz="4" w:space="0"/>
              <w:right w:val="single" w:color="auto" w:sz="4" w:space="0"/>
            </w:tcBorders>
            <w:vAlign w:val="center"/>
          </w:tcPr>
          <w:p w14:paraId="7744AFF1">
            <w:pPr>
              <w:topLinePunct/>
              <w:adjustRightInd w:val="0"/>
              <w:snapToGrid w:val="0"/>
              <w:spacing w:line="560" w:lineRule="exact"/>
              <w:jc w:val="center"/>
              <w:rPr>
                <w:color w:val="auto"/>
                <w:szCs w:val="21"/>
                <w:highlight w:val="none"/>
              </w:rPr>
            </w:pPr>
            <w:bookmarkStart w:id="797" w:name="_Toc60061575"/>
            <w:bookmarkStart w:id="798" w:name="_Toc15058935"/>
            <w:bookmarkStart w:id="799" w:name="_Toc506107341"/>
            <w:bookmarkStart w:id="800" w:name="_Toc58229116"/>
            <w:r>
              <w:rPr>
                <w:color w:val="auto"/>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vAlign w:val="center"/>
          </w:tcPr>
          <w:p w14:paraId="4E923384">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52DCF29">
            <w:pPr>
              <w:topLinePunct/>
              <w:adjustRightInd w:val="0"/>
              <w:snapToGrid w:val="0"/>
              <w:spacing w:line="560" w:lineRule="exact"/>
              <w:jc w:val="center"/>
              <w:rPr>
                <w:color w:val="auto"/>
                <w:szCs w:val="21"/>
                <w:highlight w:val="none"/>
              </w:rPr>
            </w:pPr>
            <w:r>
              <w:rPr>
                <w:color w:val="auto"/>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1C496D7C">
            <w:pPr>
              <w:topLinePunct/>
              <w:adjustRightInd w:val="0"/>
              <w:snapToGrid w:val="0"/>
              <w:spacing w:line="560" w:lineRule="exact"/>
              <w:jc w:val="center"/>
              <w:rPr>
                <w:color w:val="auto"/>
                <w:szCs w:val="21"/>
                <w:highlight w:val="none"/>
              </w:rPr>
            </w:pPr>
          </w:p>
        </w:tc>
      </w:t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tr w14:paraId="38E20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48A3CDC2">
            <w:pPr>
              <w:topLinePunct/>
              <w:adjustRightInd w:val="0"/>
              <w:snapToGrid w:val="0"/>
              <w:spacing w:line="560" w:lineRule="exact"/>
              <w:jc w:val="center"/>
              <w:rPr>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5E6F9136">
            <w:pPr>
              <w:topLinePunct/>
              <w:adjustRightInd w:val="0"/>
              <w:snapToGrid w:val="0"/>
              <w:spacing w:line="560" w:lineRule="exact"/>
              <w:jc w:val="center"/>
              <w:rPr>
                <w:color w:val="auto"/>
                <w:szCs w:val="21"/>
                <w:highlight w:val="none"/>
              </w:rPr>
            </w:pPr>
            <w:r>
              <w:rPr>
                <w:color w:val="auto"/>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vAlign w:val="center"/>
          </w:tcPr>
          <w:p w14:paraId="217A8B6C">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262C695">
            <w:pPr>
              <w:topLinePunct/>
              <w:adjustRightInd w:val="0"/>
              <w:snapToGrid w:val="0"/>
              <w:spacing w:line="560" w:lineRule="exact"/>
              <w:jc w:val="center"/>
              <w:rPr>
                <w:color w:val="auto"/>
                <w:szCs w:val="21"/>
                <w:highlight w:val="none"/>
              </w:rPr>
            </w:pPr>
            <w:r>
              <w:rPr>
                <w:color w:val="auto"/>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1F192570">
            <w:pPr>
              <w:topLinePunct/>
              <w:adjustRightInd w:val="0"/>
              <w:snapToGrid w:val="0"/>
              <w:spacing w:line="560" w:lineRule="exact"/>
              <w:jc w:val="center"/>
              <w:rPr>
                <w:color w:val="auto"/>
                <w:szCs w:val="21"/>
                <w:highlight w:val="none"/>
              </w:rPr>
            </w:pPr>
          </w:p>
        </w:tc>
      </w:tr>
      <w:tr w14:paraId="31153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0D173CFE">
            <w:pPr>
              <w:topLinePunct/>
              <w:adjustRightInd w:val="0"/>
              <w:snapToGrid w:val="0"/>
              <w:spacing w:line="560" w:lineRule="exact"/>
              <w:jc w:val="center"/>
              <w:rPr>
                <w:color w:val="auto"/>
                <w:szCs w:val="21"/>
                <w:highlight w:val="none"/>
              </w:rPr>
            </w:pPr>
            <w:r>
              <w:rPr>
                <w:color w:val="auto"/>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2FA4361E">
            <w:pPr>
              <w:topLinePunct/>
              <w:adjustRightInd w:val="0"/>
              <w:snapToGrid w:val="0"/>
              <w:spacing w:line="560" w:lineRule="exact"/>
              <w:jc w:val="center"/>
              <w:rPr>
                <w:color w:val="auto"/>
                <w:szCs w:val="21"/>
                <w:highlight w:val="none"/>
              </w:rPr>
            </w:pPr>
          </w:p>
        </w:tc>
      </w:tr>
      <w:tr w14:paraId="008A0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EA9A474">
            <w:pPr>
              <w:topLinePunct/>
              <w:adjustRightInd w:val="0"/>
              <w:snapToGrid w:val="0"/>
              <w:spacing w:line="560" w:lineRule="exact"/>
              <w:jc w:val="center"/>
              <w:rPr>
                <w:color w:val="auto"/>
                <w:szCs w:val="21"/>
                <w:highlight w:val="none"/>
              </w:rPr>
            </w:pPr>
            <w:r>
              <w:rPr>
                <w:color w:val="auto"/>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vAlign w:val="center"/>
          </w:tcPr>
          <w:p w14:paraId="743CE969">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vAlign w:val="center"/>
          </w:tcPr>
          <w:p w14:paraId="549C020D">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vAlign w:val="center"/>
          </w:tcPr>
          <w:p w14:paraId="75887E74">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3552580F">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29E851E">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vAlign w:val="center"/>
          </w:tcPr>
          <w:p w14:paraId="72F3EA5F">
            <w:pPr>
              <w:topLinePunct/>
              <w:adjustRightInd w:val="0"/>
              <w:snapToGrid w:val="0"/>
              <w:spacing w:line="560" w:lineRule="exact"/>
              <w:jc w:val="center"/>
              <w:rPr>
                <w:color w:val="auto"/>
                <w:szCs w:val="21"/>
                <w:highlight w:val="none"/>
              </w:rPr>
            </w:pPr>
          </w:p>
        </w:tc>
      </w:tr>
      <w:tr w14:paraId="0F5CA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4536356">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vAlign w:val="center"/>
          </w:tcPr>
          <w:p w14:paraId="3CD986F1">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vAlign w:val="center"/>
          </w:tcPr>
          <w:p w14:paraId="33941EB3">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vAlign w:val="center"/>
          </w:tcPr>
          <w:p w14:paraId="4DD2D537">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669BC642">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0F296457">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vAlign w:val="center"/>
          </w:tcPr>
          <w:p w14:paraId="444C74D1">
            <w:pPr>
              <w:topLinePunct/>
              <w:adjustRightInd w:val="0"/>
              <w:snapToGrid w:val="0"/>
              <w:spacing w:line="560" w:lineRule="exact"/>
              <w:jc w:val="center"/>
              <w:rPr>
                <w:color w:val="auto"/>
                <w:szCs w:val="21"/>
                <w:highlight w:val="none"/>
              </w:rPr>
            </w:pPr>
          </w:p>
        </w:tc>
      </w:tr>
      <w:tr w14:paraId="2A8EC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5C6E4725">
            <w:pPr>
              <w:topLinePunct/>
              <w:adjustRightInd w:val="0"/>
              <w:snapToGrid w:val="0"/>
              <w:spacing w:line="560" w:lineRule="exact"/>
              <w:jc w:val="center"/>
              <w:rPr>
                <w:color w:val="auto"/>
                <w:szCs w:val="21"/>
                <w:highlight w:val="none"/>
              </w:rPr>
            </w:pPr>
            <w:r>
              <w:rPr>
                <w:color w:val="auto"/>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1A0B87D3">
            <w:pPr>
              <w:topLinePunct/>
              <w:adjustRightInd w:val="0"/>
              <w:snapToGrid w:val="0"/>
              <w:spacing w:line="560" w:lineRule="exact"/>
              <w:jc w:val="center"/>
              <w:rPr>
                <w:color w:val="auto"/>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vAlign w:val="center"/>
          </w:tcPr>
          <w:p w14:paraId="6E7E2C7F">
            <w:pPr>
              <w:topLinePunct/>
              <w:adjustRightInd w:val="0"/>
              <w:snapToGrid w:val="0"/>
              <w:spacing w:line="560" w:lineRule="exact"/>
              <w:ind w:firstLine="105" w:firstLineChars="50"/>
              <w:jc w:val="center"/>
              <w:rPr>
                <w:color w:val="auto"/>
                <w:szCs w:val="21"/>
                <w:highlight w:val="none"/>
              </w:rPr>
            </w:pPr>
            <w:r>
              <w:rPr>
                <w:color w:val="auto"/>
                <w:szCs w:val="21"/>
                <w:highlight w:val="none"/>
              </w:rPr>
              <w:t>员工总人数：</w:t>
            </w:r>
          </w:p>
        </w:tc>
      </w:tr>
      <w:tr w14:paraId="1E87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EDFCB62">
            <w:pPr>
              <w:topLinePunct/>
              <w:adjustRightInd w:val="0"/>
              <w:snapToGrid w:val="0"/>
              <w:spacing w:line="560" w:lineRule="exact"/>
              <w:jc w:val="center"/>
              <w:rPr>
                <w:color w:val="auto"/>
                <w:szCs w:val="21"/>
                <w:highlight w:val="none"/>
              </w:rPr>
            </w:pPr>
            <w:r>
              <w:rPr>
                <w:color w:val="auto"/>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238FF22C">
            <w:pPr>
              <w:topLinePunct/>
              <w:adjustRightInd w:val="0"/>
              <w:snapToGrid w:val="0"/>
              <w:spacing w:line="560" w:lineRule="exact"/>
              <w:jc w:val="center"/>
              <w:rPr>
                <w:color w:val="auto"/>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3CDF52FD">
            <w:pPr>
              <w:topLinePunct/>
              <w:adjustRightInd w:val="0"/>
              <w:snapToGrid w:val="0"/>
              <w:spacing w:line="560" w:lineRule="exact"/>
              <w:jc w:val="center"/>
              <w:rPr>
                <w:color w:val="auto"/>
                <w:szCs w:val="21"/>
                <w:highlight w:val="none"/>
              </w:rPr>
            </w:pPr>
            <w:r>
              <w:rPr>
                <w:color w:val="auto"/>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6CDF2FDB">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2BE852C6">
            <w:pPr>
              <w:topLinePunct/>
              <w:adjustRightInd w:val="0"/>
              <w:snapToGrid w:val="0"/>
              <w:spacing w:line="560" w:lineRule="exact"/>
              <w:jc w:val="center"/>
              <w:rPr>
                <w:color w:val="auto"/>
                <w:szCs w:val="21"/>
                <w:highlight w:val="none"/>
              </w:rPr>
            </w:pPr>
          </w:p>
        </w:tc>
      </w:tr>
      <w:tr w14:paraId="11E2B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B3E250A">
            <w:pPr>
              <w:topLinePunct/>
              <w:adjustRightInd w:val="0"/>
              <w:snapToGrid w:val="0"/>
              <w:spacing w:line="560" w:lineRule="exact"/>
              <w:jc w:val="center"/>
              <w:rPr>
                <w:color w:val="auto"/>
                <w:szCs w:val="21"/>
                <w:highlight w:val="none"/>
              </w:rPr>
            </w:pPr>
            <w:r>
              <w:rPr>
                <w:color w:val="auto"/>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5C26B609">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FCB0DFB">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0C5FD128">
            <w:pPr>
              <w:topLinePunct/>
              <w:adjustRightInd w:val="0"/>
              <w:snapToGrid w:val="0"/>
              <w:spacing w:line="560" w:lineRule="exact"/>
              <w:jc w:val="center"/>
              <w:rPr>
                <w:color w:val="auto"/>
                <w:szCs w:val="21"/>
                <w:highlight w:val="none"/>
              </w:rPr>
            </w:pPr>
            <w:r>
              <w:rPr>
                <w:color w:val="auto"/>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634CDCBA">
            <w:pPr>
              <w:topLinePunct/>
              <w:adjustRightInd w:val="0"/>
              <w:snapToGrid w:val="0"/>
              <w:spacing w:line="560" w:lineRule="exact"/>
              <w:jc w:val="center"/>
              <w:rPr>
                <w:color w:val="auto"/>
                <w:szCs w:val="21"/>
                <w:highlight w:val="none"/>
              </w:rPr>
            </w:pPr>
          </w:p>
        </w:tc>
      </w:tr>
      <w:tr w14:paraId="03931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0CB5A87">
            <w:pPr>
              <w:topLinePunct/>
              <w:adjustRightInd w:val="0"/>
              <w:snapToGrid w:val="0"/>
              <w:spacing w:line="560" w:lineRule="exact"/>
              <w:jc w:val="center"/>
              <w:rPr>
                <w:color w:val="auto"/>
                <w:szCs w:val="21"/>
                <w:highlight w:val="none"/>
              </w:rPr>
            </w:pPr>
            <w:r>
              <w:rPr>
                <w:color w:val="auto"/>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5A1476F2">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59CF408">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7819F3CA">
            <w:pPr>
              <w:topLinePunct/>
              <w:adjustRightInd w:val="0"/>
              <w:snapToGrid w:val="0"/>
              <w:spacing w:line="560" w:lineRule="exact"/>
              <w:jc w:val="center"/>
              <w:rPr>
                <w:color w:val="auto"/>
                <w:szCs w:val="21"/>
                <w:highlight w:val="none"/>
              </w:rPr>
            </w:pPr>
            <w:r>
              <w:rPr>
                <w:color w:val="auto"/>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0C022B4E">
            <w:pPr>
              <w:topLinePunct/>
              <w:adjustRightInd w:val="0"/>
              <w:snapToGrid w:val="0"/>
              <w:spacing w:line="560" w:lineRule="exact"/>
              <w:jc w:val="center"/>
              <w:rPr>
                <w:color w:val="auto"/>
                <w:szCs w:val="21"/>
                <w:highlight w:val="none"/>
              </w:rPr>
            </w:pPr>
          </w:p>
        </w:tc>
      </w:tr>
      <w:tr w14:paraId="16CA1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CDE0C0F">
            <w:pPr>
              <w:topLinePunct/>
              <w:adjustRightInd w:val="0"/>
              <w:snapToGrid w:val="0"/>
              <w:spacing w:line="560" w:lineRule="exact"/>
              <w:jc w:val="center"/>
              <w:rPr>
                <w:color w:val="auto"/>
                <w:szCs w:val="21"/>
                <w:highlight w:val="none"/>
              </w:rPr>
            </w:pPr>
            <w:r>
              <w:rPr>
                <w:color w:val="auto"/>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41E719F1">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5A7A75F">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328F140B">
            <w:pPr>
              <w:topLinePunct/>
              <w:adjustRightInd w:val="0"/>
              <w:snapToGrid w:val="0"/>
              <w:spacing w:line="560" w:lineRule="exact"/>
              <w:jc w:val="center"/>
              <w:rPr>
                <w:color w:val="auto"/>
                <w:szCs w:val="21"/>
                <w:highlight w:val="none"/>
              </w:rPr>
            </w:pPr>
            <w:r>
              <w:rPr>
                <w:color w:val="auto"/>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5C10CBA1">
            <w:pPr>
              <w:topLinePunct/>
              <w:adjustRightInd w:val="0"/>
              <w:snapToGrid w:val="0"/>
              <w:spacing w:line="560" w:lineRule="exact"/>
              <w:jc w:val="center"/>
              <w:rPr>
                <w:color w:val="auto"/>
                <w:szCs w:val="21"/>
                <w:highlight w:val="none"/>
              </w:rPr>
            </w:pPr>
          </w:p>
        </w:tc>
      </w:tr>
      <w:tr w14:paraId="12B99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32F4F48">
            <w:pPr>
              <w:topLinePunct/>
              <w:adjustRightInd w:val="0"/>
              <w:snapToGrid w:val="0"/>
              <w:spacing w:line="560" w:lineRule="exact"/>
              <w:jc w:val="center"/>
              <w:rPr>
                <w:color w:val="auto"/>
                <w:szCs w:val="21"/>
                <w:highlight w:val="none"/>
              </w:rPr>
            </w:pPr>
            <w:r>
              <w:rPr>
                <w:color w:val="auto"/>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7D64D636">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944E03B">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7DBF6EEF">
            <w:pPr>
              <w:topLinePunct/>
              <w:adjustRightInd w:val="0"/>
              <w:snapToGrid w:val="0"/>
              <w:spacing w:line="56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25201ECE">
            <w:pPr>
              <w:topLinePunct/>
              <w:adjustRightInd w:val="0"/>
              <w:snapToGrid w:val="0"/>
              <w:spacing w:line="560" w:lineRule="exact"/>
              <w:jc w:val="center"/>
              <w:rPr>
                <w:color w:val="auto"/>
                <w:szCs w:val="21"/>
                <w:highlight w:val="none"/>
              </w:rPr>
            </w:pPr>
          </w:p>
        </w:tc>
      </w:tr>
      <w:tr w14:paraId="0BC3C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vAlign w:val="center"/>
          </w:tcPr>
          <w:p w14:paraId="2AEC29E0">
            <w:pPr>
              <w:topLinePunct/>
              <w:adjustRightInd w:val="0"/>
              <w:snapToGrid w:val="0"/>
              <w:spacing w:line="560" w:lineRule="exact"/>
              <w:ind w:firstLine="210" w:firstLineChars="100"/>
              <w:jc w:val="center"/>
              <w:rPr>
                <w:color w:val="auto"/>
                <w:szCs w:val="21"/>
                <w:highlight w:val="none"/>
              </w:rPr>
            </w:pPr>
            <w:r>
              <w:rPr>
                <w:color w:val="auto"/>
                <w:szCs w:val="21"/>
                <w:highlight w:val="none"/>
              </w:rPr>
              <w:t>经营范围</w:t>
            </w:r>
          </w:p>
        </w:tc>
        <w:tc>
          <w:tcPr>
            <w:tcW w:w="7887" w:type="dxa"/>
            <w:gridSpan w:val="9"/>
            <w:tcBorders>
              <w:top w:val="single" w:color="auto" w:sz="4" w:space="0"/>
              <w:left w:val="single" w:color="auto" w:sz="4" w:space="0"/>
              <w:right w:val="single" w:color="auto" w:sz="4" w:space="0"/>
            </w:tcBorders>
            <w:vAlign w:val="center"/>
          </w:tcPr>
          <w:p w14:paraId="04ED9B38">
            <w:pPr>
              <w:topLinePunct/>
              <w:adjustRightInd w:val="0"/>
              <w:snapToGrid w:val="0"/>
              <w:spacing w:line="560" w:lineRule="exact"/>
              <w:rPr>
                <w:color w:val="auto"/>
                <w:szCs w:val="21"/>
                <w:highlight w:val="none"/>
              </w:rPr>
            </w:pPr>
          </w:p>
        </w:tc>
      </w:tr>
      <w:tr w14:paraId="73CE8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28CEDA69">
            <w:pPr>
              <w:topLinePunct/>
              <w:adjustRightInd w:val="0"/>
              <w:snapToGrid w:val="0"/>
              <w:spacing w:line="560" w:lineRule="exact"/>
              <w:jc w:val="center"/>
              <w:rPr>
                <w:color w:val="auto"/>
                <w:szCs w:val="21"/>
                <w:highlight w:val="none"/>
              </w:rPr>
            </w:pPr>
            <w:r>
              <w:rPr>
                <w:color w:val="auto"/>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217E14FF">
            <w:pPr>
              <w:topLinePunct/>
              <w:adjustRightInd w:val="0"/>
              <w:snapToGrid w:val="0"/>
              <w:spacing w:line="560" w:lineRule="exact"/>
              <w:jc w:val="center"/>
              <w:rPr>
                <w:color w:val="auto"/>
                <w:szCs w:val="21"/>
                <w:highlight w:val="none"/>
              </w:rPr>
            </w:pPr>
          </w:p>
        </w:tc>
      </w:tr>
    </w:tbl>
    <w:p w14:paraId="705D08B2">
      <w:pPr>
        <w:pStyle w:val="4"/>
        <w:adjustRightInd w:val="0"/>
        <w:snapToGrid w:val="0"/>
        <w:spacing w:line="560" w:lineRule="exact"/>
        <w:jc w:val="center"/>
        <w:rPr>
          <w:color w:val="auto"/>
          <w:highlight w:val="none"/>
        </w:rPr>
      </w:pPr>
      <w:bookmarkStart w:id="801" w:name="_Toc95223534"/>
      <w:r>
        <w:rPr>
          <w:color w:val="auto"/>
          <w:highlight w:val="none"/>
        </w:rPr>
        <w:t>（</w:t>
      </w:r>
      <w:r>
        <w:rPr>
          <w:rFonts w:hint="eastAsia"/>
          <w:color w:val="auto"/>
          <w:highlight w:val="none"/>
        </w:rPr>
        <w:t>2</w:t>
      </w:r>
      <w:r>
        <w:rPr>
          <w:color w:val="auto"/>
          <w:highlight w:val="none"/>
        </w:rPr>
        <w:t>）近年财务状况表</w:t>
      </w:r>
      <w:bookmarkEnd w:id="801"/>
      <w:r>
        <w:rPr>
          <w:rFonts w:hint="eastAsia"/>
          <w:color w:val="auto"/>
          <w:highlight w:val="none"/>
        </w:rPr>
        <w:t>（本项目不采用）</w:t>
      </w:r>
    </w:p>
    <w:p w14:paraId="673B13AB">
      <w:pPr>
        <w:pStyle w:val="4"/>
        <w:adjustRightInd w:val="0"/>
        <w:snapToGrid w:val="0"/>
        <w:spacing w:line="560" w:lineRule="exact"/>
        <w:jc w:val="center"/>
        <w:rPr>
          <w:rFonts w:eastAsia="黑体"/>
          <w:color w:val="auto"/>
          <w:sz w:val="23"/>
          <w:szCs w:val="23"/>
          <w:highlight w:val="none"/>
        </w:rPr>
      </w:pPr>
      <w:bookmarkStart w:id="802" w:name="_Toc95223535"/>
      <w:r>
        <w:rPr>
          <w:color w:val="auto"/>
          <w:highlight w:val="none"/>
        </w:rPr>
        <w:t>（</w:t>
      </w:r>
      <w:r>
        <w:rPr>
          <w:rFonts w:hint="eastAsia"/>
          <w:color w:val="auto"/>
          <w:highlight w:val="none"/>
        </w:rPr>
        <w:t>3</w:t>
      </w:r>
      <w:r>
        <w:rPr>
          <w:color w:val="auto"/>
          <w:highlight w:val="none"/>
        </w:rPr>
        <w:t>）近年完成的类似项目情况表</w:t>
      </w:r>
      <w:bookmarkEnd w:id="802"/>
      <w:r>
        <w:rPr>
          <w:rFonts w:hint="eastAsia"/>
          <w:color w:val="auto"/>
          <w:highlight w:val="none"/>
        </w:rPr>
        <w:t>（本项目不采用）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10AD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08" w:type="dxa"/>
            <w:vAlign w:val="center"/>
          </w:tcPr>
          <w:p w14:paraId="54B573EE">
            <w:pPr>
              <w:topLinePunct/>
              <w:adjustRightInd w:val="0"/>
              <w:snapToGrid w:val="0"/>
              <w:spacing w:line="560" w:lineRule="exact"/>
              <w:jc w:val="center"/>
              <w:rPr>
                <w:color w:val="auto"/>
                <w:szCs w:val="21"/>
                <w:highlight w:val="none"/>
              </w:rPr>
            </w:pPr>
            <w:r>
              <w:rPr>
                <w:color w:val="auto"/>
                <w:szCs w:val="21"/>
                <w:highlight w:val="none"/>
              </w:rPr>
              <w:t>项目名</w:t>
            </w:r>
            <w:bookmarkStart w:id="803" w:name="_Toc265953295"/>
            <w:bookmarkStart w:id="804" w:name="_Toc15058936"/>
            <w:bookmarkStart w:id="805" w:name="_Toc152042598"/>
            <w:bookmarkStart w:id="806" w:name="_Toc152045809"/>
            <w:bookmarkStart w:id="807" w:name="_Toc144974877"/>
            <w:bookmarkStart w:id="808" w:name="_Toc296602619"/>
            <w:bookmarkStart w:id="809" w:name="_Toc247514301"/>
            <w:bookmarkStart w:id="810" w:name="_Toc324404890"/>
            <w:bookmarkStart w:id="811" w:name="_Toc247527849"/>
            <w:bookmarkStart w:id="812" w:name="_Toc26734"/>
            <w:bookmarkStart w:id="813" w:name="_Toc506107342"/>
            <w:bookmarkStart w:id="814" w:name="_Toc60061576"/>
            <w:bookmarkStart w:id="815" w:name="_Toc58229117"/>
            <w:r>
              <w:rPr>
                <w:color w:val="auto"/>
                <w:szCs w:val="21"/>
                <w:highlight w:val="none"/>
              </w:rPr>
              <w:t>称</w:t>
            </w:r>
          </w:p>
        </w:tc>
        <w:tc>
          <w:tcPr>
            <w:tcW w:w="6912" w:type="dxa"/>
          </w:tcPr>
          <w:p w14:paraId="11EFFEB8">
            <w:pPr>
              <w:topLinePunct/>
              <w:adjustRightInd w:val="0"/>
              <w:snapToGrid w:val="0"/>
              <w:spacing w:line="560" w:lineRule="exact"/>
              <w:rPr>
                <w:color w:val="auto"/>
                <w:szCs w:val="21"/>
                <w:highlight w:val="none"/>
              </w:rPr>
            </w:pPr>
          </w:p>
        </w:tc>
      </w:tr>
      <w:tr w14:paraId="500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508" w:type="dxa"/>
            <w:vAlign w:val="center"/>
          </w:tcPr>
          <w:p w14:paraId="13406437">
            <w:pPr>
              <w:topLinePunct/>
              <w:adjustRightInd w:val="0"/>
              <w:snapToGrid w:val="0"/>
              <w:spacing w:line="560" w:lineRule="exact"/>
              <w:jc w:val="center"/>
              <w:rPr>
                <w:color w:val="auto"/>
                <w:szCs w:val="21"/>
                <w:highlight w:val="none"/>
              </w:rPr>
            </w:pPr>
            <w:r>
              <w:rPr>
                <w:color w:val="auto"/>
                <w:szCs w:val="21"/>
                <w:highlight w:val="none"/>
              </w:rPr>
              <w:t>项目所在地</w:t>
            </w:r>
          </w:p>
          <w:bookmarkEnd w:id="803"/>
          <w:bookmarkEnd w:id="804"/>
          <w:bookmarkEnd w:id="805"/>
          <w:bookmarkEnd w:id="806"/>
          <w:bookmarkEnd w:id="807"/>
          <w:bookmarkEnd w:id="808"/>
          <w:bookmarkEnd w:id="809"/>
          <w:bookmarkEnd w:id="810"/>
          <w:bookmarkEnd w:id="811"/>
          <w:bookmarkEnd w:id="812"/>
          <w:bookmarkEnd w:id="813"/>
        </w:tc>
        <w:tc>
          <w:tcPr>
            <w:tcW w:w="6912" w:type="dxa"/>
          </w:tcPr>
          <w:p w14:paraId="64430814">
            <w:pPr>
              <w:topLinePunct/>
              <w:adjustRightInd w:val="0"/>
              <w:snapToGrid w:val="0"/>
              <w:spacing w:line="560" w:lineRule="exact"/>
              <w:rPr>
                <w:color w:val="auto"/>
                <w:szCs w:val="21"/>
                <w:highlight w:val="none"/>
              </w:rPr>
            </w:pPr>
          </w:p>
        </w:tc>
      </w:tr>
      <w:tr w14:paraId="3C71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vAlign w:val="center"/>
          </w:tcPr>
          <w:p w14:paraId="49DEBFFD">
            <w:pPr>
              <w:topLinePunct/>
              <w:adjustRightInd w:val="0"/>
              <w:snapToGrid w:val="0"/>
              <w:spacing w:line="560" w:lineRule="exact"/>
              <w:jc w:val="center"/>
              <w:rPr>
                <w:color w:val="auto"/>
                <w:szCs w:val="21"/>
                <w:highlight w:val="none"/>
              </w:rPr>
            </w:pPr>
            <w:r>
              <w:rPr>
                <w:color w:val="auto"/>
                <w:szCs w:val="21"/>
                <w:highlight w:val="none"/>
              </w:rPr>
              <w:t>发包人名称</w:t>
            </w:r>
          </w:p>
          <w:bookmarkEnd w:id="814"/>
          <w:bookmarkEnd w:id="815"/>
        </w:tc>
        <w:tc>
          <w:tcPr>
            <w:tcW w:w="6912" w:type="dxa"/>
          </w:tcPr>
          <w:p w14:paraId="4CCF5B02">
            <w:pPr>
              <w:topLinePunct/>
              <w:adjustRightInd w:val="0"/>
              <w:snapToGrid w:val="0"/>
              <w:spacing w:line="560" w:lineRule="exact"/>
              <w:rPr>
                <w:color w:val="auto"/>
                <w:szCs w:val="21"/>
                <w:highlight w:val="none"/>
              </w:rPr>
            </w:pPr>
          </w:p>
        </w:tc>
        <w:bookmarkStart w:id="816" w:name="_Toc152045810"/>
        <w:bookmarkStart w:id="817" w:name="_Toc247514302"/>
        <w:bookmarkStart w:id="818" w:name="_Toc152042599"/>
        <w:bookmarkStart w:id="819" w:name="_Toc324404891"/>
        <w:bookmarkStart w:id="820" w:name="_Toc15058937"/>
        <w:bookmarkStart w:id="821" w:name="_Toc265953296"/>
        <w:bookmarkStart w:id="822" w:name="_Toc506107343"/>
        <w:bookmarkStart w:id="823" w:name="_Toc60061577"/>
        <w:bookmarkStart w:id="824" w:name="_Toc247527850"/>
        <w:bookmarkStart w:id="825" w:name="_Toc11124"/>
        <w:bookmarkStart w:id="826" w:name="_Toc144974878"/>
        <w:bookmarkStart w:id="827" w:name="_Toc58229118"/>
        <w:bookmarkStart w:id="828" w:name="_Toc296602620"/>
      </w:tr>
      <w:tr w14:paraId="76F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vAlign w:val="center"/>
          </w:tcPr>
          <w:p w14:paraId="26B3E87A">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6912" w:type="dxa"/>
          </w:tcPr>
          <w:p w14:paraId="0E477678">
            <w:pPr>
              <w:topLinePunct/>
              <w:adjustRightInd w:val="0"/>
              <w:snapToGrid w:val="0"/>
              <w:spacing w:line="560" w:lineRule="exact"/>
              <w:rPr>
                <w:color w:val="auto"/>
                <w:szCs w:val="21"/>
                <w:highlight w:val="none"/>
              </w:rPr>
            </w:pPr>
          </w:p>
        </w:tc>
      </w:tr>
      <w:tr w14:paraId="277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vAlign w:val="center"/>
          </w:tcPr>
          <w:p w14:paraId="515C48DD">
            <w:pPr>
              <w:topLinePunct/>
              <w:adjustRightInd w:val="0"/>
              <w:snapToGrid w:val="0"/>
              <w:spacing w:line="560" w:lineRule="exact"/>
              <w:jc w:val="center"/>
              <w:rPr>
                <w:color w:val="auto"/>
                <w:szCs w:val="21"/>
                <w:highlight w:val="none"/>
              </w:rPr>
            </w:pPr>
            <w:r>
              <w:rPr>
                <w:color w:val="auto"/>
                <w:szCs w:val="21"/>
                <w:highlight w:val="none"/>
              </w:rPr>
              <w:t>发包人电话</w:t>
            </w:r>
          </w:p>
          <w:bookmarkEnd w:id="816"/>
          <w:bookmarkEnd w:id="817"/>
          <w:bookmarkEnd w:id="818"/>
          <w:bookmarkEnd w:id="819"/>
          <w:bookmarkEnd w:id="820"/>
          <w:bookmarkEnd w:id="821"/>
          <w:bookmarkEnd w:id="822"/>
          <w:bookmarkEnd w:id="823"/>
          <w:bookmarkEnd w:id="824"/>
          <w:bookmarkEnd w:id="825"/>
          <w:bookmarkEnd w:id="826"/>
          <w:bookmarkEnd w:id="827"/>
          <w:bookmarkEnd w:id="828"/>
        </w:tc>
        <w:tc>
          <w:tcPr>
            <w:tcW w:w="6912" w:type="dxa"/>
          </w:tcPr>
          <w:p w14:paraId="092B9896">
            <w:pPr>
              <w:topLinePunct/>
              <w:adjustRightInd w:val="0"/>
              <w:snapToGrid w:val="0"/>
              <w:spacing w:line="560" w:lineRule="exact"/>
              <w:rPr>
                <w:color w:val="auto"/>
                <w:szCs w:val="21"/>
                <w:highlight w:val="none"/>
              </w:rPr>
            </w:pPr>
          </w:p>
        </w:tc>
      </w:tr>
      <w:tr w14:paraId="3622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vAlign w:val="center"/>
          </w:tcPr>
          <w:p w14:paraId="79CF4433">
            <w:pPr>
              <w:topLinePunct/>
              <w:adjustRightInd w:val="0"/>
              <w:snapToGrid w:val="0"/>
              <w:spacing w:line="560" w:lineRule="exact"/>
              <w:jc w:val="center"/>
              <w:rPr>
                <w:color w:val="auto"/>
                <w:szCs w:val="21"/>
                <w:highlight w:val="none"/>
              </w:rPr>
            </w:pPr>
            <w:r>
              <w:rPr>
                <w:color w:val="auto"/>
                <w:szCs w:val="21"/>
                <w:highlight w:val="none"/>
              </w:rPr>
              <w:t>合同价格</w:t>
            </w:r>
          </w:p>
        </w:tc>
        <w:tc>
          <w:tcPr>
            <w:tcW w:w="6912" w:type="dxa"/>
          </w:tcPr>
          <w:p w14:paraId="479A2B83">
            <w:pPr>
              <w:topLinePunct/>
              <w:adjustRightInd w:val="0"/>
              <w:snapToGrid w:val="0"/>
              <w:spacing w:line="560" w:lineRule="exact"/>
              <w:rPr>
                <w:color w:val="auto"/>
                <w:szCs w:val="21"/>
                <w:highlight w:val="none"/>
              </w:rPr>
            </w:pPr>
          </w:p>
        </w:tc>
      </w:tr>
      <w:tr w14:paraId="2313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vAlign w:val="center"/>
          </w:tcPr>
          <w:p w14:paraId="48352E08">
            <w:pPr>
              <w:topLinePunct/>
              <w:adjustRightInd w:val="0"/>
              <w:snapToGrid w:val="0"/>
              <w:spacing w:line="560" w:lineRule="exact"/>
              <w:jc w:val="center"/>
              <w:rPr>
                <w:color w:val="auto"/>
                <w:szCs w:val="21"/>
                <w:highlight w:val="none"/>
              </w:rPr>
            </w:pPr>
            <w:r>
              <w:rPr>
                <w:color w:val="auto"/>
                <w:szCs w:val="21"/>
                <w:highlight w:val="none"/>
              </w:rPr>
              <w:t>开工日期</w:t>
            </w:r>
          </w:p>
        </w:tc>
        <w:tc>
          <w:tcPr>
            <w:tcW w:w="6912" w:type="dxa"/>
          </w:tcPr>
          <w:p w14:paraId="3BB91FEF">
            <w:pPr>
              <w:topLinePunct/>
              <w:adjustRightInd w:val="0"/>
              <w:snapToGrid w:val="0"/>
              <w:spacing w:line="560" w:lineRule="exact"/>
              <w:rPr>
                <w:color w:val="auto"/>
                <w:szCs w:val="21"/>
                <w:highlight w:val="none"/>
              </w:rPr>
            </w:pPr>
          </w:p>
        </w:tc>
      </w:tr>
      <w:tr w14:paraId="346A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vAlign w:val="center"/>
          </w:tcPr>
          <w:p w14:paraId="19F91C46">
            <w:pPr>
              <w:topLinePunct/>
              <w:adjustRightInd w:val="0"/>
              <w:snapToGrid w:val="0"/>
              <w:spacing w:line="56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912" w:type="dxa"/>
          </w:tcPr>
          <w:p w14:paraId="2A778BBE">
            <w:pPr>
              <w:topLinePunct/>
              <w:adjustRightInd w:val="0"/>
              <w:snapToGrid w:val="0"/>
              <w:spacing w:line="560" w:lineRule="exact"/>
              <w:rPr>
                <w:color w:val="auto"/>
                <w:szCs w:val="21"/>
                <w:highlight w:val="none"/>
              </w:rPr>
            </w:pPr>
          </w:p>
        </w:tc>
      </w:tr>
      <w:tr w14:paraId="69F6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vAlign w:val="center"/>
          </w:tcPr>
          <w:p w14:paraId="683F5A79">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6912" w:type="dxa"/>
          </w:tcPr>
          <w:p w14:paraId="07920C1F">
            <w:pPr>
              <w:topLinePunct/>
              <w:adjustRightInd w:val="0"/>
              <w:snapToGrid w:val="0"/>
              <w:spacing w:line="560" w:lineRule="exact"/>
              <w:rPr>
                <w:color w:val="auto"/>
                <w:szCs w:val="21"/>
                <w:highlight w:val="none"/>
              </w:rPr>
            </w:pPr>
          </w:p>
        </w:tc>
      </w:tr>
      <w:tr w14:paraId="1F4D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vAlign w:val="center"/>
          </w:tcPr>
          <w:p w14:paraId="49BBD319">
            <w:pPr>
              <w:topLinePunct/>
              <w:adjustRightInd w:val="0"/>
              <w:snapToGrid w:val="0"/>
              <w:spacing w:line="560" w:lineRule="exact"/>
              <w:jc w:val="center"/>
              <w:rPr>
                <w:color w:val="auto"/>
                <w:szCs w:val="21"/>
                <w:highlight w:val="none"/>
              </w:rPr>
            </w:pPr>
            <w:r>
              <w:rPr>
                <w:color w:val="auto"/>
                <w:szCs w:val="21"/>
                <w:highlight w:val="none"/>
              </w:rPr>
              <w:t>工程质量</w:t>
            </w:r>
          </w:p>
        </w:tc>
        <w:tc>
          <w:tcPr>
            <w:tcW w:w="6912" w:type="dxa"/>
          </w:tcPr>
          <w:p w14:paraId="1CC07554">
            <w:pPr>
              <w:topLinePunct/>
              <w:adjustRightInd w:val="0"/>
              <w:snapToGrid w:val="0"/>
              <w:spacing w:line="560" w:lineRule="exact"/>
              <w:rPr>
                <w:color w:val="auto"/>
                <w:szCs w:val="21"/>
                <w:highlight w:val="none"/>
              </w:rPr>
            </w:pPr>
          </w:p>
        </w:tc>
      </w:tr>
      <w:tr w14:paraId="2DC4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vAlign w:val="center"/>
          </w:tcPr>
          <w:p w14:paraId="49A2F456">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6912" w:type="dxa"/>
          </w:tcPr>
          <w:p w14:paraId="72D51CB2">
            <w:pPr>
              <w:topLinePunct/>
              <w:adjustRightInd w:val="0"/>
              <w:snapToGrid w:val="0"/>
              <w:spacing w:line="560" w:lineRule="exact"/>
              <w:rPr>
                <w:color w:val="auto"/>
                <w:szCs w:val="21"/>
                <w:highlight w:val="none"/>
              </w:rPr>
            </w:pPr>
          </w:p>
        </w:tc>
      </w:tr>
      <w:tr w14:paraId="71E1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508" w:type="dxa"/>
            <w:vAlign w:val="center"/>
          </w:tcPr>
          <w:p w14:paraId="430348BA">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6912" w:type="dxa"/>
          </w:tcPr>
          <w:p w14:paraId="4C72582C">
            <w:pPr>
              <w:topLinePunct/>
              <w:adjustRightInd w:val="0"/>
              <w:snapToGrid w:val="0"/>
              <w:spacing w:line="560" w:lineRule="exact"/>
              <w:rPr>
                <w:color w:val="auto"/>
                <w:szCs w:val="21"/>
                <w:highlight w:val="none"/>
              </w:rPr>
            </w:pPr>
          </w:p>
        </w:tc>
      </w:tr>
      <w:tr w14:paraId="7233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508" w:type="dxa"/>
            <w:vAlign w:val="center"/>
          </w:tcPr>
          <w:p w14:paraId="3FD9EBAB">
            <w:pPr>
              <w:topLinePunct/>
              <w:adjustRightInd w:val="0"/>
              <w:snapToGrid w:val="0"/>
              <w:spacing w:line="560" w:lineRule="exact"/>
              <w:jc w:val="center"/>
              <w:rPr>
                <w:color w:val="auto"/>
                <w:szCs w:val="21"/>
                <w:highlight w:val="none"/>
              </w:rPr>
            </w:pPr>
            <w:r>
              <w:rPr>
                <w:color w:val="auto"/>
                <w:szCs w:val="21"/>
                <w:highlight w:val="none"/>
              </w:rPr>
              <w:t>项目描述</w:t>
            </w:r>
          </w:p>
        </w:tc>
        <w:tc>
          <w:tcPr>
            <w:tcW w:w="6912" w:type="dxa"/>
          </w:tcPr>
          <w:p w14:paraId="22E31D13">
            <w:pPr>
              <w:topLinePunct/>
              <w:adjustRightInd w:val="0"/>
              <w:snapToGrid w:val="0"/>
              <w:spacing w:line="560" w:lineRule="exact"/>
              <w:rPr>
                <w:color w:val="auto"/>
                <w:szCs w:val="21"/>
                <w:highlight w:val="none"/>
              </w:rPr>
            </w:pPr>
          </w:p>
          <w:p w14:paraId="05514FC1">
            <w:pPr>
              <w:topLinePunct/>
              <w:adjustRightInd w:val="0"/>
              <w:snapToGrid w:val="0"/>
              <w:spacing w:line="560" w:lineRule="exact"/>
              <w:rPr>
                <w:color w:val="auto"/>
                <w:szCs w:val="21"/>
                <w:highlight w:val="none"/>
              </w:rPr>
            </w:pPr>
          </w:p>
          <w:p w14:paraId="69E689FC">
            <w:pPr>
              <w:topLinePunct/>
              <w:adjustRightInd w:val="0"/>
              <w:snapToGrid w:val="0"/>
              <w:spacing w:line="560" w:lineRule="exact"/>
              <w:rPr>
                <w:color w:val="auto"/>
                <w:szCs w:val="21"/>
                <w:highlight w:val="none"/>
              </w:rPr>
            </w:pPr>
          </w:p>
        </w:tc>
      </w:tr>
      <w:tr w14:paraId="5DB5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08" w:type="dxa"/>
            <w:vAlign w:val="center"/>
          </w:tcPr>
          <w:p w14:paraId="61C2F9E6">
            <w:pPr>
              <w:topLinePunct/>
              <w:adjustRightInd w:val="0"/>
              <w:snapToGrid w:val="0"/>
              <w:spacing w:line="560" w:lineRule="exact"/>
              <w:jc w:val="center"/>
              <w:rPr>
                <w:color w:val="auto"/>
                <w:szCs w:val="21"/>
                <w:highlight w:val="none"/>
              </w:rPr>
            </w:pPr>
            <w:r>
              <w:rPr>
                <w:color w:val="auto"/>
                <w:szCs w:val="21"/>
                <w:highlight w:val="none"/>
              </w:rPr>
              <w:t>备注</w:t>
            </w:r>
          </w:p>
        </w:tc>
        <w:tc>
          <w:tcPr>
            <w:tcW w:w="6912" w:type="dxa"/>
          </w:tcPr>
          <w:p w14:paraId="4F148ABA">
            <w:pPr>
              <w:topLinePunct/>
              <w:adjustRightInd w:val="0"/>
              <w:snapToGrid w:val="0"/>
              <w:spacing w:line="560" w:lineRule="exact"/>
              <w:rPr>
                <w:color w:val="auto"/>
                <w:szCs w:val="21"/>
                <w:highlight w:val="none"/>
              </w:rPr>
            </w:pPr>
          </w:p>
        </w:tc>
      </w:tr>
    </w:tbl>
    <w:p w14:paraId="22D691A3">
      <w:pPr>
        <w:pStyle w:val="4"/>
        <w:adjustRightInd w:val="0"/>
        <w:snapToGrid w:val="0"/>
        <w:spacing w:line="560" w:lineRule="exact"/>
        <w:jc w:val="center"/>
        <w:rPr>
          <w:color w:val="auto"/>
          <w:highlight w:val="none"/>
        </w:rPr>
      </w:pPr>
      <w:bookmarkStart w:id="829" w:name="_Toc95223536"/>
      <w:r>
        <w:rPr>
          <w:color w:val="auto"/>
          <w:highlight w:val="none"/>
        </w:rPr>
        <w:t>（</w:t>
      </w:r>
      <w:r>
        <w:rPr>
          <w:rFonts w:hint="eastAsia"/>
          <w:color w:val="auto"/>
          <w:highlight w:val="none"/>
        </w:rPr>
        <w:t>4</w:t>
      </w:r>
      <w:r>
        <w:rPr>
          <w:color w:val="auto"/>
          <w:highlight w:val="none"/>
        </w:rPr>
        <w:t>）正在</w:t>
      </w:r>
      <w:r>
        <w:rPr>
          <w:rFonts w:hint="eastAsia"/>
          <w:color w:val="auto"/>
          <w:highlight w:val="none"/>
        </w:rPr>
        <w:t>实施</w:t>
      </w:r>
      <w:r>
        <w:rPr>
          <w:color w:val="auto"/>
          <w:highlight w:val="none"/>
        </w:rPr>
        <w:t>的和新承接的项目情况表</w:t>
      </w:r>
      <w:bookmarkEnd w:id="829"/>
      <w:r>
        <w:rPr>
          <w:rFonts w:hint="eastAsia"/>
          <w:color w:val="auto"/>
          <w:highlight w:val="none"/>
        </w:rPr>
        <w:t>（本项目不采用）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5175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vAlign w:val="center"/>
          </w:tcPr>
          <w:p w14:paraId="39F28F2D">
            <w:pPr>
              <w:topLinePunct/>
              <w:adjustRightInd w:val="0"/>
              <w:snapToGrid w:val="0"/>
              <w:spacing w:line="560" w:lineRule="exact"/>
              <w:jc w:val="center"/>
              <w:rPr>
                <w:color w:val="auto"/>
                <w:szCs w:val="21"/>
                <w:highlight w:val="none"/>
              </w:rPr>
            </w:pPr>
            <w:r>
              <w:rPr>
                <w:color w:val="auto"/>
                <w:szCs w:val="21"/>
                <w:highlight w:val="none"/>
              </w:rPr>
              <w:t>项目名称</w:t>
            </w:r>
          </w:p>
        </w:tc>
        <w:tc>
          <w:tcPr>
            <w:tcW w:w="7408" w:type="dxa"/>
          </w:tcPr>
          <w:p w14:paraId="59425749">
            <w:pPr>
              <w:topLinePunct/>
              <w:adjustRightInd w:val="0"/>
              <w:snapToGrid w:val="0"/>
              <w:spacing w:line="560" w:lineRule="exact"/>
              <w:rPr>
                <w:color w:val="auto"/>
                <w:szCs w:val="21"/>
                <w:highlight w:val="none"/>
              </w:rPr>
            </w:pPr>
          </w:p>
        </w:tc>
      </w:tr>
      <w:tr w14:paraId="525B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vAlign w:val="center"/>
          </w:tcPr>
          <w:p w14:paraId="544DCD14">
            <w:pPr>
              <w:topLinePunct/>
              <w:adjustRightInd w:val="0"/>
              <w:snapToGrid w:val="0"/>
              <w:spacing w:line="560" w:lineRule="exact"/>
              <w:jc w:val="center"/>
              <w:rPr>
                <w:color w:val="auto"/>
                <w:szCs w:val="21"/>
                <w:highlight w:val="none"/>
              </w:rPr>
            </w:pPr>
            <w:r>
              <w:rPr>
                <w:color w:val="auto"/>
                <w:szCs w:val="21"/>
                <w:highlight w:val="none"/>
              </w:rPr>
              <w:t>项目所在地</w:t>
            </w:r>
          </w:p>
        </w:tc>
        <w:tc>
          <w:tcPr>
            <w:tcW w:w="7408" w:type="dxa"/>
          </w:tcPr>
          <w:p w14:paraId="32A515FB">
            <w:pPr>
              <w:topLinePunct/>
              <w:adjustRightInd w:val="0"/>
              <w:snapToGrid w:val="0"/>
              <w:spacing w:line="560" w:lineRule="exact"/>
              <w:rPr>
                <w:color w:val="auto"/>
                <w:szCs w:val="21"/>
                <w:highlight w:val="none"/>
              </w:rPr>
            </w:pPr>
          </w:p>
        </w:tc>
      </w:tr>
      <w:tr w14:paraId="25EC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vAlign w:val="center"/>
          </w:tcPr>
          <w:p w14:paraId="5966E64D">
            <w:pPr>
              <w:topLinePunct/>
              <w:adjustRightInd w:val="0"/>
              <w:snapToGrid w:val="0"/>
              <w:spacing w:line="560" w:lineRule="exact"/>
              <w:jc w:val="center"/>
              <w:rPr>
                <w:color w:val="auto"/>
                <w:szCs w:val="21"/>
                <w:highlight w:val="none"/>
              </w:rPr>
            </w:pPr>
            <w:r>
              <w:rPr>
                <w:color w:val="auto"/>
                <w:szCs w:val="21"/>
                <w:highlight w:val="none"/>
              </w:rPr>
              <w:t>发包人名</w:t>
            </w:r>
            <w:bookmarkStart w:id="830" w:name="_Toc152042600"/>
            <w:bookmarkStart w:id="831" w:name="_Toc506107344"/>
            <w:bookmarkStart w:id="832" w:name="_Toc265953297"/>
            <w:bookmarkStart w:id="833" w:name="_Toc247527851"/>
            <w:bookmarkStart w:id="834" w:name="_Toc296602621"/>
            <w:bookmarkStart w:id="835" w:name="_Toc58229119"/>
            <w:bookmarkStart w:id="836" w:name="_Toc144974879"/>
            <w:bookmarkStart w:id="837" w:name="_Toc15058938"/>
            <w:bookmarkStart w:id="838" w:name="_Toc152045811"/>
            <w:bookmarkStart w:id="839" w:name="_Toc247514303"/>
            <w:bookmarkStart w:id="840" w:name="_Toc30815"/>
            <w:bookmarkStart w:id="841" w:name="_Toc60061578"/>
            <w:bookmarkStart w:id="842" w:name="_Toc324404892"/>
            <w:r>
              <w:rPr>
                <w:color w:val="auto"/>
                <w:szCs w:val="21"/>
                <w:highlight w:val="none"/>
              </w:rPr>
              <w:t>称</w:t>
            </w:r>
          </w:p>
        </w:tc>
        <w:tc>
          <w:tcPr>
            <w:tcW w:w="7408" w:type="dxa"/>
          </w:tcPr>
          <w:p w14:paraId="68DE121D">
            <w:pPr>
              <w:topLinePunct/>
              <w:adjustRightInd w:val="0"/>
              <w:snapToGrid w:val="0"/>
              <w:spacing w:line="560" w:lineRule="exact"/>
              <w:rPr>
                <w:color w:val="auto"/>
                <w:szCs w:val="21"/>
                <w:highlight w:val="none"/>
              </w:rPr>
            </w:pPr>
          </w:p>
        </w:tc>
      </w:tr>
      <w:tr w14:paraId="7861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vAlign w:val="center"/>
          </w:tcPr>
          <w:p w14:paraId="087E68E8">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7408" w:type="dxa"/>
          </w:tcPr>
          <w:p w14:paraId="197D5BB9">
            <w:pPr>
              <w:topLinePunct/>
              <w:adjustRightInd w:val="0"/>
              <w:snapToGrid w:val="0"/>
              <w:spacing w:line="560" w:lineRule="exact"/>
              <w:rPr>
                <w:color w:val="auto"/>
                <w:szCs w:val="21"/>
                <w:highlight w:val="none"/>
              </w:rPr>
            </w:pPr>
          </w:p>
        </w:tc>
      </w:tr>
      <w:tr w14:paraId="36AE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vAlign w:val="center"/>
          </w:tcPr>
          <w:p w14:paraId="11DA6BD7">
            <w:pPr>
              <w:topLinePunct/>
              <w:adjustRightInd w:val="0"/>
              <w:snapToGrid w:val="0"/>
              <w:spacing w:line="560" w:lineRule="exact"/>
              <w:jc w:val="center"/>
              <w:rPr>
                <w:color w:val="auto"/>
                <w:szCs w:val="21"/>
                <w:highlight w:val="none"/>
              </w:rPr>
            </w:pPr>
            <w:r>
              <w:rPr>
                <w:color w:val="auto"/>
                <w:szCs w:val="21"/>
                <w:highlight w:val="none"/>
              </w:rPr>
              <w:t>发包人电话</w:t>
            </w:r>
          </w:p>
          <w:bookmarkEnd w:id="830"/>
          <w:bookmarkEnd w:id="831"/>
          <w:bookmarkEnd w:id="832"/>
          <w:bookmarkEnd w:id="833"/>
          <w:bookmarkEnd w:id="834"/>
          <w:bookmarkEnd w:id="835"/>
          <w:bookmarkEnd w:id="836"/>
          <w:bookmarkEnd w:id="837"/>
          <w:bookmarkEnd w:id="838"/>
          <w:bookmarkEnd w:id="839"/>
          <w:bookmarkEnd w:id="840"/>
          <w:bookmarkEnd w:id="841"/>
          <w:bookmarkEnd w:id="842"/>
        </w:tc>
        <w:tc>
          <w:tcPr>
            <w:tcW w:w="7408" w:type="dxa"/>
          </w:tcPr>
          <w:p w14:paraId="528FAB8A">
            <w:pPr>
              <w:topLinePunct/>
              <w:adjustRightInd w:val="0"/>
              <w:snapToGrid w:val="0"/>
              <w:spacing w:line="560" w:lineRule="exact"/>
              <w:rPr>
                <w:color w:val="auto"/>
                <w:szCs w:val="21"/>
                <w:highlight w:val="none"/>
              </w:rPr>
            </w:pPr>
          </w:p>
        </w:tc>
      </w:tr>
      <w:tr w14:paraId="184A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vAlign w:val="center"/>
          </w:tcPr>
          <w:p w14:paraId="4E14FBDD">
            <w:pPr>
              <w:topLinePunct/>
              <w:adjustRightInd w:val="0"/>
              <w:snapToGrid w:val="0"/>
              <w:spacing w:line="560" w:lineRule="exact"/>
              <w:jc w:val="center"/>
              <w:rPr>
                <w:color w:val="auto"/>
                <w:szCs w:val="21"/>
                <w:highlight w:val="none"/>
              </w:rPr>
            </w:pPr>
            <w:r>
              <w:rPr>
                <w:color w:val="auto"/>
                <w:szCs w:val="21"/>
                <w:highlight w:val="none"/>
              </w:rPr>
              <w:t>签约合同价</w:t>
            </w:r>
          </w:p>
        </w:tc>
        <w:tc>
          <w:tcPr>
            <w:tcW w:w="7408" w:type="dxa"/>
          </w:tcPr>
          <w:p w14:paraId="632BB10F">
            <w:pPr>
              <w:topLinePunct/>
              <w:adjustRightInd w:val="0"/>
              <w:snapToGrid w:val="0"/>
              <w:spacing w:line="560" w:lineRule="exact"/>
              <w:rPr>
                <w:color w:val="auto"/>
                <w:szCs w:val="21"/>
                <w:highlight w:val="none"/>
              </w:rPr>
            </w:pPr>
          </w:p>
        </w:tc>
      </w:tr>
      <w:tr w14:paraId="0CD1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vAlign w:val="center"/>
          </w:tcPr>
          <w:p w14:paraId="588C872C">
            <w:pPr>
              <w:topLinePunct/>
              <w:adjustRightInd w:val="0"/>
              <w:snapToGrid w:val="0"/>
              <w:spacing w:line="560" w:lineRule="exact"/>
              <w:jc w:val="center"/>
              <w:rPr>
                <w:color w:val="auto"/>
                <w:szCs w:val="21"/>
                <w:highlight w:val="none"/>
              </w:rPr>
            </w:pPr>
            <w:r>
              <w:rPr>
                <w:color w:val="auto"/>
                <w:szCs w:val="21"/>
                <w:highlight w:val="none"/>
              </w:rPr>
              <w:t>开工日期</w:t>
            </w:r>
          </w:p>
        </w:tc>
        <w:tc>
          <w:tcPr>
            <w:tcW w:w="7408" w:type="dxa"/>
          </w:tcPr>
          <w:p w14:paraId="0C902DE9">
            <w:pPr>
              <w:topLinePunct/>
              <w:adjustRightInd w:val="0"/>
              <w:snapToGrid w:val="0"/>
              <w:spacing w:line="560" w:lineRule="exact"/>
              <w:rPr>
                <w:color w:val="auto"/>
                <w:szCs w:val="21"/>
                <w:highlight w:val="none"/>
              </w:rPr>
            </w:pPr>
          </w:p>
        </w:tc>
      </w:tr>
      <w:tr w14:paraId="048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vAlign w:val="center"/>
          </w:tcPr>
          <w:p w14:paraId="38175DC0">
            <w:pPr>
              <w:topLinePunct/>
              <w:adjustRightInd w:val="0"/>
              <w:snapToGrid w:val="0"/>
              <w:spacing w:line="56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7408" w:type="dxa"/>
          </w:tcPr>
          <w:p w14:paraId="7B7BA349">
            <w:pPr>
              <w:topLinePunct/>
              <w:adjustRightInd w:val="0"/>
              <w:snapToGrid w:val="0"/>
              <w:spacing w:line="560" w:lineRule="exact"/>
              <w:rPr>
                <w:color w:val="auto"/>
                <w:szCs w:val="21"/>
                <w:highlight w:val="none"/>
              </w:rPr>
            </w:pPr>
          </w:p>
        </w:tc>
      </w:tr>
      <w:tr w14:paraId="2F60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vAlign w:val="center"/>
          </w:tcPr>
          <w:p w14:paraId="7DFDE1D6">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7408" w:type="dxa"/>
          </w:tcPr>
          <w:p w14:paraId="101E7C09">
            <w:pPr>
              <w:topLinePunct/>
              <w:adjustRightInd w:val="0"/>
              <w:snapToGrid w:val="0"/>
              <w:spacing w:line="560" w:lineRule="exact"/>
              <w:rPr>
                <w:color w:val="auto"/>
                <w:szCs w:val="21"/>
                <w:highlight w:val="none"/>
              </w:rPr>
            </w:pPr>
          </w:p>
        </w:tc>
      </w:tr>
      <w:tr w14:paraId="44FA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vAlign w:val="center"/>
          </w:tcPr>
          <w:p w14:paraId="7F8797D5">
            <w:pPr>
              <w:topLinePunct/>
              <w:adjustRightInd w:val="0"/>
              <w:snapToGrid w:val="0"/>
              <w:spacing w:line="560" w:lineRule="exact"/>
              <w:jc w:val="center"/>
              <w:rPr>
                <w:color w:val="auto"/>
                <w:szCs w:val="21"/>
                <w:highlight w:val="none"/>
              </w:rPr>
            </w:pPr>
            <w:r>
              <w:rPr>
                <w:color w:val="auto"/>
                <w:szCs w:val="21"/>
                <w:highlight w:val="none"/>
              </w:rPr>
              <w:t>工程质量</w:t>
            </w:r>
          </w:p>
        </w:tc>
        <w:tc>
          <w:tcPr>
            <w:tcW w:w="7408" w:type="dxa"/>
          </w:tcPr>
          <w:p w14:paraId="07640415">
            <w:pPr>
              <w:topLinePunct/>
              <w:adjustRightInd w:val="0"/>
              <w:snapToGrid w:val="0"/>
              <w:spacing w:line="560" w:lineRule="exact"/>
              <w:rPr>
                <w:color w:val="auto"/>
                <w:szCs w:val="21"/>
                <w:highlight w:val="none"/>
              </w:rPr>
            </w:pPr>
          </w:p>
        </w:tc>
      </w:tr>
      <w:tr w14:paraId="64A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vAlign w:val="center"/>
          </w:tcPr>
          <w:p w14:paraId="52420060">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7408" w:type="dxa"/>
          </w:tcPr>
          <w:p w14:paraId="280B9453">
            <w:pPr>
              <w:topLinePunct/>
              <w:adjustRightInd w:val="0"/>
              <w:snapToGrid w:val="0"/>
              <w:spacing w:line="560" w:lineRule="exact"/>
              <w:rPr>
                <w:color w:val="auto"/>
                <w:szCs w:val="21"/>
                <w:highlight w:val="none"/>
              </w:rPr>
            </w:pPr>
          </w:p>
        </w:tc>
      </w:tr>
      <w:tr w14:paraId="506B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vAlign w:val="center"/>
          </w:tcPr>
          <w:p w14:paraId="6DF3F416">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7408" w:type="dxa"/>
          </w:tcPr>
          <w:p w14:paraId="5CB8C4DE">
            <w:pPr>
              <w:topLinePunct/>
              <w:adjustRightInd w:val="0"/>
              <w:snapToGrid w:val="0"/>
              <w:spacing w:line="560" w:lineRule="exact"/>
              <w:rPr>
                <w:color w:val="auto"/>
                <w:szCs w:val="21"/>
                <w:highlight w:val="none"/>
              </w:rPr>
            </w:pPr>
          </w:p>
        </w:tc>
      </w:tr>
      <w:tr w14:paraId="54A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vAlign w:val="center"/>
          </w:tcPr>
          <w:p w14:paraId="4DA479E0">
            <w:pPr>
              <w:topLinePunct/>
              <w:adjustRightInd w:val="0"/>
              <w:snapToGrid w:val="0"/>
              <w:spacing w:line="560" w:lineRule="exact"/>
              <w:jc w:val="center"/>
              <w:rPr>
                <w:color w:val="auto"/>
                <w:szCs w:val="21"/>
                <w:highlight w:val="none"/>
              </w:rPr>
            </w:pPr>
            <w:r>
              <w:rPr>
                <w:color w:val="auto"/>
                <w:szCs w:val="21"/>
                <w:highlight w:val="none"/>
              </w:rPr>
              <w:t>项目描述</w:t>
            </w:r>
          </w:p>
        </w:tc>
        <w:tc>
          <w:tcPr>
            <w:tcW w:w="7408" w:type="dxa"/>
          </w:tcPr>
          <w:p w14:paraId="3BEB1E65">
            <w:pPr>
              <w:topLinePunct/>
              <w:adjustRightInd w:val="0"/>
              <w:snapToGrid w:val="0"/>
              <w:spacing w:line="560" w:lineRule="exact"/>
              <w:rPr>
                <w:color w:val="auto"/>
                <w:szCs w:val="21"/>
                <w:highlight w:val="none"/>
              </w:rPr>
            </w:pPr>
          </w:p>
          <w:p w14:paraId="22785451">
            <w:pPr>
              <w:topLinePunct/>
              <w:adjustRightInd w:val="0"/>
              <w:snapToGrid w:val="0"/>
              <w:spacing w:line="560" w:lineRule="exact"/>
              <w:rPr>
                <w:color w:val="auto"/>
                <w:szCs w:val="21"/>
                <w:highlight w:val="none"/>
              </w:rPr>
            </w:pPr>
          </w:p>
          <w:p w14:paraId="77C5C9E2">
            <w:pPr>
              <w:topLinePunct/>
              <w:adjustRightInd w:val="0"/>
              <w:snapToGrid w:val="0"/>
              <w:spacing w:line="560" w:lineRule="exact"/>
              <w:rPr>
                <w:color w:val="auto"/>
                <w:szCs w:val="21"/>
                <w:highlight w:val="none"/>
              </w:rPr>
            </w:pPr>
          </w:p>
          <w:p w14:paraId="1B722D4A">
            <w:pPr>
              <w:topLinePunct/>
              <w:adjustRightInd w:val="0"/>
              <w:snapToGrid w:val="0"/>
              <w:spacing w:line="560" w:lineRule="exact"/>
              <w:rPr>
                <w:color w:val="auto"/>
                <w:szCs w:val="21"/>
                <w:highlight w:val="none"/>
              </w:rPr>
            </w:pPr>
          </w:p>
          <w:p w14:paraId="36BD98ED">
            <w:pPr>
              <w:topLinePunct/>
              <w:adjustRightInd w:val="0"/>
              <w:snapToGrid w:val="0"/>
              <w:spacing w:line="560" w:lineRule="exact"/>
              <w:rPr>
                <w:color w:val="auto"/>
                <w:szCs w:val="21"/>
                <w:highlight w:val="none"/>
              </w:rPr>
            </w:pPr>
          </w:p>
        </w:tc>
      </w:tr>
      <w:tr w14:paraId="2649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vAlign w:val="center"/>
          </w:tcPr>
          <w:p w14:paraId="34101451">
            <w:pPr>
              <w:topLinePunct/>
              <w:adjustRightInd w:val="0"/>
              <w:snapToGrid w:val="0"/>
              <w:spacing w:line="560" w:lineRule="exact"/>
              <w:jc w:val="center"/>
              <w:rPr>
                <w:color w:val="auto"/>
                <w:szCs w:val="21"/>
                <w:highlight w:val="none"/>
              </w:rPr>
            </w:pPr>
            <w:r>
              <w:rPr>
                <w:color w:val="auto"/>
                <w:szCs w:val="21"/>
                <w:highlight w:val="none"/>
              </w:rPr>
              <w:t>备注</w:t>
            </w:r>
          </w:p>
        </w:tc>
        <w:tc>
          <w:tcPr>
            <w:tcW w:w="7408" w:type="dxa"/>
          </w:tcPr>
          <w:p w14:paraId="739CB022">
            <w:pPr>
              <w:topLinePunct/>
              <w:adjustRightInd w:val="0"/>
              <w:snapToGrid w:val="0"/>
              <w:spacing w:line="560" w:lineRule="exact"/>
              <w:rPr>
                <w:color w:val="auto"/>
                <w:szCs w:val="21"/>
                <w:highlight w:val="none"/>
              </w:rPr>
            </w:pPr>
          </w:p>
        </w:tc>
      </w:tr>
    </w:tbl>
    <w:p w14:paraId="52358824">
      <w:pPr>
        <w:pStyle w:val="4"/>
        <w:adjustRightInd w:val="0"/>
        <w:snapToGrid w:val="0"/>
        <w:spacing w:line="560" w:lineRule="exact"/>
        <w:jc w:val="center"/>
        <w:rPr>
          <w:color w:val="auto"/>
          <w:highlight w:val="none"/>
        </w:rPr>
      </w:pPr>
      <w:bookmarkStart w:id="843" w:name="_Toc95223537"/>
      <w:r>
        <w:rPr>
          <w:rFonts w:hint="eastAsia"/>
          <w:color w:val="auto"/>
          <w:highlight w:val="none"/>
        </w:rPr>
        <w:t>（5）联合体协议书</w:t>
      </w:r>
      <w:bookmarkEnd w:id="843"/>
    </w:p>
    <w:p w14:paraId="70A1F64C">
      <w:pPr>
        <w:adjustRightInd w:val="0"/>
        <w:snapToGrid w:val="0"/>
        <w:spacing w:line="520" w:lineRule="exact"/>
        <w:ind w:firstLine="422" w:firstLineChars="200"/>
        <w:jc w:val="left"/>
        <w:rPr>
          <w:rFonts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rPr>
        <w:t>（所有成员单位名</w:t>
      </w:r>
      <w:bookmarkStart w:id="844" w:name="_Toc506107345"/>
      <w:bookmarkStart w:id="845" w:name="_Toc58229120"/>
      <w:bookmarkStart w:id="846" w:name="_Toc15058939"/>
      <w:bookmarkStart w:id="847" w:name="_Toc60061579"/>
      <w:bookmarkStart w:id="848" w:name="_Toc152042592"/>
      <w:bookmarkStart w:id="849" w:name="_Toc152045803"/>
      <w:bookmarkStart w:id="850" w:name="_Toc144974871"/>
      <w:bookmarkStart w:id="851" w:name="_Toc179632823"/>
      <w:r>
        <w:rPr>
          <w:rFonts w:hint="eastAsia" w:ascii="宋体" w:hAnsi="宋体"/>
          <w:color w:val="auto"/>
          <w:szCs w:val="21"/>
          <w:highlight w:val="none"/>
        </w:rPr>
        <w:t xml:space="preserve">称）自愿组成 </w:t>
      </w:r>
      <w:r>
        <w:rPr>
          <w:rFonts w:hint="eastAsia" w:ascii="宋体" w:hAnsi="宋体"/>
          <w:color w:val="auto"/>
          <w:szCs w:val="21"/>
          <w:highlight w:val="none"/>
          <w:u w:val="single"/>
        </w:rPr>
        <w:t xml:space="preserve">  </w:t>
      </w:r>
      <w:bookmarkEnd w:id="844"/>
      <w:r>
        <w:rPr>
          <w:rFonts w:hint="eastAsia" w:ascii="宋体" w:hAnsi="宋体"/>
          <w:color w:val="auto"/>
          <w:szCs w:val="21"/>
          <w:highlight w:val="none"/>
          <w:u w:val="single"/>
        </w:rPr>
        <w:t xml:space="preserve">    </w:t>
      </w:r>
      <w:bookmarkEnd w:id="845"/>
      <w:bookmarkEnd w:id="846"/>
      <w:bookmarkEnd w:id="847"/>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b/>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p>
    <w:p w14:paraId="3EFDBF1C">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10DDEF13">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7AE38086">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0C2C8B4A">
      <w:pPr>
        <w:adjustRightInd w:val="0"/>
        <w:snapToGrid w:val="0"/>
        <w:spacing w:line="5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4.联合体各成员单位内部的职责分工如下：</w:t>
      </w:r>
    </w:p>
    <w:p w14:paraId="574A0DFC">
      <w:pPr>
        <w:pStyle w:val="44"/>
        <w:snapToGrid w:val="0"/>
        <w:spacing w:line="520" w:lineRule="exact"/>
        <w:ind w:firstLine="525" w:firstLineChars="250"/>
        <w:rPr>
          <w:rFonts w:cs="Times New Roman"/>
          <w:color w:val="auto"/>
          <w:sz w:val="21"/>
          <w:szCs w:val="21"/>
          <w:highlight w:val="none"/>
        </w:rPr>
      </w:pPr>
      <w:r>
        <w:rPr>
          <w:rFonts w:cs="Times New Roman"/>
          <w:color w:val="auto"/>
          <w:sz w:val="21"/>
          <w:szCs w:val="21"/>
          <w:highlight w:val="none"/>
        </w:rPr>
        <w:t>牵头人</w:t>
      </w:r>
      <w:r>
        <w:rPr>
          <w:rFonts w:hint="eastAsia" w:cs="Times New Roman"/>
          <w:color w:val="auto"/>
          <w:sz w:val="21"/>
          <w:szCs w:val="21"/>
          <w:highlight w:val="none"/>
        </w:rPr>
        <w:t>（成员一）</w:t>
      </w:r>
      <w:r>
        <w:rPr>
          <w:rFonts w:cs="Times New Roman"/>
          <w:color w:val="auto"/>
          <w:sz w:val="21"/>
          <w:szCs w:val="21"/>
          <w:highlight w:val="none"/>
        </w:rPr>
        <w:t>名称</w:t>
      </w:r>
      <w:r>
        <w:rPr>
          <w:rFonts w:cs="Times New Roman"/>
          <w:color w:val="auto"/>
          <w:sz w:val="21"/>
          <w:szCs w:val="21"/>
          <w:highlight w:val="none"/>
          <w:u w:val="single"/>
        </w:rPr>
        <w:t>：</w:t>
      </w:r>
      <w:r>
        <w:rPr>
          <w:rFonts w:hint="eastAsia" w:cs="Times New Roman"/>
          <w:color w:val="auto"/>
          <w:sz w:val="21"/>
          <w:szCs w:val="21"/>
          <w:highlight w:val="none"/>
          <w:u w:val="single"/>
        </w:rPr>
        <w:t xml:space="preserve">           </w:t>
      </w:r>
      <w:r>
        <w:rPr>
          <w:rFonts w:cs="Times New Roman"/>
          <w:color w:val="auto"/>
          <w:sz w:val="21"/>
          <w:szCs w:val="21"/>
          <w:highlight w:val="none"/>
          <w:u w:val="single"/>
        </w:rPr>
        <w:t xml:space="preserve"> </w:t>
      </w:r>
      <w:r>
        <w:rPr>
          <w:rFonts w:cs="Times New Roman"/>
          <w:color w:val="auto"/>
          <w:sz w:val="21"/>
          <w:szCs w:val="21"/>
          <w:highlight w:val="none"/>
        </w:rPr>
        <w:t>，具有</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w:t>
      </w:r>
      <w:r>
        <w:rPr>
          <w:rFonts w:cs="Times New Roman"/>
          <w:color w:val="auto"/>
          <w:sz w:val="21"/>
          <w:szCs w:val="21"/>
          <w:highlight w:val="none"/>
          <w:u w:val="single"/>
        </w:rPr>
        <w:t>资</w:t>
      </w:r>
      <w:r>
        <w:rPr>
          <w:rFonts w:cs="Times New Roman"/>
          <w:color w:val="auto"/>
          <w:sz w:val="21"/>
          <w:szCs w:val="21"/>
          <w:highlight w:val="none"/>
        </w:rPr>
        <w:t>格，</w:t>
      </w:r>
      <w:r>
        <w:rPr>
          <w:rFonts w:hint="eastAsia" w:cs="Times New Roman"/>
          <w:color w:val="auto"/>
          <w:sz w:val="21"/>
          <w:szCs w:val="21"/>
          <w:highlight w:val="none"/>
        </w:rPr>
        <w:t>负责</w:t>
      </w:r>
      <w:r>
        <w:rPr>
          <w:rFonts w:cs="Times New Roman"/>
          <w:color w:val="auto"/>
          <w:sz w:val="21"/>
          <w:szCs w:val="21"/>
          <w:highlight w:val="none"/>
        </w:rPr>
        <w:t>承担</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，负责内容的合同金额占总合同金额的百分比    %</w:t>
      </w:r>
      <w:r>
        <w:rPr>
          <w:rFonts w:cs="Times New Roman"/>
          <w:color w:val="auto"/>
          <w:sz w:val="21"/>
          <w:szCs w:val="21"/>
          <w:highlight w:val="none"/>
          <w:u w:val="single"/>
        </w:rPr>
        <w:t>；</w:t>
      </w:r>
      <w:r>
        <w:rPr>
          <w:rFonts w:cs="Times New Roman"/>
          <w:color w:val="auto"/>
          <w:sz w:val="21"/>
          <w:szCs w:val="21"/>
          <w:highlight w:val="none"/>
        </w:rPr>
        <w:t xml:space="preserve"> </w:t>
      </w:r>
    </w:p>
    <w:p w14:paraId="721C4BD2">
      <w:pPr>
        <w:adjustRightInd w:val="0"/>
        <w:snapToGrid w:val="0"/>
        <w:spacing w:line="520" w:lineRule="exact"/>
        <w:ind w:firstLine="630" w:firstLineChars="300"/>
        <w:rPr>
          <w:rFonts w:ascii="宋体" w:hAnsi="宋体"/>
          <w:color w:val="auto"/>
          <w:szCs w:val="21"/>
          <w:highlight w:val="none"/>
        </w:rPr>
      </w:pPr>
      <w:r>
        <w:rPr>
          <w:color w:val="auto"/>
          <w:szCs w:val="21"/>
          <w:highlight w:val="none"/>
        </w:rPr>
        <w:t>成员</w:t>
      </w:r>
      <w:r>
        <w:rPr>
          <w:rFonts w:hint="eastAsia"/>
          <w:color w:val="auto"/>
          <w:szCs w:val="21"/>
          <w:highlight w:val="none"/>
        </w:rPr>
        <w:t>二</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w:t>
      </w:r>
      <w:r>
        <w:rPr>
          <w:rFonts w:hint="eastAsia"/>
          <w:color w:val="auto"/>
          <w:szCs w:val="21"/>
          <w:highlight w:val="none"/>
        </w:rPr>
        <w:t>，</w:t>
      </w:r>
      <w:r>
        <w:rPr>
          <w:rFonts w:hint="eastAsia"/>
          <w:color w:val="auto"/>
          <w:szCs w:val="21"/>
          <w:highlight w:val="none"/>
          <w:u w:val="single"/>
        </w:rPr>
        <w:t>负责内容的合同金额占总合同金额的百分比    %</w:t>
      </w:r>
      <w:r>
        <w:rPr>
          <w:color w:val="auto"/>
          <w:szCs w:val="21"/>
          <w:highlight w:val="none"/>
          <w:u w:val="single"/>
        </w:rPr>
        <w:t>；</w:t>
      </w:r>
      <w:r>
        <w:rPr>
          <w:rFonts w:hint="eastAsia" w:ascii="宋体" w:hAnsi="宋体"/>
          <w:color w:val="auto"/>
          <w:szCs w:val="21"/>
          <w:highlight w:val="none"/>
        </w:rPr>
        <w:t xml:space="preserve">               </w:t>
      </w:r>
    </w:p>
    <w:p w14:paraId="599CB454">
      <w:pPr>
        <w:adjustRightInd w:val="0"/>
        <w:snapToGrid w:val="0"/>
        <w:spacing w:line="520" w:lineRule="exact"/>
        <w:ind w:firstLine="630" w:firstLineChars="300"/>
        <w:rPr>
          <w:rFonts w:ascii="宋体" w:hAnsi="宋体"/>
          <w:color w:val="auto"/>
          <w:szCs w:val="21"/>
          <w:highlight w:val="none"/>
        </w:rPr>
      </w:pPr>
      <w:r>
        <w:rPr>
          <w:color w:val="auto"/>
          <w:szCs w:val="21"/>
          <w:highlight w:val="none"/>
        </w:rPr>
        <w:t>成员</w:t>
      </w:r>
      <w:r>
        <w:rPr>
          <w:rFonts w:hint="eastAsia"/>
          <w:color w:val="auto"/>
          <w:szCs w:val="21"/>
          <w:highlight w:val="none"/>
        </w:rPr>
        <w:t>三</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w:t>
      </w:r>
      <w:r>
        <w:rPr>
          <w:rFonts w:hint="eastAsia"/>
          <w:color w:val="auto"/>
          <w:szCs w:val="21"/>
          <w:highlight w:val="none"/>
        </w:rPr>
        <w:t>，</w:t>
      </w:r>
      <w:r>
        <w:rPr>
          <w:rFonts w:hint="eastAsia"/>
          <w:color w:val="auto"/>
          <w:szCs w:val="21"/>
          <w:highlight w:val="none"/>
          <w:u w:val="single"/>
        </w:rPr>
        <w:t>负责内容的合同金额占总合同金额的百分比    %</w:t>
      </w:r>
      <w:r>
        <w:rPr>
          <w:color w:val="auto"/>
          <w:szCs w:val="21"/>
          <w:highlight w:val="none"/>
          <w:u w:val="single"/>
        </w:rPr>
        <w:t>；</w:t>
      </w:r>
    </w:p>
    <w:p w14:paraId="2B92A1E8">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30B7F628">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05C605E8">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7.本协议书一式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4BB51CB9">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注：本协议由委托代理人签字的，应附法定代表人签字的授权委托书。</w:t>
      </w:r>
    </w:p>
    <w:p w14:paraId="1925548D">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牵头人（成员一）名称：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7134465">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8A7FB6D">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B00328A">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D7D270D">
      <w:pPr>
        <w:adjustRightInd w:val="0"/>
        <w:snapToGrid w:val="0"/>
        <w:spacing w:line="520" w:lineRule="exact"/>
        <w:ind w:firstLine="3360" w:firstLineChars="1600"/>
        <w:rPr>
          <w:rFonts w:ascii="宋体" w:hAnsi="宋体"/>
          <w:color w:val="auto"/>
          <w:szCs w:val="21"/>
          <w:highlight w:val="none"/>
        </w:rPr>
      </w:pPr>
      <w:r>
        <w:rPr>
          <w:rFonts w:hint="eastAsia" w:ascii="宋体" w:hAnsi="宋体"/>
          <w:color w:val="auto"/>
          <w:szCs w:val="21"/>
          <w:highlight w:val="none"/>
        </w:rPr>
        <w:t>成员三名称：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A18ECED">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6F8707D">
      <w:pPr>
        <w:adjustRightInd w:val="0"/>
        <w:snapToGrid w:val="0"/>
        <w:spacing w:line="560" w:lineRule="exact"/>
        <w:ind w:firstLine="5775" w:firstLineChars="2750"/>
        <w:rPr>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848"/>
    <w:bookmarkEnd w:id="849"/>
    <w:bookmarkEnd w:id="850"/>
    <w:bookmarkEnd w:id="851"/>
    <w:p w14:paraId="4744A0AE">
      <w:pPr>
        <w:rPr>
          <w:color w:val="auto"/>
          <w:highlight w:val="none"/>
        </w:rPr>
      </w:pPr>
      <w:bookmarkStart w:id="852" w:name="_Toc95223538"/>
      <w:r>
        <w:rPr>
          <w:rFonts w:hint="eastAsia"/>
          <w:color w:val="auto"/>
          <w:highlight w:val="none"/>
        </w:rPr>
        <w:br w:type="page"/>
      </w:r>
    </w:p>
    <w:p w14:paraId="6031881F">
      <w:pPr>
        <w:pStyle w:val="4"/>
        <w:adjustRightInd w:val="0"/>
        <w:snapToGrid w:val="0"/>
        <w:spacing w:line="560" w:lineRule="exact"/>
        <w:jc w:val="center"/>
        <w:rPr>
          <w:color w:val="auto"/>
          <w:highlight w:val="none"/>
        </w:rPr>
      </w:pPr>
      <w:r>
        <w:rPr>
          <w:rFonts w:hint="eastAsia"/>
          <w:color w:val="auto"/>
          <w:highlight w:val="none"/>
        </w:rPr>
        <w:t>（6）</w:t>
      </w:r>
      <w:r>
        <w:rPr>
          <w:color w:val="auto"/>
          <w:highlight w:val="none"/>
        </w:rPr>
        <w:t>项目管理机构</w:t>
      </w:r>
    </w:p>
    <w:p w14:paraId="2DE2A54F">
      <w:pPr>
        <w:pStyle w:val="5"/>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1AAC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vAlign w:val="center"/>
          </w:tcPr>
          <w:p w14:paraId="0E67CBEE">
            <w:pPr>
              <w:adjustRightInd w:val="0"/>
              <w:snapToGrid w:val="0"/>
              <w:spacing w:line="560" w:lineRule="exact"/>
              <w:jc w:val="center"/>
              <w:rPr>
                <w:color w:val="auto"/>
                <w:szCs w:val="21"/>
                <w:highlight w:val="none"/>
              </w:rPr>
            </w:pPr>
            <w:r>
              <w:rPr>
                <w:color w:val="auto"/>
                <w:szCs w:val="21"/>
                <w:highlight w:val="none"/>
              </w:rPr>
              <w:t>职务</w:t>
            </w:r>
          </w:p>
        </w:tc>
        <w:tc>
          <w:tcPr>
            <w:tcW w:w="814" w:type="dxa"/>
            <w:vMerge w:val="restart"/>
            <w:vAlign w:val="center"/>
          </w:tcPr>
          <w:p w14:paraId="3F74A0D7">
            <w:pPr>
              <w:adjustRightInd w:val="0"/>
              <w:snapToGrid w:val="0"/>
              <w:spacing w:line="560" w:lineRule="exact"/>
              <w:jc w:val="center"/>
              <w:rPr>
                <w:color w:val="auto"/>
                <w:szCs w:val="21"/>
                <w:highlight w:val="none"/>
              </w:rPr>
            </w:pPr>
            <w:r>
              <w:rPr>
                <w:color w:val="auto"/>
                <w:szCs w:val="21"/>
                <w:highlight w:val="none"/>
              </w:rPr>
              <w:t>姓名</w:t>
            </w:r>
          </w:p>
        </w:tc>
        <w:tc>
          <w:tcPr>
            <w:tcW w:w="812" w:type="dxa"/>
            <w:vMerge w:val="restart"/>
            <w:vAlign w:val="center"/>
          </w:tcPr>
          <w:p w14:paraId="022A234B">
            <w:pPr>
              <w:adjustRightInd w:val="0"/>
              <w:snapToGrid w:val="0"/>
              <w:spacing w:line="560" w:lineRule="exact"/>
              <w:jc w:val="center"/>
              <w:rPr>
                <w:color w:val="auto"/>
                <w:szCs w:val="21"/>
                <w:highlight w:val="none"/>
              </w:rPr>
            </w:pPr>
            <w:r>
              <w:rPr>
                <w:color w:val="auto"/>
                <w:szCs w:val="21"/>
                <w:highlight w:val="none"/>
              </w:rPr>
              <w:t>职称</w:t>
            </w:r>
          </w:p>
        </w:tc>
        <w:tc>
          <w:tcPr>
            <w:tcW w:w="6505" w:type="dxa"/>
            <w:gridSpan w:val="5"/>
            <w:vAlign w:val="center"/>
          </w:tcPr>
          <w:p w14:paraId="62342243">
            <w:pPr>
              <w:adjustRightInd w:val="0"/>
              <w:snapToGrid w:val="0"/>
              <w:spacing w:line="560" w:lineRule="exact"/>
              <w:jc w:val="center"/>
              <w:rPr>
                <w:color w:val="auto"/>
                <w:szCs w:val="21"/>
                <w:highlight w:val="none"/>
              </w:rPr>
            </w:pPr>
            <w:r>
              <w:rPr>
                <w:color w:val="auto"/>
                <w:szCs w:val="21"/>
                <w:highlight w:val="none"/>
              </w:rPr>
              <w:t>执业或职业资格证明</w:t>
            </w:r>
          </w:p>
        </w:tc>
        <w:tc>
          <w:tcPr>
            <w:tcW w:w="759" w:type="dxa"/>
            <w:vAlign w:val="center"/>
          </w:tcPr>
          <w:p w14:paraId="3032DBAE">
            <w:pPr>
              <w:adjustRightInd w:val="0"/>
              <w:snapToGrid w:val="0"/>
              <w:spacing w:line="560" w:lineRule="exact"/>
              <w:jc w:val="center"/>
              <w:rPr>
                <w:color w:val="auto"/>
                <w:szCs w:val="21"/>
                <w:highlight w:val="none"/>
              </w:rPr>
            </w:pPr>
            <w:r>
              <w:rPr>
                <w:color w:val="auto"/>
                <w:szCs w:val="21"/>
                <w:highlight w:val="none"/>
              </w:rPr>
              <w:t>备注</w:t>
            </w:r>
          </w:p>
        </w:tc>
      </w:tr>
      <w:tr w14:paraId="173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vAlign w:val="center"/>
          </w:tcPr>
          <w:p w14:paraId="59AED165">
            <w:pPr>
              <w:adjustRightInd w:val="0"/>
              <w:snapToGrid w:val="0"/>
              <w:spacing w:line="560" w:lineRule="exact"/>
              <w:jc w:val="center"/>
              <w:rPr>
                <w:color w:val="auto"/>
                <w:szCs w:val="21"/>
                <w:highlight w:val="none"/>
              </w:rPr>
            </w:pPr>
          </w:p>
        </w:tc>
        <w:tc>
          <w:tcPr>
            <w:tcW w:w="814" w:type="dxa"/>
            <w:vMerge w:val="continue"/>
            <w:vAlign w:val="center"/>
          </w:tcPr>
          <w:p w14:paraId="36635149">
            <w:pPr>
              <w:adjustRightInd w:val="0"/>
              <w:snapToGrid w:val="0"/>
              <w:spacing w:line="560" w:lineRule="exact"/>
              <w:jc w:val="center"/>
              <w:rPr>
                <w:color w:val="auto"/>
                <w:szCs w:val="21"/>
                <w:highlight w:val="none"/>
              </w:rPr>
            </w:pPr>
          </w:p>
        </w:tc>
        <w:tc>
          <w:tcPr>
            <w:tcW w:w="812" w:type="dxa"/>
            <w:vMerge w:val="continue"/>
            <w:vAlign w:val="center"/>
          </w:tcPr>
          <w:p w14:paraId="22754BAA">
            <w:pPr>
              <w:adjustRightInd w:val="0"/>
              <w:snapToGrid w:val="0"/>
              <w:spacing w:line="560" w:lineRule="exact"/>
              <w:jc w:val="center"/>
              <w:rPr>
                <w:color w:val="auto"/>
                <w:szCs w:val="21"/>
                <w:highlight w:val="none"/>
              </w:rPr>
            </w:pPr>
          </w:p>
        </w:tc>
        <w:tc>
          <w:tcPr>
            <w:tcW w:w="1220" w:type="dxa"/>
            <w:vAlign w:val="center"/>
          </w:tcPr>
          <w:p w14:paraId="2F864112">
            <w:pPr>
              <w:adjustRightInd w:val="0"/>
              <w:snapToGrid w:val="0"/>
              <w:spacing w:line="560" w:lineRule="exact"/>
              <w:jc w:val="center"/>
              <w:rPr>
                <w:color w:val="auto"/>
                <w:szCs w:val="21"/>
                <w:highlight w:val="none"/>
              </w:rPr>
            </w:pPr>
            <w:r>
              <w:rPr>
                <w:color w:val="auto"/>
                <w:szCs w:val="21"/>
                <w:highlight w:val="none"/>
              </w:rPr>
              <w:t>证书名称</w:t>
            </w:r>
          </w:p>
        </w:tc>
        <w:tc>
          <w:tcPr>
            <w:tcW w:w="812" w:type="dxa"/>
            <w:vAlign w:val="center"/>
          </w:tcPr>
          <w:p w14:paraId="0DA3B813">
            <w:pPr>
              <w:adjustRightInd w:val="0"/>
              <w:snapToGrid w:val="0"/>
              <w:spacing w:line="560" w:lineRule="exact"/>
              <w:jc w:val="center"/>
              <w:rPr>
                <w:color w:val="auto"/>
                <w:szCs w:val="21"/>
                <w:highlight w:val="none"/>
              </w:rPr>
            </w:pPr>
            <w:r>
              <w:rPr>
                <w:color w:val="auto"/>
                <w:szCs w:val="21"/>
                <w:highlight w:val="none"/>
              </w:rPr>
              <w:t>级别</w:t>
            </w:r>
          </w:p>
        </w:tc>
        <w:tc>
          <w:tcPr>
            <w:tcW w:w="814" w:type="dxa"/>
            <w:vAlign w:val="center"/>
          </w:tcPr>
          <w:p w14:paraId="4CDB9A06">
            <w:pPr>
              <w:adjustRightInd w:val="0"/>
              <w:snapToGrid w:val="0"/>
              <w:spacing w:line="560" w:lineRule="exact"/>
              <w:jc w:val="center"/>
              <w:rPr>
                <w:color w:val="auto"/>
                <w:szCs w:val="21"/>
                <w:highlight w:val="none"/>
              </w:rPr>
            </w:pPr>
            <w:r>
              <w:rPr>
                <w:color w:val="auto"/>
                <w:szCs w:val="21"/>
                <w:highlight w:val="none"/>
              </w:rPr>
              <w:t>证号</w:t>
            </w:r>
          </w:p>
        </w:tc>
        <w:tc>
          <w:tcPr>
            <w:tcW w:w="811" w:type="dxa"/>
            <w:vAlign w:val="center"/>
          </w:tcPr>
          <w:p w14:paraId="0DC1EF8B">
            <w:pPr>
              <w:adjustRightInd w:val="0"/>
              <w:snapToGrid w:val="0"/>
              <w:spacing w:line="560" w:lineRule="exact"/>
              <w:jc w:val="center"/>
              <w:rPr>
                <w:color w:val="auto"/>
                <w:szCs w:val="21"/>
                <w:highlight w:val="none"/>
              </w:rPr>
            </w:pPr>
            <w:r>
              <w:rPr>
                <w:color w:val="auto"/>
                <w:szCs w:val="21"/>
                <w:highlight w:val="none"/>
              </w:rPr>
              <w:t>专业</w:t>
            </w:r>
          </w:p>
        </w:tc>
        <w:tc>
          <w:tcPr>
            <w:tcW w:w="2848" w:type="dxa"/>
            <w:vAlign w:val="center"/>
          </w:tcPr>
          <w:p w14:paraId="498B7F31">
            <w:pPr>
              <w:adjustRightInd w:val="0"/>
              <w:snapToGrid w:val="0"/>
              <w:spacing w:line="560" w:lineRule="exact"/>
              <w:jc w:val="center"/>
              <w:rPr>
                <w:color w:val="auto"/>
                <w:szCs w:val="21"/>
                <w:highlight w:val="none"/>
              </w:rPr>
            </w:pPr>
            <w:r>
              <w:rPr>
                <w:color w:val="auto"/>
                <w:szCs w:val="21"/>
                <w:highlight w:val="none"/>
              </w:rPr>
              <w:t>养老保险</w:t>
            </w:r>
          </w:p>
        </w:tc>
        <w:tc>
          <w:tcPr>
            <w:tcW w:w="759" w:type="dxa"/>
            <w:vAlign w:val="center"/>
          </w:tcPr>
          <w:p w14:paraId="3783856F">
            <w:pPr>
              <w:adjustRightInd w:val="0"/>
              <w:snapToGrid w:val="0"/>
              <w:spacing w:line="560" w:lineRule="exact"/>
              <w:jc w:val="center"/>
              <w:rPr>
                <w:color w:val="auto"/>
                <w:szCs w:val="21"/>
                <w:highlight w:val="none"/>
              </w:rPr>
            </w:pPr>
          </w:p>
        </w:tc>
      </w:tr>
      <w:tr w14:paraId="0040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vAlign w:val="center"/>
          </w:tcPr>
          <w:p w14:paraId="6833F2FF">
            <w:pPr>
              <w:adjustRightInd w:val="0"/>
              <w:snapToGrid w:val="0"/>
              <w:spacing w:line="560" w:lineRule="exact"/>
              <w:jc w:val="center"/>
              <w:rPr>
                <w:color w:val="auto"/>
                <w:szCs w:val="21"/>
                <w:highlight w:val="none"/>
              </w:rPr>
            </w:pPr>
            <w:r>
              <w:rPr>
                <w:rFonts w:hint="eastAsia"/>
                <w:color w:val="auto"/>
                <w:szCs w:val="21"/>
                <w:highlight w:val="none"/>
              </w:rPr>
              <w:t>项目经理（建造师）</w:t>
            </w:r>
          </w:p>
        </w:tc>
        <w:tc>
          <w:tcPr>
            <w:tcW w:w="814" w:type="dxa"/>
            <w:vAlign w:val="center"/>
          </w:tcPr>
          <w:p w14:paraId="70D86F06">
            <w:pPr>
              <w:adjustRightInd w:val="0"/>
              <w:snapToGrid w:val="0"/>
              <w:spacing w:line="560" w:lineRule="exact"/>
              <w:jc w:val="center"/>
              <w:rPr>
                <w:color w:val="auto"/>
                <w:szCs w:val="21"/>
                <w:highlight w:val="none"/>
              </w:rPr>
            </w:pPr>
          </w:p>
        </w:tc>
        <w:tc>
          <w:tcPr>
            <w:tcW w:w="812" w:type="dxa"/>
            <w:vAlign w:val="center"/>
          </w:tcPr>
          <w:p w14:paraId="4D0E189A">
            <w:pPr>
              <w:adjustRightInd w:val="0"/>
              <w:snapToGrid w:val="0"/>
              <w:spacing w:line="560" w:lineRule="exact"/>
              <w:jc w:val="center"/>
              <w:rPr>
                <w:color w:val="auto"/>
                <w:szCs w:val="21"/>
                <w:highlight w:val="none"/>
              </w:rPr>
            </w:pPr>
          </w:p>
        </w:tc>
        <w:tc>
          <w:tcPr>
            <w:tcW w:w="1220" w:type="dxa"/>
            <w:vAlign w:val="center"/>
          </w:tcPr>
          <w:p w14:paraId="2EA96D2F">
            <w:pPr>
              <w:adjustRightInd w:val="0"/>
              <w:snapToGrid w:val="0"/>
              <w:spacing w:line="560" w:lineRule="exact"/>
              <w:jc w:val="center"/>
              <w:rPr>
                <w:color w:val="auto"/>
                <w:szCs w:val="21"/>
                <w:highlight w:val="none"/>
              </w:rPr>
            </w:pPr>
          </w:p>
        </w:tc>
        <w:tc>
          <w:tcPr>
            <w:tcW w:w="812" w:type="dxa"/>
            <w:vAlign w:val="center"/>
          </w:tcPr>
          <w:p w14:paraId="30ED4CF8">
            <w:pPr>
              <w:adjustRightInd w:val="0"/>
              <w:snapToGrid w:val="0"/>
              <w:spacing w:line="560" w:lineRule="exact"/>
              <w:jc w:val="center"/>
              <w:rPr>
                <w:color w:val="auto"/>
                <w:szCs w:val="21"/>
                <w:highlight w:val="none"/>
              </w:rPr>
            </w:pPr>
          </w:p>
        </w:tc>
        <w:tc>
          <w:tcPr>
            <w:tcW w:w="814" w:type="dxa"/>
            <w:vAlign w:val="center"/>
          </w:tcPr>
          <w:p w14:paraId="6329A522">
            <w:pPr>
              <w:adjustRightInd w:val="0"/>
              <w:snapToGrid w:val="0"/>
              <w:spacing w:line="560" w:lineRule="exact"/>
              <w:jc w:val="center"/>
              <w:rPr>
                <w:color w:val="auto"/>
                <w:szCs w:val="21"/>
                <w:highlight w:val="none"/>
              </w:rPr>
            </w:pPr>
          </w:p>
        </w:tc>
        <w:tc>
          <w:tcPr>
            <w:tcW w:w="811" w:type="dxa"/>
            <w:vAlign w:val="center"/>
          </w:tcPr>
          <w:p w14:paraId="475794EF">
            <w:pPr>
              <w:adjustRightInd w:val="0"/>
              <w:snapToGrid w:val="0"/>
              <w:spacing w:line="560" w:lineRule="exact"/>
              <w:jc w:val="center"/>
              <w:rPr>
                <w:color w:val="auto"/>
                <w:szCs w:val="21"/>
                <w:highlight w:val="none"/>
              </w:rPr>
            </w:pPr>
          </w:p>
        </w:tc>
        <w:tc>
          <w:tcPr>
            <w:tcW w:w="2848" w:type="dxa"/>
            <w:vAlign w:val="center"/>
          </w:tcPr>
          <w:p w14:paraId="083EFBBC">
            <w:pPr>
              <w:adjustRightInd w:val="0"/>
              <w:snapToGrid w:val="0"/>
              <w:spacing w:line="560" w:lineRule="exact"/>
              <w:jc w:val="center"/>
              <w:rPr>
                <w:color w:val="auto"/>
                <w:szCs w:val="21"/>
                <w:highlight w:val="none"/>
              </w:rPr>
            </w:pPr>
          </w:p>
        </w:tc>
        <w:tc>
          <w:tcPr>
            <w:tcW w:w="759" w:type="dxa"/>
            <w:vAlign w:val="center"/>
          </w:tcPr>
          <w:p w14:paraId="6442B23C">
            <w:pPr>
              <w:adjustRightInd w:val="0"/>
              <w:snapToGrid w:val="0"/>
              <w:spacing w:line="560" w:lineRule="exact"/>
              <w:jc w:val="center"/>
              <w:rPr>
                <w:color w:val="auto"/>
                <w:szCs w:val="21"/>
                <w:highlight w:val="none"/>
              </w:rPr>
            </w:pPr>
          </w:p>
        </w:tc>
      </w:tr>
      <w:tr w14:paraId="48D1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53B56CD7">
            <w:pPr>
              <w:adjustRightInd w:val="0"/>
              <w:snapToGrid w:val="0"/>
              <w:spacing w:line="560" w:lineRule="exact"/>
              <w:jc w:val="center"/>
              <w:rPr>
                <w:color w:val="auto"/>
                <w:szCs w:val="21"/>
                <w:highlight w:val="none"/>
              </w:rPr>
            </w:pPr>
            <w:r>
              <w:rPr>
                <w:rFonts w:hint="eastAsia"/>
                <w:color w:val="auto"/>
                <w:szCs w:val="21"/>
                <w:highlight w:val="none"/>
              </w:rPr>
              <w:t>技术负责人</w:t>
            </w:r>
          </w:p>
        </w:tc>
        <w:tc>
          <w:tcPr>
            <w:tcW w:w="814" w:type="dxa"/>
          </w:tcPr>
          <w:p w14:paraId="4BA27DE8">
            <w:pPr>
              <w:adjustRightInd w:val="0"/>
              <w:snapToGrid w:val="0"/>
              <w:spacing w:line="560" w:lineRule="exact"/>
              <w:jc w:val="center"/>
              <w:rPr>
                <w:color w:val="auto"/>
                <w:szCs w:val="21"/>
                <w:highlight w:val="none"/>
              </w:rPr>
            </w:pPr>
          </w:p>
        </w:tc>
        <w:tc>
          <w:tcPr>
            <w:tcW w:w="812" w:type="dxa"/>
          </w:tcPr>
          <w:p w14:paraId="2D685AE0">
            <w:pPr>
              <w:adjustRightInd w:val="0"/>
              <w:snapToGrid w:val="0"/>
              <w:spacing w:line="560" w:lineRule="exact"/>
              <w:jc w:val="center"/>
              <w:rPr>
                <w:color w:val="auto"/>
                <w:szCs w:val="21"/>
                <w:highlight w:val="none"/>
              </w:rPr>
            </w:pPr>
          </w:p>
        </w:tc>
        <w:tc>
          <w:tcPr>
            <w:tcW w:w="1220" w:type="dxa"/>
          </w:tcPr>
          <w:p w14:paraId="5E845210">
            <w:pPr>
              <w:adjustRightInd w:val="0"/>
              <w:snapToGrid w:val="0"/>
              <w:spacing w:line="560" w:lineRule="exact"/>
              <w:jc w:val="center"/>
              <w:rPr>
                <w:color w:val="auto"/>
                <w:szCs w:val="21"/>
                <w:highlight w:val="none"/>
              </w:rPr>
            </w:pPr>
          </w:p>
        </w:tc>
        <w:tc>
          <w:tcPr>
            <w:tcW w:w="812" w:type="dxa"/>
          </w:tcPr>
          <w:p w14:paraId="762F3305">
            <w:pPr>
              <w:adjustRightInd w:val="0"/>
              <w:snapToGrid w:val="0"/>
              <w:spacing w:line="560" w:lineRule="exact"/>
              <w:jc w:val="center"/>
              <w:rPr>
                <w:color w:val="auto"/>
                <w:szCs w:val="21"/>
                <w:highlight w:val="none"/>
              </w:rPr>
            </w:pPr>
          </w:p>
        </w:tc>
        <w:tc>
          <w:tcPr>
            <w:tcW w:w="814" w:type="dxa"/>
          </w:tcPr>
          <w:p w14:paraId="318F6154">
            <w:pPr>
              <w:adjustRightInd w:val="0"/>
              <w:snapToGrid w:val="0"/>
              <w:spacing w:line="560" w:lineRule="exact"/>
              <w:jc w:val="center"/>
              <w:rPr>
                <w:color w:val="auto"/>
                <w:szCs w:val="21"/>
                <w:highlight w:val="none"/>
              </w:rPr>
            </w:pPr>
          </w:p>
        </w:tc>
        <w:tc>
          <w:tcPr>
            <w:tcW w:w="811" w:type="dxa"/>
          </w:tcPr>
          <w:p w14:paraId="7F628542">
            <w:pPr>
              <w:adjustRightInd w:val="0"/>
              <w:snapToGrid w:val="0"/>
              <w:spacing w:line="560" w:lineRule="exact"/>
              <w:jc w:val="center"/>
              <w:rPr>
                <w:color w:val="auto"/>
                <w:szCs w:val="21"/>
                <w:highlight w:val="none"/>
              </w:rPr>
            </w:pPr>
          </w:p>
        </w:tc>
        <w:tc>
          <w:tcPr>
            <w:tcW w:w="2848" w:type="dxa"/>
          </w:tcPr>
          <w:p w14:paraId="4C455EAA">
            <w:pPr>
              <w:adjustRightInd w:val="0"/>
              <w:snapToGrid w:val="0"/>
              <w:spacing w:line="560" w:lineRule="exact"/>
              <w:jc w:val="center"/>
              <w:rPr>
                <w:color w:val="auto"/>
                <w:szCs w:val="21"/>
                <w:highlight w:val="none"/>
              </w:rPr>
            </w:pPr>
          </w:p>
        </w:tc>
        <w:tc>
          <w:tcPr>
            <w:tcW w:w="759" w:type="dxa"/>
          </w:tcPr>
          <w:p w14:paraId="2D0F8A09">
            <w:pPr>
              <w:adjustRightInd w:val="0"/>
              <w:snapToGrid w:val="0"/>
              <w:spacing w:line="560" w:lineRule="exact"/>
              <w:jc w:val="center"/>
              <w:rPr>
                <w:color w:val="auto"/>
                <w:szCs w:val="21"/>
                <w:highlight w:val="none"/>
              </w:rPr>
            </w:pPr>
          </w:p>
        </w:tc>
      </w:tr>
      <w:tr w14:paraId="0183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10E9BB66">
            <w:pPr>
              <w:adjustRightInd w:val="0"/>
              <w:snapToGrid w:val="0"/>
              <w:spacing w:line="560" w:lineRule="exact"/>
              <w:jc w:val="center"/>
              <w:rPr>
                <w:color w:val="auto"/>
                <w:szCs w:val="21"/>
                <w:highlight w:val="none"/>
              </w:rPr>
            </w:pPr>
          </w:p>
        </w:tc>
        <w:tc>
          <w:tcPr>
            <w:tcW w:w="814" w:type="dxa"/>
          </w:tcPr>
          <w:p w14:paraId="4E313829">
            <w:pPr>
              <w:adjustRightInd w:val="0"/>
              <w:snapToGrid w:val="0"/>
              <w:spacing w:line="560" w:lineRule="exact"/>
              <w:jc w:val="center"/>
              <w:rPr>
                <w:color w:val="auto"/>
                <w:szCs w:val="21"/>
                <w:highlight w:val="none"/>
              </w:rPr>
            </w:pPr>
          </w:p>
        </w:tc>
        <w:tc>
          <w:tcPr>
            <w:tcW w:w="812" w:type="dxa"/>
          </w:tcPr>
          <w:p w14:paraId="7CF0C3DD">
            <w:pPr>
              <w:adjustRightInd w:val="0"/>
              <w:snapToGrid w:val="0"/>
              <w:spacing w:line="560" w:lineRule="exact"/>
              <w:jc w:val="center"/>
              <w:rPr>
                <w:color w:val="auto"/>
                <w:szCs w:val="21"/>
                <w:highlight w:val="none"/>
              </w:rPr>
            </w:pPr>
          </w:p>
        </w:tc>
        <w:tc>
          <w:tcPr>
            <w:tcW w:w="1220" w:type="dxa"/>
          </w:tcPr>
          <w:p w14:paraId="3B145488">
            <w:pPr>
              <w:adjustRightInd w:val="0"/>
              <w:snapToGrid w:val="0"/>
              <w:spacing w:line="560" w:lineRule="exact"/>
              <w:jc w:val="center"/>
              <w:rPr>
                <w:color w:val="auto"/>
                <w:szCs w:val="21"/>
                <w:highlight w:val="none"/>
              </w:rPr>
            </w:pPr>
          </w:p>
        </w:tc>
        <w:tc>
          <w:tcPr>
            <w:tcW w:w="812" w:type="dxa"/>
          </w:tcPr>
          <w:p w14:paraId="0C2743BB">
            <w:pPr>
              <w:adjustRightInd w:val="0"/>
              <w:snapToGrid w:val="0"/>
              <w:spacing w:line="560" w:lineRule="exact"/>
              <w:jc w:val="center"/>
              <w:rPr>
                <w:color w:val="auto"/>
                <w:szCs w:val="21"/>
                <w:highlight w:val="none"/>
              </w:rPr>
            </w:pPr>
          </w:p>
        </w:tc>
        <w:tc>
          <w:tcPr>
            <w:tcW w:w="814" w:type="dxa"/>
          </w:tcPr>
          <w:p w14:paraId="71AFF5B2">
            <w:pPr>
              <w:adjustRightInd w:val="0"/>
              <w:snapToGrid w:val="0"/>
              <w:spacing w:line="560" w:lineRule="exact"/>
              <w:jc w:val="center"/>
              <w:rPr>
                <w:color w:val="auto"/>
                <w:szCs w:val="21"/>
                <w:highlight w:val="none"/>
              </w:rPr>
            </w:pPr>
          </w:p>
        </w:tc>
        <w:tc>
          <w:tcPr>
            <w:tcW w:w="811" w:type="dxa"/>
          </w:tcPr>
          <w:p w14:paraId="38CCE0D7">
            <w:pPr>
              <w:adjustRightInd w:val="0"/>
              <w:snapToGrid w:val="0"/>
              <w:spacing w:line="560" w:lineRule="exact"/>
              <w:jc w:val="center"/>
              <w:rPr>
                <w:color w:val="auto"/>
                <w:szCs w:val="21"/>
                <w:highlight w:val="none"/>
              </w:rPr>
            </w:pPr>
          </w:p>
        </w:tc>
        <w:tc>
          <w:tcPr>
            <w:tcW w:w="2848" w:type="dxa"/>
          </w:tcPr>
          <w:p w14:paraId="56FDDF79">
            <w:pPr>
              <w:adjustRightInd w:val="0"/>
              <w:snapToGrid w:val="0"/>
              <w:spacing w:line="560" w:lineRule="exact"/>
              <w:jc w:val="center"/>
              <w:rPr>
                <w:color w:val="auto"/>
                <w:szCs w:val="21"/>
                <w:highlight w:val="none"/>
              </w:rPr>
            </w:pPr>
          </w:p>
        </w:tc>
        <w:tc>
          <w:tcPr>
            <w:tcW w:w="759" w:type="dxa"/>
          </w:tcPr>
          <w:p w14:paraId="7A14E39E">
            <w:pPr>
              <w:adjustRightInd w:val="0"/>
              <w:snapToGrid w:val="0"/>
              <w:spacing w:line="560" w:lineRule="exact"/>
              <w:jc w:val="center"/>
              <w:rPr>
                <w:color w:val="auto"/>
                <w:szCs w:val="21"/>
                <w:highlight w:val="none"/>
              </w:rPr>
            </w:pPr>
          </w:p>
        </w:tc>
      </w:tr>
      <w:tr w14:paraId="7ED3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7BFB9BEA">
            <w:pPr>
              <w:adjustRightInd w:val="0"/>
              <w:snapToGrid w:val="0"/>
              <w:spacing w:line="560" w:lineRule="exact"/>
              <w:jc w:val="center"/>
              <w:rPr>
                <w:color w:val="auto"/>
                <w:szCs w:val="21"/>
                <w:highlight w:val="none"/>
              </w:rPr>
            </w:pPr>
          </w:p>
        </w:tc>
        <w:tc>
          <w:tcPr>
            <w:tcW w:w="814" w:type="dxa"/>
          </w:tcPr>
          <w:p w14:paraId="5CDC4D45">
            <w:pPr>
              <w:adjustRightInd w:val="0"/>
              <w:snapToGrid w:val="0"/>
              <w:spacing w:line="560" w:lineRule="exact"/>
              <w:jc w:val="center"/>
              <w:rPr>
                <w:color w:val="auto"/>
                <w:szCs w:val="21"/>
                <w:highlight w:val="none"/>
              </w:rPr>
            </w:pPr>
          </w:p>
        </w:tc>
        <w:tc>
          <w:tcPr>
            <w:tcW w:w="812" w:type="dxa"/>
          </w:tcPr>
          <w:p w14:paraId="29856809">
            <w:pPr>
              <w:adjustRightInd w:val="0"/>
              <w:snapToGrid w:val="0"/>
              <w:spacing w:line="560" w:lineRule="exact"/>
              <w:jc w:val="center"/>
              <w:rPr>
                <w:color w:val="auto"/>
                <w:szCs w:val="21"/>
                <w:highlight w:val="none"/>
              </w:rPr>
            </w:pPr>
          </w:p>
        </w:tc>
        <w:tc>
          <w:tcPr>
            <w:tcW w:w="1220" w:type="dxa"/>
          </w:tcPr>
          <w:p w14:paraId="7213A058">
            <w:pPr>
              <w:adjustRightInd w:val="0"/>
              <w:snapToGrid w:val="0"/>
              <w:spacing w:line="560" w:lineRule="exact"/>
              <w:jc w:val="center"/>
              <w:rPr>
                <w:color w:val="auto"/>
                <w:szCs w:val="21"/>
                <w:highlight w:val="none"/>
              </w:rPr>
            </w:pPr>
          </w:p>
        </w:tc>
        <w:tc>
          <w:tcPr>
            <w:tcW w:w="812" w:type="dxa"/>
          </w:tcPr>
          <w:p w14:paraId="45EB9036">
            <w:pPr>
              <w:adjustRightInd w:val="0"/>
              <w:snapToGrid w:val="0"/>
              <w:spacing w:line="560" w:lineRule="exact"/>
              <w:jc w:val="center"/>
              <w:rPr>
                <w:color w:val="auto"/>
                <w:szCs w:val="21"/>
                <w:highlight w:val="none"/>
              </w:rPr>
            </w:pPr>
          </w:p>
        </w:tc>
        <w:tc>
          <w:tcPr>
            <w:tcW w:w="814" w:type="dxa"/>
          </w:tcPr>
          <w:p w14:paraId="10B85793">
            <w:pPr>
              <w:adjustRightInd w:val="0"/>
              <w:snapToGrid w:val="0"/>
              <w:spacing w:line="560" w:lineRule="exact"/>
              <w:jc w:val="center"/>
              <w:rPr>
                <w:color w:val="auto"/>
                <w:szCs w:val="21"/>
                <w:highlight w:val="none"/>
              </w:rPr>
            </w:pPr>
          </w:p>
        </w:tc>
        <w:tc>
          <w:tcPr>
            <w:tcW w:w="811" w:type="dxa"/>
          </w:tcPr>
          <w:p w14:paraId="759A239C">
            <w:pPr>
              <w:adjustRightInd w:val="0"/>
              <w:snapToGrid w:val="0"/>
              <w:spacing w:line="560" w:lineRule="exact"/>
              <w:jc w:val="center"/>
              <w:rPr>
                <w:color w:val="auto"/>
                <w:szCs w:val="21"/>
                <w:highlight w:val="none"/>
              </w:rPr>
            </w:pPr>
          </w:p>
        </w:tc>
        <w:tc>
          <w:tcPr>
            <w:tcW w:w="2848" w:type="dxa"/>
          </w:tcPr>
          <w:p w14:paraId="77D72E40">
            <w:pPr>
              <w:adjustRightInd w:val="0"/>
              <w:snapToGrid w:val="0"/>
              <w:spacing w:line="560" w:lineRule="exact"/>
              <w:jc w:val="center"/>
              <w:rPr>
                <w:color w:val="auto"/>
                <w:szCs w:val="21"/>
                <w:highlight w:val="none"/>
              </w:rPr>
            </w:pPr>
          </w:p>
        </w:tc>
        <w:tc>
          <w:tcPr>
            <w:tcW w:w="759" w:type="dxa"/>
          </w:tcPr>
          <w:p w14:paraId="39DEF8E3">
            <w:pPr>
              <w:adjustRightInd w:val="0"/>
              <w:snapToGrid w:val="0"/>
              <w:spacing w:line="560" w:lineRule="exact"/>
              <w:jc w:val="center"/>
              <w:rPr>
                <w:color w:val="auto"/>
                <w:szCs w:val="21"/>
                <w:highlight w:val="none"/>
              </w:rPr>
            </w:pPr>
          </w:p>
        </w:tc>
      </w:tr>
      <w:tr w14:paraId="24E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409A88ED">
            <w:pPr>
              <w:adjustRightInd w:val="0"/>
              <w:snapToGrid w:val="0"/>
              <w:spacing w:line="560" w:lineRule="exact"/>
              <w:jc w:val="center"/>
              <w:rPr>
                <w:color w:val="auto"/>
                <w:szCs w:val="21"/>
                <w:highlight w:val="none"/>
              </w:rPr>
            </w:pPr>
          </w:p>
        </w:tc>
        <w:tc>
          <w:tcPr>
            <w:tcW w:w="814" w:type="dxa"/>
          </w:tcPr>
          <w:p w14:paraId="6FEBF492">
            <w:pPr>
              <w:adjustRightInd w:val="0"/>
              <w:snapToGrid w:val="0"/>
              <w:spacing w:line="560" w:lineRule="exact"/>
              <w:jc w:val="center"/>
              <w:rPr>
                <w:color w:val="auto"/>
                <w:szCs w:val="21"/>
                <w:highlight w:val="none"/>
              </w:rPr>
            </w:pPr>
          </w:p>
        </w:tc>
        <w:tc>
          <w:tcPr>
            <w:tcW w:w="812" w:type="dxa"/>
          </w:tcPr>
          <w:p w14:paraId="0F916F30">
            <w:pPr>
              <w:adjustRightInd w:val="0"/>
              <w:snapToGrid w:val="0"/>
              <w:spacing w:line="560" w:lineRule="exact"/>
              <w:jc w:val="center"/>
              <w:rPr>
                <w:color w:val="auto"/>
                <w:szCs w:val="21"/>
                <w:highlight w:val="none"/>
              </w:rPr>
            </w:pPr>
          </w:p>
        </w:tc>
        <w:tc>
          <w:tcPr>
            <w:tcW w:w="1220" w:type="dxa"/>
          </w:tcPr>
          <w:p w14:paraId="46B1A16F">
            <w:pPr>
              <w:adjustRightInd w:val="0"/>
              <w:snapToGrid w:val="0"/>
              <w:spacing w:line="560" w:lineRule="exact"/>
              <w:jc w:val="center"/>
              <w:rPr>
                <w:color w:val="auto"/>
                <w:szCs w:val="21"/>
                <w:highlight w:val="none"/>
              </w:rPr>
            </w:pPr>
          </w:p>
        </w:tc>
        <w:tc>
          <w:tcPr>
            <w:tcW w:w="812" w:type="dxa"/>
          </w:tcPr>
          <w:p w14:paraId="2562396F">
            <w:pPr>
              <w:adjustRightInd w:val="0"/>
              <w:snapToGrid w:val="0"/>
              <w:spacing w:line="560" w:lineRule="exact"/>
              <w:jc w:val="center"/>
              <w:rPr>
                <w:color w:val="auto"/>
                <w:szCs w:val="21"/>
                <w:highlight w:val="none"/>
              </w:rPr>
            </w:pPr>
          </w:p>
        </w:tc>
        <w:tc>
          <w:tcPr>
            <w:tcW w:w="814" w:type="dxa"/>
          </w:tcPr>
          <w:p w14:paraId="3296271F">
            <w:pPr>
              <w:adjustRightInd w:val="0"/>
              <w:snapToGrid w:val="0"/>
              <w:spacing w:line="560" w:lineRule="exact"/>
              <w:jc w:val="center"/>
              <w:rPr>
                <w:color w:val="auto"/>
                <w:szCs w:val="21"/>
                <w:highlight w:val="none"/>
              </w:rPr>
            </w:pPr>
          </w:p>
        </w:tc>
        <w:tc>
          <w:tcPr>
            <w:tcW w:w="811" w:type="dxa"/>
          </w:tcPr>
          <w:p w14:paraId="063A916C">
            <w:pPr>
              <w:adjustRightInd w:val="0"/>
              <w:snapToGrid w:val="0"/>
              <w:spacing w:line="560" w:lineRule="exact"/>
              <w:jc w:val="center"/>
              <w:rPr>
                <w:color w:val="auto"/>
                <w:szCs w:val="21"/>
                <w:highlight w:val="none"/>
              </w:rPr>
            </w:pPr>
          </w:p>
        </w:tc>
        <w:tc>
          <w:tcPr>
            <w:tcW w:w="2848" w:type="dxa"/>
          </w:tcPr>
          <w:p w14:paraId="589FDADF">
            <w:pPr>
              <w:adjustRightInd w:val="0"/>
              <w:snapToGrid w:val="0"/>
              <w:spacing w:line="560" w:lineRule="exact"/>
              <w:jc w:val="center"/>
              <w:rPr>
                <w:color w:val="auto"/>
                <w:szCs w:val="21"/>
                <w:highlight w:val="none"/>
              </w:rPr>
            </w:pPr>
          </w:p>
        </w:tc>
        <w:tc>
          <w:tcPr>
            <w:tcW w:w="759" w:type="dxa"/>
          </w:tcPr>
          <w:p w14:paraId="50D5EE23">
            <w:pPr>
              <w:adjustRightInd w:val="0"/>
              <w:snapToGrid w:val="0"/>
              <w:spacing w:line="560" w:lineRule="exact"/>
              <w:jc w:val="center"/>
              <w:rPr>
                <w:color w:val="auto"/>
                <w:szCs w:val="21"/>
                <w:highlight w:val="none"/>
              </w:rPr>
            </w:pPr>
          </w:p>
        </w:tc>
      </w:tr>
      <w:tr w14:paraId="1290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tcPr>
          <w:p w14:paraId="0F21100C">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47E966C1">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C1FFEEB">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tcPr>
          <w:p w14:paraId="0B7C0393">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141A9FE3">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372A0170">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tcPr>
          <w:p w14:paraId="07062919">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60472D44">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tcPr>
          <w:p w14:paraId="6230109C">
            <w:pPr>
              <w:adjustRightInd w:val="0"/>
              <w:snapToGrid w:val="0"/>
              <w:spacing w:line="560" w:lineRule="exact"/>
              <w:jc w:val="center"/>
              <w:rPr>
                <w:color w:val="auto"/>
                <w:szCs w:val="21"/>
                <w:highlight w:val="none"/>
              </w:rPr>
            </w:pPr>
          </w:p>
        </w:tc>
      </w:tr>
      <w:tr w14:paraId="62C8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tcPr>
          <w:p w14:paraId="798E8C5E">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51A6A566">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4130E903">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tcPr>
          <w:p w14:paraId="76C02D64">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2F784864">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1181B165">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tcPr>
          <w:p w14:paraId="7273F53A">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43E54A05">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tcPr>
          <w:p w14:paraId="314807BF">
            <w:pPr>
              <w:adjustRightInd w:val="0"/>
              <w:snapToGrid w:val="0"/>
              <w:spacing w:line="560" w:lineRule="exact"/>
              <w:jc w:val="center"/>
              <w:rPr>
                <w:color w:val="auto"/>
                <w:szCs w:val="21"/>
                <w:highlight w:val="none"/>
              </w:rPr>
            </w:pPr>
          </w:p>
        </w:tc>
      </w:tr>
    </w:tbl>
    <w:p w14:paraId="4A5FD699">
      <w:pPr>
        <w:adjustRightInd w:val="0"/>
        <w:snapToGrid w:val="0"/>
        <w:spacing w:line="560" w:lineRule="exact"/>
        <w:rPr>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004F9E3">
      <w:pPr>
        <w:spacing w:line="560" w:lineRule="exact"/>
        <w:rPr>
          <w:color w:val="auto"/>
          <w:highlight w:val="none"/>
        </w:rPr>
      </w:pPr>
    </w:p>
    <w:p w14:paraId="7D1A2EF7">
      <w:pPr>
        <w:pStyle w:val="5"/>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0210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6408ABE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vAlign w:val="center"/>
          </w:tcPr>
          <w:p w14:paraId="2A21BAEE">
            <w:pPr>
              <w:adjustRightInd w:val="0"/>
              <w:snapToGrid w:val="0"/>
              <w:spacing w:line="560" w:lineRule="exact"/>
              <w:jc w:val="center"/>
              <w:rPr>
                <w:rFonts w:ascii="宋体" w:hAnsi="宋体"/>
                <w:color w:val="auto"/>
                <w:szCs w:val="21"/>
                <w:highlight w:val="none"/>
              </w:rPr>
            </w:pPr>
          </w:p>
        </w:tc>
        <w:tc>
          <w:tcPr>
            <w:tcW w:w="1018" w:type="dxa"/>
            <w:vAlign w:val="center"/>
          </w:tcPr>
          <w:p w14:paraId="24DC50A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vAlign w:val="center"/>
          </w:tcPr>
          <w:p w14:paraId="5B3675DB">
            <w:pPr>
              <w:adjustRightInd w:val="0"/>
              <w:snapToGrid w:val="0"/>
              <w:spacing w:line="560" w:lineRule="exact"/>
              <w:jc w:val="center"/>
              <w:rPr>
                <w:rFonts w:ascii="宋体" w:hAnsi="宋体"/>
                <w:color w:val="auto"/>
                <w:szCs w:val="21"/>
                <w:highlight w:val="none"/>
              </w:rPr>
            </w:pPr>
          </w:p>
        </w:tc>
        <w:tc>
          <w:tcPr>
            <w:tcW w:w="2339" w:type="dxa"/>
            <w:gridSpan w:val="3"/>
            <w:vAlign w:val="center"/>
          </w:tcPr>
          <w:p w14:paraId="157A0E7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vAlign w:val="center"/>
          </w:tcPr>
          <w:p w14:paraId="4B63DCF4">
            <w:pPr>
              <w:adjustRightInd w:val="0"/>
              <w:snapToGrid w:val="0"/>
              <w:spacing w:line="560" w:lineRule="exact"/>
              <w:rPr>
                <w:rFonts w:ascii="宋体" w:hAnsi="宋体"/>
                <w:color w:val="auto"/>
                <w:szCs w:val="21"/>
                <w:highlight w:val="none"/>
              </w:rPr>
            </w:pPr>
          </w:p>
        </w:tc>
      </w:tr>
      <w:tr w14:paraId="62FE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23007F4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vAlign w:val="center"/>
          </w:tcPr>
          <w:p w14:paraId="00B2909C">
            <w:pPr>
              <w:adjustRightInd w:val="0"/>
              <w:snapToGrid w:val="0"/>
              <w:spacing w:line="560" w:lineRule="exact"/>
              <w:jc w:val="center"/>
              <w:rPr>
                <w:rFonts w:ascii="宋体" w:hAnsi="宋体"/>
                <w:color w:val="auto"/>
                <w:szCs w:val="21"/>
                <w:highlight w:val="none"/>
              </w:rPr>
            </w:pPr>
          </w:p>
        </w:tc>
        <w:tc>
          <w:tcPr>
            <w:tcW w:w="1018" w:type="dxa"/>
            <w:vAlign w:val="center"/>
          </w:tcPr>
          <w:p w14:paraId="69E0AEC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vAlign w:val="center"/>
          </w:tcPr>
          <w:p w14:paraId="0F75CA36">
            <w:pPr>
              <w:adjustRightInd w:val="0"/>
              <w:snapToGrid w:val="0"/>
              <w:spacing w:line="560" w:lineRule="exact"/>
              <w:jc w:val="center"/>
              <w:rPr>
                <w:rFonts w:ascii="宋体" w:hAnsi="宋体"/>
                <w:color w:val="auto"/>
                <w:szCs w:val="21"/>
                <w:highlight w:val="none"/>
              </w:rPr>
            </w:pPr>
          </w:p>
        </w:tc>
        <w:tc>
          <w:tcPr>
            <w:tcW w:w="2339" w:type="dxa"/>
            <w:gridSpan w:val="3"/>
            <w:vAlign w:val="center"/>
          </w:tcPr>
          <w:p w14:paraId="0991383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vAlign w:val="center"/>
          </w:tcPr>
          <w:p w14:paraId="23957F30">
            <w:pPr>
              <w:adjustRightInd w:val="0"/>
              <w:snapToGrid w:val="0"/>
              <w:spacing w:line="560" w:lineRule="exact"/>
              <w:rPr>
                <w:rFonts w:ascii="宋体" w:hAnsi="宋体"/>
                <w:color w:val="auto"/>
                <w:szCs w:val="21"/>
                <w:highlight w:val="none"/>
              </w:rPr>
            </w:pPr>
          </w:p>
        </w:tc>
      </w:tr>
      <w:tr w14:paraId="41BC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65A0632F">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tcPr>
          <w:p w14:paraId="5FB582CC">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47A2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vAlign w:val="center"/>
          </w:tcPr>
          <w:p w14:paraId="665C1F1C">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4298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vAlign w:val="center"/>
          </w:tcPr>
          <w:p w14:paraId="19FF072D">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vAlign w:val="center"/>
          </w:tcPr>
          <w:p w14:paraId="4327801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vAlign w:val="center"/>
          </w:tcPr>
          <w:p w14:paraId="3C809F5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vAlign w:val="center"/>
          </w:tcPr>
          <w:p w14:paraId="45BA55B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0934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76054AEB">
            <w:pPr>
              <w:adjustRightInd w:val="0"/>
              <w:snapToGrid w:val="0"/>
              <w:spacing w:line="560" w:lineRule="exact"/>
              <w:rPr>
                <w:rFonts w:eastAsia="黑体"/>
                <w:color w:val="auto"/>
                <w:szCs w:val="21"/>
                <w:highlight w:val="none"/>
              </w:rPr>
            </w:pPr>
          </w:p>
        </w:tc>
        <w:tc>
          <w:tcPr>
            <w:tcW w:w="3756" w:type="dxa"/>
            <w:gridSpan w:val="4"/>
          </w:tcPr>
          <w:p w14:paraId="4DDC9805">
            <w:pPr>
              <w:adjustRightInd w:val="0"/>
              <w:snapToGrid w:val="0"/>
              <w:spacing w:line="560" w:lineRule="exact"/>
              <w:rPr>
                <w:rFonts w:eastAsia="黑体"/>
                <w:color w:val="auto"/>
                <w:szCs w:val="21"/>
                <w:highlight w:val="none"/>
              </w:rPr>
            </w:pPr>
          </w:p>
        </w:tc>
        <w:tc>
          <w:tcPr>
            <w:tcW w:w="1385" w:type="dxa"/>
          </w:tcPr>
          <w:p w14:paraId="34EDDD75">
            <w:pPr>
              <w:adjustRightInd w:val="0"/>
              <w:snapToGrid w:val="0"/>
              <w:spacing w:line="560" w:lineRule="exact"/>
              <w:rPr>
                <w:rFonts w:eastAsia="黑体"/>
                <w:color w:val="auto"/>
                <w:szCs w:val="21"/>
                <w:highlight w:val="none"/>
              </w:rPr>
            </w:pPr>
          </w:p>
        </w:tc>
        <w:tc>
          <w:tcPr>
            <w:tcW w:w="2522" w:type="dxa"/>
            <w:gridSpan w:val="2"/>
          </w:tcPr>
          <w:p w14:paraId="13085D88">
            <w:pPr>
              <w:adjustRightInd w:val="0"/>
              <w:snapToGrid w:val="0"/>
              <w:spacing w:line="560" w:lineRule="exact"/>
              <w:rPr>
                <w:rFonts w:eastAsia="黑体"/>
                <w:color w:val="auto"/>
                <w:szCs w:val="21"/>
                <w:highlight w:val="none"/>
              </w:rPr>
            </w:pPr>
          </w:p>
        </w:tc>
      </w:tr>
      <w:tr w14:paraId="770E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4C640877">
            <w:pPr>
              <w:adjustRightInd w:val="0"/>
              <w:snapToGrid w:val="0"/>
              <w:spacing w:line="560" w:lineRule="exact"/>
              <w:rPr>
                <w:rFonts w:eastAsia="黑体"/>
                <w:color w:val="auto"/>
                <w:szCs w:val="21"/>
                <w:highlight w:val="none"/>
              </w:rPr>
            </w:pPr>
          </w:p>
        </w:tc>
        <w:tc>
          <w:tcPr>
            <w:tcW w:w="3756" w:type="dxa"/>
            <w:gridSpan w:val="4"/>
          </w:tcPr>
          <w:p w14:paraId="53F4A8DC">
            <w:pPr>
              <w:adjustRightInd w:val="0"/>
              <w:snapToGrid w:val="0"/>
              <w:spacing w:line="560" w:lineRule="exact"/>
              <w:rPr>
                <w:rFonts w:eastAsia="黑体"/>
                <w:color w:val="auto"/>
                <w:szCs w:val="21"/>
                <w:highlight w:val="none"/>
              </w:rPr>
            </w:pPr>
          </w:p>
        </w:tc>
        <w:tc>
          <w:tcPr>
            <w:tcW w:w="1385" w:type="dxa"/>
          </w:tcPr>
          <w:p w14:paraId="1C6EBA2A">
            <w:pPr>
              <w:adjustRightInd w:val="0"/>
              <w:snapToGrid w:val="0"/>
              <w:spacing w:line="560" w:lineRule="exact"/>
              <w:rPr>
                <w:rFonts w:eastAsia="黑体"/>
                <w:color w:val="auto"/>
                <w:szCs w:val="21"/>
                <w:highlight w:val="none"/>
              </w:rPr>
            </w:pPr>
          </w:p>
        </w:tc>
        <w:tc>
          <w:tcPr>
            <w:tcW w:w="2522" w:type="dxa"/>
            <w:gridSpan w:val="2"/>
          </w:tcPr>
          <w:p w14:paraId="53690F51">
            <w:pPr>
              <w:adjustRightInd w:val="0"/>
              <w:snapToGrid w:val="0"/>
              <w:spacing w:line="560" w:lineRule="exact"/>
              <w:rPr>
                <w:rFonts w:eastAsia="黑体"/>
                <w:color w:val="auto"/>
                <w:szCs w:val="21"/>
                <w:highlight w:val="none"/>
              </w:rPr>
            </w:pPr>
          </w:p>
        </w:tc>
      </w:tr>
      <w:tr w14:paraId="3F5F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BB3F62D">
            <w:pPr>
              <w:adjustRightInd w:val="0"/>
              <w:snapToGrid w:val="0"/>
              <w:spacing w:line="560" w:lineRule="exact"/>
              <w:rPr>
                <w:rFonts w:eastAsia="黑体"/>
                <w:color w:val="auto"/>
                <w:szCs w:val="21"/>
                <w:highlight w:val="none"/>
              </w:rPr>
            </w:pPr>
          </w:p>
        </w:tc>
        <w:tc>
          <w:tcPr>
            <w:tcW w:w="3756" w:type="dxa"/>
            <w:gridSpan w:val="4"/>
          </w:tcPr>
          <w:p w14:paraId="0FB25B2D">
            <w:pPr>
              <w:adjustRightInd w:val="0"/>
              <w:snapToGrid w:val="0"/>
              <w:spacing w:line="560" w:lineRule="exact"/>
              <w:rPr>
                <w:rFonts w:eastAsia="黑体"/>
                <w:color w:val="auto"/>
                <w:szCs w:val="21"/>
                <w:highlight w:val="none"/>
              </w:rPr>
            </w:pPr>
          </w:p>
        </w:tc>
        <w:tc>
          <w:tcPr>
            <w:tcW w:w="1385" w:type="dxa"/>
          </w:tcPr>
          <w:p w14:paraId="246E4044">
            <w:pPr>
              <w:adjustRightInd w:val="0"/>
              <w:snapToGrid w:val="0"/>
              <w:spacing w:line="560" w:lineRule="exact"/>
              <w:rPr>
                <w:rFonts w:eastAsia="黑体"/>
                <w:color w:val="auto"/>
                <w:szCs w:val="21"/>
                <w:highlight w:val="none"/>
              </w:rPr>
            </w:pPr>
          </w:p>
        </w:tc>
        <w:tc>
          <w:tcPr>
            <w:tcW w:w="2522" w:type="dxa"/>
            <w:gridSpan w:val="2"/>
          </w:tcPr>
          <w:p w14:paraId="767E88BB">
            <w:pPr>
              <w:adjustRightInd w:val="0"/>
              <w:snapToGrid w:val="0"/>
              <w:spacing w:line="560" w:lineRule="exact"/>
              <w:rPr>
                <w:rFonts w:eastAsia="黑体"/>
                <w:color w:val="auto"/>
                <w:szCs w:val="21"/>
                <w:highlight w:val="none"/>
              </w:rPr>
            </w:pPr>
          </w:p>
        </w:tc>
      </w:tr>
      <w:tr w14:paraId="690C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14E462C1">
            <w:pPr>
              <w:adjustRightInd w:val="0"/>
              <w:snapToGrid w:val="0"/>
              <w:spacing w:line="560" w:lineRule="exact"/>
              <w:rPr>
                <w:rFonts w:eastAsia="黑体"/>
                <w:color w:val="auto"/>
                <w:szCs w:val="21"/>
                <w:highlight w:val="none"/>
              </w:rPr>
            </w:pPr>
          </w:p>
        </w:tc>
        <w:tc>
          <w:tcPr>
            <w:tcW w:w="3756" w:type="dxa"/>
            <w:gridSpan w:val="4"/>
          </w:tcPr>
          <w:p w14:paraId="317357E4">
            <w:pPr>
              <w:adjustRightInd w:val="0"/>
              <w:snapToGrid w:val="0"/>
              <w:spacing w:line="560" w:lineRule="exact"/>
              <w:rPr>
                <w:rFonts w:eastAsia="黑体"/>
                <w:color w:val="auto"/>
                <w:szCs w:val="21"/>
                <w:highlight w:val="none"/>
              </w:rPr>
            </w:pPr>
          </w:p>
        </w:tc>
        <w:tc>
          <w:tcPr>
            <w:tcW w:w="1385" w:type="dxa"/>
          </w:tcPr>
          <w:p w14:paraId="48D67790">
            <w:pPr>
              <w:adjustRightInd w:val="0"/>
              <w:snapToGrid w:val="0"/>
              <w:spacing w:line="560" w:lineRule="exact"/>
              <w:rPr>
                <w:rFonts w:eastAsia="黑体"/>
                <w:color w:val="auto"/>
                <w:szCs w:val="21"/>
                <w:highlight w:val="none"/>
              </w:rPr>
            </w:pPr>
          </w:p>
        </w:tc>
        <w:tc>
          <w:tcPr>
            <w:tcW w:w="2522" w:type="dxa"/>
            <w:gridSpan w:val="2"/>
          </w:tcPr>
          <w:p w14:paraId="4FC37AF6">
            <w:pPr>
              <w:adjustRightInd w:val="0"/>
              <w:snapToGrid w:val="0"/>
              <w:spacing w:line="560" w:lineRule="exact"/>
              <w:rPr>
                <w:rFonts w:eastAsia="黑体"/>
                <w:color w:val="auto"/>
                <w:szCs w:val="21"/>
                <w:highlight w:val="none"/>
              </w:rPr>
            </w:pPr>
          </w:p>
        </w:tc>
      </w:tr>
      <w:tr w14:paraId="76F2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51236EBE">
            <w:pPr>
              <w:adjustRightInd w:val="0"/>
              <w:snapToGrid w:val="0"/>
              <w:spacing w:line="560" w:lineRule="exact"/>
              <w:rPr>
                <w:rFonts w:eastAsia="黑体"/>
                <w:color w:val="auto"/>
                <w:szCs w:val="21"/>
                <w:highlight w:val="none"/>
              </w:rPr>
            </w:pPr>
          </w:p>
        </w:tc>
        <w:tc>
          <w:tcPr>
            <w:tcW w:w="3756" w:type="dxa"/>
            <w:gridSpan w:val="4"/>
          </w:tcPr>
          <w:p w14:paraId="28055F3E">
            <w:pPr>
              <w:adjustRightInd w:val="0"/>
              <w:snapToGrid w:val="0"/>
              <w:spacing w:line="560" w:lineRule="exact"/>
              <w:rPr>
                <w:rFonts w:eastAsia="黑体"/>
                <w:color w:val="auto"/>
                <w:szCs w:val="21"/>
                <w:highlight w:val="none"/>
              </w:rPr>
            </w:pPr>
          </w:p>
        </w:tc>
        <w:tc>
          <w:tcPr>
            <w:tcW w:w="1385" w:type="dxa"/>
          </w:tcPr>
          <w:p w14:paraId="65214E86">
            <w:pPr>
              <w:adjustRightInd w:val="0"/>
              <w:snapToGrid w:val="0"/>
              <w:spacing w:line="560" w:lineRule="exact"/>
              <w:rPr>
                <w:rFonts w:eastAsia="黑体"/>
                <w:color w:val="auto"/>
                <w:szCs w:val="21"/>
                <w:highlight w:val="none"/>
              </w:rPr>
            </w:pPr>
          </w:p>
        </w:tc>
        <w:tc>
          <w:tcPr>
            <w:tcW w:w="2522" w:type="dxa"/>
            <w:gridSpan w:val="2"/>
          </w:tcPr>
          <w:p w14:paraId="322F4108">
            <w:pPr>
              <w:adjustRightInd w:val="0"/>
              <w:snapToGrid w:val="0"/>
              <w:spacing w:line="560" w:lineRule="exact"/>
              <w:rPr>
                <w:rFonts w:eastAsia="黑体"/>
                <w:color w:val="auto"/>
                <w:szCs w:val="21"/>
                <w:highlight w:val="none"/>
              </w:rPr>
            </w:pPr>
          </w:p>
        </w:tc>
      </w:tr>
      <w:tr w14:paraId="7E85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36C0678E">
            <w:pPr>
              <w:adjustRightInd w:val="0"/>
              <w:snapToGrid w:val="0"/>
              <w:spacing w:line="560" w:lineRule="exact"/>
              <w:rPr>
                <w:rFonts w:eastAsia="黑体"/>
                <w:color w:val="auto"/>
                <w:szCs w:val="21"/>
                <w:highlight w:val="none"/>
              </w:rPr>
            </w:pPr>
          </w:p>
        </w:tc>
        <w:tc>
          <w:tcPr>
            <w:tcW w:w="3756" w:type="dxa"/>
            <w:gridSpan w:val="4"/>
          </w:tcPr>
          <w:p w14:paraId="3871C5E4">
            <w:pPr>
              <w:adjustRightInd w:val="0"/>
              <w:snapToGrid w:val="0"/>
              <w:spacing w:line="560" w:lineRule="exact"/>
              <w:rPr>
                <w:rFonts w:eastAsia="黑体"/>
                <w:color w:val="auto"/>
                <w:szCs w:val="21"/>
                <w:highlight w:val="none"/>
              </w:rPr>
            </w:pPr>
          </w:p>
        </w:tc>
        <w:tc>
          <w:tcPr>
            <w:tcW w:w="1385" w:type="dxa"/>
          </w:tcPr>
          <w:p w14:paraId="53DE0776">
            <w:pPr>
              <w:adjustRightInd w:val="0"/>
              <w:snapToGrid w:val="0"/>
              <w:spacing w:line="560" w:lineRule="exact"/>
              <w:rPr>
                <w:rFonts w:eastAsia="黑体"/>
                <w:color w:val="auto"/>
                <w:szCs w:val="21"/>
                <w:highlight w:val="none"/>
              </w:rPr>
            </w:pPr>
          </w:p>
        </w:tc>
        <w:tc>
          <w:tcPr>
            <w:tcW w:w="2522" w:type="dxa"/>
            <w:gridSpan w:val="2"/>
          </w:tcPr>
          <w:p w14:paraId="003CBD6C">
            <w:pPr>
              <w:adjustRightInd w:val="0"/>
              <w:snapToGrid w:val="0"/>
              <w:spacing w:line="560" w:lineRule="exact"/>
              <w:rPr>
                <w:rFonts w:eastAsia="黑体"/>
                <w:color w:val="auto"/>
                <w:szCs w:val="21"/>
                <w:highlight w:val="none"/>
              </w:rPr>
            </w:pPr>
          </w:p>
        </w:tc>
      </w:tr>
      <w:tr w14:paraId="605D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DAE29A1">
            <w:pPr>
              <w:adjustRightInd w:val="0"/>
              <w:snapToGrid w:val="0"/>
              <w:spacing w:line="560" w:lineRule="exact"/>
              <w:rPr>
                <w:rFonts w:eastAsia="黑体"/>
                <w:color w:val="auto"/>
                <w:szCs w:val="21"/>
                <w:highlight w:val="none"/>
              </w:rPr>
            </w:pPr>
          </w:p>
        </w:tc>
        <w:tc>
          <w:tcPr>
            <w:tcW w:w="3756" w:type="dxa"/>
            <w:gridSpan w:val="4"/>
          </w:tcPr>
          <w:p w14:paraId="7E8C18C4">
            <w:pPr>
              <w:adjustRightInd w:val="0"/>
              <w:snapToGrid w:val="0"/>
              <w:spacing w:line="560" w:lineRule="exact"/>
              <w:rPr>
                <w:rFonts w:eastAsia="黑体"/>
                <w:color w:val="auto"/>
                <w:szCs w:val="21"/>
                <w:highlight w:val="none"/>
              </w:rPr>
            </w:pPr>
          </w:p>
        </w:tc>
        <w:tc>
          <w:tcPr>
            <w:tcW w:w="1385" w:type="dxa"/>
          </w:tcPr>
          <w:p w14:paraId="54635EB1">
            <w:pPr>
              <w:adjustRightInd w:val="0"/>
              <w:snapToGrid w:val="0"/>
              <w:spacing w:line="560" w:lineRule="exact"/>
              <w:rPr>
                <w:rFonts w:eastAsia="黑体"/>
                <w:color w:val="auto"/>
                <w:szCs w:val="21"/>
                <w:highlight w:val="none"/>
              </w:rPr>
            </w:pPr>
          </w:p>
        </w:tc>
        <w:tc>
          <w:tcPr>
            <w:tcW w:w="2522" w:type="dxa"/>
            <w:gridSpan w:val="2"/>
          </w:tcPr>
          <w:p w14:paraId="30FCD46C">
            <w:pPr>
              <w:adjustRightInd w:val="0"/>
              <w:snapToGrid w:val="0"/>
              <w:spacing w:line="560" w:lineRule="exact"/>
              <w:rPr>
                <w:rFonts w:eastAsia="黑体"/>
                <w:color w:val="auto"/>
                <w:szCs w:val="21"/>
                <w:highlight w:val="none"/>
              </w:rPr>
            </w:pPr>
          </w:p>
        </w:tc>
      </w:tr>
      <w:tr w14:paraId="07E1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65896498">
            <w:pPr>
              <w:adjustRightInd w:val="0"/>
              <w:snapToGrid w:val="0"/>
              <w:spacing w:line="560" w:lineRule="exact"/>
              <w:rPr>
                <w:rFonts w:eastAsia="黑体"/>
                <w:color w:val="auto"/>
                <w:szCs w:val="21"/>
                <w:highlight w:val="none"/>
              </w:rPr>
            </w:pPr>
          </w:p>
        </w:tc>
        <w:tc>
          <w:tcPr>
            <w:tcW w:w="3756" w:type="dxa"/>
            <w:gridSpan w:val="4"/>
          </w:tcPr>
          <w:p w14:paraId="2319A7B4">
            <w:pPr>
              <w:adjustRightInd w:val="0"/>
              <w:snapToGrid w:val="0"/>
              <w:spacing w:line="560" w:lineRule="exact"/>
              <w:rPr>
                <w:rFonts w:eastAsia="黑体"/>
                <w:color w:val="auto"/>
                <w:szCs w:val="21"/>
                <w:highlight w:val="none"/>
              </w:rPr>
            </w:pPr>
          </w:p>
        </w:tc>
        <w:tc>
          <w:tcPr>
            <w:tcW w:w="1385" w:type="dxa"/>
          </w:tcPr>
          <w:p w14:paraId="500FB6D3">
            <w:pPr>
              <w:adjustRightInd w:val="0"/>
              <w:snapToGrid w:val="0"/>
              <w:spacing w:line="560" w:lineRule="exact"/>
              <w:rPr>
                <w:rFonts w:eastAsia="黑体"/>
                <w:color w:val="auto"/>
                <w:szCs w:val="21"/>
                <w:highlight w:val="none"/>
              </w:rPr>
            </w:pPr>
          </w:p>
        </w:tc>
        <w:tc>
          <w:tcPr>
            <w:tcW w:w="2522" w:type="dxa"/>
            <w:gridSpan w:val="2"/>
          </w:tcPr>
          <w:p w14:paraId="4A8C0514">
            <w:pPr>
              <w:adjustRightInd w:val="0"/>
              <w:snapToGrid w:val="0"/>
              <w:spacing w:line="560" w:lineRule="exact"/>
              <w:rPr>
                <w:rFonts w:eastAsia="黑体"/>
                <w:color w:val="auto"/>
                <w:szCs w:val="21"/>
                <w:highlight w:val="none"/>
              </w:rPr>
            </w:pPr>
          </w:p>
        </w:tc>
      </w:tr>
      <w:tr w14:paraId="5F7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4AD6C7B">
            <w:pPr>
              <w:adjustRightInd w:val="0"/>
              <w:snapToGrid w:val="0"/>
              <w:spacing w:line="560" w:lineRule="exact"/>
              <w:rPr>
                <w:rFonts w:eastAsia="黑体"/>
                <w:color w:val="auto"/>
                <w:szCs w:val="21"/>
                <w:highlight w:val="none"/>
              </w:rPr>
            </w:pPr>
          </w:p>
        </w:tc>
        <w:tc>
          <w:tcPr>
            <w:tcW w:w="3756" w:type="dxa"/>
            <w:gridSpan w:val="4"/>
          </w:tcPr>
          <w:p w14:paraId="417EB369">
            <w:pPr>
              <w:adjustRightInd w:val="0"/>
              <w:snapToGrid w:val="0"/>
              <w:spacing w:line="560" w:lineRule="exact"/>
              <w:rPr>
                <w:rFonts w:eastAsia="黑体"/>
                <w:color w:val="auto"/>
                <w:szCs w:val="21"/>
                <w:highlight w:val="none"/>
              </w:rPr>
            </w:pPr>
          </w:p>
        </w:tc>
        <w:tc>
          <w:tcPr>
            <w:tcW w:w="1385" w:type="dxa"/>
          </w:tcPr>
          <w:p w14:paraId="35B020F2">
            <w:pPr>
              <w:adjustRightInd w:val="0"/>
              <w:snapToGrid w:val="0"/>
              <w:spacing w:line="560" w:lineRule="exact"/>
              <w:rPr>
                <w:rFonts w:eastAsia="黑体"/>
                <w:color w:val="auto"/>
                <w:szCs w:val="21"/>
                <w:highlight w:val="none"/>
              </w:rPr>
            </w:pPr>
          </w:p>
        </w:tc>
        <w:tc>
          <w:tcPr>
            <w:tcW w:w="2522" w:type="dxa"/>
            <w:gridSpan w:val="2"/>
          </w:tcPr>
          <w:p w14:paraId="5F842570">
            <w:pPr>
              <w:adjustRightInd w:val="0"/>
              <w:snapToGrid w:val="0"/>
              <w:spacing w:line="560" w:lineRule="exact"/>
              <w:rPr>
                <w:rFonts w:eastAsia="黑体"/>
                <w:color w:val="auto"/>
                <w:szCs w:val="21"/>
                <w:highlight w:val="none"/>
              </w:rPr>
            </w:pPr>
          </w:p>
        </w:tc>
      </w:tr>
      <w:tr w14:paraId="41E7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4695883B">
            <w:pPr>
              <w:adjustRightInd w:val="0"/>
              <w:snapToGrid w:val="0"/>
              <w:spacing w:line="560" w:lineRule="exact"/>
              <w:rPr>
                <w:rFonts w:eastAsia="黑体"/>
                <w:color w:val="auto"/>
                <w:szCs w:val="21"/>
                <w:highlight w:val="none"/>
              </w:rPr>
            </w:pPr>
          </w:p>
        </w:tc>
        <w:tc>
          <w:tcPr>
            <w:tcW w:w="3756" w:type="dxa"/>
            <w:gridSpan w:val="4"/>
          </w:tcPr>
          <w:p w14:paraId="21EF18BA">
            <w:pPr>
              <w:adjustRightInd w:val="0"/>
              <w:snapToGrid w:val="0"/>
              <w:spacing w:line="560" w:lineRule="exact"/>
              <w:rPr>
                <w:rFonts w:eastAsia="黑体"/>
                <w:color w:val="auto"/>
                <w:szCs w:val="21"/>
                <w:highlight w:val="none"/>
              </w:rPr>
            </w:pPr>
          </w:p>
        </w:tc>
        <w:tc>
          <w:tcPr>
            <w:tcW w:w="1385" w:type="dxa"/>
          </w:tcPr>
          <w:p w14:paraId="1830E195">
            <w:pPr>
              <w:adjustRightInd w:val="0"/>
              <w:snapToGrid w:val="0"/>
              <w:spacing w:line="560" w:lineRule="exact"/>
              <w:rPr>
                <w:rFonts w:eastAsia="黑体"/>
                <w:color w:val="auto"/>
                <w:szCs w:val="21"/>
                <w:highlight w:val="none"/>
              </w:rPr>
            </w:pPr>
          </w:p>
        </w:tc>
        <w:tc>
          <w:tcPr>
            <w:tcW w:w="2522" w:type="dxa"/>
            <w:gridSpan w:val="2"/>
          </w:tcPr>
          <w:p w14:paraId="7F04D146">
            <w:pPr>
              <w:adjustRightInd w:val="0"/>
              <w:snapToGrid w:val="0"/>
              <w:spacing w:line="560" w:lineRule="exact"/>
              <w:rPr>
                <w:rFonts w:eastAsia="黑体"/>
                <w:color w:val="auto"/>
                <w:szCs w:val="21"/>
                <w:highlight w:val="none"/>
              </w:rPr>
            </w:pPr>
          </w:p>
        </w:tc>
      </w:tr>
      <w:tr w14:paraId="7C58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61A94A77">
            <w:pPr>
              <w:adjustRightInd w:val="0"/>
              <w:snapToGrid w:val="0"/>
              <w:spacing w:line="560" w:lineRule="exact"/>
              <w:rPr>
                <w:rFonts w:eastAsia="黑体"/>
                <w:color w:val="auto"/>
                <w:szCs w:val="21"/>
                <w:highlight w:val="none"/>
              </w:rPr>
            </w:pPr>
          </w:p>
        </w:tc>
        <w:tc>
          <w:tcPr>
            <w:tcW w:w="3756" w:type="dxa"/>
            <w:gridSpan w:val="4"/>
          </w:tcPr>
          <w:p w14:paraId="1A8A89EC">
            <w:pPr>
              <w:adjustRightInd w:val="0"/>
              <w:snapToGrid w:val="0"/>
              <w:spacing w:line="560" w:lineRule="exact"/>
              <w:rPr>
                <w:rFonts w:eastAsia="黑体"/>
                <w:color w:val="auto"/>
                <w:szCs w:val="21"/>
                <w:highlight w:val="none"/>
              </w:rPr>
            </w:pPr>
          </w:p>
        </w:tc>
        <w:tc>
          <w:tcPr>
            <w:tcW w:w="1385" w:type="dxa"/>
          </w:tcPr>
          <w:p w14:paraId="596E219C">
            <w:pPr>
              <w:adjustRightInd w:val="0"/>
              <w:snapToGrid w:val="0"/>
              <w:spacing w:line="560" w:lineRule="exact"/>
              <w:rPr>
                <w:rFonts w:eastAsia="黑体"/>
                <w:color w:val="auto"/>
                <w:szCs w:val="21"/>
                <w:highlight w:val="none"/>
              </w:rPr>
            </w:pPr>
          </w:p>
        </w:tc>
        <w:tc>
          <w:tcPr>
            <w:tcW w:w="2522" w:type="dxa"/>
            <w:gridSpan w:val="2"/>
          </w:tcPr>
          <w:p w14:paraId="7E6648A6">
            <w:pPr>
              <w:adjustRightInd w:val="0"/>
              <w:snapToGrid w:val="0"/>
              <w:spacing w:line="560" w:lineRule="exact"/>
              <w:rPr>
                <w:rFonts w:eastAsia="黑体"/>
                <w:color w:val="auto"/>
                <w:szCs w:val="21"/>
                <w:highlight w:val="none"/>
              </w:rPr>
            </w:pPr>
          </w:p>
        </w:tc>
      </w:tr>
    </w:tbl>
    <w:p w14:paraId="5C526F85">
      <w:pPr>
        <w:rPr>
          <w:color w:val="auto"/>
          <w:highlight w:val="none"/>
        </w:rPr>
      </w:pPr>
      <w:r>
        <w:rPr>
          <w:rFonts w:hint="eastAsia"/>
          <w:color w:val="auto"/>
          <w:highlight w:val="none"/>
        </w:rPr>
        <w:br w:type="page"/>
      </w:r>
    </w:p>
    <w:p w14:paraId="1E43B7A5">
      <w:pPr>
        <w:pStyle w:val="5"/>
        <w:jc w:val="center"/>
        <w:rPr>
          <w:color w:val="auto"/>
          <w:sz w:val="23"/>
          <w:szCs w:val="23"/>
          <w:highlight w:val="none"/>
        </w:rPr>
      </w:pPr>
      <w:r>
        <w:rPr>
          <w:rFonts w:hint="eastAsia"/>
          <w:color w:val="auto"/>
          <w:highlight w:val="none"/>
        </w:rPr>
        <w:t>拟任设计负责人</w:t>
      </w:r>
      <w:r>
        <w:rPr>
          <w:color w:val="auto"/>
          <w:highlight w:val="none"/>
        </w:rPr>
        <w:t>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504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35CC39D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vAlign w:val="center"/>
          </w:tcPr>
          <w:p w14:paraId="5EFA719A">
            <w:pPr>
              <w:adjustRightInd w:val="0"/>
              <w:snapToGrid w:val="0"/>
              <w:spacing w:line="560" w:lineRule="exact"/>
              <w:jc w:val="center"/>
              <w:rPr>
                <w:rFonts w:ascii="宋体" w:hAnsi="宋体"/>
                <w:color w:val="auto"/>
                <w:szCs w:val="21"/>
                <w:highlight w:val="none"/>
              </w:rPr>
            </w:pPr>
          </w:p>
        </w:tc>
        <w:tc>
          <w:tcPr>
            <w:tcW w:w="1018" w:type="dxa"/>
            <w:vAlign w:val="center"/>
          </w:tcPr>
          <w:p w14:paraId="0378F50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vAlign w:val="center"/>
          </w:tcPr>
          <w:p w14:paraId="0CE6BE5C">
            <w:pPr>
              <w:adjustRightInd w:val="0"/>
              <w:snapToGrid w:val="0"/>
              <w:spacing w:line="560" w:lineRule="exact"/>
              <w:jc w:val="center"/>
              <w:rPr>
                <w:rFonts w:ascii="宋体" w:hAnsi="宋体"/>
                <w:color w:val="auto"/>
                <w:szCs w:val="21"/>
                <w:highlight w:val="none"/>
              </w:rPr>
            </w:pPr>
          </w:p>
        </w:tc>
        <w:tc>
          <w:tcPr>
            <w:tcW w:w="2339" w:type="dxa"/>
            <w:gridSpan w:val="3"/>
            <w:vAlign w:val="center"/>
          </w:tcPr>
          <w:p w14:paraId="6705E1B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vAlign w:val="center"/>
          </w:tcPr>
          <w:p w14:paraId="5856292D">
            <w:pPr>
              <w:adjustRightInd w:val="0"/>
              <w:snapToGrid w:val="0"/>
              <w:spacing w:line="560" w:lineRule="exact"/>
              <w:rPr>
                <w:rFonts w:ascii="宋体" w:hAnsi="宋体"/>
                <w:color w:val="auto"/>
                <w:szCs w:val="21"/>
                <w:highlight w:val="none"/>
              </w:rPr>
            </w:pPr>
          </w:p>
        </w:tc>
      </w:tr>
      <w:tr w14:paraId="043E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336FE20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vAlign w:val="center"/>
          </w:tcPr>
          <w:p w14:paraId="732AB3F4">
            <w:pPr>
              <w:adjustRightInd w:val="0"/>
              <w:snapToGrid w:val="0"/>
              <w:spacing w:line="560" w:lineRule="exact"/>
              <w:jc w:val="center"/>
              <w:rPr>
                <w:rFonts w:ascii="宋体" w:hAnsi="宋体"/>
                <w:color w:val="auto"/>
                <w:szCs w:val="21"/>
                <w:highlight w:val="none"/>
              </w:rPr>
            </w:pPr>
          </w:p>
        </w:tc>
        <w:tc>
          <w:tcPr>
            <w:tcW w:w="1018" w:type="dxa"/>
            <w:vAlign w:val="center"/>
          </w:tcPr>
          <w:p w14:paraId="5D8DF00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vAlign w:val="center"/>
          </w:tcPr>
          <w:p w14:paraId="471E43B7">
            <w:pPr>
              <w:adjustRightInd w:val="0"/>
              <w:snapToGrid w:val="0"/>
              <w:spacing w:line="560" w:lineRule="exact"/>
              <w:jc w:val="center"/>
              <w:rPr>
                <w:rFonts w:ascii="宋体" w:hAnsi="宋体"/>
                <w:color w:val="auto"/>
                <w:szCs w:val="21"/>
                <w:highlight w:val="none"/>
              </w:rPr>
            </w:pPr>
          </w:p>
        </w:tc>
        <w:tc>
          <w:tcPr>
            <w:tcW w:w="2339" w:type="dxa"/>
            <w:gridSpan w:val="3"/>
            <w:vAlign w:val="center"/>
          </w:tcPr>
          <w:p w14:paraId="0FC7ED6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vAlign w:val="center"/>
          </w:tcPr>
          <w:p w14:paraId="5C082DE5">
            <w:pPr>
              <w:adjustRightInd w:val="0"/>
              <w:snapToGrid w:val="0"/>
              <w:spacing w:line="560" w:lineRule="exact"/>
              <w:rPr>
                <w:rFonts w:ascii="宋体" w:hAnsi="宋体"/>
                <w:color w:val="auto"/>
                <w:szCs w:val="21"/>
                <w:highlight w:val="none"/>
              </w:rPr>
            </w:pPr>
          </w:p>
        </w:tc>
      </w:tr>
      <w:tr w14:paraId="129B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7132C03D">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tcPr>
          <w:p w14:paraId="495CF350">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77D3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vAlign w:val="center"/>
          </w:tcPr>
          <w:p w14:paraId="0CD25135">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708C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vAlign w:val="center"/>
          </w:tcPr>
          <w:p w14:paraId="48766D4E">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vAlign w:val="center"/>
          </w:tcPr>
          <w:p w14:paraId="52D5B29E">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vAlign w:val="center"/>
          </w:tcPr>
          <w:p w14:paraId="03C7675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vAlign w:val="center"/>
          </w:tcPr>
          <w:p w14:paraId="4484066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159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5C0E4CAE">
            <w:pPr>
              <w:adjustRightInd w:val="0"/>
              <w:snapToGrid w:val="0"/>
              <w:spacing w:line="560" w:lineRule="exact"/>
              <w:rPr>
                <w:rFonts w:eastAsia="黑体"/>
                <w:color w:val="auto"/>
                <w:szCs w:val="21"/>
                <w:highlight w:val="none"/>
              </w:rPr>
            </w:pPr>
          </w:p>
        </w:tc>
        <w:tc>
          <w:tcPr>
            <w:tcW w:w="3756" w:type="dxa"/>
            <w:gridSpan w:val="4"/>
          </w:tcPr>
          <w:p w14:paraId="1F10514B">
            <w:pPr>
              <w:adjustRightInd w:val="0"/>
              <w:snapToGrid w:val="0"/>
              <w:spacing w:line="560" w:lineRule="exact"/>
              <w:rPr>
                <w:rFonts w:eastAsia="黑体"/>
                <w:color w:val="auto"/>
                <w:szCs w:val="21"/>
                <w:highlight w:val="none"/>
              </w:rPr>
            </w:pPr>
          </w:p>
        </w:tc>
        <w:tc>
          <w:tcPr>
            <w:tcW w:w="1385" w:type="dxa"/>
          </w:tcPr>
          <w:p w14:paraId="3E7307DF">
            <w:pPr>
              <w:adjustRightInd w:val="0"/>
              <w:snapToGrid w:val="0"/>
              <w:spacing w:line="560" w:lineRule="exact"/>
              <w:rPr>
                <w:rFonts w:eastAsia="黑体"/>
                <w:color w:val="auto"/>
                <w:szCs w:val="21"/>
                <w:highlight w:val="none"/>
              </w:rPr>
            </w:pPr>
          </w:p>
        </w:tc>
        <w:tc>
          <w:tcPr>
            <w:tcW w:w="2522" w:type="dxa"/>
            <w:gridSpan w:val="2"/>
          </w:tcPr>
          <w:p w14:paraId="591F44DF">
            <w:pPr>
              <w:adjustRightInd w:val="0"/>
              <w:snapToGrid w:val="0"/>
              <w:spacing w:line="560" w:lineRule="exact"/>
              <w:rPr>
                <w:rFonts w:eastAsia="黑体"/>
                <w:color w:val="auto"/>
                <w:szCs w:val="21"/>
                <w:highlight w:val="none"/>
              </w:rPr>
            </w:pPr>
          </w:p>
        </w:tc>
      </w:tr>
      <w:tr w14:paraId="490B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46F0EEF9">
            <w:pPr>
              <w:adjustRightInd w:val="0"/>
              <w:snapToGrid w:val="0"/>
              <w:spacing w:line="560" w:lineRule="exact"/>
              <w:rPr>
                <w:rFonts w:eastAsia="黑体"/>
                <w:color w:val="auto"/>
                <w:szCs w:val="21"/>
                <w:highlight w:val="none"/>
              </w:rPr>
            </w:pPr>
          </w:p>
        </w:tc>
        <w:tc>
          <w:tcPr>
            <w:tcW w:w="3756" w:type="dxa"/>
            <w:gridSpan w:val="4"/>
          </w:tcPr>
          <w:p w14:paraId="6ECCB5B0">
            <w:pPr>
              <w:adjustRightInd w:val="0"/>
              <w:snapToGrid w:val="0"/>
              <w:spacing w:line="560" w:lineRule="exact"/>
              <w:rPr>
                <w:rFonts w:eastAsia="黑体"/>
                <w:color w:val="auto"/>
                <w:szCs w:val="21"/>
                <w:highlight w:val="none"/>
              </w:rPr>
            </w:pPr>
          </w:p>
        </w:tc>
        <w:tc>
          <w:tcPr>
            <w:tcW w:w="1385" w:type="dxa"/>
          </w:tcPr>
          <w:p w14:paraId="63D668FE">
            <w:pPr>
              <w:adjustRightInd w:val="0"/>
              <w:snapToGrid w:val="0"/>
              <w:spacing w:line="560" w:lineRule="exact"/>
              <w:rPr>
                <w:rFonts w:eastAsia="黑体"/>
                <w:color w:val="auto"/>
                <w:szCs w:val="21"/>
                <w:highlight w:val="none"/>
              </w:rPr>
            </w:pPr>
          </w:p>
        </w:tc>
        <w:tc>
          <w:tcPr>
            <w:tcW w:w="2522" w:type="dxa"/>
            <w:gridSpan w:val="2"/>
          </w:tcPr>
          <w:p w14:paraId="2EFB2148">
            <w:pPr>
              <w:adjustRightInd w:val="0"/>
              <w:snapToGrid w:val="0"/>
              <w:spacing w:line="560" w:lineRule="exact"/>
              <w:rPr>
                <w:rFonts w:eastAsia="黑体"/>
                <w:color w:val="auto"/>
                <w:szCs w:val="21"/>
                <w:highlight w:val="none"/>
              </w:rPr>
            </w:pPr>
          </w:p>
        </w:tc>
      </w:tr>
      <w:tr w14:paraId="3741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30AFE30">
            <w:pPr>
              <w:adjustRightInd w:val="0"/>
              <w:snapToGrid w:val="0"/>
              <w:spacing w:line="560" w:lineRule="exact"/>
              <w:rPr>
                <w:rFonts w:eastAsia="黑体"/>
                <w:color w:val="auto"/>
                <w:szCs w:val="21"/>
                <w:highlight w:val="none"/>
              </w:rPr>
            </w:pPr>
          </w:p>
        </w:tc>
        <w:tc>
          <w:tcPr>
            <w:tcW w:w="3756" w:type="dxa"/>
            <w:gridSpan w:val="4"/>
          </w:tcPr>
          <w:p w14:paraId="7AAFBC79">
            <w:pPr>
              <w:adjustRightInd w:val="0"/>
              <w:snapToGrid w:val="0"/>
              <w:spacing w:line="560" w:lineRule="exact"/>
              <w:rPr>
                <w:rFonts w:eastAsia="黑体"/>
                <w:color w:val="auto"/>
                <w:szCs w:val="21"/>
                <w:highlight w:val="none"/>
              </w:rPr>
            </w:pPr>
          </w:p>
        </w:tc>
        <w:tc>
          <w:tcPr>
            <w:tcW w:w="1385" w:type="dxa"/>
          </w:tcPr>
          <w:p w14:paraId="1C2DEFC6">
            <w:pPr>
              <w:adjustRightInd w:val="0"/>
              <w:snapToGrid w:val="0"/>
              <w:spacing w:line="560" w:lineRule="exact"/>
              <w:rPr>
                <w:rFonts w:eastAsia="黑体"/>
                <w:color w:val="auto"/>
                <w:szCs w:val="21"/>
                <w:highlight w:val="none"/>
              </w:rPr>
            </w:pPr>
          </w:p>
        </w:tc>
        <w:tc>
          <w:tcPr>
            <w:tcW w:w="2522" w:type="dxa"/>
            <w:gridSpan w:val="2"/>
          </w:tcPr>
          <w:p w14:paraId="75305402">
            <w:pPr>
              <w:adjustRightInd w:val="0"/>
              <w:snapToGrid w:val="0"/>
              <w:spacing w:line="560" w:lineRule="exact"/>
              <w:rPr>
                <w:rFonts w:eastAsia="黑体"/>
                <w:color w:val="auto"/>
                <w:szCs w:val="21"/>
                <w:highlight w:val="none"/>
              </w:rPr>
            </w:pPr>
          </w:p>
        </w:tc>
      </w:tr>
      <w:tr w14:paraId="55F9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878FF56">
            <w:pPr>
              <w:adjustRightInd w:val="0"/>
              <w:snapToGrid w:val="0"/>
              <w:spacing w:line="560" w:lineRule="exact"/>
              <w:rPr>
                <w:rFonts w:eastAsia="黑体"/>
                <w:color w:val="auto"/>
                <w:szCs w:val="21"/>
                <w:highlight w:val="none"/>
              </w:rPr>
            </w:pPr>
          </w:p>
        </w:tc>
        <w:tc>
          <w:tcPr>
            <w:tcW w:w="3756" w:type="dxa"/>
            <w:gridSpan w:val="4"/>
          </w:tcPr>
          <w:p w14:paraId="2B386D65">
            <w:pPr>
              <w:adjustRightInd w:val="0"/>
              <w:snapToGrid w:val="0"/>
              <w:spacing w:line="560" w:lineRule="exact"/>
              <w:rPr>
                <w:rFonts w:eastAsia="黑体"/>
                <w:color w:val="auto"/>
                <w:szCs w:val="21"/>
                <w:highlight w:val="none"/>
              </w:rPr>
            </w:pPr>
          </w:p>
        </w:tc>
        <w:tc>
          <w:tcPr>
            <w:tcW w:w="1385" w:type="dxa"/>
          </w:tcPr>
          <w:p w14:paraId="4EF9C3E9">
            <w:pPr>
              <w:adjustRightInd w:val="0"/>
              <w:snapToGrid w:val="0"/>
              <w:spacing w:line="560" w:lineRule="exact"/>
              <w:rPr>
                <w:rFonts w:eastAsia="黑体"/>
                <w:color w:val="auto"/>
                <w:szCs w:val="21"/>
                <w:highlight w:val="none"/>
              </w:rPr>
            </w:pPr>
          </w:p>
        </w:tc>
        <w:tc>
          <w:tcPr>
            <w:tcW w:w="2522" w:type="dxa"/>
            <w:gridSpan w:val="2"/>
          </w:tcPr>
          <w:p w14:paraId="494EABBA">
            <w:pPr>
              <w:adjustRightInd w:val="0"/>
              <w:snapToGrid w:val="0"/>
              <w:spacing w:line="560" w:lineRule="exact"/>
              <w:rPr>
                <w:rFonts w:eastAsia="黑体"/>
                <w:color w:val="auto"/>
                <w:szCs w:val="21"/>
                <w:highlight w:val="none"/>
              </w:rPr>
            </w:pPr>
          </w:p>
        </w:tc>
      </w:tr>
      <w:tr w14:paraId="237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3CCD7947">
            <w:pPr>
              <w:adjustRightInd w:val="0"/>
              <w:snapToGrid w:val="0"/>
              <w:spacing w:line="560" w:lineRule="exact"/>
              <w:rPr>
                <w:rFonts w:eastAsia="黑体"/>
                <w:color w:val="auto"/>
                <w:szCs w:val="21"/>
                <w:highlight w:val="none"/>
              </w:rPr>
            </w:pPr>
          </w:p>
        </w:tc>
        <w:tc>
          <w:tcPr>
            <w:tcW w:w="3756" w:type="dxa"/>
            <w:gridSpan w:val="4"/>
          </w:tcPr>
          <w:p w14:paraId="3FCB12A1">
            <w:pPr>
              <w:adjustRightInd w:val="0"/>
              <w:snapToGrid w:val="0"/>
              <w:spacing w:line="560" w:lineRule="exact"/>
              <w:rPr>
                <w:rFonts w:eastAsia="黑体"/>
                <w:color w:val="auto"/>
                <w:szCs w:val="21"/>
                <w:highlight w:val="none"/>
              </w:rPr>
            </w:pPr>
          </w:p>
        </w:tc>
        <w:tc>
          <w:tcPr>
            <w:tcW w:w="1385" w:type="dxa"/>
          </w:tcPr>
          <w:p w14:paraId="08480245">
            <w:pPr>
              <w:adjustRightInd w:val="0"/>
              <w:snapToGrid w:val="0"/>
              <w:spacing w:line="560" w:lineRule="exact"/>
              <w:rPr>
                <w:rFonts w:eastAsia="黑体"/>
                <w:color w:val="auto"/>
                <w:szCs w:val="21"/>
                <w:highlight w:val="none"/>
              </w:rPr>
            </w:pPr>
          </w:p>
        </w:tc>
        <w:tc>
          <w:tcPr>
            <w:tcW w:w="2522" w:type="dxa"/>
            <w:gridSpan w:val="2"/>
          </w:tcPr>
          <w:p w14:paraId="1296BC4E">
            <w:pPr>
              <w:adjustRightInd w:val="0"/>
              <w:snapToGrid w:val="0"/>
              <w:spacing w:line="560" w:lineRule="exact"/>
              <w:rPr>
                <w:rFonts w:eastAsia="黑体"/>
                <w:color w:val="auto"/>
                <w:szCs w:val="21"/>
                <w:highlight w:val="none"/>
              </w:rPr>
            </w:pPr>
          </w:p>
        </w:tc>
      </w:tr>
      <w:tr w14:paraId="3298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25F6F4C8">
            <w:pPr>
              <w:adjustRightInd w:val="0"/>
              <w:snapToGrid w:val="0"/>
              <w:spacing w:line="560" w:lineRule="exact"/>
              <w:rPr>
                <w:rFonts w:eastAsia="黑体"/>
                <w:color w:val="auto"/>
                <w:szCs w:val="21"/>
                <w:highlight w:val="none"/>
              </w:rPr>
            </w:pPr>
          </w:p>
        </w:tc>
        <w:tc>
          <w:tcPr>
            <w:tcW w:w="3756" w:type="dxa"/>
            <w:gridSpan w:val="4"/>
          </w:tcPr>
          <w:p w14:paraId="4B59CA50">
            <w:pPr>
              <w:adjustRightInd w:val="0"/>
              <w:snapToGrid w:val="0"/>
              <w:spacing w:line="560" w:lineRule="exact"/>
              <w:rPr>
                <w:rFonts w:eastAsia="黑体"/>
                <w:color w:val="auto"/>
                <w:szCs w:val="21"/>
                <w:highlight w:val="none"/>
              </w:rPr>
            </w:pPr>
          </w:p>
        </w:tc>
        <w:tc>
          <w:tcPr>
            <w:tcW w:w="1385" w:type="dxa"/>
          </w:tcPr>
          <w:p w14:paraId="79B6DD37">
            <w:pPr>
              <w:adjustRightInd w:val="0"/>
              <w:snapToGrid w:val="0"/>
              <w:spacing w:line="560" w:lineRule="exact"/>
              <w:rPr>
                <w:rFonts w:eastAsia="黑体"/>
                <w:color w:val="auto"/>
                <w:szCs w:val="21"/>
                <w:highlight w:val="none"/>
              </w:rPr>
            </w:pPr>
          </w:p>
        </w:tc>
        <w:tc>
          <w:tcPr>
            <w:tcW w:w="2522" w:type="dxa"/>
            <w:gridSpan w:val="2"/>
          </w:tcPr>
          <w:p w14:paraId="35B29861">
            <w:pPr>
              <w:adjustRightInd w:val="0"/>
              <w:snapToGrid w:val="0"/>
              <w:spacing w:line="560" w:lineRule="exact"/>
              <w:rPr>
                <w:rFonts w:eastAsia="黑体"/>
                <w:color w:val="auto"/>
                <w:szCs w:val="21"/>
                <w:highlight w:val="none"/>
              </w:rPr>
            </w:pPr>
          </w:p>
        </w:tc>
      </w:tr>
      <w:tr w14:paraId="2B74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59E974B">
            <w:pPr>
              <w:adjustRightInd w:val="0"/>
              <w:snapToGrid w:val="0"/>
              <w:spacing w:line="560" w:lineRule="exact"/>
              <w:rPr>
                <w:rFonts w:eastAsia="黑体"/>
                <w:color w:val="auto"/>
                <w:szCs w:val="21"/>
                <w:highlight w:val="none"/>
              </w:rPr>
            </w:pPr>
          </w:p>
        </w:tc>
        <w:tc>
          <w:tcPr>
            <w:tcW w:w="3756" w:type="dxa"/>
            <w:gridSpan w:val="4"/>
          </w:tcPr>
          <w:p w14:paraId="44DE8AFA">
            <w:pPr>
              <w:adjustRightInd w:val="0"/>
              <w:snapToGrid w:val="0"/>
              <w:spacing w:line="560" w:lineRule="exact"/>
              <w:rPr>
                <w:rFonts w:eastAsia="黑体"/>
                <w:color w:val="auto"/>
                <w:szCs w:val="21"/>
                <w:highlight w:val="none"/>
              </w:rPr>
            </w:pPr>
          </w:p>
        </w:tc>
        <w:tc>
          <w:tcPr>
            <w:tcW w:w="1385" w:type="dxa"/>
          </w:tcPr>
          <w:p w14:paraId="1B333CF6">
            <w:pPr>
              <w:adjustRightInd w:val="0"/>
              <w:snapToGrid w:val="0"/>
              <w:spacing w:line="560" w:lineRule="exact"/>
              <w:rPr>
                <w:rFonts w:eastAsia="黑体"/>
                <w:color w:val="auto"/>
                <w:szCs w:val="21"/>
                <w:highlight w:val="none"/>
              </w:rPr>
            </w:pPr>
          </w:p>
        </w:tc>
        <w:tc>
          <w:tcPr>
            <w:tcW w:w="2522" w:type="dxa"/>
            <w:gridSpan w:val="2"/>
          </w:tcPr>
          <w:p w14:paraId="74580190">
            <w:pPr>
              <w:adjustRightInd w:val="0"/>
              <w:snapToGrid w:val="0"/>
              <w:spacing w:line="560" w:lineRule="exact"/>
              <w:rPr>
                <w:rFonts w:eastAsia="黑体"/>
                <w:color w:val="auto"/>
                <w:szCs w:val="21"/>
                <w:highlight w:val="none"/>
              </w:rPr>
            </w:pPr>
          </w:p>
        </w:tc>
      </w:tr>
      <w:tr w14:paraId="669C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60410C91">
            <w:pPr>
              <w:adjustRightInd w:val="0"/>
              <w:snapToGrid w:val="0"/>
              <w:spacing w:line="560" w:lineRule="exact"/>
              <w:rPr>
                <w:rFonts w:eastAsia="黑体"/>
                <w:color w:val="auto"/>
                <w:szCs w:val="21"/>
                <w:highlight w:val="none"/>
              </w:rPr>
            </w:pPr>
          </w:p>
        </w:tc>
        <w:tc>
          <w:tcPr>
            <w:tcW w:w="3756" w:type="dxa"/>
            <w:gridSpan w:val="4"/>
          </w:tcPr>
          <w:p w14:paraId="4265BB4F">
            <w:pPr>
              <w:adjustRightInd w:val="0"/>
              <w:snapToGrid w:val="0"/>
              <w:spacing w:line="560" w:lineRule="exact"/>
              <w:rPr>
                <w:rFonts w:eastAsia="黑体"/>
                <w:color w:val="auto"/>
                <w:szCs w:val="21"/>
                <w:highlight w:val="none"/>
              </w:rPr>
            </w:pPr>
          </w:p>
        </w:tc>
        <w:tc>
          <w:tcPr>
            <w:tcW w:w="1385" w:type="dxa"/>
          </w:tcPr>
          <w:p w14:paraId="2A189FC2">
            <w:pPr>
              <w:adjustRightInd w:val="0"/>
              <w:snapToGrid w:val="0"/>
              <w:spacing w:line="560" w:lineRule="exact"/>
              <w:rPr>
                <w:rFonts w:eastAsia="黑体"/>
                <w:color w:val="auto"/>
                <w:szCs w:val="21"/>
                <w:highlight w:val="none"/>
              </w:rPr>
            </w:pPr>
          </w:p>
        </w:tc>
        <w:tc>
          <w:tcPr>
            <w:tcW w:w="2522" w:type="dxa"/>
            <w:gridSpan w:val="2"/>
          </w:tcPr>
          <w:p w14:paraId="14DF33CE">
            <w:pPr>
              <w:adjustRightInd w:val="0"/>
              <w:snapToGrid w:val="0"/>
              <w:spacing w:line="560" w:lineRule="exact"/>
              <w:rPr>
                <w:rFonts w:eastAsia="黑体"/>
                <w:color w:val="auto"/>
                <w:szCs w:val="21"/>
                <w:highlight w:val="none"/>
              </w:rPr>
            </w:pPr>
          </w:p>
        </w:tc>
      </w:tr>
      <w:tr w14:paraId="5BFF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1C21517E">
            <w:pPr>
              <w:adjustRightInd w:val="0"/>
              <w:snapToGrid w:val="0"/>
              <w:spacing w:line="560" w:lineRule="exact"/>
              <w:rPr>
                <w:rFonts w:eastAsia="黑体"/>
                <w:color w:val="auto"/>
                <w:szCs w:val="21"/>
                <w:highlight w:val="none"/>
              </w:rPr>
            </w:pPr>
          </w:p>
        </w:tc>
        <w:tc>
          <w:tcPr>
            <w:tcW w:w="3756" w:type="dxa"/>
            <w:gridSpan w:val="4"/>
          </w:tcPr>
          <w:p w14:paraId="2568D61C">
            <w:pPr>
              <w:adjustRightInd w:val="0"/>
              <w:snapToGrid w:val="0"/>
              <w:spacing w:line="560" w:lineRule="exact"/>
              <w:rPr>
                <w:rFonts w:eastAsia="黑体"/>
                <w:color w:val="auto"/>
                <w:szCs w:val="21"/>
                <w:highlight w:val="none"/>
              </w:rPr>
            </w:pPr>
          </w:p>
        </w:tc>
        <w:tc>
          <w:tcPr>
            <w:tcW w:w="1385" w:type="dxa"/>
          </w:tcPr>
          <w:p w14:paraId="6E7A68A8">
            <w:pPr>
              <w:adjustRightInd w:val="0"/>
              <w:snapToGrid w:val="0"/>
              <w:spacing w:line="560" w:lineRule="exact"/>
              <w:rPr>
                <w:rFonts w:eastAsia="黑体"/>
                <w:color w:val="auto"/>
                <w:szCs w:val="21"/>
                <w:highlight w:val="none"/>
              </w:rPr>
            </w:pPr>
          </w:p>
        </w:tc>
        <w:tc>
          <w:tcPr>
            <w:tcW w:w="2522" w:type="dxa"/>
            <w:gridSpan w:val="2"/>
          </w:tcPr>
          <w:p w14:paraId="20619CAF">
            <w:pPr>
              <w:adjustRightInd w:val="0"/>
              <w:snapToGrid w:val="0"/>
              <w:spacing w:line="560" w:lineRule="exact"/>
              <w:rPr>
                <w:rFonts w:eastAsia="黑体"/>
                <w:color w:val="auto"/>
                <w:szCs w:val="21"/>
                <w:highlight w:val="none"/>
              </w:rPr>
            </w:pPr>
          </w:p>
        </w:tc>
      </w:tr>
      <w:tr w14:paraId="46D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1B1D56C7">
            <w:pPr>
              <w:adjustRightInd w:val="0"/>
              <w:snapToGrid w:val="0"/>
              <w:spacing w:line="560" w:lineRule="exact"/>
              <w:rPr>
                <w:rFonts w:eastAsia="黑体"/>
                <w:color w:val="auto"/>
                <w:szCs w:val="21"/>
                <w:highlight w:val="none"/>
              </w:rPr>
            </w:pPr>
          </w:p>
        </w:tc>
        <w:tc>
          <w:tcPr>
            <w:tcW w:w="3756" w:type="dxa"/>
            <w:gridSpan w:val="4"/>
          </w:tcPr>
          <w:p w14:paraId="11C497AA">
            <w:pPr>
              <w:adjustRightInd w:val="0"/>
              <w:snapToGrid w:val="0"/>
              <w:spacing w:line="560" w:lineRule="exact"/>
              <w:rPr>
                <w:rFonts w:eastAsia="黑体"/>
                <w:color w:val="auto"/>
                <w:szCs w:val="21"/>
                <w:highlight w:val="none"/>
              </w:rPr>
            </w:pPr>
          </w:p>
        </w:tc>
        <w:tc>
          <w:tcPr>
            <w:tcW w:w="1385" w:type="dxa"/>
          </w:tcPr>
          <w:p w14:paraId="17444D0E">
            <w:pPr>
              <w:adjustRightInd w:val="0"/>
              <w:snapToGrid w:val="0"/>
              <w:spacing w:line="560" w:lineRule="exact"/>
              <w:rPr>
                <w:rFonts w:eastAsia="黑体"/>
                <w:color w:val="auto"/>
                <w:szCs w:val="21"/>
                <w:highlight w:val="none"/>
              </w:rPr>
            </w:pPr>
          </w:p>
        </w:tc>
        <w:tc>
          <w:tcPr>
            <w:tcW w:w="2522" w:type="dxa"/>
            <w:gridSpan w:val="2"/>
          </w:tcPr>
          <w:p w14:paraId="68036184">
            <w:pPr>
              <w:adjustRightInd w:val="0"/>
              <w:snapToGrid w:val="0"/>
              <w:spacing w:line="560" w:lineRule="exact"/>
              <w:rPr>
                <w:rFonts w:eastAsia="黑体"/>
                <w:color w:val="auto"/>
                <w:szCs w:val="21"/>
                <w:highlight w:val="none"/>
              </w:rPr>
            </w:pPr>
          </w:p>
        </w:tc>
      </w:tr>
      <w:tr w14:paraId="786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44739960">
            <w:pPr>
              <w:adjustRightInd w:val="0"/>
              <w:snapToGrid w:val="0"/>
              <w:spacing w:line="560" w:lineRule="exact"/>
              <w:rPr>
                <w:rFonts w:eastAsia="黑体"/>
                <w:color w:val="auto"/>
                <w:szCs w:val="21"/>
                <w:highlight w:val="none"/>
              </w:rPr>
            </w:pPr>
          </w:p>
        </w:tc>
        <w:tc>
          <w:tcPr>
            <w:tcW w:w="3756" w:type="dxa"/>
            <w:gridSpan w:val="4"/>
          </w:tcPr>
          <w:p w14:paraId="7395E48F">
            <w:pPr>
              <w:adjustRightInd w:val="0"/>
              <w:snapToGrid w:val="0"/>
              <w:spacing w:line="560" w:lineRule="exact"/>
              <w:rPr>
                <w:rFonts w:eastAsia="黑体"/>
                <w:color w:val="auto"/>
                <w:szCs w:val="21"/>
                <w:highlight w:val="none"/>
              </w:rPr>
            </w:pPr>
          </w:p>
        </w:tc>
        <w:tc>
          <w:tcPr>
            <w:tcW w:w="1385" w:type="dxa"/>
          </w:tcPr>
          <w:p w14:paraId="1B4F8453">
            <w:pPr>
              <w:adjustRightInd w:val="0"/>
              <w:snapToGrid w:val="0"/>
              <w:spacing w:line="560" w:lineRule="exact"/>
              <w:rPr>
                <w:rFonts w:eastAsia="黑体"/>
                <w:color w:val="auto"/>
                <w:szCs w:val="21"/>
                <w:highlight w:val="none"/>
              </w:rPr>
            </w:pPr>
          </w:p>
        </w:tc>
        <w:tc>
          <w:tcPr>
            <w:tcW w:w="2522" w:type="dxa"/>
            <w:gridSpan w:val="2"/>
          </w:tcPr>
          <w:p w14:paraId="176B96A6">
            <w:pPr>
              <w:adjustRightInd w:val="0"/>
              <w:snapToGrid w:val="0"/>
              <w:spacing w:line="560" w:lineRule="exact"/>
              <w:rPr>
                <w:rFonts w:eastAsia="黑体"/>
                <w:color w:val="auto"/>
                <w:szCs w:val="21"/>
                <w:highlight w:val="none"/>
              </w:rPr>
            </w:pPr>
          </w:p>
        </w:tc>
      </w:tr>
    </w:tbl>
    <w:p w14:paraId="213428B9">
      <w:pPr>
        <w:rPr>
          <w:color w:val="auto"/>
          <w:highlight w:val="none"/>
        </w:rPr>
      </w:pPr>
    </w:p>
    <w:p w14:paraId="37AC82AD">
      <w:pPr>
        <w:pStyle w:val="5"/>
        <w:jc w:val="center"/>
        <w:rPr>
          <w:color w:val="auto"/>
          <w:sz w:val="23"/>
          <w:szCs w:val="23"/>
          <w:highlight w:val="none"/>
        </w:rPr>
      </w:pPr>
      <w:r>
        <w:rPr>
          <w:rFonts w:hint="eastAsia"/>
          <w:color w:val="auto"/>
          <w:highlight w:val="none"/>
        </w:rPr>
        <w:t>附表3：拟任项目技术负责人简历表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1974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24481C5C">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90" w:type="dxa"/>
            <w:gridSpan w:val="2"/>
            <w:vAlign w:val="center"/>
          </w:tcPr>
          <w:p w14:paraId="7CE0547E">
            <w:pPr>
              <w:adjustRightInd w:val="0"/>
              <w:snapToGrid w:val="0"/>
              <w:spacing w:line="560" w:lineRule="exact"/>
              <w:jc w:val="center"/>
              <w:rPr>
                <w:rFonts w:ascii="宋体" w:hAnsi="宋体"/>
                <w:color w:val="auto"/>
                <w:szCs w:val="21"/>
                <w:highlight w:val="none"/>
              </w:rPr>
            </w:pPr>
          </w:p>
        </w:tc>
        <w:tc>
          <w:tcPr>
            <w:tcW w:w="1023" w:type="dxa"/>
            <w:vAlign w:val="center"/>
          </w:tcPr>
          <w:p w14:paraId="2494FA3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5" w:type="dxa"/>
            <w:vAlign w:val="center"/>
          </w:tcPr>
          <w:p w14:paraId="10B7AA8C">
            <w:pPr>
              <w:adjustRightInd w:val="0"/>
              <w:snapToGrid w:val="0"/>
              <w:spacing w:line="560" w:lineRule="exact"/>
              <w:jc w:val="center"/>
              <w:rPr>
                <w:rFonts w:ascii="宋体" w:hAnsi="宋体"/>
                <w:color w:val="auto"/>
                <w:szCs w:val="21"/>
                <w:highlight w:val="none"/>
              </w:rPr>
            </w:pPr>
          </w:p>
        </w:tc>
        <w:tc>
          <w:tcPr>
            <w:tcW w:w="2349" w:type="dxa"/>
            <w:gridSpan w:val="3"/>
            <w:vAlign w:val="center"/>
          </w:tcPr>
          <w:p w14:paraId="51A3BBD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55" w:type="dxa"/>
            <w:vAlign w:val="center"/>
          </w:tcPr>
          <w:p w14:paraId="5E822525">
            <w:pPr>
              <w:adjustRightInd w:val="0"/>
              <w:snapToGrid w:val="0"/>
              <w:spacing w:line="560" w:lineRule="exact"/>
              <w:rPr>
                <w:rFonts w:ascii="宋体" w:hAnsi="宋体"/>
                <w:color w:val="auto"/>
                <w:szCs w:val="21"/>
                <w:highlight w:val="none"/>
              </w:rPr>
            </w:pPr>
          </w:p>
        </w:tc>
      </w:tr>
      <w:tr w14:paraId="4FA2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160FFE1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90" w:type="dxa"/>
            <w:gridSpan w:val="2"/>
            <w:vAlign w:val="center"/>
          </w:tcPr>
          <w:p w14:paraId="38568B73">
            <w:pPr>
              <w:adjustRightInd w:val="0"/>
              <w:snapToGrid w:val="0"/>
              <w:spacing w:line="560" w:lineRule="exact"/>
              <w:jc w:val="center"/>
              <w:rPr>
                <w:rFonts w:ascii="宋体" w:hAnsi="宋体"/>
                <w:color w:val="auto"/>
                <w:szCs w:val="21"/>
                <w:highlight w:val="none"/>
              </w:rPr>
            </w:pPr>
          </w:p>
        </w:tc>
        <w:tc>
          <w:tcPr>
            <w:tcW w:w="1023" w:type="dxa"/>
            <w:vAlign w:val="center"/>
          </w:tcPr>
          <w:p w14:paraId="39EA361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5" w:type="dxa"/>
            <w:vAlign w:val="center"/>
          </w:tcPr>
          <w:p w14:paraId="2A01262C">
            <w:pPr>
              <w:adjustRightInd w:val="0"/>
              <w:snapToGrid w:val="0"/>
              <w:spacing w:line="560" w:lineRule="exact"/>
              <w:jc w:val="center"/>
              <w:rPr>
                <w:rFonts w:ascii="宋体" w:hAnsi="宋体"/>
                <w:color w:val="auto"/>
                <w:szCs w:val="21"/>
                <w:highlight w:val="none"/>
              </w:rPr>
            </w:pPr>
          </w:p>
        </w:tc>
        <w:tc>
          <w:tcPr>
            <w:tcW w:w="2349" w:type="dxa"/>
            <w:gridSpan w:val="3"/>
            <w:vAlign w:val="center"/>
          </w:tcPr>
          <w:p w14:paraId="13616CE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55" w:type="dxa"/>
            <w:vAlign w:val="center"/>
          </w:tcPr>
          <w:p w14:paraId="747BDE19">
            <w:pPr>
              <w:adjustRightInd w:val="0"/>
              <w:snapToGrid w:val="0"/>
              <w:spacing w:line="560" w:lineRule="exact"/>
              <w:rPr>
                <w:rFonts w:ascii="宋体" w:hAnsi="宋体"/>
                <w:color w:val="auto"/>
                <w:szCs w:val="21"/>
                <w:highlight w:val="none"/>
              </w:rPr>
            </w:pPr>
          </w:p>
        </w:tc>
      </w:tr>
      <w:tr w14:paraId="0B2D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111471E2">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92" w:type="dxa"/>
            <w:gridSpan w:val="8"/>
          </w:tcPr>
          <w:p w14:paraId="5CC9A038">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64B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vAlign w:val="center"/>
          </w:tcPr>
          <w:p w14:paraId="117D4FB8">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1CCF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vAlign w:val="center"/>
          </w:tcPr>
          <w:p w14:paraId="3D7D2D12">
            <w:pPr>
              <w:adjustRightInd w:val="0"/>
              <w:snapToGrid w:val="0"/>
              <w:spacing w:line="560" w:lineRule="exact"/>
              <w:rPr>
                <w:rFonts w:ascii="宋体" w:hAnsi="宋体"/>
                <w:color w:val="auto"/>
                <w:szCs w:val="21"/>
                <w:highlight w:val="none"/>
              </w:rPr>
            </w:pPr>
            <w:r>
              <w:rPr>
                <w:rFonts w:ascii="宋体" w:hAnsi="宋体"/>
                <w:color w:val="auto"/>
                <w:szCs w:val="21"/>
                <w:highlight w:val="none"/>
              </w:rPr>
              <w:t>时  间</w:t>
            </w:r>
          </w:p>
        </w:tc>
        <w:tc>
          <w:tcPr>
            <w:tcW w:w="3773" w:type="dxa"/>
            <w:gridSpan w:val="4"/>
            <w:vAlign w:val="center"/>
          </w:tcPr>
          <w:p w14:paraId="5502DCA7">
            <w:pPr>
              <w:adjustRightInd w:val="0"/>
              <w:snapToGrid w:val="0"/>
              <w:spacing w:line="560" w:lineRule="exact"/>
              <w:rPr>
                <w:rFonts w:ascii="宋体" w:hAnsi="宋体"/>
                <w:color w:val="auto"/>
                <w:szCs w:val="21"/>
                <w:highlight w:val="none"/>
              </w:rPr>
            </w:pPr>
            <w:r>
              <w:rPr>
                <w:rFonts w:ascii="宋体" w:hAnsi="宋体"/>
                <w:color w:val="auto"/>
                <w:szCs w:val="21"/>
                <w:highlight w:val="none"/>
              </w:rPr>
              <w:t>参加过的类似项目</w:t>
            </w:r>
          </w:p>
        </w:tc>
        <w:tc>
          <w:tcPr>
            <w:tcW w:w="1390" w:type="dxa"/>
            <w:vAlign w:val="center"/>
          </w:tcPr>
          <w:p w14:paraId="297D2ABF">
            <w:pPr>
              <w:adjustRightInd w:val="0"/>
              <w:snapToGrid w:val="0"/>
              <w:spacing w:line="560" w:lineRule="exact"/>
              <w:rPr>
                <w:rFonts w:ascii="宋体" w:hAnsi="宋体"/>
                <w:color w:val="auto"/>
                <w:szCs w:val="21"/>
                <w:highlight w:val="none"/>
              </w:rPr>
            </w:pPr>
            <w:r>
              <w:rPr>
                <w:rFonts w:ascii="宋体" w:hAnsi="宋体"/>
                <w:color w:val="auto"/>
                <w:szCs w:val="21"/>
                <w:highlight w:val="none"/>
              </w:rPr>
              <w:t>担任职务</w:t>
            </w:r>
          </w:p>
        </w:tc>
        <w:tc>
          <w:tcPr>
            <w:tcW w:w="2533" w:type="dxa"/>
            <w:gridSpan w:val="2"/>
            <w:vAlign w:val="center"/>
          </w:tcPr>
          <w:p w14:paraId="2DF74C52">
            <w:pPr>
              <w:adjustRightInd w:val="0"/>
              <w:snapToGrid w:val="0"/>
              <w:spacing w:line="560" w:lineRule="exact"/>
              <w:rPr>
                <w:rFonts w:ascii="宋体" w:hAnsi="宋体"/>
                <w:color w:val="auto"/>
                <w:szCs w:val="21"/>
                <w:highlight w:val="none"/>
              </w:rPr>
            </w:pPr>
            <w:r>
              <w:rPr>
                <w:rFonts w:ascii="宋体" w:hAnsi="宋体"/>
                <w:color w:val="auto"/>
                <w:szCs w:val="21"/>
                <w:highlight w:val="none"/>
              </w:rPr>
              <w:t>发包人及联系电话</w:t>
            </w:r>
          </w:p>
        </w:tc>
      </w:tr>
      <w:tr w14:paraId="4B5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779A702D">
            <w:pPr>
              <w:adjustRightInd w:val="0"/>
              <w:snapToGrid w:val="0"/>
              <w:spacing w:line="560" w:lineRule="exact"/>
              <w:rPr>
                <w:rFonts w:eastAsia="黑体"/>
                <w:color w:val="auto"/>
                <w:szCs w:val="21"/>
                <w:highlight w:val="none"/>
              </w:rPr>
            </w:pPr>
          </w:p>
        </w:tc>
        <w:tc>
          <w:tcPr>
            <w:tcW w:w="3773" w:type="dxa"/>
            <w:gridSpan w:val="4"/>
          </w:tcPr>
          <w:p w14:paraId="7BF6C3B9">
            <w:pPr>
              <w:adjustRightInd w:val="0"/>
              <w:snapToGrid w:val="0"/>
              <w:spacing w:line="560" w:lineRule="exact"/>
              <w:rPr>
                <w:rFonts w:eastAsia="黑体"/>
                <w:color w:val="auto"/>
                <w:szCs w:val="21"/>
                <w:highlight w:val="none"/>
              </w:rPr>
            </w:pPr>
          </w:p>
        </w:tc>
        <w:tc>
          <w:tcPr>
            <w:tcW w:w="1390" w:type="dxa"/>
          </w:tcPr>
          <w:p w14:paraId="6B4E36FA">
            <w:pPr>
              <w:adjustRightInd w:val="0"/>
              <w:snapToGrid w:val="0"/>
              <w:spacing w:line="560" w:lineRule="exact"/>
              <w:rPr>
                <w:rFonts w:eastAsia="黑体"/>
                <w:color w:val="auto"/>
                <w:szCs w:val="21"/>
                <w:highlight w:val="none"/>
              </w:rPr>
            </w:pPr>
          </w:p>
        </w:tc>
        <w:tc>
          <w:tcPr>
            <w:tcW w:w="2533" w:type="dxa"/>
            <w:gridSpan w:val="2"/>
          </w:tcPr>
          <w:p w14:paraId="7E728A29">
            <w:pPr>
              <w:adjustRightInd w:val="0"/>
              <w:snapToGrid w:val="0"/>
              <w:spacing w:line="560" w:lineRule="exact"/>
              <w:rPr>
                <w:rFonts w:eastAsia="黑体"/>
                <w:color w:val="auto"/>
                <w:szCs w:val="21"/>
                <w:highlight w:val="none"/>
              </w:rPr>
            </w:pPr>
          </w:p>
        </w:tc>
      </w:tr>
      <w:tr w14:paraId="106A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BE8D179">
            <w:pPr>
              <w:adjustRightInd w:val="0"/>
              <w:snapToGrid w:val="0"/>
              <w:spacing w:line="560" w:lineRule="exact"/>
              <w:rPr>
                <w:rFonts w:eastAsia="黑体"/>
                <w:color w:val="auto"/>
                <w:szCs w:val="21"/>
                <w:highlight w:val="none"/>
              </w:rPr>
            </w:pPr>
          </w:p>
        </w:tc>
        <w:tc>
          <w:tcPr>
            <w:tcW w:w="3773" w:type="dxa"/>
            <w:gridSpan w:val="4"/>
          </w:tcPr>
          <w:p w14:paraId="4EAA9440">
            <w:pPr>
              <w:adjustRightInd w:val="0"/>
              <w:snapToGrid w:val="0"/>
              <w:spacing w:line="560" w:lineRule="exact"/>
              <w:rPr>
                <w:rFonts w:eastAsia="黑体"/>
                <w:color w:val="auto"/>
                <w:szCs w:val="21"/>
                <w:highlight w:val="none"/>
              </w:rPr>
            </w:pPr>
          </w:p>
        </w:tc>
        <w:tc>
          <w:tcPr>
            <w:tcW w:w="1390" w:type="dxa"/>
          </w:tcPr>
          <w:p w14:paraId="05FD1E1A">
            <w:pPr>
              <w:adjustRightInd w:val="0"/>
              <w:snapToGrid w:val="0"/>
              <w:spacing w:line="560" w:lineRule="exact"/>
              <w:rPr>
                <w:rFonts w:eastAsia="黑体"/>
                <w:color w:val="auto"/>
                <w:szCs w:val="21"/>
                <w:highlight w:val="none"/>
              </w:rPr>
            </w:pPr>
          </w:p>
        </w:tc>
        <w:tc>
          <w:tcPr>
            <w:tcW w:w="2533" w:type="dxa"/>
            <w:gridSpan w:val="2"/>
          </w:tcPr>
          <w:p w14:paraId="71DDA5F5">
            <w:pPr>
              <w:adjustRightInd w:val="0"/>
              <w:snapToGrid w:val="0"/>
              <w:spacing w:line="560" w:lineRule="exact"/>
              <w:rPr>
                <w:rFonts w:eastAsia="黑体"/>
                <w:color w:val="auto"/>
                <w:szCs w:val="21"/>
                <w:highlight w:val="none"/>
              </w:rPr>
            </w:pPr>
          </w:p>
        </w:tc>
      </w:tr>
      <w:tr w14:paraId="7F5B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4C86418">
            <w:pPr>
              <w:adjustRightInd w:val="0"/>
              <w:snapToGrid w:val="0"/>
              <w:spacing w:line="560" w:lineRule="exact"/>
              <w:rPr>
                <w:rFonts w:eastAsia="黑体"/>
                <w:color w:val="auto"/>
                <w:szCs w:val="21"/>
                <w:highlight w:val="none"/>
              </w:rPr>
            </w:pPr>
          </w:p>
        </w:tc>
        <w:tc>
          <w:tcPr>
            <w:tcW w:w="3773" w:type="dxa"/>
            <w:gridSpan w:val="4"/>
          </w:tcPr>
          <w:p w14:paraId="0C363792">
            <w:pPr>
              <w:adjustRightInd w:val="0"/>
              <w:snapToGrid w:val="0"/>
              <w:spacing w:line="560" w:lineRule="exact"/>
              <w:rPr>
                <w:rFonts w:eastAsia="黑体"/>
                <w:color w:val="auto"/>
                <w:szCs w:val="21"/>
                <w:highlight w:val="none"/>
              </w:rPr>
            </w:pPr>
          </w:p>
        </w:tc>
        <w:tc>
          <w:tcPr>
            <w:tcW w:w="1390" w:type="dxa"/>
          </w:tcPr>
          <w:p w14:paraId="4ED5ECBE">
            <w:pPr>
              <w:adjustRightInd w:val="0"/>
              <w:snapToGrid w:val="0"/>
              <w:spacing w:line="560" w:lineRule="exact"/>
              <w:rPr>
                <w:rFonts w:eastAsia="黑体"/>
                <w:color w:val="auto"/>
                <w:szCs w:val="21"/>
                <w:highlight w:val="none"/>
              </w:rPr>
            </w:pPr>
          </w:p>
        </w:tc>
        <w:tc>
          <w:tcPr>
            <w:tcW w:w="2533" w:type="dxa"/>
            <w:gridSpan w:val="2"/>
          </w:tcPr>
          <w:p w14:paraId="7717092C">
            <w:pPr>
              <w:adjustRightInd w:val="0"/>
              <w:snapToGrid w:val="0"/>
              <w:spacing w:line="560" w:lineRule="exact"/>
              <w:rPr>
                <w:rFonts w:eastAsia="黑体"/>
                <w:color w:val="auto"/>
                <w:szCs w:val="21"/>
                <w:highlight w:val="none"/>
              </w:rPr>
            </w:pPr>
          </w:p>
        </w:tc>
      </w:tr>
      <w:tr w14:paraId="6C19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DA9151A">
            <w:pPr>
              <w:adjustRightInd w:val="0"/>
              <w:snapToGrid w:val="0"/>
              <w:spacing w:line="560" w:lineRule="exact"/>
              <w:rPr>
                <w:rFonts w:eastAsia="黑体"/>
                <w:color w:val="auto"/>
                <w:szCs w:val="21"/>
                <w:highlight w:val="none"/>
              </w:rPr>
            </w:pPr>
          </w:p>
        </w:tc>
        <w:tc>
          <w:tcPr>
            <w:tcW w:w="3773" w:type="dxa"/>
            <w:gridSpan w:val="4"/>
          </w:tcPr>
          <w:p w14:paraId="16A17AEE">
            <w:pPr>
              <w:adjustRightInd w:val="0"/>
              <w:snapToGrid w:val="0"/>
              <w:spacing w:line="560" w:lineRule="exact"/>
              <w:rPr>
                <w:rFonts w:eastAsia="黑体"/>
                <w:color w:val="auto"/>
                <w:szCs w:val="21"/>
                <w:highlight w:val="none"/>
              </w:rPr>
            </w:pPr>
          </w:p>
        </w:tc>
        <w:tc>
          <w:tcPr>
            <w:tcW w:w="1390" w:type="dxa"/>
          </w:tcPr>
          <w:p w14:paraId="52ABDC79">
            <w:pPr>
              <w:adjustRightInd w:val="0"/>
              <w:snapToGrid w:val="0"/>
              <w:spacing w:line="560" w:lineRule="exact"/>
              <w:rPr>
                <w:rFonts w:eastAsia="黑体"/>
                <w:color w:val="auto"/>
                <w:szCs w:val="21"/>
                <w:highlight w:val="none"/>
              </w:rPr>
            </w:pPr>
          </w:p>
        </w:tc>
        <w:tc>
          <w:tcPr>
            <w:tcW w:w="2533" w:type="dxa"/>
            <w:gridSpan w:val="2"/>
          </w:tcPr>
          <w:p w14:paraId="4FC82F9B">
            <w:pPr>
              <w:adjustRightInd w:val="0"/>
              <w:snapToGrid w:val="0"/>
              <w:spacing w:line="560" w:lineRule="exact"/>
              <w:rPr>
                <w:rFonts w:eastAsia="黑体"/>
                <w:color w:val="auto"/>
                <w:szCs w:val="21"/>
                <w:highlight w:val="none"/>
              </w:rPr>
            </w:pPr>
          </w:p>
        </w:tc>
      </w:tr>
      <w:tr w14:paraId="3192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0F9B9E4">
            <w:pPr>
              <w:adjustRightInd w:val="0"/>
              <w:snapToGrid w:val="0"/>
              <w:spacing w:line="560" w:lineRule="exact"/>
              <w:rPr>
                <w:rFonts w:eastAsia="黑体"/>
                <w:color w:val="auto"/>
                <w:szCs w:val="21"/>
                <w:highlight w:val="none"/>
              </w:rPr>
            </w:pPr>
          </w:p>
        </w:tc>
        <w:tc>
          <w:tcPr>
            <w:tcW w:w="3773" w:type="dxa"/>
            <w:gridSpan w:val="4"/>
          </w:tcPr>
          <w:p w14:paraId="51A3A119">
            <w:pPr>
              <w:adjustRightInd w:val="0"/>
              <w:snapToGrid w:val="0"/>
              <w:spacing w:line="560" w:lineRule="exact"/>
              <w:rPr>
                <w:rFonts w:eastAsia="黑体"/>
                <w:color w:val="auto"/>
                <w:szCs w:val="21"/>
                <w:highlight w:val="none"/>
              </w:rPr>
            </w:pPr>
          </w:p>
        </w:tc>
        <w:tc>
          <w:tcPr>
            <w:tcW w:w="1390" w:type="dxa"/>
          </w:tcPr>
          <w:p w14:paraId="1A78B3D4">
            <w:pPr>
              <w:adjustRightInd w:val="0"/>
              <w:snapToGrid w:val="0"/>
              <w:spacing w:line="560" w:lineRule="exact"/>
              <w:rPr>
                <w:rFonts w:eastAsia="黑体"/>
                <w:color w:val="auto"/>
                <w:szCs w:val="21"/>
                <w:highlight w:val="none"/>
              </w:rPr>
            </w:pPr>
          </w:p>
        </w:tc>
        <w:tc>
          <w:tcPr>
            <w:tcW w:w="2533" w:type="dxa"/>
            <w:gridSpan w:val="2"/>
          </w:tcPr>
          <w:p w14:paraId="317623B6">
            <w:pPr>
              <w:adjustRightInd w:val="0"/>
              <w:snapToGrid w:val="0"/>
              <w:spacing w:line="560" w:lineRule="exact"/>
              <w:rPr>
                <w:rFonts w:eastAsia="黑体"/>
                <w:color w:val="auto"/>
                <w:szCs w:val="21"/>
                <w:highlight w:val="none"/>
              </w:rPr>
            </w:pPr>
          </w:p>
        </w:tc>
      </w:tr>
      <w:tr w14:paraId="26B1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5D5209E">
            <w:pPr>
              <w:adjustRightInd w:val="0"/>
              <w:snapToGrid w:val="0"/>
              <w:spacing w:line="560" w:lineRule="exact"/>
              <w:rPr>
                <w:rFonts w:eastAsia="黑体"/>
                <w:color w:val="auto"/>
                <w:szCs w:val="21"/>
                <w:highlight w:val="none"/>
              </w:rPr>
            </w:pPr>
          </w:p>
        </w:tc>
        <w:tc>
          <w:tcPr>
            <w:tcW w:w="3773" w:type="dxa"/>
            <w:gridSpan w:val="4"/>
          </w:tcPr>
          <w:p w14:paraId="7E600D9A">
            <w:pPr>
              <w:adjustRightInd w:val="0"/>
              <w:snapToGrid w:val="0"/>
              <w:spacing w:line="560" w:lineRule="exact"/>
              <w:rPr>
                <w:rFonts w:eastAsia="黑体"/>
                <w:color w:val="auto"/>
                <w:szCs w:val="21"/>
                <w:highlight w:val="none"/>
              </w:rPr>
            </w:pPr>
          </w:p>
        </w:tc>
        <w:tc>
          <w:tcPr>
            <w:tcW w:w="1390" w:type="dxa"/>
          </w:tcPr>
          <w:p w14:paraId="0400957A">
            <w:pPr>
              <w:adjustRightInd w:val="0"/>
              <w:snapToGrid w:val="0"/>
              <w:spacing w:line="560" w:lineRule="exact"/>
              <w:rPr>
                <w:rFonts w:eastAsia="黑体"/>
                <w:color w:val="auto"/>
                <w:szCs w:val="21"/>
                <w:highlight w:val="none"/>
              </w:rPr>
            </w:pPr>
          </w:p>
        </w:tc>
        <w:tc>
          <w:tcPr>
            <w:tcW w:w="2533" w:type="dxa"/>
            <w:gridSpan w:val="2"/>
          </w:tcPr>
          <w:p w14:paraId="3C11CA80">
            <w:pPr>
              <w:adjustRightInd w:val="0"/>
              <w:snapToGrid w:val="0"/>
              <w:spacing w:line="560" w:lineRule="exact"/>
              <w:rPr>
                <w:rFonts w:eastAsia="黑体"/>
                <w:color w:val="auto"/>
                <w:szCs w:val="21"/>
                <w:highlight w:val="none"/>
              </w:rPr>
            </w:pPr>
          </w:p>
        </w:tc>
      </w:tr>
      <w:tr w14:paraId="1454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6A75C149">
            <w:pPr>
              <w:adjustRightInd w:val="0"/>
              <w:snapToGrid w:val="0"/>
              <w:spacing w:line="560" w:lineRule="exact"/>
              <w:rPr>
                <w:rFonts w:eastAsia="黑体"/>
                <w:color w:val="auto"/>
                <w:szCs w:val="21"/>
                <w:highlight w:val="none"/>
              </w:rPr>
            </w:pPr>
          </w:p>
        </w:tc>
        <w:tc>
          <w:tcPr>
            <w:tcW w:w="3773" w:type="dxa"/>
            <w:gridSpan w:val="4"/>
          </w:tcPr>
          <w:p w14:paraId="7DD1F2F8">
            <w:pPr>
              <w:adjustRightInd w:val="0"/>
              <w:snapToGrid w:val="0"/>
              <w:spacing w:line="560" w:lineRule="exact"/>
              <w:rPr>
                <w:rFonts w:eastAsia="黑体"/>
                <w:color w:val="auto"/>
                <w:szCs w:val="21"/>
                <w:highlight w:val="none"/>
              </w:rPr>
            </w:pPr>
          </w:p>
        </w:tc>
        <w:tc>
          <w:tcPr>
            <w:tcW w:w="1390" w:type="dxa"/>
          </w:tcPr>
          <w:p w14:paraId="15D8D481">
            <w:pPr>
              <w:adjustRightInd w:val="0"/>
              <w:snapToGrid w:val="0"/>
              <w:spacing w:line="560" w:lineRule="exact"/>
              <w:rPr>
                <w:rFonts w:eastAsia="黑体"/>
                <w:color w:val="auto"/>
                <w:szCs w:val="21"/>
                <w:highlight w:val="none"/>
              </w:rPr>
            </w:pPr>
          </w:p>
        </w:tc>
        <w:tc>
          <w:tcPr>
            <w:tcW w:w="2533" w:type="dxa"/>
            <w:gridSpan w:val="2"/>
          </w:tcPr>
          <w:p w14:paraId="172329FA">
            <w:pPr>
              <w:adjustRightInd w:val="0"/>
              <w:snapToGrid w:val="0"/>
              <w:spacing w:line="560" w:lineRule="exact"/>
              <w:rPr>
                <w:rFonts w:eastAsia="黑体"/>
                <w:color w:val="auto"/>
                <w:szCs w:val="21"/>
                <w:highlight w:val="none"/>
              </w:rPr>
            </w:pPr>
          </w:p>
        </w:tc>
      </w:tr>
      <w:tr w14:paraId="6E85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3CB6AB5C">
            <w:pPr>
              <w:adjustRightInd w:val="0"/>
              <w:snapToGrid w:val="0"/>
              <w:spacing w:line="560" w:lineRule="exact"/>
              <w:rPr>
                <w:rFonts w:eastAsia="黑体"/>
                <w:color w:val="auto"/>
                <w:szCs w:val="21"/>
                <w:highlight w:val="none"/>
              </w:rPr>
            </w:pPr>
          </w:p>
        </w:tc>
        <w:tc>
          <w:tcPr>
            <w:tcW w:w="3773" w:type="dxa"/>
            <w:gridSpan w:val="4"/>
          </w:tcPr>
          <w:p w14:paraId="18EB7B5F">
            <w:pPr>
              <w:adjustRightInd w:val="0"/>
              <w:snapToGrid w:val="0"/>
              <w:spacing w:line="560" w:lineRule="exact"/>
              <w:rPr>
                <w:rFonts w:eastAsia="黑体"/>
                <w:color w:val="auto"/>
                <w:szCs w:val="21"/>
                <w:highlight w:val="none"/>
              </w:rPr>
            </w:pPr>
          </w:p>
        </w:tc>
        <w:tc>
          <w:tcPr>
            <w:tcW w:w="1390" w:type="dxa"/>
          </w:tcPr>
          <w:p w14:paraId="68E59C28">
            <w:pPr>
              <w:adjustRightInd w:val="0"/>
              <w:snapToGrid w:val="0"/>
              <w:spacing w:line="560" w:lineRule="exact"/>
              <w:rPr>
                <w:rFonts w:eastAsia="黑体"/>
                <w:color w:val="auto"/>
                <w:szCs w:val="21"/>
                <w:highlight w:val="none"/>
              </w:rPr>
            </w:pPr>
          </w:p>
        </w:tc>
        <w:tc>
          <w:tcPr>
            <w:tcW w:w="2533" w:type="dxa"/>
            <w:gridSpan w:val="2"/>
          </w:tcPr>
          <w:p w14:paraId="42E6E718">
            <w:pPr>
              <w:adjustRightInd w:val="0"/>
              <w:snapToGrid w:val="0"/>
              <w:spacing w:line="560" w:lineRule="exact"/>
              <w:rPr>
                <w:rFonts w:eastAsia="黑体"/>
                <w:color w:val="auto"/>
                <w:szCs w:val="21"/>
                <w:highlight w:val="none"/>
              </w:rPr>
            </w:pPr>
          </w:p>
        </w:tc>
      </w:tr>
      <w:tr w14:paraId="4500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54B81BCB">
            <w:pPr>
              <w:adjustRightInd w:val="0"/>
              <w:snapToGrid w:val="0"/>
              <w:spacing w:line="560" w:lineRule="exact"/>
              <w:rPr>
                <w:rFonts w:eastAsia="黑体"/>
                <w:color w:val="auto"/>
                <w:szCs w:val="21"/>
                <w:highlight w:val="none"/>
              </w:rPr>
            </w:pPr>
          </w:p>
        </w:tc>
        <w:tc>
          <w:tcPr>
            <w:tcW w:w="3773" w:type="dxa"/>
            <w:gridSpan w:val="4"/>
          </w:tcPr>
          <w:p w14:paraId="332D18EC">
            <w:pPr>
              <w:adjustRightInd w:val="0"/>
              <w:snapToGrid w:val="0"/>
              <w:spacing w:line="560" w:lineRule="exact"/>
              <w:rPr>
                <w:rFonts w:eastAsia="黑体"/>
                <w:color w:val="auto"/>
                <w:szCs w:val="21"/>
                <w:highlight w:val="none"/>
              </w:rPr>
            </w:pPr>
          </w:p>
        </w:tc>
        <w:tc>
          <w:tcPr>
            <w:tcW w:w="1390" w:type="dxa"/>
          </w:tcPr>
          <w:p w14:paraId="3E3E5E55">
            <w:pPr>
              <w:adjustRightInd w:val="0"/>
              <w:snapToGrid w:val="0"/>
              <w:spacing w:line="560" w:lineRule="exact"/>
              <w:rPr>
                <w:rFonts w:eastAsia="黑体"/>
                <w:color w:val="auto"/>
                <w:szCs w:val="21"/>
                <w:highlight w:val="none"/>
              </w:rPr>
            </w:pPr>
          </w:p>
        </w:tc>
        <w:tc>
          <w:tcPr>
            <w:tcW w:w="2533" w:type="dxa"/>
            <w:gridSpan w:val="2"/>
          </w:tcPr>
          <w:p w14:paraId="5CE97EB4">
            <w:pPr>
              <w:adjustRightInd w:val="0"/>
              <w:snapToGrid w:val="0"/>
              <w:spacing w:line="560" w:lineRule="exact"/>
              <w:rPr>
                <w:rFonts w:eastAsia="黑体"/>
                <w:color w:val="auto"/>
                <w:szCs w:val="21"/>
                <w:highlight w:val="none"/>
              </w:rPr>
            </w:pPr>
          </w:p>
        </w:tc>
      </w:tr>
      <w:tr w14:paraId="2965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5CB5C34">
            <w:pPr>
              <w:adjustRightInd w:val="0"/>
              <w:snapToGrid w:val="0"/>
              <w:spacing w:line="560" w:lineRule="exact"/>
              <w:rPr>
                <w:rFonts w:eastAsia="黑体"/>
                <w:color w:val="auto"/>
                <w:szCs w:val="21"/>
                <w:highlight w:val="none"/>
              </w:rPr>
            </w:pPr>
          </w:p>
        </w:tc>
        <w:tc>
          <w:tcPr>
            <w:tcW w:w="3773" w:type="dxa"/>
            <w:gridSpan w:val="4"/>
          </w:tcPr>
          <w:p w14:paraId="14D9D97A">
            <w:pPr>
              <w:adjustRightInd w:val="0"/>
              <w:snapToGrid w:val="0"/>
              <w:spacing w:line="560" w:lineRule="exact"/>
              <w:rPr>
                <w:rFonts w:eastAsia="黑体"/>
                <w:color w:val="auto"/>
                <w:szCs w:val="21"/>
                <w:highlight w:val="none"/>
              </w:rPr>
            </w:pPr>
          </w:p>
        </w:tc>
        <w:tc>
          <w:tcPr>
            <w:tcW w:w="1390" w:type="dxa"/>
          </w:tcPr>
          <w:p w14:paraId="2F3150A6">
            <w:pPr>
              <w:adjustRightInd w:val="0"/>
              <w:snapToGrid w:val="0"/>
              <w:spacing w:line="560" w:lineRule="exact"/>
              <w:rPr>
                <w:rFonts w:eastAsia="黑体"/>
                <w:color w:val="auto"/>
                <w:szCs w:val="21"/>
                <w:highlight w:val="none"/>
              </w:rPr>
            </w:pPr>
          </w:p>
        </w:tc>
        <w:tc>
          <w:tcPr>
            <w:tcW w:w="2533" w:type="dxa"/>
            <w:gridSpan w:val="2"/>
          </w:tcPr>
          <w:p w14:paraId="7EA8EF8A">
            <w:pPr>
              <w:adjustRightInd w:val="0"/>
              <w:snapToGrid w:val="0"/>
              <w:spacing w:line="560" w:lineRule="exact"/>
              <w:rPr>
                <w:rFonts w:eastAsia="黑体"/>
                <w:color w:val="auto"/>
                <w:szCs w:val="21"/>
                <w:highlight w:val="none"/>
              </w:rPr>
            </w:pPr>
          </w:p>
        </w:tc>
      </w:tr>
      <w:tr w14:paraId="33D9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69C29C22">
            <w:pPr>
              <w:adjustRightInd w:val="0"/>
              <w:snapToGrid w:val="0"/>
              <w:spacing w:line="560" w:lineRule="exact"/>
              <w:rPr>
                <w:rFonts w:eastAsia="黑体"/>
                <w:color w:val="auto"/>
                <w:szCs w:val="21"/>
                <w:highlight w:val="none"/>
              </w:rPr>
            </w:pPr>
          </w:p>
        </w:tc>
        <w:tc>
          <w:tcPr>
            <w:tcW w:w="3773" w:type="dxa"/>
            <w:gridSpan w:val="4"/>
          </w:tcPr>
          <w:p w14:paraId="0465FC7C">
            <w:pPr>
              <w:adjustRightInd w:val="0"/>
              <w:snapToGrid w:val="0"/>
              <w:spacing w:line="560" w:lineRule="exact"/>
              <w:rPr>
                <w:rFonts w:eastAsia="黑体"/>
                <w:color w:val="auto"/>
                <w:szCs w:val="21"/>
                <w:highlight w:val="none"/>
              </w:rPr>
            </w:pPr>
          </w:p>
        </w:tc>
        <w:tc>
          <w:tcPr>
            <w:tcW w:w="1390" w:type="dxa"/>
          </w:tcPr>
          <w:p w14:paraId="6E297CE6">
            <w:pPr>
              <w:adjustRightInd w:val="0"/>
              <w:snapToGrid w:val="0"/>
              <w:spacing w:line="560" w:lineRule="exact"/>
              <w:rPr>
                <w:rFonts w:eastAsia="黑体"/>
                <w:color w:val="auto"/>
                <w:szCs w:val="21"/>
                <w:highlight w:val="none"/>
              </w:rPr>
            </w:pPr>
          </w:p>
        </w:tc>
        <w:tc>
          <w:tcPr>
            <w:tcW w:w="2533" w:type="dxa"/>
            <w:gridSpan w:val="2"/>
          </w:tcPr>
          <w:p w14:paraId="7B196064">
            <w:pPr>
              <w:adjustRightInd w:val="0"/>
              <w:snapToGrid w:val="0"/>
              <w:spacing w:line="560" w:lineRule="exact"/>
              <w:rPr>
                <w:rFonts w:eastAsia="黑体"/>
                <w:color w:val="auto"/>
                <w:szCs w:val="21"/>
                <w:highlight w:val="none"/>
              </w:rPr>
            </w:pPr>
          </w:p>
        </w:tc>
      </w:tr>
    </w:tbl>
    <w:p w14:paraId="7DF5B57F">
      <w:pPr>
        <w:pStyle w:val="4"/>
        <w:adjustRightInd w:val="0"/>
        <w:snapToGrid w:val="0"/>
        <w:spacing w:line="560" w:lineRule="exact"/>
        <w:jc w:val="center"/>
        <w:rPr>
          <w:color w:val="auto"/>
          <w:highlight w:val="none"/>
        </w:rPr>
      </w:pPr>
      <w:r>
        <w:rPr>
          <w:rFonts w:hint="eastAsia"/>
          <w:color w:val="auto"/>
          <w:highlight w:val="none"/>
        </w:rPr>
        <w:t>（7）其他资格审查资料</w:t>
      </w:r>
      <w:bookmarkEnd w:id="852"/>
    </w:p>
    <w:p w14:paraId="42113993">
      <w:pPr>
        <w:adjustRightInd w:val="0"/>
        <w:snapToGrid w:val="0"/>
        <w:spacing w:line="560" w:lineRule="exact"/>
        <w:jc w:val="center"/>
        <w:rPr>
          <w:color w:val="auto"/>
          <w:highlight w:val="none"/>
        </w:rPr>
      </w:pPr>
      <w:r>
        <w:rPr>
          <w:rFonts w:hint="eastAsia"/>
          <w:color w:val="auto"/>
          <w:highlight w:val="none"/>
        </w:rPr>
        <w:t>可扩展填写</w:t>
      </w:r>
    </w:p>
    <w:p w14:paraId="03717FAB">
      <w:pPr>
        <w:adjustRightInd w:val="0"/>
        <w:snapToGrid w:val="0"/>
        <w:spacing w:line="560" w:lineRule="exact"/>
        <w:rPr>
          <w:b/>
          <w:color w:val="auto"/>
          <w:sz w:val="28"/>
          <w:szCs w:val="28"/>
          <w:highlight w:val="none"/>
        </w:rPr>
      </w:pPr>
      <w:bookmarkStart w:id="853" w:name="_Toc484173797"/>
      <w:bookmarkStart w:id="854" w:name="_Toc60061581"/>
      <w:bookmarkStart w:id="855" w:name="_Toc58229121"/>
      <w:bookmarkStart w:id="856" w:name="_Toc15058940"/>
      <w:bookmarkStart w:id="857" w:name="_Toc506107353"/>
      <w:bookmarkStart w:id="858" w:name="_Toc499804616"/>
      <w:bookmarkStart w:id="859" w:name="_Toc11719"/>
      <w:bookmarkStart w:id="860" w:name="_Toc324404893"/>
    </w:p>
    <w:p w14:paraId="45A282A5">
      <w:pPr>
        <w:adjustRightInd w:val="0"/>
        <w:snapToGrid w:val="0"/>
        <w:spacing w:line="560" w:lineRule="exact"/>
        <w:jc w:val="center"/>
        <w:rPr>
          <w:rFonts w:ascii="宋体"/>
          <w:b/>
          <w:color w:val="auto"/>
          <w:sz w:val="28"/>
          <w:szCs w:val="28"/>
          <w:highlight w:val="none"/>
        </w:rPr>
      </w:pPr>
      <w:r>
        <w:rPr>
          <w:rFonts w:hint="eastAsia"/>
          <w:b/>
          <w:color w:val="auto"/>
          <w:sz w:val="28"/>
          <w:szCs w:val="28"/>
          <w:highlight w:val="none"/>
        </w:rPr>
        <w:t>①法定代表人身份证</w:t>
      </w:r>
      <w:bookmarkEnd w:id="853"/>
      <w:bookmarkEnd w:id="854"/>
      <w:bookmarkEnd w:id="855"/>
      <w:bookmarkEnd w:id="856"/>
      <w:bookmarkEnd w:id="857"/>
      <w:bookmarkEnd w:id="858"/>
      <w:r>
        <w:rPr>
          <w:rFonts w:hint="eastAsia"/>
          <w:b/>
          <w:color w:val="auto"/>
          <w:sz w:val="28"/>
          <w:szCs w:val="28"/>
          <w:highlight w:val="none"/>
        </w:rPr>
        <w:t>明或授权委托书</w:t>
      </w:r>
      <w:bookmarkEnd w:id="778"/>
      <w:bookmarkEnd w:id="779"/>
      <w:bookmarkEnd w:id="780"/>
      <w:bookmarkEnd w:id="781"/>
      <w:bookmarkEnd w:id="782"/>
      <w:bookmarkEnd w:id="783"/>
      <w:bookmarkEnd w:id="784"/>
      <w:bookmarkEnd w:id="785"/>
      <w:bookmarkEnd w:id="859"/>
      <w:bookmarkEnd w:id="860"/>
    </w:p>
    <w:p w14:paraId="07405E7C">
      <w:pPr>
        <w:pStyle w:val="39"/>
        <w:adjustRightInd w:val="0"/>
        <w:snapToGrid w:val="0"/>
        <w:spacing w:line="560" w:lineRule="exact"/>
        <w:rPr>
          <w:rFonts w:ascii="宋体"/>
          <w:b/>
          <w:color w:val="auto"/>
          <w:sz w:val="30"/>
          <w:szCs w:val="30"/>
          <w:highlight w:val="none"/>
        </w:rPr>
      </w:pPr>
      <w:r>
        <w:rPr>
          <w:rFonts w:hint="eastAsia" w:ascii="宋体"/>
          <w:color w:val="auto"/>
          <w:sz w:val="30"/>
          <w:szCs w:val="30"/>
          <w:highlight w:val="none"/>
        </w:rPr>
        <w:t>1.法定代表人身份证明</w:t>
      </w:r>
    </w:p>
    <w:p w14:paraId="5DF8657B">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0056139">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BA2782F">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39A83144">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CB37766">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F24BAF1">
      <w:pPr>
        <w:adjustRightInd w:val="0"/>
        <w:snapToGrid w:val="0"/>
        <w:spacing w:line="560" w:lineRule="exact"/>
        <w:jc w:val="left"/>
        <w:rPr>
          <w:rFonts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_，系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14:paraId="6CFE7AFA">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特此证明。</w:t>
      </w:r>
    </w:p>
    <w:p w14:paraId="7013A43A">
      <w:pPr>
        <w:adjustRightInd w:val="0"/>
        <w:snapToGrid w:val="0"/>
        <w:spacing w:line="560" w:lineRule="exact"/>
        <w:rPr>
          <w:rFonts w:ascii="宋体"/>
          <w:color w:val="auto"/>
          <w:sz w:val="28"/>
          <w:szCs w:val="28"/>
          <w:highlight w:val="none"/>
        </w:rPr>
      </w:pPr>
    </w:p>
    <w:p w14:paraId="62870392">
      <w:pPr>
        <w:adjustRightInd w:val="0"/>
        <w:snapToGrid w:val="0"/>
        <w:spacing w:line="560" w:lineRule="exact"/>
        <w:rPr>
          <w:rFonts w:ascii="宋体"/>
          <w:color w:val="auto"/>
          <w:sz w:val="28"/>
          <w:szCs w:val="28"/>
          <w:highlight w:val="none"/>
        </w:rPr>
      </w:pPr>
    </w:p>
    <w:p w14:paraId="76313A9F">
      <w:pPr>
        <w:adjustRightInd w:val="0"/>
        <w:snapToGrid w:val="0"/>
        <w:spacing w:line="560" w:lineRule="exact"/>
        <w:rPr>
          <w:rFonts w:ascii="宋体"/>
          <w:color w:val="auto"/>
          <w:sz w:val="28"/>
          <w:szCs w:val="28"/>
          <w:highlight w:val="none"/>
        </w:rPr>
      </w:pPr>
    </w:p>
    <w:p w14:paraId="1E612A47">
      <w:pPr>
        <w:adjustRightInd w:val="0"/>
        <w:snapToGrid w:val="0"/>
        <w:spacing w:line="560" w:lineRule="exact"/>
        <w:ind w:firstLine="4340" w:firstLineChars="1550"/>
        <w:rPr>
          <w:rFonts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F164978">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 xml:space="preserve">                                        年    月     日</w:t>
      </w:r>
    </w:p>
    <w:p w14:paraId="7D63CF72">
      <w:pPr>
        <w:adjustRightInd w:val="0"/>
        <w:snapToGrid w:val="0"/>
        <w:spacing w:line="560" w:lineRule="exact"/>
        <w:rPr>
          <w:rFonts w:ascii="宋体"/>
          <w:color w:val="auto"/>
          <w:sz w:val="28"/>
          <w:szCs w:val="28"/>
          <w:highlight w:val="none"/>
        </w:rPr>
      </w:pPr>
    </w:p>
    <w:p w14:paraId="0E52EFA0">
      <w:pPr>
        <w:adjustRightInd w:val="0"/>
        <w:snapToGrid w:val="0"/>
        <w:spacing w:line="560" w:lineRule="exact"/>
        <w:rPr>
          <w:rFonts w:ascii="宋体"/>
          <w:color w:val="auto"/>
          <w:sz w:val="28"/>
          <w:szCs w:val="28"/>
          <w:highlight w:val="none"/>
        </w:rPr>
      </w:pPr>
    </w:p>
    <w:p w14:paraId="56CEC748">
      <w:pPr>
        <w:pStyle w:val="39"/>
        <w:adjustRightInd w:val="0"/>
        <w:snapToGrid w:val="0"/>
        <w:spacing w:line="560" w:lineRule="exact"/>
        <w:rPr>
          <w:rFonts w:ascii="宋体"/>
          <w:color w:val="auto"/>
          <w:sz w:val="30"/>
          <w:szCs w:val="30"/>
          <w:highlight w:val="none"/>
        </w:rPr>
      </w:pPr>
    </w:p>
    <w:p w14:paraId="6B3AB05D">
      <w:pPr>
        <w:rPr>
          <w:color w:val="auto"/>
          <w:highlight w:val="none"/>
        </w:rPr>
      </w:pPr>
    </w:p>
    <w:p w14:paraId="39FA7333">
      <w:pPr>
        <w:pStyle w:val="22"/>
        <w:ind w:left="0" w:leftChars="0" w:firstLine="0" w:firstLineChars="0"/>
        <w:rPr>
          <w:color w:val="auto"/>
          <w:highlight w:val="none"/>
        </w:rPr>
      </w:pPr>
    </w:p>
    <w:p w14:paraId="6D6B01E2">
      <w:pPr>
        <w:rPr>
          <w:rFonts w:ascii="宋体"/>
          <w:color w:val="auto"/>
          <w:sz w:val="30"/>
          <w:szCs w:val="30"/>
          <w:highlight w:val="none"/>
        </w:rPr>
      </w:pPr>
      <w:r>
        <w:rPr>
          <w:rFonts w:hint="eastAsia" w:ascii="宋体"/>
          <w:color w:val="auto"/>
          <w:sz w:val="30"/>
          <w:szCs w:val="30"/>
          <w:highlight w:val="none"/>
        </w:rPr>
        <w:br w:type="page"/>
      </w:r>
    </w:p>
    <w:p w14:paraId="67985641">
      <w:pPr>
        <w:pStyle w:val="39"/>
        <w:adjustRightInd w:val="0"/>
        <w:snapToGrid w:val="0"/>
        <w:spacing w:line="560" w:lineRule="exact"/>
        <w:rPr>
          <w:rFonts w:ascii="宋体"/>
          <w:color w:val="auto"/>
          <w:sz w:val="30"/>
          <w:szCs w:val="30"/>
          <w:highlight w:val="none"/>
        </w:rPr>
      </w:pPr>
      <w:r>
        <w:rPr>
          <w:rFonts w:hint="eastAsia" w:ascii="宋体"/>
          <w:color w:val="auto"/>
          <w:sz w:val="30"/>
          <w:szCs w:val="30"/>
          <w:highlight w:val="none"/>
        </w:rPr>
        <w:t>2. 授权委托书</w:t>
      </w:r>
    </w:p>
    <w:p w14:paraId="734F8E37">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14:paraId="7A575595">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3762E726">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代理人无转委托权。</w:t>
      </w:r>
    </w:p>
    <w:p w14:paraId="56E74EB8">
      <w:pPr>
        <w:adjustRightInd w:val="0"/>
        <w:snapToGrid w:val="0"/>
        <w:spacing w:line="560" w:lineRule="exact"/>
        <w:ind w:firstLine="560" w:firstLineChars="200"/>
        <w:rPr>
          <w:rFonts w:ascii="宋体"/>
          <w:b/>
          <w:color w:val="auto"/>
          <w:sz w:val="28"/>
          <w:szCs w:val="28"/>
          <w:highlight w:val="none"/>
        </w:rPr>
      </w:pPr>
      <w:r>
        <w:rPr>
          <w:rFonts w:hint="eastAsia" w:ascii="宋体"/>
          <w:color w:val="auto"/>
          <w:sz w:val="28"/>
          <w:szCs w:val="28"/>
          <w:highlight w:val="none"/>
        </w:rPr>
        <w:t>附：</w:t>
      </w:r>
      <w:r>
        <w:rPr>
          <w:rFonts w:hint="eastAsia" w:ascii="宋体"/>
          <w:b/>
          <w:color w:val="auto"/>
          <w:sz w:val="28"/>
          <w:szCs w:val="28"/>
          <w:highlight w:val="none"/>
        </w:rPr>
        <w:t>委托代理人有效身份证扫描件</w:t>
      </w:r>
    </w:p>
    <w:p w14:paraId="3A45725C">
      <w:pPr>
        <w:adjustRightInd w:val="0"/>
        <w:snapToGrid w:val="0"/>
        <w:spacing w:line="560" w:lineRule="exact"/>
        <w:ind w:firstLine="1116" w:firstLineChars="397"/>
        <w:rPr>
          <w:rFonts w:ascii="宋体"/>
          <w:b/>
          <w:color w:val="auto"/>
          <w:sz w:val="28"/>
          <w:szCs w:val="28"/>
          <w:highlight w:val="none"/>
        </w:rPr>
      </w:pPr>
      <w:r>
        <w:rPr>
          <w:rFonts w:hint="eastAsia" w:ascii="宋体"/>
          <w:b/>
          <w:color w:val="auto"/>
          <w:sz w:val="28"/>
          <w:szCs w:val="28"/>
          <w:highlight w:val="none"/>
        </w:rPr>
        <w:t>法定代表人有效身份证扫描件</w:t>
      </w:r>
    </w:p>
    <w:p w14:paraId="7547AE78">
      <w:pPr>
        <w:adjustRightInd w:val="0"/>
        <w:snapToGrid w:val="0"/>
        <w:spacing w:line="560" w:lineRule="exact"/>
        <w:ind w:firstLine="560" w:firstLineChars="200"/>
        <w:rPr>
          <w:rFonts w:ascii="宋体"/>
          <w:color w:val="auto"/>
          <w:sz w:val="28"/>
          <w:szCs w:val="28"/>
          <w:highlight w:val="none"/>
        </w:rPr>
      </w:pPr>
    </w:p>
    <w:p w14:paraId="3BA6C4D9">
      <w:pPr>
        <w:adjustRightInd w:val="0"/>
        <w:snapToGrid w:val="0"/>
        <w:spacing w:line="560" w:lineRule="exact"/>
        <w:ind w:firstLine="200"/>
        <w:rPr>
          <w:rFonts w:ascii="宋体"/>
          <w:color w:val="auto"/>
          <w:sz w:val="28"/>
          <w:szCs w:val="28"/>
          <w:highlight w:val="none"/>
        </w:rPr>
      </w:pPr>
      <w:r>
        <w:rPr>
          <w:rFonts w:hint="eastAsia" w:ascii="宋体"/>
          <w:color w:val="auto"/>
          <w:sz w:val="28"/>
          <w:szCs w:val="28"/>
          <w:highlight w:val="none"/>
        </w:rPr>
        <w:t xml:space="preserve">                           投标人（签章）：</w:t>
      </w:r>
    </w:p>
    <w:p w14:paraId="1E2A7808">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法定代表人（身份证号码）：             （签章）</w:t>
      </w:r>
    </w:p>
    <w:p w14:paraId="757EAD09">
      <w:pPr>
        <w:pStyle w:val="22"/>
        <w:rPr>
          <w:rFonts w:ascii="宋体"/>
          <w:color w:val="auto"/>
          <w:sz w:val="28"/>
          <w:szCs w:val="28"/>
          <w:highlight w:val="none"/>
        </w:rPr>
      </w:pPr>
      <w:r>
        <w:rPr>
          <w:rFonts w:hint="eastAsia"/>
          <w:color w:val="auto"/>
          <w:highlight w:val="none"/>
        </w:rPr>
        <w:t xml:space="preserve">                                 </w:t>
      </w:r>
      <w:r>
        <w:rPr>
          <w:rFonts w:hint="eastAsia" w:ascii="宋体"/>
          <w:color w:val="auto"/>
          <w:sz w:val="28"/>
          <w:szCs w:val="28"/>
          <w:highlight w:val="none"/>
        </w:rPr>
        <w:t xml:space="preserve">    联系方式：</w:t>
      </w:r>
    </w:p>
    <w:p w14:paraId="48D763FC">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 xml:space="preserve">委托代理人（身份证号码）：      </w:t>
      </w:r>
    </w:p>
    <w:p w14:paraId="296CEB75">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 xml:space="preserve">                联系方式：</w:t>
      </w:r>
    </w:p>
    <w:p w14:paraId="54B60B11">
      <w:pPr>
        <w:adjustRightInd w:val="0"/>
        <w:snapToGrid w:val="0"/>
        <w:spacing w:line="560" w:lineRule="exact"/>
        <w:ind w:firstLine="3290" w:firstLineChars="1175"/>
        <w:rPr>
          <w:rFonts w:ascii="宋体"/>
          <w:color w:val="auto"/>
          <w:sz w:val="28"/>
          <w:szCs w:val="28"/>
          <w:highlight w:val="none"/>
        </w:rPr>
      </w:pPr>
      <w:r>
        <w:rPr>
          <w:rFonts w:hint="eastAsia" w:ascii="宋体"/>
          <w:color w:val="auto"/>
          <w:sz w:val="28"/>
          <w:szCs w:val="28"/>
          <w:highlight w:val="none"/>
        </w:rPr>
        <w:t xml:space="preserve">              年    月    日</w:t>
      </w:r>
    </w:p>
    <w:p w14:paraId="62E90AE0">
      <w:pPr>
        <w:pStyle w:val="22"/>
        <w:rPr>
          <w:color w:val="auto"/>
          <w:highlight w:val="none"/>
        </w:rPr>
      </w:pPr>
    </w:p>
    <w:p w14:paraId="41CEA09B">
      <w:pPr>
        <w:adjustRightInd w:val="0"/>
        <w:snapToGrid w:val="0"/>
        <w:spacing w:line="560" w:lineRule="exact"/>
        <w:rPr>
          <w:b/>
          <w:color w:val="auto"/>
          <w:sz w:val="28"/>
          <w:szCs w:val="28"/>
          <w:highlight w:val="none"/>
        </w:rPr>
      </w:pPr>
      <w:r>
        <w:rPr>
          <w:rFonts w:hint="eastAsia"/>
          <w:b/>
          <w:color w:val="auto"/>
          <w:sz w:val="28"/>
          <w:szCs w:val="28"/>
          <w:highlight w:val="none"/>
          <w:u w:val="single"/>
        </w:rPr>
        <w:t>（上传电子投标文件时采用本授权委托书）</w:t>
      </w:r>
    </w:p>
    <w:p w14:paraId="19A991A6">
      <w:pPr>
        <w:rPr>
          <w:b/>
          <w:color w:val="auto"/>
          <w:sz w:val="28"/>
          <w:szCs w:val="28"/>
          <w:highlight w:val="none"/>
        </w:rPr>
      </w:pPr>
      <w:r>
        <w:rPr>
          <w:rFonts w:hint="eastAsia"/>
          <w:b/>
          <w:color w:val="auto"/>
          <w:sz w:val="28"/>
          <w:szCs w:val="28"/>
          <w:highlight w:val="none"/>
        </w:rPr>
        <w:br w:type="page"/>
      </w:r>
    </w:p>
    <w:p w14:paraId="7E57D4DD">
      <w:pPr>
        <w:adjustRightInd w:val="0"/>
        <w:snapToGrid w:val="0"/>
        <w:spacing w:line="560" w:lineRule="exact"/>
        <w:jc w:val="center"/>
        <w:rPr>
          <w:b/>
          <w:color w:val="auto"/>
          <w:sz w:val="28"/>
          <w:szCs w:val="28"/>
          <w:highlight w:val="none"/>
        </w:rPr>
      </w:pPr>
      <w:r>
        <w:rPr>
          <w:rFonts w:hint="eastAsia"/>
          <w:b/>
          <w:color w:val="auto"/>
          <w:sz w:val="28"/>
          <w:szCs w:val="28"/>
          <w:highlight w:val="none"/>
        </w:rPr>
        <w:t>②诚信投标承诺书  </w:t>
      </w:r>
    </w:p>
    <w:p w14:paraId="57A51F04">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9A8B9CC">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861" w:name="_Toc506107356"/>
      <w:bookmarkStart w:id="862" w:name="_Toc503196197"/>
      <w:bookmarkStart w:id="863" w:name="_Toc26598"/>
      <w:r>
        <w:rPr>
          <w:rFonts w:hint="eastAsia" w:ascii="宋体" w:hAnsi="宋体"/>
          <w:color w:val="auto"/>
          <w:szCs w:val="21"/>
          <w:highlight w:val="none"/>
        </w:rPr>
        <w:t>开、公正和诚实信用</w:t>
      </w:r>
      <w:bookmarkEnd w:id="861"/>
      <w:bookmarkEnd w:id="862"/>
      <w:r>
        <w:rPr>
          <w:rFonts w:hint="eastAsia" w:ascii="宋体" w:hAnsi="宋体"/>
          <w:color w:val="auto"/>
          <w:szCs w:val="21"/>
          <w:highlight w:val="none"/>
        </w:rPr>
        <w:t>的</w:t>
      </w:r>
      <w:bookmarkEnd w:id="863"/>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81524D2">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8D6B6CC">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3BEAA26">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81055B1">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22E62C5">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864" w:name="OLE_LINK133"/>
      <w:bookmarkStart w:id="865"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864"/>
      <w:bookmarkEnd w:id="865"/>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421A5427">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23B14C7">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0F052667">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8CA88AA">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09D410B">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FA4727E">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89902A3">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B8D06B3">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69144EB2">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3BC1CFF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3B2962B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6973DD2F">
      <w:pPr>
        <w:pStyle w:val="22"/>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435E193">
      <w:pPr>
        <w:pStyle w:val="22"/>
        <w:ind w:left="0" w:leftChars="0" w:firstLine="0" w:firstLineChars="0"/>
        <w:rPr>
          <w:color w:val="auto"/>
          <w:highlight w:val="none"/>
        </w:rPr>
      </w:pPr>
    </w:p>
    <w:p w14:paraId="4265AAAA">
      <w:pPr>
        <w:rPr>
          <w:color w:val="auto"/>
          <w:highlight w:val="none"/>
        </w:rPr>
      </w:pPr>
    </w:p>
    <w:p w14:paraId="4455F3B1">
      <w:pPr>
        <w:adjustRightInd w:val="0"/>
        <w:snapToGrid w:val="0"/>
        <w:spacing w:line="560" w:lineRule="exact"/>
        <w:jc w:val="center"/>
        <w:rPr>
          <w:b/>
          <w:color w:val="auto"/>
          <w:sz w:val="28"/>
          <w:szCs w:val="28"/>
          <w:highlight w:val="none"/>
        </w:rPr>
      </w:pPr>
      <w:r>
        <w:rPr>
          <w:rFonts w:hint="eastAsia"/>
          <w:b/>
          <w:color w:val="auto"/>
          <w:sz w:val="28"/>
          <w:szCs w:val="28"/>
          <w:highlight w:val="none"/>
        </w:rPr>
        <w:t>②公共信用信息报告（无违法违规证明版或核查版））</w:t>
      </w:r>
    </w:p>
    <w:p w14:paraId="46DA906F">
      <w:pPr>
        <w:pStyle w:val="22"/>
        <w:spacing w:line="560" w:lineRule="exact"/>
        <w:ind w:left="0" w:leftChars="0"/>
        <w:rPr>
          <w:rFonts w:ascii="宋体" w:hAnsi="宋体"/>
          <w:color w:val="auto"/>
          <w:szCs w:val="21"/>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Style w:val="33"/>
          <w:rFonts w:ascii="宋体" w:hAnsi="宋体"/>
          <w:color w:val="auto"/>
          <w:szCs w:val="21"/>
          <w:highlight w:val="none"/>
        </w:rPr>
        <w:t>https://credit.ah.gov.cn/xinyongfuwu/index.html</w:t>
      </w:r>
      <w:r>
        <w:rPr>
          <w:rStyle w:val="33"/>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7FABAB0B">
      <w:pPr>
        <w:pStyle w:val="22"/>
        <w:ind w:left="0" w:leftChars="0" w:firstLine="0" w:firstLineChars="0"/>
        <w:rPr>
          <w:color w:val="auto"/>
          <w:highlight w:val="none"/>
        </w:rPr>
      </w:pPr>
      <w:r>
        <w:rPr>
          <w:rFonts w:hint="eastAsia"/>
          <w:color w:val="auto"/>
          <w:highlight w:val="none"/>
        </w:rPr>
        <w:br w:type="page"/>
      </w:r>
    </w:p>
    <w:p w14:paraId="2A2C6A0C">
      <w:pPr>
        <w:pStyle w:val="22"/>
        <w:rPr>
          <w:color w:val="auto"/>
          <w:highlight w:val="none"/>
        </w:rPr>
      </w:pPr>
    </w:p>
    <w:p w14:paraId="2DCA2A3C">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0946E71E">
      <w:pPr>
        <w:adjustRightInd w:val="0"/>
        <w:snapToGrid w:val="0"/>
        <w:spacing w:line="560" w:lineRule="exact"/>
        <w:jc w:val="center"/>
        <w:rPr>
          <w:rFonts w:eastAsia="黑体"/>
          <w:color w:val="auto"/>
          <w:sz w:val="20"/>
          <w:szCs w:val="20"/>
          <w:highlight w:val="none"/>
        </w:rPr>
      </w:pPr>
    </w:p>
    <w:p w14:paraId="55A336AA">
      <w:pPr>
        <w:adjustRightInd w:val="0"/>
        <w:snapToGrid w:val="0"/>
        <w:spacing w:line="560" w:lineRule="exact"/>
        <w:rPr>
          <w:rFonts w:eastAsia="黑体"/>
          <w:color w:val="auto"/>
          <w:sz w:val="20"/>
          <w:szCs w:val="20"/>
          <w:highlight w:val="none"/>
        </w:rPr>
      </w:pPr>
    </w:p>
    <w:p w14:paraId="08B21809">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52691B1B">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（技术标文件）</w:t>
      </w:r>
    </w:p>
    <w:p w14:paraId="38524F95">
      <w:pPr>
        <w:adjustRightInd w:val="0"/>
        <w:snapToGrid w:val="0"/>
        <w:spacing w:line="560" w:lineRule="exact"/>
        <w:rPr>
          <w:rFonts w:eastAsia="黑体"/>
          <w:color w:val="auto"/>
          <w:sz w:val="28"/>
          <w:szCs w:val="28"/>
          <w:highlight w:val="none"/>
        </w:rPr>
      </w:pPr>
    </w:p>
    <w:p w14:paraId="0E25CAB3">
      <w:pPr>
        <w:adjustRightInd w:val="0"/>
        <w:snapToGrid w:val="0"/>
        <w:spacing w:line="560" w:lineRule="exact"/>
        <w:rPr>
          <w:rFonts w:eastAsia="黑体"/>
          <w:color w:val="auto"/>
          <w:sz w:val="28"/>
          <w:szCs w:val="28"/>
          <w:highlight w:val="none"/>
        </w:rPr>
      </w:pPr>
    </w:p>
    <w:p w14:paraId="220AC6C8">
      <w:pPr>
        <w:adjustRightInd w:val="0"/>
        <w:snapToGrid w:val="0"/>
        <w:spacing w:line="560" w:lineRule="exact"/>
        <w:rPr>
          <w:rFonts w:eastAsia="黑体"/>
          <w:color w:val="auto"/>
          <w:sz w:val="28"/>
          <w:szCs w:val="28"/>
          <w:highlight w:val="none"/>
        </w:rPr>
      </w:pPr>
    </w:p>
    <w:p w14:paraId="2F430FF5">
      <w:pPr>
        <w:adjustRightInd w:val="0"/>
        <w:snapToGrid w:val="0"/>
        <w:spacing w:line="560" w:lineRule="exact"/>
        <w:rPr>
          <w:rFonts w:eastAsia="黑体"/>
          <w:color w:val="auto"/>
          <w:sz w:val="28"/>
          <w:szCs w:val="28"/>
          <w:highlight w:val="none"/>
        </w:rPr>
      </w:pPr>
    </w:p>
    <w:p w14:paraId="607FB8E0">
      <w:pPr>
        <w:adjustRightInd w:val="0"/>
        <w:snapToGrid w:val="0"/>
        <w:spacing w:line="560" w:lineRule="exact"/>
        <w:rPr>
          <w:rFonts w:eastAsia="黑体"/>
          <w:color w:val="auto"/>
          <w:sz w:val="28"/>
          <w:szCs w:val="28"/>
          <w:highlight w:val="none"/>
        </w:rPr>
      </w:pPr>
    </w:p>
    <w:p w14:paraId="4238B38F">
      <w:pPr>
        <w:pStyle w:val="22"/>
        <w:rPr>
          <w:color w:val="auto"/>
          <w:highlight w:val="none"/>
        </w:rPr>
      </w:pPr>
    </w:p>
    <w:p w14:paraId="739BE570">
      <w:pPr>
        <w:rPr>
          <w:color w:val="auto"/>
          <w:highlight w:val="none"/>
        </w:rPr>
      </w:pPr>
    </w:p>
    <w:p w14:paraId="7A37D8BB">
      <w:pPr>
        <w:adjustRightInd w:val="0"/>
        <w:snapToGrid w:val="0"/>
        <w:spacing w:line="560" w:lineRule="exact"/>
        <w:rPr>
          <w:rFonts w:eastAsia="黑体"/>
          <w:color w:val="auto"/>
          <w:sz w:val="28"/>
          <w:szCs w:val="28"/>
          <w:highlight w:val="none"/>
        </w:rPr>
      </w:pPr>
    </w:p>
    <w:p w14:paraId="0ADE93CB">
      <w:pPr>
        <w:pStyle w:val="22"/>
        <w:adjustRightInd w:val="0"/>
        <w:snapToGrid w:val="0"/>
        <w:spacing w:line="560" w:lineRule="exact"/>
        <w:ind w:left="0" w:leftChars="0" w:firstLine="560"/>
        <w:rPr>
          <w:rFonts w:eastAsia="黑体"/>
          <w:color w:val="auto"/>
          <w:sz w:val="28"/>
          <w:szCs w:val="28"/>
          <w:highlight w:val="none"/>
        </w:rPr>
      </w:pPr>
    </w:p>
    <w:p w14:paraId="32620DD3">
      <w:pPr>
        <w:adjustRightInd w:val="0"/>
        <w:snapToGrid w:val="0"/>
        <w:spacing w:line="560" w:lineRule="exact"/>
        <w:rPr>
          <w:rFonts w:eastAsia="黑体"/>
          <w:color w:val="auto"/>
          <w:sz w:val="28"/>
          <w:szCs w:val="28"/>
          <w:highlight w:val="none"/>
        </w:rPr>
      </w:pPr>
    </w:p>
    <w:p w14:paraId="0B6C3E71">
      <w:pPr>
        <w:pStyle w:val="22"/>
        <w:adjustRightInd w:val="0"/>
        <w:snapToGrid w:val="0"/>
        <w:spacing w:line="560" w:lineRule="exact"/>
        <w:ind w:left="0" w:leftChars="0" w:firstLine="0" w:firstLineChars="0"/>
        <w:rPr>
          <w:rFonts w:eastAsia="黑体"/>
          <w:color w:val="auto"/>
          <w:sz w:val="28"/>
          <w:szCs w:val="28"/>
          <w:highlight w:val="none"/>
        </w:rPr>
      </w:pPr>
    </w:p>
    <w:p w14:paraId="7BA9DC90">
      <w:pPr>
        <w:adjustRightInd w:val="0"/>
        <w:snapToGrid w:val="0"/>
        <w:spacing w:line="560" w:lineRule="exact"/>
        <w:rPr>
          <w:rFonts w:eastAsia="黑体"/>
          <w:color w:val="auto"/>
          <w:sz w:val="28"/>
          <w:szCs w:val="28"/>
          <w:highlight w:val="none"/>
        </w:rPr>
      </w:pPr>
    </w:p>
    <w:p w14:paraId="6531DDB8">
      <w:pPr>
        <w:adjustRightInd w:val="0"/>
        <w:snapToGrid w:val="0"/>
        <w:spacing w:line="560" w:lineRule="exact"/>
        <w:rPr>
          <w:rFonts w:eastAsia="黑体"/>
          <w:color w:val="auto"/>
          <w:sz w:val="28"/>
          <w:szCs w:val="28"/>
          <w:highlight w:val="none"/>
        </w:rPr>
      </w:pPr>
    </w:p>
    <w:p w14:paraId="3454B8D4">
      <w:pPr>
        <w:adjustRightInd w:val="0"/>
        <w:snapToGrid w:val="0"/>
        <w:spacing w:line="560" w:lineRule="exact"/>
        <w:rPr>
          <w:rFonts w:eastAsia="黑体"/>
          <w:color w:val="auto"/>
          <w:sz w:val="28"/>
          <w:szCs w:val="28"/>
          <w:highlight w:val="none"/>
        </w:rPr>
      </w:pPr>
    </w:p>
    <w:p w14:paraId="5B2303AF">
      <w:pPr>
        <w:adjustRightInd w:val="0"/>
        <w:snapToGrid w:val="0"/>
        <w:spacing w:line="560" w:lineRule="exact"/>
        <w:rPr>
          <w:rFonts w:eastAsia="黑体"/>
          <w:color w:val="auto"/>
          <w:sz w:val="28"/>
          <w:szCs w:val="28"/>
          <w:highlight w:val="none"/>
        </w:rPr>
      </w:pPr>
    </w:p>
    <w:p w14:paraId="75F57BE4">
      <w:pPr>
        <w:adjustRightInd w:val="0"/>
        <w:snapToGrid w:val="0"/>
        <w:spacing w:line="560" w:lineRule="exact"/>
        <w:jc w:val="center"/>
        <w:rPr>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E53F2EC">
      <w:pPr>
        <w:pStyle w:val="3"/>
        <w:rPr>
          <w:color w:val="auto"/>
          <w:highlight w:val="none"/>
        </w:rPr>
      </w:pPr>
      <w:bookmarkStart w:id="866" w:name="_Toc95223539"/>
      <w:r>
        <w:rPr>
          <w:rFonts w:hint="eastAsia" w:ascii="仿宋_GB2312" w:eastAsia="仿宋_GB2312"/>
          <w:color w:val="auto"/>
          <w:sz w:val="24"/>
          <w:highlight w:val="none"/>
        </w:rPr>
        <w:br w:type="page"/>
      </w:r>
      <w:r>
        <w:rPr>
          <w:rFonts w:hint="eastAsia"/>
          <w:color w:val="auto"/>
          <w:highlight w:val="none"/>
        </w:rPr>
        <w:t>投标文件二：技术标目录</w:t>
      </w:r>
      <w:bookmarkEnd w:id="866"/>
    </w:p>
    <w:p w14:paraId="132AD1F2">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项目方案</w:t>
      </w:r>
      <w:r>
        <w:rPr>
          <w:rFonts w:hint="eastAsia" w:ascii="宋体" w:hAnsi="宋体" w:cs="宋体"/>
          <w:color w:val="auto"/>
          <w:szCs w:val="21"/>
          <w:highlight w:val="none"/>
        </w:rPr>
        <w:t>；</w:t>
      </w:r>
    </w:p>
    <w:p w14:paraId="1029265E">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（2）整体供货方案；</w:t>
      </w:r>
    </w:p>
    <w:p w14:paraId="1A68221F">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（3）产品质量保证措施；</w:t>
      </w:r>
    </w:p>
    <w:p w14:paraId="00A274B7">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（4）设备系统整合方案；</w:t>
      </w:r>
    </w:p>
    <w:p w14:paraId="246DCC47">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（5）技术服务能力评价；</w:t>
      </w:r>
    </w:p>
    <w:p w14:paraId="589E76E2">
      <w:pPr>
        <w:adjustRightInd w:val="0"/>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（6施工组织设计及调试验收方案；</w:t>
      </w:r>
    </w:p>
    <w:p w14:paraId="00564CE7">
      <w:pPr>
        <w:adjustRightInd w:val="0"/>
        <w:snapToGrid w:val="0"/>
        <w:spacing w:line="5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7）质保服务能力评价。</w:t>
      </w:r>
    </w:p>
    <w:p w14:paraId="37CEBD78">
      <w:pPr>
        <w:adjustRightInd w:val="0"/>
        <w:snapToGrid w:val="0"/>
        <w:spacing w:line="560" w:lineRule="exact"/>
        <w:ind w:firstLine="422" w:firstLineChars="200"/>
        <w:rPr>
          <w:rFonts w:ascii="宋体" w:hAnsi="宋体"/>
          <w:color w:val="auto"/>
          <w:szCs w:val="21"/>
          <w:highlight w:val="none"/>
        </w:rPr>
      </w:pPr>
      <w:r>
        <w:rPr>
          <w:rFonts w:hint="eastAsia" w:ascii="宋体" w:hAnsi="宋体" w:cs="宋体"/>
          <w:b/>
          <w:bCs/>
          <w:color w:val="auto"/>
          <w:szCs w:val="21"/>
          <w:highlight w:val="none"/>
        </w:rPr>
        <w:t>注：本项目采用横向暗标评审，请投标人结合技术标评审细则和系统内容在对应模块上传技术标评审内容。</w:t>
      </w:r>
    </w:p>
    <w:p w14:paraId="5F2FF438">
      <w:pPr>
        <w:adjustRightInd w:val="0"/>
        <w:snapToGrid w:val="0"/>
        <w:spacing w:line="560" w:lineRule="exact"/>
        <w:rPr>
          <w:rFonts w:ascii="宋体" w:hAnsi="宋体"/>
          <w:color w:val="auto"/>
          <w:szCs w:val="21"/>
          <w:highlight w:val="none"/>
        </w:rPr>
      </w:pPr>
    </w:p>
    <w:p w14:paraId="38DC80CC">
      <w:pPr>
        <w:adjustRightInd w:val="0"/>
        <w:snapToGrid w:val="0"/>
        <w:spacing w:line="560" w:lineRule="exact"/>
        <w:rPr>
          <w:rFonts w:ascii="仿宋_GB2312" w:eastAsia="仿宋_GB2312"/>
          <w:color w:val="auto"/>
          <w:szCs w:val="21"/>
          <w:highlight w:val="none"/>
        </w:rPr>
      </w:pPr>
    </w:p>
    <w:p w14:paraId="15E0ECE5">
      <w:pPr>
        <w:adjustRightInd w:val="0"/>
        <w:snapToGrid w:val="0"/>
        <w:spacing w:line="560" w:lineRule="exact"/>
        <w:rPr>
          <w:color w:val="auto"/>
          <w:highlight w:val="none"/>
        </w:rPr>
      </w:pPr>
    </w:p>
    <w:p w14:paraId="51DFADCB">
      <w:pPr>
        <w:adjustRightInd w:val="0"/>
        <w:snapToGrid w:val="0"/>
        <w:spacing w:line="560" w:lineRule="exact"/>
        <w:rPr>
          <w:color w:val="auto"/>
          <w:highlight w:val="none"/>
        </w:rPr>
      </w:pPr>
    </w:p>
    <w:p w14:paraId="54D3520D">
      <w:pPr>
        <w:adjustRightInd w:val="0"/>
        <w:snapToGrid w:val="0"/>
        <w:spacing w:line="560" w:lineRule="exact"/>
        <w:rPr>
          <w:color w:val="auto"/>
          <w:highlight w:val="none"/>
        </w:rPr>
      </w:pPr>
    </w:p>
    <w:p w14:paraId="0F5058B5">
      <w:pPr>
        <w:adjustRightInd w:val="0"/>
        <w:snapToGrid w:val="0"/>
        <w:spacing w:line="560" w:lineRule="exact"/>
        <w:rPr>
          <w:color w:val="auto"/>
          <w:highlight w:val="none"/>
        </w:rPr>
      </w:pPr>
    </w:p>
    <w:p w14:paraId="604E932B">
      <w:pPr>
        <w:adjustRightInd w:val="0"/>
        <w:snapToGrid w:val="0"/>
        <w:spacing w:line="560" w:lineRule="exact"/>
        <w:rPr>
          <w:color w:val="auto"/>
          <w:highlight w:val="none"/>
        </w:rPr>
      </w:pPr>
    </w:p>
    <w:p w14:paraId="30AE4BB1">
      <w:pPr>
        <w:adjustRightInd w:val="0"/>
        <w:snapToGrid w:val="0"/>
        <w:spacing w:line="560" w:lineRule="exact"/>
        <w:rPr>
          <w:color w:val="auto"/>
          <w:highlight w:val="none"/>
        </w:rPr>
      </w:pPr>
    </w:p>
    <w:p w14:paraId="6E37C286">
      <w:pPr>
        <w:pStyle w:val="22"/>
        <w:rPr>
          <w:color w:val="auto"/>
          <w:highlight w:val="none"/>
        </w:rPr>
      </w:pPr>
    </w:p>
    <w:p w14:paraId="764B6458">
      <w:pPr>
        <w:rPr>
          <w:color w:val="auto"/>
          <w:highlight w:val="none"/>
        </w:rPr>
      </w:pPr>
    </w:p>
    <w:p w14:paraId="17CA8558">
      <w:pPr>
        <w:pStyle w:val="22"/>
        <w:rPr>
          <w:color w:val="auto"/>
          <w:highlight w:val="none"/>
        </w:rPr>
      </w:pPr>
    </w:p>
    <w:p w14:paraId="16DB2122">
      <w:pPr>
        <w:adjustRightInd w:val="0"/>
        <w:snapToGrid w:val="0"/>
        <w:spacing w:line="560" w:lineRule="exact"/>
        <w:rPr>
          <w:color w:val="auto"/>
          <w:highlight w:val="none"/>
        </w:rPr>
      </w:pPr>
    </w:p>
    <w:p w14:paraId="6656A621">
      <w:pPr>
        <w:adjustRightInd w:val="0"/>
        <w:snapToGrid w:val="0"/>
        <w:spacing w:line="560" w:lineRule="exact"/>
        <w:rPr>
          <w:color w:val="auto"/>
          <w:highlight w:val="none"/>
        </w:rPr>
      </w:pPr>
    </w:p>
    <w:p w14:paraId="7F08C80E">
      <w:pPr>
        <w:adjustRightInd w:val="0"/>
        <w:snapToGrid w:val="0"/>
        <w:spacing w:line="560" w:lineRule="exact"/>
        <w:rPr>
          <w:color w:val="auto"/>
          <w:highlight w:val="none"/>
        </w:rPr>
      </w:pPr>
    </w:p>
    <w:p w14:paraId="54DCE368">
      <w:pPr>
        <w:rPr>
          <w:color w:val="auto"/>
          <w:highlight w:val="none"/>
        </w:rPr>
      </w:pPr>
    </w:p>
    <w:p w14:paraId="69B8E4F0">
      <w:pPr>
        <w:rPr>
          <w:color w:val="auto"/>
          <w:highlight w:val="none"/>
        </w:rPr>
      </w:pPr>
    </w:p>
    <w:p w14:paraId="10CA9C62">
      <w:pPr>
        <w:pStyle w:val="22"/>
        <w:rPr>
          <w:color w:val="auto"/>
          <w:highlight w:val="none"/>
        </w:rPr>
      </w:pPr>
    </w:p>
    <w:p w14:paraId="5B81BCFB">
      <w:pPr>
        <w:rPr>
          <w:color w:val="auto"/>
          <w:highlight w:val="none"/>
        </w:rPr>
      </w:pPr>
    </w:p>
    <w:p w14:paraId="090AD038">
      <w:pPr>
        <w:pStyle w:val="22"/>
        <w:rPr>
          <w:color w:val="auto"/>
          <w:highlight w:val="none"/>
        </w:rPr>
      </w:pPr>
    </w:p>
    <w:p w14:paraId="019162FE">
      <w:pPr>
        <w:rPr>
          <w:color w:val="auto"/>
          <w:highlight w:val="none"/>
        </w:rPr>
      </w:pPr>
    </w:p>
    <w:p w14:paraId="17402A4D">
      <w:pPr>
        <w:pStyle w:val="22"/>
        <w:rPr>
          <w:color w:val="auto"/>
          <w:highlight w:val="none"/>
        </w:rPr>
      </w:pPr>
    </w:p>
    <w:p w14:paraId="7F9BA530">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037A74B5">
      <w:pPr>
        <w:adjustRightInd w:val="0"/>
        <w:snapToGrid w:val="0"/>
        <w:spacing w:line="560" w:lineRule="exact"/>
        <w:jc w:val="center"/>
        <w:rPr>
          <w:rFonts w:eastAsia="黑体"/>
          <w:color w:val="auto"/>
          <w:sz w:val="20"/>
          <w:szCs w:val="20"/>
          <w:highlight w:val="none"/>
        </w:rPr>
      </w:pPr>
    </w:p>
    <w:p w14:paraId="4A4E91AB">
      <w:pPr>
        <w:adjustRightInd w:val="0"/>
        <w:snapToGrid w:val="0"/>
        <w:spacing w:line="560" w:lineRule="exact"/>
        <w:rPr>
          <w:rFonts w:eastAsia="黑体"/>
          <w:color w:val="auto"/>
          <w:sz w:val="20"/>
          <w:szCs w:val="20"/>
          <w:highlight w:val="none"/>
        </w:rPr>
      </w:pPr>
    </w:p>
    <w:p w14:paraId="17043049">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0E965316">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（商务标文件）</w:t>
      </w:r>
    </w:p>
    <w:p w14:paraId="09ABCD88">
      <w:pPr>
        <w:adjustRightInd w:val="0"/>
        <w:snapToGrid w:val="0"/>
        <w:spacing w:line="560" w:lineRule="exact"/>
        <w:rPr>
          <w:rFonts w:eastAsia="黑体"/>
          <w:color w:val="auto"/>
          <w:sz w:val="28"/>
          <w:szCs w:val="28"/>
          <w:highlight w:val="none"/>
        </w:rPr>
      </w:pPr>
    </w:p>
    <w:p w14:paraId="4C11183D">
      <w:pPr>
        <w:pStyle w:val="22"/>
        <w:adjustRightInd w:val="0"/>
        <w:snapToGrid w:val="0"/>
        <w:spacing w:line="560" w:lineRule="exact"/>
        <w:ind w:left="0" w:leftChars="0" w:firstLine="560"/>
        <w:rPr>
          <w:rFonts w:eastAsia="黑体"/>
          <w:color w:val="auto"/>
          <w:sz w:val="28"/>
          <w:szCs w:val="28"/>
          <w:highlight w:val="none"/>
        </w:rPr>
      </w:pPr>
    </w:p>
    <w:p w14:paraId="56D34875">
      <w:pPr>
        <w:adjustRightInd w:val="0"/>
        <w:snapToGrid w:val="0"/>
        <w:spacing w:line="560" w:lineRule="exact"/>
        <w:rPr>
          <w:rFonts w:eastAsia="黑体"/>
          <w:color w:val="auto"/>
          <w:sz w:val="28"/>
          <w:szCs w:val="28"/>
          <w:highlight w:val="none"/>
        </w:rPr>
      </w:pPr>
    </w:p>
    <w:p w14:paraId="13705E2B">
      <w:pPr>
        <w:pStyle w:val="22"/>
        <w:adjustRightInd w:val="0"/>
        <w:snapToGrid w:val="0"/>
        <w:spacing w:line="560" w:lineRule="exact"/>
        <w:ind w:left="0" w:leftChars="0"/>
        <w:rPr>
          <w:color w:val="auto"/>
          <w:highlight w:val="none"/>
        </w:rPr>
      </w:pPr>
    </w:p>
    <w:p w14:paraId="24643CDE">
      <w:pPr>
        <w:adjustRightInd w:val="0"/>
        <w:snapToGrid w:val="0"/>
        <w:spacing w:line="560" w:lineRule="exact"/>
        <w:rPr>
          <w:rFonts w:eastAsia="黑体"/>
          <w:color w:val="auto"/>
          <w:sz w:val="28"/>
          <w:szCs w:val="28"/>
          <w:highlight w:val="none"/>
        </w:rPr>
      </w:pPr>
    </w:p>
    <w:p w14:paraId="2BC92123">
      <w:pPr>
        <w:adjustRightInd w:val="0"/>
        <w:snapToGrid w:val="0"/>
        <w:spacing w:line="560" w:lineRule="exact"/>
        <w:rPr>
          <w:rFonts w:eastAsia="黑体"/>
          <w:color w:val="auto"/>
          <w:sz w:val="28"/>
          <w:szCs w:val="28"/>
          <w:highlight w:val="none"/>
        </w:rPr>
      </w:pPr>
    </w:p>
    <w:p w14:paraId="70230AC9">
      <w:pPr>
        <w:adjustRightInd w:val="0"/>
        <w:snapToGrid w:val="0"/>
        <w:spacing w:line="560" w:lineRule="exact"/>
        <w:rPr>
          <w:rFonts w:eastAsia="黑体"/>
          <w:color w:val="auto"/>
          <w:sz w:val="28"/>
          <w:szCs w:val="28"/>
          <w:highlight w:val="none"/>
        </w:rPr>
      </w:pPr>
    </w:p>
    <w:p w14:paraId="7ECE441B">
      <w:pPr>
        <w:adjustRightInd w:val="0"/>
        <w:snapToGrid w:val="0"/>
        <w:spacing w:line="560" w:lineRule="exact"/>
        <w:rPr>
          <w:rFonts w:eastAsia="黑体"/>
          <w:color w:val="auto"/>
          <w:sz w:val="28"/>
          <w:szCs w:val="28"/>
          <w:highlight w:val="none"/>
        </w:rPr>
      </w:pPr>
    </w:p>
    <w:p w14:paraId="58345917">
      <w:pPr>
        <w:adjustRightInd w:val="0"/>
        <w:snapToGrid w:val="0"/>
        <w:spacing w:line="560" w:lineRule="exact"/>
        <w:rPr>
          <w:rFonts w:eastAsia="黑体"/>
          <w:color w:val="auto"/>
          <w:sz w:val="28"/>
          <w:szCs w:val="28"/>
          <w:highlight w:val="none"/>
        </w:rPr>
      </w:pPr>
    </w:p>
    <w:p w14:paraId="22E3C365">
      <w:pPr>
        <w:adjustRightInd w:val="0"/>
        <w:snapToGrid w:val="0"/>
        <w:spacing w:line="560" w:lineRule="exact"/>
        <w:rPr>
          <w:rFonts w:eastAsia="黑体"/>
          <w:color w:val="auto"/>
          <w:sz w:val="28"/>
          <w:szCs w:val="28"/>
          <w:highlight w:val="none"/>
        </w:rPr>
      </w:pPr>
    </w:p>
    <w:p w14:paraId="55671F07">
      <w:pPr>
        <w:adjustRightInd w:val="0"/>
        <w:snapToGrid w:val="0"/>
        <w:spacing w:line="560" w:lineRule="exact"/>
        <w:rPr>
          <w:rFonts w:eastAsia="黑体"/>
          <w:color w:val="auto"/>
          <w:sz w:val="28"/>
          <w:szCs w:val="28"/>
          <w:highlight w:val="none"/>
        </w:rPr>
      </w:pPr>
    </w:p>
    <w:p w14:paraId="26209C76">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0D92FD97">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2DDC9F7C">
      <w:pPr>
        <w:adjustRightInd w:val="0"/>
        <w:snapToGrid w:val="0"/>
        <w:spacing w:line="560" w:lineRule="exact"/>
        <w:jc w:val="center"/>
        <w:rPr>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02429F92">
      <w:pPr>
        <w:rPr>
          <w:color w:val="auto"/>
          <w:highlight w:val="none"/>
        </w:rPr>
      </w:pPr>
      <w:bookmarkStart w:id="867" w:name="_Toc95223542"/>
      <w:r>
        <w:rPr>
          <w:rFonts w:hint="eastAsia"/>
          <w:color w:val="auto"/>
          <w:highlight w:val="none"/>
        </w:rPr>
        <w:br w:type="page"/>
      </w:r>
    </w:p>
    <w:p w14:paraId="5531C46D">
      <w:pPr>
        <w:pStyle w:val="3"/>
        <w:rPr>
          <w:color w:val="auto"/>
          <w:highlight w:val="none"/>
        </w:rPr>
      </w:pPr>
      <w:r>
        <w:rPr>
          <w:rFonts w:hint="eastAsia"/>
          <w:color w:val="auto"/>
          <w:highlight w:val="none"/>
        </w:rPr>
        <w:t>投标文件三：商务标目录</w:t>
      </w:r>
      <w:bookmarkEnd w:id="867"/>
    </w:p>
    <w:p w14:paraId="59D2F68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w:t>
      </w:r>
    </w:p>
    <w:p w14:paraId="093DE35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（2）招标人参考的材料品牌响应表；</w:t>
      </w:r>
    </w:p>
    <w:p w14:paraId="16ACD85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）技术参数响应承诺书；</w:t>
      </w:r>
    </w:p>
    <w:p w14:paraId="7D8E2EAC">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）全国建筑市场监管公共服务平台(四库一平台)企业注册人员网页截图；</w:t>
      </w:r>
    </w:p>
    <w:p w14:paraId="26D7D060">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）商务标评审所需其他材料。</w:t>
      </w:r>
    </w:p>
    <w:p w14:paraId="4FF86D80">
      <w:pPr>
        <w:adjustRightInd w:val="0"/>
        <w:snapToGrid w:val="0"/>
        <w:spacing w:line="560" w:lineRule="exact"/>
        <w:rPr>
          <w:color w:val="auto"/>
          <w:highlight w:val="none"/>
        </w:rPr>
      </w:pPr>
    </w:p>
    <w:p w14:paraId="7A02874A">
      <w:pPr>
        <w:adjustRightInd w:val="0"/>
        <w:snapToGrid w:val="0"/>
        <w:spacing w:line="560" w:lineRule="exact"/>
        <w:rPr>
          <w:rFonts w:eastAsia="黑体"/>
          <w:color w:val="auto"/>
          <w:sz w:val="20"/>
          <w:szCs w:val="20"/>
          <w:highlight w:val="none"/>
        </w:rPr>
      </w:pPr>
    </w:p>
    <w:p w14:paraId="2B9B0A64">
      <w:pPr>
        <w:adjustRightInd w:val="0"/>
        <w:snapToGrid w:val="0"/>
        <w:spacing w:line="560" w:lineRule="exact"/>
        <w:rPr>
          <w:rFonts w:eastAsia="黑体"/>
          <w:color w:val="auto"/>
          <w:sz w:val="20"/>
          <w:szCs w:val="20"/>
          <w:highlight w:val="none"/>
        </w:rPr>
      </w:pPr>
    </w:p>
    <w:p w14:paraId="298CE982">
      <w:pPr>
        <w:adjustRightInd w:val="0"/>
        <w:snapToGrid w:val="0"/>
        <w:spacing w:line="560" w:lineRule="exact"/>
        <w:ind w:right="420"/>
        <w:rPr>
          <w:color w:val="auto"/>
          <w:szCs w:val="21"/>
          <w:highlight w:val="none"/>
          <w:u w:val="single"/>
        </w:rPr>
      </w:pPr>
    </w:p>
    <w:p w14:paraId="61E0B265">
      <w:pPr>
        <w:pStyle w:val="22"/>
        <w:rPr>
          <w:color w:val="auto"/>
          <w:highlight w:val="none"/>
        </w:rPr>
      </w:pPr>
    </w:p>
    <w:p w14:paraId="445229AF">
      <w:pPr>
        <w:rPr>
          <w:color w:val="auto"/>
          <w:highlight w:val="none"/>
        </w:rPr>
      </w:pPr>
    </w:p>
    <w:p w14:paraId="361FCE5E">
      <w:pPr>
        <w:pStyle w:val="22"/>
        <w:rPr>
          <w:color w:val="auto"/>
          <w:highlight w:val="none"/>
        </w:rPr>
      </w:pPr>
    </w:p>
    <w:p w14:paraId="679DA875">
      <w:pPr>
        <w:rPr>
          <w:color w:val="auto"/>
          <w:highlight w:val="none"/>
        </w:rPr>
      </w:pPr>
    </w:p>
    <w:p w14:paraId="13A6B7B5">
      <w:pPr>
        <w:pStyle w:val="22"/>
        <w:rPr>
          <w:color w:val="auto"/>
          <w:highlight w:val="none"/>
        </w:rPr>
      </w:pPr>
    </w:p>
    <w:p w14:paraId="3731AB25">
      <w:pPr>
        <w:rPr>
          <w:color w:val="auto"/>
          <w:highlight w:val="none"/>
        </w:rPr>
      </w:pPr>
    </w:p>
    <w:p w14:paraId="6813DA80">
      <w:pPr>
        <w:pStyle w:val="22"/>
        <w:rPr>
          <w:color w:val="auto"/>
          <w:highlight w:val="none"/>
        </w:rPr>
      </w:pPr>
    </w:p>
    <w:p w14:paraId="1B408823">
      <w:pPr>
        <w:rPr>
          <w:color w:val="auto"/>
          <w:highlight w:val="none"/>
        </w:rPr>
      </w:pPr>
    </w:p>
    <w:p w14:paraId="42DBDC06">
      <w:pPr>
        <w:pStyle w:val="22"/>
        <w:rPr>
          <w:color w:val="auto"/>
          <w:highlight w:val="none"/>
        </w:rPr>
      </w:pPr>
    </w:p>
    <w:p w14:paraId="62DCAD34">
      <w:pPr>
        <w:rPr>
          <w:color w:val="auto"/>
          <w:highlight w:val="none"/>
        </w:rPr>
      </w:pPr>
    </w:p>
    <w:p w14:paraId="66CC1F00">
      <w:pPr>
        <w:pStyle w:val="22"/>
        <w:rPr>
          <w:color w:val="auto"/>
          <w:highlight w:val="none"/>
        </w:rPr>
      </w:pPr>
    </w:p>
    <w:p w14:paraId="795B8171">
      <w:pPr>
        <w:rPr>
          <w:color w:val="auto"/>
          <w:highlight w:val="none"/>
        </w:rPr>
      </w:pPr>
    </w:p>
    <w:p w14:paraId="4B6D287E">
      <w:pPr>
        <w:pStyle w:val="22"/>
        <w:rPr>
          <w:color w:val="auto"/>
          <w:highlight w:val="none"/>
        </w:rPr>
      </w:pPr>
    </w:p>
    <w:p w14:paraId="1668BC3E">
      <w:pPr>
        <w:rPr>
          <w:color w:val="auto"/>
          <w:highlight w:val="none"/>
        </w:rPr>
      </w:pPr>
    </w:p>
    <w:p w14:paraId="0D0E55BE">
      <w:pPr>
        <w:pStyle w:val="22"/>
        <w:rPr>
          <w:color w:val="auto"/>
          <w:highlight w:val="none"/>
        </w:rPr>
      </w:pPr>
    </w:p>
    <w:p w14:paraId="71C5F8B5">
      <w:pPr>
        <w:rPr>
          <w:color w:val="auto"/>
          <w:highlight w:val="none"/>
        </w:rPr>
      </w:pPr>
    </w:p>
    <w:p w14:paraId="5305FD2E">
      <w:pPr>
        <w:rPr>
          <w:color w:val="auto"/>
          <w:highlight w:val="none"/>
        </w:rPr>
      </w:pPr>
      <w:r>
        <w:rPr>
          <w:color w:val="auto"/>
          <w:highlight w:val="none"/>
        </w:rPr>
        <w:br w:type="page"/>
      </w:r>
    </w:p>
    <w:p w14:paraId="7BF568A5">
      <w:pPr>
        <w:pStyle w:val="4"/>
        <w:adjustRightInd w:val="0"/>
        <w:snapToGrid w:val="0"/>
        <w:spacing w:line="560" w:lineRule="exact"/>
        <w:jc w:val="center"/>
        <w:rPr>
          <w:color w:val="auto"/>
          <w:highlight w:val="none"/>
        </w:rPr>
      </w:pPr>
      <w:bookmarkStart w:id="868" w:name="_Toc95223543"/>
      <w:r>
        <w:rPr>
          <w:rFonts w:hint="eastAsia"/>
          <w:color w:val="auto"/>
          <w:highlight w:val="none"/>
        </w:rPr>
        <w:t>（1）投</w:t>
      </w:r>
      <w:r>
        <w:rPr>
          <w:color w:val="auto"/>
          <w:highlight w:val="none"/>
        </w:rPr>
        <w:t xml:space="preserve"> </w:t>
      </w:r>
      <w:r>
        <w:rPr>
          <w:rFonts w:hint="eastAsia"/>
          <w:color w:val="auto"/>
          <w:highlight w:val="none"/>
        </w:rPr>
        <w:t>标 函</w:t>
      </w:r>
      <w:bookmarkEnd w:id="868"/>
    </w:p>
    <w:p w14:paraId="3EE5B0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20DEC9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1、根据你方招</w:t>
      </w:r>
      <w:bookmarkStart w:id="869"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869"/>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 xml:space="preserve">下浮率         % </w:t>
      </w:r>
      <w:r>
        <w:rPr>
          <w:rFonts w:hint="eastAsia" w:ascii="宋体" w:hAnsi="宋体"/>
          <w:color w:val="auto"/>
          <w:sz w:val="24"/>
          <w:highlight w:val="none"/>
        </w:rPr>
        <w:t>的投标总报价承包上述工程的设计、采购、施工、竣工，并承担任何质量缺陷保修责任。</w:t>
      </w:r>
    </w:p>
    <w:p w14:paraId="30B8BAFC">
      <w:pPr>
        <w:keepNext w:val="0"/>
        <w:keepLines w:val="0"/>
        <w:pageBreakBefore w:val="0"/>
        <w:widowControl w:val="0"/>
        <w:tabs>
          <w:tab w:val="left" w:pos="840"/>
        </w:tabs>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399EBC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w:t>
      </w:r>
      <w:r>
        <w:rPr>
          <w:rFonts w:hint="eastAsia" w:ascii="宋体" w:hAnsi="宋体"/>
          <w:color w:val="auto"/>
          <w:sz w:val="24"/>
          <w:highlight w:val="none"/>
          <w:u w:val="single"/>
        </w:rPr>
        <w:t xml:space="preserve">          </w:t>
      </w:r>
      <w:r>
        <w:rPr>
          <w:rFonts w:hint="eastAsia" w:ascii="宋体" w:hAnsi="宋体"/>
          <w:color w:val="auto"/>
          <w:sz w:val="24"/>
          <w:highlight w:val="none"/>
        </w:rPr>
        <w:t>为本工程设计项目负责人。保证按照招标人要求开始本工程的设计、采购及施工，并在自合同签订之日起</w:t>
      </w:r>
      <w:r>
        <w:rPr>
          <w:rFonts w:ascii="宋体" w:hAnsi="宋体"/>
          <w:color w:val="auto"/>
          <w:sz w:val="24"/>
          <w:highlight w:val="none"/>
          <w:u w:val="single"/>
        </w:rPr>
        <w:t xml:space="preserve">    </w:t>
      </w:r>
      <w:r>
        <w:rPr>
          <w:rFonts w:hint="eastAsia" w:ascii="宋体" w:hAnsi="宋体"/>
          <w:color w:val="auto"/>
          <w:sz w:val="24"/>
          <w:highlight w:val="none"/>
        </w:rPr>
        <w:t>个日历天完成初步设计的优化，</w:t>
      </w:r>
      <w:r>
        <w:rPr>
          <w:rFonts w:ascii="宋体" w:hAnsi="宋体"/>
          <w:color w:val="auto"/>
          <w:sz w:val="24"/>
          <w:highlight w:val="none"/>
          <w:u w:val="single"/>
        </w:rPr>
        <w:t xml:space="preserve">   </w:t>
      </w:r>
      <w:r>
        <w:rPr>
          <w:rFonts w:hint="eastAsia" w:ascii="宋体" w:hAnsi="宋体"/>
          <w:color w:val="auto"/>
          <w:sz w:val="24"/>
          <w:highlight w:val="none"/>
        </w:rPr>
        <w:t>个日历天完成施工图设计并通过相关部门的审核；自开工之日起</w:t>
      </w:r>
      <w:r>
        <w:rPr>
          <w:rFonts w:ascii="宋体" w:hAnsi="宋体"/>
          <w:color w:val="auto"/>
          <w:sz w:val="24"/>
          <w:highlight w:val="none"/>
          <w:u w:val="single"/>
        </w:rPr>
        <w:t xml:space="preserve">    </w:t>
      </w:r>
      <w:r>
        <w:rPr>
          <w:rFonts w:hint="eastAsia" w:ascii="宋体" w:hAnsi="宋体"/>
          <w:color w:val="auto"/>
          <w:sz w:val="24"/>
          <w:highlight w:val="none"/>
        </w:rPr>
        <w:t>日历天完成施工并通过验收，并移交整个工程，工程质量达到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14:paraId="1F1D74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7B286D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3A866F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44F92E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291D4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0907F10C">
      <w:pPr>
        <w:adjustRightInd w:val="0"/>
        <w:snapToGrid w:val="0"/>
        <w:spacing w:line="520" w:lineRule="exact"/>
        <w:ind w:firstLine="480" w:firstLineChars="200"/>
        <w:rPr>
          <w:rFonts w:ascii="宋体" w:hAnsi="宋体"/>
          <w:color w:val="auto"/>
          <w:sz w:val="24"/>
          <w:highlight w:val="none"/>
        </w:rPr>
      </w:pPr>
    </w:p>
    <w:p w14:paraId="2AB048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r>
        <w:rPr>
          <w:rFonts w:ascii="宋体" w:hAnsi="宋体"/>
          <w:color w:val="auto"/>
          <w:sz w:val="24"/>
          <w:highlight w:val="none"/>
          <w:u w:val="single"/>
        </w:rPr>
        <w:t xml:space="preserve">   </w:t>
      </w:r>
    </w:p>
    <w:p w14:paraId="5A5EC0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（签章）联系人：                 </w:t>
      </w:r>
    </w:p>
    <w:p w14:paraId="797BA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056563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802C6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39013803">
      <w:pPr>
        <w:adjustRightInd w:val="0"/>
        <w:snapToGrid w:val="0"/>
        <w:jc w:val="center"/>
        <w:rPr>
          <w:rFonts w:hint="eastAsia"/>
          <w:color w:val="auto"/>
          <w:highlight w:val="none"/>
        </w:rPr>
      </w:pPr>
      <w:bookmarkStart w:id="870" w:name="_Toc95223545"/>
      <w:r>
        <w:rPr>
          <w:rFonts w:hint="eastAsia"/>
          <w:color w:val="auto"/>
          <w:highlight w:val="none"/>
        </w:rPr>
        <w:br w:type="page"/>
      </w:r>
    </w:p>
    <w:p w14:paraId="315C0D0C">
      <w:pPr>
        <w:pStyle w:val="4"/>
        <w:adjustRightInd w:val="0"/>
        <w:snapToGrid w:val="0"/>
        <w:spacing w:line="560" w:lineRule="exact"/>
        <w:jc w:val="center"/>
        <w:rPr>
          <w:color w:val="auto"/>
          <w:highlight w:val="none"/>
        </w:rPr>
      </w:pPr>
      <w:r>
        <w:rPr>
          <w:rFonts w:hint="eastAsia"/>
          <w:color w:val="auto"/>
          <w:highlight w:val="none"/>
        </w:rPr>
        <w:t>（2）</w:t>
      </w:r>
      <w:r>
        <w:rPr>
          <w:color w:val="auto"/>
          <w:highlight w:val="none"/>
        </w:rPr>
        <w:t>招标人</w:t>
      </w:r>
      <w:r>
        <w:rPr>
          <w:rFonts w:hint="eastAsia"/>
          <w:color w:val="auto"/>
          <w:highlight w:val="none"/>
        </w:rPr>
        <w:t>参考</w:t>
      </w:r>
      <w:r>
        <w:rPr>
          <w:color w:val="auto"/>
          <w:highlight w:val="none"/>
        </w:rPr>
        <w:t>的材料品牌响应表</w:t>
      </w:r>
      <w:bookmarkEnd w:id="870"/>
    </w:p>
    <w:p w14:paraId="1D814BDF">
      <w:pPr>
        <w:pStyle w:val="11"/>
        <w:tabs>
          <w:tab w:val="left" w:pos="6462"/>
          <w:tab w:val="left" w:pos="6988"/>
          <w:tab w:val="left" w:pos="7722"/>
        </w:tabs>
        <w:adjustRightInd w:val="0"/>
        <w:snapToGrid w:val="0"/>
        <w:spacing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2C6E0B6F">
      <w:pPr>
        <w:pStyle w:val="11"/>
        <w:adjustRightInd w:val="0"/>
        <w:snapToGrid w:val="0"/>
        <w:spacing w:line="560" w:lineRule="exact"/>
        <w:rPr>
          <w:b/>
          <w:color w:val="auto"/>
          <w:sz w:val="5"/>
          <w:highlight w:val="none"/>
        </w:rPr>
      </w:pPr>
    </w:p>
    <w:tbl>
      <w:tblPr>
        <w:tblStyle w:val="23"/>
        <w:tblW w:w="0" w:type="auto"/>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0674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tcPr>
          <w:p w14:paraId="06D6EE2E">
            <w:pPr>
              <w:pStyle w:val="55"/>
              <w:adjustRightInd w:val="0"/>
              <w:snapToGrid w:val="0"/>
              <w:spacing w:line="560" w:lineRule="exact"/>
              <w:jc w:val="center"/>
              <w:rPr>
                <w:rFonts w:ascii="黑体" w:eastAsia="黑体"/>
                <w:color w:val="auto"/>
                <w:highlight w:val="none"/>
              </w:rPr>
            </w:pPr>
            <w:r>
              <w:rPr>
                <w:rFonts w:hint="eastAsia" w:ascii="黑体" w:eastAsia="黑体"/>
                <w:color w:val="auto"/>
                <w:highlight w:val="none"/>
              </w:rPr>
              <w:t>序号</w:t>
            </w:r>
          </w:p>
        </w:tc>
        <w:tc>
          <w:tcPr>
            <w:tcW w:w="1685" w:type="dxa"/>
          </w:tcPr>
          <w:p w14:paraId="602800AD">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材料、设备名称</w:t>
            </w:r>
          </w:p>
        </w:tc>
        <w:tc>
          <w:tcPr>
            <w:tcW w:w="794" w:type="dxa"/>
          </w:tcPr>
          <w:p w14:paraId="04B78A4F">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品牌 1</w:t>
            </w:r>
          </w:p>
        </w:tc>
        <w:tc>
          <w:tcPr>
            <w:tcW w:w="794" w:type="dxa"/>
          </w:tcPr>
          <w:p w14:paraId="14494950">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品牌 2</w:t>
            </w:r>
          </w:p>
        </w:tc>
        <w:tc>
          <w:tcPr>
            <w:tcW w:w="794" w:type="dxa"/>
          </w:tcPr>
          <w:p w14:paraId="30366354">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品牌 3</w:t>
            </w:r>
          </w:p>
        </w:tc>
        <w:tc>
          <w:tcPr>
            <w:tcW w:w="791" w:type="dxa"/>
          </w:tcPr>
          <w:p w14:paraId="7D4BA7EF">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品牌 4</w:t>
            </w:r>
          </w:p>
        </w:tc>
        <w:tc>
          <w:tcPr>
            <w:tcW w:w="635" w:type="dxa"/>
          </w:tcPr>
          <w:p w14:paraId="04E8F1EE">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备注</w:t>
            </w:r>
          </w:p>
        </w:tc>
        <w:tc>
          <w:tcPr>
            <w:tcW w:w="1687" w:type="dxa"/>
          </w:tcPr>
          <w:p w14:paraId="5FA409D7">
            <w:pPr>
              <w:pStyle w:val="55"/>
              <w:adjustRightInd w:val="0"/>
              <w:snapToGrid w:val="0"/>
              <w:spacing w:line="560" w:lineRule="exact"/>
              <w:rPr>
                <w:rFonts w:ascii="黑体" w:eastAsia="黑体"/>
                <w:color w:val="auto"/>
                <w:highlight w:val="none"/>
              </w:rPr>
            </w:pPr>
            <w:r>
              <w:rPr>
                <w:rFonts w:hint="eastAsia" w:ascii="黑体" w:eastAsia="黑体"/>
                <w:color w:val="auto"/>
                <w:highlight w:val="none"/>
              </w:rPr>
              <w:t>投标人选定品牌</w:t>
            </w:r>
          </w:p>
        </w:tc>
      </w:tr>
      <w:tr w14:paraId="11B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6" w:type="dxa"/>
          </w:tcPr>
          <w:p w14:paraId="549E071A">
            <w:pPr>
              <w:pStyle w:val="55"/>
              <w:adjustRightInd w:val="0"/>
              <w:snapToGrid w:val="0"/>
              <w:spacing w:line="560" w:lineRule="exact"/>
              <w:jc w:val="center"/>
              <w:rPr>
                <w:color w:val="auto"/>
                <w:highlight w:val="none"/>
              </w:rPr>
            </w:pPr>
            <w:r>
              <w:rPr>
                <w:color w:val="auto"/>
                <w:highlight w:val="none"/>
              </w:rPr>
              <w:t>1</w:t>
            </w:r>
          </w:p>
        </w:tc>
        <w:tc>
          <w:tcPr>
            <w:tcW w:w="1685" w:type="dxa"/>
          </w:tcPr>
          <w:p w14:paraId="1D478B11">
            <w:pPr>
              <w:pStyle w:val="55"/>
              <w:adjustRightInd w:val="0"/>
              <w:snapToGrid w:val="0"/>
              <w:spacing w:line="560" w:lineRule="exact"/>
              <w:rPr>
                <w:rFonts w:ascii="Times New Roman"/>
                <w:color w:val="auto"/>
                <w:sz w:val="20"/>
                <w:highlight w:val="none"/>
              </w:rPr>
            </w:pPr>
          </w:p>
        </w:tc>
        <w:tc>
          <w:tcPr>
            <w:tcW w:w="794" w:type="dxa"/>
          </w:tcPr>
          <w:p w14:paraId="10B8C4A2">
            <w:pPr>
              <w:pStyle w:val="55"/>
              <w:adjustRightInd w:val="0"/>
              <w:snapToGrid w:val="0"/>
              <w:spacing w:line="560" w:lineRule="exact"/>
              <w:rPr>
                <w:rFonts w:ascii="Times New Roman"/>
                <w:color w:val="auto"/>
                <w:sz w:val="20"/>
                <w:highlight w:val="none"/>
              </w:rPr>
            </w:pPr>
          </w:p>
        </w:tc>
        <w:tc>
          <w:tcPr>
            <w:tcW w:w="794" w:type="dxa"/>
          </w:tcPr>
          <w:p w14:paraId="2566BE79">
            <w:pPr>
              <w:pStyle w:val="55"/>
              <w:adjustRightInd w:val="0"/>
              <w:snapToGrid w:val="0"/>
              <w:spacing w:line="560" w:lineRule="exact"/>
              <w:rPr>
                <w:rFonts w:ascii="Times New Roman"/>
                <w:color w:val="auto"/>
                <w:sz w:val="20"/>
                <w:highlight w:val="none"/>
              </w:rPr>
            </w:pPr>
          </w:p>
        </w:tc>
        <w:tc>
          <w:tcPr>
            <w:tcW w:w="794" w:type="dxa"/>
          </w:tcPr>
          <w:p w14:paraId="20D836F7">
            <w:pPr>
              <w:pStyle w:val="55"/>
              <w:adjustRightInd w:val="0"/>
              <w:snapToGrid w:val="0"/>
              <w:spacing w:line="560" w:lineRule="exact"/>
              <w:rPr>
                <w:rFonts w:ascii="Times New Roman"/>
                <w:color w:val="auto"/>
                <w:sz w:val="20"/>
                <w:highlight w:val="none"/>
              </w:rPr>
            </w:pPr>
          </w:p>
        </w:tc>
        <w:tc>
          <w:tcPr>
            <w:tcW w:w="791" w:type="dxa"/>
          </w:tcPr>
          <w:p w14:paraId="20B7C09D">
            <w:pPr>
              <w:pStyle w:val="55"/>
              <w:adjustRightInd w:val="0"/>
              <w:snapToGrid w:val="0"/>
              <w:spacing w:line="560" w:lineRule="exact"/>
              <w:rPr>
                <w:rFonts w:ascii="Times New Roman"/>
                <w:color w:val="auto"/>
                <w:sz w:val="20"/>
                <w:highlight w:val="none"/>
              </w:rPr>
            </w:pPr>
          </w:p>
        </w:tc>
        <w:tc>
          <w:tcPr>
            <w:tcW w:w="635" w:type="dxa"/>
          </w:tcPr>
          <w:p w14:paraId="578698B8">
            <w:pPr>
              <w:pStyle w:val="55"/>
              <w:adjustRightInd w:val="0"/>
              <w:snapToGrid w:val="0"/>
              <w:spacing w:line="560" w:lineRule="exact"/>
              <w:rPr>
                <w:rFonts w:ascii="Times New Roman"/>
                <w:color w:val="auto"/>
                <w:sz w:val="20"/>
                <w:highlight w:val="none"/>
              </w:rPr>
            </w:pPr>
          </w:p>
        </w:tc>
        <w:tc>
          <w:tcPr>
            <w:tcW w:w="1687" w:type="dxa"/>
          </w:tcPr>
          <w:p w14:paraId="37C044CF">
            <w:pPr>
              <w:pStyle w:val="55"/>
              <w:adjustRightInd w:val="0"/>
              <w:snapToGrid w:val="0"/>
              <w:spacing w:line="560" w:lineRule="exact"/>
              <w:rPr>
                <w:rFonts w:ascii="Times New Roman"/>
                <w:color w:val="auto"/>
                <w:sz w:val="20"/>
                <w:highlight w:val="none"/>
              </w:rPr>
            </w:pPr>
          </w:p>
        </w:tc>
      </w:tr>
      <w:tr w14:paraId="2788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529D2926">
            <w:pPr>
              <w:pStyle w:val="55"/>
              <w:adjustRightInd w:val="0"/>
              <w:snapToGrid w:val="0"/>
              <w:spacing w:line="560" w:lineRule="exact"/>
              <w:jc w:val="center"/>
              <w:rPr>
                <w:color w:val="auto"/>
                <w:highlight w:val="none"/>
              </w:rPr>
            </w:pPr>
            <w:r>
              <w:rPr>
                <w:color w:val="auto"/>
                <w:highlight w:val="none"/>
              </w:rPr>
              <w:t>2</w:t>
            </w:r>
          </w:p>
        </w:tc>
        <w:tc>
          <w:tcPr>
            <w:tcW w:w="1685" w:type="dxa"/>
          </w:tcPr>
          <w:p w14:paraId="5447E76A">
            <w:pPr>
              <w:pStyle w:val="55"/>
              <w:adjustRightInd w:val="0"/>
              <w:snapToGrid w:val="0"/>
              <w:spacing w:line="560" w:lineRule="exact"/>
              <w:rPr>
                <w:rFonts w:ascii="Times New Roman"/>
                <w:color w:val="auto"/>
                <w:sz w:val="20"/>
                <w:highlight w:val="none"/>
              </w:rPr>
            </w:pPr>
          </w:p>
        </w:tc>
        <w:tc>
          <w:tcPr>
            <w:tcW w:w="794" w:type="dxa"/>
          </w:tcPr>
          <w:p w14:paraId="0542A63B">
            <w:pPr>
              <w:pStyle w:val="55"/>
              <w:adjustRightInd w:val="0"/>
              <w:snapToGrid w:val="0"/>
              <w:spacing w:line="560" w:lineRule="exact"/>
              <w:rPr>
                <w:rFonts w:ascii="Times New Roman"/>
                <w:color w:val="auto"/>
                <w:sz w:val="20"/>
                <w:highlight w:val="none"/>
              </w:rPr>
            </w:pPr>
          </w:p>
        </w:tc>
        <w:tc>
          <w:tcPr>
            <w:tcW w:w="794" w:type="dxa"/>
          </w:tcPr>
          <w:p w14:paraId="5ACBA725">
            <w:pPr>
              <w:pStyle w:val="55"/>
              <w:adjustRightInd w:val="0"/>
              <w:snapToGrid w:val="0"/>
              <w:spacing w:line="560" w:lineRule="exact"/>
              <w:rPr>
                <w:rFonts w:ascii="Times New Roman"/>
                <w:color w:val="auto"/>
                <w:sz w:val="20"/>
                <w:highlight w:val="none"/>
              </w:rPr>
            </w:pPr>
          </w:p>
        </w:tc>
        <w:tc>
          <w:tcPr>
            <w:tcW w:w="794" w:type="dxa"/>
          </w:tcPr>
          <w:p w14:paraId="04FC625B">
            <w:pPr>
              <w:pStyle w:val="55"/>
              <w:adjustRightInd w:val="0"/>
              <w:snapToGrid w:val="0"/>
              <w:spacing w:line="560" w:lineRule="exact"/>
              <w:rPr>
                <w:rFonts w:ascii="Times New Roman"/>
                <w:color w:val="auto"/>
                <w:sz w:val="20"/>
                <w:highlight w:val="none"/>
              </w:rPr>
            </w:pPr>
          </w:p>
        </w:tc>
        <w:tc>
          <w:tcPr>
            <w:tcW w:w="791" w:type="dxa"/>
          </w:tcPr>
          <w:p w14:paraId="2C8F6A44">
            <w:pPr>
              <w:pStyle w:val="55"/>
              <w:adjustRightInd w:val="0"/>
              <w:snapToGrid w:val="0"/>
              <w:spacing w:line="560" w:lineRule="exact"/>
              <w:rPr>
                <w:rFonts w:ascii="Times New Roman"/>
                <w:color w:val="auto"/>
                <w:sz w:val="20"/>
                <w:highlight w:val="none"/>
              </w:rPr>
            </w:pPr>
          </w:p>
        </w:tc>
        <w:tc>
          <w:tcPr>
            <w:tcW w:w="635" w:type="dxa"/>
          </w:tcPr>
          <w:p w14:paraId="624A0080">
            <w:pPr>
              <w:pStyle w:val="55"/>
              <w:adjustRightInd w:val="0"/>
              <w:snapToGrid w:val="0"/>
              <w:spacing w:line="560" w:lineRule="exact"/>
              <w:rPr>
                <w:rFonts w:ascii="Times New Roman"/>
                <w:color w:val="auto"/>
                <w:sz w:val="20"/>
                <w:highlight w:val="none"/>
              </w:rPr>
            </w:pPr>
          </w:p>
        </w:tc>
        <w:tc>
          <w:tcPr>
            <w:tcW w:w="1687" w:type="dxa"/>
          </w:tcPr>
          <w:p w14:paraId="5F65F410">
            <w:pPr>
              <w:pStyle w:val="55"/>
              <w:adjustRightInd w:val="0"/>
              <w:snapToGrid w:val="0"/>
              <w:spacing w:line="560" w:lineRule="exact"/>
              <w:rPr>
                <w:rFonts w:ascii="Times New Roman"/>
                <w:color w:val="auto"/>
                <w:sz w:val="20"/>
                <w:highlight w:val="none"/>
              </w:rPr>
            </w:pPr>
          </w:p>
        </w:tc>
      </w:tr>
      <w:tr w14:paraId="4A96E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tcPr>
          <w:p w14:paraId="1FBB0E3A">
            <w:pPr>
              <w:pStyle w:val="55"/>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tcPr>
          <w:p w14:paraId="5DF77D95">
            <w:pPr>
              <w:pStyle w:val="55"/>
              <w:adjustRightInd w:val="0"/>
              <w:snapToGrid w:val="0"/>
              <w:spacing w:line="560" w:lineRule="exact"/>
              <w:rPr>
                <w:rFonts w:ascii="Times New Roman"/>
                <w:color w:val="auto"/>
                <w:sz w:val="20"/>
                <w:highlight w:val="none"/>
              </w:rPr>
            </w:pPr>
          </w:p>
        </w:tc>
        <w:tc>
          <w:tcPr>
            <w:tcW w:w="794" w:type="dxa"/>
            <w:tcBorders>
              <w:bottom w:val="single" w:color="000000" w:sz="6" w:space="0"/>
            </w:tcBorders>
          </w:tcPr>
          <w:p w14:paraId="3942E5AA">
            <w:pPr>
              <w:pStyle w:val="55"/>
              <w:adjustRightInd w:val="0"/>
              <w:snapToGrid w:val="0"/>
              <w:spacing w:line="560" w:lineRule="exact"/>
              <w:rPr>
                <w:rFonts w:ascii="Times New Roman"/>
                <w:color w:val="auto"/>
                <w:sz w:val="20"/>
                <w:highlight w:val="none"/>
              </w:rPr>
            </w:pPr>
          </w:p>
        </w:tc>
        <w:tc>
          <w:tcPr>
            <w:tcW w:w="794" w:type="dxa"/>
            <w:tcBorders>
              <w:bottom w:val="single" w:color="000000" w:sz="6" w:space="0"/>
            </w:tcBorders>
          </w:tcPr>
          <w:p w14:paraId="6BFE6EBE">
            <w:pPr>
              <w:pStyle w:val="55"/>
              <w:adjustRightInd w:val="0"/>
              <w:snapToGrid w:val="0"/>
              <w:spacing w:line="560" w:lineRule="exact"/>
              <w:rPr>
                <w:rFonts w:ascii="Times New Roman"/>
                <w:color w:val="auto"/>
                <w:sz w:val="20"/>
                <w:highlight w:val="none"/>
              </w:rPr>
            </w:pPr>
          </w:p>
        </w:tc>
        <w:tc>
          <w:tcPr>
            <w:tcW w:w="794" w:type="dxa"/>
            <w:tcBorders>
              <w:bottom w:val="single" w:color="000000" w:sz="6" w:space="0"/>
            </w:tcBorders>
          </w:tcPr>
          <w:p w14:paraId="17644B85">
            <w:pPr>
              <w:pStyle w:val="55"/>
              <w:adjustRightInd w:val="0"/>
              <w:snapToGrid w:val="0"/>
              <w:spacing w:line="560" w:lineRule="exact"/>
              <w:rPr>
                <w:rFonts w:ascii="Times New Roman"/>
                <w:color w:val="auto"/>
                <w:sz w:val="20"/>
                <w:highlight w:val="none"/>
              </w:rPr>
            </w:pPr>
          </w:p>
        </w:tc>
        <w:tc>
          <w:tcPr>
            <w:tcW w:w="791" w:type="dxa"/>
            <w:tcBorders>
              <w:bottom w:val="single" w:color="000000" w:sz="6" w:space="0"/>
            </w:tcBorders>
          </w:tcPr>
          <w:p w14:paraId="3A3157B5">
            <w:pPr>
              <w:pStyle w:val="55"/>
              <w:adjustRightInd w:val="0"/>
              <w:snapToGrid w:val="0"/>
              <w:spacing w:line="560" w:lineRule="exact"/>
              <w:rPr>
                <w:rFonts w:ascii="Times New Roman"/>
                <w:color w:val="auto"/>
                <w:sz w:val="20"/>
                <w:highlight w:val="none"/>
              </w:rPr>
            </w:pPr>
          </w:p>
        </w:tc>
        <w:tc>
          <w:tcPr>
            <w:tcW w:w="635" w:type="dxa"/>
            <w:tcBorders>
              <w:bottom w:val="single" w:color="000000" w:sz="6" w:space="0"/>
            </w:tcBorders>
          </w:tcPr>
          <w:p w14:paraId="3FD54D67">
            <w:pPr>
              <w:pStyle w:val="55"/>
              <w:adjustRightInd w:val="0"/>
              <w:snapToGrid w:val="0"/>
              <w:spacing w:line="560" w:lineRule="exact"/>
              <w:rPr>
                <w:rFonts w:ascii="Times New Roman"/>
                <w:color w:val="auto"/>
                <w:sz w:val="20"/>
                <w:highlight w:val="none"/>
              </w:rPr>
            </w:pPr>
          </w:p>
        </w:tc>
        <w:tc>
          <w:tcPr>
            <w:tcW w:w="1687" w:type="dxa"/>
            <w:tcBorders>
              <w:bottom w:val="single" w:color="000000" w:sz="6" w:space="0"/>
            </w:tcBorders>
          </w:tcPr>
          <w:p w14:paraId="0C25822B">
            <w:pPr>
              <w:pStyle w:val="55"/>
              <w:adjustRightInd w:val="0"/>
              <w:snapToGrid w:val="0"/>
              <w:spacing w:line="560" w:lineRule="exact"/>
              <w:rPr>
                <w:rFonts w:ascii="Times New Roman"/>
                <w:color w:val="auto"/>
                <w:sz w:val="20"/>
                <w:highlight w:val="none"/>
              </w:rPr>
            </w:pPr>
          </w:p>
        </w:tc>
      </w:tr>
      <w:tr w14:paraId="79A9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bottom w:val="single" w:color="000000" w:sz="6" w:space="0"/>
            </w:tcBorders>
          </w:tcPr>
          <w:p w14:paraId="77172D4E">
            <w:pPr>
              <w:pStyle w:val="55"/>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bottom w:val="single" w:color="000000" w:sz="6" w:space="0"/>
            </w:tcBorders>
          </w:tcPr>
          <w:p w14:paraId="763842FD">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7FC2A9B5">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57A63D32">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64EFBC11">
            <w:pPr>
              <w:pStyle w:val="55"/>
              <w:adjustRightInd w:val="0"/>
              <w:snapToGrid w:val="0"/>
              <w:spacing w:line="560" w:lineRule="exact"/>
              <w:rPr>
                <w:rFonts w:ascii="Times New Roman"/>
                <w:color w:val="auto"/>
                <w:sz w:val="20"/>
                <w:highlight w:val="none"/>
              </w:rPr>
            </w:pPr>
          </w:p>
        </w:tc>
        <w:tc>
          <w:tcPr>
            <w:tcW w:w="791" w:type="dxa"/>
            <w:tcBorders>
              <w:top w:val="single" w:color="000000" w:sz="6" w:space="0"/>
              <w:bottom w:val="single" w:color="000000" w:sz="6" w:space="0"/>
            </w:tcBorders>
          </w:tcPr>
          <w:p w14:paraId="0DD63F77">
            <w:pPr>
              <w:pStyle w:val="55"/>
              <w:adjustRightInd w:val="0"/>
              <w:snapToGrid w:val="0"/>
              <w:spacing w:line="560" w:lineRule="exact"/>
              <w:rPr>
                <w:rFonts w:ascii="Times New Roman"/>
                <w:color w:val="auto"/>
                <w:sz w:val="20"/>
                <w:highlight w:val="none"/>
              </w:rPr>
            </w:pPr>
          </w:p>
        </w:tc>
        <w:tc>
          <w:tcPr>
            <w:tcW w:w="635" w:type="dxa"/>
            <w:tcBorders>
              <w:top w:val="single" w:color="000000" w:sz="6" w:space="0"/>
              <w:bottom w:val="single" w:color="000000" w:sz="6" w:space="0"/>
            </w:tcBorders>
          </w:tcPr>
          <w:p w14:paraId="12C7A183">
            <w:pPr>
              <w:pStyle w:val="55"/>
              <w:adjustRightInd w:val="0"/>
              <w:snapToGrid w:val="0"/>
              <w:spacing w:line="560" w:lineRule="exact"/>
              <w:rPr>
                <w:rFonts w:ascii="Times New Roman"/>
                <w:color w:val="auto"/>
                <w:sz w:val="20"/>
                <w:highlight w:val="none"/>
              </w:rPr>
            </w:pPr>
          </w:p>
        </w:tc>
        <w:tc>
          <w:tcPr>
            <w:tcW w:w="1687" w:type="dxa"/>
            <w:tcBorders>
              <w:top w:val="single" w:color="000000" w:sz="6" w:space="0"/>
              <w:bottom w:val="single" w:color="000000" w:sz="6" w:space="0"/>
            </w:tcBorders>
          </w:tcPr>
          <w:p w14:paraId="53DC8E43">
            <w:pPr>
              <w:pStyle w:val="55"/>
              <w:adjustRightInd w:val="0"/>
              <w:snapToGrid w:val="0"/>
              <w:spacing w:line="560" w:lineRule="exact"/>
              <w:rPr>
                <w:rFonts w:ascii="Times New Roman"/>
                <w:color w:val="auto"/>
                <w:sz w:val="20"/>
                <w:highlight w:val="none"/>
              </w:rPr>
            </w:pPr>
          </w:p>
        </w:tc>
      </w:tr>
      <w:tr w14:paraId="171A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bottom w:val="single" w:color="000000" w:sz="6" w:space="0"/>
            </w:tcBorders>
          </w:tcPr>
          <w:p w14:paraId="21906730">
            <w:pPr>
              <w:pStyle w:val="55"/>
              <w:adjustRightInd w:val="0"/>
              <w:snapToGrid w:val="0"/>
              <w:spacing w:line="560" w:lineRule="exact"/>
              <w:jc w:val="center"/>
              <w:rPr>
                <w:color w:val="auto"/>
                <w:highlight w:val="none"/>
              </w:rPr>
            </w:pPr>
          </w:p>
        </w:tc>
        <w:tc>
          <w:tcPr>
            <w:tcW w:w="1685" w:type="dxa"/>
            <w:tcBorders>
              <w:top w:val="single" w:color="000000" w:sz="6" w:space="0"/>
              <w:bottom w:val="single" w:color="000000" w:sz="6" w:space="0"/>
            </w:tcBorders>
          </w:tcPr>
          <w:p w14:paraId="5D7CB8E7">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15B7ADA2">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2328F244">
            <w:pPr>
              <w:pStyle w:val="55"/>
              <w:adjustRightInd w:val="0"/>
              <w:snapToGrid w:val="0"/>
              <w:spacing w:line="560" w:lineRule="exact"/>
              <w:rPr>
                <w:rFonts w:ascii="Times New Roman"/>
                <w:color w:val="auto"/>
                <w:sz w:val="20"/>
                <w:highlight w:val="none"/>
              </w:rPr>
            </w:pPr>
          </w:p>
        </w:tc>
        <w:tc>
          <w:tcPr>
            <w:tcW w:w="794" w:type="dxa"/>
            <w:tcBorders>
              <w:top w:val="single" w:color="000000" w:sz="6" w:space="0"/>
              <w:bottom w:val="single" w:color="000000" w:sz="6" w:space="0"/>
            </w:tcBorders>
          </w:tcPr>
          <w:p w14:paraId="276DA888">
            <w:pPr>
              <w:pStyle w:val="55"/>
              <w:adjustRightInd w:val="0"/>
              <w:snapToGrid w:val="0"/>
              <w:spacing w:line="560" w:lineRule="exact"/>
              <w:rPr>
                <w:rFonts w:ascii="Times New Roman"/>
                <w:color w:val="auto"/>
                <w:sz w:val="20"/>
                <w:highlight w:val="none"/>
              </w:rPr>
            </w:pPr>
          </w:p>
        </w:tc>
        <w:tc>
          <w:tcPr>
            <w:tcW w:w="791" w:type="dxa"/>
            <w:tcBorders>
              <w:top w:val="single" w:color="000000" w:sz="6" w:space="0"/>
              <w:bottom w:val="single" w:color="000000" w:sz="6" w:space="0"/>
            </w:tcBorders>
          </w:tcPr>
          <w:p w14:paraId="19519ED9">
            <w:pPr>
              <w:pStyle w:val="55"/>
              <w:adjustRightInd w:val="0"/>
              <w:snapToGrid w:val="0"/>
              <w:spacing w:line="560" w:lineRule="exact"/>
              <w:rPr>
                <w:rFonts w:ascii="Times New Roman"/>
                <w:color w:val="auto"/>
                <w:sz w:val="20"/>
                <w:highlight w:val="none"/>
              </w:rPr>
            </w:pPr>
          </w:p>
        </w:tc>
        <w:tc>
          <w:tcPr>
            <w:tcW w:w="635" w:type="dxa"/>
            <w:tcBorders>
              <w:top w:val="single" w:color="000000" w:sz="6" w:space="0"/>
              <w:bottom w:val="single" w:color="000000" w:sz="6" w:space="0"/>
            </w:tcBorders>
          </w:tcPr>
          <w:p w14:paraId="503A66D3">
            <w:pPr>
              <w:pStyle w:val="55"/>
              <w:adjustRightInd w:val="0"/>
              <w:snapToGrid w:val="0"/>
              <w:spacing w:line="560" w:lineRule="exact"/>
              <w:rPr>
                <w:rFonts w:ascii="Times New Roman"/>
                <w:color w:val="auto"/>
                <w:sz w:val="20"/>
                <w:highlight w:val="none"/>
              </w:rPr>
            </w:pPr>
          </w:p>
        </w:tc>
        <w:tc>
          <w:tcPr>
            <w:tcW w:w="1687" w:type="dxa"/>
            <w:tcBorders>
              <w:top w:val="single" w:color="000000" w:sz="6" w:space="0"/>
              <w:bottom w:val="single" w:color="000000" w:sz="6" w:space="0"/>
            </w:tcBorders>
          </w:tcPr>
          <w:p w14:paraId="75293D2B">
            <w:pPr>
              <w:pStyle w:val="55"/>
              <w:adjustRightInd w:val="0"/>
              <w:snapToGrid w:val="0"/>
              <w:spacing w:line="560" w:lineRule="exact"/>
              <w:rPr>
                <w:rFonts w:ascii="Times New Roman"/>
                <w:color w:val="auto"/>
                <w:sz w:val="20"/>
                <w:highlight w:val="none"/>
              </w:rPr>
            </w:pPr>
          </w:p>
        </w:tc>
      </w:tr>
      <w:tr w14:paraId="1F24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tcBorders>
          </w:tcPr>
          <w:p w14:paraId="075E9D29">
            <w:pPr>
              <w:pStyle w:val="55"/>
              <w:adjustRightInd w:val="0"/>
              <w:snapToGrid w:val="0"/>
              <w:spacing w:line="560" w:lineRule="exact"/>
              <w:jc w:val="center"/>
              <w:rPr>
                <w:color w:val="auto"/>
                <w:highlight w:val="none"/>
              </w:rPr>
            </w:pPr>
          </w:p>
        </w:tc>
        <w:tc>
          <w:tcPr>
            <w:tcW w:w="1685" w:type="dxa"/>
            <w:tcBorders>
              <w:top w:val="single" w:color="000000" w:sz="6" w:space="0"/>
            </w:tcBorders>
          </w:tcPr>
          <w:p w14:paraId="6DE8838A">
            <w:pPr>
              <w:pStyle w:val="55"/>
              <w:adjustRightInd w:val="0"/>
              <w:snapToGrid w:val="0"/>
              <w:spacing w:line="560" w:lineRule="exact"/>
              <w:rPr>
                <w:rFonts w:ascii="Times New Roman"/>
                <w:color w:val="auto"/>
                <w:sz w:val="20"/>
                <w:highlight w:val="none"/>
              </w:rPr>
            </w:pPr>
          </w:p>
        </w:tc>
        <w:tc>
          <w:tcPr>
            <w:tcW w:w="794" w:type="dxa"/>
            <w:tcBorders>
              <w:top w:val="single" w:color="000000" w:sz="6" w:space="0"/>
            </w:tcBorders>
          </w:tcPr>
          <w:p w14:paraId="12016B09">
            <w:pPr>
              <w:pStyle w:val="55"/>
              <w:adjustRightInd w:val="0"/>
              <w:snapToGrid w:val="0"/>
              <w:spacing w:line="560" w:lineRule="exact"/>
              <w:rPr>
                <w:rFonts w:ascii="Times New Roman"/>
                <w:color w:val="auto"/>
                <w:sz w:val="20"/>
                <w:highlight w:val="none"/>
              </w:rPr>
            </w:pPr>
          </w:p>
        </w:tc>
        <w:tc>
          <w:tcPr>
            <w:tcW w:w="794" w:type="dxa"/>
            <w:tcBorders>
              <w:top w:val="single" w:color="000000" w:sz="6" w:space="0"/>
            </w:tcBorders>
          </w:tcPr>
          <w:p w14:paraId="3E9C9A0C">
            <w:pPr>
              <w:pStyle w:val="55"/>
              <w:adjustRightInd w:val="0"/>
              <w:snapToGrid w:val="0"/>
              <w:spacing w:line="560" w:lineRule="exact"/>
              <w:rPr>
                <w:rFonts w:ascii="Times New Roman"/>
                <w:color w:val="auto"/>
                <w:sz w:val="20"/>
                <w:highlight w:val="none"/>
              </w:rPr>
            </w:pPr>
          </w:p>
        </w:tc>
        <w:tc>
          <w:tcPr>
            <w:tcW w:w="794" w:type="dxa"/>
            <w:tcBorders>
              <w:top w:val="single" w:color="000000" w:sz="6" w:space="0"/>
            </w:tcBorders>
          </w:tcPr>
          <w:p w14:paraId="0B1452C5">
            <w:pPr>
              <w:pStyle w:val="55"/>
              <w:adjustRightInd w:val="0"/>
              <w:snapToGrid w:val="0"/>
              <w:spacing w:line="560" w:lineRule="exact"/>
              <w:rPr>
                <w:rFonts w:ascii="Times New Roman"/>
                <w:color w:val="auto"/>
                <w:sz w:val="20"/>
                <w:highlight w:val="none"/>
              </w:rPr>
            </w:pPr>
          </w:p>
        </w:tc>
        <w:tc>
          <w:tcPr>
            <w:tcW w:w="791" w:type="dxa"/>
            <w:tcBorders>
              <w:top w:val="single" w:color="000000" w:sz="6" w:space="0"/>
            </w:tcBorders>
          </w:tcPr>
          <w:p w14:paraId="2CA31A4E">
            <w:pPr>
              <w:pStyle w:val="55"/>
              <w:adjustRightInd w:val="0"/>
              <w:snapToGrid w:val="0"/>
              <w:spacing w:line="560" w:lineRule="exact"/>
              <w:rPr>
                <w:rFonts w:ascii="Times New Roman"/>
                <w:color w:val="auto"/>
                <w:sz w:val="20"/>
                <w:highlight w:val="none"/>
              </w:rPr>
            </w:pPr>
          </w:p>
        </w:tc>
        <w:tc>
          <w:tcPr>
            <w:tcW w:w="635" w:type="dxa"/>
            <w:tcBorders>
              <w:top w:val="single" w:color="000000" w:sz="6" w:space="0"/>
            </w:tcBorders>
          </w:tcPr>
          <w:p w14:paraId="34024152">
            <w:pPr>
              <w:pStyle w:val="55"/>
              <w:adjustRightInd w:val="0"/>
              <w:snapToGrid w:val="0"/>
              <w:spacing w:line="560" w:lineRule="exact"/>
              <w:rPr>
                <w:rFonts w:ascii="Times New Roman"/>
                <w:color w:val="auto"/>
                <w:sz w:val="20"/>
                <w:highlight w:val="none"/>
              </w:rPr>
            </w:pPr>
          </w:p>
        </w:tc>
        <w:tc>
          <w:tcPr>
            <w:tcW w:w="1687" w:type="dxa"/>
            <w:tcBorders>
              <w:top w:val="single" w:color="000000" w:sz="6" w:space="0"/>
            </w:tcBorders>
          </w:tcPr>
          <w:p w14:paraId="6729542F">
            <w:pPr>
              <w:pStyle w:val="55"/>
              <w:adjustRightInd w:val="0"/>
              <w:snapToGrid w:val="0"/>
              <w:spacing w:line="560" w:lineRule="exact"/>
              <w:rPr>
                <w:rFonts w:ascii="Times New Roman"/>
                <w:color w:val="auto"/>
                <w:sz w:val="20"/>
                <w:highlight w:val="none"/>
              </w:rPr>
            </w:pPr>
          </w:p>
        </w:tc>
      </w:tr>
    </w:tbl>
    <w:p w14:paraId="2D0F5C92">
      <w:pPr>
        <w:pStyle w:val="11"/>
        <w:adjustRightInd w:val="0"/>
        <w:snapToGrid w:val="0"/>
        <w:spacing w:line="560" w:lineRule="exact"/>
        <w:ind w:firstLine="420"/>
        <w:rPr>
          <w:color w:val="auto"/>
          <w:highlight w:val="none"/>
        </w:rPr>
      </w:pPr>
      <w:r>
        <w:rPr>
          <w:color w:val="auto"/>
          <w:highlight w:val="none"/>
        </w:rPr>
        <w:t>注：</w:t>
      </w:r>
      <w:r>
        <w:rPr>
          <w:rFonts w:hint="eastAsia"/>
          <w:color w:val="auto"/>
          <w:highlight w:val="none"/>
        </w:rPr>
        <w:t>1、投标人按上表内容进行填写</w:t>
      </w:r>
      <w:r>
        <w:rPr>
          <w:color w:val="auto"/>
          <w:highlight w:val="none"/>
        </w:rPr>
        <w:t>，采用其他品牌的投标人填写，并注明并提供相关技术参数、业绩等供评标委员会评审，未在上表中注明且未</w:t>
      </w:r>
      <w:r>
        <w:rPr>
          <w:rFonts w:hint="eastAsia"/>
          <w:color w:val="auto"/>
          <w:szCs w:val="21"/>
          <w:highlight w:val="none"/>
          <w:lang w:val="en-US"/>
        </w:rPr>
        <w:t>提供相关技术性能指标</w:t>
      </w:r>
      <w:r>
        <w:rPr>
          <w:rFonts w:hint="eastAsia"/>
          <w:color w:val="auto"/>
          <w:szCs w:val="21"/>
          <w:highlight w:val="none"/>
          <w:lang w:val="en-US" w:eastAsia="zh-CN"/>
        </w:rPr>
        <w:t>（通过下列证明材料体现，如检测报告、技术说明、用户证明等)</w:t>
      </w:r>
      <w:r>
        <w:rPr>
          <w:rFonts w:hint="eastAsia"/>
          <w:color w:val="auto"/>
          <w:szCs w:val="21"/>
          <w:highlight w:val="none"/>
          <w:lang w:val="en-US"/>
        </w:rPr>
        <w:t>等供评标委员会评审</w:t>
      </w:r>
      <w:r>
        <w:rPr>
          <w:color w:val="auto"/>
          <w:highlight w:val="none"/>
        </w:rPr>
        <w:t>，经评标委员会评审未通过的，中标后只能从招标人</w:t>
      </w:r>
      <w:r>
        <w:rPr>
          <w:rFonts w:hint="eastAsia"/>
          <w:color w:val="auto"/>
          <w:highlight w:val="none"/>
        </w:rPr>
        <w:t>参考</w:t>
      </w:r>
      <w:r>
        <w:rPr>
          <w:color w:val="auto"/>
          <w:highlight w:val="none"/>
        </w:rPr>
        <w:t>品牌中进行选择，价格不予调整。</w:t>
      </w:r>
    </w:p>
    <w:p w14:paraId="71C6CCE1">
      <w:pPr>
        <w:pStyle w:val="42"/>
        <w:numPr>
          <w:ilvl w:val="0"/>
          <w:numId w:val="13"/>
        </w:numPr>
        <w:tabs>
          <w:tab w:val="left" w:pos="1319"/>
        </w:tabs>
        <w:adjustRightInd w:val="0"/>
        <w:snapToGrid w:val="0"/>
        <w:spacing w:line="560" w:lineRule="exact"/>
        <w:ind w:left="0" w:firstLine="408" w:firstLineChars="200"/>
        <w:rPr>
          <w:color w:val="auto"/>
          <w:spacing w:val="-3"/>
          <w:highlight w:val="none"/>
        </w:rPr>
      </w:pPr>
      <w:r>
        <w:rPr>
          <w:color w:val="auto"/>
          <w:spacing w:val="-3"/>
          <w:highlight w:val="none"/>
        </w:rPr>
        <w:t>对于招标人</w:t>
      </w:r>
      <w:r>
        <w:rPr>
          <w:rFonts w:hint="eastAsia"/>
          <w:color w:val="auto"/>
          <w:spacing w:val="-3"/>
          <w:highlight w:val="none"/>
          <w:lang w:val="en-US"/>
        </w:rPr>
        <w:t>参考</w:t>
      </w:r>
      <w:r>
        <w:rPr>
          <w:color w:val="auto"/>
          <w:spacing w:val="-3"/>
          <w:highlight w:val="none"/>
        </w:rPr>
        <w:t>品牌的材料、设备等，投标人如认为招标人</w:t>
      </w:r>
      <w:r>
        <w:rPr>
          <w:rFonts w:hint="eastAsia"/>
          <w:color w:val="auto"/>
          <w:spacing w:val="-3"/>
          <w:highlight w:val="none"/>
          <w:lang w:val="en-US"/>
        </w:rPr>
        <w:t>参考</w:t>
      </w:r>
      <w:r>
        <w:rPr>
          <w:color w:val="auto"/>
          <w:spacing w:val="-3"/>
          <w:highlight w:val="none"/>
        </w:rPr>
        <w:t>的品牌有限定性、唯一性、明显不在同一档次等级的或者其他疑问的，应在本项目澄清提出的截止时间前通过电子交易系统</w:t>
      </w:r>
      <w:r>
        <w:rPr>
          <w:rFonts w:hint="eastAsia"/>
          <w:color w:val="auto"/>
          <w:spacing w:val="-3"/>
          <w:highlight w:val="none"/>
        </w:rPr>
        <w:t>。</w:t>
      </w:r>
    </w:p>
    <w:p w14:paraId="072E563A">
      <w:pPr>
        <w:pStyle w:val="42"/>
        <w:tabs>
          <w:tab w:val="left" w:pos="1319"/>
        </w:tabs>
        <w:adjustRightInd w:val="0"/>
        <w:snapToGrid w:val="0"/>
        <w:spacing w:line="560" w:lineRule="exact"/>
        <w:ind w:left="0" w:firstLine="0"/>
        <w:rPr>
          <w:color w:val="auto"/>
          <w:spacing w:val="-3"/>
          <w:highlight w:val="none"/>
        </w:rPr>
      </w:pPr>
    </w:p>
    <w:p w14:paraId="3D1B64FC">
      <w:pPr>
        <w:rPr>
          <w:color w:val="auto"/>
          <w:highlight w:val="none"/>
        </w:rPr>
      </w:pPr>
      <w:r>
        <w:rPr>
          <w:rFonts w:hint="eastAsia"/>
          <w:color w:val="auto"/>
          <w:highlight w:val="none"/>
        </w:rPr>
        <w:br w:type="page"/>
      </w:r>
    </w:p>
    <w:p w14:paraId="513D0E29">
      <w:pPr>
        <w:pStyle w:val="4"/>
        <w:adjustRightInd w:val="0"/>
        <w:snapToGrid w:val="0"/>
        <w:spacing w:line="560" w:lineRule="exact"/>
        <w:jc w:val="center"/>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）技术参数响应承诺书</w:t>
      </w:r>
    </w:p>
    <w:p w14:paraId="5F4E6379">
      <w:pPr>
        <w:spacing w:line="520" w:lineRule="exact"/>
        <w:ind w:left="26" w:right="16" w:firstLine="634" w:firstLineChars="271"/>
        <w:jc w:val="left"/>
        <w:rPr>
          <w:rFonts w:ascii="宋体" w:hAnsi="宋体" w:cs="宋体"/>
          <w:color w:val="auto"/>
          <w:sz w:val="24"/>
          <w:highlight w:val="none"/>
        </w:rPr>
      </w:pPr>
      <w:r>
        <w:rPr>
          <w:rFonts w:ascii="宋体" w:hAnsi="宋体" w:cs="宋体"/>
          <w:color w:val="auto"/>
          <w:spacing w:val="-3"/>
          <w:sz w:val="24"/>
          <w:highlight w:val="none"/>
        </w:rPr>
        <w:t xml:space="preserve">我公司承诺所提供的产品 </w:t>
      </w:r>
      <w:r>
        <w:rPr>
          <w:rFonts w:ascii="宋体" w:hAnsi="宋体" w:cs="宋体"/>
          <w:color w:val="auto"/>
          <w:spacing w:val="-3"/>
          <w:sz w:val="24"/>
          <w:highlight w:val="none"/>
          <w:u w:val="single"/>
        </w:rPr>
        <w:t xml:space="preserve">             </w:t>
      </w:r>
      <w:r>
        <w:rPr>
          <w:rFonts w:ascii="宋体" w:hAnsi="宋体" w:cs="宋体"/>
          <w:color w:val="auto"/>
          <w:spacing w:val="-3"/>
          <w:sz w:val="24"/>
          <w:highlight w:val="none"/>
        </w:rPr>
        <w:t>（部分/全部）响应招标文件及技术</w:t>
      </w:r>
      <w:r>
        <w:rPr>
          <w:rFonts w:hint="eastAsia" w:ascii="宋体" w:hAnsi="宋体" w:cs="宋体"/>
          <w:color w:val="auto"/>
          <w:spacing w:val="12"/>
          <w:sz w:val="24"/>
          <w:highlight w:val="none"/>
          <w:lang w:val="en-US" w:eastAsia="zh-CN"/>
        </w:rPr>
        <w:t xml:space="preserve">要求      </w:t>
      </w:r>
      <w:r>
        <w:rPr>
          <w:rFonts w:ascii="宋体" w:hAnsi="宋体" w:cs="宋体"/>
          <w:color w:val="auto"/>
          <w:spacing w:val="-1"/>
          <w:sz w:val="24"/>
          <w:highlight w:val="none"/>
        </w:rPr>
        <w:t>，其中负偏离</w:t>
      </w:r>
      <w:r>
        <w:rPr>
          <w:rFonts w:ascii="宋体" w:hAnsi="宋体" w:cs="宋体"/>
          <w:color w:val="auto"/>
          <w:spacing w:val="-1"/>
          <w:sz w:val="24"/>
          <w:highlight w:val="none"/>
          <w:u w:val="single"/>
        </w:rPr>
        <w:t xml:space="preserve">     </w:t>
      </w:r>
      <w:r>
        <w:rPr>
          <w:rFonts w:ascii="宋体" w:hAnsi="宋体" w:cs="宋体"/>
          <w:color w:val="auto"/>
          <w:spacing w:val="-105"/>
          <w:sz w:val="24"/>
          <w:highlight w:val="none"/>
        </w:rPr>
        <w:t xml:space="preserve"> </w:t>
      </w:r>
      <w:r>
        <w:rPr>
          <w:rFonts w:ascii="宋体" w:hAnsi="宋体" w:cs="宋体"/>
          <w:color w:val="auto"/>
          <w:spacing w:val="-1"/>
          <w:sz w:val="24"/>
          <w:highlight w:val="none"/>
        </w:rPr>
        <w:t>项，偏离项明细如下：</w:t>
      </w:r>
    </w:p>
    <w:p w14:paraId="69CD76AE">
      <w:pPr>
        <w:pStyle w:val="11"/>
        <w:numPr>
          <w:ilvl w:val="0"/>
          <w:numId w:val="14"/>
        </w:numPr>
        <w:spacing w:line="520" w:lineRule="exact"/>
        <w:jc w:val="left"/>
        <w:rPr>
          <w:color w:val="auto"/>
          <w:sz w:val="24"/>
          <w:highlight w:val="none"/>
          <w:u w:val="single"/>
        </w:rPr>
      </w:pPr>
      <w:r>
        <w:rPr>
          <w:rFonts w:hint="eastAsia"/>
          <w:color w:val="auto"/>
          <w:sz w:val="24"/>
          <w:highlight w:val="none"/>
          <w:u w:val="single"/>
        </w:rPr>
        <w:t xml:space="preserve">                  </w:t>
      </w:r>
    </w:p>
    <w:p w14:paraId="42052CA5">
      <w:pPr>
        <w:pStyle w:val="11"/>
        <w:numPr>
          <w:ilvl w:val="0"/>
          <w:numId w:val="14"/>
        </w:numPr>
        <w:spacing w:line="520" w:lineRule="exact"/>
        <w:jc w:val="left"/>
        <w:rPr>
          <w:color w:val="auto"/>
          <w:sz w:val="24"/>
          <w:highlight w:val="none"/>
          <w:u w:val="single"/>
        </w:rPr>
      </w:pPr>
      <w:r>
        <w:rPr>
          <w:rFonts w:hint="eastAsia"/>
          <w:color w:val="auto"/>
          <w:sz w:val="24"/>
          <w:highlight w:val="none"/>
          <w:u w:val="single"/>
        </w:rPr>
        <w:t xml:space="preserve">                  </w:t>
      </w:r>
    </w:p>
    <w:p w14:paraId="021993E9">
      <w:pPr>
        <w:pStyle w:val="11"/>
        <w:numPr>
          <w:ilvl w:val="0"/>
          <w:numId w:val="14"/>
        </w:numPr>
        <w:spacing w:line="520" w:lineRule="exact"/>
        <w:jc w:val="left"/>
        <w:rPr>
          <w:color w:val="auto"/>
          <w:sz w:val="24"/>
          <w:highlight w:val="none"/>
          <w:u w:val="single"/>
        </w:rPr>
      </w:pPr>
      <w:r>
        <w:rPr>
          <w:rFonts w:hint="eastAsia"/>
          <w:color w:val="auto"/>
          <w:sz w:val="24"/>
          <w:highlight w:val="none"/>
          <w:u w:val="single"/>
        </w:rPr>
        <w:t xml:space="preserve">                  </w:t>
      </w:r>
    </w:p>
    <w:p w14:paraId="1C9DEDA7">
      <w:pPr>
        <w:pStyle w:val="11"/>
        <w:numPr>
          <w:ilvl w:val="0"/>
          <w:numId w:val="14"/>
        </w:numPr>
        <w:spacing w:line="520" w:lineRule="exact"/>
        <w:jc w:val="left"/>
        <w:rPr>
          <w:color w:val="auto"/>
          <w:sz w:val="24"/>
          <w:highlight w:val="none"/>
          <w:u w:val="single"/>
        </w:rPr>
      </w:pPr>
      <w:r>
        <w:rPr>
          <w:rFonts w:hint="eastAsia"/>
          <w:color w:val="auto"/>
          <w:sz w:val="24"/>
          <w:highlight w:val="none"/>
          <w:u w:val="single"/>
        </w:rPr>
        <w:t xml:space="preserve">                  </w:t>
      </w:r>
    </w:p>
    <w:p w14:paraId="725D06A0">
      <w:pPr>
        <w:pStyle w:val="11"/>
        <w:numPr>
          <w:ilvl w:val="0"/>
          <w:numId w:val="14"/>
        </w:numPr>
        <w:spacing w:line="520" w:lineRule="exact"/>
        <w:jc w:val="left"/>
        <w:rPr>
          <w:color w:val="auto"/>
          <w:sz w:val="24"/>
          <w:highlight w:val="none"/>
          <w:u w:val="single"/>
        </w:rPr>
      </w:pPr>
      <w:r>
        <w:rPr>
          <w:rFonts w:hint="eastAsia"/>
          <w:color w:val="auto"/>
          <w:sz w:val="24"/>
          <w:highlight w:val="none"/>
          <w:u w:val="single"/>
        </w:rPr>
        <w:t xml:space="preserve">                  </w:t>
      </w:r>
    </w:p>
    <w:p w14:paraId="23DAB3D0">
      <w:pPr>
        <w:pStyle w:val="11"/>
        <w:spacing w:line="520" w:lineRule="exact"/>
        <w:ind w:left="600"/>
        <w:jc w:val="left"/>
        <w:rPr>
          <w:color w:val="auto"/>
          <w:sz w:val="24"/>
          <w:highlight w:val="none"/>
        </w:rPr>
      </w:pPr>
      <w:r>
        <w:rPr>
          <w:rFonts w:hint="eastAsia"/>
          <w:color w:val="auto"/>
          <w:sz w:val="24"/>
          <w:highlight w:val="none"/>
        </w:rPr>
        <w:t>............</w:t>
      </w:r>
    </w:p>
    <w:p w14:paraId="15ABBF6D">
      <w:pPr>
        <w:spacing w:line="520" w:lineRule="exact"/>
        <w:ind w:left="27" w:right="16" w:firstLine="468" w:firstLineChars="200"/>
        <w:jc w:val="left"/>
        <w:rPr>
          <w:rFonts w:ascii="宋体" w:hAnsi="宋体" w:cs="宋体"/>
          <w:color w:val="auto"/>
          <w:sz w:val="24"/>
          <w:highlight w:val="none"/>
        </w:rPr>
      </w:pPr>
      <w:r>
        <w:rPr>
          <w:rFonts w:ascii="宋体" w:hAnsi="宋体" w:cs="宋体"/>
          <w:color w:val="auto"/>
          <w:spacing w:val="-3"/>
          <w:sz w:val="24"/>
          <w:highlight w:val="none"/>
        </w:rPr>
        <w:t>我单位承诺，合同签订后招标人核实我方所投产品达不到上述承诺</w:t>
      </w:r>
      <w:r>
        <w:rPr>
          <w:rFonts w:ascii="宋体" w:hAnsi="宋体" w:cs="宋体"/>
          <w:color w:val="auto"/>
          <w:spacing w:val="-4"/>
          <w:sz w:val="24"/>
          <w:highlight w:val="none"/>
        </w:rPr>
        <w:t>要求的，均按</w:t>
      </w:r>
      <w:r>
        <w:rPr>
          <w:rFonts w:ascii="宋体" w:hAnsi="宋体" w:cs="宋体"/>
          <w:color w:val="auto"/>
          <w:spacing w:val="-3"/>
          <w:sz w:val="24"/>
          <w:highlight w:val="none"/>
        </w:rPr>
        <w:t>我公司违约处理，招标人有权终止合同，由此产生的一切相关责任</w:t>
      </w:r>
      <w:r>
        <w:rPr>
          <w:rFonts w:ascii="宋体" w:hAnsi="宋体" w:cs="宋体"/>
          <w:color w:val="auto"/>
          <w:spacing w:val="-4"/>
          <w:sz w:val="24"/>
          <w:highlight w:val="none"/>
        </w:rPr>
        <w:t>和后果由我公</w:t>
      </w:r>
      <w:r>
        <w:rPr>
          <w:rFonts w:ascii="宋体" w:hAnsi="宋体" w:cs="宋体"/>
          <w:color w:val="auto"/>
          <w:spacing w:val="-2"/>
          <w:sz w:val="24"/>
          <w:highlight w:val="none"/>
        </w:rPr>
        <w:t>司自行承担。</w:t>
      </w:r>
    </w:p>
    <w:p w14:paraId="4C3DBEBF">
      <w:pPr>
        <w:pStyle w:val="11"/>
        <w:spacing w:line="249" w:lineRule="auto"/>
        <w:rPr>
          <w:color w:val="auto"/>
          <w:highlight w:val="none"/>
        </w:rPr>
      </w:pPr>
    </w:p>
    <w:p w14:paraId="78A046C0">
      <w:pPr>
        <w:pStyle w:val="11"/>
        <w:spacing w:line="250" w:lineRule="auto"/>
        <w:rPr>
          <w:color w:val="auto"/>
          <w:highlight w:val="none"/>
        </w:rPr>
      </w:pPr>
    </w:p>
    <w:p w14:paraId="5FE76BDD">
      <w:pPr>
        <w:pStyle w:val="11"/>
        <w:spacing w:line="250" w:lineRule="auto"/>
        <w:rPr>
          <w:color w:val="auto"/>
          <w:highlight w:val="none"/>
        </w:rPr>
      </w:pPr>
    </w:p>
    <w:p w14:paraId="31CE980D">
      <w:pPr>
        <w:adjustRightInd w:val="0"/>
        <w:snapToGrid w:val="0"/>
        <w:spacing w:line="640" w:lineRule="exact"/>
        <w:ind w:firstLine="480" w:firstLineChars="200"/>
        <w:jc w:val="right"/>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rPr>
        <w:t>（签章）</w:t>
      </w:r>
    </w:p>
    <w:p w14:paraId="7F5FCD82">
      <w:pPr>
        <w:adjustRightInd w:val="0"/>
        <w:snapToGrid w:val="0"/>
        <w:spacing w:line="640" w:lineRule="exact"/>
        <w:ind w:firstLine="480" w:firstLineChars="200"/>
        <w:jc w:val="right"/>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（签章）</w:t>
      </w:r>
    </w:p>
    <w:p w14:paraId="1AA19781">
      <w:pPr>
        <w:spacing w:line="640" w:lineRule="exact"/>
        <w:ind w:firstLine="480" w:firstLineChars="200"/>
        <w:jc w:val="right"/>
        <w:rPr>
          <w:rFonts w:ascii="宋体" w:hAnsi="宋体"/>
          <w:color w:val="auto"/>
          <w:sz w:val="24"/>
          <w:highlight w:val="none"/>
        </w:rPr>
      </w:pPr>
      <w:r>
        <w:rPr>
          <w:rFonts w:hint="eastAsia" w:ascii="宋体" w:hAnsi="宋体"/>
          <w:color w:val="auto"/>
          <w:sz w:val="24"/>
          <w:highlight w:val="none"/>
        </w:rPr>
        <w:t>日期：      年   月    日</w:t>
      </w:r>
      <w:bookmarkStart w:id="871" w:name="_Toc95223547"/>
    </w:p>
    <w:p w14:paraId="7C2ABFFA">
      <w:pPr>
        <w:pStyle w:val="4"/>
        <w:adjustRightInd w:val="0"/>
        <w:snapToGrid w:val="0"/>
        <w:spacing w:line="560" w:lineRule="exact"/>
        <w:jc w:val="center"/>
        <w:rPr>
          <w:color w:val="auto"/>
          <w:highlight w:val="none"/>
        </w:rPr>
      </w:pPr>
    </w:p>
    <w:p w14:paraId="36D15D03">
      <w:pPr>
        <w:pStyle w:val="4"/>
        <w:adjustRightInd w:val="0"/>
        <w:snapToGrid w:val="0"/>
        <w:spacing w:line="560" w:lineRule="exact"/>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全国建筑市场监管公共服务平台(四库一平台)企业注册人员网页截图</w:t>
      </w:r>
    </w:p>
    <w:p w14:paraId="25F68E4F">
      <w:pPr>
        <w:pStyle w:val="4"/>
        <w:adjustRightInd w:val="0"/>
        <w:snapToGrid w:val="0"/>
        <w:spacing w:line="560" w:lineRule="exact"/>
        <w:jc w:val="center"/>
        <w:rPr>
          <w:color w:val="auto"/>
          <w:highlight w:val="none"/>
        </w:rPr>
      </w:pPr>
    </w:p>
    <w:p w14:paraId="5AAAAA36">
      <w:pPr>
        <w:pStyle w:val="4"/>
        <w:adjustRightInd w:val="0"/>
        <w:snapToGrid w:val="0"/>
        <w:spacing w:line="560" w:lineRule="exact"/>
        <w:jc w:val="center"/>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）商务标评审所需其他材料（如有）</w:t>
      </w:r>
    </w:p>
    <w:p w14:paraId="74A07414">
      <w:pPr>
        <w:spacing w:line="640" w:lineRule="exact"/>
        <w:ind w:firstLine="420" w:firstLineChars="200"/>
        <w:jc w:val="right"/>
        <w:rPr>
          <w:color w:val="auto"/>
          <w:highlight w:val="none"/>
        </w:rPr>
      </w:pPr>
      <w:r>
        <w:rPr>
          <w:rFonts w:hint="eastAsia"/>
          <w:color w:val="auto"/>
          <w:highlight w:val="none"/>
        </w:rPr>
        <w:br w:type="page"/>
      </w:r>
    </w:p>
    <w:p w14:paraId="646F6AD7">
      <w:pPr>
        <w:pStyle w:val="4"/>
        <w:adjustRightInd w:val="0"/>
        <w:snapToGrid w:val="0"/>
        <w:spacing w:line="560" w:lineRule="exact"/>
        <w:jc w:val="center"/>
        <w:rPr>
          <w:rFonts w:ascii="宋体" w:hAnsi="宋体" w:cs="宋体"/>
          <w:color w:val="auto"/>
          <w:kern w:val="44"/>
          <w:sz w:val="36"/>
          <w:szCs w:val="36"/>
          <w:highlight w:val="none"/>
        </w:rPr>
      </w:pPr>
      <w:r>
        <w:rPr>
          <w:rFonts w:hint="eastAsia" w:ascii="宋体" w:hAnsi="宋体" w:cs="宋体"/>
          <w:color w:val="auto"/>
          <w:kern w:val="44"/>
          <w:sz w:val="36"/>
          <w:szCs w:val="36"/>
          <w:highlight w:val="none"/>
        </w:rPr>
        <w:t>第十章  招标</w:t>
      </w:r>
      <w:bookmarkStart w:id="872" w:name="_Toc60061593"/>
      <w:r>
        <w:rPr>
          <w:rFonts w:hint="eastAsia" w:ascii="宋体" w:hAnsi="宋体" w:cs="宋体"/>
          <w:color w:val="auto"/>
          <w:kern w:val="44"/>
          <w:sz w:val="36"/>
          <w:szCs w:val="36"/>
          <w:highlight w:val="none"/>
        </w:rPr>
        <w:t>人、招标代理机构对本招标文件的确认</w:t>
      </w:r>
      <w:bookmarkEnd w:id="871"/>
      <w:bookmarkEnd w:id="87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572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tcPr>
          <w:p w14:paraId="4BB713B4">
            <w:pPr>
              <w:adjustRightInd w:val="0"/>
              <w:snapToGrid w:val="0"/>
              <w:spacing w:line="560" w:lineRule="exact"/>
              <w:rPr>
                <w:color w:val="auto"/>
                <w:sz w:val="30"/>
                <w:highlight w:val="none"/>
              </w:rPr>
            </w:pPr>
          </w:p>
          <w:p w14:paraId="3B4A519F">
            <w:pPr>
              <w:adjustRightInd w:val="0"/>
              <w:snapToGrid w:val="0"/>
              <w:spacing w:line="560" w:lineRule="exact"/>
              <w:ind w:firstLine="700" w:firstLineChars="250"/>
              <w:rPr>
                <w:color w:val="auto"/>
                <w:sz w:val="28"/>
                <w:szCs w:val="28"/>
                <w:highlight w:val="none"/>
              </w:rPr>
            </w:pPr>
            <w:r>
              <w:rPr>
                <w:rFonts w:hint="eastAsia"/>
                <w:color w:val="auto"/>
                <w:sz w:val="28"/>
                <w:szCs w:val="28"/>
                <w:highlight w:val="none"/>
              </w:rPr>
              <w:t>我单位对</w:t>
            </w:r>
            <w:r>
              <w:rPr>
                <w:rFonts w:hint="eastAsia" w:ascii="宋体" w:hAnsi="宋体" w:cs="宋体"/>
                <w:b/>
                <w:color w:val="auto"/>
                <w:kern w:val="0"/>
                <w:sz w:val="28"/>
                <w:szCs w:val="28"/>
                <w:highlight w:val="none"/>
                <w:u w:val="single"/>
              </w:rPr>
              <w:t xml:space="preserve"> </w:t>
            </w:r>
            <w:bookmarkStart w:id="873" w:name="_Toc60061594"/>
            <w:bookmarkStart w:id="874" w:name="_Toc15058950"/>
            <w:bookmarkStart w:id="875" w:name="_Toc506107366"/>
            <w:r>
              <w:rPr>
                <w:rFonts w:hint="eastAsia" w:ascii="宋体" w:hAnsi="宋体" w:cs="宋体"/>
                <w:b/>
                <w:color w:val="auto"/>
                <w:kern w:val="0"/>
                <w:sz w:val="28"/>
                <w:szCs w:val="28"/>
                <w:highlight w:val="none"/>
                <w:u w:val="single"/>
              </w:rPr>
              <w:t xml:space="preserve"> 滁州市自来水有限公司水厂水质保障提升</w:t>
            </w:r>
            <w:r>
              <w:rPr>
                <w:rFonts w:hint="eastAsia" w:ascii="宋体" w:hAnsi="宋体" w:cs="宋体"/>
                <w:b/>
                <w:color w:val="auto"/>
                <w:kern w:val="0"/>
                <w:sz w:val="28"/>
                <w:szCs w:val="28"/>
                <w:highlight w:val="none"/>
                <w:u w:val="single"/>
                <w:lang w:val="en-US" w:eastAsia="zh-CN"/>
              </w:rPr>
              <w:t>改造</w:t>
            </w:r>
            <w:r>
              <w:rPr>
                <w:rFonts w:hint="eastAsia" w:ascii="宋体" w:hAnsi="宋体" w:cs="宋体"/>
                <w:b/>
                <w:color w:val="auto"/>
                <w:kern w:val="0"/>
                <w:sz w:val="28"/>
                <w:szCs w:val="28"/>
                <w:highlight w:val="none"/>
                <w:u w:val="single"/>
              </w:rPr>
              <w:t>项目</w:t>
            </w:r>
            <w:r>
              <w:rPr>
                <w:rFonts w:hint="eastAsia" w:ascii="宋体" w:hAnsi="宋体" w:cs="宋体"/>
                <w:b/>
                <w:color w:val="auto"/>
                <w:kern w:val="0"/>
                <w:sz w:val="28"/>
                <w:szCs w:val="28"/>
                <w:highlight w:val="none"/>
                <w:u w:val="single"/>
                <w:lang w:eastAsia="zh-CN"/>
              </w:rPr>
              <w:t>（</w:t>
            </w:r>
            <w:r>
              <w:rPr>
                <w:rFonts w:hint="eastAsia" w:ascii="宋体" w:hAnsi="宋体" w:cs="宋体"/>
                <w:b/>
                <w:color w:val="auto"/>
                <w:kern w:val="0"/>
                <w:sz w:val="28"/>
                <w:szCs w:val="28"/>
                <w:highlight w:val="none"/>
                <w:u w:val="single"/>
                <w:lang w:val="en-US" w:eastAsia="zh-CN"/>
              </w:rPr>
              <w:t>三次）</w:t>
            </w:r>
            <w:r>
              <w:rPr>
                <w:rFonts w:hint="eastAsia"/>
                <w:color w:val="auto"/>
                <w:sz w:val="28"/>
                <w:szCs w:val="28"/>
                <w:highlight w:val="none"/>
                <w:u w:val="single"/>
              </w:rPr>
              <w:t xml:space="preserve"> </w:t>
            </w:r>
            <w:r>
              <w:rPr>
                <w:rFonts w:hint="eastAsia" w:ascii="宋体" w:hAnsi="宋体" w:cs="宋体"/>
                <w:color w:val="auto"/>
                <w:kern w:val="0"/>
                <w:sz w:val="28"/>
                <w:szCs w:val="28"/>
                <w:highlight w:val="none"/>
              </w:rPr>
              <w:t>施工招</w:t>
            </w:r>
            <w:bookmarkEnd w:id="873"/>
            <w:bookmarkEnd w:id="874"/>
            <w:bookmarkEnd w:id="875"/>
            <w:r>
              <w:rPr>
                <w:rFonts w:hint="eastAsia" w:ascii="宋体" w:hAnsi="宋体" w:cs="宋体"/>
                <w:color w:val="auto"/>
                <w:kern w:val="0"/>
                <w:sz w:val="28"/>
                <w:szCs w:val="28"/>
                <w:highlight w:val="none"/>
              </w:rPr>
              <w:t>标</w:t>
            </w:r>
            <w:r>
              <w:rPr>
                <w:rFonts w:hint="eastAsia"/>
                <w:color w:val="auto"/>
                <w:sz w:val="28"/>
                <w:szCs w:val="28"/>
                <w:highlight w:val="none"/>
              </w:rPr>
              <w:t>的招标文件进行确认。</w:t>
            </w:r>
          </w:p>
          <w:p w14:paraId="527498C1">
            <w:pPr>
              <w:adjustRightInd w:val="0"/>
              <w:snapToGrid w:val="0"/>
              <w:spacing w:line="560" w:lineRule="exact"/>
              <w:rPr>
                <w:rFonts w:ascii="宋体" w:hAnsi="宋体"/>
                <w:color w:val="auto"/>
                <w:sz w:val="28"/>
                <w:szCs w:val="28"/>
                <w:highlight w:val="none"/>
              </w:rPr>
            </w:pPr>
            <w:r>
              <w:rPr>
                <w:rFonts w:hint="eastAsia"/>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color w:val="auto"/>
                <w:sz w:val="28"/>
                <w:szCs w:val="28"/>
                <w:highlight w:val="none"/>
              </w:rPr>
              <w:t xml:space="preserve">招 标 人：滁州市自来水有限公司      </w:t>
            </w:r>
          </w:p>
          <w:p w14:paraId="2C3F632B">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联 系 人：黄胜前 </w:t>
            </w:r>
          </w:p>
          <w:p w14:paraId="34A0AE2E">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联系电话：0550-3068029</w:t>
            </w:r>
          </w:p>
          <w:p w14:paraId="1EB08FDD">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p>
          <w:p w14:paraId="0F967E74">
            <w:pPr>
              <w:adjustRightInd w:val="0"/>
              <w:snapToGrid w:val="0"/>
              <w:spacing w:line="560" w:lineRule="exact"/>
              <w:ind w:firstLine="6580" w:firstLineChars="2350"/>
              <w:rPr>
                <w:rFonts w:ascii="宋体" w:hAnsi="宋体"/>
                <w:color w:val="auto"/>
                <w:sz w:val="28"/>
                <w:szCs w:val="28"/>
                <w:highlight w:val="none"/>
              </w:rPr>
            </w:pPr>
            <w:r>
              <w:rPr>
                <w:rFonts w:hint="eastAsia" w:ascii="宋体" w:hAnsi="宋体"/>
                <w:color w:val="auto"/>
                <w:sz w:val="28"/>
                <w:szCs w:val="28"/>
                <w:highlight w:val="none"/>
              </w:rPr>
              <w:t>（</w:t>
            </w:r>
            <w:r>
              <w:rPr>
                <w:rFonts w:eastAsia="黑体"/>
                <w:color w:val="auto"/>
                <w:sz w:val="28"/>
                <w:szCs w:val="28"/>
                <w:highlight w:val="none"/>
              </w:rPr>
              <w:t>签</w:t>
            </w:r>
            <w:r>
              <w:rPr>
                <w:rFonts w:hint="eastAsia" w:eastAsia="黑体"/>
                <w:color w:val="auto"/>
                <w:sz w:val="28"/>
                <w:szCs w:val="28"/>
                <w:highlight w:val="none"/>
              </w:rPr>
              <w:t>章</w:t>
            </w:r>
            <w:r>
              <w:rPr>
                <w:rFonts w:hint="eastAsia" w:ascii="宋体" w:hAnsi="宋体"/>
                <w:color w:val="auto"/>
                <w:sz w:val="28"/>
                <w:szCs w:val="28"/>
                <w:highlight w:val="none"/>
              </w:rPr>
              <w:t>）</w:t>
            </w:r>
          </w:p>
          <w:p w14:paraId="0C09B292">
            <w:pPr>
              <w:adjustRightInd w:val="0"/>
              <w:snapToGrid w:val="0"/>
              <w:spacing w:line="560" w:lineRule="exact"/>
              <w:ind w:firstLine="5040" w:firstLineChars="1800"/>
              <w:rPr>
                <w:color w:val="auto"/>
                <w:sz w:val="30"/>
                <w:highlight w:val="none"/>
              </w:rPr>
            </w:pPr>
            <w:r>
              <w:rPr>
                <w:rFonts w:hint="eastAsia" w:ascii="宋体" w:hAnsi="宋体"/>
                <w:color w:val="auto"/>
                <w:sz w:val="28"/>
                <w:szCs w:val="28"/>
                <w:highlight w:val="none"/>
              </w:rPr>
              <w:t xml:space="preserve">         2025年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日</w:t>
            </w:r>
          </w:p>
        </w:tc>
      </w:tr>
      <w:tr w14:paraId="7FF7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tcPr>
          <w:p w14:paraId="1A62487B">
            <w:pPr>
              <w:adjustRightInd w:val="0"/>
              <w:snapToGrid w:val="0"/>
              <w:spacing w:line="560" w:lineRule="exact"/>
              <w:ind w:firstLine="600" w:firstLineChars="200"/>
              <w:rPr>
                <w:color w:val="auto"/>
                <w:sz w:val="30"/>
                <w:highlight w:val="none"/>
              </w:rPr>
            </w:pPr>
          </w:p>
          <w:p w14:paraId="471BF4CE">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招标代理机构：滁州市城投工程咨询管理有限公司</w:t>
            </w:r>
          </w:p>
          <w:p w14:paraId="25AB5CF3">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联系人：杨韦</w:t>
            </w:r>
          </w:p>
          <w:p w14:paraId="433341EC">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联系电话：0550-3519590</w:t>
            </w:r>
          </w:p>
          <w:p w14:paraId="4FA87A0E">
            <w:pPr>
              <w:adjustRightInd w:val="0"/>
              <w:snapToGrid w:val="0"/>
              <w:spacing w:line="560" w:lineRule="exact"/>
              <w:ind w:firstLine="280" w:firstLineChars="100"/>
              <w:rPr>
                <w:color w:val="auto"/>
                <w:sz w:val="28"/>
                <w:szCs w:val="28"/>
                <w:highlight w:val="none"/>
              </w:rPr>
            </w:pPr>
            <w:r>
              <w:rPr>
                <w:rFonts w:hint="eastAsia"/>
                <w:color w:val="auto"/>
                <w:sz w:val="28"/>
                <w:szCs w:val="28"/>
                <w:highlight w:val="none"/>
              </w:rPr>
              <w:t xml:space="preserve">                                  </w:t>
            </w:r>
          </w:p>
          <w:p w14:paraId="5323831A">
            <w:pPr>
              <w:adjustRightInd w:val="0"/>
              <w:snapToGrid w:val="0"/>
              <w:spacing w:line="560" w:lineRule="exact"/>
              <w:ind w:firstLine="280" w:firstLineChars="100"/>
              <w:rPr>
                <w:color w:val="auto"/>
                <w:sz w:val="28"/>
                <w:szCs w:val="28"/>
                <w:highlight w:val="none"/>
              </w:rPr>
            </w:pPr>
          </w:p>
          <w:p w14:paraId="1B412894">
            <w:pPr>
              <w:adjustRightInd w:val="0"/>
              <w:snapToGrid w:val="0"/>
              <w:spacing w:line="560" w:lineRule="exact"/>
              <w:ind w:firstLine="280" w:firstLineChars="100"/>
              <w:jc w:val="center"/>
              <w:rPr>
                <w:color w:val="auto"/>
                <w:sz w:val="28"/>
                <w:szCs w:val="28"/>
                <w:highlight w:val="none"/>
              </w:rPr>
            </w:pPr>
            <w:r>
              <w:rPr>
                <w:rFonts w:hint="eastAsia"/>
                <w:color w:val="auto"/>
                <w:sz w:val="28"/>
                <w:szCs w:val="28"/>
                <w:highlight w:val="non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hint="eastAsia"/>
                <w:color w:val="auto"/>
                <w:sz w:val="28"/>
                <w:szCs w:val="28"/>
                <w:highlight w:val="none"/>
              </w:rPr>
              <w:t>）</w:t>
            </w:r>
          </w:p>
          <w:p w14:paraId="42ECE2D0">
            <w:pPr>
              <w:adjustRightInd w:val="0"/>
              <w:snapToGrid w:val="0"/>
              <w:spacing w:line="560" w:lineRule="exact"/>
              <w:ind w:firstLine="4900" w:firstLineChars="1750"/>
              <w:rPr>
                <w:color w:val="auto"/>
                <w:sz w:val="30"/>
                <w:highlight w:val="none"/>
              </w:rPr>
            </w:pPr>
            <w:r>
              <w:rPr>
                <w:rFonts w:hint="eastAsia"/>
                <w:color w:val="auto"/>
                <w:sz w:val="28"/>
                <w:szCs w:val="28"/>
                <w:highlight w:val="none"/>
              </w:rPr>
              <w:t xml:space="preserve">         2025年</w:t>
            </w:r>
            <w:r>
              <w:rPr>
                <w:rFonts w:hint="eastAsia"/>
                <w:color w:val="auto"/>
                <w:sz w:val="28"/>
                <w:szCs w:val="28"/>
                <w:highlight w:val="none"/>
                <w:lang w:val="en-US" w:eastAsia="zh-CN"/>
              </w:rPr>
              <w:t>11</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w:t>
            </w:r>
          </w:p>
        </w:tc>
      </w:tr>
    </w:tbl>
    <w:p w14:paraId="24339F50">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sz w:val="24"/>
          <w:highlight w:val="none"/>
        </w:rPr>
        <w:br w:type="page"/>
      </w:r>
      <w:bookmarkStart w:id="876" w:name="OLE_LINK7"/>
      <w:bookmarkStart w:id="877" w:name="OLE_LINK24"/>
      <w:bookmarkStart w:id="878" w:name="OLE_LINK25"/>
      <w:r>
        <w:rPr>
          <w:rFonts w:hint="eastAsia" w:ascii="黑体" w:hAnsi="黑体" w:eastAsia="黑体"/>
          <w:b/>
          <w:bCs/>
          <w:color w:val="auto"/>
          <w:kern w:val="44"/>
          <w:sz w:val="36"/>
          <w:szCs w:val="28"/>
          <w:highlight w:val="none"/>
        </w:rPr>
        <w:t>附件1 关于联合惩戒失信行为加强信用查询管理的通知</w:t>
      </w:r>
    </w:p>
    <w:bookmarkEnd w:id="876"/>
    <w:p w14:paraId="54381111">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028AFD1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406C69B3">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877"/>
    <w:bookmarkEnd w:id="878"/>
    <w:p w14:paraId="48B2B29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879" w:name="OLE_LINK93"/>
      <w:bookmarkStart w:id="880" w:name="OLE_LINK91"/>
      <w:bookmarkStart w:id="881" w:name="OLE_LINK92"/>
      <w:bookmarkStart w:id="882" w:name="OLE_LINK103"/>
      <w:r>
        <w:rPr>
          <w:rFonts w:hint="eastAsia" w:ascii="仿宋_GB2312" w:hAnsi="宋体" w:eastAsia="仿宋_GB2312"/>
          <w:color w:val="auto"/>
          <w:sz w:val="28"/>
          <w:szCs w:val="28"/>
          <w:highlight w:val="none"/>
        </w:rPr>
        <w:t>投标人、法定代表人及其项目经理(建造师)</w:t>
      </w:r>
      <w:bookmarkEnd w:id="879"/>
      <w:bookmarkEnd w:id="880"/>
      <w:bookmarkEnd w:id="881"/>
      <w:bookmarkEnd w:id="882"/>
      <w:r>
        <w:rPr>
          <w:rFonts w:hint="eastAsia" w:ascii="仿宋_GB2312" w:hAnsi="宋体" w:eastAsia="仿宋_GB2312"/>
          <w:color w:val="auto"/>
          <w:sz w:val="28"/>
          <w:szCs w:val="28"/>
          <w:highlight w:val="none"/>
        </w:rPr>
        <w:t>以下失信行为：</w:t>
      </w:r>
    </w:p>
    <w:p w14:paraId="07048F00">
      <w:pPr>
        <w:adjustRightInd w:val="0"/>
        <w:snapToGrid w:val="0"/>
        <w:spacing w:line="560" w:lineRule="exact"/>
        <w:ind w:firstLine="560" w:firstLineChars="200"/>
        <w:rPr>
          <w:rFonts w:ascii="仿宋_GB2312" w:hAnsi="宋体" w:eastAsia="仿宋_GB2312"/>
          <w:color w:val="auto"/>
          <w:sz w:val="28"/>
          <w:szCs w:val="28"/>
          <w:highlight w:val="none"/>
        </w:rPr>
      </w:pPr>
      <w:bookmarkStart w:id="883" w:name="OLE_LINK119"/>
      <w:bookmarkStart w:id="884" w:name="OLE_LINK94"/>
      <w:bookmarkStart w:id="885" w:name="OLE_LINK86"/>
      <w:bookmarkStart w:id="886" w:name="OLE_LINK87"/>
      <w:r>
        <w:rPr>
          <w:rFonts w:hint="eastAsia" w:ascii="仿宋_GB2312" w:hAnsi="宋体" w:eastAsia="仿宋_GB2312"/>
          <w:color w:val="auto"/>
          <w:sz w:val="28"/>
          <w:szCs w:val="28"/>
          <w:highlight w:val="none"/>
        </w:rPr>
        <w:t>①被列入“失信被执行人”的;</w:t>
      </w:r>
    </w:p>
    <w:p w14:paraId="7F436D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87" w:name="OLE_LINK116"/>
      <w:bookmarkStart w:id="888" w:name="OLE_LINK118"/>
      <w:bookmarkStart w:id="889" w:name="OLE_LINK115"/>
      <w:bookmarkStart w:id="890" w:name="OLE_LINK117"/>
      <w:r>
        <w:rPr>
          <w:rFonts w:hint="eastAsia" w:ascii="仿宋_GB2312" w:hAnsi="宋体" w:eastAsia="仿宋_GB2312"/>
          <w:color w:val="auto"/>
          <w:sz w:val="28"/>
          <w:szCs w:val="28"/>
          <w:highlight w:val="none"/>
        </w:rPr>
        <w:t>“重大税收违法失信主体”</w:t>
      </w:r>
      <w:bookmarkEnd w:id="887"/>
      <w:bookmarkEnd w:id="888"/>
      <w:bookmarkEnd w:id="889"/>
      <w:bookmarkEnd w:id="890"/>
      <w:r>
        <w:rPr>
          <w:rFonts w:hint="eastAsia" w:ascii="仿宋_GB2312" w:hAnsi="宋体" w:eastAsia="仿宋_GB2312"/>
          <w:color w:val="auto"/>
          <w:sz w:val="28"/>
          <w:szCs w:val="28"/>
          <w:highlight w:val="none"/>
        </w:rPr>
        <w:t>的；</w:t>
      </w:r>
    </w:p>
    <w:p w14:paraId="64D1A84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91" w:name="OLE_LINK84"/>
      <w:bookmarkStart w:id="892" w:name="OLE_LINK85"/>
      <w:r>
        <w:rPr>
          <w:rFonts w:hint="eastAsia" w:ascii="仿宋_GB2312" w:hAnsi="宋体" w:eastAsia="仿宋_GB2312"/>
          <w:color w:val="auto"/>
          <w:sz w:val="28"/>
          <w:szCs w:val="28"/>
          <w:highlight w:val="none"/>
        </w:rPr>
        <w:t>农民工工资失信联合惩戒对象</w:t>
      </w:r>
      <w:bookmarkEnd w:id="891"/>
      <w:bookmarkEnd w:id="892"/>
      <w:r>
        <w:rPr>
          <w:rFonts w:hint="eastAsia" w:ascii="仿宋_GB2312" w:hAnsi="宋体" w:eastAsia="仿宋_GB2312"/>
          <w:color w:val="auto"/>
          <w:sz w:val="28"/>
          <w:szCs w:val="28"/>
          <w:highlight w:val="none"/>
        </w:rPr>
        <w:t>名单”的；</w:t>
      </w:r>
    </w:p>
    <w:p w14:paraId="403CBC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3245513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83"/>
    <w:bookmarkEnd w:id="884"/>
    <w:bookmarkEnd w:id="885"/>
    <w:bookmarkEnd w:id="886"/>
    <w:p w14:paraId="50E41F9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893" w:name="OLE_LINK130"/>
      <w:r>
        <w:rPr>
          <w:rFonts w:hint="eastAsia" w:ascii="仿宋_GB2312" w:hAnsi="宋体" w:eastAsia="仿宋_GB2312"/>
          <w:color w:val="auto"/>
          <w:sz w:val="28"/>
          <w:szCs w:val="28"/>
          <w:highlight w:val="none"/>
        </w:rPr>
        <w:t>国家企业信用信息公示系统网站</w:t>
      </w:r>
      <w:bookmarkEnd w:id="893"/>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894" w:name="OLE_LINK89"/>
      <w:bookmarkStart w:id="895" w:name="OLE_LINK90"/>
      <w:r>
        <w:rPr>
          <w:rStyle w:val="33"/>
          <w:rFonts w:hint="eastAsia" w:ascii="仿宋_GB2312" w:hAnsi="宋体" w:eastAsia="仿宋_GB2312"/>
          <w:color w:val="auto"/>
          <w:sz w:val="28"/>
          <w:szCs w:val="28"/>
          <w:highlight w:val="none"/>
        </w:rPr>
        <w:t>www.gsxt.gov.cn</w:t>
      </w:r>
      <w:bookmarkEnd w:id="894"/>
      <w:bookmarkEnd w:id="895"/>
      <w:r>
        <w:rPr>
          <w:rStyle w:val="33"/>
          <w:rFonts w:hint="eastAsia" w:ascii="仿宋_GB2312" w:hAnsi="宋体" w:eastAsia="仿宋_GB2312"/>
          <w:color w:val="auto"/>
          <w:sz w:val="28"/>
          <w:szCs w:val="28"/>
          <w:highlight w:val="none"/>
        </w:rPr>
        <w:t>）</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5CA9FC8D">
      <w:pPr>
        <w:adjustRightInd w:val="0"/>
        <w:snapToGrid w:val="0"/>
        <w:spacing w:line="560" w:lineRule="exact"/>
        <w:ind w:firstLine="560" w:firstLineChars="200"/>
        <w:rPr>
          <w:rFonts w:ascii="仿宋_GB2312" w:hAnsi="宋体" w:eastAsia="仿宋_GB2312"/>
          <w:color w:val="auto"/>
          <w:sz w:val="28"/>
          <w:szCs w:val="28"/>
          <w:highlight w:val="none"/>
        </w:rPr>
      </w:pPr>
      <w:bookmarkStart w:id="896" w:name="OLE_LINK122"/>
      <w:bookmarkStart w:id="897" w:name="OLE_LINK120"/>
      <w:bookmarkStart w:id="898" w:name="OLE_LINK121"/>
      <w:r>
        <w:rPr>
          <w:rFonts w:hint="eastAsia" w:ascii="仿宋_GB2312" w:hAnsi="宋体" w:eastAsia="仿宋_GB2312"/>
          <w:color w:val="auto"/>
          <w:sz w:val="28"/>
          <w:szCs w:val="28"/>
          <w:highlight w:val="none"/>
        </w:rPr>
        <w:t>①被列入“经营异常名录”或者“严重违法失信名单”的。</w:t>
      </w:r>
      <w:bookmarkEnd w:id="896"/>
      <w:bookmarkEnd w:id="897"/>
      <w:bookmarkEnd w:id="898"/>
    </w:p>
    <w:p w14:paraId="78AB725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6F5C763C">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0491F7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52DAB3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7EACF1D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899" w:name="OLE_LINK108"/>
      <w:bookmarkStart w:id="900" w:name="OLE_LINK107"/>
      <w:r>
        <w:rPr>
          <w:rFonts w:hint="eastAsia" w:ascii="仿宋_GB2312" w:hAnsi="宋体" w:eastAsia="仿宋_GB2312"/>
          <w:color w:val="auto"/>
          <w:sz w:val="28"/>
          <w:szCs w:val="28"/>
          <w:highlight w:val="none"/>
        </w:rPr>
        <w:t>县级及以上有关行政主管部门限制投标资格且在限制期限内的</w:t>
      </w:r>
      <w:bookmarkEnd w:id="899"/>
      <w:bookmarkEnd w:id="900"/>
      <w:r>
        <w:rPr>
          <w:rFonts w:hint="eastAsia" w:ascii="仿宋_GB2312" w:hAnsi="宋体" w:eastAsia="仿宋_GB2312"/>
          <w:color w:val="auto"/>
          <w:sz w:val="28"/>
          <w:szCs w:val="28"/>
          <w:highlight w:val="none"/>
        </w:rPr>
        <w:t>；</w:t>
      </w:r>
    </w:p>
    <w:p w14:paraId="5867026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EBA7B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0E335BA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7EAE38F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58B9341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5CA96F5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7D44E05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3A02EF3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A3BA11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3"/>
          <w:rFonts w:hint="eastAsia" w:ascii="仿宋" w:hAnsi="仿宋" w:eastAsia="仿宋"/>
          <w:color w:val="auto"/>
          <w:sz w:val="28"/>
          <w:szCs w:val="28"/>
          <w:highlight w:val="none"/>
        </w:rPr>
        <w:t>www.gsxt.gov.cn）</w:t>
      </w:r>
      <w:r>
        <w:rPr>
          <w:rStyle w:val="33"/>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A561C4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901" w:name="OLE_LINK101"/>
      <w:bookmarkStart w:id="902" w:name="OLE_LINK100"/>
      <w:bookmarkStart w:id="903" w:name="OLE_LINK102"/>
      <w:r>
        <w:rPr>
          <w:rFonts w:hint="eastAsia" w:ascii="仿宋_GB2312" w:hAnsi="宋体" w:eastAsia="仿宋_GB2312"/>
          <w:color w:val="auto"/>
          <w:sz w:val="28"/>
          <w:szCs w:val="28"/>
          <w:highlight w:val="none"/>
        </w:rPr>
        <w:t>被列入“经营异常名录”或者“严重违法失信名单”的</w:t>
      </w:r>
      <w:bookmarkEnd w:id="901"/>
      <w:bookmarkEnd w:id="902"/>
      <w:bookmarkEnd w:id="903"/>
      <w:r>
        <w:rPr>
          <w:rFonts w:hint="eastAsia" w:ascii="仿宋_GB2312" w:hAnsi="宋体" w:eastAsia="仿宋_GB2312"/>
          <w:color w:val="auto"/>
          <w:sz w:val="28"/>
          <w:szCs w:val="28"/>
          <w:highlight w:val="none"/>
        </w:rPr>
        <w:t>。</w:t>
      </w:r>
    </w:p>
    <w:p w14:paraId="7AEB237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904" w:name="OLE_LINK96"/>
      <w:bookmarkStart w:id="905"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33"/>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904"/>
      <w:bookmarkEnd w:id="905"/>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7B6EB80E">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906" w:name="OLE_LINK105"/>
      <w:bookmarkStart w:id="907" w:name="OLE_LINK106"/>
      <w:bookmarkStart w:id="908" w:name="OLE_LINK104"/>
      <w:r>
        <w:rPr>
          <w:rFonts w:hint="eastAsia" w:ascii="仿宋_GB2312" w:hAnsi="宋体" w:eastAsia="仿宋_GB2312"/>
          <w:color w:val="auto"/>
          <w:sz w:val="28"/>
          <w:szCs w:val="28"/>
          <w:highlight w:val="none"/>
        </w:rPr>
        <w:t>被列入“政府采购严重违法失信行为信息记录”的</w:t>
      </w:r>
      <w:bookmarkEnd w:id="906"/>
      <w:bookmarkEnd w:id="907"/>
      <w:bookmarkEnd w:id="908"/>
      <w:r>
        <w:rPr>
          <w:rFonts w:hint="eastAsia" w:ascii="仿宋_GB2312" w:hAnsi="宋体" w:eastAsia="仿宋_GB2312" w:cs="楷体"/>
          <w:color w:val="auto"/>
          <w:sz w:val="28"/>
          <w:szCs w:val="28"/>
          <w:highlight w:val="none"/>
        </w:rPr>
        <w:t>。</w:t>
      </w:r>
    </w:p>
    <w:p w14:paraId="0DE998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26D314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8578D02">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71141EF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4F817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0D3D1D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4A1EF0C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A78EC3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BE505B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DEB09AE">
      <w:pPr>
        <w:wordWrap w:val="0"/>
        <w:adjustRightInd w:val="0"/>
        <w:snapToGrid w:val="0"/>
        <w:spacing w:line="560" w:lineRule="exact"/>
        <w:ind w:firstLine="560" w:firstLineChars="200"/>
        <w:rPr>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3"/>
          <w:rFonts w:hint="eastAsia" w:ascii="仿宋_GB2312" w:hAnsi="宋体" w:eastAsia="仿宋_GB2312"/>
          <w:color w:val="auto"/>
          <w:sz w:val="28"/>
          <w:szCs w:val="28"/>
          <w:highlight w:val="none"/>
        </w:rPr>
        <w:t>https://credit.ah.gov.cn/xinyong-fuwu/xvbahv/index.html</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BB4885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8101B4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53AD2336">
      <w:pPr>
        <w:rPr>
          <w:color w:val="auto"/>
          <w:highlight w:val="none"/>
        </w:rPr>
      </w:pPr>
      <w:r>
        <w:rPr>
          <w:color w:val="auto"/>
          <w:highlight w:val="none"/>
        </w:rPr>
        <w:br w:type="page"/>
      </w:r>
    </w:p>
    <w:p w14:paraId="535424C5">
      <w:pPr>
        <w:keepNext/>
        <w:keepLines/>
        <w:spacing w:before="200" w:after="200" w:line="600" w:lineRule="exact"/>
        <w:outlineLvl w:val="0"/>
        <w:rPr>
          <w:rFonts w:ascii="黑体" w:hAnsi="黑体" w:eastAsia="黑体"/>
          <w:b/>
          <w:bCs/>
          <w:color w:val="auto"/>
          <w:kern w:val="44"/>
          <w:sz w:val="36"/>
          <w:szCs w:val="28"/>
          <w:highlight w:val="none"/>
        </w:rPr>
      </w:pPr>
      <w:bookmarkStart w:id="909" w:name="_Toc95223549"/>
      <w:bookmarkStart w:id="910" w:name="OLE_LINK41"/>
      <w:bookmarkStart w:id="911" w:name="OLE_LINK31"/>
      <w:bookmarkStart w:id="912" w:name="OLE_LINK32"/>
      <w:r>
        <w:rPr>
          <w:rFonts w:hint="eastAsia" w:ascii="黑体" w:hAnsi="黑体" w:eastAsia="黑体"/>
          <w:b/>
          <w:bCs/>
          <w:color w:val="auto"/>
          <w:kern w:val="44"/>
          <w:sz w:val="36"/>
          <w:szCs w:val="28"/>
          <w:highlight w:val="none"/>
        </w:rPr>
        <w:t xml:space="preserve">附件2 </w:t>
      </w:r>
      <w:bookmarkStart w:id="913" w:name="OLE_LINK75"/>
      <w:bookmarkStart w:id="914" w:name="OLE_LINK74"/>
      <w:r>
        <w:rPr>
          <w:rFonts w:hint="eastAsia" w:ascii="黑体" w:hAnsi="黑体" w:eastAsia="黑体"/>
          <w:b/>
          <w:bCs/>
          <w:color w:val="auto"/>
          <w:kern w:val="44"/>
          <w:sz w:val="36"/>
          <w:szCs w:val="28"/>
          <w:highlight w:val="none"/>
        </w:rPr>
        <w:t>“信用中国”查询的严重失信行为</w:t>
      </w:r>
      <w:bookmarkStart w:id="915" w:name="OLE_LINK38"/>
      <w:bookmarkStart w:id="916" w:name="OLE_LINK39"/>
      <w:bookmarkStart w:id="917" w:name="OLE_LINK76"/>
      <w:bookmarkStart w:id="918" w:name="OLE_LINK40"/>
      <w:r>
        <w:rPr>
          <w:rFonts w:hint="eastAsia" w:ascii="黑体" w:hAnsi="黑体" w:eastAsia="黑体"/>
          <w:b/>
          <w:bCs/>
          <w:color w:val="auto"/>
          <w:kern w:val="44"/>
          <w:sz w:val="36"/>
          <w:szCs w:val="28"/>
          <w:highlight w:val="none"/>
        </w:rPr>
        <w:t>类别及判定依据</w:t>
      </w:r>
      <w:bookmarkEnd w:id="909"/>
      <w:bookmarkEnd w:id="913"/>
      <w:bookmarkEnd w:id="914"/>
      <w:bookmarkEnd w:id="915"/>
      <w:bookmarkEnd w:id="916"/>
      <w:bookmarkEnd w:id="917"/>
      <w:bookmarkEnd w:id="918"/>
    </w:p>
    <w:bookmarkEnd w:id="910"/>
    <w:bookmarkEnd w:id="911"/>
    <w:bookmarkEnd w:id="912"/>
    <w:p w14:paraId="297236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37C3A393">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55F2811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631A14C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6552C64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501EFB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B33AE5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21CA972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068F85D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15241C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79D950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14662D6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450B9E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25694132">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2CA402CD">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3B26240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环境犯罪</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FB23FB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建设项目环境影响评价</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390442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竣工环保验收</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42F75BF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2A8C886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AB6A86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渗井</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大气污染物</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33F2E7E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经营许可证</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590D527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环境违法行为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1311656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国家重点生态功能区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基本农田保护区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2714B57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5D476BD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4787648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4F20530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5024A47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C68E3A3">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19" w:name="OLE_LINK8"/>
      <w:bookmarkStart w:id="920" w:name="OLE_LINK10"/>
      <w:bookmarkStart w:id="921"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919"/>
      <w:bookmarkEnd w:id="920"/>
      <w:bookmarkEnd w:id="921"/>
      <w:r>
        <w:rPr>
          <w:rFonts w:hint="eastAsia" w:ascii="仿宋_GB2312" w:hAnsi="宋体" w:eastAsia="仿宋_GB2312"/>
          <w:b/>
          <w:color w:val="auto"/>
          <w:sz w:val="28"/>
          <w:szCs w:val="28"/>
          <w:highlight w:val="none"/>
        </w:rPr>
        <w:t>》、《</w:t>
      </w:r>
      <w:bookmarkStart w:id="922" w:name="OLE_LINK12"/>
      <w:bookmarkStart w:id="923" w:name="OLE_LINK11"/>
      <w:r>
        <w:rPr>
          <w:rFonts w:hint="eastAsia" w:ascii="仿宋_GB2312" w:hAnsi="宋体" w:eastAsia="仿宋_GB2312"/>
          <w:b/>
          <w:color w:val="auto"/>
          <w:sz w:val="28"/>
          <w:szCs w:val="28"/>
          <w:highlight w:val="none"/>
        </w:rPr>
        <w:t>企业环境信用评价办法（试行）</w:t>
      </w:r>
      <w:bookmarkEnd w:id="922"/>
      <w:bookmarkEnd w:id="923"/>
      <w:r>
        <w:rPr>
          <w:rFonts w:hint="eastAsia" w:ascii="仿宋_GB2312" w:hAnsi="宋体" w:eastAsia="仿宋_GB2312"/>
          <w:b/>
          <w:color w:val="auto"/>
          <w:sz w:val="28"/>
          <w:szCs w:val="28"/>
          <w:highlight w:val="none"/>
        </w:rPr>
        <w:t>》（环发〔2013〕150号）</w:t>
      </w:r>
    </w:p>
    <w:p w14:paraId="76B44AC6">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5FDE3565">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5669380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1897982">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2CE1E7AC">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A379111">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A5F02C5">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7B6D1CA9">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8AB19AC">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4250C2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682A952">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6609A26D">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1E5BAC8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42B3FB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9800A4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2FC1B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015A1C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6906F5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29EE8A1">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0CE55B14">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71F389D9">
      <w:pPr>
        <w:adjustRightInd w:val="0"/>
        <w:snapToGrid w:val="0"/>
        <w:spacing w:line="560" w:lineRule="exact"/>
        <w:ind w:firstLine="894" w:firstLineChars="318"/>
        <w:jc w:val="left"/>
        <w:rPr>
          <w:rFonts w:ascii="仿宋_GB2312" w:hAnsi="宋体" w:eastAsia="仿宋_GB2312"/>
          <w:color w:val="auto"/>
          <w:sz w:val="28"/>
          <w:szCs w:val="28"/>
          <w:highlight w:val="none"/>
        </w:rPr>
      </w:pPr>
      <w:r>
        <w:rPr>
          <w:rFonts w:hint="eastAsia" w:ascii="仿宋_GB2312" w:hAnsi="宋体" w:eastAsia="仿宋_GB2312"/>
          <w:b/>
          <w:color w:val="auto"/>
          <w:sz w:val="28"/>
          <w:szCs w:val="28"/>
          <w:highlight w:val="none"/>
        </w:rPr>
        <w:t>依据：《</w:t>
      </w:r>
      <w:bookmarkStart w:id="924" w:name="OLE_LINK13"/>
      <w:bookmarkStart w:id="925" w:name="OLE_LINK14"/>
      <w:r>
        <w:rPr>
          <w:rFonts w:hint="eastAsia" w:ascii="仿宋_GB2312" w:hAnsi="宋体" w:eastAsia="仿宋_GB2312"/>
          <w:b/>
          <w:color w:val="auto"/>
          <w:sz w:val="28"/>
          <w:szCs w:val="28"/>
          <w:highlight w:val="none"/>
        </w:rPr>
        <w:t>关于对公共资源交易领域严重失信主体开展联合惩戒的备忘录</w:t>
      </w:r>
      <w:bookmarkEnd w:id="924"/>
      <w:bookmarkEnd w:id="925"/>
      <w:r>
        <w:rPr>
          <w:rFonts w:hint="eastAsia" w:ascii="仿宋_GB2312" w:hAnsi="宋体" w:eastAsia="仿宋_GB2312"/>
          <w:b/>
          <w:color w:val="auto"/>
          <w:sz w:val="28"/>
          <w:szCs w:val="28"/>
          <w:highlight w:val="none"/>
        </w:rPr>
        <w:t>》（发改法规〔2018〕457号）</w:t>
      </w:r>
    </w:p>
    <w:p w14:paraId="2A469481">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21B58F6">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4518A564">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33E97122">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7CD1FF31">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4C3A4CC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0ED463F">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43E5EF5F">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2DFCA54C">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AAE4AC6">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51361A2C">
      <w:pPr>
        <w:adjustRightInd w:val="0"/>
        <w:snapToGrid w:val="0"/>
        <w:spacing w:line="560" w:lineRule="exact"/>
        <w:ind w:firstLine="551" w:firstLineChars="196"/>
        <w:jc w:val="left"/>
        <w:rPr>
          <w:rFonts w:ascii="仿宋_GB2312" w:hAnsi="宋体"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926" w:name="OLE_LINK15"/>
      <w:bookmarkStart w:id="927"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926"/>
      <w:bookmarkEnd w:id="927"/>
      <w:r>
        <w:rPr>
          <w:rFonts w:hint="eastAsia" w:ascii="仿宋_GB2312" w:hAnsi="Calibri" w:eastAsia="仿宋_GB2312"/>
          <w:b/>
          <w:color w:val="auto"/>
          <w:sz w:val="28"/>
          <w:szCs w:val="28"/>
          <w:highlight w:val="none"/>
        </w:rPr>
        <w:t>》（发改财金〔2018〕1704号）</w:t>
      </w:r>
    </w:p>
    <w:p w14:paraId="604C8EDB">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76C057C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2ACF882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B688489">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695AE9BF">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1E900237">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8B1A64C">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928" w:name="OLE_LINK17"/>
      <w:bookmarkStart w:id="929" w:name="OLE_LINK18"/>
      <w:r>
        <w:rPr>
          <w:rFonts w:hint="eastAsia" w:ascii="仿宋_GB2312" w:hAnsi="Calibri" w:eastAsia="仿宋_GB2312"/>
          <w:b/>
          <w:color w:val="auto"/>
          <w:sz w:val="28"/>
          <w:szCs w:val="28"/>
          <w:highlight w:val="none"/>
        </w:rPr>
        <w:t>建筑市场信用管理暂行办法</w:t>
      </w:r>
      <w:bookmarkEnd w:id="928"/>
      <w:bookmarkEnd w:id="929"/>
      <w:r>
        <w:rPr>
          <w:rFonts w:hint="eastAsia" w:ascii="仿宋_GB2312" w:hAnsi="Calibri" w:eastAsia="仿宋_GB2312"/>
          <w:b/>
          <w:color w:val="auto"/>
          <w:sz w:val="28"/>
          <w:szCs w:val="28"/>
          <w:highlight w:val="none"/>
        </w:rPr>
        <w:t>》（建市〔2017〕241号）</w:t>
      </w:r>
    </w:p>
    <w:p w14:paraId="3D38553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30" w:name="OLE_LINK19"/>
      <w:bookmarkStart w:id="931" w:name="OLE_LINK20"/>
      <w:r>
        <w:rPr>
          <w:rFonts w:hint="eastAsia" w:ascii="仿宋_GB2312" w:hAnsi="宋体" w:eastAsia="仿宋_GB2312"/>
          <w:b/>
          <w:color w:val="auto"/>
          <w:sz w:val="28"/>
          <w:szCs w:val="28"/>
          <w:highlight w:val="none"/>
        </w:rPr>
        <w:t>政府采购严重失信行为</w:t>
      </w:r>
      <w:bookmarkEnd w:id="930"/>
      <w:bookmarkEnd w:id="931"/>
    </w:p>
    <w:p w14:paraId="2358B5AD">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32670B9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76C3AA3">
      <w:pPr>
        <w:adjustRightInd w:val="0"/>
        <w:snapToGrid w:val="0"/>
        <w:spacing w:line="560" w:lineRule="exact"/>
        <w:ind w:firstLine="615"/>
        <w:rPr>
          <w:rFonts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4EB04BCD">
      <w:pPr>
        <w:pStyle w:val="22"/>
        <w:rPr>
          <w:color w:val="auto"/>
          <w:highlight w:val="none"/>
        </w:rPr>
      </w:pPr>
    </w:p>
    <w:sectPr>
      <w:headerReference r:id="rId3" w:type="default"/>
      <w:footerReference r:id="rId4" w:type="default"/>
      <w:pgSz w:w="11906" w:h="16838"/>
      <w:pgMar w:top="1474" w:right="1029" w:bottom="1474"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8814">
    <w:pPr>
      <w:pStyle w:val="1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C3BE3">
                          <w:pPr>
                            <w:pStyle w:val="17"/>
                          </w:pPr>
                          <w:r>
                            <w:fldChar w:fldCharType="begin"/>
                          </w:r>
                          <w:r>
                            <w:instrText xml:space="preserve"> PAGE  \* MERGEFORMAT </w:instrText>
                          </w:r>
                          <w:r>
                            <w:fldChar w:fldCharType="separate"/>
                          </w:r>
                          <w:r>
                            <w:t>- 150 -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qnbY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JM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6qdtiwCAABVBAAADgAAAAAAAAABACAAAAAfAQAAZHJzL2Uyb0RvYy54bWxQSwUGAAAAAAYA&#10;BgBZAQAAvQUAAAAA&#10;">
              <v:fill on="f" focussize="0,0"/>
              <v:stroke on="f" weight="0.5pt"/>
              <v:imagedata o:title=""/>
              <o:lock v:ext="edit" aspectratio="f"/>
              <v:textbox inset="0mm,0mm,0mm,0mm" style="mso-fit-shape-to-text:t;">
                <w:txbxContent>
                  <w:p w14:paraId="26AC3BE3">
                    <w:pPr>
                      <w:pStyle w:val="17"/>
                    </w:pPr>
                    <w:r>
                      <w:fldChar w:fldCharType="begin"/>
                    </w:r>
                    <w:r>
                      <w:instrText xml:space="preserve"> PAGE  \* MERGEFORMAT </w:instrText>
                    </w:r>
                    <w:r>
                      <w:fldChar w:fldCharType="separate"/>
                    </w:r>
                    <w:r>
                      <w:t>- 150 -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B0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FC499"/>
    <w:multiLevelType w:val="singleLevel"/>
    <w:tmpl w:val="A24FC499"/>
    <w:lvl w:ilvl="0" w:tentative="0">
      <w:start w:val="1"/>
      <w:numFmt w:val="lowerLetter"/>
      <w:lvlText w:val="%1)"/>
      <w:lvlJc w:val="left"/>
      <w:pPr>
        <w:tabs>
          <w:tab w:val="left" w:pos="312"/>
        </w:tabs>
      </w:pPr>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C7DDD7AD"/>
    <w:multiLevelType w:val="singleLevel"/>
    <w:tmpl w:val="C7DDD7AD"/>
    <w:lvl w:ilvl="0" w:tentative="0">
      <w:start w:val="1"/>
      <w:numFmt w:val="lowerLetter"/>
      <w:lvlText w:val="%1)"/>
      <w:lvlJc w:val="left"/>
      <w:pPr>
        <w:tabs>
          <w:tab w:val="left" w:pos="312"/>
        </w:tabs>
      </w:pPr>
    </w:lvl>
  </w:abstractNum>
  <w:abstractNum w:abstractNumId="3">
    <w:nsid w:val="E7E3A92B"/>
    <w:multiLevelType w:val="singleLevel"/>
    <w:tmpl w:val="E7E3A92B"/>
    <w:lvl w:ilvl="0" w:tentative="0">
      <w:start w:val="1"/>
      <w:numFmt w:val="decimal"/>
      <w:suff w:val="nothing"/>
      <w:lvlText w:val="（%1）"/>
      <w:lvlJc w:val="left"/>
    </w:lvl>
  </w:abstractNum>
  <w:abstractNum w:abstractNumId="4">
    <w:nsid w:val="ED8F57AD"/>
    <w:multiLevelType w:val="singleLevel"/>
    <w:tmpl w:val="ED8F57AD"/>
    <w:lvl w:ilvl="0" w:tentative="0">
      <w:start w:val="1"/>
      <w:numFmt w:val="lowerLetter"/>
      <w:lvlText w:val="%1)"/>
      <w:lvlJc w:val="left"/>
      <w:pPr>
        <w:tabs>
          <w:tab w:val="left" w:pos="312"/>
        </w:tabs>
      </w:pPr>
    </w:lvl>
  </w:abstractNum>
  <w:abstractNum w:abstractNumId="5">
    <w:nsid w:val="00000018"/>
    <w:multiLevelType w:val="multilevel"/>
    <w:tmpl w:val="0000001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1069D7A9"/>
    <w:multiLevelType w:val="singleLevel"/>
    <w:tmpl w:val="1069D7A9"/>
    <w:lvl w:ilvl="0" w:tentative="0">
      <w:start w:val="1"/>
      <w:numFmt w:val="decimal"/>
      <w:suff w:val="nothing"/>
      <w:lvlText w:val="（%1）"/>
      <w:lvlJc w:val="left"/>
    </w:lvl>
  </w:abstractNum>
  <w:abstractNum w:abstractNumId="7">
    <w:nsid w:val="2459D5EE"/>
    <w:multiLevelType w:val="singleLevel"/>
    <w:tmpl w:val="2459D5EE"/>
    <w:lvl w:ilvl="0" w:tentative="0">
      <w:start w:val="1"/>
      <w:numFmt w:val="decimal"/>
      <w:suff w:val="space"/>
      <w:lvlText w:val="%1."/>
      <w:lvlJc w:val="left"/>
      <w:pPr>
        <w:ind w:left="600" w:firstLine="0"/>
      </w:pPr>
    </w:lvl>
  </w:abstractNum>
  <w:abstractNum w:abstractNumId="8">
    <w:nsid w:val="41D41966"/>
    <w:multiLevelType w:val="singleLevel"/>
    <w:tmpl w:val="41D41966"/>
    <w:lvl w:ilvl="0" w:tentative="0">
      <w:start w:val="1"/>
      <w:numFmt w:val="decimal"/>
      <w:lvlText w:val="(%1)"/>
      <w:lvlJc w:val="left"/>
      <w:pPr>
        <w:ind w:left="425" w:hanging="425"/>
      </w:pPr>
      <w:rPr>
        <w:rFonts w:hint="default"/>
      </w:rPr>
    </w:lvl>
  </w:abstractNum>
  <w:abstractNum w:abstractNumId="9">
    <w:nsid w:val="461E8B48"/>
    <w:multiLevelType w:val="singleLevel"/>
    <w:tmpl w:val="461E8B48"/>
    <w:lvl w:ilvl="0" w:tentative="0">
      <w:start w:val="1"/>
      <w:numFmt w:val="chineseCounting"/>
      <w:suff w:val="space"/>
      <w:lvlText w:val="（%1）"/>
      <w:lvlJc w:val="left"/>
      <w:rPr>
        <w:rFonts w:hint="eastAsia"/>
      </w:rPr>
    </w:lvl>
  </w:abstractNum>
  <w:abstractNum w:abstractNumId="10">
    <w:nsid w:val="51AC7960"/>
    <w:multiLevelType w:val="singleLevel"/>
    <w:tmpl w:val="51AC7960"/>
    <w:lvl w:ilvl="0" w:tentative="0">
      <w:start w:val="5"/>
      <w:numFmt w:val="chineseCounting"/>
      <w:suff w:val="space"/>
      <w:lvlText w:val="第%1章"/>
      <w:lvlJc w:val="left"/>
      <w:rPr>
        <w:rFonts w:hint="eastAsia"/>
      </w:rPr>
    </w:lvl>
  </w:abstractNum>
  <w:abstractNum w:abstractNumId="11">
    <w:nsid w:val="6380F611"/>
    <w:multiLevelType w:val="singleLevel"/>
    <w:tmpl w:val="6380F611"/>
    <w:lvl w:ilvl="0" w:tentative="0">
      <w:start w:val="2"/>
      <w:numFmt w:val="decimal"/>
      <w:suff w:val="nothing"/>
      <w:lvlText w:val="%1、"/>
      <w:lvlJc w:val="left"/>
      <w:pPr>
        <w:ind w:left="354" w:firstLine="420"/>
      </w:pPr>
    </w:lvl>
  </w:abstractNum>
  <w:abstractNum w:abstractNumId="12">
    <w:nsid w:val="6EB4130E"/>
    <w:multiLevelType w:val="singleLevel"/>
    <w:tmpl w:val="6EB4130E"/>
    <w:lvl w:ilvl="0" w:tentative="0">
      <w:start w:val="3"/>
      <w:numFmt w:val="chineseCounting"/>
      <w:suff w:val="nothing"/>
      <w:lvlText w:val="%1、"/>
      <w:lvlJc w:val="left"/>
      <w:rPr>
        <w:rFonts w:hint="eastAsia"/>
      </w:rPr>
    </w:lvl>
  </w:abstractNum>
  <w:abstractNum w:abstractNumId="13">
    <w:nsid w:val="7525E2D8"/>
    <w:multiLevelType w:val="singleLevel"/>
    <w:tmpl w:val="7525E2D8"/>
    <w:lvl w:ilvl="0" w:tentative="0">
      <w:start w:val="3"/>
      <w:numFmt w:val="chineseCounting"/>
      <w:suff w:val="nothing"/>
      <w:lvlText w:val="（%1）"/>
      <w:lvlJc w:val="left"/>
      <w:rPr>
        <w:rFonts w:hint="eastAsia"/>
      </w:rPr>
    </w:lvl>
  </w:abstractNum>
  <w:num w:numId="1">
    <w:abstractNumId w:val="3"/>
  </w:num>
  <w:num w:numId="2">
    <w:abstractNumId w:val="1"/>
  </w:num>
  <w:num w:numId="3">
    <w:abstractNumId w:val="10"/>
  </w:num>
  <w:num w:numId="4">
    <w:abstractNumId w:val="6"/>
  </w:num>
  <w:num w:numId="5">
    <w:abstractNumId w:val="9"/>
  </w:num>
  <w:num w:numId="6">
    <w:abstractNumId w:val="13"/>
  </w:num>
  <w:num w:numId="7">
    <w:abstractNumId w:val="8"/>
  </w:num>
  <w:num w:numId="8">
    <w:abstractNumId w:val="0"/>
  </w:num>
  <w:num w:numId="9">
    <w:abstractNumId w:val="2"/>
  </w:num>
  <w:num w:numId="10">
    <w:abstractNumId w:val="4"/>
  </w:num>
  <w:num w:numId="11">
    <w:abstractNumId w:val="5"/>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Tg4ODQ2ZDM1MGFlZDcxNjMyMTljYjhlNTA5OGMifQ=="/>
  </w:docVars>
  <w:rsids>
    <w:rsidRoot w:val="002D3016"/>
    <w:rsid w:val="00050CB5"/>
    <w:rsid w:val="000B3BF7"/>
    <w:rsid w:val="000D5E0C"/>
    <w:rsid w:val="0013344B"/>
    <w:rsid w:val="00212F62"/>
    <w:rsid w:val="00294EC1"/>
    <w:rsid w:val="002D3016"/>
    <w:rsid w:val="003B167A"/>
    <w:rsid w:val="004134DC"/>
    <w:rsid w:val="00497573"/>
    <w:rsid w:val="004B047A"/>
    <w:rsid w:val="004D5CD8"/>
    <w:rsid w:val="00500AA5"/>
    <w:rsid w:val="005574FC"/>
    <w:rsid w:val="00582B4A"/>
    <w:rsid w:val="006A6ECE"/>
    <w:rsid w:val="006F2E86"/>
    <w:rsid w:val="006F3E04"/>
    <w:rsid w:val="00704336"/>
    <w:rsid w:val="0071379D"/>
    <w:rsid w:val="00756455"/>
    <w:rsid w:val="007A3406"/>
    <w:rsid w:val="00846816"/>
    <w:rsid w:val="00867CA0"/>
    <w:rsid w:val="0088021E"/>
    <w:rsid w:val="008F0B46"/>
    <w:rsid w:val="00901722"/>
    <w:rsid w:val="00946725"/>
    <w:rsid w:val="009726AA"/>
    <w:rsid w:val="009B4AA3"/>
    <w:rsid w:val="00A335BE"/>
    <w:rsid w:val="00A6244D"/>
    <w:rsid w:val="00AE04D5"/>
    <w:rsid w:val="00AE4E5E"/>
    <w:rsid w:val="00AF252C"/>
    <w:rsid w:val="00B5443F"/>
    <w:rsid w:val="00B64897"/>
    <w:rsid w:val="00B81A97"/>
    <w:rsid w:val="00BB129A"/>
    <w:rsid w:val="00BB76A8"/>
    <w:rsid w:val="00C11C26"/>
    <w:rsid w:val="00CC71D6"/>
    <w:rsid w:val="00CD52CE"/>
    <w:rsid w:val="00CE135C"/>
    <w:rsid w:val="00CF307E"/>
    <w:rsid w:val="00D80466"/>
    <w:rsid w:val="00EB1C0E"/>
    <w:rsid w:val="00EC4E34"/>
    <w:rsid w:val="00FA11FD"/>
    <w:rsid w:val="01495060"/>
    <w:rsid w:val="01635C49"/>
    <w:rsid w:val="01AF70E0"/>
    <w:rsid w:val="02DC3F04"/>
    <w:rsid w:val="036B1DAF"/>
    <w:rsid w:val="03A74512"/>
    <w:rsid w:val="03B629A7"/>
    <w:rsid w:val="04041965"/>
    <w:rsid w:val="04533C71"/>
    <w:rsid w:val="04675A50"/>
    <w:rsid w:val="046E5030"/>
    <w:rsid w:val="04B62533"/>
    <w:rsid w:val="04DC01EC"/>
    <w:rsid w:val="04E92909"/>
    <w:rsid w:val="05AD3936"/>
    <w:rsid w:val="05B735D8"/>
    <w:rsid w:val="0616772D"/>
    <w:rsid w:val="064C314F"/>
    <w:rsid w:val="071C5217"/>
    <w:rsid w:val="073C7668"/>
    <w:rsid w:val="078D03FE"/>
    <w:rsid w:val="0797664C"/>
    <w:rsid w:val="07E15B19"/>
    <w:rsid w:val="087A48E9"/>
    <w:rsid w:val="08B82D1E"/>
    <w:rsid w:val="08C90A87"/>
    <w:rsid w:val="092E2FE0"/>
    <w:rsid w:val="09354491"/>
    <w:rsid w:val="094B3B92"/>
    <w:rsid w:val="096275C9"/>
    <w:rsid w:val="09B74D83"/>
    <w:rsid w:val="0A03446D"/>
    <w:rsid w:val="0A850B1D"/>
    <w:rsid w:val="0A9450C5"/>
    <w:rsid w:val="0BA23811"/>
    <w:rsid w:val="0BBE4AEF"/>
    <w:rsid w:val="0BF64289"/>
    <w:rsid w:val="0C112AF2"/>
    <w:rsid w:val="0D5D3E94"/>
    <w:rsid w:val="0E356BBF"/>
    <w:rsid w:val="0EAD05D0"/>
    <w:rsid w:val="0EC00B7E"/>
    <w:rsid w:val="0F026AA1"/>
    <w:rsid w:val="0F0A3BA7"/>
    <w:rsid w:val="0F44355D"/>
    <w:rsid w:val="0FA61B22"/>
    <w:rsid w:val="0FDC3796"/>
    <w:rsid w:val="108108F4"/>
    <w:rsid w:val="112F6066"/>
    <w:rsid w:val="11AE54F7"/>
    <w:rsid w:val="11F254F3"/>
    <w:rsid w:val="12103BCB"/>
    <w:rsid w:val="122338FE"/>
    <w:rsid w:val="12C0114D"/>
    <w:rsid w:val="12E017EF"/>
    <w:rsid w:val="13596EAB"/>
    <w:rsid w:val="136F4921"/>
    <w:rsid w:val="13750189"/>
    <w:rsid w:val="13960100"/>
    <w:rsid w:val="14975EDD"/>
    <w:rsid w:val="14F7697C"/>
    <w:rsid w:val="15B90272"/>
    <w:rsid w:val="15BD7BC5"/>
    <w:rsid w:val="15DA6649"/>
    <w:rsid w:val="15E50ECA"/>
    <w:rsid w:val="1611035E"/>
    <w:rsid w:val="16377978"/>
    <w:rsid w:val="16613C60"/>
    <w:rsid w:val="16783AEC"/>
    <w:rsid w:val="17237EFC"/>
    <w:rsid w:val="173D7210"/>
    <w:rsid w:val="17A4785F"/>
    <w:rsid w:val="17C26492"/>
    <w:rsid w:val="17DE69E2"/>
    <w:rsid w:val="17FD5D38"/>
    <w:rsid w:val="181B5077"/>
    <w:rsid w:val="182C6276"/>
    <w:rsid w:val="18553EC6"/>
    <w:rsid w:val="1870027E"/>
    <w:rsid w:val="188B7B07"/>
    <w:rsid w:val="18910E95"/>
    <w:rsid w:val="18DE185F"/>
    <w:rsid w:val="18E3544F"/>
    <w:rsid w:val="18E80CA3"/>
    <w:rsid w:val="190E24E6"/>
    <w:rsid w:val="19102702"/>
    <w:rsid w:val="198033E4"/>
    <w:rsid w:val="19AF7825"/>
    <w:rsid w:val="1A136006"/>
    <w:rsid w:val="1A7F18ED"/>
    <w:rsid w:val="1AC37EF8"/>
    <w:rsid w:val="1B0E27EB"/>
    <w:rsid w:val="1B1C713C"/>
    <w:rsid w:val="1B4B7A22"/>
    <w:rsid w:val="1B4F7512"/>
    <w:rsid w:val="1C2D7127"/>
    <w:rsid w:val="1C511068"/>
    <w:rsid w:val="1CB515F6"/>
    <w:rsid w:val="1CDB5E02"/>
    <w:rsid w:val="1D2422D8"/>
    <w:rsid w:val="1DAE0917"/>
    <w:rsid w:val="1EBC2425"/>
    <w:rsid w:val="1ED0096A"/>
    <w:rsid w:val="1F070103"/>
    <w:rsid w:val="1F4C5B16"/>
    <w:rsid w:val="1F576995"/>
    <w:rsid w:val="1FB74909"/>
    <w:rsid w:val="1FD863D3"/>
    <w:rsid w:val="202B07D6"/>
    <w:rsid w:val="204A64FA"/>
    <w:rsid w:val="207552E0"/>
    <w:rsid w:val="20BA1C29"/>
    <w:rsid w:val="20C444FE"/>
    <w:rsid w:val="20DB53A4"/>
    <w:rsid w:val="210F504D"/>
    <w:rsid w:val="21613AFB"/>
    <w:rsid w:val="21902632"/>
    <w:rsid w:val="21AF6A69"/>
    <w:rsid w:val="2210107D"/>
    <w:rsid w:val="224F429B"/>
    <w:rsid w:val="227C4964"/>
    <w:rsid w:val="228026A7"/>
    <w:rsid w:val="22983B0C"/>
    <w:rsid w:val="2304750F"/>
    <w:rsid w:val="232B25DC"/>
    <w:rsid w:val="23711FEF"/>
    <w:rsid w:val="239C706C"/>
    <w:rsid w:val="23BF0FAD"/>
    <w:rsid w:val="2435126F"/>
    <w:rsid w:val="24855D52"/>
    <w:rsid w:val="249E0BC2"/>
    <w:rsid w:val="24A773CD"/>
    <w:rsid w:val="250A7588"/>
    <w:rsid w:val="25292B82"/>
    <w:rsid w:val="252C2672"/>
    <w:rsid w:val="25441769"/>
    <w:rsid w:val="254B6F9C"/>
    <w:rsid w:val="25534608"/>
    <w:rsid w:val="259A3F45"/>
    <w:rsid w:val="25A254D7"/>
    <w:rsid w:val="25AD37B3"/>
    <w:rsid w:val="25D845A8"/>
    <w:rsid w:val="26737732"/>
    <w:rsid w:val="26E0071D"/>
    <w:rsid w:val="282D0BDB"/>
    <w:rsid w:val="284E28FF"/>
    <w:rsid w:val="2869161E"/>
    <w:rsid w:val="28706D19"/>
    <w:rsid w:val="288F53F1"/>
    <w:rsid w:val="289F3105"/>
    <w:rsid w:val="28A80261"/>
    <w:rsid w:val="29453D02"/>
    <w:rsid w:val="299E3412"/>
    <w:rsid w:val="29C64F1D"/>
    <w:rsid w:val="2A07545B"/>
    <w:rsid w:val="2A173835"/>
    <w:rsid w:val="2A506E02"/>
    <w:rsid w:val="2A5C1303"/>
    <w:rsid w:val="2A8820F8"/>
    <w:rsid w:val="2AE8703B"/>
    <w:rsid w:val="2B142C50"/>
    <w:rsid w:val="2B5D3585"/>
    <w:rsid w:val="2B674404"/>
    <w:rsid w:val="2B77216D"/>
    <w:rsid w:val="2B844FB6"/>
    <w:rsid w:val="2B960363"/>
    <w:rsid w:val="2B980A61"/>
    <w:rsid w:val="2BCC4267"/>
    <w:rsid w:val="2BDF40C3"/>
    <w:rsid w:val="2C363DD6"/>
    <w:rsid w:val="2C9A4365"/>
    <w:rsid w:val="2CD01FF8"/>
    <w:rsid w:val="2CEE645F"/>
    <w:rsid w:val="2CF241A1"/>
    <w:rsid w:val="2D236108"/>
    <w:rsid w:val="2D410C84"/>
    <w:rsid w:val="2D6942AF"/>
    <w:rsid w:val="2D9B0395"/>
    <w:rsid w:val="2DAF3E40"/>
    <w:rsid w:val="2DEC0BF0"/>
    <w:rsid w:val="2DEF28B7"/>
    <w:rsid w:val="2DF844A9"/>
    <w:rsid w:val="2E240F95"/>
    <w:rsid w:val="2E3D31FA"/>
    <w:rsid w:val="2E4272A0"/>
    <w:rsid w:val="2E9A7907"/>
    <w:rsid w:val="2EFC30B5"/>
    <w:rsid w:val="2F285C58"/>
    <w:rsid w:val="2F61116A"/>
    <w:rsid w:val="2FC811E9"/>
    <w:rsid w:val="2FE83639"/>
    <w:rsid w:val="2FFB15BE"/>
    <w:rsid w:val="302E3742"/>
    <w:rsid w:val="30517430"/>
    <w:rsid w:val="308B46F0"/>
    <w:rsid w:val="308C2216"/>
    <w:rsid w:val="30B45990"/>
    <w:rsid w:val="3150593A"/>
    <w:rsid w:val="31E22A36"/>
    <w:rsid w:val="326340B4"/>
    <w:rsid w:val="32931F82"/>
    <w:rsid w:val="32935ADE"/>
    <w:rsid w:val="32FC7B27"/>
    <w:rsid w:val="33230377"/>
    <w:rsid w:val="335039CF"/>
    <w:rsid w:val="336D4581"/>
    <w:rsid w:val="33941B0E"/>
    <w:rsid w:val="33A67A93"/>
    <w:rsid w:val="34115391"/>
    <w:rsid w:val="345B6AD0"/>
    <w:rsid w:val="345D2848"/>
    <w:rsid w:val="34692F9B"/>
    <w:rsid w:val="347F27BE"/>
    <w:rsid w:val="34DF14AF"/>
    <w:rsid w:val="34EE524E"/>
    <w:rsid w:val="34FD1935"/>
    <w:rsid w:val="350E769E"/>
    <w:rsid w:val="35380BEE"/>
    <w:rsid w:val="35661288"/>
    <w:rsid w:val="35CB23D2"/>
    <w:rsid w:val="35FB2318"/>
    <w:rsid w:val="361519C3"/>
    <w:rsid w:val="362178A5"/>
    <w:rsid w:val="37384EA6"/>
    <w:rsid w:val="374D6BA3"/>
    <w:rsid w:val="37621F23"/>
    <w:rsid w:val="37623CD1"/>
    <w:rsid w:val="37A34A15"/>
    <w:rsid w:val="37AF33BA"/>
    <w:rsid w:val="37FC5098"/>
    <w:rsid w:val="384855BD"/>
    <w:rsid w:val="385C1654"/>
    <w:rsid w:val="38B26102"/>
    <w:rsid w:val="38CC5C06"/>
    <w:rsid w:val="38D26C34"/>
    <w:rsid w:val="392A081F"/>
    <w:rsid w:val="39557F91"/>
    <w:rsid w:val="39561614"/>
    <w:rsid w:val="399A3BF6"/>
    <w:rsid w:val="39FB1641"/>
    <w:rsid w:val="3A0B68A2"/>
    <w:rsid w:val="3A3C4CAD"/>
    <w:rsid w:val="3AA34D2C"/>
    <w:rsid w:val="3AB605BC"/>
    <w:rsid w:val="3AD14283"/>
    <w:rsid w:val="3AEE41FA"/>
    <w:rsid w:val="3AF92B9E"/>
    <w:rsid w:val="3B6F4C0F"/>
    <w:rsid w:val="3B7C4D71"/>
    <w:rsid w:val="3B9F72A2"/>
    <w:rsid w:val="3BFC46F4"/>
    <w:rsid w:val="3C0812EB"/>
    <w:rsid w:val="3C502C92"/>
    <w:rsid w:val="3C6A62D0"/>
    <w:rsid w:val="3D2757A1"/>
    <w:rsid w:val="3D4E5423"/>
    <w:rsid w:val="3D5B544A"/>
    <w:rsid w:val="3E4928E7"/>
    <w:rsid w:val="3E671D90"/>
    <w:rsid w:val="3F316DAB"/>
    <w:rsid w:val="3FCF2120"/>
    <w:rsid w:val="40055B41"/>
    <w:rsid w:val="41171FD0"/>
    <w:rsid w:val="41210759"/>
    <w:rsid w:val="418C651A"/>
    <w:rsid w:val="418F0497"/>
    <w:rsid w:val="41C37A62"/>
    <w:rsid w:val="41E06B42"/>
    <w:rsid w:val="41E9396D"/>
    <w:rsid w:val="421F113C"/>
    <w:rsid w:val="42644DD5"/>
    <w:rsid w:val="4269060A"/>
    <w:rsid w:val="42AF6FD9"/>
    <w:rsid w:val="42F75C15"/>
    <w:rsid w:val="43947908"/>
    <w:rsid w:val="43A63197"/>
    <w:rsid w:val="43AE09CA"/>
    <w:rsid w:val="4464552C"/>
    <w:rsid w:val="448B2AB9"/>
    <w:rsid w:val="44E96120"/>
    <w:rsid w:val="45054375"/>
    <w:rsid w:val="45090F81"/>
    <w:rsid w:val="45CC15DB"/>
    <w:rsid w:val="45FE72BB"/>
    <w:rsid w:val="4678706D"/>
    <w:rsid w:val="46EE5581"/>
    <w:rsid w:val="47212A2A"/>
    <w:rsid w:val="47280A93"/>
    <w:rsid w:val="47436DE6"/>
    <w:rsid w:val="477A2BAC"/>
    <w:rsid w:val="47B449D0"/>
    <w:rsid w:val="480212E4"/>
    <w:rsid w:val="481E59F2"/>
    <w:rsid w:val="487F15D0"/>
    <w:rsid w:val="48BF5552"/>
    <w:rsid w:val="48C22822"/>
    <w:rsid w:val="48F36E7F"/>
    <w:rsid w:val="48F826E7"/>
    <w:rsid w:val="493108C7"/>
    <w:rsid w:val="49816239"/>
    <w:rsid w:val="4A064990"/>
    <w:rsid w:val="4B4B2FA2"/>
    <w:rsid w:val="4B672AA2"/>
    <w:rsid w:val="4BB87F0C"/>
    <w:rsid w:val="4BEC0389"/>
    <w:rsid w:val="4C916A59"/>
    <w:rsid w:val="4D3D4B6D"/>
    <w:rsid w:val="4D422183"/>
    <w:rsid w:val="4D6640C3"/>
    <w:rsid w:val="4D770568"/>
    <w:rsid w:val="4DB7491F"/>
    <w:rsid w:val="4E2D2168"/>
    <w:rsid w:val="4F18319B"/>
    <w:rsid w:val="4F3D39D2"/>
    <w:rsid w:val="4F4B17C3"/>
    <w:rsid w:val="4FB8497E"/>
    <w:rsid w:val="4FF742E8"/>
    <w:rsid w:val="505E72D8"/>
    <w:rsid w:val="508C34F4"/>
    <w:rsid w:val="508D27A6"/>
    <w:rsid w:val="50CF1F80"/>
    <w:rsid w:val="50F15F01"/>
    <w:rsid w:val="50FE18B6"/>
    <w:rsid w:val="51422751"/>
    <w:rsid w:val="515406D7"/>
    <w:rsid w:val="517B2107"/>
    <w:rsid w:val="51C70EA9"/>
    <w:rsid w:val="521B6ECB"/>
    <w:rsid w:val="522D51B0"/>
    <w:rsid w:val="523A78CD"/>
    <w:rsid w:val="52643BC3"/>
    <w:rsid w:val="52E837CD"/>
    <w:rsid w:val="52F757BE"/>
    <w:rsid w:val="53075C2D"/>
    <w:rsid w:val="538A03E0"/>
    <w:rsid w:val="539F3E8B"/>
    <w:rsid w:val="53E43F94"/>
    <w:rsid w:val="53EA0E7E"/>
    <w:rsid w:val="54120B01"/>
    <w:rsid w:val="541C54DC"/>
    <w:rsid w:val="54824278"/>
    <w:rsid w:val="55230AEC"/>
    <w:rsid w:val="5588094F"/>
    <w:rsid w:val="558C48E3"/>
    <w:rsid w:val="56576C9F"/>
    <w:rsid w:val="56903F5F"/>
    <w:rsid w:val="56B714EC"/>
    <w:rsid w:val="570861EB"/>
    <w:rsid w:val="570B7A8A"/>
    <w:rsid w:val="570F02CB"/>
    <w:rsid w:val="575925A3"/>
    <w:rsid w:val="57845462"/>
    <w:rsid w:val="57AF2B0B"/>
    <w:rsid w:val="57B76E92"/>
    <w:rsid w:val="58935F89"/>
    <w:rsid w:val="589715D5"/>
    <w:rsid w:val="58C85C32"/>
    <w:rsid w:val="58C91013"/>
    <w:rsid w:val="59050C34"/>
    <w:rsid w:val="592F3F03"/>
    <w:rsid w:val="59A57D21"/>
    <w:rsid w:val="59BE7035"/>
    <w:rsid w:val="5A0F71D0"/>
    <w:rsid w:val="5A105AE3"/>
    <w:rsid w:val="5A315A59"/>
    <w:rsid w:val="5A845A3D"/>
    <w:rsid w:val="5A8B6F17"/>
    <w:rsid w:val="5AD20FEA"/>
    <w:rsid w:val="5B294278"/>
    <w:rsid w:val="5BDB3ECE"/>
    <w:rsid w:val="5C1271C4"/>
    <w:rsid w:val="5C270EC2"/>
    <w:rsid w:val="5CAE15E3"/>
    <w:rsid w:val="5CF8285E"/>
    <w:rsid w:val="5D137698"/>
    <w:rsid w:val="5D1F7DEB"/>
    <w:rsid w:val="5D5F28DD"/>
    <w:rsid w:val="5DB26EB1"/>
    <w:rsid w:val="5E2C6C63"/>
    <w:rsid w:val="5E6178F9"/>
    <w:rsid w:val="5E9F5041"/>
    <w:rsid w:val="5EAE1426"/>
    <w:rsid w:val="5EB069AA"/>
    <w:rsid w:val="5EC23DCA"/>
    <w:rsid w:val="5EC46E9C"/>
    <w:rsid w:val="5F1C0A86"/>
    <w:rsid w:val="5F3A715E"/>
    <w:rsid w:val="5F8E3006"/>
    <w:rsid w:val="5F992E01"/>
    <w:rsid w:val="5FCF49FC"/>
    <w:rsid w:val="60011A2A"/>
    <w:rsid w:val="601E082E"/>
    <w:rsid w:val="60215192"/>
    <w:rsid w:val="609E371C"/>
    <w:rsid w:val="61F730E4"/>
    <w:rsid w:val="62206ADF"/>
    <w:rsid w:val="624900B1"/>
    <w:rsid w:val="628250A4"/>
    <w:rsid w:val="62BC7E8A"/>
    <w:rsid w:val="62E01DCA"/>
    <w:rsid w:val="64351212"/>
    <w:rsid w:val="646D7AC9"/>
    <w:rsid w:val="64966BE4"/>
    <w:rsid w:val="64C74545"/>
    <w:rsid w:val="64DB0A9B"/>
    <w:rsid w:val="650049A6"/>
    <w:rsid w:val="6557029F"/>
    <w:rsid w:val="658729D1"/>
    <w:rsid w:val="660109D5"/>
    <w:rsid w:val="66216982"/>
    <w:rsid w:val="66256DBE"/>
    <w:rsid w:val="662D5327"/>
    <w:rsid w:val="6673685C"/>
    <w:rsid w:val="6675128B"/>
    <w:rsid w:val="667D1DF3"/>
    <w:rsid w:val="66811B16"/>
    <w:rsid w:val="66A35A4A"/>
    <w:rsid w:val="66C0619B"/>
    <w:rsid w:val="66DB1226"/>
    <w:rsid w:val="66DB4A1E"/>
    <w:rsid w:val="6703077D"/>
    <w:rsid w:val="6744631E"/>
    <w:rsid w:val="676A4CE7"/>
    <w:rsid w:val="67B81568"/>
    <w:rsid w:val="67EC2FBF"/>
    <w:rsid w:val="67FD51CC"/>
    <w:rsid w:val="6864524C"/>
    <w:rsid w:val="68660FC4"/>
    <w:rsid w:val="69B67D29"/>
    <w:rsid w:val="6A415844"/>
    <w:rsid w:val="6AA45DD3"/>
    <w:rsid w:val="6ADA35A3"/>
    <w:rsid w:val="6AFA3F1E"/>
    <w:rsid w:val="6B0D3D58"/>
    <w:rsid w:val="6B961BC0"/>
    <w:rsid w:val="6BCA186A"/>
    <w:rsid w:val="6BE566A3"/>
    <w:rsid w:val="6C2A7359"/>
    <w:rsid w:val="6C4F77F2"/>
    <w:rsid w:val="6CFA15F8"/>
    <w:rsid w:val="6D6F4477"/>
    <w:rsid w:val="6DB12CE1"/>
    <w:rsid w:val="6DE05374"/>
    <w:rsid w:val="6E7869C4"/>
    <w:rsid w:val="6EDC1FE0"/>
    <w:rsid w:val="6F742218"/>
    <w:rsid w:val="6FA04DBB"/>
    <w:rsid w:val="6FC30AAA"/>
    <w:rsid w:val="6FEC1DAE"/>
    <w:rsid w:val="700502C0"/>
    <w:rsid w:val="706933FF"/>
    <w:rsid w:val="70710506"/>
    <w:rsid w:val="709A5CAE"/>
    <w:rsid w:val="70ED4030"/>
    <w:rsid w:val="71397275"/>
    <w:rsid w:val="7141612A"/>
    <w:rsid w:val="718F40F9"/>
    <w:rsid w:val="71CD3E62"/>
    <w:rsid w:val="71ED2368"/>
    <w:rsid w:val="72555796"/>
    <w:rsid w:val="73612AB3"/>
    <w:rsid w:val="737547B1"/>
    <w:rsid w:val="73DA28B0"/>
    <w:rsid w:val="73F94BF8"/>
    <w:rsid w:val="74A7099A"/>
    <w:rsid w:val="74FB6084"/>
    <w:rsid w:val="753B10E2"/>
    <w:rsid w:val="755503F6"/>
    <w:rsid w:val="75693EA1"/>
    <w:rsid w:val="759D4126"/>
    <w:rsid w:val="75F419BD"/>
    <w:rsid w:val="768F5B89"/>
    <w:rsid w:val="77057BFA"/>
    <w:rsid w:val="77274014"/>
    <w:rsid w:val="77505319"/>
    <w:rsid w:val="775070C7"/>
    <w:rsid w:val="775211C4"/>
    <w:rsid w:val="775A7F45"/>
    <w:rsid w:val="779A47E6"/>
    <w:rsid w:val="77BC650A"/>
    <w:rsid w:val="77FE6B23"/>
    <w:rsid w:val="78000AED"/>
    <w:rsid w:val="785D5F3F"/>
    <w:rsid w:val="78F44C22"/>
    <w:rsid w:val="79120E87"/>
    <w:rsid w:val="7A173ECC"/>
    <w:rsid w:val="7A2F7467"/>
    <w:rsid w:val="7AEC5358"/>
    <w:rsid w:val="7AF16E13"/>
    <w:rsid w:val="7C6349A9"/>
    <w:rsid w:val="7DF804B8"/>
    <w:rsid w:val="7E1F5A45"/>
    <w:rsid w:val="7E2339C9"/>
    <w:rsid w:val="7E631DD5"/>
    <w:rsid w:val="7E77762F"/>
    <w:rsid w:val="7EF93831"/>
    <w:rsid w:val="7F1B53D9"/>
    <w:rsid w:val="7F25708B"/>
    <w:rsid w:val="7F485D15"/>
    <w:rsid w:val="7F814DD6"/>
    <w:rsid w:val="7FC5261C"/>
    <w:rsid w:val="7FE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260"/>
      <w:jc w:val="left"/>
    </w:pPr>
    <w:rPr>
      <w:sz w:val="18"/>
      <w:szCs w:val="18"/>
    </w:rPr>
  </w:style>
  <w:style w:type="paragraph" w:styleId="9">
    <w:name w:val="annotation text"/>
    <w:basedOn w:val="1"/>
    <w:link w:val="57"/>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qFormat/>
    <w:uiPriority w:val="0"/>
  </w:style>
  <w:style w:type="paragraph" w:styleId="12">
    <w:name w:val="Body Text Indent"/>
    <w:basedOn w:val="1"/>
    <w:next w:val="13"/>
    <w:qFormat/>
    <w:uiPriority w:val="0"/>
    <w:pPr>
      <w:ind w:left="420" w:leftChars="200"/>
    </w:pPr>
  </w:style>
  <w:style w:type="paragraph" w:styleId="13">
    <w:name w:val="envelope return"/>
    <w:basedOn w:val="1"/>
    <w:next w:val="8"/>
    <w:qFormat/>
    <w:uiPriority w:val="0"/>
    <w:pPr>
      <w:snapToGrid w:val="0"/>
    </w:pPr>
    <w:rPr>
      <w:rFonts w:ascii="Arial" w:hAnsi="Arial"/>
    </w:r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line="360" w:lineRule="exact"/>
      <w:ind w:firstLine="600" w:firstLineChars="250"/>
      <w:jc w:val="left"/>
    </w:pPr>
    <w:rPr>
      <w:sz w:val="24"/>
    </w:rPr>
  </w:style>
  <w:style w:type="paragraph" w:styleId="16">
    <w:name w:val="Balloon Text"/>
    <w:basedOn w:val="1"/>
    <w:link w:val="56"/>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jc w:val="left"/>
    </w:pPr>
    <w:rPr>
      <w:b/>
      <w:bCs/>
      <w:caps/>
      <w:sz w:val="20"/>
      <w:szCs w:val="20"/>
    </w:rPr>
  </w:style>
  <w:style w:type="paragraph" w:styleId="20">
    <w:name w:val="Normal (Web)"/>
    <w:basedOn w:val="1"/>
    <w:qFormat/>
    <w:uiPriority w:val="0"/>
    <w:rPr>
      <w:sz w:val="24"/>
    </w:rPr>
  </w:style>
  <w:style w:type="paragraph" w:styleId="21">
    <w:name w:val="annotation subject"/>
    <w:basedOn w:val="9"/>
    <w:next w:val="9"/>
    <w:link w:val="58"/>
    <w:qFormat/>
    <w:uiPriority w:val="0"/>
    <w:rPr>
      <w:b/>
      <w:bCs/>
    </w:rPr>
  </w:style>
  <w:style w:type="paragraph" w:styleId="22">
    <w:name w:val="Body Text First Indent 2"/>
    <w:basedOn w:val="12"/>
    <w:next w:val="1"/>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5C5C5C"/>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color w:val="333333"/>
      <w:shd w:val="clear" w:color="auto" w:fill="FFFFFF"/>
    </w:rPr>
  </w:style>
  <w:style w:type="character" w:styleId="32">
    <w:name w:val="HTML Variable"/>
    <w:basedOn w:val="25"/>
    <w:qFormat/>
    <w:uiPriority w:val="0"/>
  </w:style>
  <w:style w:type="character" w:styleId="33">
    <w:name w:val="Hyperlink"/>
    <w:qFormat/>
    <w:uiPriority w:val="99"/>
    <w:rPr>
      <w:color w:val="333333"/>
      <w:u w:val="none"/>
    </w:rPr>
  </w:style>
  <w:style w:type="character" w:styleId="34">
    <w:name w:val="HTML Code"/>
    <w:basedOn w:val="25"/>
    <w:qFormat/>
    <w:uiPriority w:val="0"/>
    <w:rPr>
      <w:rFonts w:ascii="monospace" w:hAnsi="monospace" w:eastAsia="monospace" w:cs="monospace"/>
      <w:sz w:val="20"/>
    </w:rPr>
  </w:style>
  <w:style w:type="character" w:styleId="35">
    <w:name w:val="annotation reference"/>
    <w:basedOn w:val="25"/>
    <w:qFormat/>
    <w:uiPriority w:val="0"/>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40">
    <w:name w:val="hover"/>
    <w:basedOn w:val="25"/>
    <w:qFormat/>
    <w:uiPriority w:val="0"/>
  </w:style>
  <w:style w:type="character" w:customStyle="1" w:styleId="41">
    <w:name w:val="hover1"/>
    <w:basedOn w:val="25"/>
    <w:qFormat/>
    <w:uiPriority w:val="0"/>
    <w:rPr>
      <w:color w:val="2590EB"/>
    </w:rPr>
  </w:style>
  <w:style w:type="paragraph" w:customStyle="1" w:styleId="42">
    <w:name w:val="列出段落1"/>
    <w:basedOn w:val="1"/>
    <w:qFormat/>
    <w:uiPriority w:val="1"/>
    <w:pPr>
      <w:ind w:left="354" w:firstLine="420"/>
    </w:pPr>
    <w:rPr>
      <w:rFonts w:ascii="宋体" w:hAnsi="宋体" w:cs="宋体"/>
      <w:lang w:val="zh-CN" w:bidi="zh-CN"/>
    </w:rPr>
  </w:style>
  <w:style w:type="character" w:customStyle="1" w:styleId="43">
    <w:name w:val="mini-outputtext1"/>
    <w:basedOn w:val="25"/>
    <w:qFormat/>
    <w:uiPriority w:val="0"/>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45">
    <w:name w:val="表格文本"/>
    <w:qFormat/>
    <w:uiPriority w:val="0"/>
    <w:pPr>
      <w:tabs>
        <w:tab w:val="decimal" w:pos="0"/>
      </w:tabs>
    </w:pPr>
    <w:rPr>
      <w:rFonts w:ascii="Times New Roman" w:hAnsi="Times New Roman" w:eastAsia="仿宋" w:cs="Times New Roman"/>
      <w:kern w:val="2"/>
      <w:sz w:val="21"/>
      <w:szCs w:val="21"/>
      <w:lang w:val="en-US" w:eastAsia="zh-CN" w:bidi="ar-SA"/>
    </w:rPr>
  </w:style>
  <w:style w:type="character" w:customStyle="1" w:styleId="46">
    <w:name w:val="hover3"/>
    <w:basedOn w:val="25"/>
    <w:qFormat/>
    <w:uiPriority w:val="0"/>
  </w:style>
  <w:style w:type="paragraph" w:customStyle="1" w:styleId="47">
    <w:name w:val="Table Text"/>
    <w:basedOn w:val="1"/>
    <w:semiHidden/>
    <w:qFormat/>
    <w:uiPriority w:val="0"/>
    <w:rPr>
      <w:rFonts w:ascii="宋体" w:hAnsi="宋体" w:cs="宋体"/>
      <w:szCs w:val="21"/>
      <w:lang w:eastAsia="en-US"/>
    </w:rPr>
  </w:style>
  <w:style w:type="paragraph" w:styleId="48">
    <w:name w:val="List Paragraph"/>
    <w:basedOn w:val="1"/>
    <w:qFormat/>
    <w:uiPriority w:val="34"/>
    <w:pPr>
      <w:ind w:left="720"/>
      <w:contextualSpacing/>
    </w:pPr>
  </w:style>
  <w:style w:type="character" w:customStyle="1" w:styleId="49">
    <w:name w:val="hover2"/>
    <w:basedOn w:val="25"/>
    <w:qFormat/>
    <w:uiPriority w:val="0"/>
    <w:rPr>
      <w:color w:val="2590EB"/>
    </w:rPr>
  </w:style>
  <w:style w:type="paragraph" w:customStyle="1" w:styleId="50">
    <w:name w:val="p0"/>
    <w:basedOn w:val="1"/>
    <w:qFormat/>
    <w:uiPriority w:val="0"/>
    <w:pPr>
      <w:widowControl/>
    </w:pPr>
    <w:rPr>
      <w:kern w:val="0"/>
      <w:szCs w:val="21"/>
    </w:rPr>
  </w:style>
  <w:style w:type="character" w:customStyle="1" w:styleId="51">
    <w:name w:val="hover4"/>
    <w:basedOn w:val="25"/>
    <w:qFormat/>
    <w:uiPriority w:val="0"/>
    <w:rPr>
      <w:color w:val="2590EB"/>
      <w:shd w:val="clear" w:color="auto" w:fill="E9F4FD"/>
    </w:rPr>
  </w:style>
  <w:style w:type="paragraph" w:customStyle="1" w:styleId="52">
    <w:name w:val="表格文字"/>
    <w:basedOn w:val="1"/>
    <w:qFormat/>
    <w:uiPriority w:val="0"/>
    <w:pPr>
      <w:widowControl/>
      <w:jc w:val="center"/>
    </w:pPr>
    <w:rPr>
      <w:szCs w:val="28"/>
    </w:rPr>
  </w:style>
  <w:style w:type="paragraph" w:customStyle="1" w:styleId="53">
    <w:name w:val="表、图文字"/>
    <w:basedOn w:val="1"/>
    <w:qFormat/>
    <w:uiPriority w:val="0"/>
    <w:pPr>
      <w:widowControl/>
      <w:jc w:val="center"/>
    </w:pPr>
    <w:rPr>
      <w:rFonts w:cs="宋体"/>
      <w:b/>
      <w:color w:val="000000"/>
      <w:kern w:val="0"/>
    </w:rPr>
  </w:style>
  <w:style w:type="paragraph" w:customStyle="1" w:styleId="54">
    <w:name w:val="_Style 12"/>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55">
    <w:name w:val="Table Paragraph"/>
    <w:basedOn w:val="1"/>
    <w:qFormat/>
    <w:uiPriority w:val="1"/>
    <w:rPr>
      <w:rFonts w:ascii="宋体" w:hAnsi="宋体" w:cs="宋体"/>
      <w:lang w:val="zh-CN" w:bidi="zh-CN"/>
    </w:rPr>
  </w:style>
  <w:style w:type="character" w:customStyle="1" w:styleId="56">
    <w:name w:val="批注框文本 字符"/>
    <w:basedOn w:val="25"/>
    <w:link w:val="16"/>
    <w:qFormat/>
    <w:uiPriority w:val="0"/>
    <w:rPr>
      <w:kern w:val="2"/>
      <w:sz w:val="18"/>
      <w:szCs w:val="18"/>
    </w:rPr>
  </w:style>
  <w:style w:type="character" w:customStyle="1" w:styleId="57">
    <w:name w:val="批注文字 字符"/>
    <w:basedOn w:val="25"/>
    <w:link w:val="9"/>
    <w:qFormat/>
    <w:uiPriority w:val="0"/>
    <w:rPr>
      <w:kern w:val="2"/>
      <w:sz w:val="21"/>
      <w:szCs w:val="24"/>
    </w:rPr>
  </w:style>
  <w:style w:type="character" w:customStyle="1" w:styleId="58">
    <w:name w:val="批注主题 字符"/>
    <w:basedOn w:val="57"/>
    <w:link w:val="21"/>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175</Pages>
  <Words>19143</Words>
  <Characters>20769</Characters>
  <Lines>175</Lines>
  <Paragraphs>235</Paragraphs>
  <TotalTime>14</TotalTime>
  <ScaleCrop>false</ScaleCrop>
  <LinksUpToDate>false</LinksUpToDate>
  <CharactersWithSpaces>21072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2025-07-02T10:06:00Z</dcterms:created>
  <dc:creator>MAXHUB</dc:creator>
  <cp:lastModifiedBy>韦韦</cp:lastModifiedBy>
  <cp:lastPrinted>2025-09-18T05:27:00Z</cp:lastPrinted>
  <dcterms:modified xsi:type="dcterms:W3CDTF">2025-11-05T08:37:50Z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2052-12.1.0.23542</vt:lpwstr>
  </property>
  <property fmtid="{D5CDD505-2E9C-101B-9397-08002B2CF9AE}" pid="4" name="ICV">
    <vt:lpwstr>EAF1F6AF0F20464BB6533979B9958DE6_13</vt:lpwstr>
  </property>
</Properties>
</file>