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F7EA53">
      <w:pPr>
        <w:spacing w:line="312" w:lineRule="auto"/>
        <w:jc w:val="center"/>
        <w:rPr>
          <w:rFonts w:hint="eastAsia" w:ascii="新宋体" w:hAnsi="新宋体" w:eastAsia="新宋体"/>
          <w:b/>
          <w:color w:val="auto"/>
          <w:sz w:val="44"/>
          <w:szCs w:val="44"/>
          <w:highlight w:val="none"/>
          <w:shd w:val="clear" w:color="auto" w:fill="auto"/>
          <w:lang w:eastAsia="zh-CN"/>
        </w:rPr>
      </w:pPr>
      <w:bookmarkStart w:id="0" w:name="OLE_LINK1"/>
    </w:p>
    <w:p w14:paraId="6559396F">
      <w:pPr>
        <w:spacing w:line="312" w:lineRule="auto"/>
        <w:jc w:val="center"/>
        <w:rPr>
          <w:rFonts w:hint="eastAsia" w:ascii="新宋体" w:hAnsi="新宋体" w:eastAsia="新宋体"/>
          <w:b/>
          <w:color w:val="auto"/>
          <w:sz w:val="44"/>
          <w:szCs w:val="44"/>
          <w:highlight w:val="none"/>
          <w:shd w:val="clear" w:color="auto" w:fill="auto"/>
          <w:lang w:eastAsia="zh-CN"/>
        </w:rPr>
      </w:pPr>
    </w:p>
    <w:p w14:paraId="7D4789CC">
      <w:pPr>
        <w:spacing w:line="312" w:lineRule="auto"/>
        <w:jc w:val="center"/>
        <w:rPr>
          <w:rFonts w:hint="eastAsia" w:ascii="新宋体" w:hAnsi="新宋体" w:eastAsia="新宋体"/>
          <w:b/>
          <w:color w:val="auto"/>
          <w:sz w:val="44"/>
          <w:szCs w:val="44"/>
          <w:highlight w:val="none"/>
          <w:shd w:val="clear" w:color="auto" w:fill="auto"/>
          <w:lang w:eastAsia="zh-CN"/>
        </w:rPr>
      </w:pPr>
      <w:r>
        <w:rPr>
          <w:rFonts w:hint="eastAsia" w:ascii="新宋体" w:hAnsi="新宋体" w:eastAsia="新宋体"/>
          <w:b/>
          <w:color w:val="auto"/>
          <w:sz w:val="44"/>
          <w:szCs w:val="44"/>
          <w:highlight w:val="none"/>
          <w:shd w:val="clear" w:color="auto" w:fill="auto"/>
          <w:lang w:eastAsia="zh-CN"/>
        </w:rPr>
        <w:t>滁州市实验中学</w:t>
      </w:r>
      <w:r>
        <w:rPr>
          <w:rFonts w:hint="eastAsia" w:ascii="新宋体" w:hAnsi="新宋体" w:eastAsia="新宋体"/>
          <w:b/>
          <w:color w:val="auto"/>
          <w:sz w:val="44"/>
          <w:szCs w:val="44"/>
          <w:highlight w:val="none"/>
          <w:shd w:val="clear" w:color="auto" w:fill="auto"/>
          <w:lang w:val="en-US" w:eastAsia="zh-CN"/>
        </w:rPr>
        <w:t>2026-2029年度</w:t>
      </w:r>
      <w:r>
        <w:rPr>
          <w:rFonts w:hint="eastAsia" w:ascii="新宋体" w:hAnsi="新宋体" w:eastAsia="新宋体"/>
          <w:b/>
          <w:color w:val="auto"/>
          <w:sz w:val="44"/>
          <w:szCs w:val="44"/>
          <w:highlight w:val="none"/>
          <w:shd w:val="clear" w:color="auto" w:fill="auto"/>
          <w:lang w:eastAsia="zh-CN"/>
        </w:rPr>
        <w:t>食堂承包经营权服务项目</w:t>
      </w:r>
    </w:p>
    <w:p w14:paraId="32DE66DF">
      <w:pPr>
        <w:spacing w:line="312" w:lineRule="auto"/>
        <w:jc w:val="center"/>
        <w:rPr>
          <w:rFonts w:hint="eastAsia" w:ascii="新宋体" w:hAnsi="新宋体" w:eastAsia="新宋体"/>
          <w:b/>
          <w:color w:val="auto"/>
          <w:sz w:val="44"/>
          <w:szCs w:val="44"/>
          <w:highlight w:val="none"/>
          <w:lang w:eastAsia="zh-CN"/>
        </w:rPr>
      </w:pPr>
    </w:p>
    <w:p w14:paraId="4C5FB57F">
      <w:pPr>
        <w:spacing w:line="312" w:lineRule="auto"/>
        <w:jc w:val="center"/>
        <w:rPr>
          <w:rFonts w:hint="eastAsia" w:ascii="新宋体" w:hAnsi="新宋体" w:eastAsia="新宋体"/>
          <w:b/>
          <w:color w:val="auto"/>
          <w:sz w:val="44"/>
          <w:szCs w:val="44"/>
          <w:highlight w:val="none"/>
          <w:lang w:eastAsia="zh-CN"/>
        </w:rPr>
      </w:pPr>
    </w:p>
    <w:p w14:paraId="4134B005">
      <w:pPr>
        <w:spacing w:line="312" w:lineRule="auto"/>
        <w:jc w:val="center"/>
        <w:rPr>
          <w:rFonts w:ascii="宋体" w:hAnsi="宋体"/>
          <w:b/>
          <w:color w:val="auto"/>
          <w:sz w:val="84"/>
          <w:szCs w:val="84"/>
          <w:highlight w:val="none"/>
        </w:rPr>
      </w:pPr>
      <w:r>
        <w:rPr>
          <w:rFonts w:hint="eastAsia" w:ascii="宋体" w:hAnsi="宋体"/>
          <w:b/>
          <w:color w:val="auto"/>
          <w:sz w:val="84"/>
          <w:szCs w:val="84"/>
          <w:highlight w:val="none"/>
        </w:rPr>
        <w:t>招 标 文 件</w:t>
      </w:r>
    </w:p>
    <w:p w14:paraId="4DDC5F84">
      <w:pPr>
        <w:spacing w:after="156" w:afterLines="50"/>
        <w:ind w:left="-850" w:leftChars="-405" w:right="-625"/>
        <w:jc w:val="center"/>
        <w:rPr>
          <w:rFonts w:hint="eastAsia" w:ascii="宋体" w:hAnsi="宋体"/>
          <w:color w:val="auto"/>
          <w:sz w:val="40"/>
          <w:szCs w:val="36"/>
          <w:highlight w:val="none"/>
        </w:rPr>
      </w:pPr>
    </w:p>
    <w:p w14:paraId="1B025C6A">
      <w:pPr>
        <w:spacing w:after="156" w:afterLines="50"/>
        <w:ind w:left="-850" w:leftChars="-405" w:right="-625"/>
        <w:jc w:val="center"/>
        <w:rPr>
          <w:rFonts w:hint="eastAsia" w:ascii="宋体" w:hAnsi="宋体"/>
          <w:color w:val="auto"/>
          <w:sz w:val="40"/>
          <w:szCs w:val="36"/>
          <w:highlight w:val="none"/>
        </w:rPr>
      </w:pPr>
      <w:r>
        <w:rPr>
          <w:rFonts w:hint="eastAsia" w:ascii="宋体" w:hAnsi="宋体"/>
          <w:color w:val="auto"/>
          <w:sz w:val="40"/>
          <w:szCs w:val="36"/>
          <w:highlight w:val="none"/>
        </w:rPr>
        <w:t>（电子招标投标）</w:t>
      </w:r>
    </w:p>
    <w:p w14:paraId="4D80A186">
      <w:pPr>
        <w:pStyle w:val="35"/>
        <w:ind w:left="0" w:leftChars="0" w:firstLine="2400" w:firstLineChars="1000"/>
        <w:rPr>
          <w:rFonts w:hint="eastAsia"/>
          <w:color w:val="auto"/>
          <w:sz w:val="24"/>
          <w:highlight w:val="none"/>
        </w:rPr>
      </w:pPr>
    </w:p>
    <w:p w14:paraId="34AE9EC8">
      <w:pPr>
        <w:pStyle w:val="35"/>
        <w:ind w:left="0" w:leftChars="0" w:firstLine="2880" w:firstLineChars="1200"/>
        <w:rPr>
          <w:rFonts w:hint="eastAsia" w:ascii="宋体" w:hAnsi="宋体" w:cs="宋体"/>
          <w:color w:val="auto"/>
          <w:sz w:val="24"/>
          <w:highlight w:val="none"/>
        </w:rPr>
      </w:pPr>
    </w:p>
    <w:p w14:paraId="6D0AC377">
      <w:pPr>
        <w:pStyle w:val="35"/>
        <w:ind w:left="0" w:leftChars="0" w:firstLine="2880" w:firstLineChars="1200"/>
        <w:rPr>
          <w:rFonts w:hint="eastAsia" w:ascii="宋体" w:hAnsi="宋体" w:cs="宋体"/>
          <w:color w:val="auto"/>
          <w:sz w:val="24"/>
          <w:highlight w:val="none"/>
        </w:rPr>
      </w:pPr>
    </w:p>
    <w:p w14:paraId="793025C8">
      <w:pPr>
        <w:pStyle w:val="35"/>
        <w:ind w:left="0" w:leftChars="0" w:firstLine="2880" w:firstLineChars="1200"/>
        <w:rPr>
          <w:rFonts w:hint="eastAsia"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lang w:val="en-US" w:eastAsia="zh-CN"/>
        </w:rPr>
        <w:t>czsjqt202609-008</w:t>
      </w:r>
    </w:p>
    <w:p w14:paraId="46898FB7">
      <w:pPr>
        <w:pStyle w:val="35"/>
        <w:ind w:left="0" w:leftChars="0" w:firstLine="2880" w:firstLineChars="1200"/>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p>
    <w:p w14:paraId="32583DE7">
      <w:pPr>
        <w:rPr>
          <w:rFonts w:hint="eastAsia" w:ascii="宋体"/>
          <w:bCs/>
          <w:color w:val="auto"/>
          <w:szCs w:val="21"/>
          <w:highlight w:val="none"/>
        </w:rPr>
      </w:pPr>
    </w:p>
    <w:p w14:paraId="3F2D8986">
      <w:pPr>
        <w:rPr>
          <w:rFonts w:hint="eastAsia" w:ascii="宋体"/>
          <w:bCs/>
          <w:color w:val="auto"/>
          <w:szCs w:val="21"/>
          <w:highlight w:val="none"/>
        </w:rPr>
      </w:pPr>
    </w:p>
    <w:p w14:paraId="5FC6068E">
      <w:pPr>
        <w:rPr>
          <w:rFonts w:hint="eastAsia"/>
          <w:color w:val="auto"/>
          <w:highlight w:val="none"/>
        </w:rPr>
      </w:pPr>
    </w:p>
    <w:p w14:paraId="6650D06F">
      <w:pPr>
        <w:spacing w:before="312" w:beforeLines="100" w:after="312" w:afterLines="100" w:line="360" w:lineRule="auto"/>
        <w:jc w:val="left"/>
        <w:rPr>
          <w:rFonts w:hint="eastAsia" w:ascii="宋体"/>
          <w:b/>
          <w:color w:val="auto"/>
          <w:sz w:val="32"/>
          <w:szCs w:val="32"/>
          <w:highlight w:val="none"/>
        </w:rPr>
      </w:pPr>
    </w:p>
    <w:p w14:paraId="4B3F841D">
      <w:pPr>
        <w:spacing w:before="312" w:beforeLines="100" w:after="312" w:afterLines="100" w:line="360" w:lineRule="auto"/>
        <w:jc w:val="left"/>
        <w:outlineLvl w:val="0"/>
        <w:rPr>
          <w:rFonts w:hint="eastAsia" w:ascii="宋体"/>
          <w:b/>
          <w:color w:val="auto"/>
          <w:sz w:val="32"/>
          <w:szCs w:val="32"/>
          <w:highlight w:val="none"/>
        </w:rPr>
      </w:pPr>
      <w:bookmarkStart w:id="1" w:name="_Toc31447"/>
      <w:r>
        <w:rPr>
          <w:rFonts w:hint="eastAsia" w:ascii="宋体"/>
          <w:b/>
          <w:color w:val="auto"/>
          <w:sz w:val="32"/>
          <w:szCs w:val="32"/>
          <w:highlight w:val="none"/>
        </w:rPr>
        <w:t>招 标 人：</w:t>
      </w:r>
      <w:r>
        <w:rPr>
          <w:rFonts w:hint="eastAsia" w:ascii="宋体"/>
          <w:b/>
          <w:color w:val="auto"/>
          <w:sz w:val="32"/>
          <w:szCs w:val="32"/>
          <w:highlight w:val="none"/>
          <w:u w:val="single"/>
        </w:rPr>
        <w:t xml:space="preserve">   </w:t>
      </w:r>
      <w:r>
        <w:rPr>
          <w:rFonts w:hint="eastAsia" w:ascii="宋体"/>
          <w:b/>
          <w:color w:val="auto"/>
          <w:sz w:val="32"/>
          <w:szCs w:val="32"/>
          <w:highlight w:val="none"/>
          <w:u w:val="single"/>
          <w:lang w:val="en-US" w:eastAsia="zh-CN"/>
        </w:rPr>
        <w:t xml:space="preserve">        滁州市实验中学</w:t>
      </w:r>
      <w:r>
        <w:rPr>
          <w:rFonts w:hint="eastAsia" w:ascii="宋体"/>
          <w:b/>
          <w:color w:val="auto"/>
          <w:sz w:val="32"/>
          <w:szCs w:val="32"/>
          <w:highlight w:val="none"/>
          <w:u w:val="single"/>
        </w:rPr>
        <w:t xml:space="preserve"> </w:t>
      </w:r>
      <w:r>
        <w:rPr>
          <w:rFonts w:hint="eastAsia" w:ascii="宋体"/>
          <w:b/>
          <w:color w:val="auto"/>
          <w:sz w:val="32"/>
          <w:szCs w:val="32"/>
          <w:highlight w:val="none"/>
          <w:u w:val="single"/>
          <w:lang w:val="en-US" w:eastAsia="zh-CN"/>
        </w:rPr>
        <w:t xml:space="preserve">         </w:t>
      </w:r>
      <w:r>
        <w:rPr>
          <w:rFonts w:hint="eastAsia" w:ascii="宋体"/>
          <w:b/>
          <w:color w:val="auto"/>
          <w:sz w:val="32"/>
          <w:szCs w:val="32"/>
          <w:highlight w:val="none"/>
          <w:u w:val="single"/>
        </w:rPr>
        <w:t xml:space="preserve"> </w:t>
      </w:r>
      <w:r>
        <w:rPr>
          <w:rFonts w:hint="eastAsia" w:ascii="宋体"/>
          <w:b/>
          <w:color w:val="auto"/>
          <w:sz w:val="32"/>
          <w:szCs w:val="32"/>
          <w:highlight w:val="none"/>
        </w:rPr>
        <w:t>（盖单位章）</w:t>
      </w:r>
      <w:bookmarkEnd w:id="1"/>
    </w:p>
    <w:p w14:paraId="59C26DB2">
      <w:pPr>
        <w:spacing w:before="312" w:beforeLines="100" w:after="312" w:afterLines="100" w:line="360" w:lineRule="auto"/>
        <w:jc w:val="left"/>
        <w:outlineLvl w:val="0"/>
        <w:rPr>
          <w:rFonts w:hint="eastAsia" w:ascii="宋体"/>
          <w:b/>
          <w:color w:val="auto"/>
          <w:sz w:val="32"/>
          <w:szCs w:val="32"/>
          <w:highlight w:val="none"/>
          <w:u w:val="single"/>
        </w:rPr>
      </w:pPr>
      <w:r>
        <w:rPr>
          <w:rFonts w:hint="eastAsia" w:ascii="宋体"/>
          <w:b/>
          <w:color w:val="auto"/>
          <w:sz w:val="32"/>
          <w:szCs w:val="32"/>
          <w:highlight w:val="none"/>
        </w:rPr>
        <w:t>代理机构：</w:t>
      </w:r>
      <w:r>
        <w:rPr>
          <w:rFonts w:hint="eastAsia" w:ascii="宋体"/>
          <w:b/>
          <w:color w:val="auto"/>
          <w:sz w:val="32"/>
          <w:szCs w:val="32"/>
          <w:highlight w:val="none"/>
          <w:u w:val="single"/>
        </w:rPr>
        <w:t xml:space="preserve">  </w:t>
      </w:r>
      <w:r>
        <w:rPr>
          <w:rFonts w:hint="eastAsia" w:ascii="宋体"/>
          <w:b/>
          <w:color w:val="auto"/>
          <w:sz w:val="32"/>
          <w:szCs w:val="32"/>
          <w:highlight w:val="none"/>
          <w:u w:val="single"/>
          <w:lang w:val="en-US" w:eastAsia="zh-CN"/>
        </w:rPr>
        <w:t xml:space="preserve"> 滁州市城投工程咨询管理有限公司  </w:t>
      </w:r>
      <w:r>
        <w:rPr>
          <w:rFonts w:hint="eastAsia" w:ascii="宋体"/>
          <w:b/>
          <w:color w:val="auto"/>
          <w:sz w:val="32"/>
          <w:szCs w:val="32"/>
          <w:highlight w:val="none"/>
          <w:u w:val="single"/>
        </w:rPr>
        <w:t xml:space="preserve"> </w:t>
      </w:r>
      <w:r>
        <w:rPr>
          <w:rFonts w:hint="eastAsia" w:ascii="宋体"/>
          <w:b/>
          <w:color w:val="auto"/>
          <w:sz w:val="32"/>
          <w:szCs w:val="32"/>
          <w:highlight w:val="none"/>
        </w:rPr>
        <w:t>（盖单位章）</w:t>
      </w:r>
    </w:p>
    <w:p w14:paraId="69DC8C9E">
      <w:pPr>
        <w:spacing w:line="360" w:lineRule="auto"/>
        <w:jc w:val="center"/>
        <w:rPr>
          <w:rFonts w:hint="eastAsia"/>
          <w:b/>
          <w:color w:val="auto"/>
          <w:sz w:val="36"/>
          <w:highlight w:val="none"/>
        </w:rPr>
      </w:pPr>
      <w:r>
        <w:rPr>
          <w:rFonts w:hint="eastAsia" w:ascii="宋体"/>
          <w:b/>
          <w:color w:val="auto"/>
          <w:sz w:val="32"/>
          <w:szCs w:val="32"/>
          <w:highlight w:val="none"/>
          <w:u w:val="single"/>
          <w:lang w:val="en-US" w:eastAsia="zh-CN"/>
        </w:rPr>
        <w:t>2026</w:t>
      </w:r>
      <w:r>
        <w:rPr>
          <w:rFonts w:hint="eastAsia" w:ascii="宋体"/>
          <w:b/>
          <w:color w:val="auto"/>
          <w:sz w:val="32"/>
          <w:szCs w:val="32"/>
          <w:highlight w:val="none"/>
        </w:rPr>
        <w:t>年</w:t>
      </w:r>
      <w:r>
        <w:rPr>
          <w:rFonts w:hint="eastAsia" w:ascii="宋体"/>
          <w:b/>
          <w:color w:val="auto"/>
          <w:sz w:val="32"/>
          <w:szCs w:val="32"/>
          <w:highlight w:val="none"/>
          <w:u w:val="single"/>
          <w:lang w:val="en-US" w:eastAsia="zh-CN"/>
        </w:rPr>
        <w:t>9</w:t>
      </w:r>
      <w:r>
        <w:rPr>
          <w:rFonts w:hint="eastAsia" w:ascii="宋体"/>
          <w:b/>
          <w:color w:val="auto"/>
          <w:sz w:val="32"/>
          <w:szCs w:val="32"/>
          <w:highlight w:val="none"/>
        </w:rPr>
        <w:t>月</w:t>
      </w:r>
    </w:p>
    <w:p w14:paraId="2E06643C">
      <w:pPr>
        <w:spacing w:line="360" w:lineRule="exact"/>
        <w:jc w:val="center"/>
        <w:rPr>
          <w:rFonts w:hint="eastAsia"/>
          <w:b/>
          <w:color w:val="auto"/>
          <w:sz w:val="36"/>
          <w:highlight w:val="none"/>
        </w:rPr>
      </w:pPr>
      <w:r>
        <w:rPr>
          <w:rFonts w:hint="eastAsia"/>
          <w:b/>
          <w:color w:val="auto"/>
          <w:sz w:val="36"/>
          <w:highlight w:val="none"/>
        </w:rPr>
        <w:br w:type="page"/>
      </w:r>
      <w:r>
        <w:rPr>
          <w:rFonts w:hint="eastAsia"/>
          <w:b/>
          <w:color w:val="auto"/>
          <w:sz w:val="36"/>
          <w:highlight w:val="none"/>
        </w:rPr>
        <w:t>目  录</w:t>
      </w:r>
    </w:p>
    <w:p w14:paraId="50108250">
      <w:pPr>
        <w:jc w:val="center"/>
        <w:rPr>
          <w:color w:val="auto"/>
          <w:highlight w:val="none"/>
        </w:rPr>
      </w:pPr>
    </w:p>
    <w:p w14:paraId="494D330E">
      <w:pPr>
        <w:pStyle w:val="112"/>
        <w:tabs>
          <w:tab w:val="right" w:leader="dot" w:pos="9072"/>
        </w:tabs>
        <w:rPr>
          <w:rFonts w:hint="eastAsia" w:ascii="宋体" w:hAnsi="宋体" w:cs="宋体"/>
          <w:color w:val="auto"/>
          <w:sz w:val="28"/>
          <w:szCs w:val="28"/>
          <w:highlight w:val="none"/>
        </w:rPr>
      </w:pPr>
      <w:r>
        <w:rPr>
          <w:rFonts w:hint="eastAsia" w:ascii="宋体" w:hAnsi="宋体" w:cs="宋体"/>
          <w:b/>
          <w:color w:val="auto"/>
          <w:sz w:val="28"/>
          <w:szCs w:val="28"/>
          <w:highlight w:val="none"/>
        </w:rPr>
        <w:fldChar w:fldCharType="begin"/>
      </w:r>
      <w:r>
        <w:rPr>
          <w:rFonts w:hint="eastAsia" w:ascii="宋体" w:hAnsi="宋体" w:cs="宋体"/>
          <w:b/>
          <w:color w:val="auto"/>
          <w:sz w:val="28"/>
          <w:szCs w:val="28"/>
          <w:highlight w:val="none"/>
        </w:rPr>
        <w:instrText xml:space="preserve">TOC \o "1-1" \h \u </w:instrText>
      </w:r>
      <w:r>
        <w:rPr>
          <w:rFonts w:hint="eastAsia" w:ascii="宋体" w:hAnsi="宋体" w:cs="宋体"/>
          <w:b/>
          <w:color w:val="auto"/>
          <w:sz w:val="28"/>
          <w:szCs w:val="28"/>
          <w:highlight w:val="none"/>
        </w:rPr>
        <w:fldChar w:fldCharType="separate"/>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_Toc22316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第一章  招标公告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_Toc22316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- 3 -</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8A3AC47">
      <w:pPr>
        <w:pStyle w:val="112"/>
        <w:tabs>
          <w:tab w:val="right" w:leader="dot" w:pos="9072"/>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_Toc31325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第二章  投标人须知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_Toc31325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- 8 -</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4FABE848">
      <w:pPr>
        <w:pStyle w:val="112"/>
        <w:tabs>
          <w:tab w:val="right" w:leader="dot" w:pos="9072"/>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_Toc12972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第三章  评标办法（综合评分法）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_Toc12972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- 26 -</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541F02B">
      <w:pPr>
        <w:pStyle w:val="112"/>
        <w:tabs>
          <w:tab w:val="right" w:leader="dot" w:pos="9072"/>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_Toc1228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_Toc1228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- 38 -</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7440DB3">
      <w:pPr>
        <w:pStyle w:val="112"/>
        <w:tabs>
          <w:tab w:val="right" w:leader="dot" w:pos="9072"/>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_Toc15152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第五章  合同条款及格式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_Toc15152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- 62 -</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554320D">
      <w:pPr>
        <w:pStyle w:val="112"/>
        <w:tabs>
          <w:tab w:val="right" w:leader="dot" w:pos="9072"/>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_Toc30697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第六章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_Toc30697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- 70 -</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C96EC8D">
      <w:pPr>
        <w:spacing w:line="720" w:lineRule="auto"/>
        <w:jc w:val="center"/>
        <w:rPr>
          <w:rFonts w:hint="eastAsia"/>
          <w:b/>
          <w:color w:val="auto"/>
          <w:sz w:val="36"/>
          <w:highlight w:val="none"/>
        </w:rPr>
      </w:pPr>
      <w:r>
        <w:rPr>
          <w:rFonts w:hint="eastAsia" w:ascii="宋体" w:hAnsi="宋体" w:cs="宋体"/>
          <w:color w:val="auto"/>
          <w:sz w:val="28"/>
          <w:szCs w:val="28"/>
          <w:highlight w:val="none"/>
        </w:rPr>
        <w:fldChar w:fldCharType="end"/>
      </w:r>
    </w:p>
    <w:p w14:paraId="09EBCAA6">
      <w:pPr>
        <w:pStyle w:val="25"/>
        <w:tabs>
          <w:tab w:val="right" w:leader="dot" w:pos="8296"/>
        </w:tabs>
        <w:adjustRightInd w:val="0"/>
        <w:snapToGrid w:val="0"/>
        <w:spacing w:line="720" w:lineRule="auto"/>
        <w:ind w:left="161" w:hanging="161" w:hangingChars="50"/>
        <w:jc w:val="center"/>
        <w:rPr>
          <w:rFonts w:hint="eastAsia" w:ascii="宋体"/>
          <w:b/>
          <w:bCs/>
          <w:color w:val="auto"/>
          <w:sz w:val="32"/>
          <w:szCs w:val="32"/>
          <w:highlight w:val="none"/>
        </w:rPr>
        <w:sectPr>
          <w:headerReference r:id="rId3" w:type="default"/>
          <w:footerReference r:id="rId4" w:type="default"/>
          <w:pgSz w:w="11906" w:h="16838"/>
          <w:pgMar w:top="1440" w:right="1417" w:bottom="1417" w:left="1417"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4B717CE9">
      <w:pPr>
        <w:spacing w:before="156" w:beforeLines="50" w:after="156" w:afterLines="50"/>
        <w:jc w:val="center"/>
        <w:outlineLvl w:val="0"/>
        <w:rPr>
          <w:rFonts w:hint="eastAsia" w:ascii="宋体"/>
          <w:b/>
          <w:color w:val="auto"/>
          <w:sz w:val="32"/>
          <w:szCs w:val="32"/>
          <w:highlight w:val="none"/>
        </w:rPr>
      </w:pPr>
      <w:bookmarkStart w:id="2" w:name="_Toc22316"/>
      <w:bookmarkStart w:id="3" w:name="_Toc28197"/>
      <w:bookmarkStart w:id="4" w:name="_Toc14018"/>
      <w:r>
        <w:rPr>
          <w:rFonts w:hint="eastAsia" w:ascii="宋体"/>
          <w:b/>
          <w:color w:val="auto"/>
          <w:sz w:val="32"/>
          <w:szCs w:val="32"/>
          <w:highlight w:val="none"/>
        </w:rPr>
        <w:t>第一章  招标公告</w:t>
      </w:r>
      <w:bookmarkEnd w:id="2"/>
      <w:bookmarkEnd w:id="3"/>
      <w:bookmarkEnd w:id="4"/>
    </w:p>
    <w:p w14:paraId="1E7A6E7E">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项目概况</w:t>
      </w:r>
    </w:p>
    <w:p w14:paraId="0CE5F8B6">
      <w:pPr>
        <w:wordWrap w:val="0"/>
        <w:spacing w:line="440" w:lineRule="exact"/>
        <w:ind w:firstLine="412" w:firstLineChars="200"/>
        <w:jc w:val="left"/>
        <w:rPr>
          <w:rFonts w:hint="eastAsia" w:ascii="宋体" w:hAnsi="宋体" w:cs="宋体"/>
          <w:color w:val="auto"/>
          <w:szCs w:val="21"/>
          <w:highlight w:val="none"/>
        </w:rPr>
      </w:pPr>
      <w:r>
        <w:rPr>
          <w:rFonts w:hint="eastAsia" w:ascii="宋体" w:hAnsi="宋体" w:eastAsia="宋体" w:cs="宋体"/>
          <w:color w:val="auto"/>
          <w:spacing w:val="-2"/>
          <w:sz w:val="21"/>
          <w:szCs w:val="21"/>
          <w:highlight w:val="none"/>
          <w:u w:val="single"/>
        </w:rPr>
        <w:t>滁州市实验中学</w:t>
      </w:r>
      <w:r>
        <w:rPr>
          <w:rFonts w:hint="eastAsia" w:ascii="宋体" w:hAnsi="宋体" w:eastAsia="宋体" w:cs="宋体"/>
          <w:color w:val="auto"/>
          <w:spacing w:val="-2"/>
          <w:sz w:val="21"/>
          <w:szCs w:val="21"/>
          <w:highlight w:val="none"/>
          <w:u w:val="single"/>
          <w:lang w:val="en-US" w:eastAsia="zh-CN"/>
        </w:rPr>
        <w:t>2026-2029年度</w:t>
      </w:r>
      <w:r>
        <w:rPr>
          <w:rFonts w:hint="eastAsia" w:ascii="宋体" w:hAnsi="宋体" w:eastAsia="宋体" w:cs="宋体"/>
          <w:color w:val="auto"/>
          <w:spacing w:val="-2"/>
          <w:sz w:val="21"/>
          <w:szCs w:val="21"/>
          <w:highlight w:val="none"/>
          <w:u w:val="single"/>
        </w:rPr>
        <w:t>食堂承包经营权服务项目</w:t>
      </w:r>
      <w:r>
        <w:rPr>
          <w:rFonts w:hint="eastAsia" w:ascii="宋体" w:hAnsi="宋体" w:cs="宋体"/>
          <w:color w:val="auto"/>
          <w:szCs w:val="21"/>
          <w:highlight w:val="none"/>
        </w:rPr>
        <w:t>的潜在投标人应在</w:t>
      </w:r>
      <w:r>
        <w:rPr>
          <w:rFonts w:hint="eastAsia" w:ascii="宋体" w:hAnsi="宋体" w:cs="宋体"/>
          <w:color w:val="auto"/>
          <w:szCs w:val="21"/>
          <w:highlight w:val="none"/>
          <w:u w:val="single"/>
        </w:rPr>
        <w:t>滁州市公共资源交易中心网（http://ggzy.chuzhou.gov.cn/）</w:t>
      </w:r>
      <w:r>
        <w:rPr>
          <w:rFonts w:hint="eastAsia" w:ascii="宋体" w:hAnsi="宋体" w:cs="宋体"/>
          <w:color w:val="auto"/>
          <w:szCs w:val="21"/>
          <w:highlight w:val="none"/>
        </w:rPr>
        <w:t>获取招标文件，并于</w:t>
      </w:r>
      <w:r>
        <w:rPr>
          <w:rFonts w:hint="eastAsia" w:ascii="宋体" w:hAnsi="宋体" w:cs="宋体"/>
          <w:color w:val="auto"/>
          <w:szCs w:val="21"/>
          <w:highlight w:val="none"/>
          <w:u w:val="single"/>
          <w:lang w:val="en-US" w:eastAsia="zh-CN"/>
        </w:rPr>
        <w:t>2026年10月8日8时30分</w:t>
      </w:r>
      <w:r>
        <w:rPr>
          <w:rFonts w:hint="eastAsia" w:ascii="宋体" w:hAnsi="宋体" w:cs="宋体"/>
          <w:color w:val="auto"/>
          <w:szCs w:val="21"/>
          <w:highlight w:val="none"/>
        </w:rPr>
        <w:t>（北京时间）前递交投标文件。</w:t>
      </w:r>
    </w:p>
    <w:p w14:paraId="70DE908B">
      <w:pPr>
        <w:pStyle w:val="4"/>
        <w:numPr>
          <w:ilvl w:val="0"/>
          <w:numId w:val="0"/>
        </w:numPr>
        <w:spacing w:before="93" w:beforeLines="30" w:after="93" w:afterLines="30" w:line="440" w:lineRule="exact"/>
        <w:ind w:left="431"/>
        <w:jc w:val="left"/>
        <w:rPr>
          <w:rFonts w:hint="eastAsia" w:ascii="宋体" w:hAnsi="宋体" w:cs="宋体"/>
          <w:color w:val="auto"/>
          <w:szCs w:val="24"/>
          <w:highlight w:val="none"/>
        </w:rPr>
      </w:pPr>
      <w:bookmarkStart w:id="5" w:name="_Toc12041"/>
      <w:bookmarkStart w:id="6" w:name="_Toc14664"/>
      <w:bookmarkStart w:id="7" w:name="_Toc7511"/>
      <w:r>
        <w:rPr>
          <w:rFonts w:hint="eastAsia" w:ascii="宋体" w:hAnsi="宋体" w:cs="宋体"/>
          <w:b/>
          <w:color w:val="auto"/>
          <w:szCs w:val="24"/>
          <w:highlight w:val="none"/>
        </w:rPr>
        <w:t>一、项目基本情况</w:t>
      </w:r>
      <w:bookmarkEnd w:id="5"/>
      <w:bookmarkEnd w:id="6"/>
      <w:bookmarkEnd w:id="7"/>
    </w:p>
    <w:p w14:paraId="07C69B2B">
      <w:pPr>
        <w:spacing w:line="440" w:lineRule="exact"/>
        <w:ind w:firstLine="420" w:firstLineChars="200"/>
        <w:jc w:val="left"/>
        <w:rPr>
          <w:rFonts w:hint="eastAsia" w:ascii="宋体" w:hAnsi="宋体" w:cs="宋体"/>
          <w:b w:val="0"/>
          <w:bCs w:val="0"/>
          <w:color w:val="auto"/>
          <w:szCs w:val="21"/>
          <w:highlight w:val="none"/>
        </w:rPr>
      </w:pPr>
      <w:r>
        <w:rPr>
          <w:rFonts w:hint="eastAsia" w:ascii="宋体" w:hAnsi="宋体" w:cs="宋体"/>
          <w:color w:val="auto"/>
          <w:szCs w:val="21"/>
          <w:highlight w:val="none"/>
        </w:rPr>
        <w:t>项目编号：</w:t>
      </w:r>
      <w:r>
        <w:rPr>
          <w:rFonts w:hint="eastAsia" w:ascii="宋体" w:hAnsi="宋体" w:cs="宋体"/>
          <w:color w:val="auto"/>
          <w:szCs w:val="21"/>
          <w:highlight w:val="none"/>
          <w:lang w:val="en-US" w:eastAsia="zh-CN"/>
        </w:rPr>
        <w:t xml:space="preserve">czsjqt202609-008 </w:t>
      </w:r>
    </w:p>
    <w:p w14:paraId="2F2598C0">
      <w:pPr>
        <w:spacing w:line="44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项目名称：滁州市实验中学</w:t>
      </w:r>
      <w:r>
        <w:rPr>
          <w:rFonts w:hint="eastAsia" w:ascii="宋体" w:hAnsi="宋体" w:cs="宋体"/>
          <w:color w:val="auto"/>
          <w:szCs w:val="21"/>
          <w:highlight w:val="none"/>
          <w:lang w:val="en-US" w:eastAsia="zh-CN"/>
        </w:rPr>
        <w:t>2026-2029年度</w:t>
      </w:r>
      <w:r>
        <w:rPr>
          <w:rFonts w:hint="eastAsia" w:ascii="宋体" w:hAnsi="宋体" w:cs="宋体"/>
          <w:color w:val="auto"/>
          <w:szCs w:val="21"/>
          <w:highlight w:val="none"/>
        </w:rPr>
        <w:t>食堂承包经营权服务项目</w:t>
      </w:r>
      <w:r>
        <w:rPr>
          <w:rFonts w:hint="eastAsia" w:ascii="宋体" w:hAnsi="宋体" w:cs="宋体"/>
          <w:color w:val="auto"/>
          <w:szCs w:val="21"/>
          <w:highlight w:val="none"/>
          <w:lang w:eastAsia="zh-CN"/>
        </w:rPr>
        <w:t xml:space="preserve">       </w:t>
      </w:r>
    </w:p>
    <w:p w14:paraId="73A861AD">
      <w:pPr>
        <w:spacing w:line="440" w:lineRule="exact"/>
        <w:ind w:firstLine="420" w:firstLineChars="200"/>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投标限价</w:t>
      </w:r>
      <w:r>
        <w:rPr>
          <w:rFonts w:hint="eastAsia" w:ascii="宋体" w:hAnsi="宋体" w:cs="宋体"/>
          <w:color w:val="auto"/>
          <w:szCs w:val="21"/>
          <w:highlight w:val="none"/>
        </w:rPr>
        <w:t>：本项目食堂经营方实行“零租赁”，无需报价</w:t>
      </w:r>
      <w:r>
        <w:rPr>
          <w:rFonts w:hint="eastAsia" w:ascii="宋体" w:hAnsi="宋体" w:cs="宋体"/>
          <w:color w:val="auto"/>
          <w:szCs w:val="21"/>
          <w:highlight w:val="none"/>
          <w:lang w:eastAsia="zh-CN"/>
        </w:rPr>
        <w:t>。</w:t>
      </w:r>
    </w:p>
    <w:p w14:paraId="6289F445">
      <w:pPr>
        <w:spacing w:line="44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采购需求：</w:t>
      </w:r>
      <w:r>
        <w:rPr>
          <w:rFonts w:hint="eastAsia" w:ascii="宋体" w:hAnsi="宋体" w:eastAsia="宋体" w:cs="宋体"/>
          <w:color w:val="auto"/>
          <w:spacing w:val="-2"/>
          <w:sz w:val="21"/>
          <w:szCs w:val="21"/>
          <w:highlight w:val="none"/>
        </w:rPr>
        <w:t>滁州市实验中学</w:t>
      </w:r>
      <w:r>
        <w:rPr>
          <w:rFonts w:hint="eastAsia" w:ascii="宋体" w:hAnsi="宋体" w:eastAsia="宋体" w:cs="宋体"/>
          <w:color w:val="auto"/>
          <w:spacing w:val="-2"/>
          <w:sz w:val="21"/>
          <w:szCs w:val="21"/>
          <w:highlight w:val="none"/>
          <w:lang w:val="en-US" w:eastAsia="zh-CN"/>
        </w:rPr>
        <w:t>2026-2029年度</w:t>
      </w:r>
      <w:r>
        <w:rPr>
          <w:rFonts w:hint="eastAsia" w:ascii="宋体" w:hAnsi="宋体" w:eastAsia="宋体" w:cs="宋体"/>
          <w:color w:val="auto"/>
          <w:spacing w:val="-2"/>
          <w:sz w:val="21"/>
          <w:szCs w:val="21"/>
          <w:highlight w:val="none"/>
        </w:rPr>
        <w:t>食堂承包经营权服务项目</w:t>
      </w:r>
      <w:r>
        <w:rPr>
          <w:rFonts w:hint="eastAsia" w:ascii="宋体" w:hAnsi="宋体" w:eastAsia="宋体" w:cs="宋体"/>
          <w:color w:val="auto"/>
          <w:spacing w:val="-1"/>
          <w:sz w:val="21"/>
          <w:szCs w:val="21"/>
          <w:highlight w:val="none"/>
          <w:lang w:eastAsia="zh-CN"/>
        </w:rPr>
        <w:t>，学生食堂位于学校高中部生活区（西南侧），学生食堂共三层，建筑面积约4523平方米。</w:t>
      </w:r>
      <w:r>
        <w:rPr>
          <w:rFonts w:hint="eastAsia" w:ascii="宋体" w:hAnsi="宋体" w:eastAsia="宋体" w:cs="宋体"/>
          <w:color w:val="auto"/>
          <w:spacing w:val="-1"/>
          <w:sz w:val="21"/>
          <w:szCs w:val="21"/>
          <w:highlight w:val="none"/>
          <w:lang w:val="en-US" w:eastAsia="zh-CN"/>
        </w:rPr>
        <w:t>具体内容</w:t>
      </w:r>
      <w:r>
        <w:rPr>
          <w:rFonts w:hint="eastAsia" w:ascii="宋体" w:hAnsi="宋体" w:eastAsia="宋体" w:cs="宋体"/>
          <w:color w:val="auto"/>
          <w:spacing w:val="-1"/>
          <w:sz w:val="21"/>
          <w:szCs w:val="21"/>
          <w:highlight w:val="none"/>
          <w:lang w:eastAsia="zh-CN"/>
        </w:rPr>
        <w:t>详见招标文件。</w:t>
      </w:r>
      <w:r>
        <w:rPr>
          <w:rFonts w:hint="eastAsia" w:ascii="宋体" w:hAnsi="宋体" w:cs="宋体"/>
          <w:color w:val="auto"/>
          <w:szCs w:val="21"/>
          <w:highlight w:val="none"/>
          <w:lang w:eastAsia="zh-CN"/>
        </w:rPr>
        <w:t xml:space="preserve">       </w:t>
      </w:r>
    </w:p>
    <w:p w14:paraId="60B8D7A7">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合同履行期限：</w:t>
      </w:r>
      <w:r>
        <w:rPr>
          <w:rFonts w:hint="eastAsia" w:ascii="宋体" w:hAnsi="宋体" w:eastAsia="宋体" w:cs="宋体"/>
          <w:color w:val="auto"/>
          <w:spacing w:val="-1"/>
          <w:sz w:val="21"/>
          <w:szCs w:val="21"/>
          <w:highlight w:val="none"/>
          <w:lang w:eastAsia="zh-CN"/>
        </w:rPr>
        <w:t>服务期限为</w:t>
      </w:r>
      <w:r>
        <w:rPr>
          <w:rFonts w:hint="eastAsia" w:ascii="宋体" w:hAnsi="宋体" w:eastAsia="宋体" w:cs="宋体"/>
          <w:color w:val="auto"/>
          <w:spacing w:val="-1"/>
          <w:sz w:val="21"/>
          <w:szCs w:val="21"/>
          <w:highlight w:val="none"/>
          <w:lang w:val="en-US" w:eastAsia="zh-CN"/>
        </w:rPr>
        <w:t>3</w:t>
      </w:r>
      <w:r>
        <w:rPr>
          <w:rFonts w:hint="eastAsia" w:ascii="宋体" w:hAnsi="宋体" w:eastAsia="宋体" w:cs="宋体"/>
          <w:color w:val="auto"/>
          <w:spacing w:val="-1"/>
          <w:sz w:val="21"/>
          <w:szCs w:val="21"/>
          <w:highlight w:val="none"/>
          <w:lang w:eastAsia="zh-CN"/>
        </w:rPr>
        <w:t>年</w:t>
      </w: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lang w:eastAsia="zh-CN"/>
        </w:rPr>
        <w:t>合同一年一签。每年进行一次年度综合考核评价，经招标人年度综合考核评价合格的，可续签下一年合同。</w:t>
      </w:r>
      <w:r>
        <w:rPr>
          <w:rFonts w:hint="eastAsia" w:ascii="宋体" w:hAnsi="宋体" w:cs="宋体"/>
          <w:color w:val="auto"/>
          <w:szCs w:val="21"/>
          <w:highlight w:val="none"/>
          <w:lang w:val="en-US" w:eastAsia="zh-CN"/>
        </w:rPr>
        <w:t xml:space="preserve"> </w:t>
      </w:r>
    </w:p>
    <w:p w14:paraId="23FC35C8">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本</w:t>
      </w:r>
      <w:r>
        <w:rPr>
          <w:rFonts w:hint="eastAsia" w:ascii="宋体" w:hAnsi="宋体" w:eastAsia="宋体" w:cs="宋体"/>
          <w:color w:val="auto"/>
          <w:szCs w:val="21"/>
          <w:highlight w:val="none"/>
        </w:rPr>
        <w:t>项目</w:t>
      </w:r>
      <w:r>
        <w:rPr>
          <w:rFonts w:hint="eastAsia" w:ascii="宋体" w:hAnsi="宋体" w:eastAsia="宋体" w:cs="宋体"/>
          <w:color w:val="auto"/>
          <w:szCs w:val="21"/>
          <w:highlight w:val="none"/>
          <w:lang w:val="en-US" w:eastAsia="zh-CN"/>
        </w:rPr>
        <w:t>不接受</w:t>
      </w:r>
      <w:r>
        <w:rPr>
          <w:rFonts w:hint="eastAsia" w:ascii="宋体" w:hAnsi="宋体" w:eastAsia="宋体" w:cs="宋体"/>
          <w:color w:val="auto"/>
          <w:szCs w:val="21"/>
          <w:highlight w:val="none"/>
        </w:rPr>
        <w:t>联</w:t>
      </w:r>
      <w:r>
        <w:rPr>
          <w:rFonts w:hint="eastAsia" w:ascii="宋体" w:hAnsi="宋体" w:cs="宋体"/>
          <w:color w:val="auto"/>
          <w:szCs w:val="21"/>
          <w:highlight w:val="none"/>
        </w:rPr>
        <w:t>合体投标。</w:t>
      </w:r>
    </w:p>
    <w:p w14:paraId="41C2CBA1">
      <w:pPr>
        <w:pStyle w:val="4"/>
        <w:numPr>
          <w:ilvl w:val="0"/>
          <w:numId w:val="0"/>
        </w:numPr>
        <w:spacing w:before="93" w:beforeLines="30" w:after="93" w:afterLines="30" w:line="440" w:lineRule="exact"/>
        <w:ind w:left="431"/>
        <w:jc w:val="left"/>
        <w:rPr>
          <w:rFonts w:hint="eastAsia" w:ascii="宋体" w:hAnsi="宋体" w:cs="宋体"/>
          <w:b/>
          <w:color w:val="auto"/>
          <w:szCs w:val="24"/>
          <w:highlight w:val="none"/>
        </w:rPr>
      </w:pPr>
      <w:bookmarkStart w:id="8" w:name="_Toc23366"/>
      <w:bookmarkStart w:id="9" w:name="_Toc22096"/>
      <w:bookmarkStart w:id="10" w:name="_Toc12020"/>
      <w:bookmarkStart w:id="11" w:name="_Toc35393791"/>
      <w:bookmarkStart w:id="12" w:name="_Toc28359080"/>
      <w:bookmarkStart w:id="13" w:name="_Toc35393622"/>
      <w:bookmarkStart w:id="14" w:name="_Toc28359003"/>
      <w:bookmarkStart w:id="15" w:name="_Toc58430306"/>
      <w:r>
        <w:rPr>
          <w:rFonts w:hint="eastAsia" w:ascii="宋体" w:hAnsi="宋体" w:cs="宋体"/>
          <w:b/>
          <w:color w:val="auto"/>
          <w:szCs w:val="24"/>
          <w:highlight w:val="none"/>
        </w:rPr>
        <w:t>二、申请人的资格要求</w:t>
      </w:r>
      <w:bookmarkEnd w:id="8"/>
      <w:bookmarkEnd w:id="9"/>
      <w:bookmarkEnd w:id="10"/>
      <w:bookmarkEnd w:id="11"/>
      <w:bookmarkEnd w:id="12"/>
      <w:bookmarkEnd w:id="13"/>
      <w:bookmarkEnd w:id="14"/>
      <w:bookmarkEnd w:id="15"/>
    </w:p>
    <w:p w14:paraId="52DAF9C4">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w:t>
      </w:r>
      <w:bookmarkStart w:id="16" w:name="_Toc28359004"/>
      <w:bookmarkStart w:id="17" w:name="_Toc28359081"/>
      <w:r>
        <w:rPr>
          <w:rFonts w:hint="eastAsia" w:ascii="宋体" w:hAnsi="宋体" w:cs="宋体"/>
          <w:color w:val="auto"/>
          <w:szCs w:val="21"/>
          <w:highlight w:val="none"/>
        </w:rPr>
        <w:t>投标人要求：具有独立承担民事责任的能力</w:t>
      </w:r>
      <w:r>
        <w:rPr>
          <w:rFonts w:hint="eastAsia" w:ascii="宋体" w:hAnsi="宋体" w:cs="宋体"/>
          <w:color w:val="auto"/>
          <w:szCs w:val="21"/>
          <w:highlight w:val="none"/>
          <w:lang w:val="en-US" w:eastAsia="zh-CN"/>
        </w:rPr>
        <w:t>且</w:t>
      </w:r>
      <w:r>
        <w:rPr>
          <w:rFonts w:hint="eastAsia" w:ascii="宋体" w:hAnsi="宋体" w:cs="宋体"/>
          <w:color w:val="auto"/>
          <w:szCs w:val="21"/>
          <w:highlight w:val="none"/>
        </w:rPr>
        <w:t>具有有效的营业执照。</w:t>
      </w:r>
      <w:bookmarkStart w:id="18" w:name="_Toc27615"/>
      <w:bookmarkStart w:id="19" w:name="_Toc9413"/>
      <w:bookmarkStart w:id="20" w:name="_Toc35393623"/>
      <w:bookmarkStart w:id="21" w:name="_Toc35393792"/>
      <w:bookmarkStart w:id="22" w:name="_Toc58430307"/>
      <w:bookmarkStart w:id="23" w:name="_Toc24525"/>
    </w:p>
    <w:p w14:paraId="50C95504">
      <w:pPr>
        <w:pageBreakBefore w:val="0"/>
        <w:wordWrap w:val="0"/>
        <w:overflowPunct/>
        <w:topLinePunct w:val="0"/>
        <w:bidi w:val="0"/>
        <w:spacing w:line="480" w:lineRule="exact"/>
        <w:ind w:left="0" w:leftChars="0" w:right="0"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2.信誉要求：投标人存在以下情形之一的，不得被确定为中标人：</w:t>
      </w:r>
    </w:p>
    <w:p w14:paraId="3A32BDD7">
      <w:pPr>
        <w:pageBreakBefore w:val="0"/>
        <w:wordWrap w:val="0"/>
        <w:overflowPunct/>
        <w:topLinePunct w:val="0"/>
        <w:bidi w:val="0"/>
        <w:spacing w:line="480" w:lineRule="exact"/>
        <w:ind w:left="0" w:leftChars="0" w:right="0"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①被列入“信用中国”网站（www.creditchina.gov.cn）“失信被执行人”的；</w:t>
      </w:r>
    </w:p>
    <w:p w14:paraId="0FBA2EF4">
      <w:pPr>
        <w:pageBreakBefore w:val="0"/>
        <w:wordWrap w:val="0"/>
        <w:overflowPunct/>
        <w:topLinePunct w:val="0"/>
        <w:bidi w:val="0"/>
        <w:spacing w:line="480" w:lineRule="exact"/>
        <w:ind w:left="0" w:leftChars="0" w:right="0"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②被列入“信用中国”网站（www.creditchina.gov.cn）“重大税收违法失信主体”的；</w:t>
      </w:r>
    </w:p>
    <w:p w14:paraId="39299A06">
      <w:pPr>
        <w:pageBreakBefore w:val="0"/>
        <w:wordWrap w:val="0"/>
        <w:overflowPunct/>
        <w:topLinePunct w:val="0"/>
        <w:bidi w:val="0"/>
        <w:spacing w:line="480" w:lineRule="exact"/>
        <w:ind w:left="0" w:leftChars="0" w:right="0"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③被列入“信用中国”网站（www.creditchina.gov.cn）“拖欠农民工工资失信联合惩戒对象名单”的；</w:t>
      </w:r>
    </w:p>
    <w:p w14:paraId="224277EB">
      <w:pPr>
        <w:pageBreakBefore w:val="0"/>
        <w:wordWrap w:val="0"/>
        <w:overflowPunct/>
        <w:topLinePunct w:val="0"/>
        <w:bidi w:val="0"/>
        <w:spacing w:line="480" w:lineRule="exact"/>
        <w:ind w:left="0" w:leftChars="0" w:right="0"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④被列入“信用中国”网站（www.creditchina.gov.cn） “安全生产严重失信主体名单”的；</w:t>
      </w:r>
    </w:p>
    <w:p w14:paraId="79B08950">
      <w:pPr>
        <w:pageBreakBefore w:val="0"/>
        <w:wordWrap w:val="0"/>
        <w:overflowPunct/>
        <w:topLinePunct w:val="0"/>
        <w:bidi w:val="0"/>
        <w:spacing w:line="480" w:lineRule="exact"/>
        <w:ind w:left="0" w:leftChars="0" w:right="0"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⑤被列入国家企业信用信息公示系统网站（www.gsxt.gov.cn）“严重违法失信名单”的。</w:t>
      </w:r>
    </w:p>
    <w:p w14:paraId="0A60BD2A">
      <w:pPr>
        <w:pStyle w:val="4"/>
        <w:numPr>
          <w:ilvl w:val="0"/>
          <w:numId w:val="0"/>
        </w:numPr>
        <w:spacing w:before="93" w:beforeLines="30" w:after="93" w:afterLines="30" w:line="440" w:lineRule="exact"/>
        <w:ind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3.投标人所属分公司、办事处等分支机构存在第2条信誉要求①-⑤项情形之一的，接受其被确定为中标人。</w:t>
      </w:r>
    </w:p>
    <w:p w14:paraId="6A2CBA65">
      <w:pPr>
        <w:pStyle w:val="4"/>
        <w:numPr>
          <w:ilvl w:val="0"/>
          <w:numId w:val="0"/>
        </w:numPr>
        <w:spacing w:before="93" w:beforeLines="30" w:after="93" w:afterLines="30" w:line="440" w:lineRule="exact"/>
        <w:ind w:left="431"/>
        <w:jc w:val="left"/>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三、获取招标文件</w:t>
      </w:r>
      <w:bookmarkEnd w:id="16"/>
      <w:bookmarkEnd w:id="17"/>
      <w:bookmarkEnd w:id="18"/>
      <w:bookmarkEnd w:id="19"/>
      <w:bookmarkEnd w:id="20"/>
      <w:bookmarkEnd w:id="21"/>
      <w:bookmarkEnd w:id="22"/>
      <w:bookmarkEnd w:id="23"/>
    </w:p>
    <w:p w14:paraId="30B3AF73">
      <w:pPr>
        <w:spacing w:line="440" w:lineRule="exact"/>
        <w:ind w:firstLine="540"/>
        <w:jc w:val="left"/>
        <w:textAlignment w:val="baseline"/>
        <w:rPr>
          <w:rFonts w:hint="eastAsia" w:ascii="宋体" w:hAnsi="宋体" w:cs="宋体"/>
          <w:color w:val="auto"/>
          <w:szCs w:val="21"/>
          <w:highlight w:val="none"/>
        </w:rPr>
      </w:pPr>
      <w:r>
        <w:rPr>
          <w:rFonts w:hint="eastAsia" w:ascii="宋体" w:hAnsi="宋体" w:cs="宋体"/>
          <w:color w:val="auto"/>
          <w:szCs w:val="21"/>
          <w:highlight w:val="none"/>
        </w:rPr>
        <w:t>时间：</w:t>
      </w:r>
      <w:r>
        <w:rPr>
          <w:rFonts w:hint="eastAsia" w:ascii="宋体" w:hAnsi="宋体" w:eastAsia="宋体" w:cs="宋体"/>
          <w:color w:val="auto"/>
          <w:spacing w:val="-2"/>
          <w:sz w:val="21"/>
          <w:szCs w:val="21"/>
          <w:highlight w:val="none"/>
          <w:lang w:val="en-US" w:eastAsia="zh-CN"/>
        </w:rPr>
        <w:t>2026年9月</w:t>
      </w:r>
      <w:r>
        <w:rPr>
          <w:rFonts w:hint="eastAsia" w:ascii="宋体" w:hAnsi="宋体" w:cs="宋体"/>
          <w:color w:val="auto"/>
          <w:spacing w:val="-2"/>
          <w:sz w:val="21"/>
          <w:szCs w:val="21"/>
          <w:highlight w:val="none"/>
          <w:lang w:val="en-US" w:eastAsia="zh-CN"/>
        </w:rPr>
        <w:t>10</w:t>
      </w:r>
      <w:r>
        <w:rPr>
          <w:rFonts w:hint="eastAsia" w:ascii="宋体" w:hAnsi="宋体" w:eastAsia="宋体" w:cs="宋体"/>
          <w:color w:val="auto"/>
          <w:spacing w:val="-2"/>
          <w:sz w:val="21"/>
          <w:szCs w:val="21"/>
          <w:highlight w:val="none"/>
          <w:lang w:val="en-US" w:eastAsia="zh-CN"/>
        </w:rPr>
        <w:t>日至2026年</w:t>
      </w:r>
      <w:r>
        <w:rPr>
          <w:rFonts w:hint="eastAsia" w:ascii="宋体" w:hAnsi="宋体" w:cs="宋体"/>
          <w:color w:val="auto"/>
          <w:spacing w:val="-2"/>
          <w:sz w:val="21"/>
          <w:szCs w:val="21"/>
          <w:highlight w:val="none"/>
          <w:lang w:val="en-US" w:eastAsia="zh-CN"/>
        </w:rPr>
        <w:t>10</w:t>
      </w:r>
      <w:r>
        <w:rPr>
          <w:rFonts w:hint="eastAsia" w:ascii="宋体" w:hAnsi="宋体" w:eastAsia="宋体" w:cs="宋体"/>
          <w:color w:val="auto"/>
          <w:spacing w:val="-2"/>
          <w:sz w:val="21"/>
          <w:szCs w:val="21"/>
          <w:highlight w:val="none"/>
          <w:lang w:val="en-US" w:eastAsia="zh-CN"/>
        </w:rPr>
        <w:t>月</w:t>
      </w:r>
      <w:r>
        <w:rPr>
          <w:rFonts w:hint="eastAsia" w:ascii="宋体" w:hAnsi="宋体" w:cs="宋体"/>
          <w:color w:val="auto"/>
          <w:spacing w:val="-2"/>
          <w:sz w:val="21"/>
          <w:szCs w:val="21"/>
          <w:highlight w:val="none"/>
          <w:lang w:val="en-US" w:eastAsia="zh-CN"/>
        </w:rPr>
        <w:t>8</w:t>
      </w:r>
      <w:r>
        <w:rPr>
          <w:rFonts w:hint="eastAsia" w:ascii="宋体" w:hAnsi="宋体" w:eastAsia="宋体" w:cs="宋体"/>
          <w:color w:val="auto"/>
          <w:spacing w:val="-2"/>
          <w:sz w:val="21"/>
          <w:szCs w:val="21"/>
          <w:highlight w:val="none"/>
          <w:lang w:val="en-US" w:eastAsia="zh-CN"/>
        </w:rPr>
        <w:t>日</w:t>
      </w:r>
    </w:p>
    <w:p w14:paraId="57990D48">
      <w:pPr>
        <w:spacing w:line="440" w:lineRule="exact"/>
        <w:ind w:firstLine="540"/>
        <w:jc w:val="left"/>
        <w:textAlignment w:val="baseline"/>
        <w:rPr>
          <w:rFonts w:hint="eastAsia" w:ascii="宋体" w:hAnsi="宋体" w:cs="宋体"/>
          <w:color w:val="auto"/>
          <w:szCs w:val="21"/>
          <w:highlight w:val="none"/>
          <w:u w:val="single"/>
        </w:rPr>
      </w:pPr>
      <w:r>
        <w:rPr>
          <w:rFonts w:hint="eastAsia" w:ascii="宋体" w:hAnsi="宋体" w:cs="宋体"/>
          <w:color w:val="auto"/>
          <w:szCs w:val="21"/>
          <w:highlight w:val="none"/>
        </w:rPr>
        <w:t>地点：滁州市公共资源交易中心网</w:t>
      </w:r>
    </w:p>
    <w:p w14:paraId="57E3915A">
      <w:pPr>
        <w:spacing w:line="440" w:lineRule="exact"/>
        <w:ind w:firstLine="540"/>
        <w:jc w:val="left"/>
        <w:textAlignment w:val="baseline"/>
        <w:rPr>
          <w:rFonts w:hint="eastAsia" w:ascii="宋体" w:hAnsi="宋体" w:cs="宋体"/>
          <w:color w:val="auto"/>
          <w:szCs w:val="21"/>
          <w:highlight w:val="none"/>
          <w:u w:val="single"/>
        </w:rPr>
      </w:pPr>
      <w:r>
        <w:rPr>
          <w:rFonts w:hint="eastAsia" w:ascii="宋体" w:hAnsi="宋体" w:cs="宋体"/>
          <w:color w:val="auto"/>
          <w:szCs w:val="21"/>
          <w:highlight w:val="none"/>
        </w:rPr>
        <w:t>方式：网上下载</w:t>
      </w:r>
    </w:p>
    <w:p w14:paraId="6D0E30D5">
      <w:pPr>
        <w:spacing w:line="440" w:lineRule="exact"/>
        <w:ind w:firstLine="540"/>
        <w:jc w:val="left"/>
        <w:textAlignment w:val="baseline"/>
        <w:rPr>
          <w:rFonts w:hint="eastAsia" w:ascii="宋体" w:hAnsi="宋体" w:cs="宋体"/>
          <w:color w:val="auto"/>
          <w:szCs w:val="21"/>
          <w:highlight w:val="none"/>
        </w:rPr>
      </w:pPr>
      <w:r>
        <w:rPr>
          <w:rFonts w:hint="eastAsia" w:ascii="宋体" w:hAnsi="宋体" w:cs="宋体"/>
          <w:color w:val="auto"/>
          <w:szCs w:val="21"/>
          <w:highlight w:val="none"/>
        </w:rPr>
        <w:t>售价：0元</w:t>
      </w:r>
    </w:p>
    <w:p w14:paraId="5C2A5E72">
      <w:pPr>
        <w:pStyle w:val="4"/>
        <w:numPr>
          <w:ilvl w:val="0"/>
          <w:numId w:val="0"/>
        </w:numPr>
        <w:spacing w:before="93" w:beforeLines="30" w:after="93" w:afterLines="30" w:line="440" w:lineRule="exact"/>
        <w:ind w:left="431"/>
        <w:jc w:val="left"/>
        <w:rPr>
          <w:rFonts w:hint="eastAsia" w:ascii="宋体" w:hAnsi="宋体" w:cs="宋体"/>
          <w:b/>
          <w:color w:val="auto"/>
          <w:szCs w:val="24"/>
          <w:highlight w:val="none"/>
        </w:rPr>
      </w:pPr>
      <w:bookmarkStart w:id="24" w:name="_Toc28359082"/>
      <w:bookmarkStart w:id="25" w:name="_Toc28359005"/>
      <w:bookmarkStart w:id="26" w:name="_Toc7463"/>
      <w:bookmarkStart w:id="27" w:name="_Toc35393624"/>
      <w:bookmarkStart w:id="28" w:name="_Toc58430308"/>
      <w:bookmarkStart w:id="29" w:name="_Toc35393793"/>
      <w:bookmarkStart w:id="30" w:name="_Toc10423"/>
      <w:bookmarkStart w:id="31" w:name="_Toc12745"/>
      <w:r>
        <w:rPr>
          <w:rFonts w:hint="eastAsia" w:ascii="宋体" w:hAnsi="宋体" w:cs="宋体"/>
          <w:b/>
          <w:color w:val="auto"/>
          <w:szCs w:val="24"/>
          <w:highlight w:val="none"/>
        </w:rPr>
        <w:t>四、提交投标文件</w:t>
      </w:r>
      <w:bookmarkEnd w:id="24"/>
      <w:bookmarkEnd w:id="25"/>
      <w:r>
        <w:rPr>
          <w:rFonts w:hint="eastAsia" w:ascii="宋体" w:hAnsi="宋体" w:cs="宋体"/>
          <w:b/>
          <w:color w:val="auto"/>
          <w:szCs w:val="24"/>
          <w:highlight w:val="none"/>
        </w:rPr>
        <w:t>截止时间、开标时间和地点</w:t>
      </w:r>
      <w:bookmarkEnd w:id="26"/>
      <w:bookmarkEnd w:id="27"/>
      <w:bookmarkEnd w:id="28"/>
      <w:bookmarkEnd w:id="29"/>
      <w:bookmarkEnd w:id="30"/>
      <w:bookmarkEnd w:id="31"/>
    </w:p>
    <w:p w14:paraId="06BBE07D">
      <w:pPr>
        <w:spacing w:line="440" w:lineRule="exact"/>
        <w:ind w:firstLine="420" w:firstLineChars="200"/>
        <w:jc w:val="left"/>
        <w:rPr>
          <w:rFonts w:hint="eastAsia" w:ascii="宋体" w:hAnsi="宋体" w:cs="宋体"/>
          <w:bCs/>
          <w:color w:val="auto"/>
          <w:szCs w:val="21"/>
          <w:highlight w:val="none"/>
        </w:rPr>
      </w:pPr>
      <w:r>
        <w:rPr>
          <w:rFonts w:hint="eastAsia" w:ascii="宋体" w:hAnsi="宋体" w:cs="宋体"/>
          <w:color w:val="auto"/>
          <w:szCs w:val="21"/>
          <w:highlight w:val="none"/>
          <w:u w:val="single"/>
          <w:lang w:val="en-US" w:eastAsia="zh-CN"/>
        </w:rPr>
        <w:t>2026</w:t>
      </w:r>
      <w:r>
        <w:rPr>
          <w:rFonts w:hint="eastAsia" w:ascii="宋体" w:hAnsi="宋体" w:cs="宋体"/>
          <w:color w:val="auto"/>
          <w:szCs w:val="21"/>
          <w:highlight w:val="none"/>
        </w:rPr>
        <w:t>年</w:t>
      </w:r>
      <w:r>
        <w:rPr>
          <w:rFonts w:hint="eastAsia" w:ascii="宋体" w:hAnsi="宋体" w:cs="宋体"/>
          <w:color w:val="auto"/>
          <w:szCs w:val="21"/>
          <w:highlight w:val="none"/>
          <w:u w:val="single"/>
          <w:lang w:val="en-US" w:eastAsia="zh-CN"/>
        </w:rPr>
        <w:t>10</w:t>
      </w:r>
      <w:r>
        <w:rPr>
          <w:rFonts w:hint="eastAsia" w:ascii="宋体" w:hAnsi="宋体" w:cs="宋体"/>
          <w:color w:val="auto"/>
          <w:szCs w:val="21"/>
          <w:highlight w:val="none"/>
        </w:rPr>
        <w:t>月</w:t>
      </w:r>
      <w:r>
        <w:rPr>
          <w:rFonts w:hint="eastAsia" w:ascii="宋体" w:hAnsi="宋体" w:cs="宋体"/>
          <w:color w:val="auto"/>
          <w:szCs w:val="21"/>
          <w:highlight w:val="none"/>
          <w:u w:val="single"/>
          <w:lang w:val="en-US" w:eastAsia="zh-CN"/>
        </w:rPr>
        <w:t>8</w:t>
      </w:r>
      <w:r>
        <w:rPr>
          <w:rFonts w:hint="eastAsia" w:ascii="宋体" w:hAnsi="宋体" w:cs="宋体"/>
          <w:color w:val="auto"/>
          <w:szCs w:val="21"/>
          <w:highlight w:val="none"/>
        </w:rPr>
        <w:t>日</w:t>
      </w:r>
      <w:r>
        <w:rPr>
          <w:rFonts w:hint="eastAsia" w:ascii="宋体" w:hAnsi="宋体" w:cs="宋体"/>
          <w:color w:val="auto"/>
          <w:szCs w:val="21"/>
          <w:highlight w:val="none"/>
          <w:u w:val="single"/>
          <w:lang w:val="en-US" w:eastAsia="zh-CN"/>
        </w:rPr>
        <w:t>8</w:t>
      </w:r>
      <w:r>
        <w:rPr>
          <w:rFonts w:hint="eastAsia" w:ascii="宋体" w:hAnsi="宋体" w:cs="宋体"/>
          <w:color w:val="auto"/>
          <w:szCs w:val="21"/>
          <w:highlight w:val="none"/>
        </w:rPr>
        <w:t>点</w:t>
      </w:r>
      <w:r>
        <w:rPr>
          <w:rFonts w:hint="eastAsia" w:ascii="宋体" w:hAnsi="宋体" w:cs="宋体"/>
          <w:color w:val="auto"/>
          <w:szCs w:val="21"/>
          <w:highlight w:val="none"/>
          <w:u w:val="single"/>
          <w:lang w:val="en-US" w:eastAsia="zh-CN"/>
        </w:rPr>
        <w:t>30</w:t>
      </w:r>
      <w:r>
        <w:rPr>
          <w:rFonts w:hint="eastAsia" w:ascii="宋体" w:hAnsi="宋体" w:cs="宋体"/>
          <w:color w:val="auto"/>
          <w:szCs w:val="21"/>
          <w:highlight w:val="none"/>
        </w:rPr>
        <w:t>分（北京时间）（自招标文件开始发出之日起至投标人提交投标文件截止之日止，不得少于20日）</w:t>
      </w:r>
    </w:p>
    <w:p w14:paraId="7BF75B80">
      <w:pPr>
        <w:wordWrap w:val="0"/>
        <w:spacing w:line="440" w:lineRule="exact"/>
        <w:ind w:firstLine="420" w:firstLineChars="200"/>
        <w:jc w:val="left"/>
        <w:rPr>
          <w:rFonts w:hint="eastAsia" w:ascii="宋体" w:hAnsi="宋体" w:cs="宋体"/>
          <w:bCs/>
          <w:color w:val="auto"/>
          <w:szCs w:val="21"/>
          <w:highlight w:val="none"/>
          <w:u w:val="single"/>
        </w:rPr>
      </w:pPr>
      <w:r>
        <w:rPr>
          <w:rFonts w:hint="eastAsia" w:ascii="宋体" w:hAnsi="宋体" w:cs="宋体"/>
          <w:color w:val="auto"/>
          <w:szCs w:val="21"/>
          <w:highlight w:val="none"/>
        </w:rPr>
        <w:t>地点：网上开标，投标人登录滁州市不见面开标系统参与网上开标（网址：https://ggzy.chuzhou.gov.cn/BidOpening/bidopeninghallaction/hall/login）。操作手册见https://ggzy.chuzhou.gov.cn/fwzn/011006/20240510/f0637388-583d-4c69-8331-05b6adfcf24d.html。</w:t>
      </w:r>
    </w:p>
    <w:p w14:paraId="1AAD0159">
      <w:pPr>
        <w:pStyle w:val="4"/>
        <w:numPr>
          <w:ilvl w:val="0"/>
          <w:numId w:val="0"/>
        </w:numPr>
        <w:spacing w:before="93" w:beforeLines="30" w:after="93" w:afterLines="30" w:line="440" w:lineRule="exact"/>
        <w:ind w:left="431"/>
        <w:jc w:val="left"/>
        <w:rPr>
          <w:rFonts w:hint="eastAsia" w:ascii="宋体" w:hAnsi="宋体" w:cs="宋体"/>
          <w:b/>
          <w:color w:val="auto"/>
          <w:szCs w:val="24"/>
          <w:highlight w:val="none"/>
        </w:rPr>
      </w:pPr>
      <w:bookmarkStart w:id="32" w:name="_Toc35393794"/>
      <w:bookmarkStart w:id="33" w:name="_Toc4606"/>
      <w:bookmarkStart w:id="34" w:name="_Toc28359084"/>
      <w:bookmarkStart w:id="35" w:name="_Toc31904"/>
      <w:bookmarkStart w:id="36" w:name="_Toc28359007"/>
      <w:bookmarkStart w:id="37" w:name="_Toc9462"/>
      <w:bookmarkStart w:id="38" w:name="_Toc35393625"/>
      <w:bookmarkStart w:id="39" w:name="_Toc58430309"/>
      <w:r>
        <w:rPr>
          <w:rFonts w:hint="eastAsia" w:ascii="宋体" w:hAnsi="宋体" w:cs="宋体"/>
          <w:b/>
          <w:color w:val="auto"/>
          <w:szCs w:val="24"/>
          <w:highlight w:val="none"/>
        </w:rPr>
        <w:t>五、公告期限</w:t>
      </w:r>
      <w:bookmarkEnd w:id="32"/>
      <w:bookmarkEnd w:id="33"/>
      <w:bookmarkEnd w:id="34"/>
      <w:bookmarkEnd w:id="35"/>
      <w:bookmarkEnd w:id="36"/>
      <w:bookmarkEnd w:id="37"/>
      <w:bookmarkEnd w:id="38"/>
      <w:bookmarkEnd w:id="39"/>
    </w:p>
    <w:p w14:paraId="18022CB7">
      <w:pPr>
        <w:spacing w:line="440" w:lineRule="exact"/>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自本公告发布之日起</w:t>
      </w:r>
      <w:r>
        <w:rPr>
          <w:rFonts w:hint="eastAsia" w:ascii="宋体" w:hAnsi="宋体" w:cs="宋体"/>
          <w:color w:val="auto"/>
          <w:szCs w:val="21"/>
          <w:highlight w:val="none"/>
          <w:u w:val="none"/>
          <w:lang w:val="en-US" w:eastAsia="zh-CN"/>
        </w:rPr>
        <w:t>5</w:t>
      </w:r>
      <w:r>
        <w:rPr>
          <w:rFonts w:hint="eastAsia" w:ascii="宋体" w:hAnsi="宋体" w:cs="宋体"/>
          <w:color w:val="auto"/>
          <w:kern w:val="0"/>
          <w:szCs w:val="21"/>
          <w:highlight w:val="none"/>
        </w:rPr>
        <w:t>个工作日。</w:t>
      </w:r>
    </w:p>
    <w:p w14:paraId="7D67A0E3">
      <w:pPr>
        <w:pStyle w:val="4"/>
        <w:numPr>
          <w:ilvl w:val="0"/>
          <w:numId w:val="0"/>
        </w:numPr>
        <w:spacing w:before="93" w:beforeLines="30" w:after="93" w:afterLines="30" w:line="440" w:lineRule="exact"/>
        <w:ind w:left="431"/>
        <w:jc w:val="left"/>
        <w:rPr>
          <w:rFonts w:hint="eastAsia" w:ascii="宋体" w:hAnsi="宋体" w:cs="宋体"/>
          <w:b/>
          <w:color w:val="auto"/>
          <w:szCs w:val="24"/>
          <w:highlight w:val="none"/>
        </w:rPr>
      </w:pPr>
      <w:bookmarkStart w:id="40" w:name="_Toc58430310"/>
      <w:bookmarkStart w:id="41" w:name="_Toc6290"/>
      <w:bookmarkStart w:id="42" w:name="_Toc11229"/>
      <w:bookmarkStart w:id="43" w:name="_Toc9138"/>
      <w:r>
        <w:rPr>
          <w:rFonts w:hint="eastAsia" w:ascii="宋体" w:hAnsi="宋体" w:cs="宋体"/>
          <w:b/>
          <w:color w:val="auto"/>
          <w:szCs w:val="24"/>
          <w:highlight w:val="none"/>
        </w:rPr>
        <w:t>六、投标保证金金额及缴纳账户</w:t>
      </w:r>
      <w:bookmarkEnd w:id="40"/>
      <w:bookmarkEnd w:id="41"/>
      <w:bookmarkEnd w:id="42"/>
      <w:bookmarkEnd w:id="43"/>
    </w:p>
    <w:p w14:paraId="746D25AF">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rPr>
      </w:pPr>
      <w:bookmarkStart w:id="44" w:name="_Toc25182"/>
      <w:bookmarkStart w:id="45" w:name="_Toc6374"/>
      <w:bookmarkStart w:id="46" w:name="_Toc58430311"/>
      <w:bookmarkStart w:id="47" w:name="_Toc35393795"/>
      <w:bookmarkStart w:id="48" w:name="_Toc16140"/>
      <w:bookmarkStart w:id="49" w:name="_Toc35393626"/>
      <w:r>
        <w:rPr>
          <w:rFonts w:hint="eastAsia" w:ascii="宋体" w:hAnsi="宋体" w:eastAsia="宋体" w:cs="宋体"/>
          <w:color w:val="auto"/>
          <w:spacing w:val="-3"/>
          <w:sz w:val="21"/>
          <w:szCs w:val="21"/>
          <w:highlight w:val="none"/>
          <w:lang w:val="en-US" w:eastAsia="zh-CN"/>
        </w:rPr>
        <w:t>1.投标保证金的金额：2万元，要求投标人提交投标保证金。</w:t>
      </w:r>
    </w:p>
    <w:p w14:paraId="16F0F428">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2.投标保证金形式：支持现金（银行转账、银行电汇等）、非现金形式（支票、银行汇票、本票等）、电子保函、纸质银行保函。</w:t>
      </w:r>
    </w:p>
    <w:p w14:paraId="12684D17">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3.接收投标保证金的账户信息：</w:t>
      </w:r>
    </w:p>
    <w:p w14:paraId="30991894">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1)采用现金形式的，投标保证金应当从投标人基本存款账户转出，投标保证金的到账截止时间为投标截止时间。投标保证金转出账户与投标人投标文件提供的基本存款账户不一致的，视为未按照招标文件规定提交投标保证金。提交投标保证金的开户银行及账号如下（选择任何一家银行提交即可）：</w:t>
      </w:r>
    </w:p>
    <w:p w14:paraId="32F30DD0">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①户名：滁州市公共资源交易中心</w:t>
      </w:r>
    </w:p>
    <w:p w14:paraId="12FED5BA">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开户行：中国银行滁州分行</w:t>
      </w:r>
    </w:p>
    <w:p w14:paraId="07CC4797">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账号：175245189376</w:t>
      </w:r>
    </w:p>
    <w:p w14:paraId="77195209">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②户名：滁州市公共资源交易中心</w:t>
      </w:r>
    </w:p>
    <w:p w14:paraId="724D1C47">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开户行：中国建设银行股份有限公司滁州南谯支行</w:t>
      </w:r>
    </w:p>
    <w:p w14:paraId="2B49E6DB">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账号：6232811720000043583</w:t>
      </w:r>
    </w:p>
    <w:p w14:paraId="253BA704">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③户名：滁州市公共资源交易中心</w:t>
      </w:r>
    </w:p>
    <w:p w14:paraId="20D10966">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开户行：中国农业银行滁州中都支行</w:t>
      </w:r>
    </w:p>
    <w:p w14:paraId="768347E4">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账号：123340010400044210000000461</w:t>
      </w:r>
    </w:p>
    <w:p w14:paraId="14964AA4">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采用现金形式缴纳保证金时须在交易附言中注明：“czsjqt202609-008项目投标保证金”。</w:t>
      </w:r>
    </w:p>
    <w:p w14:paraId="5E6C8D0A">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2）采用支票、银行汇票、本票等非现金形式提交投标保证金时，投标人应在付款人开户行申请书附言处注明“czsjqt202609-008项目投标保证金”字样，应确保收款人开户行进账单完整反映交易附言内容，由此导致无法识别投标保证金对应的投标项目，其后果由投标人负责。</w:t>
      </w:r>
    </w:p>
    <w:p w14:paraId="286193EB">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3)采用电子保函形式具体要求如下：</w:t>
      </w:r>
    </w:p>
    <w:p w14:paraId="2BB152EB">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①电子保函提交要求：</w:t>
      </w:r>
    </w:p>
    <w:p w14:paraId="69C49D21">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a.投标人须在投标文件提交截止时间前提供与滁州市公共资源交易中心金融服务平台对接的电子保函，否则视为投标保证金未按规定要求缴纳。</w:t>
      </w:r>
    </w:p>
    <w:p w14:paraId="246AA40E">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b.电子保函生效时间须为所投项目规定的保证金到账截止时间之前，电子保函的有效期截止时间不得短于招标文件约定的投标有效期截止时间，否则视为投标保证金未按规定要求缴纳。</w:t>
      </w:r>
    </w:p>
    <w:p w14:paraId="770D64C7">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c.投标有效期内未能确定中标结果，需要延长投标有效期，投标人同意延长投标有效期的，须相应延长电子保函的有效期。</w:t>
      </w:r>
    </w:p>
    <w:p w14:paraId="6D296C77">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d.投标人存在投标保证金不予退还的情形，采用电子保函形式的将予以追缴。</w:t>
      </w:r>
    </w:p>
    <w:p w14:paraId="1406E7E2">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4)采用纸质银行保函形式具体要求如下：</w:t>
      </w:r>
    </w:p>
    <w:p w14:paraId="25C9E0F2">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①应为投标人基本账户开户银行出具的不可撤销、不可转让的见索即付独立保函,所需费用由投标人承担。</w:t>
      </w:r>
    </w:p>
    <w:p w14:paraId="69DE07C5">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②投标人在投标文件中必须提供基本存款账户证明（如基本存款账户开户许可证或基本存款账户信息），同时将纸质保函扫描件提供在投标文件中。</w:t>
      </w:r>
    </w:p>
    <w:p w14:paraId="039C63CD">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③投标人在投标文件中必须提供明确有效的查询途径（ 网址链接及查询方式），否则该纸质银行保函无效。</w:t>
      </w:r>
    </w:p>
    <w:p w14:paraId="1F72D445">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④中标候选人须在中标候选人公示期间将其开具至本招标项目的保函原件提交招标人（或招标代理机构），且原件须与投标文件中提供的扫描件一致，如存在未按照规定提交或提交内容不一致的，招标人有权取消其中标候选人资格；发现弄虚作假的，招标人（或招标代理机构）应报公共资源交易监管部门依法处理。</w:t>
      </w:r>
    </w:p>
    <w:p w14:paraId="238D723F">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4.保证金电子保函业务应急处置措施。由于自然灾害、事故灾难、突发公共网络安全事件或者系统原因，以及保证金电子保函系统使用过程中出现的以下情况：</w:t>
      </w:r>
    </w:p>
    <w:p w14:paraId="5CB4685A">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（1）开标时，系统获取明文保函文件异常，无法正常获取保函文件；</w:t>
      </w:r>
    </w:p>
    <w:p w14:paraId="3D76481D">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（2）保证金电子保函系统的软件或数据库出现错误，不能进行正常操作；</w:t>
      </w:r>
    </w:p>
    <w:p w14:paraId="5EA511BF">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（3）保证金电子保函系统服务器发生故障等情况，无法访问或无法使用电子保函；</w:t>
      </w:r>
    </w:p>
    <w:p w14:paraId="001ACBE0">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（4）保证金电子保函系统服务器受到病毒或其他外来的攻击；</w:t>
      </w:r>
    </w:p>
    <w:p w14:paraId="7B690E8B">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（5）其他影响电子保函出具的异常情形。</w:t>
      </w:r>
    </w:p>
    <w:p w14:paraId="53A8B35E">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由于上述原因导致投标人无法正常参加开评标的，招标人或招标代理机构应及时报告公共资源交易服务平台核实问题原因。投标人确实已购买电子保函，经监管部门同意后，投标人可以继续参加开评标。</w:t>
      </w:r>
    </w:p>
    <w:p w14:paraId="2C86089D">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5.本次招标失败，再次进行招标的，投标人须按照新的账户重新缴纳投标保证金。</w:t>
      </w:r>
    </w:p>
    <w:p w14:paraId="3FF086EC">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6.投标人为联合体投标的，由牵头人基本账户转出投标保证金或由牵头人办理保函。</w:t>
      </w:r>
    </w:p>
    <w:p w14:paraId="0723A67F">
      <w:pPr>
        <w:pStyle w:val="4"/>
        <w:numPr>
          <w:ilvl w:val="0"/>
          <w:numId w:val="0"/>
        </w:numPr>
        <w:spacing w:before="93" w:beforeLines="30" w:after="93" w:afterLines="30" w:line="440" w:lineRule="exact"/>
        <w:ind w:left="431"/>
        <w:jc w:val="left"/>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7.是否适用免缴投标保证金政策：不适用。</w:t>
      </w:r>
    </w:p>
    <w:p w14:paraId="1C03264D">
      <w:pPr>
        <w:pStyle w:val="4"/>
        <w:numPr>
          <w:ilvl w:val="0"/>
          <w:numId w:val="0"/>
        </w:numPr>
        <w:spacing w:before="93" w:beforeLines="30" w:after="93" w:afterLines="30" w:line="440" w:lineRule="exact"/>
        <w:ind w:left="431"/>
        <w:jc w:val="left"/>
        <w:rPr>
          <w:rFonts w:hint="eastAsia" w:ascii="宋体" w:hAnsi="宋体" w:cs="宋体"/>
          <w:b/>
          <w:color w:val="auto"/>
          <w:szCs w:val="24"/>
          <w:highlight w:val="none"/>
        </w:rPr>
      </w:pPr>
      <w:r>
        <w:rPr>
          <w:rFonts w:hint="eastAsia" w:ascii="宋体" w:hAnsi="宋体" w:cs="宋体"/>
          <w:b/>
          <w:color w:val="auto"/>
          <w:szCs w:val="24"/>
          <w:highlight w:val="none"/>
        </w:rPr>
        <w:t>七、其他补充事宜</w:t>
      </w:r>
      <w:bookmarkEnd w:id="44"/>
      <w:bookmarkEnd w:id="45"/>
      <w:bookmarkEnd w:id="46"/>
      <w:bookmarkEnd w:id="47"/>
      <w:bookmarkEnd w:id="48"/>
      <w:bookmarkEnd w:id="49"/>
    </w:p>
    <w:p w14:paraId="347D4177">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1.本项目只接受在安徽省公共资源交易市场主体库（http://ggzy.ah.gov.cn/ahggfwpt-zhutiku/dengludenglu）登记并进行信息确认提交的投标人投标，未登记的投标人请及时办理CA数字证书并登录安徽省公共资源交易市场主体库进行信息填写及确认提交；已办理过CA数字证书视为已在省库登记，进行信息更新及确认提交即可。办理流程为登录滁州市公共资源交易中心网&gt;服务指南&gt;办事指南中的“CA数字证书和电子签章”及“市场主体登记”。相关服务电话：1.安徽省公共资源交易市场主体库使用相关问题（系统登录、信息登记、录入及提交、数字证书关联等）：010-86483801转5-2；2.CA数字证书有关问题：安徽CA客服400-615-8899、0550-3019013（工作日），CFCA客服025-66085508、0550-3801669（工作日）；3.市场主体招标环节和投标环节系统使用问题：0512-58188516（8:00-21:00）、0550-3801701（工作日）。因未及时通过CA数字证书登录省主体库对相关信息进行补充完善并确认提交，导致无法投标的，责任自负。为保证系统使用过程中产生的问题能够及时得到解决，请各主体在工作时间进行主体信息登记、更新、投标文件制作等相关操作。</w:t>
      </w:r>
    </w:p>
    <w:p w14:paraId="60D67657">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2.请投标人登录滁州市公共资源交易中心网站查看参加本项目的程序。（具体操作步骤和程序请参见服务指南&gt;交易须知&gt;投标人填写投标信息、下载文件及网上提问操作手册）。</w:t>
      </w:r>
    </w:p>
    <w:p w14:paraId="549DA275">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3.本项目采用不见面开标（远程解密)方式，开标时投标人无须至开标现场进行解密，开标采取远程解密方式解密投标文件。解密方式：投标人在开标时间前使用CA数字证书登录滁州市“不见面开标系统”，网址为https://ggzy.chuzhou.gov.cn/BidOpening,等待开标并按系统提示进行相应的投标人解密等事项，无需到开标现场。采用本方式可以观看开标现场音视频直播并进行互动交流。具体操作方法见中心网站&gt;服务指南&gt;交易须知中的《滁州市不见面开标系统操作手册》。</w:t>
      </w:r>
    </w:p>
    <w:p w14:paraId="5B1BC6DE">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4.投标人接到远程解密指令后，须在规定时间内解密。因投标人自身原因导致投标文件在规定时间内未能解密、解密失败或解密超时，投标文件无效；因代理机构原因或网上平台发生故障，导致无法按时完成投标文件解密的，经代理机构申请后可延迟解密时间。</w:t>
      </w:r>
    </w:p>
    <w:p w14:paraId="4A2834D1">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5.投标人提出异议的截止时间及方式：如投标人对招标文件有异议，请于2026年</w:t>
      </w:r>
      <w:r>
        <w:rPr>
          <w:rFonts w:hint="eastAsia" w:ascii="宋体" w:hAnsi="宋体" w:cs="宋体"/>
          <w:color w:val="auto"/>
          <w:spacing w:val="-3"/>
          <w:sz w:val="21"/>
          <w:szCs w:val="21"/>
          <w:highlight w:val="none"/>
          <w:lang w:val="en-US" w:eastAsia="zh-CN"/>
        </w:rPr>
        <w:t>9</w:t>
      </w:r>
      <w:r>
        <w:rPr>
          <w:rFonts w:hint="eastAsia" w:ascii="宋体" w:hAnsi="宋体" w:eastAsia="宋体" w:cs="宋体"/>
          <w:color w:val="auto"/>
          <w:spacing w:val="-3"/>
          <w:sz w:val="21"/>
          <w:szCs w:val="21"/>
          <w:highlight w:val="none"/>
          <w:lang w:val="en-US" w:eastAsia="zh-CN"/>
        </w:rPr>
        <w:t>月</w:t>
      </w:r>
      <w:r>
        <w:rPr>
          <w:rFonts w:hint="eastAsia" w:ascii="宋体" w:hAnsi="宋体" w:cs="宋体"/>
          <w:color w:val="auto"/>
          <w:spacing w:val="-3"/>
          <w:sz w:val="21"/>
          <w:szCs w:val="21"/>
          <w:highlight w:val="none"/>
          <w:lang w:val="en-US" w:eastAsia="zh-CN"/>
        </w:rPr>
        <w:t>28</w:t>
      </w:r>
      <w:r>
        <w:rPr>
          <w:rFonts w:hint="eastAsia" w:ascii="宋体" w:hAnsi="宋体" w:eastAsia="宋体" w:cs="宋体"/>
          <w:color w:val="auto"/>
          <w:spacing w:val="-3"/>
          <w:sz w:val="21"/>
          <w:szCs w:val="21"/>
          <w:highlight w:val="none"/>
          <w:lang w:val="en-US" w:eastAsia="zh-CN"/>
        </w:rPr>
        <w:t>日08时</w:t>
      </w:r>
      <w:r>
        <w:rPr>
          <w:rFonts w:hint="eastAsia" w:ascii="宋体" w:hAnsi="宋体" w:cs="宋体"/>
          <w:color w:val="auto"/>
          <w:spacing w:val="-3"/>
          <w:sz w:val="21"/>
          <w:szCs w:val="21"/>
          <w:highlight w:val="none"/>
          <w:lang w:val="en-US" w:eastAsia="zh-CN"/>
        </w:rPr>
        <w:t>3</w:t>
      </w:r>
      <w:r>
        <w:rPr>
          <w:rFonts w:hint="eastAsia" w:ascii="宋体" w:hAnsi="宋体" w:eastAsia="宋体" w:cs="宋体"/>
          <w:color w:val="auto"/>
          <w:spacing w:val="-3"/>
          <w:sz w:val="21"/>
          <w:szCs w:val="21"/>
          <w:highlight w:val="none"/>
          <w:lang w:val="en-US" w:eastAsia="zh-CN"/>
        </w:rPr>
        <w:t>0分（投标截止10日）前在滁州市公共资源交易中心网电子交易系统中进行异议，具体操作步骤和程序请参见服务指南&gt;交易须知&gt;在线异议、质疑和投诉操作手册。</w:t>
      </w:r>
    </w:p>
    <w:p w14:paraId="155843B8">
      <w:pPr>
        <w:pageBreakBefore w:val="0"/>
        <w:wordWrap w:val="0"/>
        <w:overflowPunct/>
        <w:topLinePunct w:val="0"/>
        <w:bidi w:val="0"/>
        <w:spacing w:line="480" w:lineRule="exact"/>
        <w:ind w:left="0" w:leftChars="0" w:right="0" w:firstLine="408" w:firstLineChars="200"/>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6.受理异议的联系人：关勤勤、18909605753</w:t>
      </w:r>
    </w:p>
    <w:p w14:paraId="4CB29D12">
      <w:pPr>
        <w:wordWrap w:val="0"/>
        <w:spacing w:line="440" w:lineRule="exact"/>
        <w:ind w:firstLine="408" w:firstLineChars="200"/>
        <w:jc w:val="left"/>
        <w:rPr>
          <w:rFonts w:hint="eastAsia" w:ascii="宋体" w:hAnsi="宋体" w:cs="宋体"/>
          <w:color w:val="auto"/>
          <w:szCs w:val="21"/>
          <w:highlight w:val="none"/>
        </w:rPr>
      </w:pPr>
      <w:r>
        <w:rPr>
          <w:rFonts w:hint="eastAsia" w:ascii="宋体" w:hAnsi="宋体" w:eastAsia="宋体" w:cs="宋体"/>
          <w:color w:val="auto"/>
          <w:spacing w:val="-3"/>
          <w:sz w:val="21"/>
          <w:szCs w:val="21"/>
          <w:highlight w:val="none"/>
          <w:lang w:val="en-US" w:eastAsia="zh-CN"/>
        </w:rPr>
        <w:t>7.投标人提出投诉的方式：投标人或者其他利害关系人认为招标投标活动违反法律、法规和规章规定的，有权向相关行政监督部门投诉。在线投诉具体步骤和程序请参照服务指南&gt;投诉渠道https://ggzy.chuzhou.gov.cn/fwzn/011001/serviceGuide.html；投诉书格式等内容参见服务指南&gt;办事指南&gt;投标人服务&gt;投诉受理一次告知书https://ggzy.chuzhou.gov.cn/fwzn/011001/011001001/011001001003/20211022/4b7d87ec-2c58-49b0-b76c-3a6277377930.html</w:t>
      </w:r>
      <w:r>
        <w:rPr>
          <w:rFonts w:hint="eastAsia" w:ascii="宋体" w:hAnsi="宋体" w:cs="宋体"/>
          <w:color w:val="auto"/>
          <w:szCs w:val="21"/>
          <w:highlight w:val="none"/>
        </w:rPr>
        <w:t>。</w:t>
      </w:r>
    </w:p>
    <w:p w14:paraId="2318F946">
      <w:pPr>
        <w:pStyle w:val="4"/>
        <w:numPr>
          <w:ilvl w:val="0"/>
          <w:numId w:val="0"/>
        </w:numPr>
        <w:spacing w:before="93" w:beforeLines="30" w:after="93" w:afterLines="30" w:line="440" w:lineRule="exact"/>
        <w:ind w:left="431"/>
        <w:jc w:val="left"/>
        <w:rPr>
          <w:rFonts w:hint="eastAsia" w:ascii="宋体" w:hAnsi="宋体" w:cs="宋体"/>
          <w:b/>
          <w:color w:val="auto"/>
          <w:szCs w:val="24"/>
          <w:highlight w:val="none"/>
        </w:rPr>
      </w:pPr>
      <w:bookmarkStart w:id="50" w:name="_Toc2529"/>
      <w:bookmarkStart w:id="51" w:name="_Toc1356"/>
      <w:bookmarkStart w:id="52" w:name="_Toc10926"/>
      <w:bookmarkStart w:id="53" w:name="_Toc58430312"/>
      <w:r>
        <w:rPr>
          <w:rFonts w:hint="eastAsia" w:ascii="宋体" w:hAnsi="宋体" w:cs="宋体"/>
          <w:b/>
          <w:color w:val="auto"/>
          <w:szCs w:val="24"/>
          <w:highlight w:val="none"/>
        </w:rPr>
        <w:t>八、对本次招标提出询问，请按以下方式联系</w:t>
      </w:r>
      <w:bookmarkEnd w:id="50"/>
      <w:bookmarkEnd w:id="51"/>
      <w:bookmarkEnd w:id="52"/>
      <w:bookmarkEnd w:id="53"/>
    </w:p>
    <w:p w14:paraId="30280C28">
      <w:pPr>
        <w:pStyle w:val="4"/>
        <w:pageBreakBefore w:val="0"/>
        <w:numPr>
          <w:ilvl w:val="0"/>
          <w:numId w:val="0"/>
        </w:numPr>
        <w:wordWrap w:val="0"/>
        <w:overflowPunct/>
        <w:topLinePunct w:val="0"/>
        <w:bidi w:val="0"/>
        <w:adjustRightInd/>
        <w:spacing w:before="0" w:after="0" w:line="480" w:lineRule="exact"/>
        <w:ind w:right="0" w:firstLine="408" w:firstLineChars="200"/>
        <w:jc w:val="left"/>
        <w:textAlignment w:val="auto"/>
        <w:rPr>
          <w:rFonts w:hint="eastAsia" w:ascii="宋体" w:hAnsi="宋体" w:eastAsia="宋体" w:cs="宋体"/>
          <w:b w:val="0"/>
          <w:bCs w:val="0"/>
          <w:color w:val="auto"/>
          <w:spacing w:val="-3"/>
          <w:kern w:val="2"/>
          <w:sz w:val="21"/>
          <w:szCs w:val="21"/>
          <w:highlight w:val="none"/>
          <w:lang w:val="en-US" w:eastAsia="zh-CN" w:bidi="ar-SA"/>
        </w:rPr>
      </w:pPr>
      <w:bookmarkStart w:id="54" w:name="_Toc21950"/>
      <w:bookmarkStart w:id="55" w:name="_Toc3224"/>
      <w:bookmarkStart w:id="56" w:name="_Toc26102"/>
      <w:r>
        <w:rPr>
          <w:rFonts w:hint="eastAsia" w:ascii="宋体" w:hAnsi="宋体" w:eastAsia="宋体" w:cs="宋体"/>
          <w:b w:val="0"/>
          <w:bCs w:val="0"/>
          <w:color w:val="auto"/>
          <w:spacing w:val="-3"/>
          <w:kern w:val="2"/>
          <w:sz w:val="21"/>
          <w:szCs w:val="21"/>
          <w:highlight w:val="none"/>
          <w:lang w:val="en-US" w:eastAsia="zh-CN" w:bidi="ar-SA"/>
        </w:rPr>
        <w:t>1.招标人信息</w:t>
      </w:r>
      <w:bookmarkEnd w:id="54"/>
      <w:bookmarkEnd w:id="55"/>
      <w:bookmarkEnd w:id="56"/>
    </w:p>
    <w:p w14:paraId="101EA11D">
      <w:pPr>
        <w:pageBreakBefore w:val="0"/>
        <w:wordWrap w:val="0"/>
        <w:overflowPunct/>
        <w:topLinePunct w:val="0"/>
        <w:bidi w:val="0"/>
        <w:spacing w:line="480" w:lineRule="exact"/>
        <w:ind w:left="0" w:leftChars="0" w:right="0" w:firstLine="408" w:firstLineChars="200"/>
        <w:jc w:val="left"/>
        <w:rPr>
          <w:rFonts w:hint="eastAsia" w:ascii="宋体" w:hAnsi="宋体" w:eastAsia="宋体" w:cs="宋体"/>
          <w:b w:val="0"/>
          <w:bCs w:val="0"/>
          <w:color w:val="auto"/>
          <w:spacing w:val="-3"/>
          <w:kern w:val="2"/>
          <w:sz w:val="21"/>
          <w:szCs w:val="21"/>
          <w:highlight w:val="none"/>
          <w:lang w:val="en-US" w:eastAsia="zh-CN" w:bidi="ar-SA"/>
        </w:rPr>
      </w:pPr>
      <w:r>
        <w:rPr>
          <w:rFonts w:hint="eastAsia" w:ascii="宋体" w:hAnsi="宋体" w:eastAsia="宋体" w:cs="宋体"/>
          <w:b w:val="0"/>
          <w:bCs w:val="0"/>
          <w:color w:val="auto"/>
          <w:spacing w:val="-3"/>
          <w:kern w:val="2"/>
          <w:sz w:val="21"/>
          <w:szCs w:val="21"/>
          <w:highlight w:val="none"/>
          <w:lang w:val="en-US" w:eastAsia="zh-CN" w:bidi="ar-SA"/>
        </w:rPr>
        <w:t>名称：滁州市实验中学</w:t>
      </w:r>
    </w:p>
    <w:p w14:paraId="21BB02E6">
      <w:pPr>
        <w:pageBreakBefore w:val="0"/>
        <w:wordWrap w:val="0"/>
        <w:overflowPunct/>
        <w:topLinePunct w:val="0"/>
        <w:bidi w:val="0"/>
        <w:spacing w:line="480" w:lineRule="exact"/>
        <w:ind w:left="0" w:leftChars="0" w:right="0" w:firstLine="408" w:firstLineChars="200"/>
        <w:jc w:val="left"/>
        <w:rPr>
          <w:rFonts w:hint="eastAsia" w:ascii="宋体" w:hAnsi="宋体" w:eastAsia="宋体" w:cs="宋体"/>
          <w:b w:val="0"/>
          <w:bCs w:val="0"/>
          <w:color w:val="auto"/>
          <w:spacing w:val="-3"/>
          <w:kern w:val="2"/>
          <w:sz w:val="21"/>
          <w:szCs w:val="21"/>
          <w:highlight w:val="none"/>
          <w:lang w:val="en-US" w:eastAsia="zh-CN" w:bidi="ar-SA"/>
        </w:rPr>
      </w:pPr>
      <w:r>
        <w:rPr>
          <w:rFonts w:hint="eastAsia" w:ascii="宋体" w:hAnsi="宋体" w:eastAsia="宋体" w:cs="宋体"/>
          <w:b w:val="0"/>
          <w:bCs w:val="0"/>
          <w:color w:val="auto"/>
          <w:spacing w:val="-3"/>
          <w:kern w:val="2"/>
          <w:sz w:val="21"/>
          <w:szCs w:val="21"/>
          <w:highlight w:val="none"/>
          <w:lang w:val="en-US" w:eastAsia="zh-CN" w:bidi="ar-SA"/>
        </w:rPr>
        <w:t>地址：滁州市琅琊区西涧路2697号</w:t>
      </w:r>
    </w:p>
    <w:p w14:paraId="2640D97C">
      <w:pPr>
        <w:pageBreakBefore w:val="0"/>
        <w:wordWrap w:val="0"/>
        <w:overflowPunct/>
        <w:topLinePunct w:val="0"/>
        <w:bidi w:val="0"/>
        <w:spacing w:line="480" w:lineRule="exact"/>
        <w:ind w:left="0" w:leftChars="0" w:right="0" w:firstLine="408" w:firstLineChars="200"/>
        <w:jc w:val="left"/>
        <w:rPr>
          <w:rFonts w:hint="eastAsia" w:ascii="宋体" w:hAnsi="宋体" w:eastAsia="宋体" w:cs="宋体"/>
          <w:b w:val="0"/>
          <w:bCs w:val="0"/>
          <w:color w:val="auto"/>
          <w:spacing w:val="-3"/>
          <w:kern w:val="2"/>
          <w:sz w:val="21"/>
          <w:szCs w:val="21"/>
          <w:highlight w:val="none"/>
          <w:lang w:val="en-US" w:eastAsia="zh-CN" w:bidi="ar-SA"/>
        </w:rPr>
      </w:pPr>
      <w:r>
        <w:rPr>
          <w:rFonts w:hint="eastAsia" w:ascii="宋体" w:hAnsi="宋体" w:eastAsia="宋体" w:cs="宋体"/>
          <w:b w:val="0"/>
          <w:bCs w:val="0"/>
          <w:color w:val="auto"/>
          <w:spacing w:val="-3"/>
          <w:kern w:val="2"/>
          <w:sz w:val="21"/>
          <w:szCs w:val="21"/>
          <w:highlight w:val="none"/>
          <w:lang w:val="en-US" w:eastAsia="zh-CN" w:bidi="ar-SA"/>
        </w:rPr>
        <w:t>联系方式：徐老师 0550-3513055</w:t>
      </w:r>
    </w:p>
    <w:p w14:paraId="5779D26D">
      <w:pPr>
        <w:pStyle w:val="4"/>
        <w:pageBreakBefore w:val="0"/>
        <w:numPr>
          <w:ilvl w:val="0"/>
          <w:numId w:val="0"/>
        </w:numPr>
        <w:wordWrap w:val="0"/>
        <w:overflowPunct/>
        <w:topLinePunct w:val="0"/>
        <w:bidi w:val="0"/>
        <w:adjustRightInd/>
        <w:spacing w:before="0" w:after="0" w:line="480" w:lineRule="exact"/>
        <w:ind w:left="0" w:leftChars="0" w:right="0" w:firstLine="408" w:firstLineChars="200"/>
        <w:jc w:val="left"/>
        <w:textAlignment w:val="auto"/>
        <w:rPr>
          <w:rFonts w:hint="eastAsia" w:ascii="宋体" w:hAnsi="宋体" w:eastAsia="宋体" w:cs="宋体"/>
          <w:b w:val="0"/>
          <w:bCs w:val="0"/>
          <w:color w:val="auto"/>
          <w:spacing w:val="-3"/>
          <w:kern w:val="2"/>
          <w:sz w:val="21"/>
          <w:szCs w:val="21"/>
          <w:highlight w:val="none"/>
          <w:lang w:val="en-US" w:eastAsia="zh-CN" w:bidi="ar-SA"/>
        </w:rPr>
      </w:pPr>
      <w:bookmarkStart w:id="57" w:name="_Toc12385"/>
      <w:bookmarkStart w:id="58" w:name="_Toc30632"/>
      <w:bookmarkStart w:id="59" w:name="_Toc16320"/>
      <w:r>
        <w:rPr>
          <w:rFonts w:hint="eastAsia" w:ascii="宋体" w:hAnsi="宋体" w:eastAsia="宋体" w:cs="宋体"/>
          <w:b w:val="0"/>
          <w:bCs w:val="0"/>
          <w:color w:val="auto"/>
          <w:spacing w:val="-3"/>
          <w:kern w:val="2"/>
          <w:sz w:val="21"/>
          <w:szCs w:val="21"/>
          <w:highlight w:val="none"/>
          <w:lang w:val="en-US" w:eastAsia="zh-CN" w:bidi="ar-SA"/>
        </w:rPr>
        <w:t>2.代理机构信息</w:t>
      </w:r>
      <w:bookmarkEnd w:id="57"/>
      <w:bookmarkEnd w:id="58"/>
      <w:bookmarkEnd w:id="59"/>
    </w:p>
    <w:p w14:paraId="3F3CF5E8">
      <w:pPr>
        <w:pageBreakBefore w:val="0"/>
        <w:wordWrap w:val="0"/>
        <w:overflowPunct/>
        <w:topLinePunct w:val="0"/>
        <w:bidi w:val="0"/>
        <w:spacing w:line="480" w:lineRule="exact"/>
        <w:ind w:left="0" w:leftChars="0" w:right="0" w:firstLine="408" w:firstLineChars="200"/>
        <w:jc w:val="left"/>
        <w:rPr>
          <w:rFonts w:hint="eastAsia" w:ascii="宋体" w:hAnsi="宋体" w:eastAsia="宋体" w:cs="宋体"/>
          <w:b w:val="0"/>
          <w:bCs w:val="0"/>
          <w:color w:val="auto"/>
          <w:spacing w:val="-3"/>
          <w:kern w:val="2"/>
          <w:sz w:val="21"/>
          <w:szCs w:val="21"/>
          <w:highlight w:val="none"/>
          <w:lang w:val="en-US" w:eastAsia="zh-CN" w:bidi="ar-SA"/>
        </w:rPr>
      </w:pPr>
      <w:r>
        <w:rPr>
          <w:rFonts w:hint="eastAsia" w:ascii="宋体" w:hAnsi="宋体" w:eastAsia="宋体" w:cs="宋体"/>
          <w:b w:val="0"/>
          <w:bCs w:val="0"/>
          <w:color w:val="auto"/>
          <w:spacing w:val="-3"/>
          <w:kern w:val="2"/>
          <w:sz w:val="21"/>
          <w:szCs w:val="21"/>
          <w:highlight w:val="none"/>
          <w:lang w:val="en-US" w:eastAsia="zh-CN" w:bidi="ar-SA"/>
        </w:rPr>
        <w:t>名称：滁州市城投工程咨询管理有限公司</w:t>
      </w:r>
    </w:p>
    <w:p w14:paraId="01C8A6EC">
      <w:pPr>
        <w:pageBreakBefore w:val="0"/>
        <w:wordWrap w:val="0"/>
        <w:overflowPunct/>
        <w:topLinePunct w:val="0"/>
        <w:bidi w:val="0"/>
        <w:spacing w:line="480" w:lineRule="exact"/>
        <w:ind w:left="0" w:leftChars="0" w:right="0" w:firstLine="408" w:firstLineChars="200"/>
        <w:jc w:val="left"/>
        <w:rPr>
          <w:rFonts w:hint="eastAsia" w:ascii="宋体" w:hAnsi="宋体" w:eastAsia="宋体" w:cs="宋体"/>
          <w:b w:val="0"/>
          <w:bCs w:val="0"/>
          <w:color w:val="auto"/>
          <w:spacing w:val="-3"/>
          <w:kern w:val="2"/>
          <w:sz w:val="21"/>
          <w:szCs w:val="21"/>
          <w:highlight w:val="none"/>
          <w:lang w:val="en-US" w:eastAsia="zh-CN" w:bidi="ar-SA"/>
        </w:rPr>
      </w:pPr>
      <w:r>
        <w:rPr>
          <w:rFonts w:hint="eastAsia" w:ascii="宋体" w:hAnsi="宋体" w:eastAsia="宋体" w:cs="宋体"/>
          <w:b w:val="0"/>
          <w:bCs w:val="0"/>
          <w:color w:val="auto"/>
          <w:spacing w:val="-3"/>
          <w:kern w:val="2"/>
          <w:sz w:val="21"/>
          <w:szCs w:val="21"/>
          <w:highlight w:val="none"/>
          <w:lang w:val="en-US" w:eastAsia="zh-CN" w:bidi="ar-SA"/>
        </w:rPr>
        <w:t>地址：滁州市龙蟠大道109号房产大厦6楼</w:t>
      </w:r>
    </w:p>
    <w:p w14:paraId="29442B8C">
      <w:pPr>
        <w:pageBreakBefore w:val="0"/>
        <w:wordWrap w:val="0"/>
        <w:overflowPunct/>
        <w:topLinePunct w:val="0"/>
        <w:bidi w:val="0"/>
        <w:spacing w:line="480" w:lineRule="exact"/>
        <w:ind w:left="0" w:leftChars="0" w:right="0" w:firstLine="408" w:firstLineChars="200"/>
        <w:jc w:val="left"/>
        <w:rPr>
          <w:rFonts w:hint="eastAsia" w:ascii="宋体" w:hAnsi="宋体" w:eastAsia="宋体" w:cs="宋体"/>
          <w:b w:val="0"/>
          <w:bCs w:val="0"/>
          <w:color w:val="auto"/>
          <w:spacing w:val="-3"/>
          <w:kern w:val="2"/>
          <w:sz w:val="21"/>
          <w:szCs w:val="21"/>
          <w:highlight w:val="none"/>
          <w:lang w:val="en-US" w:eastAsia="zh-CN" w:bidi="ar-SA"/>
        </w:rPr>
      </w:pPr>
      <w:r>
        <w:rPr>
          <w:rFonts w:hint="eastAsia" w:ascii="宋体" w:hAnsi="宋体" w:eastAsia="宋体" w:cs="宋体"/>
          <w:b w:val="0"/>
          <w:bCs w:val="0"/>
          <w:color w:val="auto"/>
          <w:spacing w:val="-3"/>
          <w:kern w:val="2"/>
          <w:sz w:val="21"/>
          <w:szCs w:val="21"/>
          <w:highlight w:val="none"/>
          <w:lang w:val="en-US" w:eastAsia="zh-CN" w:bidi="ar-SA"/>
        </w:rPr>
        <w:t>联系方式：关勤勤 18909605753</w:t>
      </w:r>
    </w:p>
    <w:p w14:paraId="265BB175">
      <w:pPr>
        <w:pStyle w:val="4"/>
        <w:pageBreakBefore w:val="0"/>
        <w:numPr>
          <w:ilvl w:val="0"/>
          <w:numId w:val="0"/>
        </w:numPr>
        <w:wordWrap w:val="0"/>
        <w:overflowPunct/>
        <w:topLinePunct w:val="0"/>
        <w:bidi w:val="0"/>
        <w:adjustRightInd/>
        <w:spacing w:before="0" w:after="0" w:line="480" w:lineRule="exact"/>
        <w:ind w:left="0" w:leftChars="0" w:right="0" w:firstLine="408" w:firstLineChars="200"/>
        <w:jc w:val="left"/>
        <w:textAlignment w:val="auto"/>
        <w:rPr>
          <w:rFonts w:hint="eastAsia" w:ascii="宋体" w:hAnsi="宋体" w:eastAsia="宋体" w:cs="宋体"/>
          <w:b w:val="0"/>
          <w:bCs w:val="0"/>
          <w:color w:val="auto"/>
          <w:spacing w:val="-3"/>
          <w:kern w:val="2"/>
          <w:sz w:val="21"/>
          <w:szCs w:val="21"/>
          <w:highlight w:val="none"/>
          <w:lang w:val="en-US" w:eastAsia="zh-CN" w:bidi="ar-SA"/>
        </w:rPr>
      </w:pPr>
      <w:bookmarkStart w:id="60" w:name="_Toc7064"/>
      <w:bookmarkStart w:id="61" w:name="_Toc1427"/>
      <w:bookmarkStart w:id="62" w:name="_Toc29062"/>
      <w:r>
        <w:rPr>
          <w:rFonts w:hint="eastAsia" w:ascii="宋体" w:hAnsi="宋体" w:eastAsia="宋体" w:cs="宋体"/>
          <w:b w:val="0"/>
          <w:bCs w:val="0"/>
          <w:color w:val="auto"/>
          <w:spacing w:val="-3"/>
          <w:kern w:val="2"/>
          <w:sz w:val="21"/>
          <w:szCs w:val="21"/>
          <w:highlight w:val="none"/>
          <w:lang w:val="en-US" w:eastAsia="zh-CN" w:bidi="ar-SA"/>
        </w:rPr>
        <w:t>3.项目联系方式</w:t>
      </w:r>
      <w:bookmarkEnd w:id="60"/>
      <w:bookmarkEnd w:id="61"/>
      <w:bookmarkEnd w:id="62"/>
    </w:p>
    <w:p w14:paraId="160C2A02">
      <w:pPr>
        <w:pStyle w:val="19"/>
        <w:pageBreakBefore w:val="0"/>
        <w:wordWrap w:val="0"/>
        <w:overflowPunct/>
        <w:topLinePunct w:val="0"/>
        <w:bidi w:val="0"/>
        <w:spacing w:line="480" w:lineRule="exact"/>
        <w:ind w:left="0" w:leftChars="0" w:right="0" w:firstLine="408" w:firstLineChars="200"/>
        <w:jc w:val="left"/>
        <w:rPr>
          <w:rFonts w:hint="eastAsia" w:ascii="宋体" w:hAnsi="宋体" w:eastAsia="宋体" w:cs="宋体"/>
          <w:b w:val="0"/>
          <w:bCs w:val="0"/>
          <w:color w:val="auto"/>
          <w:spacing w:val="-3"/>
          <w:kern w:val="2"/>
          <w:sz w:val="21"/>
          <w:szCs w:val="21"/>
          <w:highlight w:val="none"/>
          <w:lang w:val="en-US" w:eastAsia="zh-CN" w:bidi="ar-SA"/>
        </w:rPr>
      </w:pPr>
      <w:r>
        <w:rPr>
          <w:rFonts w:hint="eastAsia" w:ascii="宋体" w:hAnsi="宋体" w:eastAsia="宋体" w:cs="宋体"/>
          <w:b w:val="0"/>
          <w:bCs w:val="0"/>
          <w:color w:val="auto"/>
          <w:spacing w:val="-3"/>
          <w:kern w:val="2"/>
          <w:sz w:val="21"/>
          <w:szCs w:val="21"/>
          <w:highlight w:val="none"/>
          <w:lang w:val="en-US" w:eastAsia="zh-CN" w:bidi="ar-SA"/>
        </w:rPr>
        <w:t>项目联系人：</w:t>
      </w:r>
      <w:r>
        <w:rPr>
          <w:rFonts w:hint="eastAsia" w:hAnsi="宋体" w:eastAsia="宋体" w:cs="宋体"/>
          <w:b w:val="0"/>
          <w:bCs w:val="0"/>
          <w:color w:val="auto"/>
          <w:spacing w:val="-3"/>
          <w:kern w:val="2"/>
          <w:sz w:val="21"/>
          <w:szCs w:val="21"/>
          <w:highlight w:val="none"/>
          <w:lang w:val="en-US" w:eastAsia="zh-CN" w:bidi="ar-SA"/>
        </w:rPr>
        <w:t xml:space="preserve">徐老师 </w:t>
      </w:r>
      <w:r>
        <w:rPr>
          <w:rFonts w:hint="eastAsia" w:ascii="宋体" w:hAnsi="宋体" w:eastAsia="宋体" w:cs="宋体"/>
          <w:b w:val="0"/>
          <w:bCs w:val="0"/>
          <w:color w:val="auto"/>
          <w:spacing w:val="-3"/>
          <w:kern w:val="2"/>
          <w:sz w:val="21"/>
          <w:szCs w:val="21"/>
          <w:highlight w:val="none"/>
          <w:lang w:val="en-US" w:eastAsia="zh-CN" w:bidi="ar-SA"/>
        </w:rPr>
        <w:t>关勤勤</w:t>
      </w:r>
    </w:p>
    <w:p w14:paraId="4A11E42B">
      <w:pPr>
        <w:spacing w:line="440" w:lineRule="exact"/>
        <w:ind w:left="-199" w:leftChars="-95" w:firstLine="612" w:firstLineChars="300"/>
        <w:jc w:val="left"/>
        <w:rPr>
          <w:rFonts w:hint="eastAsia" w:ascii="宋体" w:hAnsi="宋体" w:cs="宋体"/>
          <w:color w:val="auto"/>
          <w:szCs w:val="21"/>
          <w:highlight w:val="none"/>
        </w:rPr>
      </w:pPr>
      <w:r>
        <w:rPr>
          <w:rFonts w:hint="eastAsia" w:ascii="宋体" w:hAnsi="宋体" w:eastAsia="宋体" w:cs="宋体"/>
          <w:b w:val="0"/>
          <w:bCs w:val="0"/>
          <w:color w:val="auto"/>
          <w:spacing w:val="-3"/>
          <w:kern w:val="2"/>
          <w:sz w:val="21"/>
          <w:szCs w:val="21"/>
          <w:highlight w:val="none"/>
          <w:lang w:val="en-US" w:eastAsia="zh-CN" w:bidi="ar-SA"/>
        </w:rPr>
        <w:t>电话：0550-3513055  18909605753</w:t>
      </w:r>
      <w:r>
        <w:rPr>
          <w:rFonts w:hint="eastAsia" w:ascii="宋体" w:hAnsi="宋体" w:cs="宋体"/>
          <w:color w:val="auto"/>
          <w:szCs w:val="21"/>
          <w:highlight w:val="none"/>
          <w:lang w:val="en-US" w:eastAsia="zh-CN"/>
        </w:rPr>
        <w:t xml:space="preserve"> </w:t>
      </w:r>
    </w:p>
    <w:p w14:paraId="7C55ABEA">
      <w:pPr>
        <w:jc w:val="center"/>
        <w:outlineLvl w:val="0"/>
        <w:rPr>
          <w:rFonts w:hint="eastAsia" w:ascii="宋体"/>
          <w:b/>
          <w:color w:val="auto"/>
          <w:sz w:val="32"/>
          <w:szCs w:val="32"/>
          <w:highlight w:val="none"/>
        </w:rPr>
      </w:pPr>
      <w:r>
        <w:rPr>
          <w:rFonts w:hint="eastAsia"/>
          <w:color w:val="auto"/>
          <w:highlight w:val="none"/>
        </w:rPr>
        <w:br w:type="page"/>
      </w:r>
      <w:bookmarkStart w:id="63" w:name="_Toc31325"/>
      <w:r>
        <w:rPr>
          <w:rFonts w:hint="eastAsia" w:ascii="宋体"/>
          <w:b/>
          <w:color w:val="auto"/>
          <w:sz w:val="32"/>
          <w:szCs w:val="32"/>
          <w:highlight w:val="none"/>
        </w:rPr>
        <w:t>第二章 投标人须知</w:t>
      </w:r>
      <w:bookmarkEnd w:id="63"/>
    </w:p>
    <w:p w14:paraId="6AFFDDA0">
      <w:pPr>
        <w:snapToGrid w:val="0"/>
        <w:spacing w:line="440" w:lineRule="exact"/>
        <w:jc w:val="center"/>
        <w:outlineLvl w:val="1"/>
        <w:rPr>
          <w:rFonts w:hint="eastAsia" w:ascii="宋体"/>
          <w:b/>
          <w:color w:val="auto"/>
          <w:sz w:val="28"/>
          <w:szCs w:val="28"/>
          <w:highlight w:val="none"/>
        </w:rPr>
      </w:pPr>
      <w:bookmarkStart w:id="64" w:name="_Toc58430314"/>
      <w:bookmarkStart w:id="65" w:name="_Toc19799"/>
      <w:bookmarkStart w:id="66" w:name="_Toc1072"/>
      <w:bookmarkStart w:id="67" w:name="_Toc9958"/>
      <w:bookmarkStart w:id="68" w:name="_Toc449028865"/>
      <w:r>
        <w:rPr>
          <w:rFonts w:hint="eastAsia" w:ascii="宋体"/>
          <w:b/>
          <w:color w:val="auto"/>
          <w:sz w:val="32"/>
          <w:szCs w:val="32"/>
          <w:highlight w:val="none"/>
        </w:rPr>
        <w:t>一、</w:t>
      </w:r>
      <w:r>
        <w:rPr>
          <w:rFonts w:hint="eastAsia" w:ascii="宋体"/>
          <w:b/>
          <w:color w:val="auto"/>
          <w:sz w:val="28"/>
          <w:szCs w:val="28"/>
          <w:highlight w:val="none"/>
        </w:rPr>
        <w:t>投标人须知前附表</w:t>
      </w:r>
      <w:bookmarkEnd w:id="64"/>
      <w:bookmarkEnd w:id="65"/>
      <w:bookmarkEnd w:id="66"/>
      <w:bookmarkEnd w:id="67"/>
      <w:bookmarkEnd w:id="68"/>
    </w:p>
    <w:tbl>
      <w:tblPr>
        <w:tblStyle w:val="36"/>
        <w:tblW w:w="9838" w:type="dxa"/>
        <w:tblInd w:w="-266"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1036"/>
        <w:gridCol w:w="867"/>
        <w:gridCol w:w="1247"/>
        <w:gridCol w:w="6688"/>
      </w:tblGrid>
      <w:tr w14:paraId="062646C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96" w:hRule="atLeast"/>
        </w:trPr>
        <w:tc>
          <w:tcPr>
            <w:tcW w:w="1036" w:type="dxa"/>
            <w:noWrap w:val="0"/>
            <w:vAlign w:val="center"/>
          </w:tcPr>
          <w:p w14:paraId="2E514019">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b/>
                <w:color w:val="auto"/>
                <w:szCs w:val="21"/>
                <w:highlight w:val="none"/>
              </w:rPr>
            </w:pPr>
            <w:r>
              <w:rPr>
                <w:rFonts w:hint="eastAsia" w:hAnsi="宋体" w:cs="宋体"/>
                <w:b/>
                <w:color w:val="auto"/>
                <w:szCs w:val="21"/>
                <w:highlight w:val="none"/>
              </w:rPr>
              <w:t>条款号</w:t>
            </w:r>
          </w:p>
        </w:tc>
        <w:tc>
          <w:tcPr>
            <w:tcW w:w="2114" w:type="dxa"/>
            <w:gridSpan w:val="2"/>
            <w:noWrap w:val="0"/>
            <w:vAlign w:val="center"/>
          </w:tcPr>
          <w:p w14:paraId="7E26CF65">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b/>
                <w:color w:val="auto"/>
                <w:szCs w:val="21"/>
                <w:highlight w:val="none"/>
              </w:rPr>
            </w:pPr>
            <w:r>
              <w:rPr>
                <w:rFonts w:hint="eastAsia" w:hAnsi="宋体" w:cs="宋体"/>
                <w:b/>
                <w:color w:val="auto"/>
                <w:szCs w:val="21"/>
                <w:highlight w:val="none"/>
              </w:rPr>
              <w:t>内容</w:t>
            </w:r>
          </w:p>
        </w:tc>
        <w:tc>
          <w:tcPr>
            <w:tcW w:w="6688" w:type="dxa"/>
            <w:noWrap w:val="0"/>
            <w:vAlign w:val="center"/>
          </w:tcPr>
          <w:p w14:paraId="722EDCDD">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b/>
                <w:color w:val="auto"/>
                <w:szCs w:val="21"/>
                <w:highlight w:val="none"/>
              </w:rPr>
            </w:pPr>
            <w:r>
              <w:rPr>
                <w:rFonts w:hint="eastAsia" w:hAnsi="宋体" w:cs="宋体"/>
                <w:b/>
                <w:color w:val="auto"/>
                <w:szCs w:val="21"/>
                <w:highlight w:val="none"/>
              </w:rPr>
              <w:t>说明与要求</w:t>
            </w:r>
          </w:p>
        </w:tc>
      </w:tr>
      <w:tr w14:paraId="16E8BB9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49" w:hRule="atLeast"/>
        </w:trPr>
        <w:tc>
          <w:tcPr>
            <w:tcW w:w="1036" w:type="dxa"/>
            <w:noWrap w:val="0"/>
            <w:vAlign w:val="center"/>
          </w:tcPr>
          <w:p w14:paraId="4EA1DAD0">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1.1</w:t>
            </w:r>
          </w:p>
        </w:tc>
        <w:tc>
          <w:tcPr>
            <w:tcW w:w="2114" w:type="dxa"/>
            <w:gridSpan w:val="2"/>
            <w:noWrap w:val="0"/>
            <w:vAlign w:val="center"/>
          </w:tcPr>
          <w:p w14:paraId="788E4752">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项目名称</w:t>
            </w:r>
          </w:p>
        </w:tc>
        <w:tc>
          <w:tcPr>
            <w:tcW w:w="6688" w:type="dxa"/>
            <w:noWrap w:val="0"/>
            <w:vAlign w:val="center"/>
          </w:tcPr>
          <w:p w14:paraId="0AF01D78">
            <w:pPr>
              <w:pStyle w:val="19"/>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hAnsi="宋体" w:eastAsia="宋体" w:cs="宋体"/>
                <w:color w:val="auto"/>
                <w:szCs w:val="21"/>
                <w:highlight w:val="none"/>
                <w:lang w:eastAsia="zh-CN"/>
              </w:rPr>
            </w:pPr>
            <w:r>
              <w:rPr>
                <w:rFonts w:hint="eastAsia" w:hAnsi="宋体" w:cs="宋体"/>
                <w:color w:val="auto"/>
                <w:szCs w:val="21"/>
                <w:highlight w:val="none"/>
                <w:lang w:eastAsia="zh-CN"/>
              </w:rPr>
              <w:t>滁州市实验中学</w:t>
            </w:r>
            <w:r>
              <w:rPr>
                <w:rFonts w:hint="eastAsia" w:hAnsi="宋体" w:cs="宋体"/>
                <w:color w:val="auto"/>
                <w:szCs w:val="21"/>
                <w:highlight w:val="none"/>
                <w:lang w:val="en-US" w:eastAsia="zh-CN"/>
              </w:rPr>
              <w:t>2026-2029年度</w:t>
            </w:r>
            <w:r>
              <w:rPr>
                <w:rFonts w:hint="eastAsia" w:hAnsi="宋体" w:cs="宋体"/>
                <w:color w:val="auto"/>
                <w:szCs w:val="21"/>
                <w:highlight w:val="none"/>
                <w:lang w:eastAsia="zh-CN"/>
              </w:rPr>
              <w:t xml:space="preserve">食堂承包经营权服务项目      </w:t>
            </w:r>
          </w:p>
        </w:tc>
      </w:tr>
      <w:tr w14:paraId="1021799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19" w:hRule="atLeast"/>
        </w:trPr>
        <w:tc>
          <w:tcPr>
            <w:tcW w:w="1036" w:type="dxa"/>
            <w:noWrap w:val="0"/>
            <w:vAlign w:val="center"/>
          </w:tcPr>
          <w:p w14:paraId="73602AE0">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1.1</w:t>
            </w:r>
          </w:p>
        </w:tc>
        <w:tc>
          <w:tcPr>
            <w:tcW w:w="2114" w:type="dxa"/>
            <w:gridSpan w:val="2"/>
            <w:noWrap w:val="0"/>
            <w:vAlign w:val="center"/>
          </w:tcPr>
          <w:p w14:paraId="35F39429">
            <w:pPr>
              <w:pStyle w:val="19"/>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hAnsi="宋体" w:cs="宋体"/>
                <w:color w:val="auto"/>
                <w:szCs w:val="21"/>
                <w:highlight w:val="none"/>
              </w:rPr>
            </w:pPr>
            <w:r>
              <w:rPr>
                <w:rFonts w:hint="eastAsia" w:hAnsi="宋体" w:cs="宋体"/>
                <w:color w:val="auto"/>
                <w:szCs w:val="21"/>
                <w:highlight w:val="none"/>
              </w:rPr>
              <w:t>项目编号</w:t>
            </w:r>
          </w:p>
        </w:tc>
        <w:tc>
          <w:tcPr>
            <w:tcW w:w="6688" w:type="dxa"/>
            <w:noWrap w:val="0"/>
            <w:vAlign w:val="center"/>
          </w:tcPr>
          <w:p w14:paraId="1EED40AB">
            <w:pPr>
              <w:pStyle w:val="19"/>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hAnsi="宋体" w:eastAsia="宋体" w:cs="宋体"/>
                <w:b w:val="0"/>
                <w:bCs w:val="0"/>
                <w:color w:val="auto"/>
                <w:szCs w:val="21"/>
                <w:highlight w:val="none"/>
                <w:lang w:eastAsia="zh-CN"/>
              </w:rPr>
            </w:pPr>
            <w:r>
              <w:rPr>
                <w:rFonts w:hint="eastAsia" w:hAnsi="宋体" w:cs="宋体"/>
                <w:b w:val="0"/>
                <w:bCs w:val="0"/>
                <w:color w:val="auto"/>
                <w:szCs w:val="21"/>
                <w:highlight w:val="none"/>
                <w:lang w:val="en-US" w:eastAsia="zh-CN"/>
              </w:rPr>
              <w:t xml:space="preserve">czsjqt202609-008 </w:t>
            </w:r>
          </w:p>
        </w:tc>
      </w:tr>
      <w:tr w14:paraId="11A9B11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95" w:hRule="atLeast"/>
        </w:trPr>
        <w:tc>
          <w:tcPr>
            <w:tcW w:w="1036" w:type="dxa"/>
            <w:noWrap w:val="0"/>
            <w:vAlign w:val="center"/>
          </w:tcPr>
          <w:p w14:paraId="1209375C">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1.1</w:t>
            </w:r>
          </w:p>
        </w:tc>
        <w:tc>
          <w:tcPr>
            <w:tcW w:w="2114" w:type="dxa"/>
            <w:gridSpan w:val="2"/>
            <w:noWrap w:val="0"/>
            <w:vAlign w:val="center"/>
          </w:tcPr>
          <w:p w14:paraId="3BEF8756">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服务期</w:t>
            </w:r>
          </w:p>
        </w:tc>
        <w:tc>
          <w:tcPr>
            <w:tcW w:w="6688" w:type="dxa"/>
            <w:noWrap w:val="0"/>
            <w:vAlign w:val="center"/>
          </w:tcPr>
          <w:p w14:paraId="6897DA12">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eastAsia="宋体" w:cs="宋体"/>
                <w:color w:val="auto"/>
                <w:spacing w:val="-1"/>
                <w:sz w:val="21"/>
                <w:szCs w:val="21"/>
                <w:highlight w:val="none"/>
                <w:lang w:eastAsia="zh-CN"/>
              </w:rPr>
              <w:t>服务期限为</w:t>
            </w:r>
            <w:r>
              <w:rPr>
                <w:rFonts w:hint="eastAsia" w:ascii="宋体" w:hAnsi="宋体" w:eastAsia="宋体" w:cs="宋体"/>
                <w:color w:val="auto"/>
                <w:spacing w:val="-1"/>
                <w:sz w:val="21"/>
                <w:szCs w:val="21"/>
                <w:highlight w:val="none"/>
                <w:lang w:val="en-US" w:eastAsia="zh-CN"/>
              </w:rPr>
              <w:t>3</w:t>
            </w:r>
            <w:r>
              <w:rPr>
                <w:rFonts w:hint="eastAsia" w:ascii="宋体" w:hAnsi="宋体" w:eastAsia="宋体" w:cs="宋体"/>
                <w:color w:val="auto"/>
                <w:spacing w:val="-1"/>
                <w:sz w:val="21"/>
                <w:szCs w:val="21"/>
                <w:highlight w:val="none"/>
                <w:lang w:eastAsia="zh-CN"/>
              </w:rPr>
              <w:t>年</w:t>
            </w: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lang w:eastAsia="zh-CN"/>
              </w:rPr>
              <w:t>合同一年一签。每年进行一次年度综合考核评价，经招标人年度综合考核评价合格的，可续签下一年合同。</w:t>
            </w:r>
          </w:p>
          <w:p w14:paraId="35B49C2C">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highlight w:val="none"/>
              </w:rPr>
            </w:pPr>
            <w:r>
              <w:rPr>
                <w:rFonts w:hint="eastAsia" w:ascii="宋体" w:hAnsi="宋体" w:cs="宋体"/>
                <w:b/>
                <w:bCs/>
                <w:color w:val="auto"/>
                <w:szCs w:val="21"/>
                <w:highlight w:val="none"/>
              </w:rPr>
              <w:t>投标文件制作系统里填写服务期，按</w:t>
            </w:r>
            <w:r>
              <w:rPr>
                <w:rFonts w:hint="eastAsia" w:ascii="宋体" w:hAnsi="宋体" w:cs="宋体"/>
                <w:b/>
                <w:bCs/>
                <w:color w:val="auto"/>
                <w:szCs w:val="21"/>
                <w:highlight w:val="none"/>
                <w:u w:val="single"/>
                <w:lang w:val="en-US" w:eastAsia="zh-CN"/>
              </w:rPr>
              <w:t>1003</w:t>
            </w:r>
            <w:r>
              <w:rPr>
                <w:rFonts w:hint="eastAsia" w:ascii="宋体" w:hAnsi="宋体" w:cs="宋体"/>
                <w:b/>
                <w:bCs/>
                <w:color w:val="auto"/>
                <w:szCs w:val="21"/>
                <w:highlight w:val="none"/>
              </w:rPr>
              <w:t>个日历天填写。</w:t>
            </w:r>
          </w:p>
        </w:tc>
      </w:tr>
      <w:tr w14:paraId="6B399F2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9" w:hRule="atLeast"/>
        </w:trPr>
        <w:tc>
          <w:tcPr>
            <w:tcW w:w="1036" w:type="dxa"/>
            <w:noWrap w:val="0"/>
            <w:vAlign w:val="center"/>
          </w:tcPr>
          <w:p w14:paraId="2495F519">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1.1</w:t>
            </w:r>
          </w:p>
        </w:tc>
        <w:tc>
          <w:tcPr>
            <w:tcW w:w="2114" w:type="dxa"/>
            <w:gridSpan w:val="2"/>
            <w:noWrap w:val="0"/>
            <w:vAlign w:val="center"/>
          </w:tcPr>
          <w:p w14:paraId="3A4D3A73">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服务（供货）地点</w:t>
            </w:r>
          </w:p>
        </w:tc>
        <w:tc>
          <w:tcPr>
            <w:tcW w:w="6688" w:type="dxa"/>
            <w:noWrap w:val="0"/>
            <w:vAlign w:val="center"/>
          </w:tcPr>
          <w:p w14:paraId="2EB1ACD7">
            <w:pPr>
              <w:pStyle w:val="19"/>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default" w:hAnsi="宋体" w:eastAsia="宋体" w:cs="宋体"/>
                <w:color w:val="auto"/>
                <w:szCs w:val="21"/>
                <w:highlight w:val="none"/>
                <w:lang w:val="en-US" w:eastAsia="zh-CN"/>
              </w:rPr>
            </w:pPr>
            <w:r>
              <w:rPr>
                <w:rFonts w:hint="eastAsia" w:hAnsi="宋体" w:eastAsia="宋体" w:cs="宋体"/>
                <w:color w:val="auto"/>
                <w:szCs w:val="21"/>
                <w:highlight w:val="none"/>
                <w:lang w:val="en-US" w:eastAsia="zh-CN"/>
              </w:rPr>
              <w:t>滁州市实验中学高中部</w:t>
            </w:r>
          </w:p>
        </w:tc>
      </w:tr>
      <w:tr w14:paraId="347A8CC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28" w:hRule="atLeast"/>
        </w:trPr>
        <w:tc>
          <w:tcPr>
            <w:tcW w:w="1036" w:type="dxa"/>
            <w:noWrap w:val="0"/>
            <w:vAlign w:val="center"/>
          </w:tcPr>
          <w:p w14:paraId="7F8FB92E">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1.2</w:t>
            </w:r>
          </w:p>
        </w:tc>
        <w:tc>
          <w:tcPr>
            <w:tcW w:w="2114" w:type="dxa"/>
            <w:gridSpan w:val="2"/>
            <w:noWrap w:val="0"/>
            <w:vAlign w:val="center"/>
          </w:tcPr>
          <w:p w14:paraId="5BCC8EDC">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招标人联系人及电话</w:t>
            </w:r>
          </w:p>
        </w:tc>
        <w:tc>
          <w:tcPr>
            <w:tcW w:w="6688" w:type="dxa"/>
            <w:noWrap w:val="0"/>
            <w:vAlign w:val="center"/>
          </w:tcPr>
          <w:p w14:paraId="7D466D48">
            <w:pPr>
              <w:pStyle w:val="19"/>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hAnsi="宋体" w:cs="宋体"/>
                <w:color w:val="auto"/>
                <w:szCs w:val="21"/>
                <w:highlight w:val="none"/>
              </w:rPr>
            </w:pPr>
            <w:r>
              <w:rPr>
                <w:rFonts w:hint="eastAsia" w:hAnsi="宋体" w:cs="宋体"/>
                <w:color w:val="auto"/>
                <w:szCs w:val="21"/>
                <w:highlight w:val="none"/>
              </w:rPr>
              <w:t>联系人：</w:t>
            </w:r>
            <w:r>
              <w:rPr>
                <w:rFonts w:hint="eastAsia" w:hAnsi="宋体" w:cs="宋体"/>
                <w:color w:val="auto"/>
                <w:szCs w:val="21"/>
                <w:highlight w:val="none"/>
                <w:lang w:val="en-US" w:eastAsia="zh-CN"/>
              </w:rPr>
              <w:t>徐老师</w:t>
            </w:r>
            <w:r>
              <w:rPr>
                <w:rFonts w:hint="eastAsia" w:hAnsi="宋体" w:cs="宋体"/>
                <w:color w:val="auto"/>
                <w:szCs w:val="21"/>
                <w:highlight w:val="none"/>
              </w:rPr>
              <w:t xml:space="preserve">   电话：</w:t>
            </w:r>
            <w:r>
              <w:rPr>
                <w:rFonts w:hint="eastAsia" w:hAnsi="宋体" w:cs="宋体"/>
                <w:color w:val="auto"/>
                <w:szCs w:val="21"/>
                <w:highlight w:val="none"/>
                <w:lang w:val="en-US" w:eastAsia="zh-CN"/>
              </w:rPr>
              <w:t xml:space="preserve">0550-3513055 </w:t>
            </w:r>
            <w:r>
              <w:rPr>
                <w:rFonts w:hint="eastAsia" w:hAnsi="宋体" w:cs="宋体"/>
                <w:color w:val="auto"/>
                <w:szCs w:val="21"/>
                <w:highlight w:val="none"/>
              </w:rPr>
              <w:t xml:space="preserve"> </w:t>
            </w:r>
          </w:p>
        </w:tc>
      </w:tr>
      <w:tr w14:paraId="3F6CBD5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63" w:hRule="atLeast"/>
        </w:trPr>
        <w:tc>
          <w:tcPr>
            <w:tcW w:w="1036" w:type="dxa"/>
            <w:noWrap w:val="0"/>
            <w:vAlign w:val="center"/>
          </w:tcPr>
          <w:p w14:paraId="2E8FDD6B">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1.2</w:t>
            </w:r>
          </w:p>
        </w:tc>
        <w:tc>
          <w:tcPr>
            <w:tcW w:w="2114" w:type="dxa"/>
            <w:gridSpan w:val="2"/>
            <w:noWrap w:val="0"/>
            <w:vAlign w:val="center"/>
          </w:tcPr>
          <w:p w14:paraId="73A4B77C">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代理机构联系人及电话</w:t>
            </w:r>
          </w:p>
        </w:tc>
        <w:tc>
          <w:tcPr>
            <w:tcW w:w="6688" w:type="dxa"/>
            <w:noWrap w:val="0"/>
            <w:vAlign w:val="center"/>
          </w:tcPr>
          <w:p w14:paraId="067D44B1">
            <w:pPr>
              <w:pStyle w:val="19"/>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hAnsi="宋体" w:eastAsia="宋体" w:cs="宋体"/>
                <w:color w:val="auto"/>
                <w:szCs w:val="21"/>
                <w:highlight w:val="none"/>
                <w:lang w:eastAsia="zh-CN"/>
              </w:rPr>
            </w:pPr>
            <w:r>
              <w:rPr>
                <w:rFonts w:hint="eastAsia" w:hAnsi="宋体" w:cs="宋体"/>
                <w:color w:val="auto"/>
                <w:szCs w:val="21"/>
                <w:highlight w:val="none"/>
              </w:rPr>
              <w:t>联系人：</w:t>
            </w:r>
            <w:r>
              <w:rPr>
                <w:rFonts w:hint="eastAsia" w:hAnsi="宋体" w:cs="宋体"/>
                <w:color w:val="auto"/>
                <w:szCs w:val="21"/>
                <w:highlight w:val="none"/>
                <w:lang w:val="en-US" w:eastAsia="zh-CN"/>
              </w:rPr>
              <w:t xml:space="preserve">关勤勤 </w:t>
            </w:r>
            <w:r>
              <w:rPr>
                <w:rFonts w:hint="eastAsia" w:hAnsi="宋体" w:cs="宋体"/>
                <w:color w:val="auto"/>
                <w:szCs w:val="21"/>
                <w:highlight w:val="none"/>
              </w:rPr>
              <w:t xml:space="preserve">  电话：</w:t>
            </w:r>
            <w:r>
              <w:rPr>
                <w:rFonts w:hint="eastAsia" w:hAnsi="宋体" w:cs="宋体"/>
                <w:color w:val="auto"/>
                <w:szCs w:val="21"/>
                <w:highlight w:val="none"/>
                <w:lang w:val="en-US" w:eastAsia="zh-CN"/>
              </w:rPr>
              <w:t xml:space="preserve">18909605753 </w:t>
            </w:r>
          </w:p>
        </w:tc>
      </w:tr>
      <w:tr w14:paraId="140AA33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57" w:hRule="atLeast"/>
        </w:trPr>
        <w:tc>
          <w:tcPr>
            <w:tcW w:w="1036" w:type="dxa"/>
            <w:noWrap w:val="0"/>
            <w:vAlign w:val="center"/>
          </w:tcPr>
          <w:p w14:paraId="7BBFD016">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1.3</w:t>
            </w:r>
          </w:p>
        </w:tc>
        <w:tc>
          <w:tcPr>
            <w:tcW w:w="2114" w:type="dxa"/>
            <w:gridSpan w:val="2"/>
            <w:noWrap w:val="0"/>
            <w:vAlign w:val="center"/>
          </w:tcPr>
          <w:p w14:paraId="6E4FE3ED">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 xml:space="preserve">资金来源                                                                                                                                                                 </w:t>
            </w:r>
          </w:p>
        </w:tc>
        <w:tc>
          <w:tcPr>
            <w:tcW w:w="6688" w:type="dxa"/>
            <w:noWrap w:val="0"/>
            <w:vAlign w:val="center"/>
          </w:tcPr>
          <w:p w14:paraId="0C7214E1">
            <w:pPr>
              <w:pStyle w:val="19"/>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default" w:hAnsi="宋体" w:eastAsia="宋体" w:cs="宋体"/>
                <w:color w:val="auto"/>
                <w:szCs w:val="21"/>
                <w:highlight w:val="none"/>
                <w:lang w:val="en-US" w:eastAsia="zh-CN"/>
              </w:rPr>
            </w:pPr>
            <w:r>
              <w:rPr>
                <w:rFonts w:hint="eastAsia" w:hAnsi="宋体" w:eastAsia="宋体" w:cs="宋体"/>
                <w:color w:val="auto"/>
                <w:szCs w:val="21"/>
                <w:highlight w:val="none"/>
                <w:lang w:val="en-US" w:eastAsia="zh-CN"/>
              </w:rPr>
              <w:t>/</w:t>
            </w:r>
          </w:p>
        </w:tc>
      </w:tr>
      <w:tr w14:paraId="1B76D98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2" w:hRule="atLeast"/>
        </w:trPr>
        <w:tc>
          <w:tcPr>
            <w:tcW w:w="1036" w:type="dxa"/>
            <w:noWrap w:val="0"/>
            <w:vAlign w:val="center"/>
          </w:tcPr>
          <w:p w14:paraId="4F22F9A3">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1.4</w:t>
            </w:r>
          </w:p>
        </w:tc>
        <w:tc>
          <w:tcPr>
            <w:tcW w:w="2114" w:type="dxa"/>
            <w:gridSpan w:val="2"/>
            <w:noWrap w:val="0"/>
            <w:vAlign w:val="center"/>
          </w:tcPr>
          <w:p w14:paraId="152E02FD">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采购预算</w:t>
            </w:r>
          </w:p>
        </w:tc>
        <w:tc>
          <w:tcPr>
            <w:tcW w:w="6688" w:type="dxa"/>
            <w:noWrap w:val="0"/>
            <w:vAlign w:val="center"/>
          </w:tcPr>
          <w:p w14:paraId="0D72E47E">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本项目食堂经营方实行“零租赁”，无需报价</w:t>
            </w:r>
            <w:r>
              <w:rPr>
                <w:rFonts w:hint="eastAsia" w:ascii="宋体" w:hAnsi="宋体" w:cs="宋体"/>
                <w:color w:val="auto"/>
                <w:szCs w:val="21"/>
                <w:highlight w:val="none"/>
                <w:lang w:eastAsia="zh-CN"/>
              </w:rPr>
              <w:t>。</w:t>
            </w:r>
          </w:p>
        </w:tc>
      </w:tr>
      <w:tr w14:paraId="4318139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trPr>
        <w:tc>
          <w:tcPr>
            <w:tcW w:w="1036" w:type="dxa"/>
            <w:noWrap w:val="0"/>
            <w:vAlign w:val="center"/>
          </w:tcPr>
          <w:p w14:paraId="6D86B827">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1.5</w:t>
            </w:r>
          </w:p>
        </w:tc>
        <w:tc>
          <w:tcPr>
            <w:tcW w:w="2114" w:type="dxa"/>
            <w:gridSpan w:val="2"/>
            <w:noWrap w:val="0"/>
            <w:vAlign w:val="center"/>
          </w:tcPr>
          <w:p w14:paraId="0DB45C48">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最</w:t>
            </w:r>
            <w:r>
              <w:rPr>
                <w:rFonts w:hint="eastAsia" w:hAnsi="宋体" w:cs="宋体"/>
                <w:color w:val="auto"/>
                <w:szCs w:val="21"/>
                <w:highlight w:val="none"/>
                <w:lang w:eastAsia="zh-CN"/>
              </w:rPr>
              <w:t>低</w:t>
            </w:r>
            <w:r>
              <w:rPr>
                <w:rFonts w:hint="eastAsia" w:hAnsi="宋体" w:cs="宋体"/>
                <w:color w:val="auto"/>
                <w:szCs w:val="21"/>
                <w:highlight w:val="none"/>
              </w:rPr>
              <w:t>限价</w:t>
            </w:r>
          </w:p>
        </w:tc>
        <w:tc>
          <w:tcPr>
            <w:tcW w:w="6688" w:type="dxa"/>
            <w:noWrap w:val="0"/>
            <w:vAlign w:val="center"/>
          </w:tcPr>
          <w:p w14:paraId="49FC3B50">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本项目食堂经营方实行“零租赁”，无需报价</w:t>
            </w:r>
            <w:r>
              <w:rPr>
                <w:rFonts w:hint="eastAsia" w:ascii="宋体" w:hAnsi="宋体" w:cs="宋体"/>
                <w:color w:val="auto"/>
                <w:szCs w:val="21"/>
                <w:highlight w:val="none"/>
                <w:lang w:eastAsia="zh-CN"/>
              </w:rPr>
              <w:t>。</w:t>
            </w:r>
          </w:p>
        </w:tc>
      </w:tr>
      <w:tr w14:paraId="78E5D24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80" w:hRule="atLeast"/>
        </w:trPr>
        <w:tc>
          <w:tcPr>
            <w:tcW w:w="1036" w:type="dxa"/>
            <w:noWrap w:val="0"/>
            <w:vAlign w:val="center"/>
          </w:tcPr>
          <w:p w14:paraId="7773F852">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2.1</w:t>
            </w:r>
          </w:p>
        </w:tc>
        <w:tc>
          <w:tcPr>
            <w:tcW w:w="2114" w:type="dxa"/>
            <w:gridSpan w:val="2"/>
            <w:noWrap w:val="0"/>
            <w:vAlign w:val="center"/>
          </w:tcPr>
          <w:p w14:paraId="1C5399C6">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采购内容</w:t>
            </w:r>
          </w:p>
        </w:tc>
        <w:tc>
          <w:tcPr>
            <w:tcW w:w="6688" w:type="dxa"/>
            <w:noWrap w:val="0"/>
            <w:vAlign w:val="center"/>
          </w:tcPr>
          <w:p w14:paraId="6F4B8282">
            <w:pPr>
              <w:pStyle w:val="19"/>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hAnsi="宋体" w:cs="宋体"/>
                <w:color w:val="auto"/>
                <w:szCs w:val="21"/>
                <w:highlight w:val="none"/>
              </w:rPr>
            </w:pPr>
            <w:r>
              <w:rPr>
                <w:rFonts w:hint="eastAsia" w:hAnsi="宋体" w:cs="宋体"/>
                <w:b/>
                <w:color w:val="auto"/>
                <w:kern w:val="0"/>
                <w:szCs w:val="21"/>
                <w:highlight w:val="none"/>
              </w:rPr>
              <w:t>具体详见《采购需求》</w:t>
            </w:r>
          </w:p>
        </w:tc>
      </w:tr>
      <w:tr w14:paraId="66F787D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trPr>
        <w:tc>
          <w:tcPr>
            <w:tcW w:w="1036" w:type="dxa"/>
            <w:noWrap w:val="0"/>
            <w:vAlign w:val="center"/>
          </w:tcPr>
          <w:p w14:paraId="5A72592B">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3.1</w:t>
            </w:r>
          </w:p>
        </w:tc>
        <w:tc>
          <w:tcPr>
            <w:tcW w:w="2114" w:type="dxa"/>
            <w:gridSpan w:val="2"/>
            <w:noWrap w:val="0"/>
            <w:vAlign w:val="center"/>
          </w:tcPr>
          <w:p w14:paraId="7632063C">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标包划分</w:t>
            </w:r>
          </w:p>
        </w:tc>
        <w:tc>
          <w:tcPr>
            <w:tcW w:w="6688" w:type="dxa"/>
            <w:noWrap w:val="0"/>
            <w:vAlign w:val="center"/>
          </w:tcPr>
          <w:p w14:paraId="0817F25F">
            <w:pPr>
              <w:pStyle w:val="19"/>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hAnsi="宋体" w:eastAsia="宋体" w:cs="宋体"/>
                <w:color w:val="auto"/>
                <w:szCs w:val="21"/>
                <w:highlight w:val="none"/>
                <w:lang w:val="en-US" w:eastAsia="zh-CN"/>
              </w:rPr>
            </w:pPr>
            <w:r>
              <w:rPr>
                <w:rFonts w:hint="eastAsia" w:hAnsi="宋体" w:cs="宋体"/>
                <w:color w:val="auto"/>
                <w:szCs w:val="21"/>
                <w:highlight w:val="none"/>
              </w:rPr>
              <w:t>本项目划分为</w:t>
            </w:r>
            <w:r>
              <w:rPr>
                <w:rFonts w:hint="eastAsia" w:hAnsi="宋体" w:cs="宋体"/>
                <w:color w:val="auto"/>
                <w:szCs w:val="21"/>
                <w:highlight w:val="none"/>
                <w:u w:val="single"/>
                <w:lang w:val="en-US" w:eastAsia="zh-CN"/>
              </w:rPr>
              <w:t>1</w:t>
            </w:r>
            <w:r>
              <w:rPr>
                <w:rFonts w:hint="eastAsia" w:hAnsi="宋体" w:cs="宋体"/>
                <w:color w:val="auto"/>
                <w:szCs w:val="21"/>
                <w:highlight w:val="none"/>
              </w:rPr>
              <w:t>个标包</w:t>
            </w:r>
            <w:r>
              <w:rPr>
                <w:rFonts w:hint="eastAsia" w:hAnsi="宋体" w:cs="宋体"/>
                <w:color w:val="auto"/>
                <w:szCs w:val="21"/>
                <w:highlight w:val="none"/>
                <w:lang w:eastAsia="zh-CN"/>
              </w:rPr>
              <w:t>。</w:t>
            </w:r>
          </w:p>
        </w:tc>
      </w:tr>
      <w:tr w14:paraId="2E60336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60" w:hRule="atLeast"/>
        </w:trPr>
        <w:tc>
          <w:tcPr>
            <w:tcW w:w="1036" w:type="dxa"/>
            <w:noWrap w:val="0"/>
            <w:vAlign w:val="center"/>
          </w:tcPr>
          <w:p w14:paraId="490AD3C7">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4.1</w:t>
            </w:r>
          </w:p>
        </w:tc>
        <w:tc>
          <w:tcPr>
            <w:tcW w:w="2114" w:type="dxa"/>
            <w:gridSpan w:val="2"/>
            <w:noWrap w:val="0"/>
            <w:vAlign w:val="center"/>
          </w:tcPr>
          <w:p w14:paraId="6F963DAA">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招标方式</w:t>
            </w:r>
          </w:p>
        </w:tc>
        <w:tc>
          <w:tcPr>
            <w:tcW w:w="6688" w:type="dxa"/>
            <w:noWrap w:val="0"/>
            <w:vAlign w:val="center"/>
          </w:tcPr>
          <w:p w14:paraId="757F4C25">
            <w:pPr>
              <w:pStyle w:val="19"/>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公开招标</w:t>
            </w:r>
          </w:p>
        </w:tc>
      </w:tr>
      <w:tr w14:paraId="658E09D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03" w:hRule="atLeast"/>
        </w:trPr>
        <w:tc>
          <w:tcPr>
            <w:tcW w:w="1036" w:type="dxa"/>
            <w:noWrap w:val="0"/>
            <w:vAlign w:val="center"/>
          </w:tcPr>
          <w:p w14:paraId="70A35BA6">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7.2</w:t>
            </w:r>
          </w:p>
        </w:tc>
        <w:tc>
          <w:tcPr>
            <w:tcW w:w="2114" w:type="dxa"/>
            <w:gridSpan w:val="2"/>
            <w:noWrap w:val="0"/>
            <w:vAlign w:val="center"/>
          </w:tcPr>
          <w:p w14:paraId="62664B10">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投标人资格条件及其他要求</w:t>
            </w:r>
          </w:p>
        </w:tc>
        <w:tc>
          <w:tcPr>
            <w:tcW w:w="6688" w:type="dxa"/>
            <w:noWrap w:val="0"/>
            <w:vAlign w:val="center"/>
          </w:tcPr>
          <w:p w14:paraId="73B01314">
            <w:pPr>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ascii="宋体" w:hAnsi="宋体" w:cs="宋体"/>
                <w:color w:val="auto"/>
                <w:szCs w:val="21"/>
                <w:highlight w:val="none"/>
              </w:rPr>
            </w:pPr>
            <w:r>
              <w:rPr>
                <w:rFonts w:hint="eastAsia" w:ascii="宋体" w:hAnsi="宋体" w:cs="宋体"/>
                <w:color w:val="auto"/>
                <w:szCs w:val="21"/>
                <w:highlight w:val="none"/>
              </w:rPr>
              <w:t>详见第一章“招标公告”</w:t>
            </w:r>
          </w:p>
        </w:tc>
      </w:tr>
      <w:tr w14:paraId="5A43142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6" w:hRule="atLeast"/>
        </w:trPr>
        <w:tc>
          <w:tcPr>
            <w:tcW w:w="1036" w:type="dxa"/>
            <w:noWrap w:val="0"/>
            <w:vAlign w:val="center"/>
          </w:tcPr>
          <w:p w14:paraId="21B9FB6F">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9.1</w:t>
            </w:r>
          </w:p>
        </w:tc>
        <w:tc>
          <w:tcPr>
            <w:tcW w:w="2114" w:type="dxa"/>
            <w:gridSpan w:val="2"/>
            <w:noWrap w:val="0"/>
            <w:vAlign w:val="center"/>
          </w:tcPr>
          <w:p w14:paraId="4028E871">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踏勘现场</w:t>
            </w:r>
          </w:p>
        </w:tc>
        <w:tc>
          <w:tcPr>
            <w:tcW w:w="6688" w:type="dxa"/>
            <w:noWrap w:val="0"/>
            <w:vAlign w:val="center"/>
          </w:tcPr>
          <w:p w14:paraId="2C47FC7E">
            <w:pPr>
              <w:pStyle w:val="19"/>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投标人可自行踏勘现场，踏勘现场所需全部费用自拟，如过程中发生安全问题等全部问题，由投标人自行负责。</w:t>
            </w:r>
          </w:p>
        </w:tc>
      </w:tr>
      <w:tr w14:paraId="52C32FE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6" w:hRule="atLeast"/>
        </w:trPr>
        <w:tc>
          <w:tcPr>
            <w:tcW w:w="1036" w:type="dxa"/>
            <w:noWrap w:val="0"/>
            <w:vAlign w:val="center"/>
          </w:tcPr>
          <w:p w14:paraId="4255548D">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10.1</w:t>
            </w:r>
          </w:p>
        </w:tc>
        <w:tc>
          <w:tcPr>
            <w:tcW w:w="2114" w:type="dxa"/>
            <w:gridSpan w:val="2"/>
            <w:noWrap w:val="0"/>
            <w:vAlign w:val="center"/>
          </w:tcPr>
          <w:p w14:paraId="7FA06130">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投标预备会</w:t>
            </w:r>
          </w:p>
        </w:tc>
        <w:tc>
          <w:tcPr>
            <w:tcW w:w="6688" w:type="dxa"/>
            <w:noWrap w:val="0"/>
            <w:vAlign w:val="center"/>
          </w:tcPr>
          <w:p w14:paraId="0D150508">
            <w:pPr>
              <w:pStyle w:val="19"/>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hAnsi="宋体" w:eastAsia="宋体" w:cs="宋体"/>
                <w:color w:val="auto"/>
                <w:szCs w:val="21"/>
                <w:highlight w:val="none"/>
                <w:lang w:val="en-US" w:eastAsia="zh-CN"/>
              </w:rPr>
            </w:pPr>
            <w:r>
              <w:rPr>
                <w:rFonts w:hint="eastAsia" w:hAnsi="宋体" w:cs="宋体"/>
                <w:color w:val="auto"/>
                <w:szCs w:val="21"/>
                <w:highlight w:val="none"/>
                <w:lang w:val="en-US" w:eastAsia="zh-CN"/>
              </w:rPr>
              <w:t>不组织</w:t>
            </w:r>
          </w:p>
        </w:tc>
      </w:tr>
      <w:tr w14:paraId="2DCD822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27" w:hRule="atLeast"/>
        </w:trPr>
        <w:tc>
          <w:tcPr>
            <w:tcW w:w="1036" w:type="dxa"/>
            <w:noWrap w:val="0"/>
            <w:vAlign w:val="center"/>
          </w:tcPr>
          <w:p w14:paraId="72B49B48">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11.1</w:t>
            </w:r>
          </w:p>
        </w:tc>
        <w:tc>
          <w:tcPr>
            <w:tcW w:w="2114" w:type="dxa"/>
            <w:gridSpan w:val="2"/>
            <w:noWrap w:val="0"/>
            <w:vAlign w:val="center"/>
          </w:tcPr>
          <w:p w14:paraId="30A94D8B">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联合体投标</w:t>
            </w:r>
          </w:p>
        </w:tc>
        <w:tc>
          <w:tcPr>
            <w:tcW w:w="6688" w:type="dxa"/>
            <w:noWrap w:val="0"/>
            <w:vAlign w:val="center"/>
          </w:tcPr>
          <w:p w14:paraId="27F1C5E7">
            <w:pPr>
              <w:pStyle w:val="19"/>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hAnsi="宋体" w:eastAsia="宋体" w:cs="宋体"/>
                <w:color w:val="auto"/>
                <w:szCs w:val="21"/>
                <w:highlight w:val="none"/>
                <w:lang w:val="en-US" w:eastAsia="zh-CN"/>
              </w:rPr>
            </w:pPr>
            <w:r>
              <w:rPr>
                <w:rFonts w:hint="eastAsia" w:hAnsi="宋体" w:cs="宋体"/>
                <w:color w:val="auto"/>
                <w:szCs w:val="21"/>
                <w:highlight w:val="none"/>
                <w:lang w:val="en-US" w:eastAsia="zh-CN"/>
              </w:rPr>
              <w:t>不接受</w:t>
            </w:r>
          </w:p>
        </w:tc>
      </w:tr>
      <w:tr w14:paraId="5A03582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036" w:type="dxa"/>
            <w:noWrap w:val="0"/>
            <w:vAlign w:val="center"/>
          </w:tcPr>
          <w:p w14:paraId="0A930DC1">
            <w:pPr>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12.1</w:t>
            </w:r>
          </w:p>
        </w:tc>
        <w:tc>
          <w:tcPr>
            <w:tcW w:w="2114" w:type="dxa"/>
            <w:gridSpan w:val="2"/>
            <w:noWrap w:val="0"/>
            <w:vAlign w:val="center"/>
          </w:tcPr>
          <w:p w14:paraId="18ED7728">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招标代理费</w:t>
            </w:r>
          </w:p>
        </w:tc>
        <w:tc>
          <w:tcPr>
            <w:tcW w:w="6688" w:type="dxa"/>
            <w:noWrap w:val="0"/>
            <w:vAlign w:val="center"/>
          </w:tcPr>
          <w:p w14:paraId="1DE5DD03">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代理服务费金额：</w:t>
            </w:r>
            <w:r>
              <w:rPr>
                <w:rFonts w:hint="eastAsia" w:ascii="宋体" w:hAnsi="宋体" w:cs="宋体"/>
                <w:color w:val="auto"/>
                <w:szCs w:val="21"/>
                <w:highlight w:val="none"/>
                <w:u w:val="single"/>
                <w:lang w:val="en-US" w:eastAsia="zh-CN"/>
              </w:rPr>
              <w:t>3000</w:t>
            </w:r>
            <w:r>
              <w:rPr>
                <w:rFonts w:hint="eastAsia" w:ascii="宋体" w:hAnsi="宋体" w:cs="宋体"/>
                <w:color w:val="auto"/>
                <w:szCs w:val="21"/>
                <w:highlight w:val="none"/>
              </w:rPr>
              <w:t>元。</w:t>
            </w:r>
            <w:r>
              <w:rPr>
                <w:rFonts w:hint="eastAsia" w:ascii="宋体" w:hAnsi="宋体" w:eastAsia="宋体" w:cs="宋体"/>
                <w:bCs/>
                <w:color w:val="auto"/>
                <w:kern w:val="0"/>
                <w:sz w:val="21"/>
                <w:szCs w:val="21"/>
                <w:highlight w:val="none"/>
                <w:lang w:val="en-US" w:eastAsia="zh-CN"/>
              </w:rPr>
              <w:t>收费标准：</w:t>
            </w:r>
            <w:r>
              <w:rPr>
                <w:rFonts w:hint="eastAsia" w:ascii="宋体" w:hAnsi="宋体" w:eastAsia="宋体" w:cs="宋体"/>
                <w:bCs/>
                <w:color w:val="auto"/>
                <w:kern w:val="0"/>
                <w:sz w:val="21"/>
                <w:szCs w:val="21"/>
                <w:highlight w:val="none"/>
                <w:u w:val="single"/>
                <w:lang w:val="en-US" w:eastAsia="zh-CN"/>
              </w:rPr>
              <w:t>参考《关于进一步明确代理费计取标准的通知》（滁公管综【2023】19号）。</w:t>
            </w:r>
          </w:p>
          <w:p w14:paraId="7CF68153">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代理服务费支付主体：</w:t>
            </w:r>
            <w:r>
              <w:rPr>
                <w:rFonts w:hint="eastAsia" w:ascii="宋体" w:hAnsi="宋体" w:cs="宋体"/>
                <w:color w:val="auto"/>
                <w:szCs w:val="21"/>
                <w:highlight w:val="none"/>
                <w:lang w:val="en-US" w:eastAsia="zh-CN"/>
              </w:rPr>
              <w:t>中标人。</w:t>
            </w:r>
          </w:p>
        </w:tc>
      </w:tr>
      <w:tr w14:paraId="75992F8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036" w:type="dxa"/>
            <w:noWrap w:val="0"/>
            <w:vAlign w:val="center"/>
          </w:tcPr>
          <w:p w14:paraId="483EB0ED">
            <w:pPr>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12.2</w:t>
            </w:r>
          </w:p>
        </w:tc>
        <w:tc>
          <w:tcPr>
            <w:tcW w:w="2114" w:type="dxa"/>
            <w:gridSpan w:val="2"/>
            <w:noWrap w:val="0"/>
            <w:vAlign w:val="center"/>
          </w:tcPr>
          <w:p w14:paraId="6D803C60">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专家评审劳务费</w:t>
            </w:r>
          </w:p>
        </w:tc>
        <w:tc>
          <w:tcPr>
            <w:tcW w:w="6688" w:type="dxa"/>
            <w:noWrap w:val="0"/>
            <w:vAlign w:val="center"/>
          </w:tcPr>
          <w:p w14:paraId="389F69B3">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费用或支付标准：</w:t>
            </w:r>
            <w:r>
              <w:rPr>
                <w:rFonts w:hint="eastAsia" w:ascii="宋体" w:hAnsi="宋体" w:cs="宋体"/>
                <w:color w:val="auto"/>
                <w:spacing w:val="-4"/>
                <w:kern w:val="0"/>
                <w:szCs w:val="21"/>
                <w:highlight w:val="none"/>
              </w:rPr>
              <w:t>具体以实际发生费用为准</w:t>
            </w:r>
            <w:r>
              <w:rPr>
                <w:rFonts w:hint="eastAsia" w:ascii="宋体" w:hAnsi="宋体" w:cs="宋体"/>
                <w:color w:val="auto"/>
                <w:spacing w:val="-4"/>
                <w:kern w:val="0"/>
                <w:szCs w:val="21"/>
                <w:highlight w:val="none"/>
                <w:lang w:eastAsia="zh-CN"/>
              </w:rPr>
              <w:t>；</w:t>
            </w:r>
          </w:p>
          <w:p w14:paraId="69188ED7">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支付主体：</w:t>
            </w:r>
            <w:r>
              <w:rPr>
                <w:rFonts w:hint="eastAsia" w:ascii="宋体" w:hAnsi="宋体" w:cs="宋体"/>
                <w:color w:val="auto"/>
                <w:szCs w:val="21"/>
                <w:highlight w:val="none"/>
                <w:lang w:val="en-US" w:eastAsia="zh-CN"/>
              </w:rPr>
              <w:t>招标人。</w:t>
            </w:r>
          </w:p>
        </w:tc>
      </w:tr>
      <w:tr w14:paraId="2862CA5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036" w:type="dxa"/>
            <w:noWrap w:val="0"/>
            <w:vAlign w:val="center"/>
          </w:tcPr>
          <w:p w14:paraId="55CD80EC">
            <w:pPr>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15.4</w:t>
            </w:r>
          </w:p>
        </w:tc>
        <w:tc>
          <w:tcPr>
            <w:tcW w:w="2114" w:type="dxa"/>
            <w:gridSpan w:val="2"/>
            <w:noWrap w:val="0"/>
            <w:vAlign w:val="center"/>
          </w:tcPr>
          <w:p w14:paraId="7C288E46">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招标人澄清的方式</w:t>
            </w:r>
          </w:p>
        </w:tc>
        <w:tc>
          <w:tcPr>
            <w:tcW w:w="6688" w:type="dxa"/>
            <w:noWrap w:val="0"/>
            <w:vAlign w:val="center"/>
          </w:tcPr>
          <w:p w14:paraId="035E3145">
            <w:pPr>
              <w:keepNext w:val="0"/>
              <w:keepLines w:val="0"/>
              <w:pageBreakBefore w:val="0"/>
              <w:suppressLineNumbers w:val="0"/>
              <w:kinsoku/>
              <w:wordWrap w:val="0"/>
              <w:overflowPunct/>
              <w:autoSpaceDE/>
              <w:autoSpaceDN/>
              <w:bidi w:val="0"/>
              <w:spacing w:before="0" w:beforeAutospacing="0" w:after="0" w:afterAutospacing="0" w:line="440" w:lineRule="exact"/>
              <w:ind w:left="0" w:right="0"/>
              <w:textAlignment w:val="auto"/>
              <w:rPr>
                <w:rFonts w:hint="eastAsia" w:ascii="宋体" w:hAnsi="宋体" w:cs="宋体"/>
                <w:color w:val="auto"/>
                <w:szCs w:val="21"/>
                <w:highlight w:val="none"/>
              </w:rPr>
            </w:pPr>
            <w:r>
              <w:rPr>
                <w:rFonts w:hint="eastAsia" w:ascii="宋体" w:hAnsi="宋体" w:cs="宋体"/>
                <w:color w:val="auto"/>
                <w:szCs w:val="21"/>
                <w:highlight w:val="none"/>
              </w:rPr>
              <w:t>以更正公告形式在滁州市公共资源交易网（http://ggzy.chuzhou.gov.cn /）“更正公告”栏目予以公告</w:t>
            </w:r>
          </w:p>
        </w:tc>
      </w:tr>
      <w:tr w14:paraId="0F3DD1B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1036" w:type="dxa"/>
            <w:noWrap w:val="0"/>
            <w:vAlign w:val="center"/>
          </w:tcPr>
          <w:p w14:paraId="56A16791">
            <w:pPr>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22.1</w:t>
            </w:r>
          </w:p>
        </w:tc>
        <w:tc>
          <w:tcPr>
            <w:tcW w:w="2114" w:type="dxa"/>
            <w:gridSpan w:val="2"/>
            <w:noWrap w:val="0"/>
            <w:vAlign w:val="center"/>
          </w:tcPr>
          <w:p w14:paraId="4FE3B9CE">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投标有效期</w:t>
            </w:r>
          </w:p>
        </w:tc>
        <w:tc>
          <w:tcPr>
            <w:tcW w:w="6688" w:type="dxa"/>
            <w:noWrap w:val="0"/>
            <w:vAlign w:val="center"/>
          </w:tcPr>
          <w:p w14:paraId="41277653">
            <w:pPr>
              <w:pStyle w:val="19"/>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hAnsi="宋体" w:cs="宋体"/>
                <w:color w:val="auto"/>
                <w:szCs w:val="21"/>
                <w:highlight w:val="none"/>
              </w:rPr>
            </w:pPr>
            <w:r>
              <w:rPr>
                <w:rFonts w:hint="eastAsia" w:hAnsi="宋体" w:cs="宋体"/>
                <w:color w:val="auto"/>
                <w:szCs w:val="21"/>
                <w:highlight w:val="none"/>
              </w:rPr>
              <w:t>投标有效期为</w:t>
            </w:r>
            <w:r>
              <w:rPr>
                <w:rFonts w:hint="eastAsia" w:hAnsi="宋体" w:cs="宋体"/>
                <w:color w:val="auto"/>
                <w:szCs w:val="21"/>
                <w:highlight w:val="none"/>
                <w:u w:val="single"/>
                <w:lang w:val="en-US" w:eastAsia="zh-CN"/>
              </w:rPr>
              <w:t>90</w:t>
            </w:r>
            <w:r>
              <w:rPr>
                <w:rFonts w:hint="eastAsia" w:hAnsi="宋体" w:cs="宋体"/>
                <w:color w:val="auto"/>
                <w:szCs w:val="21"/>
                <w:highlight w:val="none"/>
              </w:rPr>
              <w:t>日历天（从投标截止之日算起）。在此期限内，凡符合本招标文件要求的投标文件均保持有效。</w:t>
            </w:r>
          </w:p>
        </w:tc>
      </w:tr>
      <w:tr w14:paraId="7049D8C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6" w:hRule="atLeast"/>
        </w:trPr>
        <w:tc>
          <w:tcPr>
            <w:tcW w:w="1036" w:type="dxa"/>
            <w:noWrap w:val="0"/>
            <w:vAlign w:val="center"/>
          </w:tcPr>
          <w:p w14:paraId="641D0FA7">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23</w:t>
            </w:r>
          </w:p>
        </w:tc>
        <w:tc>
          <w:tcPr>
            <w:tcW w:w="2114" w:type="dxa"/>
            <w:gridSpan w:val="2"/>
            <w:noWrap w:val="0"/>
            <w:vAlign w:val="center"/>
          </w:tcPr>
          <w:p w14:paraId="50E58B2A">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投标保证金</w:t>
            </w:r>
          </w:p>
        </w:tc>
        <w:tc>
          <w:tcPr>
            <w:tcW w:w="6688" w:type="dxa"/>
            <w:noWrap w:val="0"/>
            <w:vAlign w:val="top"/>
          </w:tcPr>
          <w:p w14:paraId="46D51931">
            <w:pPr>
              <w:keepNext w:val="0"/>
              <w:keepLines w:val="0"/>
              <w:pageBreakBefore w:val="0"/>
              <w:widowControl/>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bCs/>
                <w:color w:val="auto"/>
                <w:kern w:val="0"/>
                <w:szCs w:val="21"/>
                <w:highlight w:val="none"/>
              </w:rPr>
            </w:pPr>
            <w:r>
              <w:rPr>
                <w:rFonts w:hint="eastAsia" w:ascii="宋体" w:hAnsi="宋体" w:cs="Times New Roman"/>
                <w:color w:val="auto"/>
                <w:szCs w:val="21"/>
                <w:highlight w:val="none"/>
              </w:rPr>
              <w:t>详见第一章“招标公告”</w:t>
            </w:r>
          </w:p>
        </w:tc>
      </w:tr>
      <w:tr w14:paraId="36A75F3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65" w:hRule="atLeast"/>
        </w:trPr>
        <w:tc>
          <w:tcPr>
            <w:tcW w:w="1036" w:type="dxa"/>
            <w:noWrap w:val="0"/>
            <w:vAlign w:val="center"/>
          </w:tcPr>
          <w:p w14:paraId="56E094AD">
            <w:pPr>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24.1</w:t>
            </w:r>
          </w:p>
        </w:tc>
        <w:tc>
          <w:tcPr>
            <w:tcW w:w="2114" w:type="dxa"/>
            <w:gridSpan w:val="2"/>
            <w:noWrap w:val="0"/>
            <w:vAlign w:val="center"/>
          </w:tcPr>
          <w:p w14:paraId="540AD4A6">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投标文件数量</w:t>
            </w:r>
          </w:p>
        </w:tc>
        <w:tc>
          <w:tcPr>
            <w:tcW w:w="6688" w:type="dxa"/>
            <w:noWrap w:val="0"/>
            <w:vAlign w:val="center"/>
          </w:tcPr>
          <w:p w14:paraId="4A737A08">
            <w:pPr>
              <w:keepNext w:val="0"/>
              <w:keepLines w:val="0"/>
              <w:pageBreakBefore w:val="0"/>
              <w:widowControl/>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加密电子投标文件应在投标截止时间前通过交易中心电子交易系统上传。</w:t>
            </w:r>
          </w:p>
          <w:p w14:paraId="0BFA8081">
            <w:pPr>
              <w:keepNext w:val="0"/>
              <w:keepLines w:val="0"/>
              <w:pageBreakBefore w:val="0"/>
              <w:widowControl/>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bCs/>
                <w:color w:val="auto"/>
                <w:kern w:val="0"/>
                <w:szCs w:val="21"/>
                <w:highlight w:val="none"/>
              </w:rPr>
            </w:pPr>
            <w:r>
              <w:rPr>
                <w:rFonts w:hint="eastAsia" w:ascii="宋体" w:hAnsi="宋体" w:cs="宋体"/>
                <w:bCs/>
                <w:color w:val="auto"/>
                <w:kern w:val="0"/>
                <w:szCs w:val="21"/>
                <w:highlight w:val="none"/>
              </w:rPr>
              <w:t>（投标单位中标后须递交与网上电子投标文件完全一致的纸质版投标文件，并按要求加盖公章；份数：正本</w:t>
            </w:r>
            <w:r>
              <w:rPr>
                <w:rFonts w:hint="eastAsia" w:ascii="宋体" w:hAnsi="宋体" w:cs="宋体"/>
                <w:bCs/>
                <w:color w:val="auto"/>
                <w:kern w:val="0"/>
                <w:szCs w:val="21"/>
                <w:highlight w:val="none"/>
                <w:u w:val="single"/>
                <w:lang w:val="en-US" w:eastAsia="zh-CN"/>
              </w:rPr>
              <w:t>1</w:t>
            </w:r>
            <w:r>
              <w:rPr>
                <w:rFonts w:hint="eastAsia" w:ascii="宋体" w:hAnsi="宋体" w:cs="宋体"/>
                <w:bCs/>
                <w:color w:val="auto"/>
                <w:kern w:val="0"/>
                <w:szCs w:val="21"/>
                <w:highlight w:val="none"/>
              </w:rPr>
              <w:t>份，副本</w:t>
            </w:r>
            <w:r>
              <w:rPr>
                <w:rFonts w:hint="eastAsia" w:ascii="宋体" w:hAnsi="宋体" w:cs="宋体"/>
                <w:bCs/>
                <w:color w:val="auto"/>
                <w:kern w:val="0"/>
                <w:szCs w:val="21"/>
                <w:highlight w:val="none"/>
                <w:u w:val="single"/>
                <w:lang w:val="en-US" w:eastAsia="zh-CN"/>
              </w:rPr>
              <w:t>1</w:t>
            </w:r>
            <w:r>
              <w:rPr>
                <w:rFonts w:hint="eastAsia" w:ascii="宋体" w:hAnsi="宋体" w:cs="宋体"/>
                <w:bCs/>
                <w:color w:val="auto"/>
                <w:kern w:val="0"/>
                <w:szCs w:val="21"/>
                <w:highlight w:val="none"/>
              </w:rPr>
              <w:t>份；中标单位领取中标通知书时，一并递交给代理机构）</w:t>
            </w:r>
          </w:p>
        </w:tc>
      </w:tr>
      <w:tr w14:paraId="10E87FC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6" w:hRule="atLeast"/>
        </w:trPr>
        <w:tc>
          <w:tcPr>
            <w:tcW w:w="1036" w:type="dxa"/>
            <w:noWrap w:val="0"/>
            <w:vAlign w:val="center"/>
          </w:tcPr>
          <w:p w14:paraId="1E7BB029">
            <w:pPr>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24.2</w:t>
            </w:r>
          </w:p>
        </w:tc>
        <w:tc>
          <w:tcPr>
            <w:tcW w:w="2114" w:type="dxa"/>
            <w:gridSpan w:val="2"/>
            <w:noWrap w:val="0"/>
            <w:vAlign w:val="center"/>
          </w:tcPr>
          <w:p w14:paraId="7F628299">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签字或盖章要求</w:t>
            </w:r>
          </w:p>
        </w:tc>
        <w:tc>
          <w:tcPr>
            <w:tcW w:w="6688" w:type="dxa"/>
            <w:noWrap w:val="0"/>
            <w:vAlign w:val="center"/>
          </w:tcPr>
          <w:p w14:paraId="4B6234B1">
            <w:pPr>
              <w:keepNext w:val="0"/>
              <w:keepLines w:val="0"/>
              <w:pageBreakBefore w:val="0"/>
              <w:widowControl/>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bCs/>
                <w:color w:val="auto"/>
                <w:kern w:val="0"/>
                <w:szCs w:val="21"/>
                <w:highlight w:val="none"/>
              </w:rPr>
            </w:pPr>
            <w:r>
              <w:rPr>
                <w:rFonts w:hint="eastAsia" w:ascii="宋体" w:hAnsi="宋体" w:cs="宋体"/>
                <w:bCs/>
                <w:color w:val="auto"/>
                <w:kern w:val="0"/>
                <w:szCs w:val="21"/>
                <w:highlight w:val="none"/>
              </w:rPr>
              <w:t>电子投标文件须按格式文件要求签字或盖章（电子签章），招标文件格式中要求“签章”部位，指电子签章或盖章后扫描上传均可。</w:t>
            </w:r>
          </w:p>
          <w:p w14:paraId="371EAF98">
            <w:pPr>
              <w:keepNext w:val="0"/>
              <w:keepLines w:val="0"/>
              <w:pageBreakBefore w:val="0"/>
              <w:widowControl/>
              <w:suppressLineNumbers w:val="0"/>
              <w:kinsoku/>
              <w:overflowPunct/>
              <w:autoSpaceDE/>
              <w:autoSpaceDN/>
              <w:bidi w:val="0"/>
              <w:spacing w:before="0" w:beforeAutospacing="0" w:after="0" w:afterAutospacing="0" w:line="440" w:lineRule="exact"/>
              <w:ind w:left="0" w:right="0" w:firstLine="88" w:firstLineChars="42"/>
              <w:jc w:val="left"/>
              <w:textAlignment w:val="auto"/>
              <w:rPr>
                <w:rFonts w:hint="eastAsia" w:ascii="宋体" w:hAnsi="宋体" w:cs="宋体"/>
                <w:bCs/>
                <w:color w:val="auto"/>
                <w:szCs w:val="21"/>
                <w:highlight w:val="none"/>
              </w:rPr>
            </w:pPr>
            <w:r>
              <w:rPr>
                <w:rFonts w:hint="eastAsia" w:ascii="宋体" w:hAnsi="宋体" w:cs="宋体"/>
                <w:bCs/>
                <w:color w:val="auto"/>
                <w:kern w:val="0"/>
                <w:szCs w:val="21"/>
                <w:highlight w:val="none"/>
              </w:rPr>
              <w:t>否则经评委会一致认定后，按照无效投标处理。</w:t>
            </w:r>
          </w:p>
        </w:tc>
      </w:tr>
      <w:tr w14:paraId="05EEBD3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63" w:hRule="atLeast"/>
        </w:trPr>
        <w:tc>
          <w:tcPr>
            <w:tcW w:w="1036" w:type="dxa"/>
            <w:noWrap w:val="0"/>
            <w:vAlign w:val="center"/>
          </w:tcPr>
          <w:p w14:paraId="758C013D">
            <w:pPr>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25.1</w:t>
            </w:r>
          </w:p>
        </w:tc>
        <w:tc>
          <w:tcPr>
            <w:tcW w:w="2114" w:type="dxa"/>
            <w:gridSpan w:val="2"/>
            <w:noWrap w:val="0"/>
            <w:vAlign w:val="center"/>
          </w:tcPr>
          <w:p w14:paraId="489284D8">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投标文件提交截止时间</w:t>
            </w:r>
          </w:p>
        </w:tc>
        <w:tc>
          <w:tcPr>
            <w:tcW w:w="6688" w:type="dxa"/>
            <w:noWrap w:val="0"/>
            <w:vAlign w:val="center"/>
          </w:tcPr>
          <w:p w14:paraId="236F8783">
            <w:pPr>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ascii="宋体" w:hAnsi="宋体" w:cs="宋体"/>
                <w:color w:val="auto"/>
                <w:szCs w:val="21"/>
                <w:highlight w:val="none"/>
              </w:rPr>
            </w:pPr>
            <w:r>
              <w:rPr>
                <w:rFonts w:hint="eastAsia" w:ascii="宋体" w:hAnsi="宋体" w:cs="宋体"/>
                <w:color w:val="auto"/>
                <w:szCs w:val="21"/>
                <w:highlight w:val="none"/>
              </w:rPr>
              <w:t>网上递交投标文件截止时间：</w:t>
            </w:r>
            <w:r>
              <w:rPr>
                <w:rFonts w:hint="eastAsia" w:ascii="宋体" w:hAnsi="宋体" w:cs="宋体"/>
                <w:b/>
                <w:bCs w:val="0"/>
                <w:color w:val="auto"/>
                <w:kern w:val="0"/>
                <w:szCs w:val="21"/>
                <w:highlight w:val="none"/>
                <w:u w:val="single"/>
                <w:lang w:val="en-US" w:eastAsia="zh-CN"/>
              </w:rPr>
              <w:t>2026</w:t>
            </w:r>
            <w:r>
              <w:rPr>
                <w:rFonts w:hint="eastAsia" w:ascii="宋体" w:hAnsi="宋体" w:cs="宋体"/>
                <w:b/>
                <w:bCs w:val="0"/>
                <w:color w:val="auto"/>
                <w:szCs w:val="21"/>
                <w:highlight w:val="none"/>
              </w:rPr>
              <w:t>年</w:t>
            </w:r>
            <w:r>
              <w:rPr>
                <w:rFonts w:hint="eastAsia" w:ascii="宋体" w:hAnsi="宋体" w:cs="宋体"/>
                <w:b/>
                <w:bCs w:val="0"/>
                <w:color w:val="auto"/>
                <w:kern w:val="0"/>
                <w:szCs w:val="21"/>
                <w:highlight w:val="none"/>
                <w:u w:val="single"/>
                <w:lang w:val="en-US" w:eastAsia="zh-CN"/>
              </w:rPr>
              <w:t>10</w:t>
            </w:r>
            <w:r>
              <w:rPr>
                <w:rFonts w:hint="eastAsia" w:ascii="宋体" w:hAnsi="宋体" w:cs="宋体"/>
                <w:b/>
                <w:bCs w:val="0"/>
                <w:color w:val="auto"/>
                <w:szCs w:val="21"/>
                <w:highlight w:val="none"/>
              </w:rPr>
              <w:t>月</w:t>
            </w:r>
            <w:r>
              <w:rPr>
                <w:rFonts w:hint="eastAsia" w:ascii="宋体" w:hAnsi="宋体" w:cs="宋体"/>
                <w:b/>
                <w:bCs w:val="0"/>
                <w:color w:val="auto"/>
                <w:kern w:val="0"/>
                <w:szCs w:val="21"/>
                <w:highlight w:val="none"/>
                <w:u w:val="single"/>
                <w:lang w:val="en-US" w:eastAsia="zh-CN"/>
              </w:rPr>
              <w:t>8</w:t>
            </w:r>
            <w:r>
              <w:rPr>
                <w:rFonts w:hint="eastAsia" w:ascii="宋体" w:hAnsi="宋体" w:cs="宋体"/>
                <w:b/>
                <w:bCs w:val="0"/>
                <w:color w:val="auto"/>
                <w:szCs w:val="21"/>
                <w:highlight w:val="none"/>
              </w:rPr>
              <w:t>日</w:t>
            </w:r>
            <w:r>
              <w:rPr>
                <w:rFonts w:hint="eastAsia" w:ascii="宋体" w:hAnsi="宋体" w:cs="宋体"/>
                <w:b/>
                <w:bCs w:val="0"/>
                <w:color w:val="auto"/>
                <w:kern w:val="0"/>
                <w:szCs w:val="21"/>
                <w:highlight w:val="none"/>
                <w:u w:val="single"/>
                <w:lang w:val="en-US" w:eastAsia="zh-CN"/>
              </w:rPr>
              <w:t>8</w:t>
            </w:r>
            <w:r>
              <w:rPr>
                <w:rFonts w:hint="eastAsia" w:ascii="宋体" w:hAnsi="宋体" w:cs="宋体"/>
                <w:b/>
                <w:bCs w:val="0"/>
                <w:color w:val="auto"/>
                <w:szCs w:val="21"/>
                <w:highlight w:val="none"/>
              </w:rPr>
              <w:t>点</w:t>
            </w:r>
            <w:r>
              <w:rPr>
                <w:rFonts w:hint="eastAsia" w:ascii="宋体" w:hAnsi="宋体" w:cs="宋体"/>
                <w:b/>
                <w:bCs w:val="0"/>
                <w:color w:val="auto"/>
                <w:kern w:val="0"/>
                <w:szCs w:val="21"/>
                <w:highlight w:val="none"/>
                <w:u w:val="single"/>
                <w:lang w:val="en-US" w:eastAsia="zh-CN"/>
              </w:rPr>
              <w:t>30</w:t>
            </w:r>
            <w:r>
              <w:rPr>
                <w:rFonts w:hint="eastAsia" w:ascii="宋体" w:hAnsi="宋体" w:cs="宋体"/>
                <w:b/>
                <w:bCs w:val="0"/>
                <w:color w:val="auto"/>
                <w:szCs w:val="21"/>
                <w:highlight w:val="none"/>
              </w:rPr>
              <w:t>分</w:t>
            </w:r>
            <w:r>
              <w:rPr>
                <w:rFonts w:hint="eastAsia" w:ascii="宋体" w:hAnsi="宋体" w:cs="宋体"/>
                <w:b/>
                <w:bCs/>
                <w:color w:val="auto"/>
                <w:szCs w:val="21"/>
                <w:highlight w:val="none"/>
              </w:rPr>
              <w:t>（北京时间）</w:t>
            </w:r>
          </w:p>
          <w:p w14:paraId="36DB580D">
            <w:pPr>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ascii="宋体" w:hAnsi="宋体" w:cs="宋体"/>
                <w:bCs/>
                <w:color w:val="auto"/>
                <w:szCs w:val="21"/>
                <w:highlight w:val="none"/>
              </w:rPr>
            </w:pPr>
            <w:r>
              <w:rPr>
                <w:rFonts w:hint="eastAsia" w:ascii="宋体" w:hAnsi="宋体" w:cs="宋体"/>
                <w:b/>
                <w:color w:val="auto"/>
                <w:szCs w:val="21"/>
                <w:highlight w:val="none"/>
              </w:rPr>
              <w:t>注：以投标人在投标截止时间前网上递交的电子投标文件为准，逾期提交的，投标文件将被拒绝。</w:t>
            </w:r>
          </w:p>
          <w:p w14:paraId="05EE3A8E">
            <w:pPr>
              <w:keepNext w:val="0"/>
              <w:keepLines w:val="0"/>
              <w:pageBreakBefore w:val="0"/>
              <w:suppressLineNumbers w:val="0"/>
              <w:kinsoku/>
              <w:wordWrap w:val="0"/>
              <w:overflowPunct/>
              <w:autoSpaceDE/>
              <w:autoSpaceDN/>
              <w:bidi w:val="0"/>
              <w:spacing w:before="0" w:beforeAutospacing="0" w:after="0" w:afterAutospacing="0" w:line="440" w:lineRule="exact"/>
              <w:ind w:left="0" w:right="0"/>
              <w:textAlignment w:val="auto"/>
              <w:rPr>
                <w:rFonts w:hint="eastAsia" w:ascii="宋体" w:hAnsi="宋体" w:cs="宋体"/>
                <w:color w:val="auto"/>
                <w:szCs w:val="21"/>
                <w:highlight w:val="none"/>
              </w:rPr>
            </w:pPr>
            <w:r>
              <w:rPr>
                <w:rFonts w:hint="eastAsia" w:ascii="宋体" w:hAnsi="宋体" w:cs="宋体"/>
                <w:color w:val="auto"/>
                <w:szCs w:val="21"/>
                <w:highlight w:val="none"/>
              </w:rPr>
              <w:t>1.解密程序开始后</w:t>
            </w:r>
            <w:r>
              <w:rPr>
                <w:rFonts w:hint="eastAsia" w:ascii="宋体" w:hAnsi="宋体" w:cs="宋体"/>
                <w:bCs/>
                <w:color w:val="auto"/>
                <w:kern w:val="0"/>
                <w:szCs w:val="21"/>
                <w:highlight w:val="none"/>
                <w:u w:val="single"/>
                <w:lang w:val="en-US" w:eastAsia="zh-CN"/>
              </w:rPr>
              <w:t>60</w:t>
            </w:r>
            <w:r>
              <w:rPr>
                <w:rFonts w:hint="eastAsia" w:ascii="宋体" w:hAnsi="宋体" w:cs="宋体"/>
                <w:color w:val="auto"/>
                <w:szCs w:val="21"/>
                <w:highlight w:val="none"/>
              </w:rPr>
              <w:t>分钟内（以本项目网上招投标系统解密倒计时为准）。</w:t>
            </w:r>
          </w:p>
          <w:p w14:paraId="21B0AADF">
            <w:pPr>
              <w:keepNext w:val="0"/>
              <w:keepLines w:val="0"/>
              <w:pageBreakBefore w:val="0"/>
              <w:suppressLineNumbers w:val="0"/>
              <w:kinsoku/>
              <w:wordWrap w:val="0"/>
              <w:overflowPunct/>
              <w:autoSpaceDE/>
              <w:autoSpaceDN/>
              <w:bidi w:val="0"/>
              <w:spacing w:before="0" w:beforeAutospacing="0" w:after="0" w:afterAutospacing="0" w:line="440" w:lineRule="exact"/>
              <w:ind w:left="0" w:right="0"/>
              <w:textAlignment w:val="auto"/>
              <w:rPr>
                <w:rFonts w:hint="eastAsia" w:ascii="宋体" w:hAnsi="宋体" w:cs="宋体"/>
                <w:color w:val="auto"/>
                <w:szCs w:val="21"/>
                <w:highlight w:val="none"/>
              </w:rPr>
            </w:pPr>
            <w:r>
              <w:rPr>
                <w:rFonts w:hint="eastAsia" w:ascii="宋体" w:hAnsi="宋体" w:cs="宋体"/>
                <w:b/>
                <w:bCs/>
                <w:color w:val="auto"/>
                <w:szCs w:val="21"/>
                <w:highlight w:val="none"/>
              </w:rPr>
              <w:t>2.解密时间为</w:t>
            </w:r>
            <w:r>
              <w:rPr>
                <w:rFonts w:hint="eastAsia" w:ascii="宋体" w:hAnsi="宋体" w:cs="宋体"/>
                <w:b/>
                <w:bCs w:val="0"/>
                <w:color w:val="auto"/>
                <w:kern w:val="0"/>
                <w:szCs w:val="21"/>
                <w:highlight w:val="none"/>
                <w:u w:val="single"/>
                <w:lang w:val="en-US" w:eastAsia="zh-CN"/>
              </w:rPr>
              <w:t>2026</w:t>
            </w:r>
            <w:r>
              <w:rPr>
                <w:rFonts w:hint="eastAsia" w:ascii="宋体" w:hAnsi="宋体" w:cs="宋体"/>
                <w:b/>
                <w:bCs w:val="0"/>
                <w:color w:val="auto"/>
                <w:szCs w:val="21"/>
                <w:highlight w:val="none"/>
              </w:rPr>
              <w:t>年</w:t>
            </w:r>
            <w:r>
              <w:rPr>
                <w:rFonts w:hint="eastAsia" w:ascii="宋体" w:hAnsi="宋体" w:cs="宋体"/>
                <w:b/>
                <w:bCs w:val="0"/>
                <w:color w:val="auto"/>
                <w:kern w:val="0"/>
                <w:szCs w:val="21"/>
                <w:highlight w:val="none"/>
                <w:u w:val="single"/>
                <w:lang w:val="en-US" w:eastAsia="zh-CN"/>
              </w:rPr>
              <w:t>10</w:t>
            </w:r>
            <w:r>
              <w:rPr>
                <w:rFonts w:hint="eastAsia" w:ascii="宋体" w:hAnsi="宋体" w:cs="宋体"/>
                <w:b/>
                <w:bCs w:val="0"/>
                <w:color w:val="auto"/>
                <w:szCs w:val="21"/>
                <w:highlight w:val="none"/>
              </w:rPr>
              <w:t>月</w:t>
            </w:r>
            <w:r>
              <w:rPr>
                <w:rFonts w:hint="eastAsia" w:ascii="宋体" w:hAnsi="宋体" w:cs="宋体"/>
                <w:b/>
                <w:bCs w:val="0"/>
                <w:color w:val="auto"/>
                <w:kern w:val="0"/>
                <w:szCs w:val="21"/>
                <w:highlight w:val="none"/>
                <w:u w:val="single"/>
                <w:lang w:val="en-US" w:eastAsia="zh-CN"/>
              </w:rPr>
              <w:t>8</w:t>
            </w:r>
            <w:r>
              <w:rPr>
                <w:rFonts w:hint="eastAsia" w:ascii="宋体" w:hAnsi="宋体" w:cs="宋体"/>
                <w:b/>
                <w:bCs w:val="0"/>
                <w:color w:val="auto"/>
                <w:szCs w:val="21"/>
                <w:highlight w:val="none"/>
              </w:rPr>
              <w:t>日</w:t>
            </w:r>
            <w:r>
              <w:rPr>
                <w:rFonts w:hint="eastAsia" w:ascii="宋体" w:hAnsi="宋体" w:cs="宋体"/>
                <w:b/>
                <w:bCs w:val="0"/>
                <w:color w:val="auto"/>
                <w:kern w:val="0"/>
                <w:szCs w:val="21"/>
                <w:highlight w:val="none"/>
                <w:u w:val="single"/>
                <w:lang w:val="en-US" w:eastAsia="zh-CN"/>
              </w:rPr>
              <w:t>8</w:t>
            </w:r>
            <w:r>
              <w:rPr>
                <w:rFonts w:hint="eastAsia" w:ascii="宋体" w:hAnsi="宋体" w:cs="宋体"/>
                <w:b/>
                <w:bCs w:val="0"/>
                <w:color w:val="auto"/>
                <w:szCs w:val="21"/>
                <w:highlight w:val="none"/>
              </w:rPr>
              <w:t>点</w:t>
            </w:r>
            <w:r>
              <w:rPr>
                <w:rFonts w:hint="eastAsia" w:ascii="宋体" w:hAnsi="宋体" w:cs="宋体"/>
                <w:b/>
                <w:bCs w:val="0"/>
                <w:color w:val="auto"/>
                <w:kern w:val="0"/>
                <w:szCs w:val="21"/>
                <w:highlight w:val="none"/>
                <w:u w:val="single"/>
                <w:lang w:val="en-US" w:eastAsia="zh-CN"/>
              </w:rPr>
              <w:t>30</w:t>
            </w:r>
            <w:r>
              <w:rPr>
                <w:rFonts w:hint="eastAsia" w:ascii="宋体" w:hAnsi="宋体" w:cs="宋体"/>
                <w:b/>
                <w:bCs w:val="0"/>
                <w:color w:val="auto"/>
                <w:szCs w:val="21"/>
                <w:highlight w:val="none"/>
              </w:rPr>
              <w:t>分</w:t>
            </w:r>
            <w:r>
              <w:rPr>
                <w:rFonts w:hint="eastAsia" w:ascii="宋体" w:hAnsi="宋体" w:cs="宋体"/>
                <w:b/>
                <w:bCs/>
                <w:color w:val="auto"/>
                <w:szCs w:val="21"/>
                <w:highlight w:val="none"/>
              </w:rPr>
              <w:t>至</w:t>
            </w:r>
            <w:r>
              <w:rPr>
                <w:rFonts w:hint="eastAsia" w:ascii="宋体" w:hAnsi="宋体" w:cs="宋体"/>
                <w:b/>
                <w:bCs w:val="0"/>
                <w:color w:val="auto"/>
                <w:kern w:val="0"/>
                <w:szCs w:val="21"/>
                <w:highlight w:val="none"/>
                <w:u w:val="single"/>
                <w:lang w:val="en-US" w:eastAsia="zh-CN"/>
              </w:rPr>
              <w:t>2026</w:t>
            </w:r>
            <w:r>
              <w:rPr>
                <w:rFonts w:hint="eastAsia" w:ascii="宋体" w:hAnsi="宋体" w:cs="宋体"/>
                <w:b/>
                <w:bCs w:val="0"/>
                <w:color w:val="auto"/>
                <w:szCs w:val="21"/>
                <w:highlight w:val="none"/>
              </w:rPr>
              <w:t>年</w:t>
            </w:r>
            <w:r>
              <w:rPr>
                <w:rFonts w:hint="eastAsia" w:ascii="宋体" w:hAnsi="宋体" w:cs="宋体"/>
                <w:b/>
                <w:bCs w:val="0"/>
                <w:color w:val="auto"/>
                <w:kern w:val="0"/>
                <w:szCs w:val="21"/>
                <w:highlight w:val="none"/>
                <w:u w:val="single"/>
                <w:lang w:val="en-US" w:eastAsia="zh-CN"/>
              </w:rPr>
              <w:t>10</w:t>
            </w:r>
            <w:r>
              <w:rPr>
                <w:rFonts w:hint="eastAsia" w:ascii="宋体" w:hAnsi="宋体" w:cs="宋体"/>
                <w:b/>
                <w:bCs w:val="0"/>
                <w:color w:val="auto"/>
                <w:szCs w:val="21"/>
                <w:highlight w:val="none"/>
              </w:rPr>
              <w:t>月</w:t>
            </w:r>
            <w:r>
              <w:rPr>
                <w:rFonts w:hint="eastAsia" w:ascii="宋体" w:hAnsi="宋体" w:cs="宋体"/>
                <w:b/>
                <w:bCs w:val="0"/>
                <w:color w:val="auto"/>
                <w:kern w:val="0"/>
                <w:szCs w:val="21"/>
                <w:highlight w:val="none"/>
                <w:u w:val="single"/>
                <w:lang w:val="en-US" w:eastAsia="zh-CN"/>
              </w:rPr>
              <w:t>8</w:t>
            </w:r>
            <w:r>
              <w:rPr>
                <w:rFonts w:hint="eastAsia" w:ascii="宋体" w:hAnsi="宋体" w:cs="宋体"/>
                <w:b/>
                <w:bCs w:val="0"/>
                <w:color w:val="auto"/>
                <w:szCs w:val="21"/>
                <w:highlight w:val="none"/>
              </w:rPr>
              <w:t>日</w:t>
            </w:r>
            <w:r>
              <w:rPr>
                <w:rFonts w:hint="eastAsia" w:ascii="宋体" w:hAnsi="宋体" w:cs="宋体"/>
                <w:b/>
                <w:bCs w:val="0"/>
                <w:color w:val="auto"/>
                <w:kern w:val="0"/>
                <w:szCs w:val="21"/>
                <w:highlight w:val="none"/>
                <w:u w:val="single"/>
                <w:lang w:val="en-US" w:eastAsia="zh-CN"/>
              </w:rPr>
              <w:t>9</w:t>
            </w:r>
            <w:r>
              <w:rPr>
                <w:rFonts w:hint="eastAsia" w:ascii="宋体" w:hAnsi="宋体" w:cs="宋体"/>
                <w:b/>
                <w:bCs w:val="0"/>
                <w:color w:val="auto"/>
                <w:szCs w:val="21"/>
                <w:highlight w:val="none"/>
              </w:rPr>
              <w:t>点</w:t>
            </w:r>
            <w:r>
              <w:rPr>
                <w:rFonts w:hint="eastAsia" w:ascii="宋体" w:hAnsi="宋体" w:cs="宋体"/>
                <w:b/>
                <w:bCs w:val="0"/>
                <w:color w:val="auto"/>
                <w:kern w:val="0"/>
                <w:szCs w:val="21"/>
                <w:highlight w:val="none"/>
                <w:u w:val="single"/>
                <w:lang w:val="en-US" w:eastAsia="zh-CN"/>
              </w:rPr>
              <w:t>30</w:t>
            </w:r>
            <w:r>
              <w:rPr>
                <w:rFonts w:hint="eastAsia" w:ascii="宋体" w:hAnsi="宋体" w:cs="宋体"/>
                <w:b/>
                <w:bCs w:val="0"/>
                <w:color w:val="auto"/>
                <w:szCs w:val="21"/>
                <w:highlight w:val="none"/>
              </w:rPr>
              <w:t>分</w:t>
            </w:r>
            <w:r>
              <w:rPr>
                <w:rFonts w:hint="eastAsia" w:ascii="宋体" w:hAnsi="宋体" w:cs="宋体"/>
                <w:b/>
                <w:bCs/>
                <w:color w:val="auto"/>
                <w:szCs w:val="21"/>
                <w:highlight w:val="none"/>
              </w:rPr>
              <w:t>。</w:t>
            </w:r>
          </w:p>
        </w:tc>
      </w:tr>
      <w:tr w14:paraId="04C347C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93" w:hRule="atLeast"/>
        </w:trPr>
        <w:tc>
          <w:tcPr>
            <w:tcW w:w="1036" w:type="dxa"/>
            <w:noWrap w:val="0"/>
            <w:vAlign w:val="center"/>
          </w:tcPr>
          <w:p w14:paraId="4BBB3C55">
            <w:pPr>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26.1</w:t>
            </w:r>
          </w:p>
        </w:tc>
        <w:tc>
          <w:tcPr>
            <w:tcW w:w="2114" w:type="dxa"/>
            <w:gridSpan w:val="2"/>
            <w:noWrap w:val="0"/>
            <w:vAlign w:val="center"/>
          </w:tcPr>
          <w:p w14:paraId="3EE5B695">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是否退还投标文件</w:t>
            </w:r>
          </w:p>
        </w:tc>
        <w:tc>
          <w:tcPr>
            <w:tcW w:w="6688" w:type="dxa"/>
            <w:noWrap w:val="0"/>
            <w:vAlign w:val="center"/>
          </w:tcPr>
          <w:p w14:paraId="5EF17017">
            <w:pPr>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否</w:t>
            </w:r>
          </w:p>
        </w:tc>
      </w:tr>
      <w:tr w14:paraId="5F42ED8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6" w:hRule="atLeast"/>
        </w:trPr>
        <w:tc>
          <w:tcPr>
            <w:tcW w:w="1036" w:type="dxa"/>
            <w:noWrap w:val="0"/>
            <w:vAlign w:val="center"/>
          </w:tcPr>
          <w:p w14:paraId="04189700">
            <w:pPr>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27.1</w:t>
            </w:r>
          </w:p>
        </w:tc>
        <w:tc>
          <w:tcPr>
            <w:tcW w:w="2114" w:type="dxa"/>
            <w:gridSpan w:val="2"/>
            <w:noWrap w:val="0"/>
            <w:vAlign w:val="center"/>
          </w:tcPr>
          <w:p w14:paraId="16C48CBD">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开标时间及地点</w:t>
            </w:r>
          </w:p>
        </w:tc>
        <w:tc>
          <w:tcPr>
            <w:tcW w:w="6688" w:type="dxa"/>
            <w:noWrap w:val="0"/>
            <w:vAlign w:val="center"/>
          </w:tcPr>
          <w:p w14:paraId="646D5244">
            <w:pPr>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ascii="宋体" w:hAnsi="宋体" w:cs="宋体"/>
                <w:color w:val="auto"/>
                <w:szCs w:val="21"/>
                <w:highlight w:val="none"/>
              </w:rPr>
            </w:pPr>
            <w:r>
              <w:rPr>
                <w:rFonts w:hint="eastAsia" w:ascii="宋体" w:hAnsi="宋体" w:cs="宋体"/>
                <w:color w:val="auto"/>
                <w:highlight w:val="none"/>
              </w:rPr>
              <w:t>详见第一章“招标公告”</w:t>
            </w:r>
          </w:p>
        </w:tc>
      </w:tr>
      <w:tr w14:paraId="6EF8937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10" w:hRule="atLeast"/>
        </w:trPr>
        <w:tc>
          <w:tcPr>
            <w:tcW w:w="1036" w:type="dxa"/>
            <w:noWrap w:val="0"/>
            <w:vAlign w:val="center"/>
          </w:tcPr>
          <w:p w14:paraId="3CB2F7A8">
            <w:pPr>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27.3</w:t>
            </w:r>
          </w:p>
        </w:tc>
        <w:tc>
          <w:tcPr>
            <w:tcW w:w="2114" w:type="dxa"/>
            <w:gridSpan w:val="2"/>
            <w:noWrap w:val="0"/>
            <w:vAlign w:val="center"/>
          </w:tcPr>
          <w:p w14:paraId="406EED61">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开标程序</w:t>
            </w:r>
          </w:p>
        </w:tc>
        <w:tc>
          <w:tcPr>
            <w:tcW w:w="6688" w:type="dxa"/>
            <w:noWrap w:val="0"/>
            <w:vAlign w:val="center"/>
          </w:tcPr>
          <w:p w14:paraId="1589FB56">
            <w:pPr>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ascii="宋体" w:hAnsi="宋体" w:cs="宋体"/>
                <w:color w:val="auto"/>
                <w:szCs w:val="21"/>
                <w:highlight w:val="none"/>
              </w:rPr>
            </w:pPr>
            <w:r>
              <w:rPr>
                <w:rFonts w:hint="eastAsia" w:ascii="宋体" w:hAnsi="宋体" w:cs="宋体"/>
                <w:color w:val="auto"/>
                <w:szCs w:val="21"/>
                <w:highlight w:val="none"/>
              </w:rPr>
              <w:t>开标顺序：解密电子投标文件后，由评标委员会评审。</w:t>
            </w:r>
          </w:p>
        </w:tc>
      </w:tr>
      <w:tr w14:paraId="74AE1C5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4" w:hRule="atLeast"/>
        </w:trPr>
        <w:tc>
          <w:tcPr>
            <w:tcW w:w="1036" w:type="dxa"/>
            <w:noWrap w:val="0"/>
            <w:vAlign w:val="center"/>
          </w:tcPr>
          <w:p w14:paraId="46411E6D">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28.1</w:t>
            </w:r>
          </w:p>
        </w:tc>
        <w:tc>
          <w:tcPr>
            <w:tcW w:w="2114" w:type="dxa"/>
            <w:gridSpan w:val="2"/>
            <w:noWrap w:val="0"/>
            <w:vAlign w:val="center"/>
          </w:tcPr>
          <w:p w14:paraId="5C420D2B">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评标委员会的组建</w:t>
            </w:r>
          </w:p>
        </w:tc>
        <w:tc>
          <w:tcPr>
            <w:tcW w:w="6688" w:type="dxa"/>
            <w:noWrap w:val="0"/>
            <w:vAlign w:val="top"/>
          </w:tcPr>
          <w:p w14:paraId="66DB5252">
            <w:pPr>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ascii="宋体" w:hAnsi="宋体" w:cs="宋体"/>
                <w:color w:val="auto"/>
                <w:szCs w:val="21"/>
                <w:highlight w:val="none"/>
              </w:rPr>
            </w:pPr>
            <w:r>
              <w:rPr>
                <w:rFonts w:hint="eastAsia" w:ascii="宋体" w:hAnsi="宋体" w:cs="宋体"/>
                <w:color w:val="auto"/>
                <w:szCs w:val="21"/>
                <w:highlight w:val="none"/>
              </w:rPr>
              <w:t>评标委员会的构成：</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人，其中招标人代表</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人，评标专家</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人</w:t>
            </w:r>
            <w:r>
              <w:rPr>
                <w:rFonts w:hint="eastAsia" w:ascii="宋体" w:hAnsi="宋体" w:cs="宋体"/>
                <w:color w:val="auto"/>
                <w:szCs w:val="21"/>
                <w:highlight w:val="none"/>
                <w:lang w:val="en-US" w:eastAsia="zh-CN"/>
              </w:rPr>
              <w:t xml:space="preserve">； </w:t>
            </w:r>
          </w:p>
          <w:p w14:paraId="084086F1">
            <w:pPr>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ascii="宋体" w:hAnsi="宋体" w:cs="宋体"/>
                <w:color w:val="auto"/>
                <w:szCs w:val="21"/>
                <w:highlight w:val="none"/>
              </w:rPr>
            </w:pPr>
            <w:r>
              <w:rPr>
                <w:rFonts w:hint="eastAsia" w:ascii="宋体" w:hAnsi="宋体" w:cs="宋体"/>
                <w:color w:val="auto"/>
                <w:szCs w:val="21"/>
                <w:highlight w:val="none"/>
              </w:rPr>
              <w:t>评标专家确定方式：</w:t>
            </w:r>
            <w:r>
              <w:rPr>
                <w:rFonts w:hint="eastAsia" w:ascii="宋体" w:hAnsi="宋体" w:eastAsia="宋体" w:cs="宋体"/>
                <w:color w:val="auto"/>
                <w:spacing w:val="-4"/>
                <w:kern w:val="0"/>
                <w:szCs w:val="21"/>
                <w:highlight w:val="none"/>
                <w:lang w:eastAsia="zh-CN"/>
              </w:rPr>
              <w:t>评标专家由招标人在评标活动开始前</w:t>
            </w:r>
            <w:r>
              <w:rPr>
                <w:rFonts w:hint="eastAsia" w:ascii="宋体" w:hAnsi="宋体" w:eastAsia="宋体" w:cs="宋体"/>
                <w:color w:val="auto"/>
                <w:spacing w:val="-4"/>
                <w:kern w:val="0"/>
                <w:szCs w:val="21"/>
                <w:highlight w:val="none"/>
                <w:lang w:val="en-US" w:eastAsia="zh-CN"/>
              </w:rPr>
              <w:t>24小时内，通过抽取终端从专家库中随机抽取。</w:t>
            </w:r>
            <w:r>
              <w:rPr>
                <w:rFonts w:hint="eastAsia" w:ascii="宋体" w:hAnsi="宋体" w:cs="宋体"/>
                <w:color w:val="auto"/>
                <w:szCs w:val="21"/>
                <w:highlight w:val="none"/>
                <w:lang w:val="en-US" w:eastAsia="zh-CN"/>
              </w:rPr>
              <w:t xml:space="preserve"> </w:t>
            </w:r>
          </w:p>
        </w:tc>
      </w:tr>
      <w:tr w14:paraId="3FEADE1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94" w:hRule="atLeast"/>
        </w:trPr>
        <w:tc>
          <w:tcPr>
            <w:tcW w:w="1036" w:type="dxa"/>
            <w:noWrap w:val="0"/>
            <w:vAlign w:val="center"/>
          </w:tcPr>
          <w:p w14:paraId="57BFC173">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30.1.1</w:t>
            </w:r>
          </w:p>
        </w:tc>
        <w:tc>
          <w:tcPr>
            <w:tcW w:w="2114" w:type="dxa"/>
            <w:gridSpan w:val="2"/>
            <w:noWrap w:val="0"/>
            <w:vAlign w:val="center"/>
          </w:tcPr>
          <w:p w14:paraId="42C87469">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是否授权评标委员会确定中标候选人</w:t>
            </w:r>
          </w:p>
        </w:tc>
        <w:tc>
          <w:tcPr>
            <w:tcW w:w="6688" w:type="dxa"/>
            <w:noWrap w:val="0"/>
            <w:vAlign w:val="center"/>
          </w:tcPr>
          <w:p w14:paraId="2C5A3A42">
            <w:pPr>
              <w:pStyle w:val="19"/>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hAnsi="宋体" w:eastAsia="宋体" w:cs="宋体"/>
                <w:color w:val="auto"/>
                <w:szCs w:val="21"/>
                <w:highlight w:val="none"/>
                <w:lang w:val="en-US" w:eastAsia="zh-CN"/>
              </w:rPr>
            </w:pPr>
            <w:r>
              <w:rPr>
                <w:rFonts w:hint="eastAsia" w:hAnsi="宋体" w:eastAsia="宋体" w:cs="宋体"/>
                <w:color w:val="auto"/>
                <w:szCs w:val="21"/>
                <w:highlight w:val="none"/>
                <w:lang w:val="en-US" w:eastAsia="zh-CN"/>
              </w:rPr>
              <w:t>是。</w:t>
            </w:r>
          </w:p>
          <w:p w14:paraId="6B7332DA">
            <w:pPr>
              <w:pStyle w:val="19"/>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default" w:hAnsi="宋体" w:eastAsia="宋体" w:cs="宋体"/>
                <w:color w:val="auto"/>
                <w:szCs w:val="21"/>
                <w:highlight w:val="none"/>
                <w:lang w:val="en-US" w:eastAsia="zh-CN"/>
              </w:rPr>
            </w:pPr>
            <w:r>
              <w:rPr>
                <w:rFonts w:hint="eastAsia" w:hAnsi="宋体" w:cs="宋体"/>
                <w:color w:val="auto"/>
                <w:szCs w:val="21"/>
                <w:highlight w:val="none"/>
              </w:rPr>
              <w:t>中标候选人</w:t>
            </w:r>
            <w:r>
              <w:rPr>
                <w:rFonts w:hint="eastAsia" w:hAnsi="宋体" w:cs="宋体"/>
                <w:color w:val="auto"/>
                <w:szCs w:val="21"/>
                <w:highlight w:val="none"/>
                <w:lang w:val="en-US" w:eastAsia="zh-CN"/>
              </w:rPr>
              <w:t>数量：</w:t>
            </w:r>
            <w:r>
              <w:rPr>
                <w:rFonts w:hint="eastAsia" w:hAnsi="宋体" w:eastAsia="宋体" w:cs="宋体"/>
                <w:color w:val="auto"/>
                <w:szCs w:val="21"/>
                <w:highlight w:val="none"/>
                <w:lang w:val="en-US" w:eastAsia="zh-CN"/>
              </w:rPr>
              <w:t>3名，并标明排序。</w:t>
            </w:r>
          </w:p>
        </w:tc>
      </w:tr>
      <w:tr w14:paraId="0CE0DE4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40" w:hRule="atLeast"/>
        </w:trPr>
        <w:tc>
          <w:tcPr>
            <w:tcW w:w="1036" w:type="dxa"/>
            <w:noWrap w:val="0"/>
            <w:vAlign w:val="center"/>
          </w:tcPr>
          <w:p w14:paraId="095E0BAF">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hAnsi="宋体" w:cs="宋体"/>
                <w:color w:val="auto"/>
                <w:szCs w:val="21"/>
                <w:highlight w:val="none"/>
              </w:rPr>
            </w:pPr>
            <w:r>
              <w:rPr>
                <w:rFonts w:hint="eastAsia" w:hAnsi="宋体" w:cs="宋体"/>
                <w:color w:val="auto"/>
                <w:szCs w:val="21"/>
                <w:highlight w:val="none"/>
              </w:rPr>
              <w:t>30.1.2</w:t>
            </w:r>
          </w:p>
        </w:tc>
        <w:tc>
          <w:tcPr>
            <w:tcW w:w="2114" w:type="dxa"/>
            <w:gridSpan w:val="2"/>
            <w:noWrap w:val="0"/>
            <w:vAlign w:val="center"/>
          </w:tcPr>
          <w:p w14:paraId="4F2B9D15">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中标结果公告媒介</w:t>
            </w:r>
          </w:p>
        </w:tc>
        <w:tc>
          <w:tcPr>
            <w:tcW w:w="6688" w:type="dxa"/>
            <w:noWrap w:val="0"/>
            <w:vAlign w:val="top"/>
          </w:tcPr>
          <w:p w14:paraId="75CD6A4E">
            <w:pPr>
              <w:pStyle w:val="19"/>
              <w:keepNext w:val="0"/>
              <w:keepLines w:val="0"/>
              <w:pageBreakBefore w:val="0"/>
              <w:suppressLineNumbers w:val="0"/>
              <w:kinsoku/>
              <w:wordWrap w:val="0"/>
              <w:overflowPunct/>
              <w:autoSpaceDE/>
              <w:autoSpaceDN/>
              <w:bidi w:val="0"/>
              <w:spacing w:before="0" w:beforeAutospacing="0" w:after="0" w:afterAutospacing="0" w:line="440" w:lineRule="exact"/>
              <w:ind w:left="0" w:right="0"/>
              <w:textAlignment w:val="auto"/>
              <w:rPr>
                <w:rFonts w:hint="eastAsia" w:hAnsi="宋体" w:eastAsia="宋体" w:cs="宋体"/>
                <w:color w:val="auto"/>
                <w:spacing w:val="-4"/>
                <w:szCs w:val="21"/>
                <w:highlight w:val="none"/>
                <w:lang w:eastAsia="zh-CN"/>
              </w:rPr>
            </w:pPr>
            <w:r>
              <w:rPr>
                <w:rFonts w:hint="eastAsia" w:hAnsi="宋体" w:cs="宋体"/>
                <w:color w:val="auto"/>
                <w:spacing w:val="-4"/>
                <w:szCs w:val="21"/>
                <w:highlight w:val="none"/>
              </w:rPr>
              <w:t>滁州市公共资源交易中心（</w:t>
            </w:r>
            <w:r>
              <w:rPr>
                <w:rFonts w:hint="eastAsia" w:hAnsi="宋体" w:cs="宋体"/>
                <w:color w:val="auto"/>
                <w:szCs w:val="21"/>
                <w:highlight w:val="none"/>
                <w:u w:val="single"/>
              </w:rPr>
              <w:t>http://ggzy.chuzhou.gov.cn/</w:t>
            </w:r>
            <w:r>
              <w:rPr>
                <w:rFonts w:hint="eastAsia" w:hAnsi="宋体" w:cs="宋体"/>
                <w:color w:val="auto"/>
                <w:spacing w:val="-4"/>
                <w:szCs w:val="21"/>
                <w:highlight w:val="none"/>
              </w:rPr>
              <w:t>）等网站</w:t>
            </w:r>
            <w:r>
              <w:rPr>
                <w:rFonts w:hint="eastAsia" w:hAnsi="宋体" w:cs="宋体"/>
                <w:color w:val="auto"/>
                <w:spacing w:val="-4"/>
                <w:szCs w:val="21"/>
                <w:highlight w:val="none"/>
                <w:lang w:eastAsia="zh-CN"/>
              </w:rPr>
              <w:t>。</w:t>
            </w:r>
          </w:p>
        </w:tc>
      </w:tr>
      <w:tr w14:paraId="2B9AE0E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25" w:hRule="atLeast"/>
        </w:trPr>
        <w:tc>
          <w:tcPr>
            <w:tcW w:w="1036" w:type="dxa"/>
            <w:noWrap w:val="0"/>
            <w:vAlign w:val="center"/>
          </w:tcPr>
          <w:p w14:paraId="34C59872">
            <w:pPr>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30.2</w:t>
            </w:r>
          </w:p>
        </w:tc>
        <w:tc>
          <w:tcPr>
            <w:tcW w:w="2114" w:type="dxa"/>
            <w:gridSpan w:val="2"/>
            <w:noWrap w:val="0"/>
            <w:vAlign w:val="center"/>
          </w:tcPr>
          <w:p w14:paraId="68A92D87">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中标通知书</w:t>
            </w:r>
          </w:p>
        </w:tc>
        <w:tc>
          <w:tcPr>
            <w:tcW w:w="6688" w:type="dxa"/>
            <w:noWrap w:val="0"/>
            <w:vAlign w:val="center"/>
          </w:tcPr>
          <w:p w14:paraId="3EB0F2D5">
            <w:pPr>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ascii="宋体" w:hAnsi="宋体" w:cs="宋体"/>
                <w:color w:val="auto"/>
                <w:szCs w:val="21"/>
                <w:highlight w:val="none"/>
              </w:rPr>
            </w:pPr>
            <w:r>
              <w:rPr>
                <w:rFonts w:hint="eastAsia" w:ascii="宋体" w:hAnsi="宋体" w:cs="宋体"/>
                <w:color w:val="auto"/>
                <w:szCs w:val="21"/>
                <w:highlight w:val="none"/>
              </w:rPr>
              <w:t>发出形式：数据电文</w:t>
            </w:r>
          </w:p>
          <w:p w14:paraId="3C0A9E5D">
            <w:pPr>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ascii="宋体" w:hAnsi="宋体" w:cs="宋体"/>
                <w:color w:val="auto"/>
                <w:szCs w:val="21"/>
                <w:highlight w:val="none"/>
              </w:rPr>
            </w:pPr>
            <w:r>
              <w:rPr>
                <w:rFonts w:hint="eastAsia" w:ascii="宋体" w:hAnsi="宋体" w:cs="宋体"/>
                <w:color w:val="auto"/>
                <w:szCs w:val="21"/>
                <w:highlight w:val="none"/>
              </w:rPr>
              <w:t>中标通知书须加盖公共资源交易中心见证章后方可发出。</w:t>
            </w:r>
          </w:p>
        </w:tc>
      </w:tr>
      <w:tr w14:paraId="5E81CCE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94" w:hRule="atLeast"/>
        </w:trPr>
        <w:tc>
          <w:tcPr>
            <w:tcW w:w="1036" w:type="dxa"/>
            <w:noWrap w:val="0"/>
            <w:vAlign w:val="center"/>
          </w:tcPr>
          <w:p w14:paraId="04F4E6AB">
            <w:pPr>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34.1</w:t>
            </w:r>
          </w:p>
        </w:tc>
        <w:tc>
          <w:tcPr>
            <w:tcW w:w="2114" w:type="dxa"/>
            <w:gridSpan w:val="2"/>
            <w:noWrap w:val="0"/>
            <w:vAlign w:val="center"/>
          </w:tcPr>
          <w:p w14:paraId="032098F5">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履约担保</w:t>
            </w:r>
          </w:p>
        </w:tc>
        <w:tc>
          <w:tcPr>
            <w:tcW w:w="6688" w:type="dxa"/>
            <w:noWrap w:val="0"/>
            <w:vAlign w:val="center"/>
          </w:tcPr>
          <w:p w14:paraId="3300B157">
            <w:pPr>
              <w:keepNext w:val="0"/>
              <w:keepLines w:val="0"/>
              <w:pageBreakBefore w:val="0"/>
              <w:widowControl w:val="0"/>
              <w:suppressLineNumbers w:val="0"/>
              <w:kinsoku/>
              <w:wordWrap w:val="0"/>
              <w:overflowPunct/>
              <w:autoSpaceDE/>
              <w:autoSpaceDN/>
              <w:bidi w:val="0"/>
              <w:spacing w:before="0" w:beforeAutospacing="0" w:after="0" w:afterAutospacing="0" w:line="500" w:lineRule="exact"/>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是否收取履约担保：收取。</w:t>
            </w:r>
          </w:p>
          <w:p w14:paraId="33C0F33E">
            <w:pPr>
              <w:keepNext w:val="0"/>
              <w:keepLines w:val="0"/>
              <w:pageBreakBefore w:val="0"/>
              <w:widowControl w:val="0"/>
              <w:suppressLineNumbers w:val="0"/>
              <w:kinsoku/>
              <w:wordWrap w:val="0"/>
              <w:overflowPunct/>
              <w:autoSpaceDE/>
              <w:autoSpaceDN/>
              <w:bidi w:val="0"/>
              <w:spacing w:before="0" w:beforeAutospacing="0" w:after="0" w:afterAutospacing="0" w:line="500" w:lineRule="exact"/>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（1）金额：10万元；</w:t>
            </w:r>
          </w:p>
          <w:p w14:paraId="36D772F6">
            <w:pPr>
              <w:keepNext w:val="0"/>
              <w:keepLines w:val="0"/>
              <w:pageBreakBefore w:val="0"/>
              <w:widowControl w:val="0"/>
              <w:suppressLineNumbers w:val="0"/>
              <w:kinsoku/>
              <w:wordWrap w:val="0"/>
              <w:overflowPunct/>
              <w:autoSpaceDE/>
              <w:autoSpaceDN/>
              <w:bidi w:val="0"/>
              <w:spacing w:before="0" w:beforeAutospacing="0" w:after="0" w:afterAutospacing="0" w:line="500" w:lineRule="exact"/>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（2）支付方式：</w:t>
            </w:r>
          </w:p>
          <w:p w14:paraId="0ACC15EA">
            <w:pPr>
              <w:keepNext w:val="0"/>
              <w:keepLines w:val="0"/>
              <w:pageBreakBefore w:val="0"/>
              <w:widowControl w:val="0"/>
              <w:suppressLineNumbers w:val="0"/>
              <w:kinsoku/>
              <w:wordWrap w:val="0"/>
              <w:overflowPunct/>
              <w:autoSpaceDE/>
              <w:autoSpaceDN/>
              <w:bidi w:val="0"/>
              <w:spacing w:before="0" w:beforeAutospacing="0" w:after="0" w:afterAutospacing="0" w:line="500" w:lineRule="exact"/>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☑转账/电汇□支票□汇票□本票☑保险☑保函</w:t>
            </w:r>
          </w:p>
          <w:p w14:paraId="198677CF">
            <w:pPr>
              <w:keepNext w:val="0"/>
              <w:keepLines w:val="0"/>
              <w:pageBreakBefore w:val="0"/>
              <w:widowControl w:val="0"/>
              <w:suppressLineNumbers w:val="0"/>
              <w:kinsoku/>
              <w:wordWrap w:val="0"/>
              <w:overflowPunct/>
              <w:autoSpaceDE/>
              <w:autoSpaceDN/>
              <w:bidi w:val="0"/>
              <w:spacing w:before="0" w:beforeAutospacing="0" w:after="0" w:afterAutospacing="0" w:line="500" w:lineRule="exact"/>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（3）收取单位：另行通知</w:t>
            </w:r>
          </w:p>
          <w:p w14:paraId="04F5F5DF">
            <w:pPr>
              <w:keepNext w:val="0"/>
              <w:keepLines w:val="0"/>
              <w:pageBreakBefore w:val="0"/>
              <w:widowControl w:val="0"/>
              <w:suppressLineNumbers w:val="0"/>
              <w:kinsoku/>
              <w:wordWrap w:val="0"/>
              <w:overflowPunct/>
              <w:autoSpaceDE/>
              <w:autoSpaceDN/>
              <w:bidi w:val="0"/>
              <w:spacing w:before="0" w:beforeAutospacing="0" w:after="0" w:afterAutospacing="0" w:line="500" w:lineRule="exact"/>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（4）收取账号：另行通知</w:t>
            </w:r>
          </w:p>
          <w:p w14:paraId="1D7FE15E">
            <w:pPr>
              <w:keepNext w:val="0"/>
              <w:keepLines w:val="0"/>
              <w:pageBreakBefore w:val="0"/>
              <w:widowControl w:val="0"/>
              <w:suppressLineNumbers w:val="0"/>
              <w:kinsoku/>
              <w:wordWrap w:val="0"/>
              <w:overflowPunct/>
              <w:autoSpaceDE/>
              <w:autoSpaceDN/>
              <w:bidi w:val="0"/>
              <w:spacing w:before="0" w:beforeAutospacing="0" w:after="0" w:afterAutospacing="0" w:line="500" w:lineRule="exact"/>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（5）退还时间：①采用银行转账方式：全部服务内容完成并撤场后，一次性退还；②采用支票、汇票、本票、保函等方式：有效期为自合同签订之日起至全部服务期满。</w:t>
            </w:r>
          </w:p>
          <w:p w14:paraId="2C51A3E9">
            <w:pPr>
              <w:keepNext w:val="0"/>
              <w:keepLines w:val="0"/>
              <w:pageBreakBefore w:val="0"/>
              <w:widowControl w:val="0"/>
              <w:suppressLineNumbers w:val="0"/>
              <w:kinsoku/>
              <w:wordWrap w:val="0"/>
              <w:overflowPunct/>
              <w:autoSpaceDE/>
              <w:autoSpaceDN/>
              <w:bidi w:val="0"/>
              <w:spacing w:before="0" w:beforeAutospacing="0" w:after="0" w:afterAutospacing="0" w:line="500" w:lineRule="exact"/>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注意事项：</w:t>
            </w:r>
          </w:p>
          <w:p w14:paraId="67CE2766">
            <w:pPr>
              <w:keepNext w:val="0"/>
              <w:keepLines w:val="0"/>
              <w:pageBreakBefore w:val="0"/>
              <w:widowControl w:val="0"/>
              <w:suppressLineNumbers w:val="0"/>
              <w:kinsoku/>
              <w:wordWrap w:val="0"/>
              <w:overflowPunct/>
              <w:autoSpaceDE/>
              <w:autoSpaceDN/>
              <w:bidi w:val="0"/>
              <w:spacing w:before="0" w:beforeAutospacing="0" w:after="0" w:afterAutospacing="0" w:line="500" w:lineRule="exact"/>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（1）以上各类机构出具的以担保函、保证保险承担责任的方式均须满足无条件见索即付条件。</w:t>
            </w:r>
          </w:p>
          <w:p w14:paraId="5603851F">
            <w:pPr>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ascii="宋体" w:hAnsi="宋体" w:cs="宋体"/>
                <w:color w:val="auto"/>
                <w:highlight w:val="none"/>
              </w:rPr>
            </w:pPr>
            <w:r>
              <w:rPr>
                <w:rFonts w:hint="eastAsia" w:ascii="宋体" w:hAnsi="宋体" w:eastAsia="宋体" w:cs="宋体"/>
                <w:color w:val="auto"/>
                <w:sz w:val="21"/>
                <w:szCs w:val="21"/>
                <w:highlight w:val="none"/>
                <w:lang w:val="en-US" w:eastAsia="zh-CN"/>
              </w:rPr>
              <w:t>（2）以担保函、保证保险形式缴纳履约保证金的，受益人和收取单位须为采购人。中标人在招投标活动中违反招投标相关规定或招标文件要求，给招标人、代理机构造成损失的，利益受损方可向中标人主张赔偿责任，同时中标人的失信行为将被纳入诚信记录</w:t>
            </w:r>
            <w:r>
              <w:rPr>
                <w:rFonts w:hint="eastAsia" w:ascii="宋体" w:hAnsi="宋体" w:cs="宋体"/>
                <w:color w:val="auto"/>
                <w:highlight w:val="none"/>
              </w:rPr>
              <w:t xml:space="preserve">。 </w:t>
            </w:r>
          </w:p>
        </w:tc>
      </w:tr>
      <w:tr w14:paraId="5328E60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94" w:hRule="atLeast"/>
        </w:trPr>
        <w:tc>
          <w:tcPr>
            <w:tcW w:w="1036" w:type="dxa"/>
            <w:noWrap w:val="0"/>
            <w:vAlign w:val="center"/>
          </w:tcPr>
          <w:p w14:paraId="1F0A51AB">
            <w:pPr>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39.2</w:t>
            </w:r>
          </w:p>
        </w:tc>
        <w:tc>
          <w:tcPr>
            <w:tcW w:w="2114" w:type="dxa"/>
            <w:gridSpan w:val="2"/>
            <w:noWrap w:val="0"/>
            <w:vAlign w:val="center"/>
          </w:tcPr>
          <w:p w14:paraId="6203AA1E">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投标人对招标文件提出</w:t>
            </w:r>
            <w:r>
              <w:rPr>
                <w:rFonts w:hint="eastAsia" w:ascii="宋体" w:hAnsi="宋体" w:cs="宋体"/>
                <w:color w:val="auto"/>
                <w:szCs w:val="21"/>
                <w:highlight w:val="none"/>
                <w:u w:val="single"/>
              </w:rPr>
              <w:t>质疑</w:t>
            </w:r>
            <w:r>
              <w:rPr>
                <w:rFonts w:hint="eastAsia" w:ascii="宋体" w:hAnsi="宋体" w:cs="宋体"/>
                <w:color w:val="auto"/>
                <w:szCs w:val="21"/>
                <w:highlight w:val="none"/>
              </w:rPr>
              <w:t>的截止时间及方式</w:t>
            </w:r>
          </w:p>
        </w:tc>
        <w:tc>
          <w:tcPr>
            <w:tcW w:w="6688" w:type="dxa"/>
            <w:noWrap w:val="0"/>
            <w:vAlign w:val="center"/>
          </w:tcPr>
          <w:p w14:paraId="1F980D4D">
            <w:pPr>
              <w:keepNext w:val="0"/>
              <w:keepLines w:val="0"/>
              <w:pageBreakBefore w:val="0"/>
              <w:widowControl/>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u w:val="single"/>
              </w:rPr>
              <w:t>如投标人对招标文件有异议，请于</w:t>
            </w:r>
            <w:r>
              <w:rPr>
                <w:rFonts w:hint="eastAsia" w:ascii="宋体" w:hAnsi="宋体" w:cs="宋体"/>
                <w:color w:val="auto"/>
                <w:szCs w:val="21"/>
                <w:highlight w:val="none"/>
                <w:u w:val="single"/>
                <w:lang w:val="en-US" w:eastAsia="zh-CN"/>
              </w:rPr>
              <w:t>2026</w:t>
            </w:r>
            <w:r>
              <w:rPr>
                <w:rFonts w:hint="eastAsia" w:ascii="宋体" w:hAnsi="宋体" w:cs="宋体"/>
                <w:color w:val="auto"/>
                <w:szCs w:val="21"/>
                <w:highlight w:val="none"/>
                <w:u w:val="single"/>
              </w:rPr>
              <w:t>年</w:t>
            </w:r>
            <w:r>
              <w:rPr>
                <w:rFonts w:hint="eastAsia" w:ascii="宋体" w:hAnsi="宋体" w:cs="宋体"/>
                <w:color w:val="auto"/>
                <w:szCs w:val="21"/>
                <w:highlight w:val="none"/>
                <w:u w:val="single"/>
                <w:lang w:val="en-US" w:eastAsia="zh-CN"/>
              </w:rPr>
              <w:t>9</w:t>
            </w:r>
            <w:r>
              <w:rPr>
                <w:rFonts w:hint="eastAsia" w:ascii="宋体" w:hAnsi="宋体" w:cs="宋体"/>
                <w:color w:val="auto"/>
                <w:szCs w:val="21"/>
                <w:highlight w:val="none"/>
                <w:u w:val="single"/>
              </w:rPr>
              <w:t>月</w:t>
            </w:r>
            <w:r>
              <w:rPr>
                <w:rFonts w:hint="eastAsia" w:ascii="宋体" w:hAnsi="宋体" w:cs="宋体"/>
                <w:color w:val="auto"/>
                <w:szCs w:val="21"/>
                <w:highlight w:val="none"/>
                <w:u w:val="single"/>
                <w:lang w:val="en-US" w:eastAsia="zh-CN"/>
              </w:rPr>
              <w:t>28</w:t>
            </w:r>
            <w:r>
              <w:rPr>
                <w:rFonts w:hint="eastAsia" w:ascii="宋体" w:hAnsi="宋体" w:cs="宋体"/>
                <w:color w:val="auto"/>
                <w:szCs w:val="21"/>
                <w:highlight w:val="none"/>
                <w:u w:val="single"/>
              </w:rPr>
              <w:t>日</w:t>
            </w:r>
            <w:r>
              <w:rPr>
                <w:rFonts w:hint="eastAsia" w:ascii="宋体" w:hAnsi="宋体" w:cs="宋体"/>
                <w:color w:val="auto"/>
                <w:szCs w:val="21"/>
                <w:highlight w:val="none"/>
                <w:u w:val="single"/>
                <w:lang w:val="en-US" w:eastAsia="zh-CN"/>
              </w:rPr>
              <w:t>08</w:t>
            </w:r>
            <w:r>
              <w:rPr>
                <w:rFonts w:hint="eastAsia" w:ascii="宋体" w:hAnsi="宋体" w:cs="宋体"/>
                <w:color w:val="auto"/>
                <w:szCs w:val="21"/>
                <w:highlight w:val="none"/>
                <w:u w:val="single"/>
              </w:rPr>
              <w:t>时</w:t>
            </w:r>
            <w:r>
              <w:rPr>
                <w:rFonts w:hint="eastAsia" w:ascii="宋体" w:hAnsi="宋体" w:cs="宋体"/>
                <w:color w:val="auto"/>
                <w:szCs w:val="21"/>
                <w:highlight w:val="none"/>
                <w:u w:val="single"/>
                <w:lang w:val="en-US" w:eastAsia="zh-CN"/>
              </w:rPr>
              <w:t>30分</w:t>
            </w:r>
            <w:r>
              <w:rPr>
                <w:rFonts w:hint="eastAsia" w:ascii="宋体" w:hAnsi="宋体" w:cs="宋体"/>
                <w:color w:val="auto"/>
                <w:szCs w:val="21"/>
                <w:highlight w:val="none"/>
                <w:u w:val="single"/>
              </w:rPr>
              <w:t>（投标截止</w:t>
            </w:r>
            <w:r>
              <w:rPr>
                <w:rFonts w:hint="eastAsia" w:ascii="宋体" w:hAnsi="宋体" w:cs="宋体"/>
                <w:color w:val="auto"/>
                <w:szCs w:val="21"/>
                <w:highlight w:val="none"/>
                <w:u w:val="single"/>
                <w:lang w:val="en-US" w:eastAsia="zh-CN"/>
              </w:rPr>
              <w:t>10</w:t>
            </w:r>
            <w:r>
              <w:rPr>
                <w:rFonts w:hint="eastAsia" w:ascii="宋体" w:hAnsi="宋体" w:cs="宋体"/>
                <w:color w:val="auto"/>
                <w:szCs w:val="21"/>
                <w:highlight w:val="none"/>
                <w:u w:val="single"/>
              </w:rPr>
              <w:t>日）前在滁州市公共资源交易中心网电子交易系统中进行异议，具体操作步骤和程序请参见服务指南&gt;交易须知&gt;在线异议、质疑和投诉操作手册</w:t>
            </w:r>
            <w:r>
              <w:rPr>
                <w:rFonts w:hint="eastAsia" w:ascii="宋体" w:hAnsi="宋体" w:cs="宋体"/>
                <w:color w:val="auto"/>
                <w:szCs w:val="21"/>
                <w:highlight w:val="none"/>
              </w:rPr>
              <w:t>。</w:t>
            </w:r>
          </w:p>
          <w:p w14:paraId="2464EC94">
            <w:pPr>
              <w:keepNext w:val="0"/>
              <w:keepLines w:val="0"/>
              <w:pageBreakBefore w:val="0"/>
              <w:widowControl/>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受理异议的联系人：</w:t>
            </w:r>
            <w:r>
              <w:rPr>
                <w:rFonts w:hint="eastAsia" w:ascii="宋体" w:hAnsi="宋体" w:cs="宋体"/>
                <w:color w:val="auto"/>
                <w:szCs w:val="21"/>
                <w:highlight w:val="none"/>
                <w:lang w:val="en-US" w:eastAsia="zh-CN"/>
              </w:rPr>
              <w:t>关勤勤</w:t>
            </w:r>
            <w:r>
              <w:rPr>
                <w:rFonts w:hint="eastAsia" w:ascii="宋体" w:hAnsi="宋体" w:cs="宋体"/>
                <w:color w:val="auto"/>
                <w:szCs w:val="21"/>
                <w:highlight w:val="none"/>
              </w:rPr>
              <w:t>，联系方式：</w:t>
            </w:r>
            <w:r>
              <w:rPr>
                <w:rFonts w:hint="eastAsia" w:ascii="宋体" w:hAnsi="宋体" w:cs="宋体"/>
                <w:color w:val="auto"/>
                <w:szCs w:val="21"/>
                <w:highlight w:val="none"/>
                <w:lang w:val="en-US" w:eastAsia="zh-CN"/>
              </w:rPr>
              <w:t xml:space="preserve">18909605753。 </w:t>
            </w:r>
          </w:p>
        </w:tc>
      </w:tr>
      <w:tr w14:paraId="225449C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94" w:hRule="atLeast"/>
        </w:trPr>
        <w:tc>
          <w:tcPr>
            <w:tcW w:w="1036" w:type="dxa"/>
            <w:noWrap w:val="0"/>
            <w:vAlign w:val="center"/>
          </w:tcPr>
          <w:p w14:paraId="03DDE3D3">
            <w:pPr>
              <w:keepNext w:val="0"/>
              <w:keepLines w:val="0"/>
              <w:pageBreakBefore w:val="0"/>
              <w:suppressLineNumbers w:val="0"/>
              <w:kinsoku/>
              <w:overflowPunct/>
              <w:autoSpaceDE/>
              <w:autoSpaceDN/>
              <w:bidi w:val="0"/>
              <w:spacing w:before="0" w:beforeAutospacing="0" w:after="0" w:afterAutospacing="0" w:line="440" w:lineRule="exact"/>
              <w:ind w:left="0" w:right="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39.6</w:t>
            </w:r>
          </w:p>
        </w:tc>
        <w:tc>
          <w:tcPr>
            <w:tcW w:w="2114" w:type="dxa"/>
            <w:gridSpan w:val="2"/>
            <w:noWrap w:val="0"/>
            <w:vAlign w:val="center"/>
          </w:tcPr>
          <w:p w14:paraId="70113D58">
            <w:pPr>
              <w:pStyle w:val="19"/>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hAnsi="宋体" w:cs="宋体"/>
                <w:color w:val="auto"/>
                <w:szCs w:val="21"/>
                <w:highlight w:val="none"/>
              </w:rPr>
            </w:pPr>
            <w:r>
              <w:rPr>
                <w:rFonts w:hint="eastAsia" w:hAnsi="宋体" w:cs="宋体"/>
                <w:color w:val="auto"/>
                <w:szCs w:val="21"/>
                <w:highlight w:val="none"/>
              </w:rPr>
              <w:t>招标人答复在线质疑的时间及方式</w:t>
            </w:r>
          </w:p>
        </w:tc>
        <w:tc>
          <w:tcPr>
            <w:tcW w:w="6688" w:type="dxa"/>
            <w:noWrap w:val="0"/>
            <w:vAlign w:val="center"/>
          </w:tcPr>
          <w:p w14:paraId="764D8D79">
            <w:pPr>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ascii="宋体" w:hAnsi="宋体" w:cs="宋体"/>
                <w:color w:val="auto"/>
                <w:szCs w:val="21"/>
                <w:highlight w:val="none"/>
                <w:u w:val="single"/>
              </w:rPr>
            </w:pPr>
            <w:r>
              <w:rPr>
                <w:rFonts w:hint="eastAsia" w:ascii="宋体" w:hAnsi="宋体" w:cs="宋体"/>
                <w:color w:val="auto"/>
                <w:szCs w:val="21"/>
                <w:highlight w:val="none"/>
                <w:u w:val="single"/>
                <w:lang w:val="en-US" w:eastAsia="zh-CN"/>
              </w:rPr>
              <w:t>2026</w:t>
            </w:r>
            <w:r>
              <w:rPr>
                <w:rFonts w:hint="eastAsia" w:ascii="宋体" w:hAnsi="宋体" w:cs="宋体"/>
                <w:color w:val="auto"/>
                <w:szCs w:val="21"/>
                <w:highlight w:val="none"/>
              </w:rPr>
              <w:t>年</w:t>
            </w:r>
            <w:r>
              <w:rPr>
                <w:rFonts w:hint="eastAsia" w:ascii="宋体" w:hAnsi="宋体" w:cs="宋体"/>
                <w:color w:val="auto"/>
                <w:szCs w:val="21"/>
                <w:highlight w:val="none"/>
                <w:u w:val="single"/>
                <w:lang w:val="en-US" w:eastAsia="zh-CN"/>
              </w:rPr>
              <w:t>9</w:t>
            </w:r>
            <w:r>
              <w:rPr>
                <w:rFonts w:hint="eastAsia" w:ascii="宋体" w:hAnsi="宋体" w:cs="宋体"/>
                <w:color w:val="auto"/>
                <w:szCs w:val="21"/>
                <w:highlight w:val="none"/>
              </w:rPr>
              <w:t>月</w:t>
            </w:r>
            <w:r>
              <w:rPr>
                <w:rFonts w:hint="eastAsia" w:ascii="宋体" w:hAnsi="宋体" w:cs="宋体"/>
                <w:color w:val="auto"/>
                <w:szCs w:val="21"/>
                <w:highlight w:val="none"/>
                <w:u w:val="single"/>
                <w:lang w:val="en-US" w:eastAsia="zh-CN"/>
              </w:rPr>
              <w:t>29</w:t>
            </w:r>
            <w:r>
              <w:rPr>
                <w:rFonts w:hint="eastAsia" w:ascii="宋体" w:hAnsi="宋体" w:cs="宋体"/>
                <w:color w:val="auto"/>
                <w:szCs w:val="21"/>
                <w:highlight w:val="none"/>
              </w:rPr>
              <w:t>日</w:t>
            </w:r>
            <w:r>
              <w:rPr>
                <w:rFonts w:hint="eastAsia" w:ascii="宋体" w:hAnsi="宋体" w:cs="宋体"/>
                <w:color w:val="auto"/>
                <w:szCs w:val="21"/>
                <w:highlight w:val="none"/>
                <w:u w:val="single"/>
                <w:lang w:val="en-US" w:eastAsia="zh-CN"/>
              </w:rPr>
              <w:t>17</w:t>
            </w:r>
            <w:r>
              <w:rPr>
                <w:rFonts w:hint="eastAsia" w:ascii="宋体" w:hAnsi="宋体" w:cs="宋体"/>
                <w:color w:val="auto"/>
                <w:szCs w:val="21"/>
                <w:highlight w:val="none"/>
              </w:rPr>
              <w:t>时前以更正公告形式在滁州市公共资源交易网（http://ggzy.chuzhou.gov.cn /）“更正公告”栏目予以公告。</w:t>
            </w:r>
          </w:p>
        </w:tc>
      </w:tr>
      <w:tr w14:paraId="2C991CA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15" w:hRule="atLeast"/>
        </w:trPr>
        <w:tc>
          <w:tcPr>
            <w:tcW w:w="1903" w:type="dxa"/>
            <w:gridSpan w:val="2"/>
            <w:noWrap w:val="0"/>
            <w:vAlign w:val="center"/>
          </w:tcPr>
          <w:p w14:paraId="31C7F21B">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付款方式、时间、条件</w:t>
            </w:r>
          </w:p>
        </w:tc>
        <w:tc>
          <w:tcPr>
            <w:tcW w:w="7935" w:type="dxa"/>
            <w:gridSpan w:val="2"/>
            <w:noWrap w:val="0"/>
            <w:vAlign w:val="center"/>
          </w:tcPr>
          <w:p w14:paraId="55DE15FF">
            <w:pPr>
              <w:keepNext w:val="0"/>
              <w:keepLines w:val="0"/>
              <w:pageBreakBefore w:val="0"/>
              <w:suppressLineNumbers w:val="0"/>
              <w:kinsoku/>
              <w:overflowPunct/>
              <w:autoSpaceDE/>
              <w:autoSpaceDN/>
              <w:bidi w:val="0"/>
              <w:snapToGrid w:val="0"/>
              <w:spacing w:before="0" w:beforeAutospacing="0" w:after="0" w:afterAutospacing="0" w:line="440" w:lineRule="exact"/>
              <w:ind w:left="0" w:right="0"/>
              <w:textAlignment w:val="auto"/>
              <w:rPr>
                <w:rFonts w:hint="default" w:ascii="宋体" w:hAnsi="宋体" w:cs="宋体"/>
                <w:b/>
                <w:bCs/>
                <w:color w:val="auto"/>
                <w:szCs w:val="21"/>
                <w:highlight w:val="none"/>
                <w:lang w:val="en-US"/>
              </w:rPr>
            </w:pPr>
            <w:r>
              <w:rPr>
                <w:rFonts w:hint="eastAsia" w:ascii="宋体" w:hAnsi="宋体" w:cs="宋体"/>
                <w:b/>
                <w:bCs/>
                <w:color w:val="auto"/>
                <w:szCs w:val="21"/>
                <w:highlight w:val="none"/>
                <w:lang w:val="en-US" w:eastAsia="zh-CN"/>
              </w:rPr>
              <w:t xml:space="preserve"> /。</w:t>
            </w:r>
          </w:p>
        </w:tc>
      </w:tr>
      <w:tr w14:paraId="6E1D2FB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60" w:hRule="atLeast"/>
        </w:trPr>
        <w:tc>
          <w:tcPr>
            <w:tcW w:w="1903" w:type="dxa"/>
            <w:gridSpan w:val="2"/>
            <w:noWrap w:val="0"/>
            <w:vAlign w:val="center"/>
          </w:tcPr>
          <w:p w14:paraId="1936C2C3">
            <w:pPr>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ascii="宋体" w:hAnsi="宋体" w:cs="宋体"/>
                <w:color w:val="auto"/>
                <w:szCs w:val="21"/>
                <w:highlight w:val="none"/>
              </w:rPr>
            </w:pPr>
            <w:r>
              <w:rPr>
                <w:rFonts w:hint="eastAsia" w:ascii="宋体" w:hAnsi="宋体" w:cs="宋体"/>
                <w:color w:val="auto"/>
                <w:szCs w:val="21"/>
                <w:highlight w:val="none"/>
              </w:rPr>
              <w:t>招标文件获取方式和时间</w:t>
            </w:r>
          </w:p>
        </w:tc>
        <w:tc>
          <w:tcPr>
            <w:tcW w:w="7935" w:type="dxa"/>
            <w:gridSpan w:val="2"/>
            <w:noWrap w:val="0"/>
            <w:vAlign w:val="top"/>
          </w:tcPr>
          <w:p w14:paraId="17B5BF87">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招标文件获取方式：网上下载；</w:t>
            </w:r>
          </w:p>
          <w:p w14:paraId="2F745C76">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获取时间：招标文件发布至投标截止时间。</w:t>
            </w:r>
          </w:p>
        </w:tc>
      </w:tr>
      <w:tr w14:paraId="652E788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60" w:hRule="atLeast"/>
        </w:trPr>
        <w:tc>
          <w:tcPr>
            <w:tcW w:w="1903" w:type="dxa"/>
            <w:gridSpan w:val="2"/>
            <w:noWrap w:val="0"/>
            <w:vAlign w:val="center"/>
          </w:tcPr>
          <w:p w14:paraId="34DD956D">
            <w:pPr>
              <w:keepNext w:val="0"/>
              <w:keepLines w:val="0"/>
              <w:pageBreakBefore w:val="0"/>
              <w:suppressLineNumbers w:val="0"/>
              <w:kinsoku/>
              <w:overflowPunct/>
              <w:autoSpaceDE/>
              <w:autoSpaceDN/>
              <w:bidi w:val="0"/>
              <w:spacing w:before="0" w:beforeAutospacing="0" w:after="0" w:afterAutospacing="0" w:line="440" w:lineRule="exact"/>
              <w:ind w:left="0" w:right="0"/>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招标文件公告期限</w:t>
            </w:r>
          </w:p>
        </w:tc>
        <w:tc>
          <w:tcPr>
            <w:tcW w:w="7935" w:type="dxa"/>
            <w:gridSpan w:val="2"/>
            <w:noWrap w:val="0"/>
            <w:vAlign w:val="center"/>
          </w:tcPr>
          <w:p w14:paraId="680876A4">
            <w:pPr>
              <w:keepNext w:val="0"/>
              <w:keepLines w:val="0"/>
              <w:pageBreakBefore w:val="0"/>
              <w:suppressLineNumbers w:val="0"/>
              <w:kinsoku/>
              <w:overflowPunct/>
              <w:topLinePunct/>
              <w:autoSpaceDE/>
              <w:autoSpaceDN/>
              <w:bidi w:val="0"/>
              <w:spacing w:before="0" w:beforeAutospacing="0" w:after="0" w:afterAutospacing="0" w:line="440" w:lineRule="exact"/>
              <w:ind w:left="0" w:right="0"/>
              <w:jc w:val="both"/>
              <w:textAlignment w:val="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自发布之日起 5 个工作日</w:t>
            </w:r>
            <w:r>
              <w:rPr>
                <w:rFonts w:hint="eastAsia" w:ascii="宋体" w:hAnsi="宋体" w:cs="宋体"/>
                <w:b/>
                <w:bCs/>
                <w:color w:val="auto"/>
                <w:szCs w:val="21"/>
                <w:highlight w:val="none"/>
                <w:lang w:eastAsia="zh-CN"/>
              </w:rPr>
              <w:t>。</w:t>
            </w:r>
          </w:p>
        </w:tc>
      </w:tr>
      <w:tr w14:paraId="41F05C9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60" w:hRule="atLeast"/>
        </w:trPr>
        <w:tc>
          <w:tcPr>
            <w:tcW w:w="1903" w:type="dxa"/>
            <w:gridSpan w:val="2"/>
            <w:noWrap w:val="0"/>
            <w:vAlign w:val="center"/>
          </w:tcPr>
          <w:p w14:paraId="08FC8C5C">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同义词语</w:t>
            </w:r>
          </w:p>
        </w:tc>
        <w:tc>
          <w:tcPr>
            <w:tcW w:w="7935" w:type="dxa"/>
            <w:gridSpan w:val="2"/>
            <w:noWrap w:val="0"/>
            <w:vAlign w:val="center"/>
          </w:tcPr>
          <w:p w14:paraId="59971E22">
            <w:pPr>
              <w:keepNext w:val="0"/>
              <w:keepLines w:val="0"/>
              <w:pageBreakBefore w:val="0"/>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招标文件第六章  投标文件格式、附件1“关于联合惩戒失信行为 加强信用查询管理的通知”等章节中 “</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”、“供应商”，等同于“招标人”、“投标人”。</w:t>
            </w:r>
          </w:p>
        </w:tc>
      </w:tr>
      <w:tr w14:paraId="5CEEA3B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12" w:hRule="atLeast"/>
        </w:trPr>
        <w:tc>
          <w:tcPr>
            <w:tcW w:w="1903" w:type="dxa"/>
            <w:gridSpan w:val="2"/>
            <w:noWrap w:val="0"/>
            <w:vAlign w:val="center"/>
          </w:tcPr>
          <w:p w14:paraId="236F0A32">
            <w:pPr>
              <w:keepNext w:val="0"/>
              <w:keepLines w:val="0"/>
              <w:pageBreakBefore w:val="0"/>
              <w:widowControl/>
              <w:suppressLineNumbers w:val="0"/>
              <w:kinsoku/>
              <w:overflowPunct/>
              <w:autoSpaceDE/>
              <w:autoSpaceDN/>
              <w:bidi w:val="0"/>
              <w:spacing w:before="0" w:beforeAutospacing="0" w:after="0" w:afterAutospacing="0" w:line="440" w:lineRule="exact"/>
              <w:ind w:left="0" w:right="0"/>
              <w:jc w:val="left"/>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rPr>
              <w:t>特别提示</w:t>
            </w:r>
          </w:p>
        </w:tc>
        <w:tc>
          <w:tcPr>
            <w:tcW w:w="7935" w:type="dxa"/>
            <w:gridSpan w:val="2"/>
            <w:noWrap w:val="0"/>
            <w:vAlign w:val="top"/>
          </w:tcPr>
          <w:p w14:paraId="412D04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1.本项目保证金均支持保函使用。以现金形式提交保证金的，应当同时退还保证金本金和银行同期存款利息。</w:t>
            </w:r>
          </w:p>
          <w:p w14:paraId="4DE1C6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2.投标人应填写投标信息并下载招标文件，否则无法上传投标文件。</w:t>
            </w:r>
          </w:p>
          <w:p w14:paraId="1FCD642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注：投标人如为联合体的，牵头人必须完善投标人信息，并在上传投标文件环节添加联合体投标信息。</w:t>
            </w:r>
          </w:p>
          <w:p w14:paraId="22176D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3.本项目采用电子招标投标，请投标人在滁州市公共资源交易中心网站&gt;服务指南&gt;软件下载栏目点击下载投标文件制作工具。投标人需采用最新版投标文件制作工具。软件运行需在国际互联网络通畅状态，投标人需注意更新，以免造成投标文件制作错误，如因此导致评标委员会否决其投标，责任自负。如有技术问题请联系0550-3801701，</w:t>
            </w:r>
            <w:r>
              <w:rPr>
                <w:rFonts w:hint="eastAsia" w:ascii="宋体" w:hAnsi="宋体" w:cs="宋体"/>
                <w:bCs/>
                <w:color w:val="auto"/>
                <w:szCs w:val="21"/>
                <w:highlight w:val="none"/>
                <w:lang w:eastAsia="zh-CN"/>
              </w:rPr>
              <w:t>0512-58188516（8:00-21:00）</w:t>
            </w:r>
            <w:r>
              <w:rPr>
                <w:rFonts w:hint="eastAsia" w:ascii="宋体" w:hAnsi="宋体" w:cs="宋体"/>
                <w:bCs/>
                <w:color w:val="auto"/>
                <w:szCs w:val="21"/>
                <w:highlight w:val="none"/>
              </w:rPr>
              <w:t>。</w:t>
            </w:r>
          </w:p>
          <w:p w14:paraId="7EE113A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4.如果过程中出现招标文件更改，应以最后发布的招标答疑澄清文件中的模板制作本项目最新投标文件。</w:t>
            </w:r>
          </w:p>
          <w:p w14:paraId="1E152D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 xml:space="preserve">5.投标人应当用本单位CA数字证书制作投标文件，制作成功后进行投标文件上传。 </w:t>
            </w:r>
          </w:p>
          <w:p w14:paraId="7E7D44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6.投标人须用CA数字证书盖章和加密投标文件，建议使用主锁。（如未办理CA数字证书请及时办理，网上办理和窗口办理均可。查看办理所需资料请登录滁州市公共资源交易中心网站&gt;服务指南&gt;办事指南&gt;CA数字证书和电子签章。因未及时办理CA数字证书手续导致无法投标的，责任自负）</w:t>
            </w:r>
          </w:p>
          <w:p w14:paraId="49A54F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7.请投标人注意加密投标文件CA数字证书的有效期，不在有效期的CA数字证书无法解密投标文件。</w:t>
            </w:r>
          </w:p>
          <w:p w14:paraId="09AB63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8.投标人投标MAC地址一致或申请开具电子保函MAC地址一致的，由评标委员会否决其投标。</w:t>
            </w:r>
          </w:p>
          <w:p w14:paraId="2B4E5D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9.投标人投标文件中单方面出现其他投标人材料的（依法组成联合体投标的除外），由评标委员会否决其投标。</w:t>
            </w:r>
          </w:p>
          <w:p w14:paraId="4FB8AD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10.评标时查询投标文件制作机器码、文件创建标识码及造价软件加密锁号。若存在投标文件制作机器码或创建标识码或造价软件加密锁号信息与其他投标人雷同的，由评标委员会否决其投标，依法依规予以处理。</w:t>
            </w:r>
          </w:p>
          <w:p w14:paraId="22E41A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11.若存在不予退还投标人投标保证金的情形，银行转账的，由市公共资源交易中心代为收缴，递交保函的，由招标人予以追缴。</w:t>
            </w:r>
          </w:p>
          <w:p w14:paraId="5853F1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12.投标人以联合体名义投标的，其异议投诉应当由联合体全体成员共同提出。联合体成员单独进行异议投诉的，应当书面征得联合体其他成员同意，联合体成员之间投诉的除外。</w:t>
            </w:r>
          </w:p>
          <w:p w14:paraId="6F2C4A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13.投标人联系人或联系电话相同的，由评标委员会否决其投标，并报告监管部门作不良行为处理和进一步调查。</w:t>
            </w:r>
          </w:p>
          <w:p w14:paraId="5BA0B5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cs="宋体"/>
                <w:bCs/>
                <w:color w:val="auto"/>
                <w:szCs w:val="21"/>
                <w:highlight w:val="none"/>
              </w:rPr>
            </w:pP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4.</w:t>
            </w:r>
            <w:r>
              <w:rPr>
                <w:rFonts w:hint="eastAsia" w:ascii="宋体" w:hAnsi="宋体" w:cs="宋体"/>
                <w:b/>
                <w:color w:val="auto"/>
                <w:szCs w:val="21"/>
                <w:highlight w:val="none"/>
              </w:rPr>
              <w:t>电子加密投标文件上传到系统后，需要投标企业和招标代理公司到开标截止时间后共同解锁，不存在商务报价等投标信息通过系统泄密的风险；投标截止时间前，已上传的投标文件也可以撤回修改。集中到开标截止时间前上传电子加密投标文件，可能出现由于投标企业制作电子投标文件不熟练、网络拥堵等不可预知的情况而且无法及时解决，丧失投标机会，请各投标企业提前制作、上传电子加密投标文件，否则由于无法及时上传电子加密投标文件而废标或无效投标的情况，责任自负！</w:t>
            </w:r>
          </w:p>
        </w:tc>
      </w:tr>
      <w:tr w14:paraId="1CD0EBB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12" w:hRule="atLeast"/>
        </w:trPr>
        <w:tc>
          <w:tcPr>
            <w:tcW w:w="1903" w:type="dxa"/>
            <w:gridSpan w:val="2"/>
            <w:noWrap w:val="0"/>
            <w:vAlign w:val="center"/>
          </w:tcPr>
          <w:p w14:paraId="04460008">
            <w:pPr>
              <w:keepNext w:val="0"/>
              <w:keepLines w:val="0"/>
              <w:pageBreakBefore w:val="0"/>
              <w:suppressLineNumbers w:val="0"/>
              <w:kinsoku/>
              <w:overflowPunct/>
              <w:autoSpaceDE/>
              <w:autoSpaceDN/>
              <w:bidi w:val="0"/>
              <w:adjustRightInd w:val="0"/>
              <w:snapToGrid w:val="0"/>
              <w:spacing w:before="0" w:beforeAutospacing="0" w:after="0" w:afterAutospacing="0" w:line="440" w:lineRule="exact"/>
              <w:ind w:left="0" w:right="0"/>
              <w:jc w:val="center"/>
              <w:textAlignment w:val="auto"/>
              <w:rPr>
                <w:rFonts w:hint="eastAsia" w:ascii="宋体" w:hAnsi="宋体" w:cs="宋体"/>
                <w:color w:val="auto"/>
                <w:szCs w:val="21"/>
                <w:highlight w:val="none"/>
              </w:rPr>
            </w:pPr>
            <w:bookmarkStart w:id="69" w:name="_Toc6869"/>
            <w:bookmarkStart w:id="70" w:name="_Toc449028866"/>
            <w:bookmarkStart w:id="71" w:name="_Toc30843"/>
            <w:bookmarkStart w:id="72" w:name="_Toc14562"/>
            <w:bookmarkStart w:id="73" w:name="_Toc58430315"/>
            <w:r>
              <w:rPr>
                <w:rFonts w:hint="eastAsia" w:ascii="宋体" w:hAnsi="宋体" w:cs="宋体"/>
                <w:color w:val="auto"/>
                <w:szCs w:val="21"/>
                <w:highlight w:val="none"/>
              </w:rPr>
              <w:t>评标过程中的澄清、说明或补正</w:t>
            </w:r>
          </w:p>
        </w:tc>
        <w:tc>
          <w:tcPr>
            <w:tcW w:w="7935" w:type="dxa"/>
            <w:gridSpan w:val="2"/>
            <w:noWrap w:val="0"/>
            <w:vAlign w:val="center"/>
          </w:tcPr>
          <w:p w14:paraId="02A6FE45">
            <w:pPr>
              <w:pStyle w:val="96"/>
              <w:keepNext w:val="0"/>
              <w:keepLines w:val="0"/>
              <w:pageBreakBefore w:val="0"/>
              <w:suppressLineNumbers w:val="0"/>
              <w:tabs>
                <w:tab w:val="left" w:pos="636"/>
              </w:tabs>
              <w:kinsoku/>
              <w:overflowPunct/>
              <w:autoSpaceDE/>
              <w:autoSpaceDN/>
              <w:bidi w:val="0"/>
              <w:adjustRightInd w:val="0"/>
              <w:snapToGrid w:val="0"/>
              <w:spacing w:before="0" w:beforeAutospacing="0" w:after="0" w:afterAutospacing="0" w:line="440" w:lineRule="exact"/>
              <w:ind w:left="0" w:right="0"/>
              <w:jc w:val="left"/>
              <w:textAlignment w:val="auto"/>
              <w:rPr>
                <w:rFonts w:hint="eastAsia"/>
                <w:color w:val="auto"/>
                <w:szCs w:val="21"/>
                <w:highlight w:val="none"/>
              </w:rPr>
            </w:pPr>
            <w:r>
              <w:rPr>
                <w:rFonts w:hint="eastAsia"/>
                <w:color w:val="auto"/>
                <w:szCs w:val="21"/>
                <w:highlight w:val="none"/>
              </w:rPr>
              <w:t>（</w:t>
            </w:r>
            <w:r>
              <w:rPr>
                <w:rFonts w:hint="eastAsia"/>
                <w:color w:val="auto"/>
                <w:szCs w:val="21"/>
                <w:highlight w:val="none"/>
                <w:lang w:val="en-US"/>
              </w:rPr>
              <w:t>1</w:t>
            </w:r>
            <w:r>
              <w:rPr>
                <w:rFonts w:hint="eastAsia"/>
                <w:color w:val="auto"/>
                <w:szCs w:val="21"/>
                <w:highlight w:val="none"/>
              </w:rPr>
              <w:t>）评标委员会通过</w:t>
            </w:r>
            <w:r>
              <w:rPr>
                <w:rFonts w:hint="eastAsia"/>
                <w:color w:val="auto"/>
                <w:szCs w:val="21"/>
                <w:highlight w:val="none"/>
                <w:lang w:val="en-US"/>
              </w:rPr>
              <w:t>网上招投标</w:t>
            </w:r>
            <w:r>
              <w:rPr>
                <w:rFonts w:hint="eastAsia"/>
                <w:color w:val="auto"/>
                <w:szCs w:val="21"/>
                <w:highlight w:val="none"/>
              </w:rPr>
              <w:t>系统将需要澄清、说明或补正的内容以询标函的形式发送给投标人，投标人应安排专人登录</w:t>
            </w:r>
            <w:r>
              <w:rPr>
                <w:rFonts w:hint="eastAsia"/>
                <w:color w:val="auto"/>
                <w:szCs w:val="21"/>
                <w:highlight w:val="none"/>
                <w:lang w:val="en-US"/>
              </w:rPr>
              <w:t>网上招投标</w:t>
            </w:r>
            <w:r>
              <w:rPr>
                <w:rFonts w:hint="eastAsia"/>
                <w:color w:val="auto"/>
                <w:szCs w:val="21"/>
                <w:highlight w:val="none"/>
              </w:rPr>
              <w:t>系统并保持在线状态，以便及时接收评标委员会可能发出的询标函。</w:t>
            </w:r>
          </w:p>
          <w:p w14:paraId="67E2D39B">
            <w:pPr>
              <w:pStyle w:val="96"/>
              <w:keepNext w:val="0"/>
              <w:keepLines w:val="0"/>
              <w:pageBreakBefore w:val="0"/>
              <w:suppressLineNumbers w:val="0"/>
              <w:tabs>
                <w:tab w:val="left" w:pos="636"/>
              </w:tabs>
              <w:kinsoku/>
              <w:overflowPunct/>
              <w:autoSpaceDE/>
              <w:autoSpaceDN/>
              <w:bidi w:val="0"/>
              <w:adjustRightInd w:val="0"/>
              <w:snapToGrid w:val="0"/>
              <w:spacing w:before="0" w:beforeAutospacing="0" w:after="0" w:afterAutospacing="0" w:line="440" w:lineRule="exact"/>
              <w:ind w:left="0" w:right="0"/>
              <w:jc w:val="left"/>
              <w:textAlignment w:val="auto"/>
              <w:rPr>
                <w:rFonts w:hint="eastAsia"/>
                <w:color w:val="auto"/>
                <w:szCs w:val="21"/>
                <w:highlight w:val="none"/>
              </w:rPr>
            </w:pPr>
            <w:r>
              <w:rPr>
                <w:rFonts w:hint="eastAsia"/>
                <w:color w:val="auto"/>
                <w:szCs w:val="21"/>
                <w:highlight w:val="none"/>
              </w:rPr>
              <w:t>（</w:t>
            </w:r>
            <w:r>
              <w:rPr>
                <w:rFonts w:hint="eastAsia"/>
                <w:color w:val="auto"/>
                <w:szCs w:val="21"/>
                <w:highlight w:val="none"/>
                <w:lang w:val="en-US"/>
              </w:rPr>
              <w:t>2</w:t>
            </w:r>
            <w:r>
              <w:rPr>
                <w:rFonts w:hint="eastAsia"/>
                <w:color w:val="auto"/>
                <w:szCs w:val="21"/>
                <w:highlight w:val="none"/>
              </w:rPr>
              <w:t>）因投标人未登录</w:t>
            </w:r>
            <w:r>
              <w:rPr>
                <w:rFonts w:hint="eastAsia"/>
                <w:color w:val="auto"/>
                <w:szCs w:val="21"/>
                <w:highlight w:val="none"/>
                <w:lang w:val="en-US"/>
              </w:rPr>
              <w:t>网上招投标</w:t>
            </w:r>
            <w:r>
              <w:rPr>
                <w:rFonts w:hint="eastAsia"/>
                <w:color w:val="auto"/>
                <w:szCs w:val="21"/>
                <w:highlight w:val="none"/>
              </w:rPr>
              <w:t>系统导致无法及时接收询标函（远程网上询标）或未在规定时间内按评标委员会要求进行澄清、说明或补正内容的视同投标人放弃澄清、说明或补正内容的权利，评标委员会可按对投标人不利的解释进行判定。</w:t>
            </w:r>
          </w:p>
        </w:tc>
      </w:tr>
      <w:tr w14:paraId="433AFB0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12" w:hRule="atLeast"/>
        </w:trPr>
        <w:tc>
          <w:tcPr>
            <w:tcW w:w="1903" w:type="dxa"/>
            <w:gridSpan w:val="2"/>
            <w:noWrap w:val="0"/>
            <w:vAlign w:val="center"/>
          </w:tcPr>
          <w:p w14:paraId="381405DF">
            <w:pPr>
              <w:keepNext w:val="0"/>
              <w:keepLines w:val="0"/>
              <w:pageBreakBefore w:val="0"/>
              <w:suppressLineNumbers w:val="0"/>
              <w:kinsoku/>
              <w:overflowPunct/>
              <w:autoSpaceDE/>
              <w:autoSpaceDN/>
              <w:bidi w:val="0"/>
              <w:adjustRightInd w:val="0"/>
              <w:snapToGrid w:val="0"/>
              <w:spacing w:before="0" w:beforeAutospacing="0" w:after="0" w:afterAutospacing="0" w:line="440" w:lineRule="exact"/>
              <w:ind w:left="0" w:right="0"/>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其他说明</w:t>
            </w:r>
          </w:p>
        </w:tc>
        <w:tc>
          <w:tcPr>
            <w:tcW w:w="7935" w:type="dxa"/>
            <w:gridSpan w:val="2"/>
            <w:noWrap w:val="0"/>
            <w:vAlign w:val="center"/>
          </w:tcPr>
          <w:p w14:paraId="2E27492F">
            <w:pPr>
              <w:pStyle w:val="96"/>
              <w:keepNext w:val="0"/>
              <w:keepLines w:val="0"/>
              <w:pageBreakBefore w:val="0"/>
              <w:suppressLineNumbers w:val="0"/>
              <w:tabs>
                <w:tab w:val="left" w:pos="636"/>
              </w:tabs>
              <w:kinsoku/>
              <w:overflowPunct/>
              <w:autoSpaceDE/>
              <w:autoSpaceDN/>
              <w:bidi w:val="0"/>
              <w:adjustRightInd w:val="0"/>
              <w:snapToGrid w:val="0"/>
              <w:spacing w:before="0" w:beforeAutospacing="0" w:after="0" w:afterAutospacing="0" w:line="440" w:lineRule="exact"/>
              <w:ind w:left="0" w:right="0"/>
              <w:jc w:val="left"/>
              <w:textAlignment w:val="auto"/>
              <w:rPr>
                <w:rFonts w:hint="eastAsia"/>
                <w:color w:val="auto"/>
                <w:szCs w:val="21"/>
                <w:highlight w:val="none"/>
              </w:rPr>
            </w:pPr>
            <w:r>
              <w:rPr>
                <w:rFonts w:hint="eastAsia"/>
                <w:color w:val="auto"/>
                <w:szCs w:val="21"/>
                <w:highlight w:val="none"/>
                <w:lang w:val="en-US" w:eastAsia="zh-CN"/>
              </w:rPr>
              <w:t>1.</w:t>
            </w:r>
            <w:r>
              <w:rPr>
                <w:rFonts w:hint="eastAsia"/>
                <w:color w:val="auto"/>
                <w:szCs w:val="21"/>
                <w:highlight w:val="none"/>
              </w:rPr>
              <w:t>系统中提供的表格与招标文件中不一致时，以招标文件中提供的表格格式为准。</w:t>
            </w:r>
          </w:p>
          <w:p w14:paraId="520DEC72">
            <w:pPr>
              <w:pStyle w:val="96"/>
              <w:keepNext w:val="0"/>
              <w:keepLines w:val="0"/>
              <w:pageBreakBefore w:val="0"/>
              <w:suppressLineNumbers w:val="0"/>
              <w:tabs>
                <w:tab w:val="left" w:pos="636"/>
              </w:tabs>
              <w:kinsoku/>
              <w:overflowPunct/>
              <w:autoSpaceDE/>
              <w:autoSpaceDN/>
              <w:bidi w:val="0"/>
              <w:adjustRightInd w:val="0"/>
              <w:snapToGrid w:val="0"/>
              <w:spacing w:before="0" w:beforeAutospacing="0" w:after="0" w:afterAutospacing="0" w:line="440" w:lineRule="exact"/>
              <w:ind w:left="0" w:right="0"/>
              <w:jc w:val="left"/>
              <w:textAlignment w:val="auto"/>
              <w:rPr>
                <w:rFonts w:hint="eastAsia"/>
                <w:color w:val="auto"/>
                <w:szCs w:val="21"/>
                <w:highlight w:val="none"/>
              </w:rPr>
            </w:pPr>
            <w:r>
              <w:rPr>
                <w:rFonts w:hint="eastAsia"/>
                <w:color w:val="auto"/>
                <w:szCs w:val="21"/>
                <w:highlight w:val="none"/>
                <w:lang w:val="en-US" w:eastAsia="zh-CN"/>
              </w:rPr>
              <w:t>2.</w:t>
            </w:r>
            <w:r>
              <w:rPr>
                <w:rFonts w:hint="eastAsia"/>
                <w:color w:val="auto"/>
                <w:szCs w:val="21"/>
                <w:highlight w:val="none"/>
              </w:rPr>
              <w:t>本招标文件前后条款若有不一致之处，在澄清答疑时又未作出明确规定时，各投标人的投标文件只要满足其中任一条款，均视为对本招标文件的响应。</w:t>
            </w:r>
          </w:p>
          <w:p w14:paraId="2DC8178F">
            <w:pPr>
              <w:pStyle w:val="96"/>
              <w:keepNext w:val="0"/>
              <w:keepLines w:val="0"/>
              <w:pageBreakBefore w:val="0"/>
              <w:suppressLineNumbers w:val="0"/>
              <w:tabs>
                <w:tab w:val="left" w:pos="636"/>
              </w:tabs>
              <w:kinsoku/>
              <w:overflowPunct/>
              <w:autoSpaceDE/>
              <w:autoSpaceDN/>
              <w:bidi w:val="0"/>
              <w:adjustRightInd w:val="0"/>
              <w:snapToGrid w:val="0"/>
              <w:spacing w:before="0" w:beforeAutospacing="0" w:after="0" w:afterAutospacing="0" w:line="440" w:lineRule="exact"/>
              <w:ind w:left="0" w:right="0"/>
              <w:jc w:val="left"/>
              <w:textAlignment w:val="auto"/>
              <w:rPr>
                <w:rFonts w:hint="eastAsia"/>
                <w:color w:val="auto"/>
                <w:szCs w:val="21"/>
                <w:highlight w:val="none"/>
              </w:rPr>
            </w:pPr>
            <w:r>
              <w:rPr>
                <w:rFonts w:hint="eastAsia"/>
                <w:color w:val="auto"/>
                <w:szCs w:val="21"/>
                <w:highlight w:val="none"/>
                <w:lang w:val="en-US" w:eastAsia="zh-CN"/>
              </w:rPr>
              <w:t>3.</w:t>
            </w:r>
            <w:r>
              <w:rPr>
                <w:rFonts w:hint="eastAsia"/>
                <w:color w:val="auto"/>
                <w:szCs w:val="21"/>
                <w:highlight w:val="none"/>
              </w:rPr>
              <w:t>本项目招标公告与本招标文件不一致之处，以本招标文件为准；如投标人须知前附表的规定与投标人须知的规定不一致，以投标人须知前附表为准。</w:t>
            </w:r>
          </w:p>
          <w:p w14:paraId="1EBC82E2">
            <w:pPr>
              <w:pStyle w:val="96"/>
              <w:keepNext w:val="0"/>
              <w:keepLines w:val="0"/>
              <w:pageBreakBefore w:val="0"/>
              <w:suppressLineNumbers w:val="0"/>
              <w:tabs>
                <w:tab w:val="left" w:pos="636"/>
              </w:tabs>
              <w:kinsoku/>
              <w:overflowPunct/>
              <w:autoSpaceDE/>
              <w:autoSpaceDN/>
              <w:bidi w:val="0"/>
              <w:adjustRightInd w:val="0"/>
              <w:snapToGrid w:val="0"/>
              <w:spacing w:before="0" w:beforeAutospacing="0" w:after="0" w:afterAutospacing="0" w:line="440" w:lineRule="exact"/>
              <w:ind w:left="0" w:right="0"/>
              <w:jc w:val="left"/>
              <w:textAlignment w:val="auto"/>
              <w:rPr>
                <w:rFonts w:hint="eastAsia"/>
                <w:color w:val="auto"/>
                <w:szCs w:val="21"/>
                <w:highlight w:val="none"/>
              </w:rPr>
            </w:pPr>
            <w:r>
              <w:rPr>
                <w:rFonts w:hint="eastAsia"/>
                <w:color w:val="auto"/>
                <w:szCs w:val="21"/>
                <w:highlight w:val="none"/>
                <w:lang w:val="en-US" w:eastAsia="zh-CN"/>
              </w:rPr>
              <w:t>4.</w:t>
            </w:r>
            <w:r>
              <w:rPr>
                <w:rFonts w:hint="eastAsia"/>
                <w:color w:val="auto"/>
                <w:szCs w:val="21"/>
                <w:highlight w:val="none"/>
              </w:rPr>
              <w:t>本文件的最终解释权归</w:t>
            </w:r>
            <w:r>
              <w:rPr>
                <w:rFonts w:hint="eastAsia"/>
                <w:color w:val="auto"/>
                <w:szCs w:val="21"/>
                <w:highlight w:val="none"/>
                <w:lang w:eastAsia="zh-CN"/>
              </w:rPr>
              <w:t>招标人</w:t>
            </w:r>
            <w:r>
              <w:rPr>
                <w:rFonts w:hint="eastAsia"/>
                <w:color w:val="auto"/>
                <w:szCs w:val="21"/>
                <w:highlight w:val="none"/>
              </w:rPr>
              <w:t>、采购代理机构所有。</w:t>
            </w:r>
          </w:p>
        </w:tc>
      </w:tr>
    </w:tbl>
    <w:p w14:paraId="02E22990">
      <w:pPr>
        <w:pageBreakBefore/>
        <w:spacing w:before="312" w:beforeLines="100" w:after="312" w:afterLines="100" w:line="440" w:lineRule="exact"/>
        <w:jc w:val="center"/>
        <w:outlineLvl w:val="1"/>
        <w:rPr>
          <w:rFonts w:hint="eastAsia" w:ascii="宋体"/>
          <w:b/>
          <w:color w:val="auto"/>
          <w:sz w:val="28"/>
          <w:szCs w:val="32"/>
          <w:highlight w:val="none"/>
        </w:rPr>
      </w:pPr>
      <w:r>
        <w:rPr>
          <w:rFonts w:hint="eastAsia" w:ascii="宋体"/>
          <w:b/>
          <w:color w:val="auto"/>
          <w:sz w:val="28"/>
          <w:szCs w:val="28"/>
          <w:highlight w:val="none"/>
        </w:rPr>
        <w:t>二、投标人须知</w:t>
      </w:r>
      <w:bookmarkEnd w:id="69"/>
      <w:bookmarkEnd w:id="70"/>
      <w:bookmarkEnd w:id="71"/>
      <w:bookmarkEnd w:id="72"/>
      <w:bookmarkEnd w:id="73"/>
    </w:p>
    <w:p w14:paraId="73E129C9">
      <w:pPr>
        <w:spacing w:before="156" w:beforeLines="50" w:after="156" w:afterLines="50" w:line="440" w:lineRule="exact"/>
        <w:jc w:val="center"/>
        <w:rPr>
          <w:rFonts w:hint="eastAsia" w:ascii="宋体" w:hAnsi="宋体" w:cs="宋体"/>
          <w:color w:val="auto"/>
          <w:sz w:val="28"/>
          <w:szCs w:val="28"/>
          <w:highlight w:val="none"/>
        </w:rPr>
      </w:pPr>
      <w:bookmarkStart w:id="74" w:name="_Toc449028867"/>
      <w:r>
        <w:rPr>
          <w:rFonts w:hint="eastAsia" w:ascii="宋体" w:hAnsi="宋体" w:cs="宋体"/>
          <w:b/>
          <w:color w:val="auto"/>
          <w:sz w:val="28"/>
          <w:szCs w:val="28"/>
          <w:highlight w:val="none"/>
        </w:rPr>
        <w:t>（一）总  则</w:t>
      </w:r>
      <w:bookmarkEnd w:id="74"/>
    </w:p>
    <w:p w14:paraId="6191A92A">
      <w:pPr>
        <w:snapToGrid w:val="0"/>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1.项目概况</w:t>
      </w:r>
    </w:p>
    <w:p w14:paraId="302F2AC5">
      <w:pPr>
        <w:snapToGrid w:val="0"/>
        <w:spacing w:line="440" w:lineRule="exact"/>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1.1本次招标采购项目名称：见投标人须知前附表。</w:t>
      </w:r>
    </w:p>
    <w:p w14:paraId="712663C0">
      <w:pPr>
        <w:snapToGrid w:val="0"/>
        <w:spacing w:line="440" w:lineRule="exact"/>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 xml:space="preserve">               项目编号：见投标人须知前附表。</w:t>
      </w:r>
    </w:p>
    <w:p w14:paraId="601919E0">
      <w:pPr>
        <w:snapToGrid w:val="0"/>
        <w:spacing w:line="440" w:lineRule="exact"/>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 xml:space="preserve">               招 标 人：见投标人须知前附表。</w:t>
      </w:r>
    </w:p>
    <w:p w14:paraId="0056BC55">
      <w:pPr>
        <w:snapToGrid w:val="0"/>
        <w:spacing w:line="440" w:lineRule="exact"/>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供货期（服务周期）：见投标人须知前附表。</w:t>
      </w:r>
    </w:p>
    <w:p w14:paraId="637B488F">
      <w:pPr>
        <w:snapToGrid w:val="0"/>
        <w:spacing w:line="440" w:lineRule="exact"/>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供货（服务）地点：见投标人须知前附表。</w:t>
      </w:r>
    </w:p>
    <w:p w14:paraId="64110147">
      <w:pPr>
        <w:snapToGrid w:val="0"/>
        <w:spacing w:line="440" w:lineRule="exact"/>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1.2招标人及联系人：见投标人须知前附表。</w:t>
      </w:r>
    </w:p>
    <w:p w14:paraId="3A897864">
      <w:pPr>
        <w:snapToGrid w:val="0"/>
        <w:spacing w:line="440" w:lineRule="exact"/>
        <w:ind w:firstLine="525" w:firstLineChars="250"/>
        <w:jc w:val="left"/>
        <w:rPr>
          <w:rFonts w:hint="eastAsia" w:ascii="宋体" w:hAnsi="宋体" w:cs="宋体"/>
          <w:color w:val="auto"/>
          <w:szCs w:val="21"/>
          <w:highlight w:val="none"/>
          <w:u w:val="single"/>
        </w:rPr>
      </w:pPr>
      <w:r>
        <w:rPr>
          <w:rFonts w:hint="eastAsia" w:ascii="宋体" w:hAnsi="宋体" w:cs="宋体"/>
          <w:color w:val="auto"/>
          <w:szCs w:val="21"/>
          <w:highlight w:val="none"/>
        </w:rPr>
        <w:t xml:space="preserve">  代理机构及联系人：见投标人须知前附表。</w:t>
      </w:r>
    </w:p>
    <w:p w14:paraId="3E287B9E">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1.3资金来源：见投标人须知前附表。</w:t>
      </w:r>
    </w:p>
    <w:p w14:paraId="5FA8D6C1">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1.4本项目预算：见投标人须知前附表。</w:t>
      </w:r>
    </w:p>
    <w:p w14:paraId="0D08A152">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1.5本项目</w:t>
      </w:r>
      <w:r>
        <w:rPr>
          <w:rFonts w:hint="eastAsia" w:ascii="宋体" w:hAnsi="宋体" w:cs="宋体"/>
          <w:color w:val="auto"/>
          <w:szCs w:val="21"/>
          <w:highlight w:val="none"/>
          <w:lang w:eastAsia="zh-CN"/>
        </w:rPr>
        <w:t>最低限价</w:t>
      </w:r>
      <w:r>
        <w:rPr>
          <w:rFonts w:hint="eastAsia" w:ascii="宋体" w:hAnsi="宋体" w:cs="宋体"/>
          <w:color w:val="auto"/>
          <w:szCs w:val="21"/>
          <w:highlight w:val="none"/>
        </w:rPr>
        <w:t>：见投标人须知前附表。</w:t>
      </w:r>
    </w:p>
    <w:p w14:paraId="21BC0BC7">
      <w:pPr>
        <w:snapToGrid w:val="0"/>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2.招标范围：</w:t>
      </w:r>
    </w:p>
    <w:p w14:paraId="6680D535">
      <w:pPr>
        <w:snapToGrid w:val="0"/>
        <w:spacing w:line="440" w:lineRule="exact"/>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2.1 采购内容：见投标人须知前附表。</w:t>
      </w:r>
    </w:p>
    <w:p w14:paraId="413204FF">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2.2 技术要求：详见招标文件第四章采购需求。</w:t>
      </w:r>
    </w:p>
    <w:p w14:paraId="09287267">
      <w:pPr>
        <w:snapToGrid w:val="0"/>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3.标包划分：</w:t>
      </w:r>
    </w:p>
    <w:p w14:paraId="19AEDB0F">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3.1本项目划分：见投标人须知前附表。</w:t>
      </w:r>
    </w:p>
    <w:p w14:paraId="4C80113B">
      <w:pPr>
        <w:snapToGrid w:val="0"/>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4.招标方式：</w:t>
      </w:r>
    </w:p>
    <w:p w14:paraId="58814C22">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4.1本项目招标方式：见投标人须知前附表。</w:t>
      </w:r>
    </w:p>
    <w:p w14:paraId="0DDF447C">
      <w:pPr>
        <w:snapToGrid w:val="0"/>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5.计价方式：</w:t>
      </w:r>
    </w:p>
    <w:p w14:paraId="04175065">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5.1本次招标项目合同采用</w:t>
      </w:r>
      <w:r>
        <w:rPr>
          <w:rFonts w:hint="eastAsia" w:ascii="宋体" w:hAnsi="宋体" w:cs="宋体"/>
          <w:color w:val="auto"/>
          <w:szCs w:val="21"/>
          <w:highlight w:val="none"/>
          <w:u w:val="single"/>
          <w:lang w:val="en-US" w:eastAsia="zh-CN"/>
        </w:rPr>
        <w:t>/</w:t>
      </w:r>
      <w:r>
        <w:rPr>
          <w:rFonts w:hint="eastAsia" w:ascii="宋体" w:hAnsi="宋体" w:cs="宋体"/>
          <w:color w:val="auto"/>
          <w:szCs w:val="21"/>
          <w:highlight w:val="none"/>
          <w:u w:val="none"/>
        </w:rPr>
        <w:t>。</w:t>
      </w:r>
    </w:p>
    <w:p w14:paraId="1AD0DE3A">
      <w:pPr>
        <w:snapToGrid w:val="0"/>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6.评标办法：</w:t>
      </w:r>
    </w:p>
    <w:p w14:paraId="6F7FBE5A">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6.1本次招标评标采用</w:t>
      </w:r>
      <w:r>
        <w:rPr>
          <w:rFonts w:hint="eastAsia" w:ascii="宋体" w:hAnsi="宋体" w:cs="宋体"/>
          <w:color w:val="auto"/>
          <w:szCs w:val="21"/>
          <w:highlight w:val="none"/>
          <w:u w:val="single"/>
          <w:lang w:val="en-US" w:eastAsia="zh-CN"/>
        </w:rPr>
        <w:t>综合评分法</w:t>
      </w:r>
      <w:r>
        <w:rPr>
          <w:rFonts w:hint="eastAsia" w:ascii="宋体" w:hAnsi="宋体" w:cs="宋体"/>
          <w:color w:val="auto"/>
          <w:szCs w:val="21"/>
          <w:highlight w:val="none"/>
        </w:rPr>
        <w:t>（详见第三章评标办法）</w:t>
      </w:r>
    </w:p>
    <w:p w14:paraId="4687DD7E">
      <w:pPr>
        <w:snapToGrid w:val="0"/>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7.投标人资格：</w:t>
      </w:r>
    </w:p>
    <w:p w14:paraId="6B415C03">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7.1本项目投标人资格：见投标人须知前附表。</w:t>
      </w:r>
    </w:p>
    <w:p w14:paraId="208CCE20">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7.2根据电子化采购的特点，投标人参加本项目投标，投标人参加本项目投标，需在安徽省公共资源交易市场主体库（http://ggzy.ah.gov.cn/ahggfwpt-zhutiku/dengludenglu）登记并进行信息确认提交。</w:t>
      </w:r>
    </w:p>
    <w:p w14:paraId="336B331B">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7.3投标人必须确保自己在信息库中注册的信息真实、准确，并保证投标文件中的有关信息与库中的信息相一致。否则，投标人因此蒙受损失，招标人概不负责。</w:t>
      </w:r>
    </w:p>
    <w:p w14:paraId="124ACA00">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8. 投标费用</w:t>
      </w:r>
    </w:p>
    <w:p w14:paraId="672C81C4">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8.1投标人准备和参加投标活动发生的费用自理。</w:t>
      </w:r>
    </w:p>
    <w:p w14:paraId="5FE506B6">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9.</w:t>
      </w:r>
      <w:bookmarkStart w:id="75" w:name="_Toc152045539"/>
      <w:bookmarkStart w:id="76" w:name="_Toc152042315"/>
      <w:bookmarkStart w:id="77" w:name="_Toc144974507"/>
      <w:bookmarkStart w:id="78" w:name="_Toc247527563"/>
      <w:bookmarkStart w:id="79" w:name="_Toc296602429"/>
      <w:bookmarkStart w:id="80" w:name="_Toc247513962"/>
      <w:bookmarkStart w:id="81" w:name="_Toc247592876"/>
      <w:r>
        <w:rPr>
          <w:rFonts w:hint="eastAsia" w:ascii="宋体" w:hAnsi="宋体" w:cs="宋体"/>
          <w:b/>
          <w:color w:val="auto"/>
          <w:szCs w:val="21"/>
          <w:highlight w:val="none"/>
        </w:rPr>
        <w:t xml:space="preserve"> 踏勘现场</w:t>
      </w:r>
      <w:bookmarkEnd w:id="75"/>
      <w:bookmarkEnd w:id="76"/>
      <w:bookmarkEnd w:id="77"/>
      <w:bookmarkEnd w:id="78"/>
      <w:bookmarkEnd w:id="79"/>
      <w:bookmarkEnd w:id="80"/>
      <w:bookmarkEnd w:id="81"/>
    </w:p>
    <w:p w14:paraId="43FFC4A6">
      <w:pPr>
        <w:spacing w:line="440" w:lineRule="exact"/>
        <w:ind w:firstLine="409" w:firstLineChars="195"/>
        <w:jc w:val="left"/>
        <w:rPr>
          <w:rFonts w:hint="eastAsia" w:ascii="宋体" w:hAnsi="宋体" w:cs="宋体"/>
          <w:color w:val="auto"/>
          <w:szCs w:val="21"/>
          <w:highlight w:val="none"/>
        </w:rPr>
      </w:pPr>
      <w:r>
        <w:rPr>
          <w:rFonts w:hint="eastAsia" w:ascii="宋体" w:hAnsi="宋体" w:cs="宋体"/>
          <w:color w:val="auto"/>
          <w:szCs w:val="21"/>
          <w:highlight w:val="none"/>
        </w:rPr>
        <w:t xml:space="preserve">9.1 投标人须知前附表规定组织踏勘现场的，招标人按投标人须知前附表规定的时间、地点组织投标人踏勘项目现场。 </w:t>
      </w:r>
    </w:p>
    <w:p w14:paraId="38A5E69A">
      <w:pPr>
        <w:spacing w:line="440" w:lineRule="exact"/>
        <w:ind w:firstLine="409" w:firstLineChars="195"/>
        <w:jc w:val="left"/>
        <w:rPr>
          <w:rFonts w:hint="eastAsia" w:ascii="宋体" w:hAnsi="宋体" w:cs="宋体"/>
          <w:color w:val="auto"/>
          <w:szCs w:val="21"/>
          <w:highlight w:val="none"/>
        </w:rPr>
      </w:pPr>
      <w:r>
        <w:rPr>
          <w:rFonts w:hint="eastAsia" w:ascii="宋体" w:hAnsi="宋体" w:cs="宋体"/>
          <w:color w:val="auto"/>
          <w:szCs w:val="21"/>
          <w:highlight w:val="none"/>
        </w:rPr>
        <w:t>9.2 投标人踏勘现场发生的费用自理。</w:t>
      </w:r>
    </w:p>
    <w:p w14:paraId="131975F3">
      <w:pPr>
        <w:spacing w:line="440" w:lineRule="exact"/>
        <w:ind w:firstLine="409" w:firstLineChars="195"/>
        <w:jc w:val="left"/>
        <w:rPr>
          <w:rFonts w:hint="eastAsia" w:ascii="宋体" w:hAnsi="宋体" w:cs="宋体"/>
          <w:color w:val="auto"/>
          <w:szCs w:val="21"/>
          <w:highlight w:val="none"/>
        </w:rPr>
      </w:pPr>
      <w:r>
        <w:rPr>
          <w:rFonts w:hint="eastAsia" w:ascii="宋体" w:hAnsi="宋体" w:cs="宋体"/>
          <w:color w:val="auto"/>
          <w:szCs w:val="21"/>
          <w:highlight w:val="none"/>
        </w:rPr>
        <w:t>9.3 除招标人的原因外，投标人自行负责在踏勘现场中所发生的人员伤亡和财产损失。</w:t>
      </w:r>
    </w:p>
    <w:p w14:paraId="09CADD5B">
      <w:pPr>
        <w:spacing w:line="440" w:lineRule="exact"/>
        <w:ind w:firstLine="409" w:firstLineChars="195"/>
        <w:jc w:val="left"/>
        <w:rPr>
          <w:rFonts w:hint="eastAsia" w:ascii="宋体" w:hAnsi="宋体" w:cs="宋体"/>
          <w:color w:val="auto"/>
          <w:szCs w:val="21"/>
          <w:highlight w:val="none"/>
        </w:rPr>
      </w:pPr>
      <w:r>
        <w:rPr>
          <w:rFonts w:hint="eastAsia" w:ascii="宋体" w:hAnsi="宋体" w:cs="宋体"/>
          <w:color w:val="auto"/>
          <w:szCs w:val="21"/>
          <w:highlight w:val="none"/>
        </w:rPr>
        <w:t>9.4 招标人在踏勘现场中介绍的场地和相关的周边环境情况，供投标人在编制投标文件时参考，招标人不对投标人据此作出的判断和决策负责。</w:t>
      </w:r>
      <w:bookmarkStart w:id="82" w:name="_Toc247513963"/>
      <w:bookmarkStart w:id="83" w:name="_Toc247592877"/>
      <w:bookmarkStart w:id="84" w:name="_Toc296602430"/>
      <w:bookmarkStart w:id="85" w:name="_Toc152045540"/>
      <w:bookmarkStart w:id="86" w:name="_Toc152042316"/>
      <w:bookmarkStart w:id="87" w:name="_Toc144974508"/>
      <w:bookmarkStart w:id="88" w:name="_Toc247527564"/>
    </w:p>
    <w:p w14:paraId="034C135D">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10. 投标预备会</w:t>
      </w:r>
      <w:bookmarkEnd w:id="82"/>
      <w:bookmarkEnd w:id="83"/>
      <w:bookmarkEnd w:id="84"/>
      <w:bookmarkEnd w:id="85"/>
      <w:bookmarkEnd w:id="86"/>
      <w:bookmarkEnd w:id="87"/>
      <w:bookmarkEnd w:id="88"/>
      <w:r>
        <w:rPr>
          <w:rFonts w:hint="eastAsia" w:ascii="宋体" w:hAnsi="宋体" w:cs="宋体"/>
          <w:b/>
          <w:color w:val="auto"/>
          <w:szCs w:val="21"/>
          <w:highlight w:val="none"/>
        </w:rPr>
        <w:t>（本项目不采用）</w:t>
      </w:r>
    </w:p>
    <w:p w14:paraId="09A9474F">
      <w:pPr>
        <w:spacing w:line="440" w:lineRule="exact"/>
        <w:ind w:firstLine="409" w:firstLineChars="195"/>
        <w:jc w:val="left"/>
        <w:rPr>
          <w:rFonts w:hint="eastAsia" w:ascii="宋体" w:hAnsi="宋体" w:cs="宋体"/>
          <w:color w:val="auto"/>
          <w:szCs w:val="21"/>
          <w:highlight w:val="none"/>
        </w:rPr>
      </w:pPr>
      <w:r>
        <w:rPr>
          <w:rFonts w:hint="eastAsia" w:ascii="宋体" w:hAnsi="宋体" w:cs="宋体"/>
          <w:color w:val="auto"/>
          <w:szCs w:val="21"/>
          <w:highlight w:val="none"/>
        </w:rPr>
        <w:t>10.1投标人须知前附表规定召开投标预备会的，招标人按投标人须知前附表规定的时间和地点召开投标预备会，澄清投标人提出的问题。</w:t>
      </w:r>
    </w:p>
    <w:p w14:paraId="21EB3D2E">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11. 联合投标、合同分包</w:t>
      </w:r>
    </w:p>
    <w:p w14:paraId="7E36805A">
      <w:pPr>
        <w:pStyle w:val="15"/>
        <w:spacing w:after="0" w:line="440" w:lineRule="exact"/>
        <w:ind w:left="0" w:leftChars="0" w:firstLine="424" w:firstLineChars="202"/>
        <w:jc w:val="left"/>
        <w:rPr>
          <w:rFonts w:hint="eastAsia" w:ascii="宋体" w:hAnsi="宋体" w:cs="宋体"/>
          <w:color w:val="auto"/>
          <w:szCs w:val="21"/>
          <w:highlight w:val="none"/>
        </w:rPr>
      </w:pPr>
      <w:r>
        <w:rPr>
          <w:rFonts w:hint="eastAsia" w:ascii="宋体" w:hAnsi="宋体" w:cs="宋体"/>
          <w:color w:val="auto"/>
          <w:szCs w:val="21"/>
          <w:highlight w:val="none"/>
        </w:rPr>
        <w:t>11.1 两个以上投标人可以组成一个投标联合体，以一个投标人的身份投标。以联合体形式参加投标的，联合体各方均应当符合招标文件规定的条件。招标人根据采购项目的特殊要求规定投标人特定条件的，联合体各方中至少应当有一方符合招标人规定的特定条件。</w:t>
      </w:r>
    </w:p>
    <w:p w14:paraId="3AC3E0DC">
      <w:pPr>
        <w:pStyle w:val="15"/>
        <w:spacing w:after="0" w:line="440" w:lineRule="exact"/>
        <w:ind w:left="0" w:leftChars="0" w:firstLine="424" w:firstLineChars="202"/>
        <w:jc w:val="left"/>
        <w:rPr>
          <w:rFonts w:hint="eastAsia" w:ascii="宋体" w:hAnsi="宋体" w:cs="宋体"/>
          <w:color w:val="auto"/>
          <w:szCs w:val="21"/>
          <w:highlight w:val="none"/>
        </w:rPr>
      </w:pPr>
      <w:r>
        <w:rPr>
          <w:rFonts w:hint="eastAsia" w:ascii="宋体" w:hAnsi="宋体" w:cs="宋体"/>
          <w:color w:val="auto"/>
          <w:szCs w:val="21"/>
          <w:highlight w:val="none"/>
        </w:rPr>
        <w:t>11.2联合体各方之间应当签订共同投标协议，明确约定联合体各方承担的工作和相应的责任，并将共同投标协议连同投标文件一并提交招标人。联合体各方签订共同投标协议后，不得再以自己名义单独在同一项目中投标，也不得组成新的联合体参加同一项目投标。</w:t>
      </w:r>
    </w:p>
    <w:p w14:paraId="7D77458F">
      <w:pPr>
        <w:pStyle w:val="15"/>
        <w:spacing w:after="0" w:line="440" w:lineRule="exact"/>
        <w:ind w:left="0" w:leftChars="0" w:firstLine="424" w:firstLineChars="202"/>
        <w:jc w:val="left"/>
        <w:rPr>
          <w:rFonts w:hint="eastAsia" w:ascii="宋体" w:hAnsi="宋体" w:cs="宋体"/>
          <w:color w:val="auto"/>
          <w:szCs w:val="21"/>
          <w:highlight w:val="none"/>
        </w:rPr>
      </w:pPr>
      <w:r>
        <w:rPr>
          <w:rFonts w:hint="eastAsia" w:ascii="宋体" w:hAnsi="宋体" w:cs="宋体"/>
          <w:color w:val="auto"/>
          <w:szCs w:val="21"/>
          <w:highlight w:val="none"/>
        </w:rPr>
        <w:t>11.3 联合体应当确定其中一个单位为投标的全权代表，负责参加投标的一切事务，并承担投标及履约中应承担的全部责任与义务。</w:t>
      </w:r>
    </w:p>
    <w:p w14:paraId="1EA43116">
      <w:pPr>
        <w:pStyle w:val="15"/>
        <w:spacing w:after="0" w:line="440" w:lineRule="exact"/>
        <w:ind w:left="0" w:leftChars="0" w:firstLine="424" w:firstLineChars="202"/>
        <w:jc w:val="left"/>
        <w:rPr>
          <w:rFonts w:hint="eastAsia" w:ascii="宋体" w:hAnsi="宋体" w:cs="宋体"/>
          <w:color w:val="auto"/>
          <w:szCs w:val="21"/>
          <w:highlight w:val="none"/>
        </w:rPr>
      </w:pPr>
      <w:r>
        <w:rPr>
          <w:rFonts w:hint="eastAsia" w:ascii="宋体" w:hAnsi="宋体" w:cs="宋体"/>
          <w:color w:val="auto"/>
          <w:szCs w:val="21"/>
          <w:highlight w:val="none"/>
        </w:rPr>
        <w:t>11.4 联合体各方应当共同与招标人签订采购合同，就采购合同约定的事项对招标人承担连带责任。</w:t>
      </w:r>
    </w:p>
    <w:p w14:paraId="44906147">
      <w:pPr>
        <w:pStyle w:val="15"/>
        <w:spacing w:after="0" w:line="440" w:lineRule="exact"/>
        <w:ind w:left="0" w:leftChars="0" w:firstLine="424" w:firstLineChars="202"/>
        <w:jc w:val="left"/>
        <w:rPr>
          <w:rFonts w:hint="eastAsia" w:ascii="宋体" w:hAnsi="宋体" w:cs="宋体"/>
          <w:color w:val="auto"/>
          <w:szCs w:val="21"/>
          <w:highlight w:val="none"/>
        </w:rPr>
      </w:pPr>
      <w:r>
        <w:rPr>
          <w:rFonts w:hint="eastAsia" w:ascii="宋体" w:hAnsi="宋体" w:cs="宋体"/>
          <w:color w:val="auto"/>
          <w:szCs w:val="21"/>
          <w:highlight w:val="none"/>
        </w:rPr>
        <w:t>11.5 联合体中有同类资质的供应商按照联合体分工承担相同工作的，应当按照资质等级较低的供应商确定资质等级。</w:t>
      </w:r>
    </w:p>
    <w:p w14:paraId="5CA274EB">
      <w:pPr>
        <w:spacing w:line="440" w:lineRule="exact"/>
        <w:ind w:firstLine="413" w:firstLineChars="196"/>
        <w:jc w:val="left"/>
        <w:rPr>
          <w:rFonts w:hint="eastAsia" w:ascii="宋体" w:hAnsi="宋体" w:cs="宋体"/>
          <w:b/>
          <w:color w:val="auto"/>
          <w:szCs w:val="21"/>
          <w:highlight w:val="none"/>
        </w:rPr>
      </w:pPr>
      <w:r>
        <w:rPr>
          <w:rFonts w:hint="eastAsia" w:ascii="宋体" w:hAnsi="宋体" w:cs="宋体"/>
          <w:b/>
          <w:color w:val="auto"/>
          <w:szCs w:val="21"/>
          <w:highlight w:val="none"/>
        </w:rPr>
        <w:t>12.招标代理费和专家评审劳务费</w:t>
      </w:r>
    </w:p>
    <w:p w14:paraId="6C9D3FE7">
      <w:pPr>
        <w:spacing w:line="440" w:lineRule="exact"/>
        <w:ind w:firstLine="420" w:firstLineChars="200"/>
        <w:jc w:val="left"/>
        <w:rPr>
          <w:rFonts w:hint="eastAsia" w:ascii="宋体" w:hAnsi="宋体" w:cs="宋体"/>
          <w:bCs/>
          <w:color w:val="auto"/>
          <w:szCs w:val="21"/>
          <w:highlight w:val="none"/>
        </w:rPr>
      </w:pPr>
      <w:r>
        <w:rPr>
          <w:rFonts w:hint="eastAsia" w:ascii="宋体" w:hAnsi="宋体" w:cs="宋体"/>
          <w:bCs/>
          <w:color w:val="auto"/>
          <w:szCs w:val="21"/>
          <w:highlight w:val="none"/>
        </w:rPr>
        <w:t>12.1 招标代理费：见投标人须知前附表。</w:t>
      </w:r>
    </w:p>
    <w:p w14:paraId="5034621C">
      <w:pPr>
        <w:spacing w:line="440" w:lineRule="exact"/>
        <w:ind w:firstLine="420" w:firstLineChars="200"/>
        <w:jc w:val="left"/>
        <w:rPr>
          <w:rFonts w:hint="eastAsia" w:ascii="宋体" w:hAnsi="宋体" w:cs="宋体"/>
          <w:color w:val="auto"/>
          <w:szCs w:val="21"/>
          <w:highlight w:val="none"/>
        </w:rPr>
      </w:pPr>
      <w:r>
        <w:rPr>
          <w:rFonts w:hint="eastAsia" w:ascii="宋体" w:hAnsi="宋体" w:cs="宋体"/>
          <w:bCs/>
          <w:color w:val="auto"/>
          <w:szCs w:val="21"/>
          <w:highlight w:val="none"/>
        </w:rPr>
        <w:t>12.2 专家评审劳务费：见投标人须知前附表</w:t>
      </w:r>
      <w:r>
        <w:rPr>
          <w:rFonts w:hint="eastAsia" w:ascii="宋体" w:hAnsi="宋体" w:cs="宋体"/>
          <w:color w:val="auto"/>
          <w:szCs w:val="21"/>
          <w:highlight w:val="none"/>
        </w:rPr>
        <w:t>。</w:t>
      </w:r>
    </w:p>
    <w:p w14:paraId="759C57E1">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13.投标人应注意的事项</w:t>
      </w:r>
    </w:p>
    <w:p w14:paraId="10B90F4B">
      <w:pPr>
        <w:pStyle w:val="35"/>
        <w:spacing w:after="0" w:line="440" w:lineRule="exact"/>
        <w:ind w:left="0" w:leftChars="0"/>
        <w:jc w:val="left"/>
        <w:rPr>
          <w:rFonts w:hint="eastAsia" w:ascii="宋体" w:hAnsi="宋体" w:cs="宋体"/>
          <w:color w:val="auto"/>
          <w:szCs w:val="21"/>
          <w:highlight w:val="none"/>
        </w:rPr>
      </w:pPr>
      <w:r>
        <w:rPr>
          <w:rFonts w:hint="eastAsia" w:ascii="宋体" w:hAnsi="宋体" w:cs="宋体"/>
          <w:color w:val="auto"/>
          <w:szCs w:val="21"/>
          <w:highlight w:val="none"/>
        </w:rPr>
        <w:t>13.1投标人一旦参加投标，即被认为接受了本招标文件中的所有条件和规定。投标人必须严格按招标文件的要求编制投标文件，以便评委审核。否则，由此产生的一切后果由投标人承担。</w:t>
      </w:r>
    </w:p>
    <w:p w14:paraId="0BEA3ED5">
      <w:pPr>
        <w:pStyle w:val="35"/>
        <w:spacing w:after="0" w:line="440" w:lineRule="exact"/>
        <w:ind w:left="0" w:leftChars="0"/>
        <w:jc w:val="left"/>
        <w:rPr>
          <w:rFonts w:hint="eastAsia" w:ascii="宋体" w:hAnsi="宋体" w:cs="宋体"/>
          <w:color w:val="auto"/>
          <w:szCs w:val="21"/>
          <w:highlight w:val="none"/>
        </w:rPr>
      </w:pPr>
      <w:r>
        <w:rPr>
          <w:rFonts w:hint="eastAsia" w:ascii="宋体" w:hAnsi="宋体" w:cs="宋体"/>
          <w:color w:val="auto"/>
          <w:szCs w:val="21"/>
          <w:highlight w:val="none"/>
        </w:rPr>
        <w:t>13.2投标人对采购内容中规定的技术参数、规格、数量和要求等必须最大限度的满足招标文件的相关要求。</w:t>
      </w:r>
    </w:p>
    <w:p w14:paraId="7B74FF27">
      <w:pPr>
        <w:pStyle w:val="35"/>
        <w:spacing w:after="0" w:line="440" w:lineRule="exact"/>
        <w:ind w:left="0" w:leftChars="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13.3推荐品牌有助于投标人选择所投产品，仅供参考，并无限制性，可以选择性能不低于推荐品牌的产品，但所投产品的技术参数，要最大限度满足招标文件提供的详细参数。</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本项目不采用</w:t>
      </w:r>
      <w:r>
        <w:rPr>
          <w:rFonts w:hint="eastAsia" w:ascii="宋体" w:hAnsi="宋体" w:cs="宋体"/>
          <w:color w:val="auto"/>
          <w:szCs w:val="21"/>
          <w:highlight w:val="none"/>
          <w:lang w:eastAsia="zh-CN"/>
        </w:rPr>
        <w:t>）</w:t>
      </w:r>
    </w:p>
    <w:p w14:paraId="529ED1E6">
      <w:pPr>
        <w:pStyle w:val="35"/>
        <w:spacing w:after="0" w:line="440" w:lineRule="exact"/>
        <w:ind w:left="0" w:leftChars="0"/>
        <w:jc w:val="left"/>
        <w:rPr>
          <w:rFonts w:hint="eastAsia" w:ascii="宋体" w:hAnsi="宋体" w:cs="宋体"/>
          <w:color w:val="auto"/>
          <w:szCs w:val="21"/>
          <w:highlight w:val="none"/>
        </w:rPr>
      </w:pPr>
      <w:r>
        <w:rPr>
          <w:rFonts w:hint="eastAsia" w:ascii="宋体" w:hAnsi="宋体" w:cs="宋体"/>
          <w:color w:val="auto"/>
          <w:szCs w:val="21"/>
          <w:highlight w:val="none"/>
        </w:rPr>
        <w:t>13.4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p>
    <w:p w14:paraId="799E7B93">
      <w:pPr>
        <w:pStyle w:val="35"/>
        <w:spacing w:after="0" w:line="440" w:lineRule="exact"/>
        <w:ind w:left="0" w:leftChars="0"/>
        <w:jc w:val="left"/>
        <w:rPr>
          <w:rFonts w:hint="eastAsia" w:ascii="宋体" w:hAnsi="宋体" w:cs="宋体"/>
          <w:color w:val="auto"/>
          <w:szCs w:val="21"/>
          <w:highlight w:val="none"/>
        </w:rPr>
      </w:pPr>
      <w:r>
        <w:rPr>
          <w:rFonts w:hint="eastAsia" w:ascii="宋体" w:hAnsi="宋体" w:cs="宋体"/>
          <w:color w:val="auto"/>
          <w:szCs w:val="21"/>
          <w:highlight w:val="none"/>
        </w:rPr>
        <w:t>13.5  投标人被视为充分熟悉本招标项目所在地的与履行合同有关的各种情况，包括但不限于：</w:t>
      </w:r>
    </w:p>
    <w:p w14:paraId="3E4496F7">
      <w:pPr>
        <w:pStyle w:val="35"/>
        <w:spacing w:after="0" w:line="440" w:lineRule="exact"/>
        <w:ind w:left="0" w:leftChars="0"/>
        <w:jc w:val="left"/>
        <w:rPr>
          <w:rFonts w:hint="eastAsia" w:ascii="宋体" w:hAnsi="宋体" w:cs="宋体"/>
          <w:color w:val="auto"/>
          <w:szCs w:val="21"/>
          <w:highlight w:val="none"/>
        </w:rPr>
      </w:pPr>
      <w:r>
        <w:rPr>
          <w:rFonts w:hint="eastAsia" w:ascii="宋体" w:hAnsi="宋体" w:cs="宋体"/>
          <w:color w:val="auto"/>
          <w:szCs w:val="21"/>
          <w:highlight w:val="none"/>
        </w:rPr>
        <w:t>（1）国家对本次投标货物和服务的生产、安装调试、验收、维修等有关法律、法规及行业管理标准；</w:t>
      </w:r>
    </w:p>
    <w:p w14:paraId="09243678">
      <w:pPr>
        <w:pStyle w:val="35"/>
        <w:spacing w:after="0" w:line="440" w:lineRule="exact"/>
        <w:ind w:left="0" w:leftChars="0"/>
        <w:jc w:val="left"/>
        <w:rPr>
          <w:rFonts w:hint="eastAsia" w:ascii="宋体" w:hAnsi="宋体" w:cs="宋体"/>
          <w:color w:val="auto"/>
          <w:szCs w:val="21"/>
          <w:highlight w:val="none"/>
        </w:rPr>
      </w:pPr>
      <w:r>
        <w:rPr>
          <w:rFonts w:hint="eastAsia" w:ascii="宋体" w:hAnsi="宋体" w:cs="宋体"/>
          <w:color w:val="auto"/>
          <w:szCs w:val="21"/>
          <w:highlight w:val="none"/>
        </w:rPr>
        <w:t>（2）安徽省及滁州市等有关管理部门的相关规定；</w:t>
      </w:r>
    </w:p>
    <w:p w14:paraId="5E26C6EE">
      <w:pPr>
        <w:pStyle w:val="35"/>
        <w:spacing w:after="0" w:line="440" w:lineRule="exact"/>
        <w:ind w:left="0" w:leftChars="0"/>
        <w:jc w:val="left"/>
        <w:rPr>
          <w:rFonts w:hint="eastAsia" w:ascii="宋体" w:hAnsi="宋体" w:cs="宋体"/>
          <w:color w:val="auto"/>
          <w:szCs w:val="21"/>
          <w:highlight w:val="none"/>
        </w:rPr>
      </w:pPr>
      <w:r>
        <w:rPr>
          <w:rFonts w:hint="eastAsia" w:ascii="宋体" w:hAnsi="宋体" w:cs="宋体"/>
          <w:color w:val="auto"/>
          <w:szCs w:val="21"/>
          <w:highlight w:val="none"/>
        </w:rPr>
        <w:t>（3）招标人的相关场地情况、基础建设、电力供应情况及相关设计标准。</w:t>
      </w:r>
    </w:p>
    <w:p w14:paraId="64086C13">
      <w:pPr>
        <w:pStyle w:val="35"/>
        <w:spacing w:after="0" w:line="440" w:lineRule="exact"/>
        <w:ind w:left="0" w:leftChars="0"/>
        <w:jc w:val="left"/>
        <w:rPr>
          <w:rFonts w:hint="eastAsia" w:ascii="宋体" w:hAnsi="宋体" w:cs="宋体"/>
          <w:color w:val="auto"/>
          <w:szCs w:val="21"/>
          <w:highlight w:val="none"/>
        </w:rPr>
      </w:pPr>
      <w:r>
        <w:rPr>
          <w:rFonts w:hint="eastAsia" w:ascii="宋体" w:hAnsi="宋体" w:cs="宋体"/>
          <w:color w:val="auto"/>
          <w:szCs w:val="21"/>
          <w:highlight w:val="none"/>
        </w:rPr>
        <w:t>本招标文件不再对上述情况进行描述。</w:t>
      </w:r>
    </w:p>
    <w:p w14:paraId="341C5ABE">
      <w:pPr>
        <w:pStyle w:val="35"/>
        <w:spacing w:after="0" w:line="440" w:lineRule="exact"/>
        <w:ind w:left="0" w:leftChars="0"/>
        <w:jc w:val="left"/>
        <w:rPr>
          <w:rFonts w:hint="eastAsia" w:ascii="宋体" w:hAnsi="宋体" w:cs="宋体"/>
          <w:color w:val="auto"/>
          <w:szCs w:val="21"/>
          <w:highlight w:val="none"/>
        </w:rPr>
      </w:pPr>
      <w:r>
        <w:rPr>
          <w:rFonts w:hint="eastAsia" w:ascii="宋体" w:hAnsi="宋体" w:cs="宋体"/>
          <w:color w:val="auto"/>
          <w:szCs w:val="21"/>
          <w:highlight w:val="none"/>
        </w:rPr>
        <w:t>13.6  凡投标人在我市公共资源交易活动中出现违法违规、破坏市场秩序等不良行为且被监管部门处罚的，一律在滁州市公共资源交易网等相关网站曝光。</w:t>
      </w:r>
    </w:p>
    <w:p w14:paraId="331A6332">
      <w:pPr>
        <w:pStyle w:val="35"/>
        <w:spacing w:after="0" w:line="440" w:lineRule="exact"/>
        <w:ind w:left="0" w:leftChars="0"/>
        <w:jc w:val="left"/>
        <w:rPr>
          <w:rFonts w:hint="eastAsia" w:ascii="宋体" w:hAnsi="宋体" w:cs="宋体"/>
          <w:color w:val="auto"/>
          <w:szCs w:val="21"/>
          <w:highlight w:val="none"/>
        </w:rPr>
      </w:pPr>
      <w:r>
        <w:rPr>
          <w:rFonts w:hint="eastAsia" w:ascii="宋体" w:hAnsi="宋体" w:cs="宋体"/>
          <w:color w:val="auto"/>
          <w:szCs w:val="21"/>
          <w:highlight w:val="none"/>
        </w:rPr>
        <w:t>13.7  投标人的不良行为、失信行为及行政处罚等效力不因企业名称的变更而改变。</w:t>
      </w:r>
    </w:p>
    <w:p w14:paraId="5F20FDFE">
      <w:pPr>
        <w:pStyle w:val="35"/>
        <w:spacing w:after="0" w:line="440" w:lineRule="exact"/>
        <w:ind w:left="0" w:leftChars="0"/>
        <w:jc w:val="left"/>
        <w:rPr>
          <w:rFonts w:hint="eastAsia" w:ascii="宋体" w:hAnsi="宋体" w:cs="宋体"/>
          <w:color w:val="auto"/>
          <w:szCs w:val="21"/>
          <w:highlight w:val="none"/>
        </w:rPr>
      </w:pPr>
      <w:r>
        <w:rPr>
          <w:rFonts w:hint="eastAsia" w:ascii="宋体" w:hAnsi="宋体" w:cs="宋体"/>
          <w:color w:val="auto"/>
          <w:szCs w:val="21"/>
          <w:highlight w:val="none"/>
        </w:rPr>
        <w:t>13.8  中标候选人无正当理由放弃中标候选人资格的，其将被记不良信息记录。</w:t>
      </w:r>
    </w:p>
    <w:p w14:paraId="248ED4D0">
      <w:pPr>
        <w:pStyle w:val="35"/>
        <w:spacing w:after="0" w:line="440" w:lineRule="exact"/>
        <w:ind w:left="0" w:leftChars="0"/>
        <w:jc w:val="left"/>
        <w:rPr>
          <w:rFonts w:ascii="宋体" w:hAnsi="宋体" w:cs="宋体"/>
          <w:color w:val="auto"/>
          <w:szCs w:val="21"/>
          <w:highlight w:val="none"/>
        </w:rPr>
      </w:pPr>
      <w:r>
        <w:rPr>
          <w:rFonts w:hint="eastAsia" w:ascii="宋体" w:hAnsi="宋体" w:cs="宋体"/>
          <w:color w:val="auto"/>
          <w:szCs w:val="21"/>
          <w:highlight w:val="none"/>
        </w:rPr>
        <w:t>13.9  若存在不予退还投标人投标保证金的情形，银行转账的，由市公共资源交易中心代为收缴，递交保函、支票、汇票、本票的，由招标人予以追缴。</w:t>
      </w:r>
    </w:p>
    <w:p w14:paraId="25DDF305">
      <w:pPr>
        <w:spacing w:before="156" w:beforeLines="50" w:after="156" w:afterLines="50" w:line="440" w:lineRule="exact"/>
        <w:jc w:val="center"/>
        <w:rPr>
          <w:rFonts w:hint="eastAsia" w:ascii="宋体" w:hAnsi="宋体" w:cs="宋体"/>
          <w:b/>
          <w:color w:val="auto"/>
          <w:sz w:val="28"/>
          <w:szCs w:val="28"/>
          <w:highlight w:val="none"/>
        </w:rPr>
      </w:pPr>
      <w:bookmarkStart w:id="89" w:name="_Toc449028868"/>
      <w:r>
        <w:rPr>
          <w:rFonts w:hint="eastAsia" w:ascii="宋体" w:hAnsi="宋体" w:cs="宋体"/>
          <w:b/>
          <w:color w:val="auto"/>
          <w:sz w:val="28"/>
          <w:szCs w:val="28"/>
          <w:highlight w:val="none"/>
        </w:rPr>
        <w:t>（二）</w:t>
      </w:r>
      <w:bookmarkEnd w:id="89"/>
      <w:r>
        <w:rPr>
          <w:rFonts w:hint="eastAsia" w:ascii="宋体" w:hAnsi="宋体" w:cs="宋体"/>
          <w:b/>
          <w:color w:val="auto"/>
          <w:sz w:val="28"/>
          <w:szCs w:val="28"/>
          <w:highlight w:val="none"/>
        </w:rPr>
        <w:t>招标文件</w:t>
      </w:r>
    </w:p>
    <w:p w14:paraId="587EEFF7">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14. 招标文件的编制依据</w:t>
      </w:r>
    </w:p>
    <w:p w14:paraId="016DEF42">
      <w:pPr>
        <w:spacing w:line="440" w:lineRule="exact"/>
        <w:ind w:firstLine="412" w:firstLineChars="200"/>
        <w:jc w:val="left"/>
        <w:rPr>
          <w:rFonts w:hint="eastAsia" w:ascii="宋体" w:hAnsi="宋体" w:cs="宋体"/>
          <w:color w:val="auto"/>
          <w:spacing w:val="-2"/>
          <w:szCs w:val="21"/>
          <w:highlight w:val="none"/>
        </w:rPr>
      </w:pPr>
      <w:r>
        <w:rPr>
          <w:rFonts w:hint="eastAsia" w:ascii="宋体" w:hAnsi="宋体" w:cs="宋体"/>
          <w:color w:val="auto"/>
          <w:spacing w:val="-2"/>
          <w:szCs w:val="21"/>
          <w:highlight w:val="none"/>
        </w:rPr>
        <w:t>根据《中华人民共和国招标投标法》、《中华人民共和国招标投标法实施条例》和</w:t>
      </w:r>
      <w:r>
        <w:rPr>
          <w:rFonts w:hint="eastAsia" w:ascii="宋体"/>
          <w:color w:val="auto"/>
          <w:szCs w:val="21"/>
          <w:highlight w:val="none"/>
          <w:lang w:eastAsia="zh-CN"/>
        </w:rPr>
        <w:t>《电子招标投标办法》</w:t>
      </w:r>
      <w:r>
        <w:rPr>
          <w:rFonts w:hint="eastAsia" w:ascii="宋体" w:hAnsi="宋体" w:cs="宋体"/>
          <w:color w:val="auto"/>
          <w:spacing w:val="-2"/>
          <w:szCs w:val="21"/>
          <w:highlight w:val="none"/>
        </w:rPr>
        <w:t>等相关法律法规和规章及部、省、市级规范性文件的规定，编制本招标文件。</w:t>
      </w:r>
    </w:p>
    <w:p w14:paraId="06B420E3">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15. 招标文件的组成</w:t>
      </w:r>
    </w:p>
    <w:p w14:paraId="475E6919">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15.1 招标文件包括内容：</w:t>
      </w:r>
    </w:p>
    <w:p w14:paraId="17768608">
      <w:pPr>
        <w:spacing w:line="440" w:lineRule="exact"/>
        <w:ind w:firstLine="1470" w:firstLineChars="700"/>
        <w:jc w:val="left"/>
        <w:rPr>
          <w:rFonts w:hint="eastAsia" w:ascii="宋体" w:hAnsi="宋体" w:cs="宋体"/>
          <w:color w:val="auto"/>
          <w:szCs w:val="21"/>
          <w:highlight w:val="none"/>
        </w:rPr>
      </w:pPr>
      <w:r>
        <w:rPr>
          <w:rFonts w:hint="eastAsia" w:ascii="宋体" w:hAnsi="宋体" w:cs="宋体"/>
          <w:color w:val="auto"/>
          <w:szCs w:val="21"/>
          <w:highlight w:val="none"/>
        </w:rPr>
        <w:t>第一章  招标公告</w:t>
      </w:r>
    </w:p>
    <w:p w14:paraId="3C49FA01">
      <w:pPr>
        <w:spacing w:line="440" w:lineRule="exact"/>
        <w:ind w:firstLine="1470" w:firstLineChars="700"/>
        <w:jc w:val="left"/>
        <w:rPr>
          <w:rFonts w:hint="eastAsia" w:ascii="宋体" w:hAnsi="宋体" w:cs="宋体"/>
          <w:color w:val="auto"/>
          <w:szCs w:val="21"/>
          <w:highlight w:val="none"/>
        </w:rPr>
      </w:pPr>
      <w:r>
        <w:rPr>
          <w:rFonts w:hint="eastAsia" w:ascii="宋体" w:hAnsi="宋体" w:cs="宋体"/>
          <w:color w:val="auto"/>
          <w:szCs w:val="21"/>
          <w:highlight w:val="none"/>
        </w:rPr>
        <w:t>第二章  投标人须知</w:t>
      </w:r>
    </w:p>
    <w:p w14:paraId="7802F444">
      <w:pPr>
        <w:spacing w:line="440" w:lineRule="exact"/>
        <w:ind w:firstLine="1470" w:firstLineChars="700"/>
        <w:jc w:val="left"/>
        <w:rPr>
          <w:rFonts w:hint="eastAsia" w:ascii="宋体" w:hAnsi="宋体" w:cs="宋体"/>
          <w:color w:val="auto"/>
          <w:szCs w:val="21"/>
          <w:highlight w:val="none"/>
        </w:rPr>
      </w:pPr>
      <w:r>
        <w:rPr>
          <w:rFonts w:hint="eastAsia" w:ascii="宋体" w:hAnsi="宋体" w:cs="宋体"/>
          <w:color w:val="auto"/>
          <w:szCs w:val="21"/>
          <w:highlight w:val="none"/>
        </w:rPr>
        <w:t>第三章  评标办法</w:t>
      </w:r>
    </w:p>
    <w:p w14:paraId="1055B1CB">
      <w:pPr>
        <w:spacing w:line="440" w:lineRule="exact"/>
        <w:ind w:firstLine="1470" w:firstLineChars="700"/>
        <w:jc w:val="left"/>
        <w:rPr>
          <w:rFonts w:hint="eastAsia" w:ascii="宋体" w:hAnsi="宋体" w:cs="宋体"/>
          <w:color w:val="auto"/>
          <w:szCs w:val="21"/>
          <w:highlight w:val="none"/>
        </w:rPr>
      </w:pPr>
      <w:r>
        <w:rPr>
          <w:rFonts w:hint="eastAsia" w:ascii="宋体" w:hAnsi="宋体" w:cs="宋体"/>
          <w:color w:val="auto"/>
          <w:szCs w:val="21"/>
          <w:highlight w:val="none"/>
        </w:rPr>
        <w:t>第四章  采购需求</w:t>
      </w:r>
    </w:p>
    <w:p w14:paraId="31279345">
      <w:pPr>
        <w:spacing w:line="440" w:lineRule="exact"/>
        <w:ind w:firstLine="1470" w:firstLineChars="700"/>
        <w:jc w:val="left"/>
        <w:rPr>
          <w:rFonts w:hint="eastAsia" w:ascii="宋体" w:hAnsi="宋体" w:cs="宋体"/>
          <w:color w:val="auto"/>
          <w:szCs w:val="21"/>
          <w:highlight w:val="none"/>
        </w:rPr>
      </w:pPr>
      <w:r>
        <w:rPr>
          <w:rFonts w:hint="eastAsia" w:ascii="宋体" w:hAnsi="宋体" w:cs="宋体"/>
          <w:color w:val="auto"/>
          <w:szCs w:val="21"/>
          <w:highlight w:val="none"/>
        </w:rPr>
        <w:t>第五章  合同条款及格式</w:t>
      </w:r>
    </w:p>
    <w:p w14:paraId="7039D3E0">
      <w:pPr>
        <w:spacing w:line="440" w:lineRule="exact"/>
        <w:ind w:firstLine="1470" w:firstLineChars="700"/>
        <w:jc w:val="left"/>
        <w:rPr>
          <w:rFonts w:hint="eastAsia" w:ascii="宋体" w:hAnsi="宋体" w:cs="宋体"/>
          <w:color w:val="auto"/>
          <w:szCs w:val="21"/>
          <w:highlight w:val="none"/>
        </w:rPr>
      </w:pPr>
      <w:r>
        <w:rPr>
          <w:rFonts w:hint="eastAsia" w:ascii="宋体" w:hAnsi="宋体" w:cs="宋体"/>
          <w:color w:val="auto"/>
          <w:szCs w:val="21"/>
          <w:highlight w:val="none"/>
        </w:rPr>
        <w:t>第六章  投标文件格式</w:t>
      </w:r>
    </w:p>
    <w:p w14:paraId="0D19F85B">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 xml:space="preserve">   15.2 除15.1款内容外，招标答疑亦为招标文件的组成部分，对招标人和投标人起约束作用。</w:t>
      </w:r>
    </w:p>
    <w:p w14:paraId="1C2E106A">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 xml:space="preserve">   15.3投标人应仔细阅读和检查招标文件的全部内容。如发现缺页或附件不全，应及时向招标人提出，以便补齐。</w:t>
      </w:r>
    </w:p>
    <w:p w14:paraId="176A97A4">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 xml:space="preserve">   15.4 投标人可以通过电子交易系统对招标文件提出澄清（质疑）。招标文件的澄清将在滁州市公共资源交易中心（http:// ggzy.chuzhou.gov.cn/）发布，但不指明澄清问题的来源。如果澄清内容影响投标文件编制的，将相应延长投标截止时间。</w:t>
      </w:r>
    </w:p>
    <w:p w14:paraId="42D27C51">
      <w:pPr>
        <w:spacing w:line="440" w:lineRule="exact"/>
        <w:ind w:firstLine="422" w:firstLineChars="200"/>
        <w:jc w:val="left"/>
        <w:rPr>
          <w:rFonts w:hint="eastAsia" w:ascii="宋体" w:hAnsi="宋体" w:cs="宋体"/>
          <w:b/>
          <w:bCs/>
          <w:color w:val="auto"/>
          <w:szCs w:val="21"/>
          <w:highlight w:val="none"/>
        </w:rPr>
      </w:pPr>
      <w:r>
        <w:rPr>
          <w:rFonts w:hint="eastAsia" w:ascii="宋体" w:hAnsi="宋体" w:cs="宋体"/>
          <w:b/>
          <w:bCs/>
          <w:color w:val="auto"/>
          <w:szCs w:val="21"/>
          <w:highlight w:val="none"/>
        </w:rPr>
        <w:t>16. 招标文件的修改、补充、解释</w:t>
      </w:r>
    </w:p>
    <w:p w14:paraId="4D385B43">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16.1 招标文件发出后，招标人在规定的投标截止时间前可对招标文件进行必要的修改和补充，并以更正公告形式在滁州市公共资源交易中心（http://ggzy.chuzhou.gov.cn/）予以公告，请各位投标人注意查看有关澄清内容，如不及时查看造成后果由投标人自负。招标文件的修改、补充等内容作为招标文件的组成部分，具有约束作用。</w:t>
      </w:r>
    </w:p>
    <w:p w14:paraId="05D8FE34">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16.2 投标人应在投标截止时间前关注原采购信息发布媒体上有关本项目有无变更公告，如不及时查看造成后果由投标人自负。</w:t>
      </w:r>
    </w:p>
    <w:p w14:paraId="6D902AD2">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16.3招标文件的解释</w:t>
      </w:r>
    </w:p>
    <w:p w14:paraId="3724E411">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（1）构成本招标文件的各个组成文件应互为解释，互为说明；</w:t>
      </w:r>
    </w:p>
    <w:p w14:paraId="3D28D3C1">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（2）同一组成文件中就同一事项的规定或约定不一致的，以编排顺序在后者为准；</w:t>
      </w:r>
    </w:p>
    <w:p w14:paraId="425A6505">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（3）如有不明确或不一致，构成合同文件组成内容的，以合同文件约定内容为准，且以专用合同条款约定的合同文件优先顺序解释；</w:t>
      </w:r>
    </w:p>
    <w:p w14:paraId="4FB60914">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（4）系统中提供的表格（或格式文件）与招标文件中不一致时，以招标文件中提供的为准；</w:t>
      </w:r>
    </w:p>
    <w:p w14:paraId="18E0B5BE">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（5）按本款前述规定仍不能形成结论的，由招标人（或其委托的代理机构）负责解释。</w:t>
      </w:r>
    </w:p>
    <w:p w14:paraId="5EF8A1D6">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17. 招标文件的发出</w:t>
      </w:r>
    </w:p>
    <w:p w14:paraId="43E50431">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17.1  招标文件、招标文件的澄清、修改、补充及招标答疑等均</w:t>
      </w:r>
      <w:r>
        <w:rPr>
          <w:rFonts w:hint="eastAsia" w:ascii="宋体" w:hAnsi="宋体" w:cs="宋体"/>
          <w:color w:val="auto"/>
          <w:szCs w:val="21"/>
          <w:highlight w:val="none"/>
          <w:lang w:eastAsia="zh-CN"/>
        </w:rPr>
        <w:t>通过滁州市公共资源交易中心网站发布</w:t>
      </w:r>
      <w:r>
        <w:rPr>
          <w:rFonts w:hint="eastAsia" w:ascii="宋体" w:hAnsi="宋体" w:cs="宋体"/>
          <w:color w:val="auto"/>
          <w:szCs w:val="21"/>
          <w:highlight w:val="none"/>
        </w:rPr>
        <w:t>。</w:t>
      </w:r>
    </w:p>
    <w:p w14:paraId="4F358AC8">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18. 样品（本项目不需要提供样品）</w:t>
      </w:r>
    </w:p>
    <w:p w14:paraId="7BC62B94">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18.1凡需要设置样品情形时，必须明确是否需要随样品提交检测报告，并明确检测机构的要求、检测内容、中标样品封存等事项。（评标委员会无法判断样品是否合格且样品需要提供给第三方权威检测机构检测的,在投标人提供招标人认可的第三方权威检测机构检测报告后，评标委员会推荐的中标候选人方可生效，招标人或代理机构发布中标（成交）结果公告。</w:t>
      </w:r>
    </w:p>
    <w:p w14:paraId="2B82D6ED">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18.2招标文件中应明确样品送检方式、检测费用支付方法、投标人在规定时间内无法提供第三方权威检测机构检测报告的处理方式。（招标人根据项目需求按上述要求自行描述）</w:t>
      </w:r>
    </w:p>
    <w:p w14:paraId="6D8EF6BF">
      <w:pPr>
        <w:spacing w:before="156" w:beforeLines="50" w:after="156" w:afterLines="50" w:line="440" w:lineRule="exact"/>
        <w:jc w:val="center"/>
        <w:rPr>
          <w:rFonts w:hint="eastAsia" w:ascii="宋体" w:hAnsi="宋体" w:cs="宋体"/>
          <w:b/>
          <w:color w:val="auto"/>
          <w:sz w:val="28"/>
          <w:szCs w:val="28"/>
          <w:highlight w:val="none"/>
        </w:rPr>
      </w:pPr>
      <w:bookmarkStart w:id="90" w:name="_Toc449028869"/>
      <w:r>
        <w:rPr>
          <w:rFonts w:hint="eastAsia" w:ascii="宋体" w:hAnsi="宋体" w:cs="宋体"/>
          <w:b/>
          <w:color w:val="auto"/>
          <w:sz w:val="28"/>
          <w:szCs w:val="28"/>
          <w:highlight w:val="none"/>
        </w:rPr>
        <w:t>（三）投标文件的编制</w:t>
      </w:r>
      <w:bookmarkEnd w:id="90"/>
    </w:p>
    <w:p w14:paraId="28A44316">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19. 投标的语言及度量衡单位</w:t>
      </w:r>
    </w:p>
    <w:p w14:paraId="71C1277A">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19.1投标人的投标文件、以及投标人与招标人就投标的所有往来函电，均须使用简体中文。</w:t>
      </w:r>
    </w:p>
    <w:p w14:paraId="135F5A1F">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19.2除招标文件中另有规定外，投标文件所使用的度量衡均须采用法定计量单位。</w:t>
      </w:r>
    </w:p>
    <w:p w14:paraId="40BBAD70">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20. 投标文件的组成、上传说明</w:t>
      </w:r>
    </w:p>
    <w:p w14:paraId="27A10E14">
      <w:pPr>
        <w:spacing w:line="440" w:lineRule="exact"/>
        <w:ind w:firstLine="422" w:firstLineChars="200"/>
        <w:jc w:val="left"/>
        <w:rPr>
          <w:rFonts w:hint="eastAsia" w:ascii="宋体" w:hAnsi="宋体" w:cs="宋体"/>
          <w:color w:val="auto"/>
          <w:szCs w:val="21"/>
          <w:highlight w:val="none"/>
        </w:rPr>
      </w:pPr>
      <w:r>
        <w:rPr>
          <w:rFonts w:hint="eastAsia" w:ascii="宋体" w:hAnsi="宋体" w:cs="宋体"/>
          <w:b/>
          <w:color w:val="auto"/>
          <w:szCs w:val="21"/>
          <w:highlight w:val="none"/>
        </w:rPr>
        <w:t>20.1投标文件的组成</w:t>
      </w:r>
    </w:p>
    <w:p w14:paraId="6D8F1B29">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投标文件由投标文件一（资信证明文件）和投标文件二（技术标）</w:t>
      </w:r>
      <w:r>
        <w:rPr>
          <w:rFonts w:hint="eastAsia" w:ascii="宋体" w:hAnsi="宋体" w:cs="宋体"/>
          <w:color w:val="auto"/>
          <w:szCs w:val="21"/>
          <w:highlight w:val="none"/>
          <w:lang w:val="en-US" w:eastAsia="zh-CN"/>
        </w:rPr>
        <w:t>两</w:t>
      </w:r>
      <w:r>
        <w:rPr>
          <w:rFonts w:hint="eastAsia" w:ascii="宋体" w:hAnsi="宋体" w:cs="宋体"/>
          <w:color w:val="auto"/>
          <w:szCs w:val="21"/>
          <w:highlight w:val="none"/>
        </w:rPr>
        <w:t>部分组成。</w:t>
      </w:r>
      <w:r>
        <w:rPr>
          <w:rFonts w:hint="eastAsia" w:ascii="宋体" w:hAnsi="宋体" w:cs="宋体"/>
          <w:b/>
          <w:bCs/>
          <w:color w:val="auto"/>
          <w:szCs w:val="21"/>
          <w:highlight w:val="none"/>
        </w:rPr>
        <w:t>具体内容详见第六章投标文件格式内容。</w:t>
      </w:r>
    </w:p>
    <w:p w14:paraId="77F399B2">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20.2投标文件的上传</w:t>
      </w:r>
    </w:p>
    <w:p w14:paraId="0BF925E1">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投标人在滁州市公共资源交易中心网，利用用户名或CA数字证书登录下载招标文件(.czzf格式)后，在下载投标文件制作工具安装后，在线制作投标文件，制作好的投标文件格式有2种:第一种.cztf格式加密投标文件；第二种.ncztf格式是非加密投标文件。请投标人将第一种投标文件通过系统“上传投标文件”上传到系统中。</w:t>
      </w:r>
    </w:p>
    <w:p w14:paraId="69C41F41">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（2）如果一个项目有多个标包，则需按标包下载对应标包招标文件分别生成对应的投标文件，通过系统“上传投标文件”按标包分别上传到系统中。</w:t>
      </w:r>
    </w:p>
    <w:p w14:paraId="5BC49273">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（3）请投标人通过系统下载投标工具制作投标文件，并利用CA数字证书进行上传投标文件，上传已加密的投标文件，务必通过此方式上传投标文件。</w:t>
      </w:r>
    </w:p>
    <w:p w14:paraId="5C52A8C8">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（4）投标人在投标文件编制、签章、上传过程中如有任何操作的疑问请及时联系技术支持，电话： 0550-3801701。</w:t>
      </w:r>
    </w:p>
    <w:p w14:paraId="63940FEE">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如果因投标人自身原因导致投标文件在规定时间内未能解密、解密失败或解密超时，投标文件无效；因代理公司原因或网上平台发生故障，导致无法按时完成投标文件解密的，经代理公司申请后可延迟解密时间。</w:t>
      </w:r>
    </w:p>
    <w:p w14:paraId="2E41C982">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20.3投标文件的编制</w:t>
      </w:r>
    </w:p>
    <w:p w14:paraId="723F7A59">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（1）投标文件应按第六章“投标文件格式”进行编写，如有必要，可以增加附页，作为投标文件的组成部分。</w:t>
      </w:r>
    </w:p>
    <w:p w14:paraId="0A21E523">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（2）本次招标投标不需要提供纸质投标文件，投标人应按照电子招标投标的要求，在投标人的会员系统中制作、电子签章、上传投标文件。</w:t>
      </w:r>
    </w:p>
    <w:p w14:paraId="7300647C">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（3）网上递交的电子投标文件制作工具等要求详见系统内帮助模块。</w:t>
      </w:r>
    </w:p>
    <w:p w14:paraId="749821D4">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（4）网上递交的电子投标文件应按招标文件规定的格式由投标人的法定代表人和投标人分别签章。</w:t>
      </w:r>
    </w:p>
    <w:p w14:paraId="6E137613">
      <w:pPr>
        <w:spacing w:line="440" w:lineRule="exact"/>
        <w:ind w:firstLine="422" w:firstLineChars="200"/>
        <w:jc w:val="left"/>
        <w:rPr>
          <w:rFonts w:hint="eastAsia" w:ascii="宋体" w:hAnsi="宋体" w:cs="宋体"/>
          <w:color w:val="auto"/>
          <w:szCs w:val="21"/>
          <w:highlight w:val="none"/>
        </w:rPr>
      </w:pPr>
      <w:r>
        <w:rPr>
          <w:rFonts w:hint="eastAsia" w:ascii="宋体" w:hAnsi="宋体" w:cs="宋体"/>
          <w:b/>
          <w:color w:val="auto"/>
          <w:szCs w:val="21"/>
          <w:highlight w:val="none"/>
        </w:rPr>
        <w:t>21</w:t>
      </w:r>
      <w:r>
        <w:rPr>
          <w:rFonts w:hint="eastAsia" w:ascii="宋体" w:hAnsi="宋体" w:cs="宋体"/>
          <w:color w:val="auto"/>
          <w:szCs w:val="21"/>
          <w:highlight w:val="none"/>
        </w:rPr>
        <w:t>.</w:t>
      </w:r>
      <w:r>
        <w:rPr>
          <w:rFonts w:hint="eastAsia" w:ascii="宋体" w:hAnsi="宋体" w:cs="宋体"/>
          <w:b/>
          <w:color w:val="auto"/>
          <w:szCs w:val="21"/>
          <w:highlight w:val="none"/>
        </w:rPr>
        <w:t>投标报价</w:t>
      </w:r>
    </w:p>
    <w:p w14:paraId="57315026">
      <w:pPr>
        <w:spacing w:line="440" w:lineRule="exact"/>
        <w:ind w:right="-199" w:rightChars="-95"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21.1投标报价文件中的单价和总价全部采用人民币表示。投标人的报价应含有服务（货物）、利润、税金、政策性文件规定及合同包含的所有风险、责任、义务等，即为完成招标文件要求的服务（货物）内容所包含的一切应有费用，中标价格今后将不作任何调整，</w:t>
      </w:r>
      <w:r>
        <w:rPr>
          <w:rFonts w:hint="eastAsia" w:ascii="宋体" w:hAnsi="宋体" w:cs="宋体"/>
          <w:color w:val="auto"/>
          <w:szCs w:val="21"/>
          <w:highlight w:val="none"/>
          <w:lang w:eastAsia="zh-CN"/>
        </w:rPr>
        <w:t>招标人</w:t>
      </w:r>
      <w:r>
        <w:rPr>
          <w:rFonts w:hint="eastAsia" w:ascii="宋体" w:hAnsi="宋体" w:cs="宋体"/>
          <w:color w:val="auto"/>
          <w:szCs w:val="21"/>
          <w:highlight w:val="none"/>
        </w:rPr>
        <w:t>后期不再追加费用，投标供应商自行考虑投标风险。</w:t>
      </w:r>
    </w:p>
    <w:p w14:paraId="0FD3196F">
      <w:pPr>
        <w:spacing w:line="440" w:lineRule="exact"/>
        <w:ind w:right="-199" w:rightChars="-95"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21.2投标人只允许有一个方案、一个报价。</w:t>
      </w:r>
    </w:p>
    <w:p w14:paraId="0AFAC263">
      <w:pPr>
        <w:spacing w:line="440" w:lineRule="exact"/>
        <w:ind w:right="-199" w:rightChars="-95"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21.3投标人应按“第四章采购需求”所列服务内容进行报价，投标报价为完成本次招标项目的全费用价格，其组成包括国家对中标单位征收的各种税费等所有一切费用，综合单价今后将不作任何调整。投标人应当保持单项价格的合理性，严禁出现不平衡报价的情况，项目采购结束后，</w:t>
      </w:r>
      <w:r>
        <w:rPr>
          <w:rFonts w:hint="eastAsia" w:ascii="宋体" w:hAnsi="宋体" w:cs="宋体"/>
          <w:color w:val="auto"/>
          <w:szCs w:val="21"/>
          <w:highlight w:val="none"/>
          <w:lang w:eastAsia="zh-CN"/>
        </w:rPr>
        <w:t>招标人</w:t>
      </w:r>
      <w:r>
        <w:rPr>
          <w:rFonts w:hint="eastAsia" w:ascii="宋体" w:hAnsi="宋体" w:cs="宋体"/>
          <w:color w:val="auto"/>
          <w:szCs w:val="21"/>
          <w:highlight w:val="none"/>
        </w:rPr>
        <w:t>有权对各单项价格进行核查，对于严重超过市场价格的单价，将在正式合同中明确：对于认定为不平衡报价的单项，如果发生数量变动，将按照有利于甲方的单价进行认价。</w:t>
      </w:r>
    </w:p>
    <w:p w14:paraId="3FCE2E1E">
      <w:pPr>
        <w:spacing w:line="440" w:lineRule="exact"/>
        <w:ind w:right="-199" w:rightChars="-95"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21.4投标报价的价格是完成项目全部内容（包括后期的相关服务）交付验收的价格，其单价即为履行合同的固定单价。</w:t>
      </w:r>
    </w:p>
    <w:p w14:paraId="16DBF776">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21.5技术要求中规定的安装、调试和培训费用应包括在投标价格中。投标文件报价为含税价，招标人不再为此次招标支付任何费用。</w:t>
      </w:r>
    </w:p>
    <w:p w14:paraId="35A6C9C4">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21.6投标报价应由法定代表人或被授权人签署。</w:t>
      </w:r>
    </w:p>
    <w:p w14:paraId="5F1F931B">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21.7投标人的报价不得</w:t>
      </w:r>
      <w:r>
        <w:rPr>
          <w:rFonts w:hint="eastAsia" w:ascii="宋体" w:hAnsi="宋体" w:cs="宋体"/>
          <w:color w:val="auto"/>
          <w:szCs w:val="21"/>
          <w:highlight w:val="none"/>
          <w:lang w:eastAsia="zh-CN"/>
        </w:rPr>
        <w:t>低</w:t>
      </w:r>
      <w:r>
        <w:rPr>
          <w:rFonts w:hint="eastAsia" w:ascii="宋体" w:hAnsi="宋体" w:cs="宋体"/>
          <w:color w:val="auto"/>
          <w:szCs w:val="21"/>
          <w:highlight w:val="none"/>
        </w:rPr>
        <w:t>于本次招标</w:t>
      </w:r>
      <w:r>
        <w:rPr>
          <w:rFonts w:hint="eastAsia" w:ascii="宋体" w:hAnsi="宋体" w:cs="宋体"/>
          <w:color w:val="auto"/>
          <w:szCs w:val="21"/>
          <w:highlight w:val="none"/>
          <w:lang w:eastAsia="zh-CN"/>
        </w:rPr>
        <w:t>最低限价</w:t>
      </w:r>
      <w:r>
        <w:rPr>
          <w:rFonts w:hint="eastAsia" w:ascii="宋体" w:hAnsi="宋体" w:cs="宋体"/>
          <w:color w:val="auto"/>
          <w:szCs w:val="21"/>
          <w:highlight w:val="none"/>
        </w:rPr>
        <w:t>，</w:t>
      </w:r>
      <w:r>
        <w:rPr>
          <w:rFonts w:hint="eastAsia" w:ascii="宋体" w:hAnsi="宋体" w:cs="宋体"/>
          <w:b/>
          <w:bCs/>
          <w:color w:val="auto"/>
          <w:szCs w:val="21"/>
          <w:highlight w:val="none"/>
        </w:rPr>
        <w:t>否则将作为无效投标处理</w:t>
      </w:r>
      <w:r>
        <w:rPr>
          <w:rFonts w:hint="eastAsia" w:ascii="宋体" w:hAnsi="宋体" w:cs="宋体"/>
          <w:color w:val="auto"/>
          <w:szCs w:val="21"/>
          <w:highlight w:val="none"/>
        </w:rPr>
        <w:t>。</w:t>
      </w:r>
    </w:p>
    <w:p w14:paraId="351659E8">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21.8如投标文件中未列明全面实现投标服务功能而必须配置的配套或辅助设施及相应技术措施的费用，这些费用将被视为已包含在总投标价中。</w:t>
      </w:r>
    </w:p>
    <w:p w14:paraId="390E3F09">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22.9总投标价中不得包含招标文件要求以外的内容，否则，在评标时不予核减，但在授予合同时，</w:t>
      </w:r>
      <w:r>
        <w:rPr>
          <w:rFonts w:hint="eastAsia" w:ascii="宋体" w:hAnsi="宋体" w:cs="宋体"/>
          <w:color w:val="auto"/>
          <w:szCs w:val="21"/>
          <w:highlight w:val="none"/>
          <w:lang w:eastAsia="zh-CN"/>
        </w:rPr>
        <w:t>招标人</w:t>
      </w:r>
      <w:r>
        <w:rPr>
          <w:rFonts w:hint="eastAsia" w:ascii="宋体" w:hAnsi="宋体" w:cs="宋体"/>
          <w:color w:val="auto"/>
          <w:szCs w:val="21"/>
          <w:highlight w:val="none"/>
        </w:rPr>
        <w:t>有权将这部分价格从其中标价格中扣除。</w:t>
      </w:r>
    </w:p>
    <w:p w14:paraId="55934118">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22.10总投标价中不得缺漏招标文件所要求的内容，否则，评标时将有效投标中该项内容的最高价计入其评标总价，但在授予合同时，缺漏项目的报价视作已含在其他项目的报价中，这些项目将作为免费赠送而包含在合同内。</w:t>
      </w:r>
    </w:p>
    <w:p w14:paraId="46BBF93F">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22.11投标人不得对从第三方采购货物的随机备品、备件另行收费，否则在计算评标价时这部分费用将不予扣除，在授予合同时将从中标价格中扣除该部分费用。</w:t>
      </w:r>
    </w:p>
    <w:p w14:paraId="19084883">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22.12投标人应根据服务的状况列出随机备品备件的清单和数量，并将该备品备件价格计入总投标价，若所提供的产品无需备件，则应在投标文件中说明；无论投标人在报价中列明随机备品备件的数量及价格多少，在服务期内</w:t>
      </w:r>
      <w:r>
        <w:rPr>
          <w:rFonts w:hint="eastAsia" w:ascii="宋体" w:hAnsi="宋体" w:cs="宋体"/>
          <w:color w:val="auto"/>
          <w:szCs w:val="21"/>
          <w:highlight w:val="none"/>
          <w:lang w:eastAsia="zh-CN"/>
        </w:rPr>
        <w:t>招标人</w:t>
      </w:r>
      <w:r>
        <w:rPr>
          <w:rFonts w:hint="eastAsia" w:ascii="宋体" w:hAnsi="宋体" w:cs="宋体"/>
          <w:color w:val="auto"/>
          <w:szCs w:val="21"/>
          <w:highlight w:val="none"/>
        </w:rPr>
        <w:t>均无需为维护维修保养所需的专用工具和备品备件另行支付费用。</w:t>
      </w:r>
    </w:p>
    <w:p w14:paraId="418F2191">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22. 投标有效期</w:t>
      </w:r>
    </w:p>
    <w:p w14:paraId="5E4008BB">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22.1  除投标人须知前附表另有规定外，投标有效期为90天。</w:t>
      </w:r>
    </w:p>
    <w:p w14:paraId="191D216F">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22.2在投标有效期内，投标人撤销或修改其投标文件的，应承担招标文件和法律规定的责任。</w:t>
      </w:r>
    </w:p>
    <w:p w14:paraId="25FC5898">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22.3出现特殊情况需要延长投标有效期的，招标人以书面形式通知所有投标人延长投标有效期。投标人同意延长的，不得要求或被允许修改或撤销其投标文件；投标人拒绝延长的，其投标失效。</w:t>
      </w:r>
    </w:p>
    <w:p w14:paraId="315F8F8C">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23. 投标保证金</w:t>
      </w:r>
    </w:p>
    <w:p w14:paraId="67027A71">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23.1投标人须知前附表规定递交投标保证金的，投标人在递交投标文件的同时，应按投标人须知前附表规定的金额、担保形式规定的或者事先经过招标人认可的保证金格式递交保证金，并作为其投标文件的组成部分。无论采取何种形式的投标保证金，投标保证金有效期均应与投标有效期一致（采用投标电子保函的保证期截止时间不得早于该项目投标有效期的截止时间）。招标人如果延长了投标有效期，则投标保证金的有效期也相应延长。</w:t>
      </w:r>
    </w:p>
    <w:p w14:paraId="301B8281">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23.2 投标人不按要求提交投标保证金的，评标委员会将否决其投标。</w:t>
      </w:r>
    </w:p>
    <w:p w14:paraId="240D38F4">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23.3 未中标投标人的投标保证金，中标通知书同步推送至交易中心服务端，银行接到退还指令后一个工作日内退还保证金到达原交纳的基本账户；中标人的投标保证金，在中标人与招标人签订合同并将公开信息推送至交易中心服务端，银行接到退还指令后一个工作日内退付保证金到达原交纳的基本账户。</w:t>
      </w:r>
    </w:p>
    <w:p w14:paraId="58416DC6">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23.4 有下列情形之一的，投标保证金将不予退还：</w:t>
      </w:r>
    </w:p>
    <w:p w14:paraId="12F06469">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（1）投标截止后投标人撤销投标文件的；</w:t>
      </w:r>
    </w:p>
    <w:p w14:paraId="50F04D4E">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（2）中标人无正当理由不与招标人订立合同，在签订合同时向招标人提出附加条件，或者不按照招标文件要求提交履约保证金的。</w:t>
      </w:r>
    </w:p>
    <w:p w14:paraId="3E7AB407">
      <w:pPr>
        <w:spacing w:line="440" w:lineRule="exact"/>
        <w:ind w:firstLine="420" w:firstLineChars="200"/>
        <w:jc w:val="left"/>
        <w:rPr>
          <w:rFonts w:hint="eastAsia" w:ascii="宋体" w:hAnsi="宋体" w:cs="宋体"/>
          <w:b/>
          <w:color w:val="auto"/>
          <w:sz w:val="28"/>
          <w:szCs w:val="28"/>
          <w:highlight w:val="none"/>
        </w:rPr>
      </w:pPr>
      <w:r>
        <w:rPr>
          <w:rFonts w:hint="eastAsia" w:ascii="宋体" w:hAnsi="宋体" w:cs="宋体"/>
          <w:color w:val="auto"/>
          <w:szCs w:val="21"/>
          <w:highlight w:val="none"/>
        </w:rPr>
        <w:t>23.5 投标保证金按《滁州市公共资源交易投标保证金管理规定》（滁公管〔2021〕7 号）规定执行。</w:t>
      </w:r>
      <w:bookmarkStart w:id="91" w:name="_Toc449028870"/>
    </w:p>
    <w:p w14:paraId="16032AEA">
      <w:pPr>
        <w:spacing w:before="156" w:beforeLines="50" w:after="156" w:afterLines="50" w:line="44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（四）投标文件的递交</w:t>
      </w:r>
      <w:bookmarkEnd w:id="91"/>
    </w:p>
    <w:p w14:paraId="317DD759">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24. 投标文件的份数和签署</w:t>
      </w:r>
    </w:p>
    <w:p w14:paraId="26591FE4">
      <w:pPr>
        <w:spacing w:line="440" w:lineRule="exact"/>
        <w:ind w:firstLine="422" w:firstLineChars="200"/>
        <w:jc w:val="left"/>
        <w:rPr>
          <w:rFonts w:hint="eastAsia" w:ascii="宋体" w:hAnsi="宋体"/>
          <w:b/>
          <w:bCs/>
          <w:color w:val="auto"/>
          <w:szCs w:val="21"/>
          <w:highlight w:val="none"/>
        </w:rPr>
      </w:pPr>
      <w:bookmarkStart w:id="92" w:name="_Toc449028871"/>
      <w:r>
        <w:rPr>
          <w:rFonts w:hint="eastAsia" w:ascii="宋体" w:hAnsi="宋体" w:cs="宋体"/>
          <w:b/>
          <w:bCs/>
          <w:color w:val="auto"/>
          <w:szCs w:val="21"/>
          <w:highlight w:val="none"/>
        </w:rPr>
        <w:t>2</w:t>
      </w:r>
      <w:r>
        <w:rPr>
          <w:rFonts w:hint="eastAsia" w:ascii="宋体"/>
          <w:b/>
          <w:bCs/>
          <w:color w:val="auto"/>
          <w:szCs w:val="21"/>
          <w:highlight w:val="none"/>
        </w:rPr>
        <w:t xml:space="preserve">4.1  </w:t>
      </w:r>
      <w:r>
        <w:rPr>
          <w:rFonts w:hint="eastAsia" w:ascii="宋体" w:hAnsi="宋体" w:cs="宋体"/>
          <w:color w:val="auto"/>
          <w:kern w:val="0"/>
          <w:szCs w:val="21"/>
          <w:highlight w:val="none"/>
        </w:rPr>
        <w:t>投标人中标后须递交与网上电子投标文件完全一致的纸质版投标文件，在领取中标通知书时，一并递交给招标代理机构。</w:t>
      </w:r>
    </w:p>
    <w:p w14:paraId="1674B451">
      <w:pPr>
        <w:spacing w:line="440" w:lineRule="exact"/>
        <w:ind w:firstLine="422" w:firstLineChars="200"/>
        <w:jc w:val="left"/>
        <w:rPr>
          <w:rFonts w:hint="eastAsia" w:ascii="宋体"/>
          <w:color w:val="auto"/>
          <w:szCs w:val="21"/>
          <w:highlight w:val="none"/>
        </w:rPr>
      </w:pPr>
      <w:r>
        <w:rPr>
          <w:rFonts w:hint="eastAsia" w:ascii="宋体"/>
          <w:b/>
          <w:bCs/>
          <w:color w:val="auto"/>
          <w:szCs w:val="21"/>
          <w:highlight w:val="none"/>
        </w:rPr>
        <w:t xml:space="preserve">24.2  </w:t>
      </w:r>
      <w:r>
        <w:rPr>
          <w:rFonts w:hint="eastAsia" w:ascii="宋体" w:hAnsi="宋体"/>
          <w:b/>
          <w:color w:val="auto"/>
          <w:szCs w:val="21"/>
          <w:highlight w:val="none"/>
        </w:rPr>
        <w:t>电子投标文件须按格式文件要求签字或盖章（电子签章），否则经评委会一致认定后, 按照无效投标处理。</w:t>
      </w:r>
    </w:p>
    <w:p w14:paraId="54576F5E">
      <w:pPr>
        <w:spacing w:line="440" w:lineRule="exact"/>
        <w:ind w:firstLine="422" w:firstLineChars="200"/>
        <w:jc w:val="left"/>
        <w:rPr>
          <w:rFonts w:hint="eastAsia" w:ascii="宋体" w:hAnsi="宋体"/>
          <w:b/>
          <w:color w:val="auto"/>
          <w:szCs w:val="21"/>
          <w:highlight w:val="none"/>
        </w:rPr>
      </w:pPr>
      <w:r>
        <w:rPr>
          <w:rFonts w:hint="eastAsia" w:ascii="宋体"/>
          <w:b/>
          <w:color w:val="auto"/>
          <w:szCs w:val="21"/>
          <w:highlight w:val="none"/>
        </w:rPr>
        <w:t xml:space="preserve">25. </w:t>
      </w:r>
      <w:r>
        <w:rPr>
          <w:rFonts w:hint="eastAsia" w:ascii="宋体" w:hAnsi="宋体"/>
          <w:b/>
          <w:color w:val="auto"/>
          <w:szCs w:val="21"/>
          <w:highlight w:val="none"/>
        </w:rPr>
        <w:t>投标文件的提交</w:t>
      </w:r>
    </w:p>
    <w:p w14:paraId="40B0CF68">
      <w:pPr>
        <w:spacing w:line="44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25.1 投标人应在投标人须知前附表规定的投标截止时间前在网上递交投标文件。未在开标截止时间前通过网上招标投标系统递交有效电子投标文件的，开标系统不予接收，投标将被拒绝。</w:t>
      </w:r>
    </w:p>
    <w:p w14:paraId="469BCF7C">
      <w:pPr>
        <w:spacing w:line="440" w:lineRule="exact"/>
        <w:ind w:firstLine="422" w:firstLineChars="200"/>
        <w:rPr>
          <w:rFonts w:hint="eastAsia" w:ascii="宋体"/>
          <w:b/>
          <w:color w:val="auto"/>
          <w:szCs w:val="21"/>
          <w:highlight w:val="none"/>
        </w:rPr>
      </w:pPr>
      <w:r>
        <w:rPr>
          <w:rFonts w:hint="eastAsia" w:ascii="宋体"/>
          <w:b/>
          <w:color w:val="auto"/>
          <w:szCs w:val="21"/>
          <w:highlight w:val="none"/>
        </w:rPr>
        <w:t>26．投标文件的修改与撤回</w:t>
      </w:r>
    </w:p>
    <w:p w14:paraId="2DF32859">
      <w:pPr>
        <w:autoSpaceDE w:val="0"/>
        <w:autoSpaceDN w:val="0"/>
        <w:adjustRightInd w:val="0"/>
        <w:spacing w:line="440" w:lineRule="exact"/>
        <w:ind w:firstLine="420" w:firstLineChars="200"/>
        <w:jc w:val="left"/>
        <w:rPr>
          <w:rFonts w:hint="eastAsia" w:ascii="宋体" w:hAnsi="宋体" w:cs="宋体"/>
          <w:color w:val="auto"/>
          <w:szCs w:val="21"/>
          <w:highlight w:val="none"/>
        </w:rPr>
      </w:pPr>
      <w:r>
        <w:rPr>
          <w:rFonts w:hint="eastAsia" w:ascii="宋体" w:hAnsi="宋体"/>
          <w:color w:val="auto"/>
          <w:szCs w:val="21"/>
          <w:highlight w:val="none"/>
        </w:rPr>
        <w:t xml:space="preserve">26.1 </w:t>
      </w:r>
      <w:r>
        <w:rPr>
          <w:rFonts w:hint="eastAsia"/>
          <w:color w:val="auto"/>
          <w:highlight w:val="none"/>
        </w:rPr>
        <w:t xml:space="preserve"> 采用网上招投标的，在规定的投标截止时间前，投标人可以自行从网上招投标系统撤回已递交的投标文件，并可修改后重新上传，开标时以投标截止时间前投标人最终上传的投标文件为准</w:t>
      </w:r>
      <w:r>
        <w:rPr>
          <w:rFonts w:hint="eastAsia" w:ascii="宋体" w:hAnsi="宋体" w:cs="宋体"/>
          <w:color w:val="auto"/>
          <w:szCs w:val="21"/>
          <w:highlight w:val="none"/>
        </w:rPr>
        <w:t>。</w:t>
      </w:r>
    </w:p>
    <w:p w14:paraId="0B92FF19">
      <w:pPr>
        <w:spacing w:before="156" w:beforeLines="50" w:after="156" w:afterLines="50" w:line="44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（五）开标、评标和定标</w:t>
      </w:r>
      <w:bookmarkEnd w:id="92"/>
    </w:p>
    <w:p w14:paraId="418BC640">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27. 开标</w:t>
      </w:r>
    </w:p>
    <w:p w14:paraId="02900AB3">
      <w:pPr>
        <w:wordWrap w:val="0"/>
        <w:spacing w:line="440" w:lineRule="exact"/>
        <w:ind w:right="-155" w:rightChars="-74"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27.1  开标的时间和地点</w:t>
      </w:r>
    </w:p>
    <w:p w14:paraId="09917F7A">
      <w:pPr>
        <w:wordWrap w:val="0"/>
        <w:spacing w:line="440" w:lineRule="exact"/>
        <w:ind w:right="-155" w:rightChars="-74"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27.1.1招标人按招标公告中的开标时间和地点公开开标，并邀请所有投标人参加。</w:t>
      </w:r>
    </w:p>
    <w:p w14:paraId="64DC3343">
      <w:pPr>
        <w:wordWrap w:val="0"/>
        <w:spacing w:line="440" w:lineRule="exact"/>
        <w:ind w:right="-155" w:rightChars="-74"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27.2  参与开标的监督部门</w:t>
      </w:r>
    </w:p>
    <w:p w14:paraId="13537888">
      <w:pPr>
        <w:wordWrap w:val="0"/>
        <w:spacing w:line="440" w:lineRule="exact"/>
        <w:ind w:right="-155" w:rightChars="-74"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27.2.1招标人可以邀请相关监管部门参加。</w:t>
      </w:r>
    </w:p>
    <w:p w14:paraId="4B201AED">
      <w:pPr>
        <w:wordWrap w:val="0"/>
        <w:spacing w:line="440" w:lineRule="exact"/>
        <w:ind w:right="-155" w:rightChars="-74"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27.3开标程序</w:t>
      </w:r>
    </w:p>
    <w:p w14:paraId="68156B8D">
      <w:pPr>
        <w:wordWrap w:val="0"/>
        <w:spacing w:line="440" w:lineRule="exact"/>
        <w:ind w:right="-155" w:rightChars="-74"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开标会议由代理机构主持。</w:t>
      </w:r>
    </w:p>
    <w:p w14:paraId="5C70BCAC">
      <w:pPr>
        <w:wordWrap w:val="0"/>
        <w:spacing w:line="440" w:lineRule="exact"/>
        <w:ind w:right="-155" w:rightChars="-74"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（1）宣布开标纪律；</w:t>
      </w:r>
    </w:p>
    <w:p w14:paraId="225EB2D0">
      <w:pPr>
        <w:wordWrap w:val="0"/>
        <w:spacing w:line="440" w:lineRule="exact"/>
        <w:ind w:right="-155" w:rightChars="-74"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（2）宣布招标人、代理机构主持人、见证人等有关人员姓名；</w:t>
      </w:r>
    </w:p>
    <w:p w14:paraId="1DB495E8">
      <w:pPr>
        <w:wordWrap w:val="0"/>
        <w:spacing w:line="440" w:lineRule="exact"/>
        <w:ind w:right="-155" w:rightChars="-74"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（3）公布投标截止时间前，通过滁州市公共资源交易中心网上招投标系统递交投标文件的投标人名称等； </w:t>
      </w:r>
    </w:p>
    <w:p w14:paraId="1582C650">
      <w:pPr>
        <w:wordWrap w:val="0"/>
        <w:spacing w:line="440" w:lineRule="exact"/>
        <w:ind w:right="-155" w:rightChars="-74"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（4）投标人在投标截止时间后，规定时间内完成投标文件解密工作；</w:t>
      </w:r>
    </w:p>
    <w:p w14:paraId="70C00016">
      <w:pPr>
        <w:wordWrap w:val="0"/>
        <w:spacing w:line="440" w:lineRule="exact"/>
        <w:ind w:right="-155" w:rightChars="-74"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（5）公布投标人投标报价、质量目标、供货期及其他内容，并记录在案；</w:t>
      </w:r>
    </w:p>
    <w:p w14:paraId="55DDFE5E">
      <w:pPr>
        <w:wordWrap w:val="0"/>
        <w:spacing w:line="440" w:lineRule="exact"/>
        <w:ind w:right="-155" w:rightChars="-74"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（6）开标结束。</w:t>
      </w:r>
    </w:p>
    <w:p w14:paraId="5154DFB1">
      <w:pPr>
        <w:wordWrap w:val="0"/>
        <w:spacing w:line="440" w:lineRule="exact"/>
        <w:ind w:right="-155" w:rightChars="-74"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多标包项目按照标包顺序按以上程序依次开标。</w:t>
      </w:r>
    </w:p>
    <w:p w14:paraId="68CC31E7">
      <w:pPr>
        <w:wordWrap w:val="0"/>
        <w:spacing w:line="440" w:lineRule="exact"/>
        <w:ind w:right="-155" w:rightChars="-74"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 27.4开标疑议</w:t>
      </w:r>
    </w:p>
    <w:p w14:paraId="40B34716">
      <w:pPr>
        <w:wordWrap w:val="0"/>
        <w:spacing w:line="440" w:lineRule="exact"/>
        <w:ind w:right="-155" w:rightChars="-74"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投标人代表对开标过程和开标记录有疑议，以及认为招标人、代理机构相关工作人员有需要回避的情形的，应当场提出询问或者回避申请。</w:t>
      </w:r>
    </w:p>
    <w:p w14:paraId="2FA216AC">
      <w:pPr>
        <w:spacing w:line="440" w:lineRule="exact"/>
        <w:ind w:firstLine="421"/>
        <w:jc w:val="left"/>
        <w:rPr>
          <w:rFonts w:hint="eastAsia" w:ascii="宋体"/>
          <w:b/>
          <w:color w:val="auto"/>
          <w:szCs w:val="21"/>
          <w:highlight w:val="none"/>
        </w:rPr>
      </w:pPr>
      <w:r>
        <w:rPr>
          <w:rFonts w:hint="eastAsia" w:ascii="宋体" w:hAnsi="宋体" w:cs="宋体"/>
          <w:b/>
          <w:color w:val="auto"/>
          <w:szCs w:val="21"/>
          <w:highlight w:val="none"/>
        </w:rPr>
        <w:t>2</w:t>
      </w:r>
      <w:r>
        <w:rPr>
          <w:rFonts w:hint="eastAsia" w:ascii="宋体"/>
          <w:b/>
          <w:color w:val="auto"/>
          <w:szCs w:val="21"/>
          <w:highlight w:val="none"/>
        </w:rPr>
        <w:t>8.评标委员会</w:t>
      </w:r>
    </w:p>
    <w:p w14:paraId="477C7B48">
      <w:pPr>
        <w:tabs>
          <w:tab w:val="left" w:pos="720"/>
        </w:tabs>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28.1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58566A5A">
      <w:pPr>
        <w:tabs>
          <w:tab w:val="left" w:pos="720"/>
        </w:tabs>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28.2评标委员会成员有下列情形之一的，应当回避：</w:t>
      </w:r>
    </w:p>
    <w:p w14:paraId="7CAB3246">
      <w:pPr>
        <w:tabs>
          <w:tab w:val="left" w:pos="720"/>
        </w:tabs>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（1）投标人或投标人主要负责人的近亲属；</w:t>
      </w:r>
    </w:p>
    <w:p w14:paraId="35712588">
      <w:pPr>
        <w:tabs>
          <w:tab w:val="left" w:pos="720"/>
        </w:tabs>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（2）项目主管部门或者行政监督部门的人员；</w:t>
      </w:r>
    </w:p>
    <w:p w14:paraId="765714E5">
      <w:pPr>
        <w:tabs>
          <w:tab w:val="left" w:pos="720"/>
        </w:tabs>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（3）与投标人有经济利益关系；</w:t>
      </w:r>
    </w:p>
    <w:p w14:paraId="56BCBC25">
      <w:pPr>
        <w:tabs>
          <w:tab w:val="left" w:pos="720"/>
        </w:tabs>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（4）曾因在招标、评标以及其他与招标投标有关活动中从事违法行为而受过行政处罚或刑事处罚的；</w:t>
      </w:r>
    </w:p>
    <w:p w14:paraId="79E1CC68">
      <w:pPr>
        <w:tabs>
          <w:tab w:val="left" w:pos="720"/>
        </w:tabs>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（5）与投标人有其他利害关系。</w:t>
      </w:r>
    </w:p>
    <w:p w14:paraId="593DBB3E">
      <w:pPr>
        <w:tabs>
          <w:tab w:val="left" w:pos="720"/>
        </w:tabs>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28.3招标人授权评标委员会对投标人资格进行审查。评标过程中，评标委员会成员有回避事由、擅离职守或因健康等原因不能继续评标的， 招标人有权更换。被更换的评标委员会成员作出的评审结论无效，由更换后的评标委员会成员重新进行评审。</w:t>
      </w:r>
    </w:p>
    <w:p w14:paraId="0C2350B9">
      <w:pPr>
        <w:tabs>
          <w:tab w:val="left" w:pos="720"/>
        </w:tabs>
        <w:spacing w:line="440" w:lineRule="exact"/>
        <w:ind w:firstLine="420" w:firstLineChars="200"/>
        <w:jc w:val="left"/>
        <w:rPr>
          <w:rFonts w:hint="eastAsia" w:ascii="宋体" w:hAnsi="宋体" w:cs="宋体"/>
          <w:b/>
          <w:bCs/>
          <w:color w:val="auto"/>
          <w:szCs w:val="21"/>
          <w:highlight w:val="none"/>
        </w:rPr>
      </w:pPr>
      <w:r>
        <w:rPr>
          <w:rFonts w:hint="eastAsia" w:ascii="宋体"/>
          <w:color w:val="auto"/>
          <w:szCs w:val="21"/>
          <w:highlight w:val="none"/>
        </w:rPr>
        <w:t>28.4评标委员会应自觉接受有关监督管理部门的现场监督，评标委员会成员与评标活动有关的工作人员和监督人员不得向他人透露对投标文件的评审和比较、中标人的确定以及与评标有关的其他情况。投标文件及与评标有关的资料应当保密。</w:t>
      </w:r>
    </w:p>
    <w:p w14:paraId="46426B70">
      <w:pPr>
        <w:adjustRightInd w:val="0"/>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29. 评标</w:t>
      </w:r>
    </w:p>
    <w:p w14:paraId="523A9F88">
      <w:pPr>
        <w:adjustRightIn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29.1  评标准备工作</w:t>
      </w:r>
    </w:p>
    <w:p w14:paraId="045ABDC1">
      <w:pPr>
        <w:adjustRightIn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29.1.1阅读由招标人或招标代理单位编写的招标项目情况的说明材料；</w:t>
      </w:r>
    </w:p>
    <w:p w14:paraId="4235A6E7">
      <w:pPr>
        <w:adjustRightIn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29.1.2阅读、研究招标文件和相关评标资料，获取评标所需要的重要信息和数据；</w:t>
      </w:r>
    </w:p>
    <w:p w14:paraId="1A5E83D5">
      <w:pPr>
        <w:adjustRightIn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29.1.3熟悉招标文件规定的评标方法及在评标过程中需要考虑的相关因素；</w:t>
      </w:r>
    </w:p>
    <w:p w14:paraId="73FF99D5">
      <w:pPr>
        <w:adjustRightIn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29.1.4核对评标工作用表。</w:t>
      </w:r>
    </w:p>
    <w:p w14:paraId="744B4C07">
      <w:pPr>
        <w:adjustRightIn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29.2  评标办法</w:t>
      </w:r>
    </w:p>
    <w:p w14:paraId="29529A40">
      <w:pPr>
        <w:adjustRightIn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29.2.1评标委员会按照第三章“评标办法”规定的方法、评审因素、标准和程序对投标文件进行评审。第三章“评标办法”没有规定的方法、评审因素和标准，不作为评标依据。</w:t>
      </w:r>
    </w:p>
    <w:p w14:paraId="63E43CB5">
      <w:pPr>
        <w:adjustRightIn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29.3评标原则：遵循公平、公正、科学和择优的原则。</w:t>
      </w:r>
    </w:p>
    <w:p w14:paraId="36B2EABF">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29.4 投标文件的澄清</w:t>
      </w:r>
    </w:p>
    <w:p w14:paraId="79017931">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29.4.1 在评标过程中，评标委员会认为需要，在公共资源交易监督管理部门的监督下，可要求投标人对投标文件中的有关问题进行澄清或提供补充说明及有关资料，投标人应做出答复，答复将视为投标文件的组成部分，答复中不得变更价格、供货期、自报质量等实质性内容。</w:t>
      </w:r>
      <w:r>
        <w:rPr>
          <w:rFonts w:hint="eastAsia" w:ascii="宋体" w:hAnsi="宋体" w:cs="宋体"/>
          <w:b/>
          <w:bCs/>
          <w:color w:val="auto"/>
          <w:szCs w:val="21"/>
          <w:highlight w:val="none"/>
        </w:rPr>
        <w:t>本项目采用远程开标，具体操作方法详见服务指南&gt;交易须知&gt;开标大厅远程解密、质疑(异议)及回复以及评标过程中询标流程操作手册。</w:t>
      </w:r>
    </w:p>
    <w:p w14:paraId="4EB0FD1F">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29.4.2投标截止时间后，投标人对投标报价或其它实质性内容修正的函件和增加的任何优惠条件，一律不得作为评标、定标的依据。</w:t>
      </w:r>
    </w:p>
    <w:p w14:paraId="6DE1D1B0">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29.4.3  招标人不接受投标人主动提出的澄清。</w:t>
      </w:r>
    </w:p>
    <w:p w14:paraId="494E08C8">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29.6报价合理性的判断</w:t>
      </w:r>
    </w:p>
    <w:p w14:paraId="28DFC4EF">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评标委员会认为投标人的报价明显低于其他通过符合性审查投标人的报价，有可能影响产品质量或者不能诚信履约的，应当要求其在系统中合理的时间内提供说明，必要时提交相关证明材料；投标人不能证明其报价合理性的，评标委员会应当将其作为无效投标处理。</w:t>
      </w:r>
    </w:p>
    <w:p w14:paraId="51EC6944">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29.7评审意见分歧的处理办法</w:t>
      </w:r>
    </w:p>
    <w:p w14:paraId="7F9DEB32">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（1）评标委员会应当对投标人提供的报告、证明材料及详细说明认真研究。对存在意见分歧的，可采用投票方式表决决定（按多数评委意见为准）；</w:t>
      </w:r>
    </w:p>
    <w:p w14:paraId="7ED7A2B1">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（2）招标投标当事人对评标结果提出质疑或者投诉，公共资源交易监督机构认为需要重新进行评标的，评标委员会成员应当按照公共资源交易监督机构要求重新评标。</w:t>
      </w:r>
    </w:p>
    <w:p w14:paraId="51A117D8">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29.8评标报告的签署</w:t>
      </w:r>
    </w:p>
    <w:p w14:paraId="1DC61979">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29.8.1 评标委员会应当编制书面评标报告,所有成员应签字确认。对评标结论持有异议的评标委员会成员可以书面方式阐述其不同意见和理由。评标委员会成员拒绝在评标报告上签字且不陈述其不同意见和理由的，视为同意评标结论。</w:t>
      </w:r>
    </w:p>
    <w:p w14:paraId="47910390">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29.9评标过程的保密</w:t>
      </w:r>
    </w:p>
    <w:p w14:paraId="3A8E0C10">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评标委员会成员和与评标活动有关的工作人员不得透露对投标文件的评审和比较、中标候选人的推荐情况以及与评标有关的其他情况。</w:t>
      </w:r>
    </w:p>
    <w:p w14:paraId="7561B53B">
      <w:pPr>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29.10中标结果公告</w:t>
      </w:r>
    </w:p>
    <w:p w14:paraId="65E55724">
      <w:pPr>
        <w:snapToGrid w:val="0"/>
        <w:spacing w:line="440" w:lineRule="exact"/>
        <w:ind w:firstLine="422" w:firstLineChars="200"/>
        <w:jc w:val="left"/>
        <w:rPr>
          <w:rFonts w:hint="eastAsia" w:ascii="宋体" w:hAnsi="宋体" w:cs="宋体"/>
          <w:b/>
          <w:bCs/>
          <w:color w:val="auto"/>
          <w:szCs w:val="21"/>
          <w:highlight w:val="none"/>
        </w:rPr>
      </w:pPr>
      <w:r>
        <w:rPr>
          <w:rFonts w:hint="eastAsia" w:ascii="宋体" w:hAnsi="宋体" w:cs="宋体"/>
          <w:b/>
          <w:bCs/>
          <w:color w:val="auto"/>
          <w:szCs w:val="21"/>
          <w:highlight w:val="none"/>
        </w:rPr>
        <w:t>招标人应将中标人的情况在滁州市公共资源交易中心等网站上予以公告，公告期为</w:t>
      </w:r>
      <w:r>
        <w:rPr>
          <w:rFonts w:hint="eastAsia" w:ascii="宋体" w:hAnsi="宋体" w:cs="宋体"/>
          <w:b/>
          <w:bCs/>
          <w:color w:val="auto"/>
          <w:szCs w:val="21"/>
          <w:highlight w:val="none"/>
          <w:lang w:val="en-US" w:eastAsia="zh-CN"/>
        </w:rPr>
        <w:t>3</w:t>
      </w:r>
      <w:r>
        <w:rPr>
          <w:rFonts w:hint="eastAsia" w:ascii="宋体" w:hAnsi="宋体" w:cs="宋体"/>
          <w:b/>
          <w:bCs/>
          <w:color w:val="auto"/>
          <w:szCs w:val="21"/>
          <w:highlight w:val="none"/>
        </w:rPr>
        <w:t>日。</w:t>
      </w:r>
    </w:p>
    <w:p w14:paraId="4EF18B85">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30. 定标</w:t>
      </w:r>
    </w:p>
    <w:p w14:paraId="6E2B58B8">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w:t>
      </w:r>
      <w:bookmarkStart w:id="93" w:name="_Toc449028872"/>
      <w:r>
        <w:rPr>
          <w:rFonts w:hint="eastAsia" w:ascii="宋体" w:hAnsi="宋体" w:cs="宋体"/>
          <w:color w:val="auto"/>
          <w:szCs w:val="21"/>
          <w:highlight w:val="none"/>
        </w:rPr>
        <w:t>0.1 中标人的确定</w:t>
      </w:r>
    </w:p>
    <w:p w14:paraId="04E49A95">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30.1.1按照投标人须知前附表的规定，招标人或招标人授权的评标委员会依法确定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55DE1E59">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30.1.2中标人确定后，招标人应将中标信息在滁州市公共资源交易中心等网站上公告。</w:t>
      </w:r>
    </w:p>
    <w:p w14:paraId="60278D71">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30.2 中标通知书</w:t>
      </w:r>
    </w:p>
    <w:p w14:paraId="4F7AF86E">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30.2.1招标人或代理机构应在中标人确定之日起2个工作日内，在滁州市公共资源交易中心等网站公告中标结果并同时向中标人发出中标通知书。</w:t>
      </w:r>
    </w:p>
    <w:p w14:paraId="0702A1FC">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30.2.2中标通知书须加盖招标人、代理机构公章并经公共资源交易中心加盖见证章后，方可发出。</w:t>
      </w:r>
    </w:p>
    <w:p w14:paraId="1C01A687">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30.2.3招标人将在发出中标通知书的同时，向未通过资格审查的投标人告知其未通过的原因。</w:t>
      </w:r>
    </w:p>
    <w:p w14:paraId="52531015">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31. 开评标异常情况处理</w:t>
      </w:r>
    </w:p>
    <w:p w14:paraId="77992156">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31.1废标（重新招标）</w:t>
      </w:r>
    </w:p>
    <w:p w14:paraId="42FF05B2">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有下列情形之一的，招标人将废标（重新招标）：</w:t>
      </w:r>
    </w:p>
    <w:p w14:paraId="3AD46733">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(1)投标截止时间止，投标人少于三个的； </w:t>
      </w:r>
    </w:p>
    <w:p w14:paraId="06DD9BC6">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(2)符合专业条件的供应商或者对招标文件作实质响应的供应商不足三家的；</w:t>
      </w:r>
    </w:p>
    <w:p w14:paraId="313D7EB2">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(3)出现影响采购公正的违法、违规行为的；</w:t>
      </w:r>
    </w:p>
    <w:p w14:paraId="4543EC05">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(4)投标人的报价均脱离实际且无充分证据的；</w:t>
      </w:r>
    </w:p>
    <w:p w14:paraId="680D79C2">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(5)技术标暗标项目，所有投标人的技术标均能反映投标人信息的；</w:t>
      </w:r>
    </w:p>
    <w:p w14:paraId="574859B7">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(6)因重大变故，采购任务取消的。</w:t>
      </w:r>
    </w:p>
    <w:bookmarkEnd w:id="93"/>
    <w:p w14:paraId="316C0E4D">
      <w:pPr>
        <w:spacing w:line="440" w:lineRule="exact"/>
        <w:ind w:firstLine="420" w:firstLineChars="200"/>
        <w:jc w:val="left"/>
        <w:rPr>
          <w:rFonts w:hint="eastAsia" w:ascii="宋体" w:hAnsi="宋体" w:cs="宋体"/>
          <w:color w:val="auto"/>
          <w:kern w:val="10"/>
          <w:szCs w:val="21"/>
          <w:highlight w:val="none"/>
        </w:rPr>
      </w:pPr>
      <w:bookmarkStart w:id="94" w:name="_Toc449028873"/>
    </w:p>
    <w:p w14:paraId="1C7F3EC9">
      <w:pPr>
        <w:spacing w:before="156" w:beforeLines="50" w:after="156" w:afterLines="50" w:line="44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（六）合同的授予</w:t>
      </w:r>
      <w:bookmarkEnd w:id="94"/>
    </w:p>
    <w:p w14:paraId="5AE1F3D6">
      <w:pPr>
        <w:spacing w:line="440" w:lineRule="exact"/>
        <w:ind w:firstLine="521" w:firstLineChars="247"/>
        <w:jc w:val="left"/>
        <w:rPr>
          <w:rFonts w:hint="eastAsia" w:ascii="宋体" w:hAnsi="宋体" w:cs="宋体"/>
          <w:b/>
          <w:color w:val="auto"/>
          <w:szCs w:val="21"/>
          <w:highlight w:val="none"/>
        </w:rPr>
      </w:pPr>
      <w:r>
        <w:rPr>
          <w:rFonts w:hint="eastAsia" w:ascii="宋体" w:hAnsi="宋体" w:cs="宋体"/>
          <w:b/>
          <w:color w:val="auto"/>
          <w:szCs w:val="21"/>
          <w:highlight w:val="none"/>
        </w:rPr>
        <w:t>32. 合同授予标准</w:t>
      </w:r>
    </w:p>
    <w:p w14:paraId="22E45ABC">
      <w:pPr>
        <w:spacing w:line="440" w:lineRule="exact"/>
        <w:ind w:firstLine="525" w:firstLineChars="250"/>
        <w:jc w:val="left"/>
        <w:rPr>
          <w:rFonts w:hint="eastAsia" w:ascii="宋体" w:hAnsi="宋体" w:cs="宋体"/>
          <w:color w:val="auto"/>
          <w:szCs w:val="21"/>
          <w:highlight w:val="none"/>
        </w:rPr>
      </w:pPr>
      <w:r>
        <w:rPr>
          <w:rFonts w:hint="eastAsia" w:ascii="宋体" w:hAnsi="宋体" w:cs="宋体"/>
          <w:color w:val="auto"/>
          <w:szCs w:val="21"/>
          <w:highlight w:val="none"/>
        </w:rPr>
        <w:t>32.1 本招标项目的合同将授予按本投标须知第30条规定所确定的中标人。</w:t>
      </w:r>
    </w:p>
    <w:p w14:paraId="31FD3FD0">
      <w:pPr>
        <w:spacing w:line="440" w:lineRule="exact"/>
        <w:ind w:firstLine="521" w:firstLineChars="247"/>
        <w:jc w:val="left"/>
        <w:rPr>
          <w:rFonts w:hint="eastAsia" w:ascii="宋体" w:hAnsi="宋体" w:cs="宋体"/>
          <w:b/>
          <w:color w:val="auto"/>
          <w:szCs w:val="21"/>
          <w:highlight w:val="none"/>
        </w:rPr>
      </w:pPr>
      <w:r>
        <w:rPr>
          <w:rFonts w:hint="eastAsia" w:ascii="宋体" w:hAnsi="宋体" w:cs="宋体"/>
          <w:b/>
          <w:color w:val="auto"/>
          <w:szCs w:val="21"/>
          <w:highlight w:val="none"/>
        </w:rPr>
        <w:t>33. 合同协议书的签订</w:t>
      </w:r>
    </w:p>
    <w:p w14:paraId="73CE32D9">
      <w:pPr>
        <w:spacing w:line="440" w:lineRule="exact"/>
        <w:ind w:firstLine="525" w:firstLineChars="250"/>
        <w:jc w:val="left"/>
        <w:rPr>
          <w:rFonts w:hint="eastAsia" w:ascii="宋体" w:hAnsi="宋体" w:cs="宋体"/>
          <w:color w:val="auto"/>
          <w:szCs w:val="21"/>
          <w:highlight w:val="none"/>
        </w:rPr>
      </w:pPr>
      <w:r>
        <w:rPr>
          <w:rFonts w:hint="eastAsia" w:ascii="宋体" w:hAnsi="宋体" w:cs="宋体"/>
          <w:color w:val="auto"/>
          <w:szCs w:val="21"/>
          <w:highlight w:val="none"/>
        </w:rPr>
        <w:t>33.1招标人与中标人将于中标通知书发出之日起30日内，按照招标文件和中标人的投标文件订立书面采购合同。招标人和中标人不得再行订立背离合同实质性内容的其他协议。</w:t>
      </w:r>
    </w:p>
    <w:p w14:paraId="458940BF">
      <w:pPr>
        <w:spacing w:line="440" w:lineRule="exact"/>
        <w:ind w:firstLine="525" w:firstLineChars="250"/>
        <w:jc w:val="left"/>
        <w:rPr>
          <w:rFonts w:hint="eastAsia" w:ascii="宋体" w:hAnsi="宋体" w:cs="宋体"/>
          <w:color w:val="auto"/>
          <w:szCs w:val="21"/>
          <w:highlight w:val="none"/>
        </w:rPr>
      </w:pPr>
      <w:r>
        <w:rPr>
          <w:rFonts w:hint="eastAsia" w:ascii="宋体" w:hAnsi="宋体" w:cs="宋体"/>
          <w:color w:val="auto"/>
          <w:szCs w:val="21"/>
          <w:highlight w:val="none"/>
        </w:rPr>
        <w:t>33.2 招标人如不按本投标须知第30条的规定与中标人订立合同，或者招标人、中标人订立背离合同实质性内容的协议，给他人造成损失的，依法承担民事责任，同时依法承担相应法律责任。</w:t>
      </w:r>
    </w:p>
    <w:p w14:paraId="3688043F">
      <w:pPr>
        <w:spacing w:line="440" w:lineRule="exact"/>
        <w:ind w:firstLine="525" w:firstLineChars="250"/>
        <w:jc w:val="left"/>
        <w:rPr>
          <w:rFonts w:hint="eastAsia" w:ascii="宋体" w:hAnsi="宋体" w:cs="宋体"/>
          <w:color w:val="auto"/>
          <w:szCs w:val="21"/>
          <w:highlight w:val="none"/>
        </w:rPr>
      </w:pPr>
      <w:r>
        <w:rPr>
          <w:rFonts w:hint="eastAsia" w:ascii="宋体" w:hAnsi="宋体" w:cs="宋体"/>
          <w:color w:val="auto"/>
          <w:szCs w:val="21"/>
          <w:highlight w:val="none"/>
        </w:rPr>
        <w:t>33.3中标人如不按本投标须知第30条的规定与招标人订立合同，则招标人将废除授标，给招标人造成损失的，依法承担民事责任，同时依法承担相应法律责任。</w:t>
      </w:r>
    </w:p>
    <w:p w14:paraId="3BA480A5">
      <w:pPr>
        <w:spacing w:line="440" w:lineRule="exact"/>
        <w:ind w:firstLine="525" w:firstLineChars="250"/>
        <w:jc w:val="left"/>
        <w:rPr>
          <w:rFonts w:hint="eastAsia" w:ascii="宋体" w:hAnsi="宋体" w:cs="宋体"/>
          <w:color w:val="auto"/>
          <w:szCs w:val="21"/>
          <w:highlight w:val="none"/>
        </w:rPr>
      </w:pPr>
      <w:r>
        <w:rPr>
          <w:rFonts w:hint="eastAsia" w:ascii="宋体" w:hAnsi="宋体" w:cs="宋体"/>
          <w:color w:val="auto"/>
          <w:szCs w:val="21"/>
          <w:highlight w:val="none"/>
        </w:rPr>
        <w:t>33.4中标人应当按照合同约定履行义务，完成中标项目，不得将中标项目转让（转包）给他人。</w:t>
      </w:r>
    </w:p>
    <w:p w14:paraId="5AEB364F">
      <w:pPr>
        <w:spacing w:line="440" w:lineRule="exact"/>
        <w:jc w:val="left"/>
        <w:rPr>
          <w:rFonts w:hint="eastAsia" w:ascii="宋体" w:hAnsi="宋体" w:cs="宋体"/>
          <w:b/>
          <w:color w:val="auto"/>
          <w:szCs w:val="21"/>
          <w:highlight w:val="none"/>
        </w:rPr>
      </w:pPr>
      <w:r>
        <w:rPr>
          <w:rFonts w:hint="eastAsia" w:ascii="宋体" w:hAnsi="宋体" w:cs="宋体"/>
          <w:color w:val="auto"/>
          <w:szCs w:val="21"/>
          <w:highlight w:val="none"/>
        </w:rPr>
        <w:t xml:space="preserve">    34.</w:t>
      </w:r>
      <w:bookmarkStart w:id="95" w:name="_Toc217446068"/>
      <w:r>
        <w:rPr>
          <w:rFonts w:hint="eastAsia" w:ascii="宋体" w:hAnsi="宋体" w:cs="宋体"/>
          <w:color w:val="auto"/>
          <w:szCs w:val="21"/>
          <w:highlight w:val="none"/>
        </w:rPr>
        <w:t xml:space="preserve"> </w:t>
      </w:r>
      <w:r>
        <w:rPr>
          <w:rFonts w:hint="eastAsia" w:ascii="宋体" w:hAnsi="宋体" w:cs="宋体"/>
          <w:b/>
          <w:color w:val="auto"/>
          <w:szCs w:val="21"/>
          <w:highlight w:val="none"/>
        </w:rPr>
        <w:t>履约</w:t>
      </w:r>
      <w:bookmarkEnd w:id="95"/>
      <w:r>
        <w:rPr>
          <w:rFonts w:hint="eastAsia" w:ascii="宋体" w:hAnsi="宋体" w:cs="宋体"/>
          <w:b/>
          <w:color w:val="auto"/>
          <w:szCs w:val="21"/>
          <w:highlight w:val="none"/>
        </w:rPr>
        <w:t>担保</w:t>
      </w:r>
    </w:p>
    <w:p w14:paraId="6AF463C1">
      <w:pPr>
        <w:spacing w:line="440" w:lineRule="exact"/>
        <w:ind w:firstLine="420" w:firstLineChars="200"/>
        <w:jc w:val="left"/>
        <w:rPr>
          <w:rFonts w:hint="eastAsia" w:ascii="宋体" w:hAnsi="宋体" w:cs="宋体"/>
          <w:color w:val="auto"/>
          <w:szCs w:val="21"/>
          <w:highlight w:val="none"/>
        </w:rPr>
      </w:pPr>
      <w:bookmarkStart w:id="96" w:name="_Toc449028874"/>
      <w:r>
        <w:rPr>
          <w:rFonts w:hint="eastAsia" w:ascii="宋体" w:hAnsi="宋体" w:cs="宋体"/>
          <w:color w:val="auto"/>
          <w:szCs w:val="21"/>
          <w:highlight w:val="none"/>
        </w:rPr>
        <w:t>34.1在签订合同前，中标人应按投标人须知前附表规定的担保形式、金额和招标文件第五章“合同条款及格式”规定的或者事先经过招标人书面认可的履约担保格式向招标人提交履约担保。</w:t>
      </w:r>
    </w:p>
    <w:p w14:paraId="2B396425">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34.2 中标人不能按本章第34.1款要求提交履约担保的，视为放弃中标，给招标人造成损失的，依法承担民事责任。</w:t>
      </w:r>
    </w:p>
    <w:p w14:paraId="031ED76D">
      <w:pPr>
        <w:spacing w:before="156" w:beforeLines="50" w:after="156" w:afterLines="50" w:line="44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（七）纪律和监督</w:t>
      </w:r>
      <w:bookmarkEnd w:id="96"/>
    </w:p>
    <w:p w14:paraId="1238E53D">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 xml:space="preserve">35. 对招标人的纪律要求 </w:t>
      </w:r>
    </w:p>
    <w:p w14:paraId="6AB32940">
      <w:pPr>
        <w:adjustRightInd w:val="0"/>
        <w:snapToGrid w:val="0"/>
        <w:spacing w:line="440" w:lineRule="exact"/>
        <w:ind w:firstLine="420" w:firstLineChars="200"/>
        <w:jc w:val="left"/>
        <w:rPr>
          <w:rFonts w:hint="eastAsia" w:ascii="宋体" w:hAnsi="宋体" w:cs="宋体"/>
          <w:color w:val="auto"/>
          <w:kern w:val="10"/>
          <w:szCs w:val="21"/>
          <w:highlight w:val="none"/>
        </w:rPr>
      </w:pPr>
      <w:r>
        <w:rPr>
          <w:rFonts w:hint="eastAsia" w:ascii="宋体" w:hAnsi="宋体" w:cs="宋体"/>
          <w:color w:val="auto"/>
          <w:kern w:val="10"/>
          <w:szCs w:val="21"/>
          <w:highlight w:val="none"/>
        </w:rPr>
        <w:t xml:space="preserve">35.1招标人不得泄漏招标投标活动中应当保密的情况和资料，不得与投标人串通损害国家利益，社会公共利益或者他人合法权益。 </w:t>
      </w:r>
    </w:p>
    <w:p w14:paraId="2A673174">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 xml:space="preserve">36. 对投标人的纪律要求 </w:t>
      </w:r>
    </w:p>
    <w:p w14:paraId="779B555B">
      <w:pPr>
        <w:adjustRightInd w:val="0"/>
        <w:snapToGrid w:val="0"/>
        <w:spacing w:line="440" w:lineRule="exact"/>
        <w:ind w:firstLine="420" w:firstLineChars="200"/>
        <w:jc w:val="left"/>
        <w:rPr>
          <w:rFonts w:hint="eastAsia" w:ascii="宋体" w:hAnsi="宋体" w:cs="宋体"/>
          <w:color w:val="auto"/>
          <w:kern w:val="10"/>
          <w:szCs w:val="21"/>
          <w:highlight w:val="none"/>
        </w:rPr>
      </w:pPr>
      <w:r>
        <w:rPr>
          <w:rFonts w:hint="eastAsia" w:ascii="宋体" w:hAnsi="宋体" w:cs="宋体"/>
          <w:color w:val="auto"/>
          <w:kern w:val="10"/>
          <w:szCs w:val="21"/>
          <w:highlight w:val="none"/>
        </w:rPr>
        <w:t>36.1投标人不得相互串通投标或者与招标人串通投标，不得向招标人或者评标委员会成员行贿谋取中标，不得以他人名义投标或者以其他方式弄虚作假骗取中标；投标人不得以任何方式干扰、影响评标工作。</w:t>
      </w:r>
    </w:p>
    <w:p w14:paraId="21A62221">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 xml:space="preserve">37. 对评标委员会成员的纪律要求 </w:t>
      </w:r>
    </w:p>
    <w:p w14:paraId="25A73995">
      <w:pPr>
        <w:adjustRightInd w:val="0"/>
        <w:snapToGrid w:val="0"/>
        <w:spacing w:line="440" w:lineRule="exact"/>
        <w:ind w:firstLine="420" w:firstLineChars="200"/>
        <w:jc w:val="left"/>
        <w:rPr>
          <w:rFonts w:hint="eastAsia" w:ascii="宋体" w:hAnsi="宋体" w:cs="宋体"/>
          <w:color w:val="auto"/>
          <w:kern w:val="10"/>
          <w:szCs w:val="21"/>
          <w:highlight w:val="none"/>
        </w:rPr>
      </w:pPr>
      <w:r>
        <w:rPr>
          <w:rFonts w:hint="eastAsia" w:ascii="宋体" w:hAnsi="宋体" w:cs="宋体"/>
          <w:color w:val="auto"/>
          <w:kern w:val="10"/>
          <w:szCs w:val="21"/>
          <w:highlight w:val="none"/>
        </w:rPr>
        <w:t>37.1评标委员会成员不得收受他人的财物或者其他好处，不得向他人透漏对投标文件的评审和比较、中标候选人的推荐情况以及评标有关的其他情况。</w:t>
      </w:r>
    </w:p>
    <w:p w14:paraId="3B6032D9">
      <w:pPr>
        <w:adjustRightInd w:val="0"/>
        <w:snapToGrid w:val="0"/>
        <w:spacing w:line="440" w:lineRule="exact"/>
        <w:ind w:firstLine="420" w:firstLineChars="200"/>
        <w:jc w:val="left"/>
        <w:rPr>
          <w:rFonts w:hint="eastAsia" w:ascii="宋体" w:hAnsi="宋体" w:cs="宋体"/>
          <w:color w:val="auto"/>
          <w:kern w:val="10"/>
          <w:szCs w:val="21"/>
          <w:highlight w:val="none"/>
        </w:rPr>
      </w:pPr>
      <w:r>
        <w:rPr>
          <w:rFonts w:hint="eastAsia" w:ascii="宋体" w:hAnsi="宋体" w:cs="宋体"/>
          <w:color w:val="auto"/>
          <w:kern w:val="10"/>
          <w:szCs w:val="21"/>
          <w:highlight w:val="none"/>
        </w:rPr>
        <w:t xml:space="preserve">37.2在评标活动中，评标委员会成员不得擅离职守，影响评标程序正常进行，不得使用第三章“评标办法”没有规定的评审因素和标准进行评标。 </w:t>
      </w:r>
    </w:p>
    <w:p w14:paraId="2C07EBEC">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 xml:space="preserve">38. 对与评标活动有关的工作人员的纪律要求 </w:t>
      </w:r>
    </w:p>
    <w:p w14:paraId="08CB212C">
      <w:pPr>
        <w:adjustRightInd w:val="0"/>
        <w:snapToGrid w:val="0"/>
        <w:spacing w:line="440" w:lineRule="exact"/>
        <w:ind w:firstLine="420" w:firstLineChars="200"/>
        <w:jc w:val="left"/>
        <w:rPr>
          <w:rFonts w:hint="eastAsia" w:ascii="宋体" w:hAnsi="宋体" w:cs="宋体"/>
          <w:color w:val="auto"/>
          <w:kern w:val="10"/>
          <w:szCs w:val="21"/>
          <w:highlight w:val="none"/>
        </w:rPr>
      </w:pPr>
      <w:r>
        <w:rPr>
          <w:rFonts w:hint="eastAsia" w:ascii="宋体" w:hAnsi="宋体" w:cs="宋体"/>
          <w:color w:val="auto"/>
          <w:kern w:val="10"/>
          <w:szCs w:val="21"/>
          <w:highlight w:val="none"/>
        </w:rPr>
        <w:t>38.1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5F340398">
      <w:pPr>
        <w:spacing w:before="156" w:beforeLines="50" w:after="156" w:afterLines="50" w:line="440" w:lineRule="exact"/>
        <w:jc w:val="center"/>
        <w:rPr>
          <w:rFonts w:hint="eastAsia" w:ascii="宋体" w:hAnsi="宋体" w:cs="宋体"/>
          <w:b/>
          <w:color w:val="auto"/>
          <w:sz w:val="28"/>
          <w:szCs w:val="28"/>
          <w:highlight w:val="none"/>
        </w:rPr>
      </w:pPr>
      <w:bookmarkStart w:id="97" w:name="_Toc449028875"/>
      <w:r>
        <w:rPr>
          <w:rFonts w:hint="eastAsia" w:ascii="宋体" w:hAnsi="宋体" w:cs="宋体"/>
          <w:b/>
          <w:color w:val="auto"/>
          <w:sz w:val="28"/>
          <w:szCs w:val="28"/>
          <w:highlight w:val="none"/>
        </w:rPr>
        <w:t>（八）异议与投诉</w:t>
      </w:r>
      <w:bookmarkEnd w:id="97"/>
    </w:p>
    <w:p w14:paraId="7FE55463">
      <w:pPr>
        <w:spacing w:line="440" w:lineRule="exact"/>
        <w:ind w:firstLine="422" w:firstLineChars="200"/>
        <w:jc w:val="left"/>
        <w:rPr>
          <w:rFonts w:hint="eastAsia" w:ascii="宋体" w:hAnsi="宋体"/>
          <w:b/>
          <w:color w:val="auto"/>
          <w:szCs w:val="21"/>
          <w:highlight w:val="none"/>
        </w:rPr>
      </w:pPr>
      <w:r>
        <w:rPr>
          <w:rFonts w:hint="eastAsia" w:ascii="宋体" w:hAnsi="宋体"/>
          <w:b/>
          <w:color w:val="auto"/>
          <w:szCs w:val="21"/>
          <w:highlight w:val="none"/>
        </w:rPr>
        <w:t>39. 异议</w:t>
      </w:r>
    </w:p>
    <w:p w14:paraId="5C0C84D8">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39</w:t>
      </w:r>
      <w:r>
        <w:rPr>
          <w:rFonts w:ascii="宋体" w:hAnsi="宋体"/>
          <w:color w:val="auto"/>
          <w:szCs w:val="21"/>
          <w:highlight w:val="none"/>
        </w:rPr>
        <w:t>.1</w:t>
      </w:r>
      <w:r>
        <w:rPr>
          <w:rFonts w:hint="eastAsia" w:ascii="宋体" w:hAnsi="宋体"/>
          <w:color w:val="auto"/>
          <w:szCs w:val="21"/>
          <w:highlight w:val="none"/>
        </w:rPr>
        <w:t xml:space="preserve"> 若投标人或者其他利害关系人对中标结果有异议，可在公示期内以书面形式，并在工作时间内（上午8:00-12:00,下午2:30-5:30）向招标人或招标代理机构提出异议。</w:t>
      </w:r>
    </w:p>
    <w:p w14:paraId="395CBE05">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异议应以书面形式实名提出，也可以通过电子交易系统使用电子印章在线提出异议，具体网址见滁州市公共资源交易中心网站—通知公告—滁州市公共资源交易维权渠道，书面异议材料应当包括以下内容： </w:t>
      </w:r>
    </w:p>
    <w:p w14:paraId="5B840B1E">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（1）异议人的名称、地址、有效联系方式； </w:t>
      </w:r>
    </w:p>
    <w:p w14:paraId="7985940D">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（2）项目名称、项目编号、标段号（如有）； </w:t>
      </w:r>
    </w:p>
    <w:p w14:paraId="74857B11">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（3）被异议人名称； </w:t>
      </w:r>
    </w:p>
    <w:p w14:paraId="3906FB45">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（4）具体的异议事项、基本事实及必要的证明材料； </w:t>
      </w:r>
    </w:p>
    <w:p w14:paraId="337169D5">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（5）明确的请求及主张； </w:t>
      </w:r>
    </w:p>
    <w:p w14:paraId="53F0E79E">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（6）提起异议的日期。 </w:t>
      </w:r>
    </w:p>
    <w:p w14:paraId="7792716D">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（7）异议人为法人的，应当由法定代表人或授权代表签字并加盖公章；为其他组织或个人的，异议材料须由其主要负责人或者异议人本人签字，并附有效身份证明复印件。 </w:t>
      </w:r>
    </w:p>
    <w:p w14:paraId="3A09F0B0">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（8）异议人需要修改、补充异议材料的，应当在招标人或招标代理机构规定的期限内提交修改或补充材料。 </w:t>
      </w:r>
    </w:p>
    <w:p w14:paraId="62DDC840">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39.2 有下列情形之一的，不予受理： </w:t>
      </w:r>
    </w:p>
    <w:p w14:paraId="3E0F9DF4">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（1）提出异议的主体不是所异议项目投标人或者其他利害关系人的；</w:t>
      </w:r>
    </w:p>
    <w:p w14:paraId="3BEC7BEE">
      <w:pPr>
        <w:wordWrap w:val="0"/>
        <w:spacing w:line="440" w:lineRule="exact"/>
        <w:ind w:firstLine="630" w:firstLineChars="300"/>
        <w:jc w:val="left"/>
        <w:rPr>
          <w:rFonts w:hint="eastAsia" w:ascii="宋体" w:hAnsi="宋体"/>
          <w:color w:val="auto"/>
          <w:szCs w:val="21"/>
          <w:highlight w:val="none"/>
        </w:rPr>
      </w:pPr>
      <w:r>
        <w:rPr>
          <w:rFonts w:hint="eastAsia" w:ascii="宋体" w:hAnsi="宋体"/>
          <w:color w:val="auto"/>
          <w:szCs w:val="21"/>
          <w:highlight w:val="none"/>
        </w:rPr>
        <w:t>（2）对于依法必须招标的项目，未在公示期间提出异议的；</w:t>
      </w:r>
    </w:p>
    <w:p w14:paraId="155BE995">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（3）异议材料不完整的； </w:t>
      </w:r>
    </w:p>
    <w:p w14:paraId="2A124790">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（4）异议事项含有主观猜测等内容且未提供有效线索、难以查证的； </w:t>
      </w:r>
    </w:p>
    <w:p w14:paraId="1FCE9A15">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（5）对其他投标人的投标文件详细内容异议，无法提供合法来源渠道的； </w:t>
      </w:r>
    </w:p>
    <w:p w14:paraId="1CFD237F">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  （6）异议事项已进入投诉处理、行政复议或行政诉讼程序的。</w:t>
      </w:r>
    </w:p>
    <w:p w14:paraId="72A4C44C">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39.3 投标人或其他利害关系人对招标文件有异议的，应在投标截止时间10日前以网上留言或书面形式（包括信函、电报、传真等可以有形的表现所载内容的形式，下同）提出。招标人将在收到异议之日起3日内作出答复。</w:t>
      </w:r>
    </w:p>
    <w:p w14:paraId="5811A412">
      <w:pPr>
        <w:wordWrap w:val="0"/>
        <w:spacing w:line="440" w:lineRule="exact"/>
        <w:ind w:firstLine="420" w:firstLineChars="200"/>
        <w:jc w:val="left"/>
        <w:rPr>
          <w:rFonts w:hint="eastAsia" w:ascii="宋体"/>
          <w:color w:val="auto"/>
          <w:kern w:val="10"/>
          <w:szCs w:val="21"/>
          <w:highlight w:val="none"/>
        </w:rPr>
      </w:pPr>
      <w:r>
        <w:rPr>
          <w:rFonts w:hint="eastAsia" w:ascii="宋体" w:hAnsi="宋体"/>
          <w:color w:val="auto"/>
          <w:szCs w:val="21"/>
          <w:highlight w:val="none"/>
        </w:rPr>
        <w:t>39.4投标人对开标有异议的，应当在开标现场提出，招标人当场作出答复，并制作记录。异议与答复应通过电子交易系统进行</w:t>
      </w:r>
      <w:r>
        <w:rPr>
          <w:rFonts w:hint="eastAsia" w:ascii="宋体"/>
          <w:color w:val="auto"/>
          <w:kern w:val="10"/>
          <w:szCs w:val="21"/>
          <w:highlight w:val="none"/>
        </w:rPr>
        <w:t>。</w:t>
      </w:r>
    </w:p>
    <w:p w14:paraId="4D9B1AA8">
      <w:pPr>
        <w:wordWrap w:val="0"/>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40. 投诉</w:t>
      </w:r>
    </w:p>
    <w:p w14:paraId="33D0994C">
      <w:pPr>
        <w:wordWrap w:val="0"/>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40.1投标人和其他利害关系人认为本次招标活动违反法律、法规和规章规定的，有权向有关行政监督部门投诉。投诉应当有明确的请求和必要的证明材料。</w:t>
      </w:r>
    </w:p>
    <w:p w14:paraId="389DF157">
      <w:pPr>
        <w:wordWrap w:val="0"/>
        <w:spacing w:line="440" w:lineRule="exact"/>
        <w:ind w:firstLine="420" w:firstLineChars="200"/>
        <w:jc w:val="left"/>
        <w:rPr>
          <w:rFonts w:hint="eastAsia" w:ascii="宋体" w:hAnsi="Calibri"/>
          <w:color w:val="auto"/>
          <w:kern w:val="10"/>
          <w:szCs w:val="21"/>
          <w:highlight w:val="none"/>
        </w:rPr>
      </w:pPr>
      <w:r>
        <w:rPr>
          <w:rFonts w:hint="eastAsia" w:ascii="宋体" w:hAnsi="宋体"/>
          <w:color w:val="auto"/>
          <w:szCs w:val="21"/>
          <w:highlight w:val="none"/>
        </w:rPr>
        <w:t>40.2投标人和其他利害关系人对评标结果等事项投诉的，应当在开标期间或中标结果公示期间，</w:t>
      </w:r>
      <w:r>
        <w:rPr>
          <w:rFonts w:hint="eastAsia" w:ascii="宋体" w:hAnsi="宋体" w:cs="宋体"/>
          <w:color w:val="auto"/>
          <w:szCs w:val="21"/>
          <w:highlight w:val="none"/>
        </w:rPr>
        <w:t>先向招标人提出异议。</w:t>
      </w:r>
      <w:r>
        <w:rPr>
          <w:rFonts w:hint="eastAsia" w:ascii="宋体" w:hAnsi="宋体" w:cs="宋体"/>
          <w:b/>
          <w:color w:val="auto"/>
          <w:szCs w:val="21"/>
          <w:highlight w:val="none"/>
        </w:rPr>
        <w:t>注：一份质疑（异议）函只能针对一个项目提出质疑（异议），且针对同一招标采购程序环节的质疑（异议）应当一次性提出</w:t>
      </w:r>
      <w:r>
        <w:rPr>
          <w:rFonts w:hint="eastAsia" w:ascii="宋体" w:hAnsi="Calibri"/>
          <w:color w:val="auto"/>
          <w:kern w:val="10"/>
          <w:szCs w:val="21"/>
          <w:highlight w:val="none"/>
        </w:rPr>
        <w:t>。</w:t>
      </w:r>
    </w:p>
    <w:p w14:paraId="751CF980">
      <w:pPr>
        <w:wordWrap w:val="0"/>
        <w:spacing w:line="440" w:lineRule="exact"/>
        <w:ind w:firstLine="420" w:firstLineChars="200"/>
        <w:jc w:val="left"/>
        <w:rPr>
          <w:rFonts w:hint="eastAsia" w:ascii="宋体" w:hAnsi="Calibri"/>
          <w:color w:val="auto"/>
          <w:kern w:val="10"/>
          <w:szCs w:val="21"/>
          <w:highlight w:val="none"/>
        </w:rPr>
      </w:pPr>
      <w:r>
        <w:rPr>
          <w:rFonts w:hint="eastAsia" w:ascii="宋体" w:hAnsi="Calibri"/>
          <w:color w:val="auto"/>
          <w:kern w:val="10"/>
          <w:szCs w:val="21"/>
          <w:highlight w:val="none"/>
        </w:rPr>
        <w:t>40.3投标人对招标人的答复不满意，或者招标人未在规定的时间内答复的，可以自知道或者应当知道之日起10日内以书面形式（http://ggzy.chuzhou.gov.cn/fwzn/011001/011001001/011001001003/20200727/7fb88e17-63dd-4f17-b17c-290526c6eda8.html）向有关行政监督部门提出投诉和线上提交投诉材料（http://ggzy.chuzhou.gov.cn/fwzn/011001/011001001/011001001003/20200221/b079d9ca-90f2-4cce-aa7c-94a444e7ac91.html）。</w:t>
      </w:r>
    </w:p>
    <w:p w14:paraId="0980E11B">
      <w:pPr>
        <w:wordWrap w:val="0"/>
        <w:spacing w:before="156" w:beforeLines="50" w:after="156" w:afterLines="50" w:line="440" w:lineRule="exact"/>
        <w:ind w:firstLine="420" w:firstLineChars="200"/>
        <w:outlineLvl w:val="0"/>
        <w:rPr>
          <w:rFonts w:hint="eastAsia" w:ascii="宋体" w:hAnsi="Calibri"/>
          <w:color w:val="auto"/>
          <w:kern w:val="10"/>
          <w:szCs w:val="21"/>
          <w:highlight w:val="none"/>
        </w:rPr>
      </w:pPr>
    </w:p>
    <w:p w14:paraId="6218F078">
      <w:pPr>
        <w:wordWrap w:val="0"/>
        <w:spacing w:before="156" w:beforeLines="50" w:after="156" w:afterLines="50" w:line="440" w:lineRule="exact"/>
        <w:ind w:firstLine="420" w:firstLineChars="200"/>
        <w:outlineLvl w:val="0"/>
        <w:rPr>
          <w:rFonts w:hint="eastAsia" w:ascii="宋体" w:hAnsi="Calibri"/>
          <w:color w:val="auto"/>
          <w:kern w:val="10"/>
          <w:szCs w:val="21"/>
          <w:highlight w:val="none"/>
        </w:rPr>
      </w:pPr>
    </w:p>
    <w:p w14:paraId="7FDA774E">
      <w:pPr>
        <w:wordWrap w:val="0"/>
        <w:spacing w:before="156" w:beforeLines="50" w:after="156" w:afterLines="50" w:line="440" w:lineRule="exact"/>
        <w:jc w:val="center"/>
        <w:outlineLvl w:val="0"/>
        <w:rPr>
          <w:rFonts w:hint="eastAsia" w:ascii="宋体"/>
          <w:b/>
          <w:color w:val="auto"/>
          <w:sz w:val="32"/>
          <w:szCs w:val="32"/>
          <w:highlight w:val="none"/>
        </w:rPr>
      </w:pPr>
      <w:bookmarkStart w:id="98" w:name="_Toc4986"/>
      <w:bookmarkStart w:id="99" w:name="_Toc12972"/>
      <w:bookmarkStart w:id="100" w:name="_Toc31037"/>
      <w:r>
        <w:rPr>
          <w:rFonts w:hint="eastAsia" w:ascii="宋体"/>
          <w:b/>
          <w:color w:val="auto"/>
          <w:sz w:val="32"/>
          <w:szCs w:val="32"/>
          <w:highlight w:val="none"/>
        </w:rPr>
        <w:br w:type="page"/>
      </w:r>
      <w:r>
        <w:rPr>
          <w:rFonts w:hint="eastAsia" w:ascii="宋体"/>
          <w:b/>
          <w:color w:val="auto"/>
          <w:sz w:val="32"/>
          <w:szCs w:val="32"/>
          <w:highlight w:val="none"/>
        </w:rPr>
        <w:t>第三章 评标办法（综合评分法）</w:t>
      </w:r>
      <w:bookmarkEnd w:id="98"/>
      <w:bookmarkEnd w:id="99"/>
      <w:bookmarkEnd w:id="100"/>
    </w:p>
    <w:p w14:paraId="70D2881D">
      <w:pPr>
        <w:spacing w:before="156" w:beforeLines="50" w:after="156" w:afterLines="50" w:line="440" w:lineRule="exact"/>
        <w:jc w:val="center"/>
        <w:outlineLvl w:val="1"/>
        <w:rPr>
          <w:rFonts w:hint="eastAsia" w:ascii="宋体"/>
          <w:b/>
          <w:color w:val="auto"/>
          <w:sz w:val="28"/>
          <w:szCs w:val="28"/>
          <w:highlight w:val="none"/>
        </w:rPr>
      </w:pPr>
      <w:bookmarkStart w:id="101" w:name="_Toc14942"/>
      <w:bookmarkStart w:id="102" w:name="_Toc362983801"/>
      <w:bookmarkStart w:id="103" w:name="_Toc58430317"/>
      <w:bookmarkStart w:id="104" w:name="_Toc18110"/>
      <w:bookmarkStart w:id="105" w:name="_Toc449028877"/>
      <w:bookmarkStart w:id="106" w:name="_Toc5093"/>
      <w:bookmarkStart w:id="107" w:name="_Toc267320058"/>
      <w:bookmarkStart w:id="108" w:name="_Toc363135205"/>
      <w:r>
        <w:rPr>
          <w:rFonts w:hint="eastAsia" w:ascii="宋体"/>
          <w:b/>
          <w:color w:val="auto"/>
          <w:sz w:val="28"/>
          <w:szCs w:val="28"/>
          <w:highlight w:val="none"/>
        </w:rPr>
        <w:t>一、总则</w:t>
      </w:r>
      <w:bookmarkEnd w:id="101"/>
      <w:bookmarkEnd w:id="102"/>
      <w:bookmarkEnd w:id="103"/>
      <w:bookmarkEnd w:id="104"/>
      <w:bookmarkEnd w:id="105"/>
      <w:bookmarkEnd w:id="106"/>
    </w:p>
    <w:p w14:paraId="469616F9">
      <w:pPr>
        <w:spacing w:line="440" w:lineRule="exact"/>
        <w:ind w:firstLine="316" w:firstLineChars="150"/>
        <w:jc w:val="left"/>
        <w:rPr>
          <w:rFonts w:hint="eastAsia" w:ascii="宋体"/>
          <w:b/>
          <w:color w:val="auto"/>
          <w:szCs w:val="21"/>
          <w:highlight w:val="none"/>
        </w:rPr>
      </w:pPr>
      <w:r>
        <w:rPr>
          <w:rFonts w:hint="eastAsia" w:ascii="宋体"/>
          <w:b/>
          <w:color w:val="auto"/>
          <w:szCs w:val="21"/>
          <w:highlight w:val="none"/>
        </w:rPr>
        <w:t xml:space="preserve"> 1. 本次评标采用综合评分法</w:t>
      </w:r>
    </w:p>
    <w:p w14:paraId="51CD9026">
      <w:pPr>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1.1综合评分法是指投标文件满足招标文件全部实质性要求且按照评审因素的量化指标评审总得分从高到低的供应商为中标候选人的评标方法。</w:t>
      </w:r>
    </w:p>
    <w:p w14:paraId="7D897313">
      <w:pPr>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1.2综合评分法一般适用于较为复杂、评价指标难以量化且价格为非主要因素的非标准定制商品和非通用服务项目的项目评审。</w:t>
      </w:r>
    </w:p>
    <w:p w14:paraId="7119E28C">
      <w:pPr>
        <w:spacing w:line="440" w:lineRule="exact"/>
        <w:ind w:firstLine="422" w:firstLineChars="200"/>
        <w:jc w:val="left"/>
        <w:rPr>
          <w:rFonts w:hint="eastAsia" w:ascii="宋体"/>
          <w:b/>
          <w:color w:val="auto"/>
          <w:szCs w:val="21"/>
          <w:highlight w:val="none"/>
        </w:rPr>
      </w:pPr>
      <w:r>
        <w:rPr>
          <w:rFonts w:hint="eastAsia" w:ascii="宋体"/>
          <w:b/>
          <w:color w:val="auto"/>
          <w:szCs w:val="21"/>
          <w:highlight w:val="none"/>
        </w:rPr>
        <w:t>2．评标程序</w:t>
      </w:r>
    </w:p>
    <w:p w14:paraId="510B9623">
      <w:pPr>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2.1投标文件的初审</w:t>
      </w:r>
    </w:p>
    <w:p w14:paraId="3C6962A0">
      <w:pPr>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 xml:space="preserve">2.1.1资格性检查。依据法律法规和招标文件的规定，对投标文件中的资格证明、投标保证金等进行审查，以确定投标人是否具备投标资格。 </w:t>
      </w:r>
    </w:p>
    <w:p w14:paraId="545CC14D">
      <w:pPr>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2.1.2符合性检查。依据招标文件的规定，从投标文件的有效性、完整性和对招标文件的响应程度进行审查，以确定投标人是否对招标文件的实质性要求作出响应。</w:t>
      </w:r>
    </w:p>
    <w:p w14:paraId="0EA148F2">
      <w:pPr>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2.2投标文件的澄清</w:t>
      </w:r>
    </w:p>
    <w:p w14:paraId="592360EC">
      <w:pPr>
        <w:spacing w:line="440" w:lineRule="exact"/>
        <w:ind w:firstLine="420" w:firstLineChars="200"/>
        <w:rPr>
          <w:rFonts w:hint="eastAsia" w:ascii="宋体"/>
          <w:color w:val="auto"/>
          <w:szCs w:val="21"/>
          <w:highlight w:val="none"/>
        </w:rPr>
      </w:pPr>
      <w:r>
        <w:rPr>
          <w:rFonts w:hint="eastAsia" w:ascii="宋体"/>
          <w:color w:val="auto"/>
          <w:szCs w:val="21"/>
          <w:highlight w:val="none"/>
        </w:rPr>
        <w:t>2.2.1在评标过程中，评标委员会认为需要，在监督人员在场的情况下，可要求投标人对投标文件中的有关问题进行澄清或提供补充说明及有关资料，投标人应做出书面答复。书面答复中不得变更价格、服务期限、自报质量等实质性内容。</w:t>
      </w:r>
    </w:p>
    <w:p w14:paraId="15655760">
      <w:pPr>
        <w:spacing w:line="440" w:lineRule="exact"/>
        <w:ind w:firstLine="422" w:firstLineChars="200"/>
        <w:rPr>
          <w:rFonts w:hint="eastAsia" w:ascii="宋体"/>
          <w:color w:val="auto"/>
          <w:szCs w:val="21"/>
          <w:highlight w:val="none"/>
        </w:rPr>
      </w:pPr>
      <w:r>
        <w:rPr>
          <w:rFonts w:hint="eastAsia" w:ascii="宋体" w:hAnsi="宋体" w:cs="宋体"/>
          <w:b/>
          <w:bCs/>
          <w:color w:val="auto"/>
          <w:szCs w:val="21"/>
          <w:highlight w:val="none"/>
        </w:rPr>
        <w:t>本项目采用远程开标，具体操作方法详见服务指南&gt;交易须知&gt;开标大厅远程解密、质疑(异议)及回复以及评标过程中询标流程操作手册。</w:t>
      </w:r>
    </w:p>
    <w:p w14:paraId="115126D2">
      <w:pPr>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2.2.2书面答复须经投标人法定代理人或其授权委托代理人的签字或印鉴，签字或盖印鉴的书面答复将视为投标文件的组成部分。投标截止时间后，投标人对投标报价或其它实质性内容修正的函件和增加的任何优惠条件，一律不得作为评标、定标的依据。</w:t>
      </w:r>
    </w:p>
    <w:p w14:paraId="03E38D22">
      <w:pPr>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2.2.3招标人不接受投标人主动提出的澄清。</w:t>
      </w:r>
    </w:p>
    <w:p w14:paraId="349F0B15">
      <w:pPr>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2.3比较与评价</w:t>
      </w:r>
    </w:p>
    <w:p w14:paraId="43C04C4D">
      <w:pPr>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 xml:space="preserve">2.3.1按招标文件中规定的评标方法和标准，对资格性检查和符合性检查合格的投标文件进行资信和技术评估，综合比较与评价。 </w:t>
      </w:r>
    </w:p>
    <w:p w14:paraId="34989E1E">
      <w:pPr>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2.4推荐中标候选人名单</w:t>
      </w:r>
    </w:p>
    <w:p w14:paraId="7D8010F2">
      <w:pPr>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2.4.1中标候选人数量应当根据采购需要确定，但必须按顺序排列中标候选人。</w:t>
      </w:r>
    </w:p>
    <w:p w14:paraId="0EC31903">
      <w:pPr>
        <w:spacing w:line="440" w:lineRule="exact"/>
        <w:ind w:firstLine="420" w:firstLineChars="200"/>
        <w:jc w:val="left"/>
        <w:rPr>
          <w:rFonts w:hint="eastAsia" w:ascii="宋体"/>
          <w:color w:val="auto"/>
          <w:szCs w:val="21"/>
          <w:highlight w:val="none"/>
        </w:rPr>
      </w:pPr>
      <w:r>
        <w:rPr>
          <w:rFonts w:hint="eastAsia" w:ascii="宋体"/>
          <w:color w:val="auto"/>
          <w:szCs w:val="21"/>
          <w:highlight w:val="none"/>
        </w:rPr>
        <w:t>2.5在投标文件的审查、澄清、评价和比较以及授予合同过程中，投标人对招标人和评标委员会成员施加影响的任何行为，都将导致取消其中标资格。</w:t>
      </w:r>
    </w:p>
    <w:p w14:paraId="7CE1C875">
      <w:pPr>
        <w:spacing w:before="156" w:beforeLines="50" w:after="156" w:afterLines="50" w:line="440" w:lineRule="exact"/>
        <w:jc w:val="center"/>
        <w:outlineLvl w:val="1"/>
        <w:rPr>
          <w:rFonts w:hint="eastAsia" w:ascii="宋体"/>
          <w:b/>
          <w:color w:val="auto"/>
          <w:sz w:val="28"/>
          <w:szCs w:val="28"/>
          <w:highlight w:val="none"/>
        </w:rPr>
      </w:pPr>
      <w:bookmarkStart w:id="109" w:name="_Toc13523"/>
      <w:bookmarkStart w:id="110" w:name="_Toc13994"/>
      <w:bookmarkStart w:id="111" w:name="_Toc449028878"/>
      <w:bookmarkStart w:id="112" w:name="_Toc362983802"/>
      <w:bookmarkStart w:id="113" w:name="_Toc7627"/>
      <w:bookmarkStart w:id="114" w:name="_Toc58430318"/>
      <w:r>
        <w:rPr>
          <w:rFonts w:hint="eastAsia" w:ascii="宋体"/>
          <w:b/>
          <w:color w:val="auto"/>
          <w:sz w:val="28"/>
          <w:szCs w:val="28"/>
          <w:highlight w:val="none"/>
        </w:rPr>
        <w:t>二、投标文件初审</w:t>
      </w:r>
      <w:bookmarkEnd w:id="109"/>
      <w:bookmarkEnd w:id="110"/>
      <w:bookmarkEnd w:id="111"/>
      <w:bookmarkEnd w:id="112"/>
      <w:bookmarkEnd w:id="113"/>
      <w:bookmarkEnd w:id="114"/>
    </w:p>
    <w:p w14:paraId="5C7701E1">
      <w:pPr>
        <w:spacing w:line="440" w:lineRule="exact"/>
        <w:ind w:firstLine="310" w:firstLineChars="147"/>
        <w:jc w:val="left"/>
        <w:rPr>
          <w:rFonts w:hint="eastAsia" w:ascii="宋体" w:hAnsi="宋体" w:cs="宋体"/>
          <w:b/>
          <w:color w:val="auto"/>
          <w:szCs w:val="21"/>
          <w:highlight w:val="none"/>
        </w:rPr>
      </w:pPr>
      <w:r>
        <w:rPr>
          <w:rFonts w:hint="eastAsia" w:ascii="宋体" w:hAnsi="宋体" w:cs="宋体"/>
          <w:b/>
          <w:color w:val="auto"/>
          <w:szCs w:val="21"/>
          <w:highlight w:val="none"/>
        </w:rPr>
        <w:t>3.资格性审查:</w:t>
      </w:r>
    </w:p>
    <w:p w14:paraId="5E6CF9D3">
      <w:pPr>
        <w:spacing w:line="440" w:lineRule="exact"/>
        <w:ind w:firstLine="308" w:firstLineChars="147"/>
        <w:jc w:val="left"/>
        <w:rPr>
          <w:rFonts w:hint="eastAsia" w:ascii="宋体" w:hAnsi="宋体" w:cs="宋体"/>
          <w:color w:val="auto"/>
          <w:szCs w:val="21"/>
          <w:highlight w:val="none"/>
        </w:rPr>
      </w:pPr>
      <w:r>
        <w:rPr>
          <w:rFonts w:hint="eastAsia" w:ascii="宋体" w:hAnsi="宋体" w:cs="宋体"/>
          <w:color w:val="auto"/>
          <w:szCs w:val="21"/>
          <w:highlight w:val="none"/>
        </w:rPr>
        <w:t>3.1评审细则</w:t>
      </w:r>
    </w:p>
    <w:tbl>
      <w:tblPr>
        <w:tblStyle w:val="36"/>
        <w:tblW w:w="10290" w:type="dxa"/>
        <w:tblInd w:w="-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725"/>
        <w:gridCol w:w="4125"/>
        <w:gridCol w:w="3720"/>
      </w:tblGrid>
      <w:tr w14:paraId="2347E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20" w:type="dxa"/>
            <w:noWrap w:val="0"/>
            <w:vAlign w:val="center"/>
          </w:tcPr>
          <w:p w14:paraId="72E800E5">
            <w:pPr>
              <w:keepNext w:val="0"/>
              <w:keepLines w:val="0"/>
              <w:suppressLineNumbers w:val="0"/>
              <w:spacing w:before="0" w:beforeAutospacing="0" w:after="0" w:afterAutospacing="0" w:line="440" w:lineRule="exact"/>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5850" w:type="dxa"/>
            <w:gridSpan w:val="2"/>
            <w:noWrap w:val="0"/>
            <w:vAlign w:val="center"/>
          </w:tcPr>
          <w:p w14:paraId="5F8FCDFB">
            <w:pPr>
              <w:keepNext w:val="0"/>
              <w:keepLines w:val="0"/>
              <w:suppressLineNumbers w:val="0"/>
              <w:spacing w:before="0" w:beforeAutospacing="0" w:after="0" w:afterAutospacing="0" w:line="440" w:lineRule="exact"/>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评审因素</w:t>
            </w:r>
          </w:p>
        </w:tc>
        <w:tc>
          <w:tcPr>
            <w:tcW w:w="3720" w:type="dxa"/>
            <w:noWrap w:val="0"/>
            <w:vAlign w:val="center"/>
          </w:tcPr>
          <w:p w14:paraId="4319FCF2">
            <w:pPr>
              <w:keepNext w:val="0"/>
              <w:keepLines w:val="0"/>
              <w:suppressLineNumbers w:val="0"/>
              <w:spacing w:before="0" w:beforeAutospacing="0" w:after="0" w:afterAutospacing="0" w:line="440" w:lineRule="exact"/>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评审标准</w:t>
            </w:r>
          </w:p>
        </w:tc>
      </w:tr>
      <w:tr w14:paraId="5DFF0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720" w:type="dxa"/>
            <w:noWrap w:val="0"/>
            <w:vAlign w:val="center"/>
          </w:tcPr>
          <w:p w14:paraId="337DC8E2">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725" w:type="dxa"/>
            <w:noWrap w:val="0"/>
            <w:vAlign w:val="center"/>
          </w:tcPr>
          <w:p w14:paraId="47EE561B">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重要要求</w:t>
            </w:r>
          </w:p>
        </w:tc>
        <w:tc>
          <w:tcPr>
            <w:tcW w:w="4125" w:type="dxa"/>
            <w:noWrap w:val="0"/>
            <w:vAlign w:val="center"/>
          </w:tcPr>
          <w:p w14:paraId="173681DF">
            <w:pPr>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r>
              <w:rPr>
                <w:rFonts w:hint="eastAsia" w:ascii="宋体" w:hAnsi="宋体" w:cs="宋体"/>
                <w:color w:val="auto"/>
                <w:szCs w:val="21"/>
                <w:highlight w:val="none"/>
              </w:rPr>
              <w:t>（1）法定代表人身份证明和本人有效身份证(或法定代表人授权委托书和委托代理人有效身份证)</w:t>
            </w:r>
          </w:p>
        </w:tc>
        <w:tc>
          <w:tcPr>
            <w:tcW w:w="3720" w:type="dxa"/>
            <w:noWrap w:val="0"/>
            <w:vAlign w:val="center"/>
          </w:tcPr>
          <w:p w14:paraId="517AA2A0">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r>
              <w:rPr>
                <w:rFonts w:hint="eastAsia" w:ascii="宋体" w:hAnsi="宋体" w:cs="宋体"/>
                <w:color w:val="auto"/>
                <w:szCs w:val="21"/>
                <w:highlight w:val="none"/>
              </w:rPr>
              <w:t>检验电子标书</w:t>
            </w:r>
          </w:p>
        </w:tc>
      </w:tr>
      <w:tr w14:paraId="4CED4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720" w:type="dxa"/>
            <w:vMerge w:val="restart"/>
            <w:noWrap w:val="0"/>
            <w:vAlign w:val="center"/>
          </w:tcPr>
          <w:p w14:paraId="15492731">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725" w:type="dxa"/>
            <w:vMerge w:val="restart"/>
            <w:noWrap w:val="0"/>
            <w:vAlign w:val="center"/>
          </w:tcPr>
          <w:p w14:paraId="4A2CF2BF">
            <w:pPr>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r>
              <w:rPr>
                <w:rFonts w:hint="eastAsia" w:ascii="宋体" w:hAnsi="宋体" w:cs="宋体"/>
                <w:color w:val="auto"/>
                <w:szCs w:val="21"/>
                <w:highlight w:val="none"/>
              </w:rPr>
              <w:t>投标人应符合的基本资格条件</w:t>
            </w:r>
          </w:p>
        </w:tc>
        <w:tc>
          <w:tcPr>
            <w:tcW w:w="4125" w:type="dxa"/>
            <w:noWrap w:val="0"/>
            <w:vAlign w:val="center"/>
          </w:tcPr>
          <w:p w14:paraId="0580565E">
            <w:pPr>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r>
              <w:rPr>
                <w:rFonts w:hint="eastAsia" w:ascii="宋体" w:hAnsi="宋体" w:cs="宋体"/>
                <w:color w:val="auto"/>
                <w:szCs w:val="21"/>
                <w:highlight w:val="none"/>
              </w:rPr>
              <w:t>（2）具有独立承担民事责任的能力</w:t>
            </w:r>
          </w:p>
        </w:tc>
        <w:tc>
          <w:tcPr>
            <w:tcW w:w="3720" w:type="dxa"/>
            <w:noWrap w:val="0"/>
            <w:vAlign w:val="center"/>
          </w:tcPr>
          <w:p w14:paraId="7C50AA9A">
            <w:pPr>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r>
              <w:rPr>
                <w:rFonts w:hint="eastAsia" w:ascii="宋体" w:hAnsi="宋体" w:cs="宋体"/>
                <w:b/>
                <w:color w:val="auto"/>
                <w:szCs w:val="21"/>
                <w:highlight w:val="none"/>
              </w:rPr>
              <w:t>评审核验电子标书中的下列证书、证明材料扫描件：</w:t>
            </w:r>
          </w:p>
          <w:p w14:paraId="12E8F893">
            <w:pPr>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r>
              <w:rPr>
                <w:rFonts w:hint="eastAsia" w:ascii="宋体" w:hAnsi="宋体" w:cs="宋体"/>
                <w:color w:val="auto"/>
                <w:szCs w:val="21"/>
                <w:highlight w:val="none"/>
              </w:rPr>
              <w:t>投标人有效的营业执照、税务登记证、组织机构码证（或“三证合一证书”）</w:t>
            </w:r>
          </w:p>
        </w:tc>
      </w:tr>
      <w:tr w14:paraId="6156B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720" w:type="dxa"/>
            <w:vMerge w:val="continue"/>
            <w:noWrap w:val="0"/>
            <w:vAlign w:val="center"/>
          </w:tcPr>
          <w:p w14:paraId="0F11B2A0">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1725" w:type="dxa"/>
            <w:vMerge w:val="continue"/>
            <w:noWrap w:val="0"/>
            <w:vAlign w:val="center"/>
          </w:tcPr>
          <w:p w14:paraId="4E64639F">
            <w:pPr>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p>
        </w:tc>
        <w:tc>
          <w:tcPr>
            <w:tcW w:w="4125" w:type="dxa"/>
            <w:noWrap w:val="0"/>
            <w:vAlign w:val="center"/>
          </w:tcPr>
          <w:p w14:paraId="0CA2A029">
            <w:pPr>
              <w:keepNext w:val="0"/>
              <w:keepLines w:val="0"/>
              <w:suppressLineNumbers w:val="0"/>
              <w:spacing w:before="0" w:beforeAutospacing="0" w:after="0" w:afterAutospacing="0" w:line="440" w:lineRule="exact"/>
              <w:ind w:left="0" w:right="0"/>
              <w:jc w:val="left"/>
              <w:rPr>
                <w:rFonts w:hint="eastAsia" w:ascii="宋体" w:hAnsi="宋体" w:cs="宋体"/>
                <w:b/>
                <w:color w:val="auto"/>
                <w:szCs w:val="21"/>
                <w:highlight w:val="none"/>
              </w:rPr>
            </w:pPr>
            <w:r>
              <w:rPr>
                <w:rFonts w:hint="eastAsia" w:ascii="宋体" w:hAnsi="宋体" w:cs="宋体"/>
                <w:color w:val="auto"/>
                <w:szCs w:val="21"/>
                <w:highlight w:val="none"/>
              </w:rPr>
              <w:t>（3）诚信投标承诺书（或《公共信用信息报告（无违法违规证明版或核查版）》）</w:t>
            </w:r>
          </w:p>
        </w:tc>
        <w:tc>
          <w:tcPr>
            <w:tcW w:w="3720" w:type="dxa"/>
            <w:noWrap w:val="0"/>
            <w:vAlign w:val="center"/>
          </w:tcPr>
          <w:p w14:paraId="67ED8E68">
            <w:pPr>
              <w:keepNext w:val="0"/>
              <w:keepLines w:val="0"/>
              <w:suppressLineNumbers w:val="0"/>
              <w:spacing w:before="0" w:beforeAutospacing="0" w:after="0" w:afterAutospacing="0" w:line="440" w:lineRule="exact"/>
              <w:ind w:left="0" w:right="0"/>
              <w:jc w:val="left"/>
              <w:rPr>
                <w:rFonts w:hint="eastAsia" w:ascii="宋体" w:hAnsi="宋体" w:cs="宋体"/>
                <w:b/>
                <w:color w:val="auto"/>
                <w:szCs w:val="21"/>
                <w:highlight w:val="none"/>
              </w:rPr>
            </w:pPr>
            <w:r>
              <w:rPr>
                <w:rFonts w:hint="eastAsia" w:ascii="宋体" w:hAnsi="宋体" w:cs="宋体"/>
                <w:color w:val="auto"/>
                <w:szCs w:val="21"/>
                <w:highlight w:val="none"/>
              </w:rPr>
              <w:t>格式见附件，检验电子标书</w:t>
            </w:r>
          </w:p>
        </w:tc>
      </w:tr>
      <w:tr w14:paraId="4602D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720" w:type="dxa"/>
            <w:vMerge w:val="continue"/>
            <w:noWrap w:val="0"/>
            <w:vAlign w:val="center"/>
          </w:tcPr>
          <w:p w14:paraId="61FC4009">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p>
        </w:tc>
        <w:tc>
          <w:tcPr>
            <w:tcW w:w="1725" w:type="dxa"/>
            <w:vMerge w:val="continue"/>
            <w:noWrap w:val="0"/>
            <w:vAlign w:val="center"/>
          </w:tcPr>
          <w:p w14:paraId="1F4964AA">
            <w:pPr>
              <w:keepNext w:val="0"/>
              <w:keepLines w:val="0"/>
              <w:suppressLineNumbers w:val="0"/>
              <w:spacing w:before="0" w:beforeAutospacing="0" w:after="0" w:afterAutospacing="0" w:line="440" w:lineRule="exact"/>
              <w:ind w:left="0" w:right="0"/>
              <w:rPr>
                <w:rFonts w:hint="eastAsia" w:ascii="宋体" w:hAnsi="宋体" w:cs="宋体"/>
                <w:color w:val="auto"/>
                <w:szCs w:val="21"/>
                <w:highlight w:val="none"/>
              </w:rPr>
            </w:pPr>
          </w:p>
        </w:tc>
        <w:tc>
          <w:tcPr>
            <w:tcW w:w="4125" w:type="dxa"/>
            <w:noWrap w:val="0"/>
            <w:vAlign w:val="center"/>
          </w:tcPr>
          <w:p w14:paraId="58737566">
            <w:pPr>
              <w:keepNext w:val="0"/>
              <w:keepLines w:val="0"/>
              <w:suppressLineNumbers w:val="0"/>
              <w:spacing w:before="0" w:beforeAutospacing="0" w:after="0" w:afterAutospacing="0" w:line="440" w:lineRule="exact"/>
              <w:ind w:left="0" w:right="0"/>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服务承诺书</w:t>
            </w:r>
          </w:p>
        </w:tc>
        <w:tc>
          <w:tcPr>
            <w:tcW w:w="3720" w:type="dxa"/>
            <w:noWrap w:val="0"/>
            <w:vAlign w:val="center"/>
          </w:tcPr>
          <w:p w14:paraId="006F3D02">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r>
              <w:rPr>
                <w:rFonts w:hint="eastAsia" w:ascii="宋体" w:hAnsi="宋体" w:cs="宋体"/>
                <w:color w:val="auto"/>
                <w:szCs w:val="21"/>
                <w:highlight w:val="none"/>
              </w:rPr>
              <w:t>格式见附件，检验电子标书</w:t>
            </w:r>
          </w:p>
        </w:tc>
      </w:tr>
    </w:tbl>
    <w:p w14:paraId="3156E22B">
      <w:pPr>
        <w:spacing w:line="440" w:lineRule="exact"/>
        <w:ind w:right="-164" w:rightChars="-78" w:firstLine="508" w:firstLineChars="241"/>
        <w:jc w:val="left"/>
        <w:rPr>
          <w:rFonts w:hint="eastAsia" w:ascii="宋体" w:hAnsi="宋体" w:cs="宋体"/>
          <w:b/>
          <w:color w:val="auto"/>
          <w:szCs w:val="21"/>
          <w:highlight w:val="none"/>
        </w:rPr>
      </w:pPr>
      <w:r>
        <w:rPr>
          <w:rFonts w:hint="eastAsia" w:ascii="宋体" w:hAnsi="宋体" w:cs="宋体"/>
          <w:b/>
          <w:color w:val="auto"/>
          <w:szCs w:val="21"/>
          <w:highlight w:val="none"/>
        </w:rPr>
        <w:t>3.2资格审查材料可以选择①上传到安徽省公共资源交易市场主体库中，制作投标文件时插上CA数字证书，从安徽省公共资源交易市场主体库中挑选相关材料，或按招标文件要求上传至指定位置；若所需材料无对应栏目，则将该材料上传至“其他所需材料”里，做电子投标文件时从“其他所需材料”里获取。请各投标人自行完善安徽省公共资源交易市场主体库中的单位信息，保证信息最新且有效。②或使用国家企业信用信息公示系统和全国建筑市场监管公共服务平台接口获取营业执照、建设工程相关证书等政务数据，投标人自行核验政务数据的准确性，对引用的政务数据承担责任。</w:t>
      </w:r>
    </w:p>
    <w:p w14:paraId="6B7CCEEE">
      <w:pPr>
        <w:spacing w:line="440" w:lineRule="exact"/>
        <w:ind w:right="-164" w:rightChars="-78" w:firstLine="508" w:firstLineChars="241"/>
        <w:jc w:val="left"/>
        <w:rPr>
          <w:rFonts w:hint="eastAsia" w:ascii="宋体" w:hAnsi="宋体" w:cs="宋体"/>
          <w:b/>
          <w:color w:val="auto"/>
          <w:szCs w:val="21"/>
          <w:highlight w:val="none"/>
        </w:rPr>
      </w:pPr>
      <w:r>
        <w:rPr>
          <w:rFonts w:hint="eastAsia" w:ascii="宋体" w:hAnsi="宋体" w:cs="宋体"/>
          <w:b/>
          <w:color w:val="auto"/>
          <w:szCs w:val="21"/>
          <w:highlight w:val="none"/>
        </w:rPr>
        <w:t>3.3如评标专家在检验电子投标文件过程中，如果由于投标人自身原因导致评标专家无法查看并检验电子投标文件中相关资料的，否决其投标。即使投标人将原件携带至现场的，同样按否决投标处理。</w:t>
      </w:r>
    </w:p>
    <w:p w14:paraId="635C3194">
      <w:pPr>
        <w:spacing w:line="440" w:lineRule="exact"/>
        <w:ind w:firstLine="310" w:firstLineChars="147"/>
        <w:jc w:val="left"/>
        <w:rPr>
          <w:rFonts w:hint="eastAsia" w:ascii="宋体" w:hAnsi="宋体" w:cs="宋体"/>
          <w:b/>
          <w:color w:val="auto"/>
          <w:szCs w:val="21"/>
          <w:highlight w:val="none"/>
        </w:rPr>
      </w:pPr>
      <w:r>
        <w:rPr>
          <w:rFonts w:hint="eastAsia" w:ascii="宋体" w:hAnsi="宋体" w:cs="宋体"/>
          <w:b/>
          <w:color w:val="auto"/>
          <w:szCs w:val="21"/>
          <w:highlight w:val="none"/>
        </w:rPr>
        <w:t>4.符合性审查</w:t>
      </w:r>
    </w:p>
    <w:p w14:paraId="31702BAF">
      <w:pPr>
        <w:spacing w:line="440" w:lineRule="exact"/>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4.1评审细则</w:t>
      </w:r>
    </w:p>
    <w:tbl>
      <w:tblPr>
        <w:tblStyle w:val="36"/>
        <w:tblW w:w="0" w:type="auto"/>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318"/>
        <w:gridCol w:w="2931"/>
        <w:gridCol w:w="4691"/>
      </w:tblGrid>
      <w:tr w14:paraId="6C603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735" w:type="dxa"/>
            <w:noWrap w:val="0"/>
            <w:vAlign w:val="center"/>
          </w:tcPr>
          <w:p w14:paraId="476D9296">
            <w:pPr>
              <w:keepNext w:val="0"/>
              <w:keepLines w:val="0"/>
              <w:suppressLineNumbers w:val="0"/>
              <w:spacing w:before="0" w:beforeAutospacing="0" w:after="0" w:afterAutospacing="0" w:line="440" w:lineRule="exact"/>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4249" w:type="dxa"/>
            <w:gridSpan w:val="2"/>
            <w:noWrap w:val="0"/>
            <w:vAlign w:val="center"/>
          </w:tcPr>
          <w:p w14:paraId="78DF9EE5">
            <w:pPr>
              <w:keepNext w:val="0"/>
              <w:keepLines w:val="0"/>
              <w:suppressLineNumbers w:val="0"/>
              <w:spacing w:before="0" w:beforeAutospacing="0" w:after="0" w:afterAutospacing="0" w:line="440" w:lineRule="exact"/>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审查因素</w:t>
            </w:r>
          </w:p>
        </w:tc>
        <w:tc>
          <w:tcPr>
            <w:tcW w:w="4691" w:type="dxa"/>
            <w:noWrap w:val="0"/>
            <w:vAlign w:val="center"/>
          </w:tcPr>
          <w:p w14:paraId="647AE7FB">
            <w:pPr>
              <w:keepNext w:val="0"/>
              <w:keepLines w:val="0"/>
              <w:suppressLineNumbers w:val="0"/>
              <w:spacing w:before="0" w:beforeAutospacing="0" w:after="0" w:afterAutospacing="0" w:line="440" w:lineRule="exact"/>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审查内容</w:t>
            </w:r>
          </w:p>
        </w:tc>
      </w:tr>
      <w:tr w14:paraId="0F74C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trPr>
        <w:tc>
          <w:tcPr>
            <w:tcW w:w="735" w:type="dxa"/>
            <w:vMerge w:val="restart"/>
            <w:noWrap w:val="0"/>
            <w:vAlign w:val="center"/>
          </w:tcPr>
          <w:p w14:paraId="0E530FC8">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r>
              <w:rPr>
                <w:rFonts w:hint="eastAsia" w:ascii="宋体" w:hAnsi="宋体" w:cs="宋体"/>
                <w:color w:val="auto"/>
                <w:szCs w:val="21"/>
                <w:highlight w:val="none"/>
              </w:rPr>
              <w:t>1</w:t>
            </w:r>
          </w:p>
        </w:tc>
        <w:tc>
          <w:tcPr>
            <w:tcW w:w="1318" w:type="dxa"/>
            <w:vMerge w:val="restart"/>
            <w:noWrap w:val="0"/>
            <w:vAlign w:val="center"/>
          </w:tcPr>
          <w:p w14:paraId="77708AFE">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投标文件的有效性</w:t>
            </w:r>
          </w:p>
        </w:tc>
        <w:tc>
          <w:tcPr>
            <w:tcW w:w="2931" w:type="dxa"/>
            <w:noWrap w:val="0"/>
            <w:vAlign w:val="center"/>
          </w:tcPr>
          <w:p w14:paraId="74669D12">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（1）投标文件签署</w:t>
            </w:r>
          </w:p>
        </w:tc>
        <w:tc>
          <w:tcPr>
            <w:tcW w:w="4691" w:type="dxa"/>
            <w:noWrap w:val="0"/>
            <w:vAlign w:val="center"/>
          </w:tcPr>
          <w:p w14:paraId="61F4BD93">
            <w:pPr>
              <w:keepNext w:val="0"/>
              <w:keepLines w:val="0"/>
              <w:suppressLineNumbers w:val="0"/>
              <w:spacing w:before="0" w:beforeAutospacing="0" w:after="0" w:afterAutospacing="0" w:line="440" w:lineRule="exact"/>
              <w:ind w:left="0" w:right="0"/>
              <w:jc w:val="left"/>
              <w:rPr>
                <w:rFonts w:hint="default" w:ascii="宋体" w:hAnsi="宋体" w:cs="宋体"/>
                <w:color w:val="auto"/>
                <w:szCs w:val="21"/>
                <w:highlight w:val="none"/>
              </w:rPr>
            </w:pPr>
            <w:r>
              <w:rPr>
                <w:rFonts w:hint="eastAsia" w:ascii="宋体" w:hAnsi="宋体" w:cs="宋体"/>
                <w:color w:val="auto"/>
                <w:szCs w:val="21"/>
                <w:highlight w:val="none"/>
                <w:lang w:val="zh-CN"/>
              </w:rPr>
              <w:t>签字、盖章符合要求。</w:t>
            </w:r>
          </w:p>
        </w:tc>
      </w:tr>
      <w:tr w14:paraId="6527C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trPr>
        <w:tc>
          <w:tcPr>
            <w:tcW w:w="735" w:type="dxa"/>
            <w:vMerge w:val="continue"/>
            <w:noWrap w:val="0"/>
            <w:vAlign w:val="center"/>
          </w:tcPr>
          <w:p w14:paraId="1F787C2D">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p>
        </w:tc>
        <w:tc>
          <w:tcPr>
            <w:tcW w:w="1318" w:type="dxa"/>
            <w:vMerge w:val="continue"/>
            <w:noWrap w:val="0"/>
            <w:vAlign w:val="center"/>
          </w:tcPr>
          <w:p w14:paraId="76ADCE3C">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p>
        </w:tc>
        <w:tc>
          <w:tcPr>
            <w:tcW w:w="2931" w:type="dxa"/>
            <w:noWrap w:val="0"/>
            <w:vAlign w:val="center"/>
          </w:tcPr>
          <w:p w14:paraId="6DEBA6BA">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（2）投标方案</w:t>
            </w:r>
          </w:p>
        </w:tc>
        <w:tc>
          <w:tcPr>
            <w:tcW w:w="4691" w:type="dxa"/>
            <w:noWrap w:val="0"/>
            <w:vAlign w:val="center"/>
          </w:tcPr>
          <w:p w14:paraId="4DEE318E">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r>
              <w:rPr>
                <w:rFonts w:hint="eastAsia" w:ascii="宋体" w:hAnsi="宋体" w:cs="宋体"/>
                <w:color w:val="auto"/>
                <w:szCs w:val="21"/>
                <w:highlight w:val="none"/>
                <w:lang w:val="zh-CN"/>
              </w:rPr>
              <w:t>每个分包只能有一个方案投标。</w:t>
            </w:r>
          </w:p>
        </w:tc>
      </w:tr>
      <w:tr w14:paraId="392B4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1" w:hRule="atLeast"/>
        </w:trPr>
        <w:tc>
          <w:tcPr>
            <w:tcW w:w="735" w:type="dxa"/>
            <w:vMerge w:val="continue"/>
            <w:noWrap w:val="0"/>
            <w:vAlign w:val="center"/>
          </w:tcPr>
          <w:p w14:paraId="39A66C10">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p>
        </w:tc>
        <w:tc>
          <w:tcPr>
            <w:tcW w:w="1318" w:type="dxa"/>
            <w:vMerge w:val="continue"/>
            <w:noWrap w:val="0"/>
            <w:vAlign w:val="center"/>
          </w:tcPr>
          <w:p w14:paraId="422C8B5F">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p>
        </w:tc>
        <w:tc>
          <w:tcPr>
            <w:tcW w:w="2931" w:type="dxa"/>
            <w:noWrap w:val="0"/>
            <w:vAlign w:val="center"/>
          </w:tcPr>
          <w:p w14:paraId="31081894">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lang w:val="zh-CN"/>
              </w:rPr>
            </w:pPr>
            <w:r>
              <w:rPr>
                <w:rFonts w:hint="eastAsia" w:ascii="宋体" w:hAnsi="宋体" w:cs="宋体"/>
                <w:color w:val="auto"/>
                <w:szCs w:val="21"/>
                <w:highlight w:val="none"/>
              </w:rPr>
              <w:t>（3）报价唯一</w:t>
            </w:r>
          </w:p>
        </w:tc>
        <w:tc>
          <w:tcPr>
            <w:tcW w:w="4691" w:type="dxa"/>
            <w:noWrap w:val="0"/>
            <w:vAlign w:val="center"/>
          </w:tcPr>
          <w:p w14:paraId="09F3557B">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r>
              <w:rPr>
                <w:rFonts w:hint="eastAsia" w:ascii="宋体" w:hAnsi="宋体" w:cs="宋体"/>
                <w:color w:val="auto"/>
                <w:szCs w:val="21"/>
                <w:highlight w:val="none"/>
                <w:lang w:val="zh-CN"/>
              </w:rPr>
              <w:t>只能在限价范围内报价，</w:t>
            </w:r>
            <w:r>
              <w:rPr>
                <w:rFonts w:hint="eastAsia" w:ascii="宋体" w:hAnsi="宋体" w:cs="宋体"/>
                <w:color w:val="auto"/>
                <w:szCs w:val="21"/>
                <w:highlight w:val="none"/>
              </w:rPr>
              <w:t>只能有一个有效报价，不得提交选择性报价。</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本项目不适用</w:t>
            </w:r>
            <w:r>
              <w:rPr>
                <w:rFonts w:hint="eastAsia" w:ascii="宋体" w:hAnsi="宋体" w:cs="宋体"/>
                <w:color w:val="auto"/>
                <w:szCs w:val="21"/>
                <w:highlight w:val="none"/>
                <w:lang w:eastAsia="zh-CN"/>
              </w:rPr>
              <w:t>）</w:t>
            </w:r>
          </w:p>
        </w:tc>
      </w:tr>
      <w:tr w14:paraId="22276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735" w:type="dxa"/>
            <w:vMerge w:val="continue"/>
            <w:noWrap w:val="0"/>
            <w:vAlign w:val="center"/>
          </w:tcPr>
          <w:p w14:paraId="6C0848C9">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p>
        </w:tc>
        <w:tc>
          <w:tcPr>
            <w:tcW w:w="1318" w:type="dxa"/>
            <w:vMerge w:val="continue"/>
            <w:noWrap w:val="0"/>
            <w:vAlign w:val="center"/>
          </w:tcPr>
          <w:p w14:paraId="732F26B0">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p>
        </w:tc>
        <w:tc>
          <w:tcPr>
            <w:tcW w:w="2931" w:type="dxa"/>
            <w:noWrap w:val="0"/>
            <w:vAlign w:val="center"/>
          </w:tcPr>
          <w:p w14:paraId="77DAC190">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r>
              <w:rPr>
                <w:rFonts w:hint="eastAsia" w:ascii="宋体" w:hAnsi="宋体" w:cs="宋体"/>
                <w:color w:val="auto"/>
                <w:szCs w:val="21"/>
                <w:highlight w:val="none"/>
              </w:rPr>
              <w:t xml:space="preserve"> (4) 投标文件的有效期</w:t>
            </w:r>
          </w:p>
        </w:tc>
        <w:tc>
          <w:tcPr>
            <w:tcW w:w="4691" w:type="dxa"/>
            <w:noWrap w:val="0"/>
            <w:vAlign w:val="center"/>
          </w:tcPr>
          <w:p w14:paraId="773D6213">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完全响应。</w:t>
            </w:r>
          </w:p>
        </w:tc>
      </w:tr>
      <w:tr w14:paraId="09926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8" w:hRule="atLeast"/>
        </w:trPr>
        <w:tc>
          <w:tcPr>
            <w:tcW w:w="735" w:type="dxa"/>
            <w:vMerge w:val="restart"/>
            <w:noWrap w:val="0"/>
            <w:vAlign w:val="center"/>
          </w:tcPr>
          <w:p w14:paraId="1B21FF7D">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r>
              <w:rPr>
                <w:rFonts w:hint="eastAsia" w:ascii="宋体" w:hAnsi="宋体" w:cs="宋体"/>
                <w:color w:val="auto"/>
                <w:szCs w:val="21"/>
                <w:highlight w:val="none"/>
              </w:rPr>
              <w:t>2</w:t>
            </w:r>
          </w:p>
        </w:tc>
        <w:tc>
          <w:tcPr>
            <w:tcW w:w="1318" w:type="dxa"/>
            <w:vMerge w:val="restart"/>
            <w:noWrap w:val="0"/>
            <w:vAlign w:val="center"/>
          </w:tcPr>
          <w:p w14:paraId="67F820C0">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投标文件的完整性</w:t>
            </w:r>
          </w:p>
        </w:tc>
        <w:tc>
          <w:tcPr>
            <w:tcW w:w="2931" w:type="dxa"/>
            <w:noWrap w:val="0"/>
            <w:vAlign w:val="center"/>
          </w:tcPr>
          <w:p w14:paraId="24722856">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r>
              <w:rPr>
                <w:rFonts w:hint="eastAsia" w:ascii="宋体" w:hAnsi="宋体" w:cs="宋体"/>
                <w:color w:val="auto"/>
                <w:szCs w:val="21"/>
                <w:highlight w:val="none"/>
                <w:lang w:val="zh-CN"/>
              </w:rPr>
              <w:t>（5）投标文件份数</w:t>
            </w:r>
          </w:p>
        </w:tc>
        <w:tc>
          <w:tcPr>
            <w:tcW w:w="4691" w:type="dxa"/>
            <w:noWrap w:val="0"/>
            <w:vAlign w:val="center"/>
          </w:tcPr>
          <w:p w14:paraId="7021BC3D">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r>
              <w:rPr>
                <w:rFonts w:hint="eastAsia" w:ascii="宋体" w:hAnsi="宋体" w:cs="宋体"/>
                <w:color w:val="auto"/>
                <w:szCs w:val="21"/>
                <w:highlight w:val="none"/>
              </w:rPr>
              <w:t xml:space="preserve">网上递交的电子投标文件：一份； </w:t>
            </w:r>
          </w:p>
        </w:tc>
      </w:tr>
      <w:tr w14:paraId="4702E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trPr>
        <w:tc>
          <w:tcPr>
            <w:tcW w:w="735" w:type="dxa"/>
            <w:vMerge w:val="continue"/>
            <w:noWrap w:val="0"/>
            <w:vAlign w:val="center"/>
          </w:tcPr>
          <w:p w14:paraId="21A8779F">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p>
        </w:tc>
        <w:tc>
          <w:tcPr>
            <w:tcW w:w="1318" w:type="dxa"/>
            <w:vMerge w:val="continue"/>
            <w:noWrap w:val="0"/>
            <w:vAlign w:val="center"/>
          </w:tcPr>
          <w:p w14:paraId="77B2AE67">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p>
        </w:tc>
        <w:tc>
          <w:tcPr>
            <w:tcW w:w="2931" w:type="dxa"/>
            <w:noWrap w:val="0"/>
            <w:vAlign w:val="center"/>
          </w:tcPr>
          <w:p w14:paraId="25E35B39">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（6）投标文件形式内容</w:t>
            </w:r>
          </w:p>
        </w:tc>
        <w:tc>
          <w:tcPr>
            <w:tcW w:w="4691" w:type="dxa"/>
            <w:noWrap w:val="0"/>
            <w:vAlign w:val="center"/>
          </w:tcPr>
          <w:p w14:paraId="705BA350">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投标文件内容清晰、齐全无遗漏。</w:t>
            </w:r>
          </w:p>
        </w:tc>
      </w:tr>
      <w:tr w14:paraId="34AF0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735" w:type="dxa"/>
            <w:vMerge w:val="restart"/>
            <w:noWrap w:val="0"/>
            <w:vAlign w:val="center"/>
          </w:tcPr>
          <w:p w14:paraId="71798EEA">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r>
              <w:rPr>
                <w:rFonts w:hint="eastAsia" w:ascii="宋体" w:hAnsi="宋体" w:cs="宋体"/>
                <w:color w:val="auto"/>
                <w:szCs w:val="21"/>
                <w:highlight w:val="none"/>
              </w:rPr>
              <w:t>3</w:t>
            </w:r>
          </w:p>
        </w:tc>
        <w:tc>
          <w:tcPr>
            <w:tcW w:w="1318" w:type="dxa"/>
            <w:vMerge w:val="restart"/>
            <w:noWrap w:val="0"/>
            <w:vAlign w:val="center"/>
          </w:tcPr>
          <w:p w14:paraId="15531644">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投标文件的响应程度</w:t>
            </w:r>
          </w:p>
        </w:tc>
        <w:tc>
          <w:tcPr>
            <w:tcW w:w="2931" w:type="dxa"/>
            <w:noWrap w:val="0"/>
            <w:vAlign w:val="center"/>
          </w:tcPr>
          <w:p w14:paraId="658BAF6A">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（7）</w:t>
            </w:r>
            <w:r>
              <w:rPr>
                <w:rFonts w:hint="eastAsia" w:ascii="宋体" w:hAnsi="宋体" w:cs="宋体"/>
                <w:color w:val="auto"/>
                <w:szCs w:val="21"/>
                <w:highlight w:val="none"/>
              </w:rPr>
              <w:t>技术参数</w:t>
            </w:r>
            <w:r>
              <w:rPr>
                <w:rFonts w:hint="eastAsia" w:ascii="宋体" w:hAnsi="宋体" w:cs="宋体"/>
                <w:color w:val="auto"/>
                <w:szCs w:val="21"/>
                <w:highlight w:val="none"/>
                <w:lang w:val="zh-CN"/>
              </w:rPr>
              <w:t>响应程度</w:t>
            </w:r>
          </w:p>
        </w:tc>
        <w:tc>
          <w:tcPr>
            <w:tcW w:w="4691" w:type="dxa"/>
            <w:noWrap w:val="0"/>
            <w:vAlign w:val="center"/>
          </w:tcPr>
          <w:p w14:paraId="0EDD2285">
            <w:pPr>
              <w:keepNext w:val="0"/>
              <w:keepLines w:val="0"/>
              <w:suppressLineNumbers w:val="0"/>
              <w:spacing w:before="0" w:beforeAutospacing="0" w:after="0" w:afterAutospacing="0" w:line="440" w:lineRule="exact"/>
              <w:ind w:left="0" w:right="0"/>
              <w:jc w:val="left"/>
              <w:rPr>
                <w:rFonts w:hint="default" w:ascii="Times New Roman" w:hAnsi="Times New Roman" w:cs="Times New Roman"/>
                <w:color w:val="auto"/>
                <w:highlight w:val="none"/>
              </w:rPr>
            </w:pPr>
            <w:r>
              <w:rPr>
                <w:rFonts w:hint="eastAsia" w:ascii="Times New Roman" w:hAnsi="Times New Roman" w:cs="Times New Roman"/>
                <w:color w:val="auto"/>
                <w:highlight w:val="none"/>
              </w:rPr>
              <w:t>完全响应或优于招标文件要求。</w:t>
            </w:r>
          </w:p>
        </w:tc>
      </w:tr>
      <w:tr w14:paraId="0CF80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trPr>
        <w:tc>
          <w:tcPr>
            <w:tcW w:w="735" w:type="dxa"/>
            <w:vMerge w:val="continue"/>
            <w:noWrap w:val="0"/>
            <w:vAlign w:val="center"/>
          </w:tcPr>
          <w:p w14:paraId="4F2FBA2C">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p>
        </w:tc>
        <w:tc>
          <w:tcPr>
            <w:tcW w:w="1318" w:type="dxa"/>
            <w:vMerge w:val="continue"/>
            <w:noWrap w:val="0"/>
            <w:vAlign w:val="center"/>
          </w:tcPr>
          <w:p w14:paraId="7A98CB07">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rPr>
            </w:pPr>
          </w:p>
        </w:tc>
        <w:tc>
          <w:tcPr>
            <w:tcW w:w="2931" w:type="dxa"/>
            <w:noWrap w:val="0"/>
            <w:vAlign w:val="center"/>
          </w:tcPr>
          <w:p w14:paraId="416CA61A">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（8）商务条款响应程度（包括不限于</w:t>
            </w:r>
            <w:r>
              <w:rPr>
                <w:rFonts w:hint="eastAsia" w:ascii="宋体" w:hAnsi="宋体" w:cs="宋体"/>
                <w:color w:val="auto"/>
                <w:szCs w:val="21"/>
                <w:highlight w:val="none"/>
              </w:rPr>
              <w:t>供货</w:t>
            </w:r>
            <w:r>
              <w:rPr>
                <w:rFonts w:hint="eastAsia" w:ascii="宋体" w:hAnsi="宋体" w:cs="宋体"/>
                <w:color w:val="auto"/>
                <w:szCs w:val="21"/>
                <w:highlight w:val="none"/>
                <w:lang w:val="zh-CN"/>
              </w:rPr>
              <w:t>期、售后服务、技术培训等）</w:t>
            </w:r>
          </w:p>
        </w:tc>
        <w:tc>
          <w:tcPr>
            <w:tcW w:w="4691" w:type="dxa"/>
            <w:noWrap w:val="0"/>
            <w:vAlign w:val="center"/>
          </w:tcPr>
          <w:p w14:paraId="1B85F41F">
            <w:pPr>
              <w:keepNext w:val="0"/>
              <w:keepLines w:val="0"/>
              <w:suppressLineNumbers w:val="0"/>
              <w:spacing w:before="0" w:beforeAutospacing="0" w:after="0" w:afterAutospacing="0" w:line="440" w:lineRule="exact"/>
              <w:ind w:left="0" w:right="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完全响应或优于招标文件要求。</w:t>
            </w:r>
          </w:p>
        </w:tc>
      </w:tr>
    </w:tbl>
    <w:p w14:paraId="7534B276">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4.2资格审查及评分细则中涉及的有关证明材料及相关证书，电子投标文件中须按招标文件要求上传</w:t>
      </w:r>
      <w:r>
        <w:rPr>
          <w:rFonts w:hint="eastAsia" w:ascii="宋体" w:hAnsi="宋体" w:cs="宋体"/>
          <w:b/>
          <w:color w:val="auto"/>
          <w:szCs w:val="21"/>
          <w:highlight w:val="none"/>
        </w:rPr>
        <w:t>扫描件</w:t>
      </w:r>
      <w:r>
        <w:rPr>
          <w:rFonts w:hint="eastAsia" w:ascii="宋体" w:hAnsi="宋体" w:cs="宋体"/>
          <w:color w:val="auto"/>
          <w:szCs w:val="21"/>
          <w:highlight w:val="none"/>
        </w:rPr>
        <w:t>，以供审查。</w:t>
      </w:r>
    </w:p>
    <w:p w14:paraId="2C8C8C56">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4.3．评标委员会判定投标文件的响应性只根据投标文件本身的内容，而不寻求外部的证据，但投标有不真实不正确的内容时除外。</w:t>
      </w:r>
    </w:p>
    <w:p w14:paraId="681139F1">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4.4如果投标文件实质上没有响应招标文件的要求，评标委员会将予以拒绝，投标人不得通过修正或撤销不符合要求的偏离或保留，而使其投标成为实质上响应的投标。</w:t>
      </w:r>
    </w:p>
    <w:p w14:paraId="6EB68E4E">
      <w:pPr>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4.5只有通过初审的投标人才能进入下一步程序。</w:t>
      </w:r>
    </w:p>
    <w:p w14:paraId="366F7A34">
      <w:pPr>
        <w:spacing w:line="440" w:lineRule="exact"/>
        <w:ind w:firstLine="422"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温馨提示：1.请各投标人自行完善安徽省公共资源交易市场主体库中的单位基本信息，保证信息最新且有效。</w:t>
      </w:r>
    </w:p>
    <w:p w14:paraId="04FEBB93">
      <w:pPr>
        <w:spacing w:line="440" w:lineRule="exact"/>
        <w:ind w:firstLine="422" w:firstLineChars="200"/>
        <w:jc w:val="left"/>
        <w:rPr>
          <w:rFonts w:hint="eastAsia" w:ascii="宋体" w:hAnsi="宋体" w:cs="宋体"/>
          <w:color w:val="auto"/>
          <w:szCs w:val="21"/>
          <w:highlight w:val="none"/>
        </w:rPr>
      </w:pPr>
      <w:r>
        <w:rPr>
          <w:rFonts w:hint="eastAsia" w:ascii="宋体" w:hAnsi="宋体" w:cs="宋体"/>
          <w:b/>
          <w:color w:val="auto"/>
          <w:szCs w:val="21"/>
          <w:highlight w:val="none"/>
        </w:rPr>
        <w:t>2.投标文件资料请精心准备,如评标专家在检验电子投标文件过程中，如果由于投标人自身原因导致评标专家无法查看并检验电子投标文件中以上相关资料的，按无效投标处理。即使投标人将原件携带至现场的，同样按无效投标处理。</w:t>
      </w:r>
    </w:p>
    <w:p w14:paraId="66D70805">
      <w:pPr>
        <w:keepNext w:val="0"/>
        <w:keepLines w:val="0"/>
        <w:pageBreakBefore w:val="0"/>
        <w:widowControl w:val="0"/>
        <w:kinsoku/>
        <w:wordWrap/>
        <w:overflowPunct/>
        <w:topLinePunct w:val="0"/>
        <w:autoSpaceDE/>
        <w:autoSpaceDN/>
        <w:bidi w:val="0"/>
        <w:adjustRightInd/>
        <w:snapToGrid/>
        <w:spacing w:before="156" w:beforeLines="50" w:after="156" w:afterLines="50" w:line="560" w:lineRule="exact"/>
        <w:jc w:val="center"/>
        <w:textAlignment w:val="auto"/>
        <w:outlineLvl w:val="1"/>
        <w:rPr>
          <w:rFonts w:hint="eastAsia" w:ascii="宋体"/>
          <w:b/>
          <w:color w:val="auto"/>
          <w:sz w:val="28"/>
          <w:szCs w:val="28"/>
          <w:highlight w:val="none"/>
        </w:rPr>
      </w:pPr>
      <w:bookmarkStart w:id="115" w:name="_Toc362983803"/>
      <w:bookmarkStart w:id="116" w:name="_Toc26695"/>
      <w:bookmarkStart w:id="117" w:name="_Toc58430319"/>
      <w:bookmarkStart w:id="118" w:name="_Toc449028879"/>
      <w:bookmarkStart w:id="119" w:name="_Toc22565"/>
      <w:bookmarkStart w:id="120" w:name="_Toc17546"/>
      <w:r>
        <w:rPr>
          <w:rFonts w:hint="eastAsia" w:ascii="宋体"/>
          <w:b/>
          <w:color w:val="auto"/>
          <w:sz w:val="28"/>
          <w:szCs w:val="28"/>
          <w:highlight w:val="none"/>
        </w:rPr>
        <w:t>三、投标文件的澄清和补正</w:t>
      </w:r>
      <w:bookmarkEnd w:id="115"/>
      <w:bookmarkEnd w:id="116"/>
      <w:bookmarkEnd w:id="117"/>
      <w:bookmarkEnd w:id="118"/>
      <w:bookmarkEnd w:id="119"/>
      <w:bookmarkEnd w:id="120"/>
    </w:p>
    <w:p w14:paraId="5944CEA9">
      <w:pPr>
        <w:spacing w:line="440" w:lineRule="exact"/>
        <w:ind w:right="36" w:rightChars="17"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5.1评审阶段，评委可能会要求有关投标人就其投标文件中含义不明确、同类问题表述不一致或者有明显文字和计算错误的内容进行澄清。投标人必须在规定时间内进行回复，</w:t>
      </w:r>
      <w:r>
        <w:rPr>
          <w:rFonts w:hint="eastAsia" w:ascii="宋体" w:hAnsi="宋体" w:cs="宋体"/>
          <w:b/>
          <w:bCs/>
          <w:color w:val="auto"/>
          <w:szCs w:val="21"/>
          <w:highlight w:val="none"/>
          <w:lang w:bidi="ar"/>
        </w:rPr>
        <w:t>如因投标人未参加开标导致开评标过程中无法澄清、说明或补正的，视同投标人放弃该权利。</w:t>
      </w:r>
    </w:p>
    <w:p w14:paraId="5EB6D0FC">
      <w:pPr>
        <w:spacing w:line="440" w:lineRule="exact"/>
        <w:ind w:right="36" w:rightChars="17" w:firstLine="403" w:firstLineChars="192"/>
        <w:jc w:val="left"/>
        <w:rPr>
          <w:rFonts w:hint="eastAsia" w:ascii="宋体" w:hAnsi="宋体" w:cs="宋体"/>
          <w:color w:val="auto"/>
          <w:szCs w:val="21"/>
          <w:highlight w:val="none"/>
        </w:rPr>
      </w:pPr>
      <w:r>
        <w:rPr>
          <w:rFonts w:hint="eastAsia" w:ascii="宋体" w:hAnsi="宋体" w:cs="宋体"/>
          <w:color w:val="auto"/>
          <w:szCs w:val="21"/>
          <w:highlight w:val="none"/>
        </w:rPr>
        <w:t>5.2本项目采用远程开标，投标人的澄清、说明或者补正应当在系统进行，但不得超出投标文件的范围或者改变投标文件的实质性内容。具体操作方法详见服务指南&gt;交易须知&gt;开标大厅远程解密、质疑(异议)及回复以及评标过程中询标流程操作手册。</w:t>
      </w:r>
    </w:p>
    <w:p w14:paraId="62440D64">
      <w:pPr>
        <w:spacing w:line="440" w:lineRule="exact"/>
        <w:ind w:right="36" w:rightChars="17" w:firstLine="403" w:firstLineChars="192"/>
        <w:jc w:val="left"/>
        <w:rPr>
          <w:rFonts w:hint="eastAsia" w:ascii="宋体" w:hAnsi="宋体" w:cs="宋体"/>
          <w:color w:val="auto"/>
          <w:szCs w:val="21"/>
          <w:highlight w:val="none"/>
        </w:rPr>
      </w:pPr>
      <w:r>
        <w:rPr>
          <w:rFonts w:hint="eastAsia" w:ascii="宋体" w:hAnsi="宋体" w:cs="宋体"/>
          <w:color w:val="auto"/>
          <w:szCs w:val="21"/>
          <w:highlight w:val="none"/>
        </w:rPr>
        <w:t>5.3评委会修正错误的原则：</w:t>
      </w:r>
    </w:p>
    <w:p w14:paraId="64641F17">
      <w:pPr>
        <w:spacing w:line="440" w:lineRule="exact"/>
        <w:ind w:right="36" w:rightChars="17" w:firstLine="403" w:firstLineChars="192"/>
        <w:jc w:val="left"/>
        <w:rPr>
          <w:rFonts w:hint="eastAsia" w:ascii="宋体" w:hAnsi="宋体" w:cs="宋体"/>
          <w:color w:val="auto"/>
          <w:szCs w:val="21"/>
          <w:highlight w:val="none"/>
        </w:rPr>
      </w:pPr>
      <w:r>
        <w:rPr>
          <w:rFonts w:hint="eastAsia" w:ascii="宋体" w:hAnsi="宋体" w:cs="宋体"/>
          <w:color w:val="auto"/>
          <w:szCs w:val="21"/>
          <w:highlight w:val="none"/>
        </w:rPr>
        <w:t>5.3.1如果数字表示的金额和用文字表示的金额不一致时，以文字表示的金额为准；当投标数量与招标数量不一致时，以招标数量为准；当分项报价清单、投标函的投标报价与开标一览表不一致时，以开标一览表为准。</w:t>
      </w:r>
    </w:p>
    <w:p w14:paraId="57082012">
      <w:pPr>
        <w:spacing w:line="440" w:lineRule="exact"/>
        <w:ind w:right="36" w:rightChars="17" w:firstLine="403" w:firstLineChars="192"/>
        <w:jc w:val="left"/>
        <w:rPr>
          <w:rFonts w:hint="eastAsia" w:ascii="宋体" w:hAnsi="宋体" w:cs="宋体"/>
          <w:color w:val="auto"/>
          <w:szCs w:val="21"/>
          <w:highlight w:val="none"/>
        </w:rPr>
      </w:pPr>
      <w:r>
        <w:rPr>
          <w:rFonts w:hint="eastAsia" w:ascii="宋体" w:hAnsi="宋体" w:cs="宋体"/>
          <w:color w:val="auto"/>
          <w:szCs w:val="21"/>
          <w:highlight w:val="none"/>
        </w:rPr>
        <w:t>5.3.2如果单价与数量的乘积和总价不一致，以单价为准，修正总价及开标一览表；当单价小数点有明显的错位时，评委会将以总价为准，并修正其单价。</w:t>
      </w:r>
    </w:p>
    <w:p w14:paraId="681DC896">
      <w:pPr>
        <w:spacing w:line="440" w:lineRule="exact"/>
        <w:ind w:right="36" w:rightChars="17" w:firstLine="403" w:firstLineChars="192"/>
        <w:jc w:val="left"/>
        <w:rPr>
          <w:rFonts w:hint="eastAsia" w:ascii="宋体" w:hAnsi="宋体" w:cs="宋体"/>
          <w:color w:val="auto"/>
          <w:szCs w:val="21"/>
          <w:highlight w:val="none"/>
        </w:rPr>
      </w:pPr>
      <w:r>
        <w:rPr>
          <w:rFonts w:hint="eastAsia" w:ascii="宋体" w:hAnsi="宋体" w:cs="宋体"/>
          <w:color w:val="auto"/>
          <w:szCs w:val="21"/>
          <w:highlight w:val="none"/>
        </w:rPr>
        <w:t>5.4评委会将按上述修正错误的方法调整投标文件中的投标报价，调整后的价格应对投标人具有约束力。无论投标人是接受或是拒绝调整后的价格，都应当由投标人在系统中确认。</w:t>
      </w:r>
      <w:r>
        <w:rPr>
          <w:rFonts w:hint="eastAsia" w:ascii="宋体" w:hAnsi="宋体" w:cs="宋体"/>
          <w:b/>
          <w:bCs/>
          <w:color w:val="auto"/>
          <w:szCs w:val="21"/>
          <w:highlight w:val="none"/>
        </w:rPr>
        <w:t>投标人拒绝对投标文件出现的错漏按上述原则进行修正、澄清、说明，评标委员会应当否决其投标。</w:t>
      </w:r>
    </w:p>
    <w:p w14:paraId="74DA54AC">
      <w:pPr>
        <w:keepNext w:val="0"/>
        <w:keepLines w:val="0"/>
        <w:pageBreakBefore w:val="0"/>
        <w:widowControl w:val="0"/>
        <w:kinsoku/>
        <w:wordWrap/>
        <w:overflowPunct/>
        <w:topLinePunct w:val="0"/>
        <w:autoSpaceDE/>
        <w:autoSpaceDN/>
        <w:bidi w:val="0"/>
        <w:adjustRightInd/>
        <w:snapToGrid/>
        <w:spacing w:before="156" w:beforeLines="50" w:after="156" w:afterLines="50" w:line="560" w:lineRule="exact"/>
        <w:jc w:val="center"/>
        <w:textAlignment w:val="auto"/>
        <w:outlineLvl w:val="1"/>
        <w:rPr>
          <w:rFonts w:hint="eastAsia" w:ascii="宋体" w:hAnsi="Times New Roman" w:eastAsia="宋体" w:cs="Times New Roman"/>
          <w:b/>
          <w:color w:val="auto"/>
          <w:sz w:val="28"/>
          <w:szCs w:val="28"/>
          <w:highlight w:val="none"/>
        </w:rPr>
      </w:pPr>
      <w:bookmarkStart w:id="121" w:name="_Toc29316"/>
      <w:bookmarkStart w:id="122" w:name="_Toc58430320"/>
      <w:bookmarkStart w:id="123" w:name="_Toc20880"/>
      <w:bookmarkStart w:id="124" w:name="_Toc449028880"/>
      <w:bookmarkStart w:id="125" w:name="_Toc4189"/>
      <w:r>
        <w:rPr>
          <w:rFonts w:hint="eastAsia" w:ascii="宋体" w:hAnsi="Times New Roman" w:eastAsia="宋体" w:cs="Times New Roman"/>
          <w:b/>
          <w:color w:val="auto"/>
          <w:sz w:val="28"/>
          <w:szCs w:val="28"/>
          <w:highlight w:val="none"/>
        </w:rPr>
        <w:t>四、比较与评价</w:t>
      </w:r>
      <w:bookmarkEnd w:id="121"/>
      <w:bookmarkEnd w:id="122"/>
      <w:bookmarkEnd w:id="123"/>
      <w:bookmarkEnd w:id="124"/>
      <w:bookmarkEnd w:id="125"/>
    </w:p>
    <w:p w14:paraId="3FF541FB">
      <w:pPr>
        <w:spacing w:line="440" w:lineRule="exact"/>
        <w:ind w:right="36" w:rightChars="17" w:firstLine="417" w:firstLineChars="198"/>
        <w:jc w:val="left"/>
        <w:rPr>
          <w:rFonts w:hint="eastAsia" w:ascii="宋体" w:hAnsi="宋体" w:cs="宋体"/>
          <w:b/>
          <w:color w:val="auto"/>
          <w:szCs w:val="21"/>
          <w:highlight w:val="none"/>
        </w:rPr>
      </w:pPr>
      <w:r>
        <w:rPr>
          <w:rFonts w:hint="eastAsia" w:ascii="宋体" w:hAnsi="宋体" w:cs="宋体"/>
          <w:b/>
          <w:color w:val="auto"/>
          <w:szCs w:val="21"/>
          <w:highlight w:val="none"/>
        </w:rPr>
        <w:t>6.</w:t>
      </w:r>
      <w:bookmarkStart w:id="126" w:name="_Toc362983805"/>
      <w:r>
        <w:rPr>
          <w:rFonts w:hint="eastAsia" w:ascii="宋体" w:hAnsi="宋体" w:cs="宋体"/>
          <w:b/>
          <w:color w:val="auto"/>
          <w:szCs w:val="21"/>
          <w:highlight w:val="none"/>
        </w:rPr>
        <w:t xml:space="preserve"> 详细评审即按招标文件中规定的评标方法和标准，评标委员会将对通过初审的投标文件，进行资信和技术部分评估、综合比较与评价。</w:t>
      </w:r>
    </w:p>
    <w:p w14:paraId="73ED018F">
      <w:pPr>
        <w:spacing w:line="440" w:lineRule="exact"/>
        <w:ind w:firstLine="422" w:firstLineChars="200"/>
        <w:jc w:val="left"/>
        <w:rPr>
          <w:rFonts w:hint="eastAsia" w:ascii="宋体" w:hAnsi="宋体" w:cs="宋体"/>
          <w:b/>
          <w:bCs/>
          <w:color w:val="auto"/>
          <w:szCs w:val="21"/>
          <w:highlight w:val="none"/>
        </w:rPr>
      </w:pPr>
      <w:r>
        <w:rPr>
          <w:rFonts w:hint="eastAsia" w:ascii="宋体" w:hAnsi="宋体" w:cs="宋体"/>
          <w:b/>
          <w:color w:val="auto"/>
          <w:szCs w:val="21"/>
          <w:highlight w:val="none"/>
        </w:rPr>
        <w:t>6.1</w:t>
      </w:r>
      <w:bookmarkStart w:id="127" w:name="_Toc449028881"/>
      <w:r>
        <w:rPr>
          <w:rFonts w:hint="eastAsia" w:ascii="宋体" w:hAnsi="宋体" w:cs="宋体"/>
          <w:b/>
          <w:bCs/>
          <w:color w:val="auto"/>
          <w:szCs w:val="21"/>
          <w:highlight w:val="none"/>
        </w:rPr>
        <w:t>资信标评分细则（</w:t>
      </w:r>
      <w:r>
        <w:rPr>
          <w:rFonts w:hint="eastAsia" w:ascii="宋体" w:hAnsi="宋体" w:cs="宋体"/>
          <w:b/>
          <w:bCs/>
          <w:color w:val="auto"/>
          <w:szCs w:val="21"/>
          <w:highlight w:val="none"/>
          <w:lang w:val="en-US" w:eastAsia="zh-CN"/>
        </w:rPr>
        <w:t>37</w:t>
      </w:r>
      <w:r>
        <w:rPr>
          <w:rFonts w:hint="eastAsia" w:ascii="宋体" w:hAnsi="宋体" w:cs="宋体"/>
          <w:b/>
          <w:bCs/>
          <w:color w:val="auto"/>
          <w:szCs w:val="21"/>
          <w:highlight w:val="none"/>
        </w:rPr>
        <w:t>分）</w:t>
      </w:r>
    </w:p>
    <w:tbl>
      <w:tblPr>
        <w:tblStyle w:val="36"/>
        <w:tblW w:w="9887" w:type="dxa"/>
        <w:tblInd w:w="-2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078"/>
        <w:gridCol w:w="840"/>
        <w:gridCol w:w="7217"/>
      </w:tblGrid>
      <w:tr w14:paraId="3C885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52" w:type="dxa"/>
            <w:noWrap/>
            <w:vAlign w:val="center"/>
          </w:tcPr>
          <w:p w14:paraId="35A83D94">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b/>
                <w:bCs/>
                <w:color w:val="auto"/>
                <w:szCs w:val="21"/>
                <w:highlight w:val="none"/>
              </w:rPr>
              <w:t>序号</w:t>
            </w:r>
          </w:p>
        </w:tc>
        <w:tc>
          <w:tcPr>
            <w:tcW w:w="1078" w:type="dxa"/>
            <w:noWrap/>
            <w:vAlign w:val="center"/>
          </w:tcPr>
          <w:p w14:paraId="78F94855">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b/>
                <w:bCs/>
                <w:color w:val="auto"/>
                <w:szCs w:val="21"/>
                <w:highlight w:val="none"/>
              </w:rPr>
              <w:t>评分因素</w:t>
            </w:r>
          </w:p>
        </w:tc>
        <w:tc>
          <w:tcPr>
            <w:tcW w:w="840" w:type="dxa"/>
            <w:noWrap/>
            <w:vAlign w:val="center"/>
          </w:tcPr>
          <w:p w14:paraId="338BFBF5">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b/>
                <w:bCs/>
                <w:color w:val="auto"/>
                <w:szCs w:val="21"/>
                <w:highlight w:val="none"/>
              </w:rPr>
              <w:t>分值</w:t>
            </w:r>
          </w:p>
        </w:tc>
        <w:tc>
          <w:tcPr>
            <w:tcW w:w="7217" w:type="dxa"/>
            <w:noWrap/>
            <w:vAlign w:val="center"/>
          </w:tcPr>
          <w:p w14:paraId="21D85769">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b/>
                <w:bCs/>
                <w:color w:val="auto"/>
                <w:szCs w:val="21"/>
                <w:highlight w:val="none"/>
              </w:rPr>
              <w:t>评审细则</w:t>
            </w:r>
          </w:p>
        </w:tc>
      </w:tr>
      <w:tr w14:paraId="77FEB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52" w:type="dxa"/>
            <w:noWrap/>
            <w:vAlign w:val="center"/>
          </w:tcPr>
          <w:p w14:paraId="0FE30EED">
            <w:pPr>
              <w:keepNext w:val="0"/>
              <w:keepLines w:val="0"/>
              <w:suppressLineNumbers w:val="0"/>
              <w:spacing w:before="0" w:beforeAutospacing="0" w:after="0" w:afterAutospacing="0" w:line="440" w:lineRule="exact"/>
              <w:ind w:left="0" w:right="0"/>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1078" w:type="dxa"/>
            <w:noWrap/>
            <w:vAlign w:val="center"/>
          </w:tcPr>
          <w:p w14:paraId="33986093">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eastAsia" w:ascii="宋体" w:hAnsi="宋体" w:cs="宋体"/>
                <w:color w:val="auto"/>
                <w:szCs w:val="21"/>
                <w:highlight w:val="none"/>
                <w:lang w:val="en-US" w:eastAsia="zh-CN"/>
              </w:rPr>
              <w:t>企业</w:t>
            </w:r>
            <w:r>
              <w:rPr>
                <w:rFonts w:hint="eastAsia" w:ascii="宋体" w:hAnsi="宋体" w:cs="宋体"/>
                <w:color w:val="auto"/>
                <w:szCs w:val="21"/>
                <w:highlight w:val="none"/>
                <w:lang w:val="zh-CN"/>
              </w:rPr>
              <w:t>业绩</w:t>
            </w:r>
            <w:r>
              <w:rPr>
                <w:rFonts w:hint="eastAsia" w:ascii="宋体" w:hAnsi="宋体" w:cs="仿宋_GB2312"/>
                <w:color w:val="auto"/>
                <w:szCs w:val="21"/>
                <w:highlight w:val="none"/>
                <w:lang w:val="zh-CN"/>
              </w:rPr>
              <w:t>、业主</w:t>
            </w:r>
            <w:r>
              <w:rPr>
                <w:rFonts w:hint="eastAsia" w:ascii="宋体" w:hAnsi="宋体" w:eastAsia="宋体" w:cs="Times New Roman"/>
                <w:b w:val="0"/>
                <w:bCs/>
                <w:color w:val="auto"/>
                <w:sz w:val="21"/>
                <w:szCs w:val="21"/>
                <w:highlight w:val="none"/>
                <w:lang w:eastAsia="zh-CN"/>
              </w:rPr>
              <w:t>推荐及服务质量表现</w:t>
            </w:r>
          </w:p>
        </w:tc>
        <w:tc>
          <w:tcPr>
            <w:tcW w:w="840" w:type="dxa"/>
            <w:noWrap/>
            <w:vAlign w:val="center"/>
          </w:tcPr>
          <w:p w14:paraId="7D515B39">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eastAsia" w:ascii="宋体" w:hAnsi="宋体" w:cs="宋体"/>
                <w:color w:val="auto"/>
                <w:szCs w:val="21"/>
                <w:highlight w:val="none"/>
                <w:u w:val="none"/>
                <w:lang w:val="en-US" w:eastAsia="zh-CN"/>
              </w:rPr>
              <w:t>10</w:t>
            </w:r>
            <w:bookmarkStart w:id="158" w:name="_GoBack"/>
            <w:bookmarkEnd w:id="158"/>
            <w:r>
              <w:rPr>
                <w:rFonts w:hint="eastAsia" w:ascii="宋体" w:hAnsi="宋体" w:cs="宋体"/>
                <w:color w:val="auto"/>
                <w:szCs w:val="21"/>
                <w:highlight w:val="none"/>
                <w:u w:val="none"/>
              </w:rPr>
              <w:t>分</w:t>
            </w:r>
          </w:p>
        </w:tc>
        <w:tc>
          <w:tcPr>
            <w:tcW w:w="7217" w:type="dxa"/>
            <w:noWrap/>
            <w:vAlign w:val="center"/>
          </w:tcPr>
          <w:p w14:paraId="7BC84F06">
            <w:pPr>
              <w:keepNext w:val="0"/>
              <w:keepLines w:val="0"/>
              <w:numPr>
                <w:ilvl w:val="0"/>
                <w:numId w:val="8"/>
              </w:numPr>
              <w:suppressLineNumbers w:val="0"/>
              <w:spacing w:before="0" w:beforeAutospacing="0" w:after="0" w:afterAutospacing="0" w:line="440" w:lineRule="exact"/>
              <w:ind w:left="0" w:right="0" w:firstLine="360"/>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企业业绩</w:t>
            </w:r>
          </w:p>
          <w:p w14:paraId="64CD3A6E">
            <w:pPr>
              <w:keepNext w:val="0"/>
              <w:keepLines w:val="0"/>
              <w:numPr>
                <w:ilvl w:val="0"/>
                <w:numId w:val="0"/>
              </w:numPr>
              <w:suppressLineNumbers w:val="0"/>
              <w:spacing w:before="0" w:beforeAutospacing="0" w:after="0" w:afterAutospacing="0" w:line="440" w:lineRule="exact"/>
              <w:ind w:left="0" w:right="0" w:firstLine="420" w:firstLineChars="200"/>
              <w:jc w:val="left"/>
              <w:rPr>
                <w:rFonts w:hint="eastAsia" w:ascii="宋体" w:hAnsi="Times New Roman" w:cs="Times New Roman"/>
                <w:color w:val="auto"/>
                <w:kern w:val="2"/>
                <w:sz w:val="21"/>
                <w:szCs w:val="21"/>
                <w:highlight w:val="none"/>
              </w:rPr>
            </w:pPr>
            <w:r>
              <w:rPr>
                <w:rFonts w:hint="eastAsia" w:ascii="宋体" w:hAnsi="宋体" w:cs="宋体"/>
                <w:color w:val="auto"/>
                <w:szCs w:val="21"/>
                <w:highlight w:val="none"/>
              </w:rPr>
              <w:t>自</w:t>
            </w:r>
            <w:r>
              <w:rPr>
                <w:rFonts w:hint="eastAsia" w:ascii="宋体" w:hAnsi="宋体" w:cs="宋体"/>
                <w:color w:val="auto"/>
                <w:szCs w:val="21"/>
                <w:highlight w:val="none"/>
                <w:u w:val="none"/>
                <w:lang w:val="en-US" w:eastAsia="en-US"/>
              </w:rPr>
              <w:t>20</w:t>
            </w:r>
            <w:r>
              <w:rPr>
                <w:rFonts w:hint="eastAsia" w:ascii="宋体" w:hAnsi="宋体" w:cs="宋体"/>
                <w:color w:val="auto"/>
                <w:szCs w:val="21"/>
                <w:highlight w:val="none"/>
                <w:u w:val="none"/>
                <w:lang w:val="en-US" w:eastAsia="zh-CN"/>
              </w:rPr>
              <w:t>23</w:t>
            </w:r>
            <w:r>
              <w:rPr>
                <w:rFonts w:hint="eastAsia" w:ascii="宋体" w:hAnsi="宋体" w:cs="宋体"/>
                <w:color w:val="auto"/>
                <w:szCs w:val="21"/>
                <w:highlight w:val="none"/>
                <w:u w:val="none"/>
              </w:rPr>
              <w:t>年</w:t>
            </w:r>
            <w:r>
              <w:rPr>
                <w:rFonts w:hint="eastAsia" w:ascii="宋体" w:hAnsi="宋体" w:cs="宋体"/>
                <w:color w:val="auto"/>
                <w:szCs w:val="21"/>
                <w:highlight w:val="none"/>
                <w:u w:val="none"/>
                <w:lang w:val="en-US" w:eastAsia="zh-CN"/>
              </w:rPr>
              <w:t>1</w:t>
            </w:r>
            <w:r>
              <w:rPr>
                <w:rFonts w:hint="eastAsia" w:ascii="宋体" w:hAnsi="宋体" w:cs="宋体"/>
                <w:color w:val="auto"/>
                <w:szCs w:val="21"/>
                <w:highlight w:val="none"/>
                <w:u w:val="none"/>
              </w:rPr>
              <w:t>月</w:t>
            </w:r>
            <w:r>
              <w:rPr>
                <w:rFonts w:hint="eastAsia" w:ascii="宋体" w:hAnsi="宋体" w:cs="宋体"/>
                <w:color w:val="auto"/>
                <w:szCs w:val="21"/>
                <w:highlight w:val="none"/>
                <w:u w:val="none"/>
                <w:lang w:val="en-US" w:eastAsia="zh-CN"/>
              </w:rPr>
              <w:t>1</w:t>
            </w:r>
            <w:r>
              <w:rPr>
                <w:rFonts w:hint="eastAsia" w:ascii="宋体" w:hAnsi="宋体" w:cs="宋体"/>
                <w:color w:val="auto"/>
                <w:szCs w:val="21"/>
                <w:highlight w:val="none"/>
                <w:u w:val="none"/>
              </w:rPr>
              <w:t>日</w:t>
            </w:r>
            <w:r>
              <w:rPr>
                <w:rFonts w:hint="eastAsia" w:ascii="宋体" w:hAnsi="宋体" w:cs="宋体"/>
                <w:color w:val="auto"/>
                <w:szCs w:val="21"/>
                <w:highlight w:val="none"/>
              </w:rPr>
              <w:t>至投标截止日（以合同签订时间为准），投标人具有正在经营（或经营过）</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食堂餐饮服务业绩的，每提供一个有效业绩的得</w:t>
            </w:r>
            <w:r>
              <w:rPr>
                <w:rFonts w:hint="eastAsia" w:ascii="宋体" w:hAnsi="宋体" w:cs="宋体"/>
                <w:color w:val="auto"/>
                <w:szCs w:val="21"/>
                <w:highlight w:val="none"/>
                <w:u w:val="single"/>
                <w:lang w:val="en-US" w:eastAsia="zh-CN"/>
              </w:rPr>
              <w:t>4</w:t>
            </w:r>
            <w:r>
              <w:rPr>
                <w:rFonts w:hint="eastAsia" w:ascii="宋体" w:hAnsi="宋体" w:cs="宋体"/>
                <w:color w:val="auto"/>
                <w:szCs w:val="21"/>
                <w:highlight w:val="none"/>
              </w:rPr>
              <w:t>分，</w:t>
            </w:r>
            <w:r>
              <w:rPr>
                <w:rFonts w:hint="eastAsia" w:ascii="宋体" w:hAnsi="宋体" w:cs="宋体"/>
                <w:color w:val="auto"/>
                <w:szCs w:val="21"/>
                <w:highlight w:val="none"/>
                <w:lang w:val="en-US" w:eastAsia="zh-CN"/>
              </w:rPr>
              <w:t>最多可得</w:t>
            </w:r>
            <w:r>
              <w:rPr>
                <w:rFonts w:hint="eastAsia" w:ascii="宋体" w:hAnsi="宋体" w:cs="宋体"/>
                <w:color w:val="auto"/>
                <w:szCs w:val="21"/>
                <w:highlight w:val="none"/>
                <w:u w:val="single"/>
                <w:lang w:val="en-US" w:eastAsia="zh-CN"/>
              </w:rPr>
              <w:t>4</w:t>
            </w:r>
            <w:r>
              <w:rPr>
                <w:rFonts w:hint="eastAsia" w:ascii="宋体" w:hAnsi="宋体" w:cs="宋体"/>
                <w:color w:val="auto"/>
                <w:szCs w:val="21"/>
                <w:highlight w:val="none"/>
                <w:lang w:val="en-US" w:eastAsia="zh-CN"/>
              </w:rPr>
              <w:t>分。</w:t>
            </w:r>
          </w:p>
          <w:p w14:paraId="7E542A93">
            <w:pPr>
              <w:pStyle w:val="130"/>
              <w:keepNext w:val="0"/>
              <w:keepLines w:val="0"/>
              <w:widowControl/>
              <w:suppressLineNumbers w:val="0"/>
              <w:tabs>
                <w:tab w:val="left" w:pos="1800"/>
                <w:tab w:val="left" w:pos="2340"/>
                <w:tab w:val="left" w:pos="2700"/>
              </w:tabs>
              <w:adjustRightInd w:val="0"/>
              <w:snapToGrid w:val="0"/>
              <w:spacing w:before="0" w:beforeAutospacing="0" w:after="0" w:afterAutospacing="0" w:line="440" w:lineRule="exact"/>
              <w:ind w:left="0" w:right="0"/>
              <w:jc w:val="left"/>
              <w:rPr>
                <w:rFonts w:hint="default" w:ascii="宋体" w:hAnsi="宋体" w:cs="宋体"/>
                <w:color w:val="auto"/>
                <w:sz w:val="21"/>
                <w:szCs w:val="21"/>
                <w:highlight w:val="none"/>
              </w:rPr>
            </w:pPr>
            <w:r>
              <w:rPr>
                <w:rFonts w:hint="eastAsia" w:ascii="宋体" w:hAnsi="宋体" w:cs="宋体"/>
                <w:color w:val="auto"/>
                <w:sz w:val="21"/>
                <w:szCs w:val="21"/>
                <w:highlight w:val="none"/>
              </w:rPr>
              <w:t>注：</w:t>
            </w:r>
            <w:r>
              <w:rPr>
                <w:rFonts w:hint="default" w:ascii="宋体" w:hAnsi="宋体" w:cs="宋体"/>
                <w:color w:val="auto"/>
                <w:sz w:val="21"/>
                <w:szCs w:val="21"/>
                <w:highlight w:val="none"/>
              </w:rPr>
              <w:t>①</w:t>
            </w:r>
            <w:r>
              <w:rPr>
                <w:rFonts w:hint="eastAsia" w:ascii="宋体" w:hAnsi="宋体" w:cs="Times New Roman"/>
                <w:b/>
                <w:bCs/>
                <w:color w:val="auto"/>
                <w:kern w:val="2"/>
                <w:sz w:val="21"/>
                <w:szCs w:val="21"/>
                <w:highlight w:val="none"/>
              </w:rPr>
              <w:t>投标文件中</w:t>
            </w:r>
            <w:r>
              <w:rPr>
                <w:rFonts w:hint="eastAsia" w:ascii="宋体" w:hAnsi="宋体" w:cs="Times New Roman"/>
                <w:b/>
                <w:bCs/>
                <w:color w:val="auto"/>
                <w:kern w:val="2"/>
                <w:sz w:val="21"/>
                <w:szCs w:val="21"/>
                <w:highlight w:val="none"/>
                <w:lang w:val="en-US" w:eastAsia="zh-CN"/>
              </w:rPr>
              <w:t>同时</w:t>
            </w:r>
            <w:r>
              <w:rPr>
                <w:rFonts w:hint="eastAsia" w:ascii="宋体" w:hAnsi="宋体" w:cs="Times New Roman"/>
                <w:b/>
                <w:bCs/>
                <w:color w:val="auto"/>
                <w:kern w:val="2"/>
                <w:sz w:val="21"/>
                <w:szCs w:val="21"/>
                <w:highlight w:val="none"/>
              </w:rPr>
              <w:t>提供</w:t>
            </w:r>
            <w:r>
              <w:rPr>
                <w:rFonts w:hint="eastAsia" w:ascii="宋体" w:hAnsi="宋体" w:cs="Times New Roman"/>
                <w:b/>
                <w:bCs/>
                <w:color w:val="auto"/>
                <w:kern w:val="2"/>
                <w:sz w:val="21"/>
                <w:szCs w:val="21"/>
                <w:highlight w:val="none"/>
                <w:lang w:val="en-US" w:eastAsia="zh-CN"/>
              </w:rPr>
              <w:t>中标通知书、</w:t>
            </w:r>
            <w:r>
              <w:rPr>
                <w:rFonts w:hint="eastAsia" w:ascii="宋体" w:hAnsi="宋体" w:cs="Times New Roman"/>
                <w:b/>
                <w:bCs/>
                <w:color w:val="auto"/>
                <w:kern w:val="2"/>
                <w:sz w:val="21"/>
                <w:szCs w:val="21"/>
                <w:highlight w:val="none"/>
              </w:rPr>
              <w:t>合同</w:t>
            </w:r>
            <w:r>
              <w:rPr>
                <w:rFonts w:hint="eastAsia" w:ascii="宋体" w:hAnsi="宋体" w:cs="Times New Roman"/>
                <w:b/>
                <w:bCs/>
                <w:color w:val="auto"/>
                <w:kern w:val="2"/>
                <w:sz w:val="21"/>
                <w:szCs w:val="21"/>
                <w:highlight w:val="none"/>
                <w:lang w:val="en-US" w:eastAsia="zh-CN"/>
              </w:rPr>
              <w:t>以及证书（或证明文件，未提供的不加分）</w:t>
            </w:r>
            <w:r>
              <w:rPr>
                <w:rFonts w:hint="eastAsia" w:ascii="宋体" w:hAnsi="宋体" w:cs="Times New Roman"/>
                <w:b/>
                <w:bCs/>
                <w:color w:val="auto"/>
                <w:kern w:val="2"/>
                <w:sz w:val="21"/>
                <w:szCs w:val="21"/>
                <w:highlight w:val="none"/>
              </w:rPr>
              <w:t>的扫描件，若合同无法体现</w:t>
            </w:r>
            <w:r>
              <w:rPr>
                <w:rFonts w:hint="eastAsia" w:ascii="宋体" w:hAnsi="宋体" w:cs="宋体"/>
                <w:b/>
                <w:bCs/>
                <w:color w:val="auto"/>
                <w:sz w:val="21"/>
                <w:szCs w:val="21"/>
                <w:highlight w:val="none"/>
              </w:rPr>
              <w:t>合同时间</w:t>
            </w:r>
            <w:r>
              <w:rPr>
                <w:rFonts w:hint="eastAsia" w:ascii="宋体" w:hAnsi="宋体" w:cs="Times New Roman"/>
                <w:b/>
                <w:bCs/>
                <w:color w:val="auto"/>
                <w:kern w:val="2"/>
                <w:sz w:val="21"/>
                <w:szCs w:val="21"/>
                <w:highlight w:val="none"/>
              </w:rPr>
              <w:t>、服务内容等关键评审因素的，须另附业主（合同甲方）证明材料的扫描件。</w:t>
            </w:r>
          </w:p>
          <w:p w14:paraId="1C325DD0">
            <w:pPr>
              <w:keepNext w:val="0"/>
              <w:keepLines w:val="0"/>
              <w:suppressLineNumbers w:val="0"/>
              <w:spacing w:before="0" w:beforeAutospacing="0" w:after="0" w:afterAutospacing="0" w:line="440" w:lineRule="exact"/>
              <w:ind w:left="0" w:right="0" w:firstLine="360"/>
              <w:jc w:val="left"/>
              <w:rPr>
                <w:rFonts w:hint="eastAsia" w:ascii="宋体" w:hAnsi="宋体" w:eastAsia="宋体" w:cs="Times New Roman"/>
                <w:i w:val="0"/>
                <w:iCs/>
                <w:color w:val="auto"/>
                <w:sz w:val="21"/>
                <w:szCs w:val="21"/>
                <w:highlight w:val="none"/>
                <w:lang w:val="en-US" w:eastAsia="zh-CN"/>
              </w:rPr>
            </w:pPr>
            <w:r>
              <w:rPr>
                <w:rFonts w:hint="eastAsia" w:ascii="宋体" w:hAnsi="宋体" w:cs="宋体"/>
                <w:color w:val="auto"/>
                <w:sz w:val="21"/>
                <w:szCs w:val="21"/>
                <w:highlight w:val="none"/>
              </w:rPr>
              <w:t>②提供的项目业绩只计算评标分值对应的项目数量，按照排列顺序从首个业绩开始评审至对应数量，超出部分不进行评审。对应数量内业绩不符合招标文件要求不得分的，不再补充评审超出部分业绩。</w:t>
            </w:r>
          </w:p>
          <w:p w14:paraId="417E95BC">
            <w:pPr>
              <w:keepNext w:val="0"/>
              <w:keepLines w:val="0"/>
              <w:suppressLineNumbers w:val="0"/>
              <w:spacing w:before="0" w:beforeAutospacing="0" w:after="0" w:afterAutospacing="0" w:line="440" w:lineRule="exact"/>
              <w:ind w:left="0" w:right="0" w:firstLine="36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二、业主推荐</w:t>
            </w:r>
          </w:p>
          <w:p w14:paraId="6F6B03B1">
            <w:pPr>
              <w:keepNext w:val="0"/>
              <w:keepLines w:val="0"/>
              <w:numPr>
                <w:ilvl w:val="0"/>
                <w:numId w:val="0"/>
              </w:numPr>
              <w:suppressLineNumbers w:val="0"/>
              <w:spacing w:before="0" w:beforeAutospacing="0" w:after="0" w:afterAutospacing="0" w:line="440" w:lineRule="exact"/>
              <w:ind w:left="0" w:right="0" w:firstLine="420" w:firstLineChars="200"/>
              <w:jc w:val="left"/>
              <w:rPr>
                <w:rFonts w:hint="eastAsia" w:ascii="宋体" w:hAnsi="宋体" w:cs="Times New Roman"/>
                <w:color w:val="auto"/>
                <w:kern w:val="2"/>
                <w:sz w:val="21"/>
                <w:szCs w:val="21"/>
                <w:highlight w:val="none"/>
                <w:lang w:eastAsia="zh-CN"/>
              </w:rPr>
            </w:pPr>
            <w:r>
              <w:rPr>
                <w:rFonts w:hint="eastAsia" w:ascii="宋体" w:hAnsi="宋体" w:cs="Times New Roman"/>
                <w:color w:val="auto"/>
                <w:kern w:val="2"/>
                <w:sz w:val="21"/>
                <w:szCs w:val="21"/>
                <w:highlight w:val="none"/>
                <w:lang w:eastAsia="zh-CN"/>
              </w:rPr>
              <w:t>投标人符合得分条件的业绩，获得该业绩的</w:t>
            </w:r>
            <w:r>
              <w:rPr>
                <w:rFonts w:hint="eastAsia" w:ascii="宋体" w:hAnsi="宋体" w:eastAsia="宋体" w:cs="Times New Roman"/>
                <w:b w:val="0"/>
                <w:bCs/>
                <w:color w:val="auto"/>
                <w:sz w:val="21"/>
                <w:szCs w:val="21"/>
                <w:highlight w:val="none"/>
              </w:rPr>
              <w:t>业主（合同甲方）</w:t>
            </w:r>
            <w:r>
              <w:rPr>
                <w:rFonts w:hint="eastAsia" w:ascii="宋体" w:hAnsi="宋体" w:cs="Times New Roman"/>
                <w:b w:val="0"/>
                <w:bCs/>
                <w:color w:val="auto"/>
                <w:sz w:val="21"/>
                <w:szCs w:val="21"/>
                <w:highlight w:val="none"/>
                <w:lang w:eastAsia="zh-CN"/>
              </w:rPr>
              <w:t>书面推荐优秀的，</w:t>
            </w:r>
            <w:r>
              <w:rPr>
                <w:rFonts w:hint="eastAsia" w:ascii="宋体" w:hAnsi="宋体" w:eastAsia="宋体" w:cs="宋体"/>
                <w:color w:val="auto"/>
                <w:szCs w:val="21"/>
                <w:highlight w:val="none"/>
              </w:rPr>
              <w:t>每提供1个</w:t>
            </w:r>
            <w:r>
              <w:rPr>
                <w:rFonts w:hint="eastAsia" w:ascii="宋体" w:hAnsi="宋体" w:eastAsia="宋体" w:cs="宋体"/>
                <w:color w:val="auto"/>
                <w:szCs w:val="21"/>
                <w:highlight w:val="none"/>
                <w:lang w:eastAsia="zh-CN"/>
              </w:rPr>
              <w:t>推荐函</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分，最高得</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eastAsia="zh-CN"/>
              </w:rPr>
              <w:t>。</w:t>
            </w:r>
          </w:p>
          <w:p w14:paraId="3B38B627">
            <w:pPr>
              <w:keepNext w:val="0"/>
              <w:keepLines w:val="0"/>
              <w:suppressLineNumbers w:val="0"/>
              <w:spacing w:before="0" w:beforeAutospacing="0" w:after="0" w:afterAutospacing="0" w:line="440" w:lineRule="exact"/>
              <w:ind w:left="0" w:right="0" w:firstLine="360"/>
              <w:jc w:val="left"/>
              <w:rPr>
                <w:rFonts w:hint="eastAsia" w:ascii="宋体" w:hAnsi="宋体" w:eastAsia="宋体" w:cs="宋体"/>
                <w:color w:val="auto"/>
                <w:sz w:val="21"/>
                <w:szCs w:val="21"/>
                <w:highlight w:val="none"/>
                <w:lang w:val="en-US" w:eastAsia="zh-CN"/>
              </w:rPr>
            </w:pPr>
            <w:r>
              <w:rPr>
                <w:rFonts w:hint="eastAsia" w:ascii="宋体" w:hAnsi="宋体" w:eastAsia="宋体" w:cs="Times New Roman"/>
                <w:b w:val="0"/>
                <w:bCs w:val="0"/>
                <w:color w:val="auto"/>
                <w:kern w:val="2"/>
                <w:sz w:val="21"/>
                <w:szCs w:val="21"/>
                <w:highlight w:val="none"/>
                <w:u w:val="none"/>
                <w:lang w:val="en-US" w:eastAsia="zh-CN" w:bidi="ar-SA"/>
              </w:rPr>
              <w:t>三、服</w:t>
            </w:r>
            <w:r>
              <w:rPr>
                <w:rFonts w:hint="eastAsia" w:ascii="宋体" w:hAnsi="宋体" w:eastAsia="宋体" w:cs="宋体"/>
                <w:color w:val="auto"/>
                <w:sz w:val="21"/>
                <w:szCs w:val="21"/>
                <w:highlight w:val="none"/>
                <w:lang w:val="en-US" w:eastAsia="zh-CN"/>
              </w:rPr>
              <w:t>务质量表现</w:t>
            </w:r>
          </w:p>
          <w:p w14:paraId="5221234E">
            <w:pPr>
              <w:keepNext w:val="0"/>
              <w:keepLines w:val="0"/>
              <w:suppressLineNumbers w:val="0"/>
              <w:spacing w:before="0" w:beforeAutospacing="0" w:after="0" w:afterAutospacing="0" w:line="440" w:lineRule="exact"/>
              <w:ind w:left="0" w:right="0" w:firstLine="360"/>
              <w:jc w:val="left"/>
              <w:rPr>
                <w:rFonts w:hint="eastAsia" w:ascii="宋体" w:hAnsi="宋体" w:eastAsia="宋体" w:cs="Times New Roman"/>
                <w:color w:val="auto"/>
                <w:kern w:val="2"/>
                <w:sz w:val="21"/>
                <w:szCs w:val="21"/>
                <w:highlight w:val="none"/>
                <w:lang w:val="en-US" w:eastAsia="zh-CN"/>
              </w:rPr>
            </w:pPr>
            <w:r>
              <w:rPr>
                <w:rFonts w:hint="eastAsia" w:ascii="宋体" w:hAnsi="宋体" w:eastAsia="宋体" w:cs="宋体"/>
                <w:color w:val="auto"/>
                <w:sz w:val="21"/>
                <w:szCs w:val="21"/>
                <w:highlight w:val="none"/>
                <w:lang w:val="en-US" w:eastAsia="zh-CN"/>
              </w:rPr>
              <w:t>业主书面推荐</w:t>
            </w:r>
            <w:r>
              <w:rPr>
                <w:rFonts w:hint="eastAsia" w:ascii="宋体" w:hAnsi="宋体" w:eastAsia="宋体" w:cs="Times New Roman"/>
                <w:color w:val="auto"/>
                <w:kern w:val="2"/>
                <w:sz w:val="21"/>
                <w:szCs w:val="21"/>
                <w:highlight w:val="none"/>
                <w:lang w:val="en-US" w:eastAsia="zh-CN"/>
              </w:rPr>
              <w:t>的项目，投标人能提供履约过程中日常或集中考评表的，考评结果为优秀的，</w:t>
            </w:r>
            <w:r>
              <w:rPr>
                <w:rFonts w:hint="eastAsia" w:ascii="宋体" w:hAnsi="宋体" w:eastAsia="宋体" w:cs="宋体"/>
                <w:color w:val="auto"/>
                <w:szCs w:val="21"/>
                <w:highlight w:val="none"/>
                <w:lang w:val="en-US" w:eastAsia="zh-CN"/>
              </w:rPr>
              <w:t>且占全服务周期考评比例达到50%的</w:t>
            </w:r>
            <w:r>
              <w:rPr>
                <w:rFonts w:hint="eastAsia" w:ascii="宋体" w:hAnsi="宋体" w:eastAsia="宋体" w:cs="宋体"/>
                <w:color w:val="auto"/>
                <w:szCs w:val="21"/>
                <w:highlight w:val="none"/>
              </w:rPr>
              <w:t>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分，最高得</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val="en-US" w:eastAsia="zh-CN"/>
              </w:rPr>
              <w:t>。</w:t>
            </w:r>
            <w:r>
              <w:rPr>
                <w:rFonts w:hint="eastAsia" w:ascii="宋体" w:hAnsi="宋体" w:eastAsia="宋体" w:cs="Times New Roman"/>
                <w:color w:val="auto"/>
                <w:kern w:val="2"/>
                <w:sz w:val="21"/>
                <w:szCs w:val="21"/>
                <w:highlight w:val="none"/>
                <w:lang w:val="en-US" w:eastAsia="zh-CN"/>
              </w:rPr>
              <w:t>（例：全服务周期2年的项目，按月度考评，能提供12个月考评优秀结果表的得满分）</w:t>
            </w:r>
          </w:p>
          <w:p w14:paraId="6B51ABFE">
            <w:pPr>
              <w:keepNext w:val="0"/>
              <w:keepLines w:val="0"/>
              <w:suppressLineNumbers w:val="0"/>
              <w:spacing w:before="0" w:beforeAutospacing="0" w:after="0" w:afterAutospacing="0" w:line="440" w:lineRule="exact"/>
              <w:ind w:left="0" w:right="0" w:firstLine="360"/>
              <w:jc w:val="left"/>
              <w:rPr>
                <w:rFonts w:hint="default" w:ascii="Times New Roman" w:hAnsi="Times New Roman" w:cs="Times New Roman"/>
                <w:color w:val="auto"/>
                <w:highlight w:val="none"/>
                <w:lang w:val="en-US" w:eastAsia="zh-CN"/>
              </w:rPr>
            </w:pPr>
            <w:r>
              <w:rPr>
                <w:rFonts w:hint="eastAsia" w:ascii="宋体" w:hAnsi="宋体" w:cs="宋体"/>
                <w:color w:val="auto"/>
                <w:sz w:val="21"/>
                <w:szCs w:val="21"/>
                <w:highlight w:val="none"/>
              </w:rPr>
              <w:t>注：</w:t>
            </w:r>
            <w:r>
              <w:rPr>
                <w:rFonts w:hint="eastAsia" w:ascii="宋体" w:hAnsi="宋体" w:eastAsia="宋体" w:cs="Times New Roman"/>
                <w:b/>
                <w:bCs/>
                <w:color w:val="auto"/>
                <w:kern w:val="2"/>
                <w:sz w:val="21"/>
                <w:szCs w:val="21"/>
                <w:highlight w:val="none"/>
                <w:lang w:eastAsia="zh-CN"/>
              </w:rPr>
              <w:t>提供的考评表（</w:t>
            </w:r>
            <w:r>
              <w:rPr>
                <w:rFonts w:hint="eastAsia" w:ascii="宋体" w:hAnsi="宋体" w:eastAsia="宋体" w:cs="Times New Roman"/>
                <w:b/>
                <w:bCs/>
                <w:color w:val="auto"/>
                <w:kern w:val="2"/>
                <w:sz w:val="21"/>
                <w:szCs w:val="21"/>
                <w:highlight w:val="none"/>
                <w:lang w:val="en-US" w:eastAsia="zh-CN"/>
              </w:rPr>
              <w:t>或满意度调查表等证明材料</w:t>
            </w:r>
            <w:r>
              <w:rPr>
                <w:rFonts w:hint="eastAsia" w:ascii="宋体" w:hAnsi="宋体" w:eastAsia="宋体" w:cs="Times New Roman"/>
                <w:b/>
                <w:bCs/>
                <w:color w:val="auto"/>
                <w:kern w:val="2"/>
                <w:sz w:val="21"/>
                <w:szCs w:val="21"/>
                <w:highlight w:val="none"/>
                <w:lang w:eastAsia="zh-CN"/>
              </w:rPr>
              <w:t>）</w:t>
            </w:r>
            <w:r>
              <w:rPr>
                <w:rFonts w:hint="eastAsia" w:ascii="宋体" w:hAnsi="宋体" w:eastAsia="宋体" w:cs="Times New Roman"/>
                <w:b/>
                <w:bCs/>
                <w:color w:val="auto"/>
                <w:kern w:val="2"/>
                <w:sz w:val="21"/>
                <w:szCs w:val="21"/>
                <w:highlight w:val="none"/>
              </w:rPr>
              <w:t>须</w:t>
            </w:r>
            <w:r>
              <w:rPr>
                <w:rFonts w:hint="eastAsia" w:ascii="宋体" w:hAnsi="宋体" w:eastAsia="宋体" w:cs="Times New Roman"/>
                <w:b/>
                <w:bCs/>
                <w:color w:val="auto"/>
                <w:kern w:val="2"/>
                <w:sz w:val="21"/>
                <w:szCs w:val="21"/>
                <w:highlight w:val="none"/>
                <w:lang w:eastAsia="zh-CN"/>
              </w:rPr>
              <w:t>含</w:t>
            </w:r>
            <w:r>
              <w:rPr>
                <w:rFonts w:hint="eastAsia" w:ascii="宋体" w:hAnsi="宋体" w:cs="Times New Roman"/>
                <w:b/>
                <w:bCs/>
                <w:color w:val="auto"/>
                <w:kern w:val="2"/>
                <w:sz w:val="21"/>
                <w:szCs w:val="21"/>
                <w:highlight w:val="none"/>
                <w:lang w:eastAsia="zh-CN"/>
              </w:rPr>
              <w:t>有</w:t>
            </w:r>
            <w:r>
              <w:rPr>
                <w:rFonts w:hint="eastAsia" w:ascii="宋体" w:hAnsi="宋体" w:cs="Times New Roman"/>
                <w:b/>
                <w:bCs/>
                <w:color w:val="auto"/>
                <w:kern w:val="2"/>
                <w:sz w:val="21"/>
                <w:szCs w:val="21"/>
                <w:highlight w:val="none"/>
              </w:rPr>
              <w:t>业主</w:t>
            </w:r>
            <w:r>
              <w:rPr>
                <w:rFonts w:hint="eastAsia" w:ascii="宋体" w:hAnsi="宋体" w:cs="Times New Roman"/>
                <w:b/>
                <w:bCs/>
                <w:color w:val="auto"/>
                <w:kern w:val="2"/>
                <w:sz w:val="21"/>
                <w:szCs w:val="21"/>
                <w:highlight w:val="none"/>
                <w:lang w:eastAsia="zh-CN"/>
              </w:rPr>
              <w:t>盖章</w:t>
            </w:r>
            <w:r>
              <w:rPr>
                <w:rFonts w:hint="eastAsia" w:ascii="宋体" w:hAnsi="宋体" w:cs="Times New Roman"/>
                <w:b/>
                <w:bCs/>
                <w:color w:val="auto"/>
                <w:kern w:val="2"/>
                <w:sz w:val="21"/>
                <w:szCs w:val="21"/>
                <w:highlight w:val="none"/>
              </w:rPr>
              <w:t>。</w:t>
            </w:r>
          </w:p>
        </w:tc>
      </w:tr>
      <w:tr w14:paraId="113EB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52" w:type="dxa"/>
            <w:noWrap/>
            <w:vAlign w:val="center"/>
          </w:tcPr>
          <w:p w14:paraId="67AEBE10">
            <w:pPr>
              <w:keepNext w:val="0"/>
              <w:keepLines w:val="0"/>
              <w:suppressLineNumbers w:val="0"/>
              <w:spacing w:before="0" w:beforeAutospacing="0" w:after="0" w:afterAutospacing="0" w:line="440" w:lineRule="exact"/>
              <w:ind w:left="0" w:right="0"/>
              <w:jc w:val="center"/>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2</w:t>
            </w:r>
          </w:p>
        </w:tc>
        <w:tc>
          <w:tcPr>
            <w:tcW w:w="1078" w:type="dxa"/>
            <w:noWrap/>
            <w:vAlign w:val="center"/>
          </w:tcPr>
          <w:p w14:paraId="049410B9">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安全保障</w:t>
            </w:r>
          </w:p>
        </w:tc>
        <w:tc>
          <w:tcPr>
            <w:tcW w:w="840" w:type="dxa"/>
            <w:noWrap/>
            <w:vAlign w:val="center"/>
          </w:tcPr>
          <w:p w14:paraId="64BF5554">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u w:val="none"/>
                <w:lang w:val="en-US" w:eastAsia="zh-CN"/>
              </w:rPr>
              <w:t>5分</w:t>
            </w:r>
          </w:p>
        </w:tc>
        <w:tc>
          <w:tcPr>
            <w:tcW w:w="7217" w:type="dxa"/>
            <w:noWrap/>
            <w:vAlign w:val="center"/>
          </w:tcPr>
          <w:p w14:paraId="6EAFED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20" w:firstLineChars="200"/>
              <w:jc w:val="left"/>
              <w:textAlignment w:val="auto"/>
              <w:rPr>
                <w:rFonts w:hint="eastAsia" w:ascii="宋体" w:hAnsi="Times New Roman" w:cs="Times New Roman"/>
                <w:b w:val="0"/>
                <w:bCs w:val="0"/>
                <w:color w:val="auto"/>
                <w:szCs w:val="21"/>
                <w:highlight w:val="none"/>
                <w:lang w:eastAsia="zh-CN"/>
              </w:rPr>
            </w:pPr>
            <w:r>
              <w:rPr>
                <w:rFonts w:hint="eastAsia" w:ascii="宋体" w:hAnsi="Times New Roman" w:cs="Times New Roman"/>
                <w:b w:val="0"/>
                <w:bCs w:val="0"/>
                <w:color w:val="auto"/>
                <w:szCs w:val="21"/>
                <w:highlight w:val="none"/>
                <w:lang w:eastAsia="zh-CN"/>
              </w:rPr>
              <w:t>投标人</w:t>
            </w:r>
            <w:r>
              <w:rPr>
                <w:rFonts w:hint="eastAsia" w:ascii="宋体" w:hAnsi="Times New Roman" w:cs="Times New Roman"/>
                <w:b w:val="0"/>
                <w:bCs w:val="0"/>
                <w:color w:val="auto"/>
                <w:szCs w:val="21"/>
                <w:highlight w:val="none"/>
                <w:lang w:val="en-US" w:eastAsia="zh-CN"/>
              </w:rPr>
              <w:t>自行</w:t>
            </w:r>
            <w:r>
              <w:rPr>
                <w:rFonts w:hint="eastAsia" w:ascii="宋体" w:hAnsi="Times New Roman" w:cs="Times New Roman"/>
                <w:b w:val="0"/>
                <w:bCs w:val="0"/>
                <w:color w:val="auto"/>
                <w:szCs w:val="21"/>
                <w:highlight w:val="none"/>
                <w:lang w:eastAsia="zh-CN"/>
              </w:rPr>
              <w:t>承诺中标后为招标人食堂购买公众责任险和食品安全责任险的，得</w:t>
            </w:r>
            <w:r>
              <w:rPr>
                <w:rFonts w:hint="eastAsia" w:ascii="宋体" w:hAnsi="Times New Roman" w:cs="Times New Roman"/>
                <w:b w:val="0"/>
                <w:bCs w:val="0"/>
                <w:color w:val="auto"/>
                <w:szCs w:val="21"/>
                <w:highlight w:val="none"/>
                <w:u w:val="single"/>
                <w:lang w:val="en-US" w:eastAsia="zh-CN"/>
              </w:rPr>
              <w:t>5</w:t>
            </w:r>
            <w:r>
              <w:rPr>
                <w:rFonts w:hint="eastAsia" w:ascii="宋体" w:hAnsi="Times New Roman" w:cs="Times New Roman"/>
                <w:b w:val="0"/>
                <w:bCs w:val="0"/>
                <w:color w:val="auto"/>
                <w:szCs w:val="21"/>
                <w:highlight w:val="none"/>
                <w:lang w:eastAsia="zh-CN"/>
              </w:rPr>
              <w:t>分。</w:t>
            </w:r>
          </w:p>
          <w:p w14:paraId="46D5565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firstLine="422" w:firstLineChars="200"/>
              <w:jc w:val="left"/>
              <w:textAlignment w:val="auto"/>
              <w:rPr>
                <w:rFonts w:hint="eastAsia" w:ascii="宋体" w:hAnsi="Times New Roman" w:cs="Times New Roman"/>
                <w:b w:val="0"/>
                <w:bCs w:val="0"/>
                <w:color w:val="auto"/>
                <w:szCs w:val="21"/>
                <w:highlight w:val="none"/>
                <w:lang w:eastAsia="zh-CN"/>
              </w:rPr>
            </w:pPr>
            <w:r>
              <w:rPr>
                <w:rFonts w:hint="eastAsia" w:ascii="宋体" w:hAnsi="Times New Roman" w:cs="Times New Roman"/>
                <w:b/>
                <w:bCs/>
                <w:color w:val="auto"/>
                <w:szCs w:val="21"/>
                <w:highlight w:val="none"/>
                <w:lang w:eastAsia="zh-CN"/>
              </w:rPr>
              <w:t>注：投标文件中提供承诺函（</w:t>
            </w:r>
            <w:r>
              <w:rPr>
                <w:rFonts w:hint="eastAsia" w:ascii="宋体" w:hAnsi="Times New Roman" w:cs="Times New Roman"/>
                <w:b/>
                <w:bCs/>
                <w:color w:val="auto"/>
                <w:szCs w:val="21"/>
                <w:highlight w:val="none"/>
                <w:lang w:val="en-US" w:eastAsia="zh-CN"/>
              </w:rPr>
              <w:t>格式自拟</w:t>
            </w:r>
            <w:r>
              <w:rPr>
                <w:rFonts w:hint="eastAsia" w:ascii="宋体" w:hAnsi="Times New Roman" w:cs="Times New Roman"/>
                <w:b/>
                <w:bCs/>
                <w:color w:val="auto"/>
                <w:szCs w:val="21"/>
                <w:highlight w:val="none"/>
                <w:lang w:eastAsia="zh-CN"/>
              </w:rPr>
              <w:t>），未提供或提供不全不得分。</w:t>
            </w:r>
          </w:p>
        </w:tc>
      </w:tr>
      <w:tr w14:paraId="33079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52" w:type="dxa"/>
            <w:noWrap/>
            <w:vAlign w:val="center"/>
          </w:tcPr>
          <w:p w14:paraId="3AC63961">
            <w:pPr>
              <w:keepNext w:val="0"/>
              <w:keepLines w:val="0"/>
              <w:suppressLineNumbers w:val="0"/>
              <w:spacing w:before="0" w:beforeAutospacing="0" w:after="0" w:afterAutospacing="0" w:line="440" w:lineRule="exact"/>
              <w:ind w:left="0" w:right="0"/>
              <w:jc w:val="center"/>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3</w:t>
            </w:r>
          </w:p>
        </w:tc>
        <w:tc>
          <w:tcPr>
            <w:tcW w:w="1078" w:type="dxa"/>
            <w:noWrap/>
            <w:vAlign w:val="center"/>
          </w:tcPr>
          <w:p w14:paraId="07F51775">
            <w:pPr>
              <w:pStyle w:val="131"/>
              <w:keepNext w:val="0"/>
              <w:keepLines w:val="0"/>
              <w:widowControl/>
              <w:suppressLineNumbers w:val="0"/>
              <w:snapToGrid w:val="0"/>
              <w:spacing w:before="0" w:beforeAutospacing="0" w:after="0" w:afterAutospacing="0" w:line="440" w:lineRule="exact"/>
              <w:ind w:left="0" w:right="0"/>
              <w:contextualSpacing/>
              <w:jc w:val="center"/>
              <w:textAlignment w:val="bottom"/>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人员配备</w:t>
            </w:r>
          </w:p>
        </w:tc>
        <w:tc>
          <w:tcPr>
            <w:tcW w:w="840" w:type="dxa"/>
            <w:noWrap/>
            <w:vAlign w:val="center"/>
          </w:tcPr>
          <w:p w14:paraId="6AEB44B3">
            <w:pPr>
              <w:pStyle w:val="131"/>
              <w:keepNext w:val="0"/>
              <w:keepLines w:val="0"/>
              <w:widowControl/>
              <w:suppressLineNumbers w:val="0"/>
              <w:snapToGrid w:val="0"/>
              <w:spacing w:before="0" w:beforeAutospacing="0" w:after="0" w:afterAutospacing="0" w:line="440" w:lineRule="exact"/>
              <w:ind w:left="0" w:right="0"/>
              <w:contextualSpacing/>
              <w:jc w:val="center"/>
              <w:textAlignment w:val="bottom"/>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18</w:t>
            </w:r>
            <w:r>
              <w:rPr>
                <w:rFonts w:hint="eastAsia" w:ascii="宋体" w:hAnsi="宋体" w:eastAsia="宋体" w:cs="宋体"/>
                <w:color w:val="auto"/>
                <w:szCs w:val="21"/>
                <w:highlight w:val="none"/>
              </w:rPr>
              <w:t>分</w:t>
            </w:r>
          </w:p>
        </w:tc>
        <w:tc>
          <w:tcPr>
            <w:tcW w:w="7217" w:type="dxa"/>
            <w:noWrap/>
            <w:vAlign w:val="center"/>
          </w:tcPr>
          <w:p w14:paraId="11D22B39">
            <w:pPr>
              <w:pStyle w:val="130"/>
              <w:keepNext w:val="0"/>
              <w:keepLines w:val="0"/>
              <w:widowControl/>
              <w:suppressLineNumbers w:val="0"/>
              <w:tabs>
                <w:tab w:val="left" w:pos="1800"/>
                <w:tab w:val="left" w:pos="2340"/>
                <w:tab w:val="left" w:pos="2700"/>
              </w:tabs>
              <w:adjustRightInd w:val="0"/>
              <w:snapToGrid w:val="0"/>
              <w:spacing w:before="0" w:beforeAutospacing="0" w:after="0" w:afterAutospacing="0" w:line="440" w:lineRule="exact"/>
              <w:ind w:left="0" w:right="0"/>
              <w:jc w:val="left"/>
              <w:rPr>
                <w:rFonts w:hint="eastAsia" w:ascii="宋体" w:hAnsi="宋体" w:cs="宋体"/>
                <w:b/>
                <w:bCs/>
                <w:color w:val="auto"/>
                <w:sz w:val="21"/>
                <w:szCs w:val="21"/>
                <w:highlight w:val="none"/>
              </w:rPr>
            </w:pPr>
            <w:r>
              <w:rPr>
                <w:rFonts w:hint="default" w:ascii="宋体" w:hAnsi="宋体" w:cs="宋体"/>
                <w:b/>
                <w:bCs/>
                <w:color w:val="auto"/>
                <w:sz w:val="21"/>
                <w:szCs w:val="21"/>
                <w:highlight w:val="none"/>
              </w:rPr>
              <w:t>（1）</w:t>
            </w:r>
            <w:r>
              <w:rPr>
                <w:rFonts w:hint="eastAsia" w:ascii="宋体" w:hAnsi="宋体" w:cs="宋体"/>
                <w:b/>
                <w:bCs/>
                <w:color w:val="auto"/>
                <w:sz w:val="21"/>
                <w:szCs w:val="21"/>
                <w:highlight w:val="none"/>
              </w:rPr>
              <w:t>项目经理（1名）：</w:t>
            </w:r>
          </w:p>
          <w:p w14:paraId="0310E9EA">
            <w:pPr>
              <w:pStyle w:val="130"/>
              <w:keepNext w:val="0"/>
              <w:keepLines w:val="0"/>
              <w:pageBreakBefore w:val="0"/>
              <w:widowControl/>
              <w:numPr>
                <w:ilvl w:val="0"/>
                <w:numId w:val="0"/>
              </w:numPr>
              <w:suppressLineNumbers w:val="0"/>
              <w:tabs>
                <w:tab w:val="left" w:pos="1800"/>
                <w:tab w:val="left" w:pos="2340"/>
                <w:tab w:val="left" w:pos="2700"/>
              </w:tabs>
              <w:kinsoku/>
              <w:wordWrap w:val="0"/>
              <w:overflowPunct/>
              <w:topLinePunct w:val="0"/>
              <w:autoSpaceDE/>
              <w:autoSpaceDN/>
              <w:bidi w:val="0"/>
              <w:adjustRightInd w:val="0"/>
              <w:snapToGrid w:val="0"/>
              <w:spacing w:before="0" w:beforeAutospacing="0" w:after="0" w:afterAutospacing="0" w:line="480" w:lineRule="exact"/>
              <w:ind w:left="0" w:right="0" w:rightChars="0"/>
              <w:jc w:val="left"/>
              <w:textAlignment w:val="auto"/>
              <w:rPr>
                <w:rFonts w:hint="eastAsia" w:ascii="宋体" w:hAnsi="宋体" w:eastAsia="宋体" w:cs="宋体"/>
                <w:b w:val="0"/>
                <w:bCs/>
                <w:i w:val="0"/>
                <w:iCs w:val="0"/>
                <w:color w:val="auto"/>
                <w:kern w:val="2"/>
                <w:sz w:val="21"/>
                <w:szCs w:val="21"/>
                <w:highlight w:val="none"/>
                <w:lang w:val="en-US" w:eastAsia="zh-CN" w:bidi="ar-SA"/>
              </w:rPr>
            </w:pPr>
            <w:r>
              <w:rPr>
                <w:rFonts w:hint="eastAsia" w:ascii="宋体" w:hAnsi="宋体" w:eastAsia="宋体" w:cs="宋体"/>
                <w:b w:val="0"/>
                <w:bCs/>
                <w:i w:val="0"/>
                <w:iCs w:val="0"/>
                <w:color w:val="auto"/>
                <w:kern w:val="2"/>
                <w:sz w:val="21"/>
                <w:szCs w:val="21"/>
                <w:highlight w:val="none"/>
                <w:lang w:val="en-US" w:eastAsia="zh-CN" w:bidi="ar-SA"/>
              </w:rPr>
              <w:t>1）具有餐饮业职业经理人(高级)证书或公共营养师三级及以上证书或中式烹调师一级证书的得2分，</w:t>
            </w:r>
            <w:r>
              <w:rPr>
                <w:rFonts w:hint="eastAsia" w:ascii="宋体" w:hAnsi="宋体" w:eastAsia="宋体" w:cs="宋体"/>
                <w:b w:val="0"/>
                <w:bCs/>
                <w:i w:val="0"/>
                <w:iCs w:val="0"/>
                <w:color w:val="auto"/>
                <w:sz w:val="21"/>
                <w:szCs w:val="21"/>
                <w:highlight w:val="none"/>
                <w:lang w:val="en-US" w:eastAsia="zh-CN"/>
              </w:rPr>
              <w:t>本小项满分2分</w:t>
            </w:r>
            <w:r>
              <w:rPr>
                <w:rFonts w:hint="eastAsia" w:ascii="宋体" w:hAnsi="宋体" w:eastAsia="宋体" w:cs="宋体"/>
                <w:b w:val="0"/>
                <w:bCs/>
                <w:i w:val="0"/>
                <w:iCs w:val="0"/>
                <w:color w:val="auto"/>
                <w:kern w:val="2"/>
                <w:sz w:val="21"/>
                <w:szCs w:val="21"/>
                <w:highlight w:val="none"/>
                <w:lang w:val="en-US" w:eastAsia="zh-CN" w:bidi="ar-SA"/>
              </w:rPr>
              <w:t>；</w:t>
            </w:r>
          </w:p>
          <w:p w14:paraId="28D486EE">
            <w:pPr>
              <w:pStyle w:val="130"/>
              <w:keepNext w:val="0"/>
              <w:keepLines w:val="0"/>
              <w:pageBreakBefore w:val="0"/>
              <w:widowControl/>
              <w:suppressLineNumbers w:val="0"/>
              <w:tabs>
                <w:tab w:val="left" w:pos="1800"/>
                <w:tab w:val="left" w:pos="2340"/>
                <w:tab w:val="left" w:pos="2700"/>
              </w:tabs>
              <w:kinsoku/>
              <w:wordWrap w:val="0"/>
              <w:overflowPunct/>
              <w:topLinePunct w:val="0"/>
              <w:autoSpaceDE/>
              <w:autoSpaceDN/>
              <w:bidi w:val="0"/>
              <w:adjustRightInd w:val="0"/>
              <w:snapToGrid w:val="0"/>
              <w:spacing w:before="0" w:beforeAutospacing="0" w:after="0" w:afterAutospacing="0" w:line="480" w:lineRule="exact"/>
              <w:ind w:left="0" w:right="0" w:rightChars="0"/>
              <w:jc w:val="left"/>
              <w:textAlignment w:val="auto"/>
              <w:rPr>
                <w:rFonts w:hint="eastAsia" w:ascii="宋体" w:hAnsi="宋体" w:cs="宋体"/>
                <w:color w:val="auto"/>
                <w:sz w:val="21"/>
                <w:szCs w:val="21"/>
                <w:highlight w:val="none"/>
              </w:rPr>
            </w:pPr>
            <w:r>
              <w:rPr>
                <w:rFonts w:hint="eastAsia" w:ascii="宋体" w:hAnsi="宋体" w:eastAsia="宋体" w:cs="宋体"/>
                <w:b w:val="0"/>
                <w:bCs/>
                <w:i w:val="0"/>
                <w:iCs w:val="0"/>
                <w:color w:val="auto"/>
                <w:kern w:val="2"/>
                <w:sz w:val="21"/>
                <w:szCs w:val="21"/>
                <w:highlight w:val="none"/>
                <w:lang w:val="en-US" w:eastAsia="zh-CN" w:bidi="ar-SA"/>
              </w:rPr>
              <w:t>2）具有食品安全管理员或食品安全管理师或食品安全总监的得2分，</w:t>
            </w:r>
            <w:r>
              <w:rPr>
                <w:rFonts w:hint="eastAsia" w:ascii="宋体" w:hAnsi="宋体" w:eastAsia="宋体" w:cs="宋体"/>
                <w:b w:val="0"/>
                <w:bCs/>
                <w:i w:val="0"/>
                <w:iCs w:val="0"/>
                <w:color w:val="auto"/>
                <w:sz w:val="21"/>
                <w:szCs w:val="21"/>
                <w:highlight w:val="none"/>
                <w:lang w:val="en-US" w:eastAsia="zh-CN"/>
              </w:rPr>
              <w:t>本小项满分2分</w:t>
            </w:r>
            <w:r>
              <w:rPr>
                <w:rFonts w:hint="eastAsia" w:ascii="宋体" w:hAnsi="宋体" w:eastAsia="宋体" w:cs="宋体"/>
                <w:b w:val="0"/>
                <w:bCs/>
                <w:i w:val="0"/>
                <w:iCs w:val="0"/>
                <w:color w:val="auto"/>
                <w:kern w:val="2"/>
                <w:sz w:val="21"/>
                <w:szCs w:val="21"/>
                <w:highlight w:val="none"/>
                <w:lang w:val="en-US" w:eastAsia="zh-CN" w:bidi="ar-SA"/>
              </w:rPr>
              <w:t>。</w:t>
            </w:r>
          </w:p>
          <w:p w14:paraId="4B4F3268">
            <w:pPr>
              <w:pStyle w:val="130"/>
              <w:keepNext w:val="0"/>
              <w:keepLines w:val="0"/>
              <w:widowControl/>
              <w:suppressLineNumbers w:val="0"/>
              <w:tabs>
                <w:tab w:val="left" w:pos="1800"/>
                <w:tab w:val="left" w:pos="2340"/>
                <w:tab w:val="left" w:pos="2700"/>
              </w:tabs>
              <w:adjustRightInd w:val="0"/>
              <w:snapToGrid w:val="0"/>
              <w:spacing w:before="0" w:beforeAutospacing="0" w:after="0" w:afterAutospacing="0" w:line="440" w:lineRule="exact"/>
              <w:ind w:left="0" w:right="0"/>
              <w:jc w:val="left"/>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rPr>
              <w:t>（2）厨师长</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1名</w:t>
            </w:r>
            <w:r>
              <w:rPr>
                <w:rFonts w:hint="eastAsia" w:ascii="宋体" w:hAnsi="宋体" w:cs="宋体"/>
                <w:b/>
                <w:bCs/>
                <w:color w:val="auto"/>
                <w:sz w:val="21"/>
                <w:szCs w:val="21"/>
                <w:highlight w:val="none"/>
                <w:lang w:eastAsia="zh-CN"/>
              </w:rPr>
              <w:t>）：</w:t>
            </w:r>
          </w:p>
          <w:p w14:paraId="4A179F99">
            <w:pPr>
              <w:pStyle w:val="130"/>
              <w:keepNext w:val="0"/>
              <w:keepLines w:val="0"/>
              <w:widowControl/>
              <w:suppressLineNumbers w:val="0"/>
              <w:tabs>
                <w:tab w:val="left" w:pos="1800"/>
                <w:tab w:val="left" w:pos="2340"/>
                <w:tab w:val="left" w:pos="2700"/>
              </w:tabs>
              <w:adjustRightInd w:val="0"/>
              <w:snapToGrid w:val="0"/>
              <w:spacing w:before="0" w:beforeAutospacing="0" w:after="0" w:afterAutospacing="0" w:line="440" w:lineRule="exact"/>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b w:val="0"/>
                <w:bCs/>
                <w:i w:val="0"/>
                <w:iCs w:val="0"/>
                <w:color w:val="auto"/>
                <w:sz w:val="21"/>
                <w:szCs w:val="21"/>
                <w:highlight w:val="none"/>
                <w:lang w:eastAsia="zh-CN"/>
              </w:rPr>
              <w:t>自2023年</w:t>
            </w:r>
            <w:r>
              <w:rPr>
                <w:rFonts w:hint="eastAsia" w:ascii="宋体" w:hAnsi="宋体" w:eastAsia="宋体" w:cs="宋体"/>
                <w:b w:val="0"/>
                <w:bCs/>
                <w:i w:val="0"/>
                <w:iCs w:val="0"/>
                <w:color w:val="auto"/>
                <w:sz w:val="21"/>
                <w:szCs w:val="21"/>
                <w:highlight w:val="none"/>
                <w:lang w:val="en-US" w:eastAsia="zh-CN"/>
              </w:rPr>
              <w:t>1</w:t>
            </w:r>
            <w:r>
              <w:rPr>
                <w:rFonts w:hint="eastAsia" w:ascii="宋体" w:hAnsi="宋体" w:eastAsia="宋体" w:cs="宋体"/>
                <w:b w:val="0"/>
                <w:bCs/>
                <w:i w:val="0"/>
                <w:iCs w:val="0"/>
                <w:color w:val="auto"/>
                <w:sz w:val="21"/>
                <w:szCs w:val="21"/>
                <w:highlight w:val="none"/>
                <w:lang w:eastAsia="zh-CN"/>
              </w:rPr>
              <w:t>月1日至投标截止日（以获奖时间为准），获得设区的市级（</w:t>
            </w:r>
            <w:r>
              <w:rPr>
                <w:rFonts w:hint="eastAsia" w:ascii="宋体" w:hAnsi="宋体" w:eastAsia="宋体" w:cs="宋体"/>
                <w:b w:val="0"/>
                <w:bCs/>
                <w:i w:val="0"/>
                <w:iCs w:val="0"/>
                <w:color w:val="auto"/>
                <w:sz w:val="21"/>
                <w:szCs w:val="21"/>
                <w:highlight w:val="none"/>
                <w:lang w:val="en-US" w:eastAsia="zh-CN"/>
              </w:rPr>
              <w:t>或以上</w:t>
            </w:r>
            <w:r>
              <w:rPr>
                <w:rFonts w:hint="eastAsia" w:ascii="宋体" w:hAnsi="宋体" w:eastAsia="宋体" w:cs="宋体"/>
                <w:b w:val="0"/>
                <w:bCs/>
                <w:i w:val="0"/>
                <w:iCs w:val="0"/>
                <w:color w:val="auto"/>
                <w:sz w:val="21"/>
                <w:szCs w:val="21"/>
                <w:highlight w:val="none"/>
                <w:lang w:eastAsia="zh-CN"/>
              </w:rPr>
              <w:t>）行业主管部门或行业协会颁发的餐饮类（或厨师大赛）奖项，每提供一个有效奖项的得</w:t>
            </w:r>
            <w:r>
              <w:rPr>
                <w:rFonts w:hint="eastAsia" w:ascii="宋体" w:hAnsi="宋体" w:eastAsia="宋体" w:cs="宋体"/>
                <w:b w:val="0"/>
                <w:bCs/>
                <w:i w:val="0"/>
                <w:iCs w:val="0"/>
                <w:color w:val="auto"/>
                <w:sz w:val="21"/>
                <w:szCs w:val="21"/>
                <w:highlight w:val="none"/>
                <w:lang w:val="en-US" w:eastAsia="zh-CN"/>
              </w:rPr>
              <w:t>2</w:t>
            </w:r>
            <w:r>
              <w:rPr>
                <w:rFonts w:hint="eastAsia" w:ascii="宋体" w:hAnsi="宋体" w:eastAsia="宋体" w:cs="宋体"/>
                <w:b w:val="0"/>
                <w:bCs/>
                <w:i w:val="0"/>
                <w:iCs w:val="0"/>
                <w:color w:val="auto"/>
                <w:sz w:val="21"/>
                <w:szCs w:val="21"/>
                <w:highlight w:val="none"/>
                <w:lang w:eastAsia="zh-CN"/>
              </w:rPr>
              <w:t>分，</w:t>
            </w:r>
            <w:r>
              <w:rPr>
                <w:rFonts w:hint="eastAsia" w:ascii="宋体" w:hAnsi="宋体" w:eastAsia="宋体" w:cs="宋体"/>
                <w:b w:val="0"/>
                <w:bCs/>
                <w:i w:val="0"/>
                <w:iCs w:val="0"/>
                <w:color w:val="auto"/>
                <w:sz w:val="21"/>
                <w:szCs w:val="21"/>
                <w:highlight w:val="none"/>
                <w:lang w:val="en-US" w:eastAsia="zh-CN"/>
              </w:rPr>
              <w:t>本小项满分2分</w:t>
            </w:r>
            <w:r>
              <w:rPr>
                <w:rFonts w:hint="eastAsia" w:ascii="宋体" w:hAnsi="宋体" w:eastAsia="宋体" w:cs="宋体"/>
                <w:color w:val="auto"/>
                <w:sz w:val="21"/>
                <w:szCs w:val="21"/>
                <w:highlight w:val="none"/>
                <w:lang w:val="en-US" w:eastAsia="zh-CN"/>
              </w:rPr>
              <w:t>；</w:t>
            </w:r>
          </w:p>
          <w:p w14:paraId="20A9327E">
            <w:pPr>
              <w:pStyle w:val="130"/>
              <w:keepNext w:val="0"/>
              <w:keepLines w:val="0"/>
              <w:widowControl/>
              <w:suppressLineNumbers w:val="0"/>
              <w:tabs>
                <w:tab w:val="left" w:pos="1800"/>
                <w:tab w:val="left" w:pos="2340"/>
                <w:tab w:val="left" w:pos="2700"/>
              </w:tabs>
              <w:adjustRightInd w:val="0"/>
              <w:snapToGrid w:val="0"/>
              <w:spacing w:before="0" w:beforeAutospacing="0" w:after="0" w:afterAutospacing="0" w:line="440" w:lineRule="exact"/>
              <w:ind w:left="0" w:right="0"/>
              <w:jc w:val="lef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2）</w:t>
            </w:r>
            <w:r>
              <w:rPr>
                <w:rFonts w:hint="eastAsia" w:ascii="宋体" w:hAnsi="宋体" w:eastAsia="宋体" w:cs="宋体"/>
                <w:b w:val="0"/>
                <w:bCs/>
                <w:i w:val="0"/>
                <w:iCs w:val="0"/>
                <w:color w:val="auto"/>
                <w:sz w:val="21"/>
                <w:szCs w:val="21"/>
                <w:highlight w:val="none"/>
                <w:lang w:eastAsia="zh-CN"/>
              </w:rPr>
              <w:t>具有中式烹调师(二级及以上)资格证书的得</w:t>
            </w:r>
            <w:r>
              <w:rPr>
                <w:rFonts w:hint="eastAsia" w:ascii="宋体" w:hAnsi="宋体" w:eastAsia="宋体" w:cs="宋体"/>
                <w:b w:val="0"/>
                <w:bCs/>
                <w:i w:val="0"/>
                <w:iCs w:val="0"/>
                <w:color w:val="auto"/>
                <w:sz w:val="21"/>
                <w:szCs w:val="21"/>
                <w:highlight w:val="none"/>
                <w:lang w:val="en-US" w:eastAsia="zh-CN"/>
              </w:rPr>
              <w:t>2</w:t>
            </w:r>
            <w:r>
              <w:rPr>
                <w:rFonts w:hint="eastAsia" w:ascii="宋体" w:hAnsi="宋体" w:eastAsia="宋体" w:cs="宋体"/>
                <w:b w:val="0"/>
                <w:bCs/>
                <w:i w:val="0"/>
                <w:iCs w:val="0"/>
                <w:color w:val="auto"/>
                <w:sz w:val="21"/>
                <w:szCs w:val="21"/>
                <w:highlight w:val="none"/>
                <w:lang w:eastAsia="zh-CN"/>
              </w:rPr>
              <w:t>分</w:t>
            </w:r>
            <w:r>
              <w:rPr>
                <w:rFonts w:hint="eastAsia" w:ascii="宋体" w:hAnsi="宋体" w:eastAsia="宋体" w:cs="宋体"/>
                <w:b w:val="0"/>
                <w:bCs/>
                <w:i w:val="0"/>
                <w:iCs w:val="0"/>
                <w:color w:val="auto"/>
                <w:kern w:val="2"/>
                <w:sz w:val="21"/>
                <w:szCs w:val="21"/>
                <w:highlight w:val="none"/>
                <w:lang w:val="en-US" w:eastAsia="zh-CN" w:bidi="ar-SA"/>
              </w:rPr>
              <w:t>，</w:t>
            </w:r>
            <w:r>
              <w:rPr>
                <w:rFonts w:hint="eastAsia" w:ascii="宋体" w:hAnsi="宋体" w:eastAsia="宋体" w:cs="宋体"/>
                <w:b w:val="0"/>
                <w:bCs/>
                <w:i w:val="0"/>
                <w:iCs w:val="0"/>
                <w:color w:val="auto"/>
                <w:sz w:val="21"/>
                <w:szCs w:val="21"/>
                <w:highlight w:val="none"/>
                <w:lang w:val="en-US" w:eastAsia="zh-CN"/>
              </w:rPr>
              <w:t>本小项满分2分</w:t>
            </w:r>
            <w:r>
              <w:rPr>
                <w:rFonts w:hint="eastAsia" w:ascii="宋体" w:hAnsi="宋体" w:eastAsia="宋体" w:cs="宋体"/>
                <w:color w:val="auto"/>
                <w:sz w:val="21"/>
                <w:szCs w:val="21"/>
                <w:highlight w:val="none"/>
                <w:lang w:eastAsia="zh-CN"/>
              </w:rPr>
              <w:t>；</w:t>
            </w:r>
          </w:p>
          <w:p w14:paraId="7AEDDBD1">
            <w:pPr>
              <w:pStyle w:val="130"/>
              <w:keepNext w:val="0"/>
              <w:keepLines w:val="0"/>
              <w:widowControl/>
              <w:suppressLineNumbers w:val="0"/>
              <w:tabs>
                <w:tab w:val="left" w:pos="1800"/>
                <w:tab w:val="left" w:pos="2340"/>
                <w:tab w:val="left" w:pos="2700"/>
              </w:tabs>
              <w:adjustRightInd w:val="0"/>
              <w:snapToGrid w:val="0"/>
              <w:spacing w:before="0" w:beforeAutospacing="0" w:after="0" w:afterAutospacing="0" w:line="440" w:lineRule="exact"/>
              <w:ind w:left="0" w:right="0"/>
              <w:jc w:val="lef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w:t>
            </w:r>
            <w:r>
              <w:rPr>
                <w:rFonts w:hint="eastAsia" w:ascii="宋体" w:hAnsi="宋体" w:cs="宋体"/>
                <w:b/>
                <w:bCs/>
                <w:color w:val="auto"/>
                <w:sz w:val="21"/>
                <w:szCs w:val="21"/>
                <w:highlight w:val="none"/>
                <w:lang w:val="en-US" w:eastAsia="zh-CN"/>
              </w:rPr>
              <w:t>3</w:t>
            </w:r>
            <w:r>
              <w:rPr>
                <w:rFonts w:hint="eastAsia" w:ascii="宋体" w:hAnsi="宋体" w:cs="宋体"/>
                <w:b/>
                <w:bCs/>
                <w:color w:val="auto"/>
                <w:sz w:val="21"/>
                <w:szCs w:val="21"/>
                <w:highlight w:val="none"/>
              </w:rPr>
              <w:t>)其他人员配备：</w:t>
            </w:r>
          </w:p>
          <w:p w14:paraId="30F7E032">
            <w:pPr>
              <w:keepNext w:val="0"/>
              <w:keepLines w:val="0"/>
              <w:pageBreakBefore w:val="0"/>
              <w:suppressLineNumbers w:val="0"/>
              <w:kinsoku/>
              <w:wordWrap w:val="0"/>
              <w:overflowPunct/>
              <w:topLinePunct w:val="0"/>
              <w:autoSpaceDE/>
              <w:autoSpaceDN/>
              <w:bidi w:val="0"/>
              <w:spacing w:before="0" w:beforeAutospacing="0" w:after="0" w:afterAutospacing="0" w:line="480" w:lineRule="exact"/>
              <w:ind w:left="0" w:right="0" w:rightChars="0" w:firstLine="420" w:firstLineChars="200"/>
              <w:jc w:val="left"/>
              <w:textAlignment w:val="auto"/>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b w:val="0"/>
                <w:bCs/>
                <w:i w:val="0"/>
                <w:iCs w:val="0"/>
                <w:color w:val="auto"/>
                <w:sz w:val="21"/>
                <w:szCs w:val="21"/>
                <w:highlight w:val="none"/>
                <w:lang w:val="en-US" w:eastAsia="zh-CN"/>
              </w:rPr>
              <w:t>1）</w:t>
            </w:r>
            <w:r>
              <w:rPr>
                <w:rFonts w:hint="eastAsia" w:ascii="宋体" w:hAnsi="宋体" w:eastAsia="宋体" w:cs="宋体"/>
                <w:b/>
                <w:i w:val="0"/>
                <w:iCs w:val="0"/>
                <w:color w:val="auto"/>
                <w:sz w:val="21"/>
                <w:szCs w:val="21"/>
                <w:highlight w:val="none"/>
                <w:lang w:val="en-US" w:eastAsia="zh-CN"/>
              </w:rPr>
              <w:t>食品安全总监</w:t>
            </w:r>
            <w:r>
              <w:rPr>
                <w:rFonts w:hint="eastAsia" w:ascii="宋体" w:hAnsi="宋体" w:eastAsia="宋体" w:cs="宋体"/>
                <w:b/>
                <w:i w:val="0"/>
                <w:iCs w:val="0"/>
                <w:color w:val="auto"/>
                <w:sz w:val="21"/>
                <w:szCs w:val="21"/>
                <w:highlight w:val="none"/>
              </w:rPr>
              <w:t>（1名）</w:t>
            </w:r>
            <w:r>
              <w:rPr>
                <w:rFonts w:hint="eastAsia" w:ascii="宋体" w:hAnsi="宋体" w:eastAsia="宋体" w:cs="宋体"/>
                <w:b/>
                <w:i w:val="0"/>
                <w:iCs w:val="0"/>
                <w:color w:val="auto"/>
                <w:sz w:val="21"/>
                <w:szCs w:val="21"/>
                <w:highlight w:val="none"/>
                <w:lang w:eastAsia="zh-CN"/>
              </w:rPr>
              <w:t>：</w:t>
            </w:r>
            <w:r>
              <w:rPr>
                <w:rFonts w:hint="eastAsia" w:ascii="宋体" w:hAnsi="宋体" w:eastAsia="宋体" w:cs="宋体"/>
                <w:b w:val="0"/>
                <w:bCs/>
                <w:i w:val="0"/>
                <w:iCs w:val="0"/>
                <w:color w:val="auto"/>
                <w:sz w:val="21"/>
                <w:szCs w:val="21"/>
                <w:highlight w:val="none"/>
                <w:lang w:eastAsia="zh-CN"/>
              </w:rPr>
              <w:t>具有食品安全管理员或食品安全管理师或食品安全总监的得</w:t>
            </w:r>
            <w:r>
              <w:rPr>
                <w:rFonts w:hint="eastAsia" w:ascii="宋体" w:hAnsi="宋体" w:eastAsia="宋体" w:cs="宋体"/>
                <w:b w:val="0"/>
                <w:bCs/>
                <w:i w:val="0"/>
                <w:iCs w:val="0"/>
                <w:color w:val="auto"/>
                <w:sz w:val="21"/>
                <w:szCs w:val="21"/>
                <w:highlight w:val="none"/>
                <w:lang w:val="en-US" w:eastAsia="zh-CN"/>
              </w:rPr>
              <w:t>2</w:t>
            </w:r>
            <w:r>
              <w:rPr>
                <w:rFonts w:hint="eastAsia" w:ascii="宋体" w:hAnsi="宋体" w:eastAsia="宋体" w:cs="宋体"/>
                <w:b w:val="0"/>
                <w:bCs/>
                <w:i w:val="0"/>
                <w:iCs w:val="0"/>
                <w:color w:val="auto"/>
                <w:sz w:val="21"/>
                <w:szCs w:val="21"/>
                <w:highlight w:val="none"/>
                <w:lang w:eastAsia="zh-CN"/>
              </w:rPr>
              <w:t>分</w:t>
            </w:r>
            <w:r>
              <w:rPr>
                <w:rFonts w:hint="eastAsia" w:ascii="宋体" w:hAnsi="宋体" w:eastAsia="宋体" w:cs="宋体"/>
                <w:b w:val="0"/>
                <w:bCs/>
                <w:i w:val="0"/>
                <w:iCs w:val="0"/>
                <w:color w:val="auto"/>
                <w:kern w:val="2"/>
                <w:sz w:val="21"/>
                <w:szCs w:val="21"/>
                <w:highlight w:val="none"/>
                <w:lang w:val="en-US" w:eastAsia="zh-CN" w:bidi="ar-SA"/>
              </w:rPr>
              <w:t>，</w:t>
            </w:r>
            <w:r>
              <w:rPr>
                <w:rFonts w:hint="eastAsia" w:ascii="宋体" w:hAnsi="宋体" w:eastAsia="宋体" w:cs="宋体"/>
                <w:b w:val="0"/>
                <w:bCs/>
                <w:i w:val="0"/>
                <w:iCs w:val="0"/>
                <w:color w:val="auto"/>
                <w:sz w:val="21"/>
                <w:szCs w:val="21"/>
                <w:highlight w:val="none"/>
                <w:lang w:val="en-US" w:eastAsia="zh-CN"/>
              </w:rPr>
              <w:t>本小项满分2分</w:t>
            </w:r>
            <w:r>
              <w:rPr>
                <w:rFonts w:hint="eastAsia" w:ascii="宋体" w:hAnsi="宋体" w:eastAsia="宋体" w:cs="宋体"/>
                <w:b w:val="0"/>
                <w:bCs/>
                <w:i w:val="0"/>
                <w:iCs w:val="0"/>
                <w:color w:val="auto"/>
                <w:sz w:val="21"/>
                <w:szCs w:val="21"/>
                <w:highlight w:val="none"/>
                <w:u w:val="none"/>
                <w:lang w:val="en-US" w:eastAsia="zh-CN"/>
              </w:rPr>
              <w:t>。</w:t>
            </w:r>
          </w:p>
          <w:p w14:paraId="1BF94344">
            <w:pPr>
              <w:keepNext w:val="0"/>
              <w:keepLines w:val="0"/>
              <w:pageBreakBefore w:val="0"/>
              <w:suppressLineNumbers w:val="0"/>
              <w:kinsoku/>
              <w:wordWrap w:val="0"/>
              <w:overflowPunct/>
              <w:topLinePunct w:val="0"/>
              <w:autoSpaceDE/>
              <w:autoSpaceDN/>
              <w:bidi w:val="0"/>
              <w:spacing w:before="0" w:beforeAutospacing="0" w:after="0" w:afterAutospacing="0" w:line="480" w:lineRule="exact"/>
              <w:ind w:left="0" w:right="0" w:rightChars="0" w:firstLine="422" w:firstLineChars="200"/>
              <w:jc w:val="left"/>
              <w:textAlignment w:val="auto"/>
              <w:rPr>
                <w:rFonts w:hint="default" w:ascii="宋体" w:hAnsi="宋体" w:eastAsia="宋体" w:cs="宋体"/>
                <w:b w:val="0"/>
                <w:bCs/>
                <w:i w:val="0"/>
                <w:iCs w:val="0"/>
                <w:color w:val="auto"/>
                <w:sz w:val="21"/>
                <w:szCs w:val="21"/>
                <w:highlight w:val="none"/>
                <w:lang w:val="en-US" w:eastAsia="zh-CN"/>
              </w:rPr>
            </w:pPr>
            <w:r>
              <w:rPr>
                <w:rFonts w:hint="eastAsia" w:ascii="宋体" w:hAnsi="宋体" w:eastAsia="宋体" w:cs="宋体"/>
                <w:b/>
                <w:bCs w:val="0"/>
                <w:i w:val="0"/>
                <w:iCs w:val="0"/>
                <w:color w:val="auto"/>
                <w:sz w:val="21"/>
                <w:szCs w:val="21"/>
                <w:highlight w:val="none"/>
                <w:lang w:val="en-US" w:eastAsia="zh-CN"/>
              </w:rPr>
              <w:t>2）除项目经理、厨师长、食品安全总监外，具有下列证书的：</w:t>
            </w:r>
          </w:p>
          <w:p w14:paraId="4162D6C2">
            <w:pPr>
              <w:keepNext w:val="0"/>
              <w:keepLines w:val="0"/>
              <w:pageBreakBefore w:val="0"/>
              <w:suppressLineNumbers w:val="0"/>
              <w:kinsoku/>
              <w:wordWrap w:val="0"/>
              <w:overflowPunct/>
              <w:topLinePunct w:val="0"/>
              <w:autoSpaceDE/>
              <w:autoSpaceDN/>
              <w:bidi w:val="0"/>
              <w:spacing w:before="0" w:beforeAutospacing="0" w:after="0" w:afterAutospacing="0" w:line="480" w:lineRule="exact"/>
              <w:ind w:left="0" w:right="0" w:rightChars="0" w:firstLine="420" w:firstLineChars="200"/>
              <w:jc w:val="left"/>
              <w:textAlignment w:val="auto"/>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①</w:t>
            </w:r>
            <w:r>
              <w:rPr>
                <w:rFonts w:hint="eastAsia" w:ascii="宋体" w:hAnsi="宋体" w:eastAsia="宋体" w:cs="宋体"/>
                <w:b w:val="0"/>
                <w:bCs/>
                <w:i w:val="0"/>
                <w:iCs w:val="0"/>
                <w:color w:val="auto"/>
                <w:sz w:val="21"/>
                <w:szCs w:val="21"/>
                <w:highlight w:val="none"/>
                <w:lang w:val="en-US" w:eastAsia="zh-CN"/>
              </w:rPr>
              <w:t>具有公共营养师三级及以上的得1分，本小项满分1分；</w:t>
            </w:r>
          </w:p>
          <w:p w14:paraId="3EA77CEE">
            <w:pPr>
              <w:keepNext w:val="0"/>
              <w:keepLines w:val="0"/>
              <w:pageBreakBefore w:val="0"/>
              <w:suppressLineNumbers w:val="0"/>
              <w:kinsoku/>
              <w:wordWrap w:val="0"/>
              <w:overflowPunct/>
              <w:topLinePunct w:val="0"/>
              <w:autoSpaceDE/>
              <w:autoSpaceDN/>
              <w:bidi w:val="0"/>
              <w:spacing w:before="0" w:beforeAutospacing="0" w:after="0" w:afterAutospacing="0" w:line="480" w:lineRule="exact"/>
              <w:ind w:left="0" w:right="0" w:rightChars="0" w:firstLine="420" w:firstLineChars="200"/>
              <w:jc w:val="left"/>
              <w:textAlignment w:val="auto"/>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②</w:t>
            </w:r>
            <w:r>
              <w:rPr>
                <w:rFonts w:hint="eastAsia" w:ascii="宋体" w:hAnsi="宋体" w:eastAsia="宋体" w:cs="宋体"/>
                <w:b w:val="0"/>
                <w:bCs/>
                <w:i w:val="0"/>
                <w:iCs w:val="0"/>
                <w:color w:val="auto"/>
                <w:sz w:val="21"/>
                <w:szCs w:val="21"/>
                <w:highlight w:val="none"/>
                <w:lang w:val="en-US" w:eastAsia="zh-CN"/>
              </w:rPr>
              <w:t>具有国家二级及以上中式面点师的得1分，本小项满分2分；</w:t>
            </w:r>
          </w:p>
          <w:p w14:paraId="12E5B022">
            <w:pPr>
              <w:keepNext w:val="0"/>
              <w:keepLines w:val="0"/>
              <w:pageBreakBefore w:val="0"/>
              <w:suppressLineNumbers w:val="0"/>
              <w:kinsoku/>
              <w:wordWrap w:val="0"/>
              <w:overflowPunct/>
              <w:topLinePunct w:val="0"/>
              <w:autoSpaceDE/>
              <w:autoSpaceDN/>
              <w:bidi w:val="0"/>
              <w:spacing w:before="0" w:beforeAutospacing="0" w:after="0" w:afterAutospacing="0" w:line="480" w:lineRule="exact"/>
              <w:ind w:left="0" w:right="0" w:rightChars="0" w:firstLine="420" w:firstLineChars="200"/>
              <w:jc w:val="left"/>
              <w:textAlignment w:val="auto"/>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③</w:t>
            </w:r>
            <w:r>
              <w:rPr>
                <w:rFonts w:hint="eastAsia" w:ascii="宋体" w:hAnsi="宋体" w:eastAsia="宋体" w:cs="宋体"/>
                <w:b w:val="0"/>
                <w:bCs/>
                <w:i w:val="0"/>
                <w:iCs w:val="0"/>
                <w:color w:val="auto"/>
                <w:sz w:val="21"/>
                <w:szCs w:val="21"/>
                <w:highlight w:val="none"/>
                <w:lang w:val="en-US" w:eastAsia="zh-CN"/>
              </w:rPr>
              <w:t>具有二级及以上中式烹调师的得1分，本小项满分2分；</w:t>
            </w:r>
          </w:p>
          <w:p w14:paraId="6DDAC76F">
            <w:pPr>
              <w:keepNext w:val="0"/>
              <w:keepLines w:val="0"/>
              <w:pageBreakBefore w:val="0"/>
              <w:suppressLineNumbers w:val="0"/>
              <w:kinsoku/>
              <w:wordWrap w:val="0"/>
              <w:overflowPunct/>
              <w:topLinePunct w:val="0"/>
              <w:autoSpaceDE/>
              <w:autoSpaceDN/>
              <w:bidi w:val="0"/>
              <w:spacing w:before="0" w:beforeAutospacing="0" w:after="0" w:afterAutospacing="0" w:line="480" w:lineRule="exact"/>
              <w:ind w:left="0" w:right="0" w:rightChars="0" w:firstLine="420" w:firstLineChars="200"/>
              <w:jc w:val="left"/>
              <w:textAlignment w:val="auto"/>
              <w:rPr>
                <w:rFonts w:hint="eastAsia" w:ascii="宋体" w:hAnsi="宋体" w:eastAsia="宋体" w:cs="宋体"/>
                <w:b w:val="0"/>
                <w:bCs/>
                <w:i w:val="0"/>
                <w:i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④</w:t>
            </w:r>
            <w:r>
              <w:rPr>
                <w:rFonts w:hint="eastAsia" w:ascii="宋体" w:hAnsi="宋体" w:eastAsia="宋体" w:cs="宋体"/>
                <w:b w:val="0"/>
                <w:bCs/>
                <w:i w:val="0"/>
                <w:iCs w:val="0"/>
                <w:color w:val="auto"/>
                <w:sz w:val="21"/>
                <w:szCs w:val="21"/>
                <w:highlight w:val="none"/>
                <w:lang w:val="en-US" w:eastAsia="zh-CN"/>
              </w:rPr>
              <w:t>具有食品安全管理员（或食品安全管理师）的得1分，本小项满分1分；</w:t>
            </w:r>
          </w:p>
          <w:p w14:paraId="3DC3CB51">
            <w:pPr>
              <w:keepNext w:val="0"/>
              <w:keepLines w:val="0"/>
              <w:pageBreakBefore w:val="0"/>
              <w:suppressLineNumbers w:val="0"/>
              <w:kinsoku/>
              <w:wordWrap w:val="0"/>
              <w:overflowPunct/>
              <w:topLinePunct w:val="0"/>
              <w:autoSpaceDE/>
              <w:autoSpaceDN/>
              <w:bidi w:val="0"/>
              <w:spacing w:before="0" w:beforeAutospacing="0" w:after="0" w:afterAutospacing="0" w:line="480" w:lineRule="exact"/>
              <w:ind w:left="0" w:right="0" w:rightChars="0" w:firstLine="420" w:firstLineChars="200"/>
              <w:jc w:val="left"/>
              <w:textAlignment w:val="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eastAsia="zh-CN"/>
              </w:rPr>
              <w:t>⑤</w:t>
            </w:r>
            <w:r>
              <w:rPr>
                <w:rFonts w:hint="eastAsia" w:ascii="宋体" w:hAnsi="宋体" w:eastAsia="宋体" w:cs="宋体"/>
                <w:b w:val="0"/>
                <w:bCs/>
                <w:i w:val="0"/>
                <w:iCs w:val="0"/>
                <w:color w:val="auto"/>
                <w:sz w:val="21"/>
                <w:szCs w:val="21"/>
                <w:highlight w:val="none"/>
                <w:lang w:val="en-US" w:eastAsia="zh-CN"/>
              </w:rPr>
              <w:t>财务管理员具有中级会计职称或高级会计师或注册会计师证书，得2分，本小项满分2分。</w:t>
            </w:r>
          </w:p>
          <w:p w14:paraId="19D8AB40">
            <w:pPr>
              <w:pStyle w:val="130"/>
              <w:keepNext w:val="0"/>
              <w:keepLines w:val="0"/>
              <w:widowControl/>
              <w:suppressLineNumbers w:val="0"/>
              <w:tabs>
                <w:tab w:val="left" w:pos="1800"/>
                <w:tab w:val="left" w:pos="2340"/>
                <w:tab w:val="left" w:pos="2700"/>
              </w:tabs>
              <w:adjustRightInd w:val="0"/>
              <w:snapToGrid w:val="0"/>
              <w:spacing w:before="0" w:beforeAutospacing="0" w:after="0" w:afterAutospacing="0" w:line="440" w:lineRule="exact"/>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备注：</w:t>
            </w:r>
            <w:r>
              <w:rPr>
                <w:rFonts w:hint="eastAsia" w:ascii="宋体" w:hAnsi="宋体" w:cs="宋体"/>
                <w:color w:val="auto"/>
                <w:sz w:val="21"/>
                <w:szCs w:val="21"/>
                <w:highlight w:val="none"/>
                <w:lang w:eastAsia="zh-CN"/>
              </w:rPr>
              <w:t>投</w:t>
            </w:r>
            <w:r>
              <w:rPr>
                <w:rFonts w:hint="eastAsia" w:ascii="宋体" w:hAnsi="宋体" w:eastAsia="宋体" w:cs="宋体"/>
                <w:color w:val="auto"/>
                <w:sz w:val="21"/>
                <w:szCs w:val="21"/>
                <w:highlight w:val="none"/>
              </w:rPr>
              <w:t xml:space="preserve">标文件中同时提供以下证明材料： </w:t>
            </w:r>
          </w:p>
          <w:p w14:paraId="39E60BE6">
            <w:pPr>
              <w:pStyle w:val="130"/>
              <w:keepNext w:val="0"/>
              <w:keepLines w:val="0"/>
              <w:widowControl/>
              <w:numPr>
                <w:ilvl w:val="0"/>
                <w:numId w:val="0"/>
              </w:numPr>
              <w:suppressLineNumbers w:val="0"/>
              <w:tabs>
                <w:tab w:val="left" w:pos="1800"/>
                <w:tab w:val="left" w:pos="2340"/>
                <w:tab w:val="left" w:pos="2700"/>
              </w:tabs>
              <w:adjustRightInd w:val="0"/>
              <w:snapToGrid w:val="0"/>
              <w:spacing w:before="0" w:beforeAutospacing="0" w:after="0" w:afterAutospacing="0" w:line="440" w:lineRule="exact"/>
              <w:ind w:left="0" w:leftChars="0" w:right="0"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①</w:t>
            </w:r>
            <w:r>
              <w:rPr>
                <w:rFonts w:hint="eastAsia" w:ascii="宋体" w:hAnsi="宋体" w:eastAsia="宋体" w:cs="宋体"/>
                <w:color w:val="auto"/>
                <w:sz w:val="21"/>
                <w:szCs w:val="21"/>
                <w:highlight w:val="none"/>
              </w:rPr>
              <w:t>上述人员名单（格式自拟）</w:t>
            </w:r>
            <w:r>
              <w:rPr>
                <w:rFonts w:hint="eastAsia" w:ascii="宋体" w:hAnsi="宋体" w:eastAsia="宋体" w:cs="宋体"/>
                <w:color w:val="auto"/>
                <w:sz w:val="21"/>
                <w:szCs w:val="21"/>
                <w:highlight w:val="none"/>
                <w:lang w:eastAsia="zh-CN"/>
              </w:rPr>
              <w:t>；</w:t>
            </w:r>
          </w:p>
          <w:p w14:paraId="02B30F76">
            <w:pPr>
              <w:pStyle w:val="130"/>
              <w:keepNext w:val="0"/>
              <w:keepLines w:val="0"/>
              <w:widowControl/>
              <w:numPr>
                <w:ilvl w:val="0"/>
                <w:numId w:val="0"/>
              </w:numPr>
              <w:suppressLineNumbers w:val="0"/>
              <w:tabs>
                <w:tab w:val="left" w:pos="1800"/>
                <w:tab w:val="left" w:pos="2340"/>
                <w:tab w:val="left" w:pos="2700"/>
              </w:tabs>
              <w:adjustRightInd w:val="0"/>
              <w:snapToGrid w:val="0"/>
              <w:spacing w:before="0" w:beforeAutospacing="0" w:after="0" w:afterAutospacing="0" w:line="440" w:lineRule="exact"/>
              <w:ind w:left="0" w:leftChars="0" w:right="0"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②</w:t>
            </w:r>
            <w:r>
              <w:rPr>
                <w:rFonts w:hint="eastAsia" w:ascii="宋体" w:hAnsi="宋体" w:eastAsia="宋体" w:cs="宋体"/>
                <w:color w:val="auto"/>
                <w:sz w:val="21"/>
                <w:szCs w:val="21"/>
                <w:highlight w:val="none"/>
              </w:rPr>
              <w:t>上述人员有效身份证（含正反页）和相关证书（或证明材料）扫描件</w:t>
            </w:r>
            <w:r>
              <w:rPr>
                <w:rFonts w:hint="eastAsia" w:ascii="宋体" w:hAnsi="宋体" w:eastAsia="宋体" w:cs="宋体"/>
                <w:color w:val="auto"/>
                <w:sz w:val="21"/>
                <w:szCs w:val="21"/>
                <w:highlight w:val="none"/>
                <w:lang w:eastAsia="zh-CN"/>
              </w:rPr>
              <w:t>；</w:t>
            </w:r>
          </w:p>
          <w:p w14:paraId="0D238176">
            <w:pPr>
              <w:pStyle w:val="130"/>
              <w:keepNext w:val="0"/>
              <w:keepLines w:val="0"/>
              <w:widowControl/>
              <w:numPr>
                <w:ilvl w:val="0"/>
                <w:numId w:val="0"/>
              </w:numPr>
              <w:suppressLineNumbers w:val="0"/>
              <w:tabs>
                <w:tab w:val="left" w:pos="1800"/>
                <w:tab w:val="left" w:pos="2340"/>
                <w:tab w:val="left" w:pos="2700"/>
              </w:tabs>
              <w:adjustRightInd w:val="0"/>
              <w:snapToGrid w:val="0"/>
              <w:spacing w:before="0" w:beforeAutospacing="0" w:after="0" w:afterAutospacing="0" w:line="440" w:lineRule="exact"/>
              <w:ind w:left="0" w:leftChars="0" w:right="0" w:firstLine="420" w:firstLineChars="200"/>
              <w:jc w:val="left"/>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③</w:t>
            </w:r>
            <w:r>
              <w:rPr>
                <w:rFonts w:hint="eastAsia" w:ascii="宋体" w:hAnsi="宋体" w:eastAsia="宋体" w:cs="宋体"/>
                <w:color w:val="auto"/>
                <w:kern w:val="2"/>
                <w:sz w:val="21"/>
                <w:szCs w:val="21"/>
                <w:highlight w:val="none"/>
                <w:u w:val="none"/>
                <w:lang w:val="en-US" w:eastAsia="zh-CN" w:bidi="ar-SA"/>
              </w:rPr>
              <w:t>上述人员均要求提供劳动合同、社保部门出具的本单位为其缴纳的投标前近3个月内任意1个月的养老保险证明（含官网在线打印件，证明文件两个月内有效）；</w:t>
            </w:r>
          </w:p>
          <w:p w14:paraId="5563A1E7">
            <w:pPr>
              <w:pStyle w:val="130"/>
              <w:keepNext w:val="0"/>
              <w:keepLines w:val="0"/>
              <w:widowControl/>
              <w:numPr>
                <w:ilvl w:val="0"/>
                <w:numId w:val="0"/>
              </w:numPr>
              <w:suppressLineNumbers w:val="0"/>
              <w:tabs>
                <w:tab w:val="left" w:pos="1800"/>
                <w:tab w:val="left" w:pos="2340"/>
                <w:tab w:val="left" w:pos="2700"/>
              </w:tabs>
              <w:adjustRightInd w:val="0"/>
              <w:snapToGrid w:val="0"/>
              <w:spacing w:before="0" w:beforeAutospacing="0" w:after="0" w:afterAutospacing="0" w:line="440" w:lineRule="exact"/>
              <w:ind w:left="0" w:leftChars="0" w:right="0"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④</w:t>
            </w:r>
            <w:r>
              <w:rPr>
                <w:rFonts w:hint="eastAsia" w:ascii="宋体" w:hAnsi="宋体" w:eastAsia="宋体" w:cs="宋体"/>
                <w:color w:val="auto"/>
                <w:sz w:val="21"/>
                <w:szCs w:val="21"/>
                <w:highlight w:val="none"/>
                <w:lang w:eastAsia="zh-CN"/>
              </w:rPr>
              <w:t>以上人员不得兼任</w:t>
            </w:r>
            <w:r>
              <w:rPr>
                <w:rFonts w:hint="eastAsia" w:ascii="宋体" w:hAnsi="宋体" w:eastAsia="宋体" w:cs="宋体"/>
                <w:color w:val="auto"/>
                <w:sz w:val="21"/>
                <w:szCs w:val="21"/>
                <w:highlight w:val="none"/>
                <w:lang w:val="en-US" w:eastAsia="zh-CN"/>
              </w:rPr>
              <w:t>。</w:t>
            </w:r>
          </w:p>
          <w:p w14:paraId="33B1F606">
            <w:pPr>
              <w:pStyle w:val="130"/>
              <w:keepNext w:val="0"/>
              <w:keepLines w:val="0"/>
              <w:pageBreakBefore w:val="0"/>
              <w:widowControl/>
              <w:numPr>
                <w:ilvl w:val="0"/>
                <w:numId w:val="0"/>
              </w:numPr>
              <w:suppressLineNumbers w:val="0"/>
              <w:tabs>
                <w:tab w:val="left" w:pos="1800"/>
                <w:tab w:val="left" w:pos="2340"/>
                <w:tab w:val="left" w:pos="2700"/>
              </w:tabs>
              <w:kinsoku/>
              <w:wordWrap w:val="0"/>
              <w:overflowPunct/>
              <w:topLinePunct w:val="0"/>
              <w:autoSpaceDE/>
              <w:autoSpaceDN/>
              <w:bidi w:val="0"/>
              <w:adjustRightInd w:val="0"/>
              <w:snapToGrid w:val="0"/>
              <w:spacing w:before="0" w:beforeAutospacing="0" w:after="0" w:afterAutospacing="0" w:line="440" w:lineRule="exact"/>
              <w:ind w:left="0" w:leftChars="0" w:right="0"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厨师证、面点师</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营养师等证书均需提供技能人才全国联网（http://zscx.osta.org.cn/）查询截图</w:t>
            </w:r>
            <w:r>
              <w:rPr>
                <w:rFonts w:hint="eastAsia" w:ascii="宋体" w:hAnsi="宋体" w:eastAsia="宋体" w:cs="宋体"/>
                <w:color w:val="auto"/>
                <w:kern w:val="2"/>
                <w:sz w:val="21"/>
                <w:szCs w:val="21"/>
                <w:highlight w:val="none"/>
                <w:u w:val="none"/>
                <w:lang w:val="en-US" w:eastAsia="zh-CN" w:bidi="ar-SA"/>
              </w:rPr>
              <w:t>，否则不得分</w:t>
            </w:r>
            <w:r>
              <w:rPr>
                <w:rFonts w:hint="eastAsia" w:ascii="宋体" w:hAnsi="宋体" w:eastAsia="宋体" w:cs="宋体"/>
                <w:color w:val="auto"/>
                <w:sz w:val="21"/>
                <w:szCs w:val="21"/>
                <w:highlight w:val="none"/>
                <w:lang w:eastAsia="zh-CN"/>
              </w:rPr>
              <w:t>。</w:t>
            </w:r>
          </w:p>
          <w:p w14:paraId="357441F5">
            <w:pPr>
              <w:keepNext w:val="0"/>
              <w:keepLines w:val="0"/>
              <w:pageBreakBefore w:val="0"/>
              <w:suppressLineNumbers w:val="0"/>
              <w:kinsoku/>
              <w:wordWrap w:val="0"/>
              <w:overflowPunct/>
              <w:topLinePunct w:val="0"/>
              <w:autoSpaceDE/>
              <w:autoSpaceDN/>
              <w:bidi w:val="0"/>
              <w:spacing w:before="0" w:beforeAutospacing="0" w:after="0" w:afterAutospacing="0" w:line="480" w:lineRule="exact"/>
              <w:ind w:left="0" w:right="0" w:rightChars="0" w:firstLine="422" w:firstLineChars="200"/>
              <w:jc w:val="left"/>
              <w:textAlignment w:val="auto"/>
              <w:rPr>
                <w:rFonts w:hint="eastAsia" w:ascii="宋体" w:hAnsi="宋体" w:eastAsia="宋体" w:cs="宋体"/>
                <w:b/>
                <w:bCs/>
                <w:color w:val="auto"/>
                <w:kern w:val="2"/>
                <w:sz w:val="21"/>
                <w:szCs w:val="21"/>
                <w:highlight w:val="none"/>
                <w:u w:val="none"/>
                <w:lang w:val="en-US" w:eastAsia="zh-CN" w:bidi="ar-SA"/>
              </w:rPr>
            </w:pPr>
            <w:r>
              <w:rPr>
                <w:rFonts w:hint="eastAsia" w:ascii="宋体" w:hAnsi="宋体" w:eastAsia="宋体" w:cs="宋体"/>
                <w:b/>
                <w:bCs/>
                <w:color w:val="auto"/>
                <w:kern w:val="2"/>
                <w:sz w:val="21"/>
                <w:szCs w:val="21"/>
                <w:highlight w:val="none"/>
                <w:u w:val="none"/>
                <w:lang w:val="en-US" w:eastAsia="zh-CN" w:bidi="ar-SA"/>
              </w:rPr>
              <w:t>其中厨师长奖项评分下提供以下材料：</w:t>
            </w:r>
          </w:p>
          <w:p w14:paraId="2DFCCD6A">
            <w:pPr>
              <w:pStyle w:val="130"/>
              <w:keepNext w:val="0"/>
              <w:keepLines w:val="0"/>
              <w:widowControl/>
              <w:suppressLineNumbers w:val="0"/>
              <w:tabs>
                <w:tab w:val="left" w:pos="1800"/>
                <w:tab w:val="left" w:pos="2340"/>
                <w:tab w:val="left" w:pos="2700"/>
              </w:tabs>
              <w:adjustRightInd w:val="0"/>
              <w:snapToGrid w:val="0"/>
              <w:spacing w:before="0" w:beforeAutospacing="0" w:after="0" w:afterAutospacing="0" w:line="440" w:lineRule="exact"/>
              <w:ind w:left="0" w:right="0" w:firstLine="420" w:firstLineChars="200"/>
              <w:jc w:val="left"/>
              <w:rPr>
                <w:rFonts w:hint="eastAsia" w:ascii="宋体" w:hAnsi="宋体" w:cs="Times New Roman"/>
                <w:b w:val="0"/>
                <w:bCs w:val="0"/>
                <w:color w:val="auto"/>
                <w:kern w:val="2"/>
                <w:sz w:val="21"/>
                <w:szCs w:val="21"/>
                <w:highlight w:val="none"/>
                <w:lang w:eastAsia="zh-CN"/>
              </w:rPr>
            </w:pPr>
            <w:r>
              <w:rPr>
                <w:rFonts w:hint="eastAsia" w:ascii="宋体" w:hAnsi="宋体" w:cs="Times New Roman"/>
                <w:b w:val="0"/>
                <w:bCs w:val="0"/>
                <w:color w:val="auto"/>
                <w:kern w:val="2"/>
                <w:sz w:val="21"/>
                <w:szCs w:val="21"/>
                <w:highlight w:val="none"/>
              </w:rPr>
              <w:t>投标文件中</w:t>
            </w:r>
            <w:r>
              <w:rPr>
                <w:rFonts w:hint="eastAsia" w:ascii="宋体" w:hAnsi="宋体" w:cs="Times New Roman"/>
                <w:b w:val="0"/>
                <w:bCs w:val="0"/>
                <w:color w:val="auto"/>
                <w:kern w:val="2"/>
                <w:sz w:val="21"/>
                <w:szCs w:val="21"/>
                <w:highlight w:val="none"/>
                <w:lang w:val="en-US" w:eastAsia="zh-CN"/>
              </w:rPr>
              <w:t>同时</w:t>
            </w:r>
            <w:r>
              <w:rPr>
                <w:rFonts w:hint="eastAsia" w:ascii="宋体" w:hAnsi="宋体" w:cs="Times New Roman"/>
                <w:b w:val="0"/>
                <w:bCs w:val="0"/>
                <w:color w:val="auto"/>
                <w:kern w:val="2"/>
                <w:sz w:val="21"/>
                <w:szCs w:val="21"/>
                <w:highlight w:val="none"/>
              </w:rPr>
              <w:t>提供</w:t>
            </w:r>
            <w:r>
              <w:rPr>
                <w:rFonts w:hint="eastAsia" w:ascii="宋体" w:hAnsi="宋体" w:cs="Times New Roman"/>
                <w:b w:val="0"/>
                <w:bCs w:val="0"/>
                <w:color w:val="auto"/>
                <w:kern w:val="2"/>
                <w:sz w:val="21"/>
                <w:szCs w:val="21"/>
                <w:highlight w:val="none"/>
                <w:lang w:eastAsia="zh-CN"/>
              </w:rPr>
              <w:t>获奖证书</w:t>
            </w:r>
            <w:r>
              <w:rPr>
                <w:rFonts w:hint="eastAsia" w:ascii="宋体" w:hAnsi="宋体" w:cs="Times New Roman"/>
                <w:b w:val="0"/>
                <w:bCs w:val="0"/>
                <w:color w:val="auto"/>
                <w:kern w:val="2"/>
                <w:sz w:val="21"/>
                <w:szCs w:val="21"/>
                <w:highlight w:val="none"/>
              </w:rPr>
              <w:t>的扫描件，若</w:t>
            </w:r>
            <w:r>
              <w:rPr>
                <w:rFonts w:hint="eastAsia" w:ascii="宋体" w:hAnsi="宋体" w:cs="Times New Roman"/>
                <w:b w:val="0"/>
                <w:bCs w:val="0"/>
                <w:color w:val="auto"/>
                <w:kern w:val="2"/>
                <w:sz w:val="21"/>
                <w:szCs w:val="21"/>
                <w:highlight w:val="none"/>
                <w:lang w:eastAsia="zh-CN"/>
              </w:rPr>
              <w:t>获奖证书</w:t>
            </w:r>
            <w:r>
              <w:rPr>
                <w:rFonts w:hint="eastAsia" w:ascii="宋体" w:hAnsi="宋体" w:cs="Times New Roman"/>
                <w:b w:val="0"/>
                <w:bCs w:val="0"/>
                <w:color w:val="auto"/>
                <w:kern w:val="2"/>
                <w:sz w:val="21"/>
                <w:szCs w:val="21"/>
                <w:highlight w:val="none"/>
              </w:rPr>
              <w:t>无法体现</w:t>
            </w:r>
            <w:r>
              <w:rPr>
                <w:rFonts w:hint="eastAsia" w:ascii="宋体" w:hAnsi="宋体" w:cs="Times New Roman"/>
                <w:b w:val="0"/>
                <w:bCs w:val="0"/>
                <w:color w:val="auto"/>
                <w:kern w:val="2"/>
                <w:sz w:val="21"/>
                <w:szCs w:val="21"/>
                <w:highlight w:val="none"/>
                <w:lang w:eastAsia="zh-CN"/>
              </w:rPr>
              <w:t>获奖证书</w:t>
            </w:r>
            <w:r>
              <w:rPr>
                <w:rFonts w:hint="eastAsia" w:ascii="宋体" w:hAnsi="宋体" w:cs="宋体"/>
                <w:b w:val="0"/>
                <w:bCs w:val="0"/>
                <w:color w:val="auto"/>
                <w:sz w:val="21"/>
                <w:szCs w:val="21"/>
                <w:highlight w:val="none"/>
              </w:rPr>
              <w:t>时间</w:t>
            </w:r>
            <w:r>
              <w:rPr>
                <w:rFonts w:hint="eastAsia" w:ascii="宋体" w:hAnsi="宋体" w:cs="Times New Roman"/>
                <w:b w:val="0"/>
                <w:bCs w:val="0"/>
                <w:color w:val="auto"/>
                <w:kern w:val="2"/>
                <w:sz w:val="21"/>
                <w:szCs w:val="21"/>
                <w:highlight w:val="none"/>
              </w:rPr>
              <w:t>、内容等关键评审因素的，须另附</w:t>
            </w:r>
            <w:r>
              <w:rPr>
                <w:rFonts w:hint="eastAsia" w:ascii="宋体" w:hAnsi="宋体" w:cs="Times New Roman"/>
                <w:b w:val="0"/>
                <w:bCs w:val="0"/>
                <w:color w:val="auto"/>
                <w:kern w:val="2"/>
                <w:sz w:val="21"/>
                <w:szCs w:val="21"/>
                <w:highlight w:val="none"/>
                <w:lang w:eastAsia="zh-CN"/>
              </w:rPr>
              <w:t>相关网站查询截图证明；</w:t>
            </w:r>
          </w:p>
          <w:p w14:paraId="648E766C">
            <w:pPr>
              <w:pStyle w:val="130"/>
              <w:keepNext w:val="0"/>
              <w:keepLines w:val="0"/>
              <w:widowControl/>
              <w:suppressLineNumbers w:val="0"/>
              <w:tabs>
                <w:tab w:val="left" w:pos="1800"/>
                <w:tab w:val="left" w:pos="2340"/>
                <w:tab w:val="left" w:pos="2700"/>
              </w:tabs>
              <w:adjustRightInd w:val="0"/>
              <w:snapToGrid w:val="0"/>
              <w:spacing w:before="0" w:beforeAutospacing="0" w:after="0" w:afterAutospacing="0" w:line="440" w:lineRule="exact"/>
              <w:ind w:left="0" w:right="0" w:firstLine="420" w:firstLineChars="200"/>
              <w:jc w:val="left"/>
              <w:rPr>
                <w:rFonts w:hint="default" w:ascii="宋体" w:hAnsi="宋体" w:cs="宋体"/>
                <w:color w:val="auto"/>
                <w:sz w:val="21"/>
                <w:szCs w:val="21"/>
                <w:highlight w:val="none"/>
                <w:lang w:val="en-US" w:eastAsia="zh-CN"/>
              </w:rPr>
            </w:pPr>
            <w:r>
              <w:rPr>
                <w:rFonts w:hint="eastAsia" w:ascii="宋体" w:hAnsi="宋体" w:cs="Times New Roman"/>
                <w:b w:val="0"/>
                <w:bCs w:val="0"/>
                <w:color w:val="auto"/>
                <w:kern w:val="2"/>
                <w:sz w:val="21"/>
                <w:szCs w:val="21"/>
                <w:highlight w:val="none"/>
                <w:lang w:eastAsia="zh-CN"/>
              </w:rPr>
              <w:t>针对国内依法登记注册的行业协会颁发的奖项，投标文件中须提供提供该协会在中国社会组织政务服务平台中“全国社会组织信用信息公示平台（试运行）”查询结果截图；民政部公布的“离岸社团”、“山寨社团”或中国社会组织政务服务平台中“全国社会组织信用信息公示平台（试运行）”公示的“涉嫌非法社会组织”颁发的奖项均无效</w:t>
            </w:r>
            <w:r>
              <w:rPr>
                <w:rFonts w:hint="eastAsia" w:ascii="宋体" w:hAnsi="宋体" w:cs="Times New Roman"/>
                <w:b w:val="0"/>
                <w:bCs w:val="0"/>
                <w:color w:val="auto"/>
                <w:kern w:val="2"/>
                <w:sz w:val="21"/>
                <w:szCs w:val="21"/>
                <w:highlight w:val="none"/>
              </w:rPr>
              <w:t>。</w:t>
            </w:r>
          </w:p>
        </w:tc>
      </w:tr>
      <w:tr w14:paraId="3D049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752" w:type="dxa"/>
            <w:noWrap/>
            <w:vAlign w:val="center"/>
          </w:tcPr>
          <w:p w14:paraId="7EF0B8DE">
            <w:pPr>
              <w:keepNext w:val="0"/>
              <w:keepLines w:val="0"/>
              <w:suppressLineNumbers w:val="0"/>
              <w:spacing w:before="0" w:beforeAutospacing="0" w:after="0" w:afterAutospacing="0" w:line="440" w:lineRule="exact"/>
              <w:ind w:left="0" w:right="0"/>
              <w:jc w:val="cente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4</w:t>
            </w:r>
          </w:p>
        </w:tc>
        <w:tc>
          <w:tcPr>
            <w:tcW w:w="1078" w:type="dxa"/>
            <w:noWrap/>
            <w:vAlign w:val="center"/>
          </w:tcPr>
          <w:p w14:paraId="63C679CF">
            <w:pPr>
              <w:pStyle w:val="131"/>
              <w:keepNext w:val="0"/>
              <w:keepLines w:val="0"/>
              <w:widowControl/>
              <w:suppressLineNumbers w:val="0"/>
              <w:snapToGrid w:val="0"/>
              <w:spacing w:before="0" w:beforeAutospacing="0" w:after="0" w:afterAutospacing="0" w:line="440" w:lineRule="exact"/>
              <w:ind w:left="0" w:right="0"/>
              <w:contextualSpacing/>
              <w:jc w:val="center"/>
              <w:textAlignment w:val="bottom"/>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优惠承诺</w:t>
            </w:r>
          </w:p>
        </w:tc>
        <w:tc>
          <w:tcPr>
            <w:tcW w:w="840" w:type="dxa"/>
            <w:noWrap/>
            <w:vAlign w:val="center"/>
          </w:tcPr>
          <w:p w14:paraId="1F834E5F">
            <w:pPr>
              <w:pStyle w:val="131"/>
              <w:keepNext w:val="0"/>
              <w:keepLines w:val="0"/>
              <w:widowControl/>
              <w:suppressLineNumbers w:val="0"/>
              <w:snapToGrid w:val="0"/>
              <w:spacing w:before="0" w:beforeAutospacing="0" w:after="0" w:afterAutospacing="0" w:line="440" w:lineRule="exact"/>
              <w:ind w:left="0" w:right="0"/>
              <w:contextualSpacing/>
              <w:jc w:val="center"/>
              <w:textAlignment w:val="bottom"/>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0-</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分</w:t>
            </w:r>
          </w:p>
        </w:tc>
        <w:tc>
          <w:tcPr>
            <w:tcW w:w="7217" w:type="dxa"/>
            <w:noWrap/>
            <w:vAlign w:val="center"/>
          </w:tcPr>
          <w:p w14:paraId="4522B2C4">
            <w:pPr>
              <w:pStyle w:val="130"/>
              <w:keepNext w:val="0"/>
              <w:keepLines w:val="0"/>
              <w:widowControl/>
              <w:suppressLineNumbers w:val="0"/>
              <w:tabs>
                <w:tab w:val="left" w:pos="1800"/>
                <w:tab w:val="left" w:pos="2340"/>
                <w:tab w:val="left" w:pos="2700"/>
              </w:tabs>
              <w:adjustRightInd w:val="0"/>
              <w:snapToGrid w:val="0"/>
              <w:spacing w:before="0" w:beforeAutospacing="0" w:after="0" w:afterAutospacing="0" w:line="440" w:lineRule="exact"/>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投标人承诺落实食堂运营公益服务要求，无条件配合校方做好家庭经济困难学生帮扶工作，为家庭经济困难学生提供餐费减免或免费就餐服务，并严格保护受助学生隐私</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lang w:val="en-US" w:eastAsia="zh-CN"/>
              </w:rPr>
              <w:t>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分，满分</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r>
              <w:rPr>
                <w:rFonts w:hint="eastAsia" w:ascii="宋体" w:hAnsi="宋体" w:cs="宋体"/>
                <w:color w:val="auto"/>
                <w:sz w:val="21"/>
                <w:szCs w:val="21"/>
                <w:highlight w:val="none"/>
                <w:lang w:val="en-US" w:eastAsia="zh-CN"/>
              </w:rPr>
              <w:t>；</w:t>
            </w:r>
          </w:p>
          <w:p w14:paraId="18EDBC29">
            <w:pPr>
              <w:pStyle w:val="130"/>
              <w:keepNext w:val="0"/>
              <w:keepLines w:val="0"/>
              <w:widowControl/>
              <w:suppressLineNumbers w:val="0"/>
              <w:tabs>
                <w:tab w:val="left" w:pos="1800"/>
                <w:tab w:val="left" w:pos="2340"/>
                <w:tab w:val="left" w:pos="2700"/>
              </w:tabs>
              <w:adjustRightInd w:val="0"/>
              <w:snapToGrid w:val="0"/>
              <w:spacing w:before="0" w:beforeAutospacing="0" w:after="0" w:afterAutospacing="0" w:line="440" w:lineRule="exact"/>
              <w:ind w:left="0" w:right="0"/>
              <w:jc w:val="left"/>
              <w:rPr>
                <w:rFonts w:hint="default" w:ascii="宋体" w:hAnsi="宋体" w:cs="Times New Roman"/>
                <w:b w:val="0"/>
                <w:bCs w:val="0"/>
                <w:color w:val="auto"/>
                <w:kern w:val="2"/>
                <w:sz w:val="21"/>
                <w:szCs w:val="21"/>
                <w:highlight w:val="none"/>
                <w:lang w:val="en-US" w:eastAsia="zh-CN"/>
              </w:rPr>
            </w:pPr>
            <w:r>
              <w:rPr>
                <w:rFonts w:hint="eastAsia" w:ascii="宋体" w:hAnsi="宋体" w:cs="宋体"/>
                <w:color w:val="auto"/>
                <w:sz w:val="21"/>
                <w:szCs w:val="21"/>
                <w:highlight w:val="none"/>
                <w:lang w:val="en-US" w:eastAsia="zh-CN"/>
              </w:rPr>
              <w:t>投标文件中提供承诺函（格式自拟），承诺函作为后期检验履约标准的依据。</w:t>
            </w:r>
          </w:p>
        </w:tc>
      </w:tr>
    </w:tbl>
    <w:p w14:paraId="01DDB71C">
      <w:pPr>
        <w:spacing w:line="440" w:lineRule="exact"/>
        <w:ind w:right="6"/>
        <w:jc w:val="left"/>
        <w:rPr>
          <w:rFonts w:hint="eastAsia" w:ascii="宋体" w:hAnsi="宋体"/>
          <w:b/>
          <w:bCs/>
          <w:color w:val="auto"/>
          <w:szCs w:val="21"/>
          <w:highlight w:val="none"/>
        </w:rPr>
      </w:pPr>
      <w:r>
        <w:rPr>
          <w:rFonts w:hint="eastAsia" w:ascii="宋体" w:hAnsi="宋体" w:cs="宋体"/>
          <w:color w:val="auto"/>
          <w:kern w:val="0"/>
          <w:szCs w:val="21"/>
          <w:highlight w:val="none"/>
        </w:rPr>
        <w:t>注：该项由专家评委评审打分，以专家评委评分的算术平均值作为投标人的资信最终得分。分值保留两位小数点，第三位四舍五入。</w:t>
      </w:r>
    </w:p>
    <w:p w14:paraId="10D289B4">
      <w:pPr>
        <w:adjustRightInd w:val="0"/>
        <w:snapToGrid w:val="0"/>
        <w:spacing w:line="440" w:lineRule="exact"/>
        <w:ind w:firstLine="422" w:firstLineChars="200"/>
        <w:jc w:val="left"/>
        <w:rPr>
          <w:rFonts w:hint="eastAsia" w:ascii="宋体" w:hAnsi="宋体" w:cs="宋体"/>
          <w:b/>
          <w:bCs/>
          <w:color w:val="auto"/>
          <w:szCs w:val="21"/>
          <w:highlight w:val="none"/>
        </w:rPr>
      </w:pPr>
      <w:r>
        <w:rPr>
          <w:rFonts w:hint="eastAsia" w:ascii="宋体" w:hAnsi="宋体"/>
          <w:b/>
          <w:bCs/>
          <w:color w:val="auto"/>
          <w:szCs w:val="21"/>
          <w:highlight w:val="none"/>
        </w:rPr>
        <w:t>6.2</w:t>
      </w:r>
      <w:r>
        <w:rPr>
          <w:rFonts w:hint="eastAsia" w:ascii="宋体" w:hAnsi="宋体" w:cs="宋体"/>
          <w:b/>
          <w:bCs/>
          <w:color w:val="auto"/>
          <w:szCs w:val="21"/>
          <w:highlight w:val="none"/>
        </w:rPr>
        <w:t>技术标评分细则（</w:t>
      </w:r>
      <w:r>
        <w:rPr>
          <w:rFonts w:hint="eastAsia" w:ascii="宋体" w:hAnsi="宋体" w:cs="宋体"/>
          <w:b/>
          <w:bCs/>
          <w:color w:val="auto"/>
          <w:szCs w:val="21"/>
          <w:highlight w:val="none"/>
          <w:lang w:val="en-US" w:eastAsia="zh-CN"/>
        </w:rPr>
        <w:t>63</w:t>
      </w:r>
      <w:r>
        <w:rPr>
          <w:rFonts w:hint="eastAsia" w:ascii="宋体" w:hAnsi="宋体" w:cs="宋体"/>
          <w:b/>
          <w:bCs/>
          <w:color w:val="auto"/>
          <w:szCs w:val="21"/>
          <w:highlight w:val="none"/>
        </w:rPr>
        <w:t>分）</w:t>
      </w:r>
    </w:p>
    <w:tbl>
      <w:tblPr>
        <w:tblStyle w:val="36"/>
        <w:tblW w:w="9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1230"/>
        <w:gridCol w:w="780"/>
        <w:gridCol w:w="7140"/>
      </w:tblGrid>
      <w:tr w14:paraId="3EE18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81" w:type="dxa"/>
            <w:tcBorders>
              <w:top w:val="single" w:color="auto" w:sz="4" w:space="0"/>
              <w:left w:val="single" w:color="auto" w:sz="4" w:space="0"/>
              <w:bottom w:val="single" w:color="auto" w:sz="4" w:space="0"/>
              <w:right w:val="single" w:color="auto" w:sz="4" w:space="0"/>
            </w:tcBorders>
            <w:noWrap w:val="0"/>
            <w:vAlign w:val="center"/>
          </w:tcPr>
          <w:p w14:paraId="05E68C2A">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default" w:ascii="宋体" w:hAnsi="宋体" w:cs="宋体"/>
                <w:color w:val="auto"/>
                <w:szCs w:val="21"/>
                <w:highlight w:val="none"/>
              </w:rPr>
              <w:t>序号</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677F6029">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default" w:ascii="宋体" w:hAnsi="宋体" w:cs="宋体"/>
                <w:color w:val="auto"/>
                <w:szCs w:val="21"/>
                <w:highlight w:val="none"/>
              </w:rPr>
              <w:t>评分因素</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40F657A7">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default" w:ascii="宋体" w:hAnsi="宋体" w:cs="宋体"/>
                <w:color w:val="auto"/>
                <w:szCs w:val="21"/>
                <w:highlight w:val="none"/>
              </w:rPr>
              <w:t>分值</w:t>
            </w:r>
          </w:p>
        </w:tc>
        <w:tc>
          <w:tcPr>
            <w:tcW w:w="7140" w:type="dxa"/>
            <w:tcBorders>
              <w:top w:val="single" w:color="auto" w:sz="4" w:space="0"/>
              <w:left w:val="single" w:color="auto" w:sz="4" w:space="0"/>
              <w:bottom w:val="single" w:color="auto" w:sz="4" w:space="0"/>
              <w:right w:val="single" w:color="auto" w:sz="4" w:space="0"/>
            </w:tcBorders>
            <w:noWrap w:val="0"/>
            <w:vAlign w:val="center"/>
          </w:tcPr>
          <w:p w14:paraId="28ABEAA5">
            <w:pPr>
              <w:keepNext w:val="0"/>
              <w:keepLines w:val="0"/>
              <w:suppressLineNumbers w:val="0"/>
              <w:spacing w:before="0" w:beforeAutospacing="0" w:after="0" w:afterAutospacing="0" w:line="440" w:lineRule="exact"/>
              <w:ind w:left="0" w:right="0" w:firstLine="420" w:firstLineChars="200"/>
              <w:jc w:val="center"/>
              <w:rPr>
                <w:rFonts w:hint="default" w:ascii="宋体" w:hAnsi="宋体" w:cs="宋体"/>
                <w:color w:val="auto"/>
                <w:szCs w:val="21"/>
                <w:highlight w:val="none"/>
              </w:rPr>
            </w:pPr>
            <w:r>
              <w:rPr>
                <w:rFonts w:hint="default" w:ascii="宋体" w:hAnsi="宋体" w:cs="宋体"/>
                <w:color w:val="auto"/>
                <w:szCs w:val="21"/>
                <w:highlight w:val="none"/>
              </w:rPr>
              <w:t>评审细则</w:t>
            </w:r>
          </w:p>
        </w:tc>
      </w:tr>
      <w:tr w14:paraId="682AD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81" w:type="dxa"/>
            <w:tcBorders>
              <w:top w:val="single" w:color="auto" w:sz="4" w:space="0"/>
              <w:left w:val="single" w:color="auto" w:sz="4" w:space="0"/>
              <w:bottom w:val="single" w:color="auto" w:sz="4" w:space="0"/>
              <w:right w:val="single" w:color="auto" w:sz="4" w:space="0"/>
            </w:tcBorders>
            <w:noWrap w:val="0"/>
            <w:vAlign w:val="center"/>
          </w:tcPr>
          <w:p w14:paraId="07C712B8">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default" w:ascii="宋体" w:hAnsi="宋体" w:cs="宋体"/>
                <w:color w:val="auto"/>
                <w:szCs w:val="21"/>
                <w:highlight w:val="none"/>
              </w:rPr>
              <w:t>1</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570F9F3C">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服务方案</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3C2CC3F3">
            <w:pPr>
              <w:keepNext w:val="0"/>
              <w:keepLines w:val="0"/>
              <w:suppressLineNumbers w:val="0"/>
              <w:spacing w:before="0" w:beforeAutospacing="0" w:after="0" w:afterAutospacing="0" w:line="440" w:lineRule="exact"/>
              <w:ind w:left="0" w:right="0"/>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6分</w:t>
            </w:r>
          </w:p>
        </w:tc>
        <w:tc>
          <w:tcPr>
            <w:tcW w:w="7140" w:type="dxa"/>
            <w:tcBorders>
              <w:top w:val="single" w:color="auto" w:sz="4" w:space="0"/>
              <w:left w:val="single" w:color="auto" w:sz="4" w:space="0"/>
              <w:bottom w:val="single" w:color="auto" w:sz="4" w:space="0"/>
              <w:right w:val="single" w:color="auto" w:sz="4" w:space="0"/>
            </w:tcBorders>
            <w:noWrap w:val="0"/>
            <w:vAlign w:val="center"/>
          </w:tcPr>
          <w:p w14:paraId="461B7FF4">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根据投标人提供的服务方案（包括但不限于食堂餐饮工作标准方案、食材验收控制、食品加工环节控制、原材料储存控制、设备日常保养维护控制等）的完整度、可操作性、针对性进行评判。 </w:t>
            </w:r>
          </w:p>
          <w:p w14:paraId="46A6850F">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 xml:space="preserve">）方案完整度高，项目服务过程管理、执行模式完善先进，最大限度的结合实际情况，工作程序的科学性、针对性、严谨性、可执行性强，得100%分； </w:t>
            </w:r>
          </w:p>
          <w:p w14:paraId="103FA405">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2</w:t>
            </w:r>
            <w:r>
              <w:rPr>
                <w:rFonts w:hint="eastAsia" w:ascii="宋体" w:hAnsi="宋体" w:eastAsia="宋体" w:cs="宋体"/>
                <w:color w:val="auto"/>
                <w:kern w:val="0"/>
                <w:sz w:val="21"/>
                <w:szCs w:val="21"/>
                <w:highlight w:val="none"/>
                <w:lang w:val="en-US" w:eastAsia="zh-CN" w:bidi="ar-SA"/>
              </w:rPr>
              <w:t xml:space="preserve">）方案完整度较高，项目服务过程管理、执行模式较完善先进，能有效结合实际情况，工作程序的科学性、针对性、严谨性、可执行性较强，得80%分； </w:t>
            </w:r>
          </w:p>
          <w:p w14:paraId="24551D1B">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 xml:space="preserve">）方案完整度一般，项目服务过程管理、执行模式基本完善先进，基本能结合实际情况，工作程序的科学性、针对性、严谨性、可执行性一般，得60%分； </w:t>
            </w:r>
          </w:p>
          <w:p w14:paraId="1C8CF27E">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4</w:t>
            </w:r>
            <w:r>
              <w:rPr>
                <w:rFonts w:hint="eastAsia" w:ascii="宋体" w:hAnsi="宋体" w:eastAsia="宋体" w:cs="宋体"/>
                <w:color w:val="auto"/>
                <w:kern w:val="0"/>
                <w:sz w:val="21"/>
                <w:szCs w:val="21"/>
                <w:highlight w:val="none"/>
                <w:lang w:val="en-US" w:eastAsia="zh-CN" w:bidi="ar-SA"/>
              </w:rPr>
              <w:t>）未提供相关内容，得0分。</w:t>
            </w:r>
          </w:p>
        </w:tc>
      </w:tr>
      <w:tr w14:paraId="653C4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81" w:type="dxa"/>
            <w:tcBorders>
              <w:top w:val="single" w:color="auto" w:sz="4" w:space="0"/>
              <w:left w:val="single" w:color="auto" w:sz="4" w:space="0"/>
              <w:bottom w:val="single" w:color="auto" w:sz="4" w:space="0"/>
              <w:right w:val="single" w:color="auto" w:sz="4" w:space="0"/>
            </w:tcBorders>
            <w:noWrap w:val="0"/>
            <w:vAlign w:val="center"/>
          </w:tcPr>
          <w:p w14:paraId="3E8187F4">
            <w:pPr>
              <w:keepNext w:val="0"/>
              <w:keepLines w:val="0"/>
              <w:suppressLineNumbers w:val="0"/>
              <w:spacing w:before="0" w:beforeAutospacing="0" w:after="0" w:afterAutospacing="0" w:line="44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6C86958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增值服务</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A492D4F">
            <w:pPr>
              <w:keepNext w:val="0"/>
              <w:keepLines w:val="0"/>
              <w:suppressLineNumbers w:val="0"/>
              <w:spacing w:before="0" w:beforeAutospacing="0" w:after="0" w:afterAutospacing="0" w:line="440" w:lineRule="exact"/>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6分</w:t>
            </w:r>
          </w:p>
        </w:tc>
        <w:tc>
          <w:tcPr>
            <w:tcW w:w="7140" w:type="dxa"/>
            <w:tcBorders>
              <w:top w:val="single" w:color="auto" w:sz="4" w:space="0"/>
              <w:left w:val="single" w:color="auto" w:sz="4" w:space="0"/>
              <w:bottom w:val="single" w:color="auto" w:sz="4" w:space="0"/>
              <w:right w:val="single" w:color="auto" w:sz="4" w:space="0"/>
            </w:tcBorders>
            <w:noWrap w:val="0"/>
            <w:vAlign w:val="center"/>
          </w:tcPr>
          <w:p w14:paraId="53DAB0C8">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根据营养健康管理（过敏源提示、特殊人群饮食禁忌标记等）、文化体验活动（食品安全科普、餐桌礼仪讲解等）等内容，有针对性的制定增值服务方案。 </w:t>
            </w:r>
          </w:p>
          <w:p w14:paraId="7DFFF946">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）增值服务方案新颖创新度较高，针对性、可行性强，得100%分；</w:t>
            </w:r>
          </w:p>
          <w:p w14:paraId="5AD1D9B5">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2</w:t>
            </w:r>
            <w:r>
              <w:rPr>
                <w:rFonts w:hint="eastAsia" w:ascii="宋体" w:hAnsi="宋体" w:eastAsia="宋体" w:cs="宋体"/>
                <w:color w:val="auto"/>
                <w:kern w:val="0"/>
                <w:sz w:val="21"/>
                <w:szCs w:val="21"/>
                <w:highlight w:val="none"/>
                <w:lang w:val="en-US" w:eastAsia="zh-CN" w:bidi="ar-SA"/>
              </w:rPr>
              <w:t xml:space="preserve">）增值服务方案新颖有创新，针对性、可行性一般，得80%分； </w:t>
            </w:r>
          </w:p>
          <w:p w14:paraId="0297CB30">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 xml:space="preserve">）增值服务方案无创新，针对性、可行性弱，得60%分； </w:t>
            </w:r>
          </w:p>
          <w:p w14:paraId="4D7620A2">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4</w:t>
            </w:r>
            <w:r>
              <w:rPr>
                <w:rFonts w:hint="eastAsia" w:ascii="宋体" w:hAnsi="宋体" w:eastAsia="宋体" w:cs="宋体"/>
                <w:color w:val="auto"/>
                <w:kern w:val="0"/>
                <w:sz w:val="21"/>
                <w:szCs w:val="21"/>
                <w:highlight w:val="none"/>
                <w:lang w:val="en-US" w:eastAsia="zh-CN" w:bidi="ar-SA"/>
              </w:rPr>
              <w:t>）未提供相关内容，得0分。</w:t>
            </w:r>
          </w:p>
        </w:tc>
      </w:tr>
      <w:tr w14:paraId="7E37B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81" w:type="dxa"/>
            <w:tcBorders>
              <w:top w:val="single" w:color="auto" w:sz="4" w:space="0"/>
              <w:left w:val="single" w:color="auto" w:sz="4" w:space="0"/>
              <w:bottom w:val="single" w:color="auto" w:sz="4" w:space="0"/>
              <w:right w:val="single" w:color="auto" w:sz="4" w:space="0"/>
            </w:tcBorders>
            <w:noWrap w:val="0"/>
            <w:vAlign w:val="center"/>
          </w:tcPr>
          <w:p w14:paraId="23A4E72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228DCDF8">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人员管理</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5ABDF34">
            <w:pPr>
              <w:keepNext w:val="0"/>
              <w:keepLines w:val="0"/>
              <w:suppressLineNumbers w:val="0"/>
              <w:spacing w:before="0" w:beforeAutospacing="0" w:after="0" w:afterAutospacing="0" w:line="440" w:lineRule="exact"/>
              <w:ind w:left="0" w:right="0"/>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6分</w:t>
            </w:r>
          </w:p>
        </w:tc>
        <w:tc>
          <w:tcPr>
            <w:tcW w:w="7140" w:type="dxa"/>
            <w:tcBorders>
              <w:top w:val="single" w:color="auto" w:sz="4" w:space="0"/>
              <w:left w:val="single" w:color="auto" w:sz="4" w:space="0"/>
              <w:bottom w:val="single" w:color="auto" w:sz="4" w:space="0"/>
              <w:right w:val="single" w:color="auto" w:sz="4" w:space="0"/>
            </w:tcBorders>
            <w:noWrap w:val="0"/>
            <w:vAlign w:val="center"/>
          </w:tcPr>
          <w:p w14:paraId="67742584">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投标人拟投入项目实施人员整体情况： </w:t>
            </w:r>
          </w:p>
          <w:p w14:paraId="40106142">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 xml:space="preserve">）拟投入人员架构合理，团队人员经验丰富、岗位明确、分工合理明确，职责清楚、专业技术水平高，得100%分； </w:t>
            </w:r>
          </w:p>
          <w:p w14:paraId="63BD5A06">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2</w:t>
            </w:r>
            <w:r>
              <w:rPr>
                <w:rFonts w:hint="eastAsia" w:ascii="宋体" w:hAnsi="宋体" w:eastAsia="宋体" w:cs="宋体"/>
                <w:color w:val="auto"/>
                <w:kern w:val="0"/>
                <w:sz w:val="21"/>
                <w:szCs w:val="21"/>
                <w:highlight w:val="none"/>
                <w:lang w:val="en-US" w:eastAsia="zh-CN" w:bidi="ar-SA"/>
              </w:rPr>
              <w:t xml:space="preserve">）拟投入人员架构较合理，团队人员经验较丰富、岗位明确、分工合理明确，职责清楚、专业技术水平较高，得80%分； </w:t>
            </w:r>
          </w:p>
          <w:p w14:paraId="19EB9D86">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 xml:space="preserve">）拟投入人员实施团队组织结构一般、团队人员配置一般、人员经验略显不足，岗位职责、专业技术水平一般，得60%分； </w:t>
            </w:r>
          </w:p>
          <w:p w14:paraId="0F781D85">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4</w:t>
            </w:r>
            <w:r>
              <w:rPr>
                <w:rFonts w:hint="eastAsia" w:ascii="宋体" w:hAnsi="宋体" w:eastAsia="宋体" w:cs="宋体"/>
                <w:color w:val="auto"/>
                <w:kern w:val="0"/>
                <w:sz w:val="21"/>
                <w:szCs w:val="21"/>
                <w:highlight w:val="none"/>
                <w:lang w:val="en-US" w:eastAsia="zh-CN" w:bidi="ar-SA"/>
              </w:rPr>
              <w:t>）未提供相关内容，得0分。</w:t>
            </w:r>
          </w:p>
        </w:tc>
      </w:tr>
      <w:tr w14:paraId="26AD1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81" w:type="dxa"/>
            <w:tcBorders>
              <w:top w:val="single" w:color="auto" w:sz="4" w:space="0"/>
              <w:left w:val="single" w:color="auto" w:sz="4" w:space="0"/>
              <w:bottom w:val="single" w:color="auto" w:sz="4" w:space="0"/>
              <w:right w:val="single" w:color="auto" w:sz="4" w:space="0"/>
            </w:tcBorders>
            <w:noWrap w:val="0"/>
            <w:vAlign w:val="center"/>
          </w:tcPr>
          <w:p w14:paraId="0CE7EDAC">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1653F95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菜品营养搭配方案</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F53A0C8">
            <w:pPr>
              <w:keepNext w:val="0"/>
              <w:keepLines w:val="0"/>
              <w:suppressLineNumbers w:val="0"/>
              <w:spacing w:before="0" w:beforeAutospacing="0" w:after="0" w:afterAutospacing="0" w:line="440" w:lineRule="exact"/>
              <w:ind w:left="0" w:right="0"/>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6分</w:t>
            </w:r>
          </w:p>
        </w:tc>
        <w:tc>
          <w:tcPr>
            <w:tcW w:w="7140" w:type="dxa"/>
            <w:tcBorders>
              <w:top w:val="single" w:color="auto" w:sz="4" w:space="0"/>
              <w:left w:val="single" w:color="auto" w:sz="4" w:space="0"/>
              <w:bottom w:val="single" w:color="auto" w:sz="4" w:space="0"/>
              <w:right w:val="single" w:color="auto" w:sz="4" w:space="0"/>
            </w:tcBorders>
            <w:noWrap w:val="0"/>
            <w:vAlign w:val="center"/>
          </w:tcPr>
          <w:p w14:paraId="18AC4786">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根据投标人提供的1个月共4周菜单方案（不重复）、从花色品种数量、营养配比等方面的响应情况进行评判。</w:t>
            </w:r>
          </w:p>
          <w:p w14:paraId="140A2E63">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 xml:space="preserve">）菜品搭配、花色品种、营养配比及菜单方案丰富多样、科学合理，得100%分； </w:t>
            </w:r>
          </w:p>
          <w:p w14:paraId="789AE641">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2</w:t>
            </w:r>
            <w:r>
              <w:rPr>
                <w:rFonts w:hint="eastAsia" w:ascii="宋体" w:hAnsi="宋体" w:eastAsia="宋体" w:cs="宋体"/>
                <w:color w:val="auto"/>
                <w:kern w:val="0"/>
                <w:sz w:val="21"/>
                <w:szCs w:val="21"/>
                <w:highlight w:val="none"/>
                <w:lang w:val="en-US" w:eastAsia="zh-CN" w:bidi="ar-SA"/>
              </w:rPr>
              <w:t>）菜品搭配、花色品种、营养配比及菜单方案相对简单，基本科学合理，得80%分；</w:t>
            </w:r>
          </w:p>
          <w:p w14:paraId="7B005B72">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 xml:space="preserve">）菜品搭配、花色品种、营养配比及菜单方案单一、能满足基本需求，得60%分； </w:t>
            </w:r>
          </w:p>
          <w:p w14:paraId="1424240B">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4</w:t>
            </w:r>
            <w:r>
              <w:rPr>
                <w:rFonts w:hint="eastAsia" w:ascii="宋体" w:hAnsi="宋体" w:eastAsia="宋体" w:cs="宋体"/>
                <w:color w:val="auto"/>
                <w:kern w:val="0"/>
                <w:sz w:val="21"/>
                <w:szCs w:val="21"/>
                <w:highlight w:val="none"/>
                <w:lang w:val="en-US" w:eastAsia="zh-CN" w:bidi="ar-SA"/>
              </w:rPr>
              <w:t>）未提供菜品搭配、花色品种、营养配比及菜单方案的相关内容，得0分。</w:t>
            </w:r>
          </w:p>
        </w:tc>
      </w:tr>
      <w:tr w14:paraId="21B0D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81" w:type="dxa"/>
            <w:tcBorders>
              <w:top w:val="single" w:color="auto" w:sz="4" w:space="0"/>
              <w:left w:val="single" w:color="auto" w:sz="4" w:space="0"/>
              <w:bottom w:val="single" w:color="auto" w:sz="4" w:space="0"/>
              <w:right w:val="single" w:color="auto" w:sz="4" w:space="0"/>
            </w:tcBorders>
            <w:noWrap w:val="0"/>
            <w:vAlign w:val="center"/>
          </w:tcPr>
          <w:p w14:paraId="7FE8A66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197345CD">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安全及卫生管理方案</w:t>
            </w:r>
          </w:p>
          <w:p w14:paraId="75AD3D16">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lang w:val="en-US" w:eastAsia="zh-CN" w:bidi="ar-SA"/>
              </w:rPr>
            </w:pPr>
          </w:p>
        </w:tc>
        <w:tc>
          <w:tcPr>
            <w:tcW w:w="780" w:type="dxa"/>
            <w:tcBorders>
              <w:top w:val="single" w:color="auto" w:sz="4" w:space="0"/>
              <w:left w:val="single" w:color="auto" w:sz="4" w:space="0"/>
              <w:bottom w:val="single" w:color="auto" w:sz="4" w:space="0"/>
              <w:right w:val="single" w:color="auto" w:sz="4" w:space="0"/>
            </w:tcBorders>
            <w:noWrap w:val="0"/>
            <w:vAlign w:val="center"/>
          </w:tcPr>
          <w:p w14:paraId="2486A1A2">
            <w:pPr>
              <w:keepNext w:val="0"/>
              <w:keepLines w:val="0"/>
              <w:suppressLineNumbers w:val="0"/>
              <w:spacing w:before="0" w:beforeAutospacing="0" w:after="0" w:afterAutospacing="0" w:line="440" w:lineRule="exact"/>
              <w:ind w:left="0" w:right="0"/>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6分</w:t>
            </w:r>
          </w:p>
        </w:tc>
        <w:tc>
          <w:tcPr>
            <w:tcW w:w="7140" w:type="dxa"/>
            <w:tcBorders>
              <w:top w:val="single" w:color="auto" w:sz="4" w:space="0"/>
              <w:left w:val="single" w:color="auto" w:sz="4" w:space="0"/>
              <w:bottom w:val="single" w:color="auto" w:sz="4" w:space="0"/>
              <w:right w:val="single" w:color="auto" w:sz="4" w:space="0"/>
            </w:tcBorders>
            <w:noWrap w:val="0"/>
            <w:vAlign w:val="center"/>
          </w:tcPr>
          <w:p w14:paraId="181E1405">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根据投标人提供的安全管理、卫生管理方案的完整度、可操作性、针对性进行评判。 </w:t>
            </w:r>
          </w:p>
          <w:p w14:paraId="65FC1313">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 xml:space="preserve">）提供的安全管理、卫生管理方案内容完整，符合安全和卫生相关规定，详实可行，针对性强，得100%分； </w:t>
            </w:r>
          </w:p>
          <w:p w14:paraId="59F35B9D">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2</w:t>
            </w:r>
            <w:r>
              <w:rPr>
                <w:rFonts w:hint="eastAsia" w:ascii="宋体" w:hAnsi="宋体" w:eastAsia="宋体" w:cs="宋体"/>
                <w:color w:val="auto"/>
                <w:kern w:val="0"/>
                <w:sz w:val="21"/>
                <w:szCs w:val="21"/>
                <w:highlight w:val="none"/>
                <w:lang w:val="en-US" w:eastAsia="zh-CN" w:bidi="ar-SA"/>
              </w:rPr>
              <w:t xml:space="preserve">）提供的安全管理、卫生管理方案内容基本完整，基本符合安全和卫生相关规定，基本可行，有针对性，得80%分； </w:t>
            </w:r>
          </w:p>
          <w:p w14:paraId="6E736220">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 xml:space="preserve">）提供了常规、通用的安全管理、卫生管理方案，可以满足项目基本需求，得60%分； </w:t>
            </w:r>
          </w:p>
          <w:p w14:paraId="1E202705">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4</w:t>
            </w:r>
            <w:r>
              <w:rPr>
                <w:rFonts w:hint="eastAsia" w:ascii="宋体" w:hAnsi="宋体" w:eastAsia="宋体" w:cs="宋体"/>
                <w:color w:val="auto"/>
                <w:kern w:val="0"/>
                <w:sz w:val="21"/>
                <w:szCs w:val="21"/>
                <w:highlight w:val="none"/>
                <w:lang w:val="en-US" w:eastAsia="zh-CN" w:bidi="ar-SA"/>
              </w:rPr>
              <w:t>）未提供相关内容，得0分。</w:t>
            </w:r>
          </w:p>
        </w:tc>
      </w:tr>
      <w:tr w14:paraId="17E85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81" w:type="dxa"/>
            <w:tcBorders>
              <w:top w:val="single" w:color="auto" w:sz="4" w:space="0"/>
              <w:left w:val="single" w:color="auto" w:sz="4" w:space="0"/>
              <w:bottom w:val="single" w:color="auto" w:sz="4" w:space="0"/>
              <w:right w:val="single" w:color="auto" w:sz="4" w:space="0"/>
            </w:tcBorders>
            <w:noWrap w:val="0"/>
            <w:vAlign w:val="center"/>
          </w:tcPr>
          <w:p w14:paraId="166B239D">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6</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63E920F0">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食品质量保障方案</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3C254AA">
            <w:pPr>
              <w:keepNext w:val="0"/>
              <w:keepLines w:val="0"/>
              <w:suppressLineNumbers w:val="0"/>
              <w:spacing w:before="0" w:beforeAutospacing="0" w:after="0" w:afterAutospacing="0" w:line="440" w:lineRule="exact"/>
              <w:ind w:left="0" w:right="0"/>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6分</w:t>
            </w:r>
          </w:p>
        </w:tc>
        <w:tc>
          <w:tcPr>
            <w:tcW w:w="7140" w:type="dxa"/>
            <w:tcBorders>
              <w:top w:val="single" w:color="auto" w:sz="4" w:space="0"/>
              <w:left w:val="single" w:color="auto" w:sz="4" w:space="0"/>
              <w:bottom w:val="single" w:color="auto" w:sz="4" w:space="0"/>
              <w:right w:val="single" w:color="auto" w:sz="4" w:space="0"/>
            </w:tcBorders>
            <w:noWrap w:val="0"/>
            <w:vAlign w:val="center"/>
          </w:tcPr>
          <w:p w14:paraId="7C8BEB7F">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根据投标人提供的食品质量保障方案的内容、可操作性、针对性进行评判。 </w:t>
            </w:r>
          </w:p>
          <w:p w14:paraId="0F448003">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 xml:space="preserve">）食品质量保障方案内容贴近项目实施需要，详实可行，针对性强，得100%分； </w:t>
            </w:r>
          </w:p>
          <w:p w14:paraId="65B9EEB0">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2</w:t>
            </w:r>
            <w:r>
              <w:rPr>
                <w:rFonts w:hint="eastAsia" w:ascii="宋体" w:hAnsi="宋体" w:eastAsia="宋体" w:cs="宋体"/>
                <w:color w:val="auto"/>
                <w:kern w:val="0"/>
                <w:sz w:val="21"/>
                <w:szCs w:val="21"/>
                <w:highlight w:val="none"/>
                <w:lang w:val="en-US" w:eastAsia="zh-CN" w:bidi="ar-SA"/>
              </w:rPr>
              <w:t xml:space="preserve">）食品质量保障方案内容可以满足项目实施需要，可行，有针对性，得80%分； </w:t>
            </w:r>
          </w:p>
          <w:p w14:paraId="0F5654E0">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 xml:space="preserve">）提供了常规、通用的食品质量保障方案，可以满足项目基本需求，得60%分； </w:t>
            </w:r>
          </w:p>
          <w:p w14:paraId="6DB76AB8">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4</w:t>
            </w:r>
            <w:r>
              <w:rPr>
                <w:rFonts w:hint="eastAsia" w:ascii="宋体" w:hAnsi="宋体" w:eastAsia="宋体" w:cs="宋体"/>
                <w:color w:val="auto"/>
                <w:kern w:val="0"/>
                <w:sz w:val="21"/>
                <w:szCs w:val="21"/>
                <w:highlight w:val="none"/>
                <w:lang w:val="en-US" w:eastAsia="zh-CN" w:bidi="ar-SA"/>
              </w:rPr>
              <w:t>）未提供相关内容，得0分。</w:t>
            </w:r>
          </w:p>
        </w:tc>
      </w:tr>
      <w:tr w14:paraId="72AAA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81" w:type="dxa"/>
            <w:tcBorders>
              <w:top w:val="single" w:color="auto" w:sz="4" w:space="0"/>
              <w:left w:val="single" w:color="auto" w:sz="4" w:space="0"/>
              <w:bottom w:val="single" w:color="auto" w:sz="4" w:space="0"/>
              <w:right w:val="single" w:color="auto" w:sz="4" w:space="0"/>
            </w:tcBorders>
            <w:noWrap w:val="0"/>
            <w:vAlign w:val="center"/>
          </w:tcPr>
          <w:p w14:paraId="2B6B7DB7">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7</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11D9FBD6">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食材采购资质及管理</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3E2EF2A">
            <w:pPr>
              <w:keepNext w:val="0"/>
              <w:keepLines w:val="0"/>
              <w:suppressLineNumbers w:val="0"/>
              <w:spacing w:before="0" w:beforeAutospacing="0" w:after="0" w:afterAutospacing="0" w:line="440" w:lineRule="exact"/>
              <w:ind w:left="0" w:right="0"/>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6分</w:t>
            </w:r>
          </w:p>
        </w:tc>
        <w:tc>
          <w:tcPr>
            <w:tcW w:w="7140" w:type="dxa"/>
            <w:tcBorders>
              <w:top w:val="single" w:color="auto" w:sz="4" w:space="0"/>
              <w:left w:val="single" w:color="auto" w:sz="4" w:space="0"/>
              <w:bottom w:val="single" w:color="auto" w:sz="4" w:space="0"/>
              <w:right w:val="single" w:color="auto" w:sz="4" w:space="0"/>
            </w:tcBorders>
            <w:noWrap w:val="0"/>
            <w:vAlign w:val="center"/>
          </w:tcPr>
          <w:p w14:paraId="55713CD8">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根据投标人提供的合作食材供应商的情况（包含但不限于资质、合作协议、管理制度等）进行打分。 </w:t>
            </w:r>
          </w:p>
          <w:p w14:paraId="38890021">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 xml:space="preserve">）提供的合作食材供应商资质、合作协议符合采购人要求、理制度合理可行、针对性强，得100%分； </w:t>
            </w:r>
          </w:p>
          <w:p w14:paraId="4C5F6B47">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2</w:t>
            </w:r>
            <w:r>
              <w:rPr>
                <w:rFonts w:hint="eastAsia" w:ascii="宋体" w:hAnsi="宋体" w:eastAsia="宋体" w:cs="宋体"/>
                <w:color w:val="auto"/>
                <w:kern w:val="0"/>
                <w:sz w:val="21"/>
                <w:szCs w:val="21"/>
                <w:highlight w:val="none"/>
                <w:lang w:val="en-US" w:eastAsia="zh-CN" w:bidi="ar-SA"/>
              </w:rPr>
              <w:t xml:space="preserve">）提供的合作食材供应商资质、合作协议，基本符合采购人要求、管理制度合理可行、针对性较强，得80%分； </w:t>
            </w:r>
          </w:p>
          <w:p w14:paraId="6031CAFC">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 xml:space="preserve">）提供的合作食材供应商资质、合作协议，不符合采购人要求、管理制度基本合理、针对性弱，得60%分； </w:t>
            </w:r>
          </w:p>
          <w:p w14:paraId="7BA81F1A">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4</w:t>
            </w:r>
            <w:r>
              <w:rPr>
                <w:rFonts w:hint="eastAsia" w:ascii="宋体" w:hAnsi="宋体" w:eastAsia="宋体" w:cs="宋体"/>
                <w:color w:val="auto"/>
                <w:kern w:val="0"/>
                <w:sz w:val="21"/>
                <w:szCs w:val="21"/>
                <w:highlight w:val="none"/>
                <w:lang w:val="en-US" w:eastAsia="zh-CN" w:bidi="ar-SA"/>
              </w:rPr>
              <w:t>）未提供相关材料的，得</w:t>
            </w:r>
            <w:r>
              <w:rPr>
                <w:rFonts w:hint="default" w:ascii="宋体" w:hAnsi="宋体" w:eastAsia="宋体" w:cs="宋体"/>
                <w:color w:val="auto"/>
                <w:kern w:val="0"/>
                <w:sz w:val="21"/>
                <w:szCs w:val="21"/>
                <w:highlight w:val="none"/>
                <w:lang w:val="en-US" w:eastAsia="zh-CN" w:bidi="ar-SA"/>
              </w:rPr>
              <w:t>0</w:t>
            </w:r>
            <w:r>
              <w:rPr>
                <w:rFonts w:hint="eastAsia" w:ascii="宋体" w:hAnsi="宋体" w:eastAsia="宋体" w:cs="宋体"/>
                <w:color w:val="auto"/>
                <w:kern w:val="0"/>
                <w:sz w:val="21"/>
                <w:szCs w:val="21"/>
                <w:highlight w:val="none"/>
                <w:lang w:val="en-US" w:eastAsia="zh-CN" w:bidi="ar-SA"/>
              </w:rPr>
              <w:t>分。</w:t>
            </w:r>
          </w:p>
        </w:tc>
      </w:tr>
      <w:tr w14:paraId="3748D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81" w:type="dxa"/>
            <w:tcBorders>
              <w:top w:val="single" w:color="auto" w:sz="4" w:space="0"/>
              <w:left w:val="single" w:color="auto" w:sz="4" w:space="0"/>
              <w:bottom w:val="single" w:color="auto" w:sz="4" w:space="0"/>
              <w:right w:val="single" w:color="auto" w:sz="4" w:space="0"/>
            </w:tcBorders>
            <w:noWrap w:val="0"/>
            <w:vAlign w:val="center"/>
          </w:tcPr>
          <w:p w14:paraId="4C5DB017">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8</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12061D16">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经营指标控制方案</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083C80DE">
            <w:pPr>
              <w:keepNext w:val="0"/>
              <w:keepLines w:val="0"/>
              <w:suppressLineNumbers w:val="0"/>
              <w:spacing w:before="0" w:beforeAutospacing="0" w:after="0" w:afterAutospacing="0" w:line="440" w:lineRule="exact"/>
              <w:ind w:left="0" w:right="0"/>
              <w:jc w:val="center"/>
              <w:rPr>
                <w:rFonts w:hint="default"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6分</w:t>
            </w:r>
          </w:p>
        </w:tc>
        <w:tc>
          <w:tcPr>
            <w:tcW w:w="7140" w:type="dxa"/>
            <w:tcBorders>
              <w:top w:val="single" w:color="auto" w:sz="4" w:space="0"/>
              <w:left w:val="single" w:color="auto" w:sz="4" w:space="0"/>
              <w:bottom w:val="single" w:color="auto" w:sz="4" w:space="0"/>
              <w:right w:val="single" w:color="auto" w:sz="4" w:space="0"/>
            </w:tcBorders>
            <w:noWrap w:val="0"/>
            <w:vAlign w:val="center"/>
          </w:tcPr>
          <w:p w14:paraId="73ED8895">
            <w:pPr>
              <w:pStyle w:val="134"/>
              <w:keepNext w:val="0"/>
              <w:keepLines w:val="0"/>
              <w:pageBreakBefore w:val="0"/>
              <w:widowControl/>
              <w:suppressLineNumbers w:val="0"/>
              <w:kinsoku/>
              <w:wordWrap w:val="0"/>
              <w:overflowPunct/>
              <w:topLinePunct w:val="0"/>
              <w:autoSpaceDE/>
              <w:autoSpaceDN/>
              <w:bidi w:val="0"/>
              <w:spacing w:before="0" w:beforeAutospacing="0" w:after="0" w:afterAutospacing="0" w:line="480" w:lineRule="exact"/>
              <w:ind w:left="0" w:right="0" w:right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投标人提供针对本项目的经营指标控制方案，包括但不限于基本大伙的菜品标准化建设方案、售卖定价办法、供餐品质管理、服务管理、成本核算规则及相关信息化建设方案等。评委会根据下列标准综合评分：</w:t>
            </w:r>
          </w:p>
          <w:p w14:paraId="00901BE5">
            <w:pPr>
              <w:pStyle w:val="134"/>
              <w:keepNext w:val="0"/>
              <w:keepLines w:val="0"/>
              <w:pageBreakBefore w:val="0"/>
              <w:widowControl/>
              <w:suppressLineNumbers w:val="0"/>
              <w:kinsoku/>
              <w:wordWrap w:val="0"/>
              <w:overflowPunct/>
              <w:topLinePunct w:val="0"/>
              <w:autoSpaceDE/>
              <w:autoSpaceDN/>
              <w:bidi w:val="0"/>
              <w:spacing w:before="0" w:beforeAutospacing="0" w:after="0" w:afterAutospacing="0" w:line="480" w:lineRule="exact"/>
              <w:ind w:left="0" w:right="0" w:right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（1）对本项目特点理解准确，方案内容完整详实、科学合理，针对性和可行性强，完全满足项目需求，</w:t>
            </w:r>
            <w:r>
              <w:rPr>
                <w:rFonts w:hint="eastAsia" w:ascii="宋体" w:hAnsi="宋体" w:eastAsia="宋体" w:cs="宋体"/>
                <w:color w:val="auto"/>
                <w:kern w:val="0"/>
                <w:sz w:val="21"/>
                <w:szCs w:val="21"/>
                <w:highlight w:val="none"/>
                <w:lang w:val="en-US" w:eastAsia="zh-CN" w:bidi="ar-SA"/>
              </w:rPr>
              <w:t>得100%分</w:t>
            </w:r>
            <w:r>
              <w:rPr>
                <w:rFonts w:hint="eastAsia" w:ascii="宋体" w:hAnsi="宋体" w:eastAsia="宋体" w:cs="宋体"/>
                <w:color w:val="auto"/>
                <w:kern w:val="2"/>
                <w:sz w:val="21"/>
                <w:szCs w:val="21"/>
                <w:highlight w:val="none"/>
                <w:lang w:val="en-US" w:eastAsia="zh-CN" w:bidi="ar-SA"/>
              </w:rPr>
              <w:t>；</w:t>
            </w:r>
          </w:p>
          <w:p w14:paraId="161CCD8D">
            <w:pPr>
              <w:pStyle w:val="134"/>
              <w:keepNext w:val="0"/>
              <w:keepLines w:val="0"/>
              <w:pageBreakBefore w:val="0"/>
              <w:widowControl/>
              <w:suppressLineNumbers w:val="0"/>
              <w:kinsoku/>
              <w:wordWrap w:val="0"/>
              <w:overflowPunct/>
              <w:topLinePunct w:val="0"/>
              <w:autoSpaceDE/>
              <w:autoSpaceDN/>
              <w:bidi w:val="0"/>
              <w:spacing w:before="0" w:beforeAutospacing="0" w:after="0" w:afterAutospacing="0" w:line="480" w:lineRule="exact"/>
              <w:ind w:left="0" w:right="0" w:right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（2）对本项目特点理解基本准确，方案内容较完整、针对性和可行性较强，基本满足项目需求，</w:t>
            </w:r>
            <w:r>
              <w:rPr>
                <w:rFonts w:hint="eastAsia" w:ascii="宋体" w:hAnsi="宋体" w:eastAsia="宋体" w:cs="宋体"/>
                <w:color w:val="auto"/>
                <w:kern w:val="0"/>
                <w:sz w:val="21"/>
                <w:szCs w:val="21"/>
                <w:highlight w:val="none"/>
                <w:lang w:val="en-US" w:eastAsia="zh-CN" w:bidi="ar-SA"/>
              </w:rPr>
              <w:t>得80%分</w:t>
            </w:r>
            <w:r>
              <w:rPr>
                <w:rFonts w:hint="eastAsia" w:ascii="宋体" w:hAnsi="宋体" w:eastAsia="宋体" w:cs="宋体"/>
                <w:color w:val="auto"/>
                <w:kern w:val="2"/>
                <w:sz w:val="21"/>
                <w:szCs w:val="21"/>
                <w:highlight w:val="none"/>
                <w:lang w:val="en-US" w:eastAsia="zh-CN" w:bidi="ar-SA"/>
              </w:rPr>
              <w:t>；</w:t>
            </w:r>
          </w:p>
          <w:p w14:paraId="4650E5B4">
            <w:pPr>
              <w:pStyle w:val="134"/>
              <w:keepNext w:val="0"/>
              <w:keepLines w:val="0"/>
              <w:pageBreakBefore w:val="0"/>
              <w:widowControl/>
              <w:suppressLineNumbers w:val="0"/>
              <w:kinsoku/>
              <w:wordWrap w:val="0"/>
              <w:overflowPunct/>
              <w:topLinePunct w:val="0"/>
              <w:autoSpaceDE/>
              <w:autoSpaceDN/>
              <w:bidi w:val="0"/>
              <w:spacing w:before="0" w:beforeAutospacing="0" w:after="0" w:afterAutospacing="0" w:line="480" w:lineRule="exact"/>
              <w:ind w:left="0" w:right="0" w:right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（3）对本项目特点理解有待提升，方案简单，内容有待完善，</w:t>
            </w:r>
            <w:r>
              <w:rPr>
                <w:rFonts w:hint="eastAsia" w:ascii="宋体" w:hAnsi="宋体" w:eastAsia="宋体" w:cs="宋体"/>
                <w:color w:val="auto"/>
                <w:kern w:val="0"/>
                <w:sz w:val="21"/>
                <w:szCs w:val="21"/>
                <w:highlight w:val="none"/>
                <w:lang w:val="en-US" w:eastAsia="zh-CN" w:bidi="ar-SA"/>
              </w:rPr>
              <w:t>得60%分</w:t>
            </w:r>
            <w:r>
              <w:rPr>
                <w:rFonts w:hint="eastAsia" w:ascii="宋体" w:hAnsi="宋体" w:eastAsia="宋体" w:cs="宋体"/>
                <w:color w:val="auto"/>
                <w:kern w:val="2"/>
                <w:sz w:val="21"/>
                <w:szCs w:val="21"/>
                <w:highlight w:val="none"/>
                <w:lang w:val="en-US" w:eastAsia="zh-CN" w:bidi="ar-SA"/>
              </w:rPr>
              <w:t>；</w:t>
            </w:r>
          </w:p>
          <w:p w14:paraId="5DC29FC9">
            <w:pPr>
              <w:keepNext w:val="0"/>
              <w:keepLines w:val="0"/>
              <w:suppressLineNumbers w:val="0"/>
              <w:spacing w:before="0" w:beforeAutospacing="0" w:after="0" w:afterAutospacing="0" w:line="440" w:lineRule="exact"/>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（4）方案不可行或未提供的，不得分。</w:t>
            </w:r>
          </w:p>
        </w:tc>
      </w:tr>
      <w:tr w14:paraId="007DC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81" w:type="dxa"/>
            <w:tcBorders>
              <w:top w:val="single" w:color="auto" w:sz="4" w:space="0"/>
              <w:left w:val="single" w:color="auto" w:sz="4" w:space="0"/>
              <w:bottom w:val="single" w:color="auto" w:sz="4" w:space="0"/>
              <w:right w:val="single" w:color="auto" w:sz="4" w:space="0"/>
            </w:tcBorders>
            <w:noWrap w:val="0"/>
            <w:vAlign w:val="center"/>
          </w:tcPr>
          <w:p w14:paraId="335F0E63">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9</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3C3C1B1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突发事件应对能力</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B0EDE47">
            <w:pPr>
              <w:keepNext w:val="0"/>
              <w:keepLines w:val="0"/>
              <w:suppressLineNumbers w:val="0"/>
              <w:spacing w:before="0" w:beforeAutospacing="0" w:after="0" w:afterAutospacing="0" w:line="440" w:lineRule="exact"/>
              <w:ind w:left="0" w:right="0"/>
              <w:jc w:val="center"/>
              <w:rPr>
                <w:rFonts w:hint="default"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5</w:t>
            </w:r>
            <w:r>
              <w:rPr>
                <w:rFonts w:hint="eastAsia" w:ascii="宋体" w:hAnsi="宋体" w:eastAsia="宋体" w:cs="宋体"/>
                <w:color w:val="auto"/>
                <w:kern w:val="0"/>
                <w:sz w:val="21"/>
                <w:szCs w:val="21"/>
                <w:highlight w:val="none"/>
                <w:lang w:val="en-US" w:eastAsia="zh-CN" w:bidi="ar-SA"/>
              </w:rPr>
              <w:t>分</w:t>
            </w:r>
          </w:p>
        </w:tc>
        <w:tc>
          <w:tcPr>
            <w:tcW w:w="7140" w:type="dxa"/>
            <w:tcBorders>
              <w:top w:val="single" w:color="auto" w:sz="4" w:space="0"/>
              <w:left w:val="single" w:color="auto" w:sz="4" w:space="0"/>
              <w:bottom w:val="single" w:color="auto" w:sz="4" w:space="0"/>
              <w:right w:val="single" w:color="auto" w:sz="4" w:space="0"/>
            </w:tcBorders>
            <w:noWrap w:val="0"/>
            <w:vAlign w:val="center"/>
          </w:tcPr>
          <w:p w14:paraId="5888085B">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根据投标人应提供的突发事件应急预案的内容、可操作性、针对性进行评判。 </w:t>
            </w:r>
          </w:p>
          <w:p w14:paraId="3C8EB917">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 xml:space="preserve">）突发事件应急预案内容贴近项目实施需要，详实可行，针对性强，得100%分； </w:t>
            </w:r>
          </w:p>
          <w:p w14:paraId="22F580AF">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2</w:t>
            </w:r>
            <w:r>
              <w:rPr>
                <w:rFonts w:hint="eastAsia" w:ascii="宋体" w:hAnsi="宋体" w:eastAsia="宋体" w:cs="宋体"/>
                <w:color w:val="auto"/>
                <w:kern w:val="0"/>
                <w:sz w:val="21"/>
                <w:szCs w:val="21"/>
                <w:highlight w:val="none"/>
                <w:lang w:val="en-US" w:eastAsia="zh-CN" w:bidi="ar-SA"/>
              </w:rPr>
              <w:t xml:space="preserve">）突发事件应急预案内容可以满足项目实施需要，可行，有针对性，得80%分； </w:t>
            </w:r>
          </w:p>
          <w:p w14:paraId="70A6C6FC">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 xml:space="preserve">）提供了常规、通用的突发事件应急预案，可以满足项目基本需求，得60%分； </w:t>
            </w:r>
          </w:p>
          <w:p w14:paraId="3BEFBBAE">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4</w:t>
            </w:r>
            <w:r>
              <w:rPr>
                <w:rFonts w:hint="eastAsia" w:ascii="宋体" w:hAnsi="宋体" w:eastAsia="宋体" w:cs="宋体"/>
                <w:color w:val="auto"/>
                <w:kern w:val="0"/>
                <w:sz w:val="21"/>
                <w:szCs w:val="21"/>
                <w:highlight w:val="none"/>
                <w:lang w:val="en-US" w:eastAsia="zh-CN" w:bidi="ar-SA"/>
              </w:rPr>
              <w:t>）未提供相关材料的，得</w:t>
            </w:r>
            <w:r>
              <w:rPr>
                <w:rFonts w:hint="default" w:ascii="宋体" w:hAnsi="宋体" w:eastAsia="宋体" w:cs="宋体"/>
                <w:color w:val="auto"/>
                <w:kern w:val="0"/>
                <w:sz w:val="21"/>
                <w:szCs w:val="21"/>
                <w:highlight w:val="none"/>
                <w:lang w:val="en-US" w:eastAsia="zh-CN" w:bidi="ar-SA"/>
              </w:rPr>
              <w:t>0</w:t>
            </w:r>
            <w:r>
              <w:rPr>
                <w:rFonts w:hint="eastAsia" w:ascii="宋体" w:hAnsi="宋体" w:eastAsia="宋体" w:cs="宋体"/>
                <w:color w:val="auto"/>
                <w:kern w:val="0"/>
                <w:sz w:val="21"/>
                <w:szCs w:val="21"/>
                <w:highlight w:val="none"/>
                <w:lang w:val="en-US" w:eastAsia="zh-CN" w:bidi="ar-SA"/>
              </w:rPr>
              <w:t>分。</w:t>
            </w:r>
          </w:p>
        </w:tc>
      </w:tr>
      <w:tr w14:paraId="7B17B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81" w:type="dxa"/>
            <w:tcBorders>
              <w:top w:val="single" w:color="auto" w:sz="4" w:space="0"/>
              <w:left w:val="single" w:color="auto" w:sz="4" w:space="0"/>
              <w:bottom w:val="single" w:color="auto" w:sz="4" w:space="0"/>
              <w:right w:val="single" w:color="auto" w:sz="4" w:space="0"/>
            </w:tcBorders>
            <w:noWrap w:val="0"/>
            <w:vAlign w:val="center"/>
          </w:tcPr>
          <w:p w14:paraId="6AA74B98">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10</w:t>
            </w:r>
          </w:p>
        </w:tc>
        <w:tc>
          <w:tcPr>
            <w:tcW w:w="1230" w:type="dxa"/>
            <w:tcBorders>
              <w:top w:val="single" w:color="auto" w:sz="4" w:space="0"/>
              <w:left w:val="single" w:color="auto" w:sz="4" w:space="0"/>
              <w:bottom w:val="single" w:color="auto" w:sz="4" w:space="0"/>
              <w:right w:val="single" w:color="auto" w:sz="4" w:space="0"/>
            </w:tcBorders>
            <w:noWrap w:val="0"/>
            <w:vAlign w:val="center"/>
          </w:tcPr>
          <w:p w14:paraId="0BA2C587">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人员管理及培训</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88A1234">
            <w:pPr>
              <w:keepNext w:val="0"/>
              <w:keepLines w:val="0"/>
              <w:suppressLineNumbers w:val="0"/>
              <w:spacing w:before="0" w:beforeAutospacing="0" w:after="0" w:afterAutospacing="0" w:line="440" w:lineRule="exact"/>
              <w:ind w:left="0" w:right="0"/>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5分</w:t>
            </w:r>
          </w:p>
        </w:tc>
        <w:tc>
          <w:tcPr>
            <w:tcW w:w="7140" w:type="dxa"/>
            <w:tcBorders>
              <w:top w:val="single" w:color="auto" w:sz="4" w:space="0"/>
              <w:left w:val="single" w:color="auto" w:sz="4" w:space="0"/>
              <w:bottom w:val="single" w:color="auto" w:sz="4" w:space="0"/>
              <w:right w:val="single" w:color="auto" w:sz="4" w:space="0"/>
            </w:tcBorders>
            <w:noWrap w:val="0"/>
            <w:vAlign w:val="center"/>
          </w:tcPr>
          <w:p w14:paraId="7135B2ED">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根据投标人提供的人员管理措施及培训方案的进行评判。 </w:t>
            </w:r>
          </w:p>
          <w:p w14:paraId="4F2A7173">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 xml:space="preserve">）提供的人员管理措施及培训内容完善、详实、专业、先进，可行性强，得100%分； </w:t>
            </w:r>
          </w:p>
          <w:p w14:paraId="3BD2EA49">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2</w:t>
            </w:r>
            <w:r>
              <w:rPr>
                <w:rFonts w:hint="eastAsia" w:ascii="宋体" w:hAnsi="宋体" w:eastAsia="宋体" w:cs="宋体"/>
                <w:color w:val="auto"/>
                <w:kern w:val="0"/>
                <w:sz w:val="21"/>
                <w:szCs w:val="21"/>
                <w:highlight w:val="none"/>
                <w:lang w:val="en-US" w:eastAsia="zh-CN" w:bidi="ar-SA"/>
              </w:rPr>
              <w:t xml:space="preserve">）提供的人员管理措施及培训方案内容完整、详细、专业、可行，得80%分； </w:t>
            </w:r>
          </w:p>
          <w:p w14:paraId="78934069">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 xml:space="preserve">）提供了常规、通用的人员管理措施及培训方案，可以满足项目基本需求，得60%分； </w:t>
            </w:r>
          </w:p>
          <w:p w14:paraId="0980317B">
            <w:pPr>
              <w:keepNext w:val="0"/>
              <w:keepLines w:val="0"/>
              <w:suppressLineNumbers w:val="0"/>
              <w:spacing w:before="0" w:beforeAutospacing="0" w:after="0" w:afterAutospacing="0" w:line="440" w:lineRule="exact"/>
              <w:ind w:left="0" w:right="0"/>
              <w:jc w:val="both"/>
              <w:rPr>
                <w:rFonts w:hint="eastAsia" w:ascii="宋体" w:hAnsi="宋体" w:eastAsia="宋体" w:cs="宋体"/>
                <w:color w:val="auto"/>
                <w:kern w:val="0"/>
                <w:sz w:val="21"/>
                <w:szCs w:val="21"/>
                <w:highlight w:val="none"/>
                <w:lang w:val="en-US" w:eastAsia="zh-CN" w:bidi="ar-SA"/>
              </w:rPr>
            </w:pPr>
            <w:r>
              <w:rPr>
                <w:rFonts w:hint="default" w:ascii="宋体" w:hAnsi="宋体" w:eastAsia="宋体" w:cs="宋体"/>
                <w:color w:val="auto"/>
                <w:kern w:val="0"/>
                <w:sz w:val="21"/>
                <w:szCs w:val="21"/>
                <w:highlight w:val="none"/>
                <w:lang w:val="en-US" w:eastAsia="zh-CN" w:bidi="ar-SA"/>
              </w:rPr>
              <w:t>4</w:t>
            </w:r>
            <w:r>
              <w:rPr>
                <w:rFonts w:hint="eastAsia" w:ascii="宋体" w:hAnsi="宋体" w:eastAsia="宋体" w:cs="宋体"/>
                <w:color w:val="auto"/>
                <w:kern w:val="0"/>
                <w:sz w:val="21"/>
                <w:szCs w:val="21"/>
                <w:highlight w:val="none"/>
                <w:lang w:val="en-US" w:eastAsia="zh-CN" w:bidi="ar-SA"/>
              </w:rPr>
              <w:t>）未提供相关材料的，得</w:t>
            </w:r>
            <w:r>
              <w:rPr>
                <w:rFonts w:hint="default" w:ascii="宋体" w:hAnsi="宋体" w:eastAsia="宋体" w:cs="宋体"/>
                <w:color w:val="auto"/>
                <w:kern w:val="0"/>
                <w:sz w:val="21"/>
                <w:szCs w:val="21"/>
                <w:highlight w:val="none"/>
                <w:lang w:val="en-US" w:eastAsia="zh-CN" w:bidi="ar-SA"/>
              </w:rPr>
              <w:t>0</w:t>
            </w:r>
            <w:r>
              <w:rPr>
                <w:rFonts w:hint="eastAsia" w:ascii="宋体" w:hAnsi="宋体" w:eastAsia="宋体" w:cs="宋体"/>
                <w:color w:val="auto"/>
                <w:kern w:val="0"/>
                <w:sz w:val="21"/>
                <w:szCs w:val="21"/>
                <w:highlight w:val="none"/>
                <w:lang w:val="en-US" w:eastAsia="zh-CN" w:bidi="ar-SA"/>
              </w:rPr>
              <w:t>分。</w:t>
            </w:r>
          </w:p>
        </w:tc>
      </w:tr>
      <w:tr w14:paraId="1EA2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5" w:hRule="atLeast"/>
          <w:jc w:val="center"/>
        </w:trPr>
        <w:tc>
          <w:tcPr>
            <w:tcW w:w="781" w:type="dxa"/>
            <w:tcBorders>
              <w:top w:val="single" w:color="auto" w:sz="4" w:space="0"/>
              <w:left w:val="single" w:color="auto" w:sz="4" w:space="0"/>
              <w:right w:val="single" w:color="auto" w:sz="4" w:space="0"/>
            </w:tcBorders>
            <w:noWrap w:val="0"/>
            <w:vAlign w:val="center"/>
          </w:tcPr>
          <w:p w14:paraId="2A1E0C96">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11</w:t>
            </w:r>
          </w:p>
        </w:tc>
        <w:tc>
          <w:tcPr>
            <w:tcW w:w="1230" w:type="dxa"/>
            <w:tcBorders>
              <w:top w:val="single" w:color="auto" w:sz="4" w:space="0"/>
              <w:left w:val="single" w:color="auto" w:sz="4" w:space="0"/>
              <w:right w:val="single" w:color="auto" w:sz="4" w:space="0"/>
            </w:tcBorders>
            <w:noWrap w:val="0"/>
            <w:vAlign w:val="center"/>
          </w:tcPr>
          <w:p w14:paraId="3F6DB4F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优化建设和设备设施管理方案</w:t>
            </w:r>
          </w:p>
        </w:tc>
        <w:tc>
          <w:tcPr>
            <w:tcW w:w="780" w:type="dxa"/>
            <w:tcBorders>
              <w:top w:val="single" w:color="auto" w:sz="4" w:space="0"/>
              <w:left w:val="single" w:color="auto" w:sz="4" w:space="0"/>
              <w:right w:val="single" w:color="auto" w:sz="4" w:space="0"/>
            </w:tcBorders>
            <w:noWrap w:val="0"/>
            <w:vAlign w:val="center"/>
          </w:tcPr>
          <w:p w14:paraId="73670945">
            <w:pPr>
              <w:keepNext w:val="0"/>
              <w:keepLines w:val="0"/>
              <w:suppressLineNumbers w:val="0"/>
              <w:spacing w:before="0" w:beforeAutospacing="0" w:after="0" w:afterAutospacing="0" w:line="440" w:lineRule="exact"/>
              <w:ind w:left="0" w:right="0"/>
              <w:jc w:val="center"/>
              <w:rPr>
                <w:rFonts w:hint="eastAsia" w:ascii="宋体" w:hAnsi="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5分</w:t>
            </w:r>
          </w:p>
          <w:p w14:paraId="7F525AC7">
            <w:pPr>
              <w:keepNext w:val="0"/>
              <w:keepLines w:val="0"/>
              <w:suppressLineNumbers w:val="0"/>
              <w:spacing w:before="0" w:beforeAutospacing="0" w:after="0" w:afterAutospacing="0" w:line="440" w:lineRule="exact"/>
              <w:ind w:left="0" w:right="0"/>
              <w:jc w:val="both"/>
              <w:rPr>
                <w:rFonts w:hint="default" w:ascii="宋体" w:hAnsi="宋体" w:eastAsia="宋体" w:cs="宋体"/>
                <w:color w:val="auto"/>
                <w:kern w:val="0"/>
                <w:sz w:val="21"/>
                <w:szCs w:val="21"/>
                <w:highlight w:val="none"/>
                <w:lang w:val="en-US" w:eastAsia="zh-CN" w:bidi="ar-SA"/>
              </w:rPr>
            </w:pPr>
          </w:p>
        </w:tc>
        <w:tc>
          <w:tcPr>
            <w:tcW w:w="7140" w:type="dxa"/>
            <w:tcBorders>
              <w:top w:val="single" w:color="auto" w:sz="4" w:space="0"/>
              <w:left w:val="single" w:color="auto" w:sz="4" w:space="0"/>
              <w:bottom w:val="single" w:color="auto" w:sz="4" w:space="0"/>
              <w:right w:val="single" w:color="auto" w:sz="4" w:space="0"/>
            </w:tcBorders>
            <w:noWrap w:val="0"/>
            <w:vAlign w:val="center"/>
          </w:tcPr>
          <w:p w14:paraId="26EA6517">
            <w:pPr>
              <w:pStyle w:val="134"/>
              <w:keepNext w:val="0"/>
              <w:keepLines w:val="0"/>
              <w:pageBreakBefore w:val="0"/>
              <w:widowControl/>
              <w:suppressLineNumbers w:val="0"/>
              <w:kinsoku/>
              <w:wordWrap w:val="0"/>
              <w:overflowPunct/>
              <w:topLinePunct w:val="0"/>
              <w:autoSpaceDE/>
              <w:autoSpaceDN/>
              <w:bidi w:val="0"/>
              <w:spacing w:before="0" w:beforeAutospacing="0" w:after="0" w:afterAutospacing="0" w:line="480" w:lineRule="exact"/>
              <w:ind w:left="0" w:right="0" w:right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提供针对本项目的食堂经营优化建设和设备设施管理方案，包括但不限于拟优化建设的设施设备及食堂功能布局、装修施工方案、前厅后堂效果图、“明厨亮灶”视频监控建设方案、餐厨灶具和桌椅配置，水电气消防等设备设施的维护管理措施等。评委会根据下列标准综合评分：</w:t>
            </w:r>
          </w:p>
          <w:p w14:paraId="55977BEE">
            <w:pPr>
              <w:pStyle w:val="134"/>
              <w:keepNext w:val="0"/>
              <w:keepLines w:val="0"/>
              <w:pageBreakBefore w:val="0"/>
              <w:widowControl/>
              <w:suppressLineNumbers w:val="0"/>
              <w:kinsoku/>
              <w:wordWrap w:val="0"/>
              <w:overflowPunct/>
              <w:topLinePunct w:val="0"/>
              <w:autoSpaceDE/>
              <w:autoSpaceDN/>
              <w:bidi w:val="0"/>
              <w:spacing w:before="0" w:beforeAutospacing="0" w:after="0" w:afterAutospacing="0" w:line="480" w:lineRule="exact"/>
              <w:ind w:left="0" w:right="0" w:right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（1）对本项目特点理解准确，方案内容完整详实、科学合理，针对性和可行性强，完全满足项目需求，</w:t>
            </w:r>
            <w:r>
              <w:rPr>
                <w:rFonts w:hint="eastAsia" w:ascii="宋体" w:hAnsi="宋体" w:eastAsia="宋体" w:cs="宋体"/>
                <w:color w:val="auto"/>
                <w:kern w:val="0"/>
                <w:sz w:val="21"/>
                <w:szCs w:val="21"/>
                <w:highlight w:val="none"/>
                <w:lang w:val="en-US" w:eastAsia="zh-CN" w:bidi="ar-SA"/>
              </w:rPr>
              <w:t>100%分</w:t>
            </w:r>
            <w:r>
              <w:rPr>
                <w:rFonts w:hint="eastAsia" w:ascii="宋体" w:hAnsi="宋体" w:eastAsia="宋体" w:cs="宋体"/>
                <w:color w:val="auto"/>
                <w:kern w:val="2"/>
                <w:sz w:val="21"/>
                <w:szCs w:val="21"/>
                <w:highlight w:val="none"/>
                <w:lang w:val="en-US" w:eastAsia="zh-CN" w:bidi="ar-SA"/>
              </w:rPr>
              <w:t>；</w:t>
            </w:r>
          </w:p>
          <w:p w14:paraId="428D4190">
            <w:pPr>
              <w:pStyle w:val="134"/>
              <w:keepNext w:val="0"/>
              <w:keepLines w:val="0"/>
              <w:pageBreakBefore w:val="0"/>
              <w:widowControl/>
              <w:suppressLineNumbers w:val="0"/>
              <w:kinsoku/>
              <w:wordWrap w:val="0"/>
              <w:overflowPunct/>
              <w:topLinePunct w:val="0"/>
              <w:autoSpaceDE/>
              <w:autoSpaceDN/>
              <w:bidi w:val="0"/>
              <w:spacing w:before="0" w:beforeAutospacing="0" w:after="0" w:afterAutospacing="0" w:line="480" w:lineRule="exact"/>
              <w:ind w:left="0" w:right="0" w:right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（2）对本项目特点理解基本准确，方案内容较完整、针对性和可行性较强，基本满足项目需求，</w:t>
            </w:r>
            <w:r>
              <w:rPr>
                <w:rFonts w:hint="eastAsia" w:ascii="宋体" w:hAnsi="宋体" w:eastAsia="宋体" w:cs="宋体"/>
                <w:color w:val="auto"/>
                <w:kern w:val="0"/>
                <w:sz w:val="21"/>
                <w:szCs w:val="21"/>
                <w:highlight w:val="none"/>
                <w:lang w:val="en-US" w:eastAsia="zh-CN" w:bidi="ar-SA"/>
              </w:rPr>
              <w:t>得80%分</w:t>
            </w:r>
            <w:r>
              <w:rPr>
                <w:rFonts w:hint="eastAsia" w:ascii="宋体" w:hAnsi="宋体" w:eastAsia="宋体" w:cs="宋体"/>
                <w:color w:val="auto"/>
                <w:kern w:val="2"/>
                <w:sz w:val="21"/>
                <w:szCs w:val="21"/>
                <w:highlight w:val="none"/>
                <w:lang w:val="en-US" w:eastAsia="zh-CN" w:bidi="ar-SA"/>
              </w:rPr>
              <w:t>；</w:t>
            </w:r>
          </w:p>
          <w:p w14:paraId="2A26CB6D">
            <w:pPr>
              <w:pStyle w:val="134"/>
              <w:keepNext w:val="0"/>
              <w:keepLines w:val="0"/>
              <w:pageBreakBefore w:val="0"/>
              <w:widowControl/>
              <w:suppressLineNumbers w:val="0"/>
              <w:kinsoku/>
              <w:wordWrap w:val="0"/>
              <w:overflowPunct/>
              <w:topLinePunct w:val="0"/>
              <w:autoSpaceDE/>
              <w:autoSpaceDN/>
              <w:bidi w:val="0"/>
              <w:spacing w:before="0" w:beforeAutospacing="0" w:after="0" w:afterAutospacing="0" w:line="480" w:lineRule="exact"/>
              <w:ind w:left="0" w:right="0" w:right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（3）对本项目特点理解有待提升，方案简单，内容有待完善，</w:t>
            </w:r>
            <w:r>
              <w:rPr>
                <w:rFonts w:hint="eastAsia" w:ascii="宋体" w:hAnsi="宋体" w:eastAsia="宋体" w:cs="宋体"/>
                <w:color w:val="auto"/>
                <w:kern w:val="0"/>
                <w:sz w:val="21"/>
                <w:szCs w:val="21"/>
                <w:highlight w:val="none"/>
                <w:lang w:val="en-US" w:eastAsia="zh-CN" w:bidi="ar-SA"/>
              </w:rPr>
              <w:t>得60%分</w:t>
            </w:r>
            <w:r>
              <w:rPr>
                <w:rFonts w:hint="eastAsia" w:ascii="宋体" w:hAnsi="宋体" w:eastAsia="宋体" w:cs="宋体"/>
                <w:color w:val="auto"/>
                <w:kern w:val="2"/>
                <w:sz w:val="21"/>
                <w:szCs w:val="21"/>
                <w:highlight w:val="none"/>
                <w:lang w:val="en-US" w:eastAsia="zh-CN" w:bidi="ar-SA"/>
              </w:rPr>
              <w:t>；</w:t>
            </w:r>
          </w:p>
          <w:p w14:paraId="66C8B7F6">
            <w:pPr>
              <w:keepNext w:val="0"/>
              <w:keepLines w:val="0"/>
              <w:suppressLineNumbers w:val="0"/>
              <w:spacing w:before="0" w:beforeAutospacing="0" w:after="0" w:afterAutospacing="0" w:line="440" w:lineRule="exact"/>
              <w:ind w:left="0" w:right="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（4）方案不可行或未提供的，不得分。</w:t>
            </w:r>
          </w:p>
        </w:tc>
      </w:tr>
      <w:tr w14:paraId="21E85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1" w:type="dxa"/>
            <w:gridSpan w:val="4"/>
            <w:noWrap w:val="0"/>
            <w:vAlign w:val="center"/>
          </w:tcPr>
          <w:p w14:paraId="7195448D">
            <w:pPr>
              <w:keepNext w:val="0"/>
              <w:keepLines w:val="0"/>
              <w:widowControl/>
              <w:suppressLineNumbers w:val="0"/>
              <w:spacing w:before="0" w:beforeAutospacing="0" w:after="0" w:afterAutospacing="0" w:line="440" w:lineRule="exact"/>
              <w:ind w:left="0" w:right="0"/>
              <w:jc w:val="left"/>
              <w:rPr>
                <w:rFonts w:hint="eastAsia" w:ascii="宋体" w:hAnsi="宋体" w:cs="宋体"/>
                <w:b/>
                <w:bCs/>
                <w:color w:val="auto"/>
                <w:kern w:val="0"/>
                <w:szCs w:val="21"/>
                <w:highlight w:val="none"/>
                <w:lang w:bidi="ar"/>
              </w:rPr>
            </w:pPr>
            <w:r>
              <w:rPr>
                <w:rFonts w:hint="eastAsia" w:ascii="宋体" w:hAnsi="宋体" w:cs="宋体"/>
                <w:color w:val="auto"/>
                <w:kern w:val="0"/>
                <w:szCs w:val="21"/>
                <w:highlight w:val="none"/>
                <w:lang w:bidi="ar"/>
              </w:rPr>
              <w:t>注：</w:t>
            </w:r>
            <w:r>
              <w:rPr>
                <w:rFonts w:hint="eastAsia" w:ascii="宋体" w:hAnsi="宋体" w:cs="宋体"/>
                <w:b/>
                <w:bCs/>
                <w:color w:val="auto"/>
                <w:kern w:val="0"/>
                <w:szCs w:val="21"/>
                <w:highlight w:val="none"/>
                <w:lang w:bidi="ar"/>
              </w:rPr>
              <w:t>1、该项由专家评委评审打分，取所有评委评分中分别去掉一个最高和最低评分后的平均值为最终得分，保留两位小数点，第三位四舍五入。</w:t>
            </w:r>
          </w:p>
          <w:p w14:paraId="7373DC7A">
            <w:pPr>
              <w:keepNext w:val="0"/>
              <w:keepLines w:val="0"/>
              <w:widowControl/>
              <w:suppressLineNumbers w:val="0"/>
              <w:spacing w:before="0" w:beforeAutospacing="0" w:after="0" w:afterAutospacing="0" w:line="440" w:lineRule="exact"/>
              <w:ind w:left="0" w:right="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该项目技术标为暗标横向评审，暗标横向评审技术标不设目录，评审前系统自动对所有投标人的技术标及各评分点分别进行编号；投标企业制作的技术标部分不得出现可能泄露投标人单位及个人信息的文字、图片、图表（技术标部分不得签章）等有关表述，否则该评分点作零分处理。</w:t>
            </w:r>
          </w:p>
          <w:p w14:paraId="51DC9745">
            <w:pPr>
              <w:keepNext w:val="0"/>
              <w:keepLines w:val="0"/>
              <w:widowControl/>
              <w:suppressLineNumbers w:val="0"/>
              <w:spacing w:before="0" w:beforeAutospacing="0" w:after="0" w:afterAutospacing="0" w:line="440" w:lineRule="exact"/>
              <w:ind w:left="0" w:right="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2.1 技术标暗标不设空白页。技术标投标文件封面不出现投标人、法定代表人签章内容，格式以系统设置为准。正文必须按招标文件要求的顺序进行排版；</w:t>
            </w:r>
          </w:p>
          <w:p w14:paraId="19F956C2">
            <w:pPr>
              <w:keepNext w:val="0"/>
              <w:keepLines w:val="0"/>
              <w:widowControl/>
              <w:suppressLineNumbers w:val="0"/>
              <w:spacing w:before="0" w:beforeAutospacing="0" w:after="0" w:afterAutospacing="0" w:line="440" w:lineRule="exact"/>
              <w:ind w:left="0" w:right="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2.2技术标暗标正文文字排版统一使用中文宋体字体，文字及图表均为黑色；文字部分不得插入任何图表（可以用“见附图x”或“见附表x”说明）。所有附图、附表必须依次附在各章对应评分点内容的文末，计算在页数要求内；</w:t>
            </w:r>
            <w:r>
              <w:rPr>
                <w:rFonts w:hint="eastAsia" w:ascii="宋体" w:hAnsi="宋体" w:cs="宋体"/>
                <w:b/>
                <w:bCs/>
                <w:color w:val="auto"/>
                <w:kern w:val="0"/>
                <w:szCs w:val="21"/>
                <w:highlight w:val="none"/>
                <w:lang w:bidi="ar"/>
              </w:rPr>
              <w:t>技术标暗标文件中各评分点页数均不超过20页</w:t>
            </w:r>
            <w:r>
              <w:rPr>
                <w:rFonts w:hint="eastAsia" w:ascii="宋体" w:hAnsi="宋体" w:cs="宋体"/>
                <w:color w:val="auto"/>
                <w:kern w:val="0"/>
                <w:szCs w:val="21"/>
                <w:highlight w:val="none"/>
                <w:lang w:bidi="ar"/>
              </w:rPr>
              <w:t>；</w:t>
            </w:r>
          </w:p>
          <w:p w14:paraId="04D4A06F">
            <w:pPr>
              <w:keepNext w:val="0"/>
              <w:keepLines w:val="0"/>
              <w:widowControl/>
              <w:suppressLineNumbers w:val="0"/>
              <w:spacing w:before="0" w:beforeAutospacing="0" w:after="0" w:afterAutospacing="0" w:line="440" w:lineRule="exact"/>
              <w:ind w:left="0" w:right="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2.3 正文采用宋体四号常规字，字符间距设为标准值，行距为单倍行距，不勾选“如果定义了文档网格，则对齐到网格”；正文统一设为左对齐，章、节标题、及段落首行缩进2个汉字，段落前后不设空行；正文版面不加页眉、页脚、边框、下划线等标志，正文页码用小五号阿拉伯数字，居中。单位符号中有上下角标要求的，必须在相应位置做角标；</w:t>
            </w:r>
          </w:p>
          <w:p w14:paraId="7799EA72">
            <w:pPr>
              <w:keepNext w:val="0"/>
              <w:keepLines w:val="0"/>
              <w:widowControl/>
              <w:suppressLineNumbers w:val="0"/>
              <w:spacing w:before="0" w:beforeAutospacing="0" w:after="0" w:afterAutospacing="0" w:line="440" w:lineRule="exact"/>
              <w:ind w:left="0" w:right="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2.4</w:t>
            </w:r>
            <w:r>
              <w:rPr>
                <w:rFonts w:hint="eastAsia" w:ascii="宋体" w:hAnsi="宋体" w:cs="宋体"/>
                <w:color w:val="auto"/>
                <w:kern w:val="0"/>
                <w:szCs w:val="21"/>
                <w:highlight w:val="none"/>
                <w:lang w:bidi="ar"/>
              </w:rPr>
              <w:t>技术标暗标文件的格式、制作不符合上述要求的，每一分项扣0.2分。技术标实行暗标的，对技术标（暗标）部分不予澄清、说明或者补正。</w:t>
            </w:r>
          </w:p>
          <w:p w14:paraId="6FC0996A">
            <w:pPr>
              <w:keepNext w:val="0"/>
              <w:keepLines w:val="0"/>
              <w:widowControl/>
              <w:suppressLineNumbers w:val="0"/>
              <w:spacing w:before="0" w:beforeAutospacing="0" w:after="0" w:afterAutospacing="0" w:line="440" w:lineRule="exact"/>
              <w:ind w:left="0" w:right="0"/>
              <w:jc w:val="left"/>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暗标评审仅限评标环节。评标结束后，如出现质疑、投诉、举报等，经认定评标错误的，由评标委员会纠正错误或重新评分，此时不再受暗标评审约束，但在纠正错误或重新评分中发现投标企业技术标出现可能泄露投标人单位及个人信息的文字、图片、图表（技术标不得签章）等有关表述的，对应技术标评分点仍按零分处理。</w:t>
            </w:r>
          </w:p>
          <w:p w14:paraId="06F833BB">
            <w:pPr>
              <w:keepNext w:val="0"/>
              <w:keepLines w:val="0"/>
              <w:widowControl/>
              <w:suppressLineNumbers w:val="0"/>
              <w:spacing w:before="0" w:beforeAutospacing="0" w:after="0" w:afterAutospacing="0" w:line="440" w:lineRule="exact"/>
              <w:ind w:left="0" w:right="0"/>
              <w:jc w:val="left"/>
              <w:rPr>
                <w:rFonts w:hint="eastAsia" w:ascii="宋体" w:hAnsi="宋体" w:cs="宋体"/>
                <w:color w:val="auto"/>
                <w:szCs w:val="21"/>
                <w:highlight w:val="none"/>
              </w:rPr>
            </w:pPr>
            <w:r>
              <w:rPr>
                <w:rFonts w:hint="eastAsia" w:ascii="宋体" w:hAnsi="宋体" w:cs="宋体"/>
                <w:color w:val="auto"/>
                <w:kern w:val="0"/>
                <w:szCs w:val="21"/>
                <w:highlight w:val="none"/>
                <w:lang w:val="en-US" w:eastAsia="zh-CN" w:bidi="ar"/>
              </w:rPr>
              <w:t>4</w:t>
            </w:r>
            <w:r>
              <w:rPr>
                <w:rFonts w:hint="eastAsia" w:ascii="宋体" w:hAnsi="宋体" w:cs="宋体"/>
                <w:color w:val="auto"/>
                <w:kern w:val="0"/>
                <w:szCs w:val="21"/>
                <w:highlight w:val="none"/>
                <w:lang w:bidi="ar"/>
              </w:rPr>
              <w:t>、如所有投标企业技术标都出现能反映企业信息等相关内容的，该项目流标。</w:t>
            </w:r>
          </w:p>
        </w:tc>
      </w:tr>
    </w:tbl>
    <w:p w14:paraId="57665A04">
      <w:pPr>
        <w:spacing w:line="360" w:lineRule="exact"/>
        <w:ind w:firstLine="482" w:firstLineChars="200"/>
        <w:rPr>
          <w:rFonts w:hint="eastAsia" w:ascii="宋体" w:hAnsi="宋体"/>
          <w:b/>
          <w:bCs/>
          <w:color w:val="auto"/>
          <w:sz w:val="24"/>
          <w:highlight w:val="none"/>
        </w:rPr>
      </w:pPr>
      <w:r>
        <w:rPr>
          <w:rFonts w:hint="eastAsia" w:ascii="宋体" w:hAnsi="宋体"/>
          <w:b/>
          <w:bCs/>
          <w:color w:val="auto"/>
          <w:sz w:val="24"/>
          <w:highlight w:val="none"/>
        </w:rPr>
        <w:t>6.3商务标评审细</w:t>
      </w:r>
      <w:r>
        <w:rPr>
          <w:rFonts w:hint="eastAsia" w:ascii="宋体" w:hAnsi="宋体" w:eastAsia="宋体" w:cs="Times New Roman"/>
          <w:b/>
          <w:bCs/>
          <w:color w:val="auto"/>
          <w:sz w:val="24"/>
          <w:highlight w:val="none"/>
        </w:rPr>
        <w:t>则（</w:t>
      </w:r>
      <w:r>
        <w:rPr>
          <w:rFonts w:hint="eastAsia" w:ascii="宋体" w:hAnsi="宋体" w:cs="Times New Roman"/>
          <w:b/>
          <w:bCs/>
          <w:color w:val="auto"/>
          <w:sz w:val="24"/>
          <w:highlight w:val="none"/>
          <w:lang w:val="en-US" w:eastAsia="zh-CN"/>
        </w:rPr>
        <w:t>0</w:t>
      </w:r>
      <w:r>
        <w:rPr>
          <w:rFonts w:hint="eastAsia" w:ascii="宋体" w:hAnsi="宋体" w:eastAsia="宋体" w:cs="Times New Roman"/>
          <w:b/>
          <w:bCs/>
          <w:color w:val="auto"/>
          <w:sz w:val="24"/>
          <w:highlight w:val="none"/>
        </w:rPr>
        <w:t>分</w:t>
      </w:r>
      <w:r>
        <w:rPr>
          <w:rFonts w:hint="eastAsia" w:ascii="宋体" w:hAnsi="宋体"/>
          <w:b/>
          <w:bCs/>
          <w:color w:val="auto"/>
          <w:sz w:val="24"/>
          <w:highlight w:val="none"/>
        </w:rPr>
        <w:t>）</w:t>
      </w:r>
    </w:p>
    <w:tbl>
      <w:tblPr>
        <w:tblStyle w:val="36"/>
        <w:tblW w:w="9942" w:type="dxa"/>
        <w:tblInd w:w="-3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1511"/>
        <w:gridCol w:w="820"/>
        <w:gridCol w:w="6697"/>
      </w:tblGrid>
      <w:tr w14:paraId="7DD43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914" w:type="dxa"/>
            <w:noWrap w:val="0"/>
            <w:vAlign w:val="center"/>
          </w:tcPr>
          <w:p w14:paraId="201FE05E">
            <w:pPr>
              <w:keepNext w:val="0"/>
              <w:keepLines w:val="0"/>
              <w:suppressLineNumbers w:val="0"/>
              <w:spacing w:before="0" w:beforeAutospacing="0" w:after="0" w:afterAutospacing="0" w:line="50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511" w:type="dxa"/>
            <w:noWrap w:val="0"/>
            <w:vAlign w:val="center"/>
          </w:tcPr>
          <w:p w14:paraId="443CCBDE">
            <w:pPr>
              <w:keepNext w:val="0"/>
              <w:keepLines w:val="0"/>
              <w:suppressLineNumbers w:val="0"/>
              <w:spacing w:before="0" w:beforeAutospacing="0" w:after="0" w:afterAutospacing="0" w:line="500" w:lineRule="exact"/>
              <w:ind w:left="0" w:right="0"/>
              <w:rPr>
                <w:rFonts w:hint="eastAsia" w:ascii="宋体" w:hAnsi="宋体" w:cs="宋体"/>
                <w:color w:val="auto"/>
                <w:szCs w:val="21"/>
                <w:highlight w:val="none"/>
              </w:rPr>
            </w:pPr>
            <w:r>
              <w:rPr>
                <w:rFonts w:hint="eastAsia" w:ascii="宋体" w:hAnsi="宋体" w:cs="宋体"/>
                <w:color w:val="auto"/>
                <w:szCs w:val="21"/>
                <w:highlight w:val="none"/>
              </w:rPr>
              <w:t>评分因素</w:t>
            </w:r>
          </w:p>
        </w:tc>
        <w:tc>
          <w:tcPr>
            <w:tcW w:w="820" w:type="dxa"/>
            <w:noWrap w:val="0"/>
            <w:vAlign w:val="center"/>
          </w:tcPr>
          <w:p w14:paraId="29B800DD">
            <w:pPr>
              <w:keepNext w:val="0"/>
              <w:keepLines w:val="0"/>
              <w:suppressLineNumbers w:val="0"/>
              <w:spacing w:before="0" w:beforeAutospacing="0" w:after="0" w:afterAutospacing="0" w:line="500" w:lineRule="exact"/>
              <w:ind w:left="0" w:right="0"/>
              <w:rPr>
                <w:rFonts w:hint="eastAsia" w:ascii="宋体" w:hAnsi="宋体" w:cs="宋体"/>
                <w:color w:val="auto"/>
                <w:szCs w:val="21"/>
                <w:highlight w:val="none"/>
              </w:rPr>
            </w:pPr>
            <w:r>
              <w:rPr>
                <w:rFonts w:hint="eastAsia" w:ascii="宋体" w:hAnsi="宋体" w:cs="宋体"/>
                <w:color w:val="auto"/>
                <w:szCs w:val="21"/>
                <w:highlight w:val="none"/>
              </w:rPr>
              <w:t>分值</w:t>
            </w:r>
          </w:p>
        </w:tc>
        <w:tc>
          <w:tcPr>
            <w:tcW w:w="6697" w:type="dxa"/>
            <w:noWrap w:val="0"/>
            <w:vAlign w:val="center"/>
          </w:tcPr>
          <w:p w14:paraId="1F36C70F">
            <w:pPr>
              <w:keepNext w:val="0"/>
              <w:keepLines w:val="0"/>
              <w:suppressLineNumbers w:val="0"/>
              <w:spacing w:before="0" w:beforeAutospacing="0" w:after="0" w:afterAutospacing="0" w:line="50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评审细则</w:t>
            </w:r>
          </w:p>
        </w:tc>
      </w:tr>
      <w:tr w14:paraId="69E2F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14" w:type="dxa"/>
            <w:noWrap w:val="0"/>
            <w:vAlign w:val="center"/>
          </w:tcPr>
          <w:p w14:paraId="774EC847">
            <w:pPr>
              <w:keepNext w:val="0"/>
              <w:keepLines w:val="0"/>
              <w:suppressLineNumbers w:val="0"/>
              <w:spacing w:before="0" w:beforeAutospacing="0" w:after="0" w:afterAutospacing="0" w:line="50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511" w:type="dxa"/>
            <w:noWrap w:val="0"/>
            <w:vAlign w:val="center"/>
          </w:tcPr>
          <w:p w14:paraId="193A52BD">
            <w:pPr>
              <w:keepNext w:val="0"/>
              <w:keepLines w:val="0"/>
              <w:suppressLineNumbers w:val="0"/>
              <w:spacing w:before="0" w:beforeAutospacing="0" w:after="0" w:afterAutospacing="0" w:line="500" w:lineRule="exact"/>
              <w:ind w:left="0" w:right="0"/>
              <w:jc w:val="center"/>
              <w:rPr>
                <w:rFonts w:hint="eastAsia" w:ascii="宋体" w:hAnsi="宋体" w:cs="宋体"/>
                <w:color w:val="auto"/>
                <w:szCs w:val="21"/>
                <w:highlight w:val="none"/>
              </w:rPr>
            </w:pPr>
            <w:r>
              <w:rPr>
                <w:rFonts w:hint="eastAsia" w:ascii="宋体" w:hAnsi="宋体" w:cs="宋体"/>
                <w:color w:val="auto"/>
                <w:szCs w:val="21"/>
                <w:highlight w:val="none"/>
              </w:rPr>
              <w:t>报价</w:t>
            </w:r>
          </w:p>
        </w:tc>
        <w:tc>
          <w:tcPr>
            <w:tcW w:w="820" w:type="dxa"/>
            <w:noWrap w:val="0"/>
            <w:vAlign w:val="center"/>
          </w:tcPr>
          <w:p w14:paraId="1A8DE0C6">
            <w:pPr>
              <w:keepNext w:val="0"/>
              <w:keepLines w:val="0"/>
              <w:suppressLineNumbers w:val="0"/>
              <w:spacing w:before="0" w:beforeAutospacing="0" w:after="0" w:afterAutospacing="0" w:line="500" w:lineRule="exact"/>
              <w:ind w:left="0" w:right="0"/>
              <w:jc w:val="center"/>
              <w:rPr>
                <w:rFonts w:hint="eastAsia" w:ascii="Times New Roman" w:hAnsi="宋体" w:cs="Times New Roman"/>
                <w:bCs/>
                <w:color w:val="auto"/>
                <w:szCs w:val="21"/>
                <w:highlight w:val="none"/>
              </w:rPr>
            </w:pP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lang w:val="en-US" w:eastAsia="zh-CN"/>
              </w:rPr>
              <w:t>分</w:t>
            </w:r>
          </w:p>
        </w:tc>
        <w:tc>
          <w:tcPr>
            <w:tcW w:w="6697" w:type="dxa"/>
            <w:noWrap w:val="0"/>
            <w:vAlign w:val="center"/>
          </w:tcPr>
          <w:p w14:paraId="2ED23268">
            <w:pPr>
              <w:keepNext w:val="0"/>
              <w:keepLines w:val="0"/>
              <w:suppressLineNumbers w:val="0"/>
              <w:spacing w:before="0" w:beforeAutospacing="0" w:after="0" w:afterAutospacing="0" w:line="500" w:lineRule="exact"/>
              <w:ind w:left="0" w:right="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本项目食堂经营方实行“零租赁”，无需报价</w:t>
            </w:r>
            <w:r>
              <w:rPr>
                <w:rFonts w:hint="eastAsia" w:ascii="宋体" w:hAnsi="宋体" w:cs="宋体"/>
                <w:color w:val="auto"/>
                <w:szCs w:val="21"/>
                <w:highlight w:val="none"/>
                <w:lang w:eastAsia="zh-CN"/>
              </w:rPr>
              <w:t>。</w:t>
            </w:r>
          </w:p>
        </w:tc>
      </w:tr>
    </w:tbl>
    <w:p w14:paraId="63F152E7">
      <w:pPr>
        <w:spacing w:line="440" w:lineRule="exact"/>
        <w:ind w:right="569" w:rightChars="271" w:firstLine="422" w:firstLineChars="200"/>
        <w:jc w:val="left"/>
        <w:rPr>
          <w:rFonts w:hint="eastAsia" w:ascii="宋体" w:hAnsi="宋体" w:cs="宋体"/>
          <w:b/>
          <w:bCs w:val="0"/>
          <w:color w:val="auto"/>
          <w:szCs w:val="21"/>
          <w:highlight w:val="none"/>
        </w:rPr>
      </w:pPr>
      <w:r>
        <w:rPr>
          <w:rFonts w:hint="eastAsia" w:ascii="宋体" w:hAnsi="宋体" w:cs="宋体"/>
          <w:b/>
          <w:bCs w:val="0"/>
          <w:color w:val="auto"/>
          <w:szCs w:val="21"/>
          <w:highlight w:val="none"/>
        </w:rPr>
        <w:t>特别说明：</w:t>
      </w:r>
    </w:p>
    <w:p w14:paraId="4192131B">
      <w:pPr>
        <w:keepNext w:val="0"/>
        <w:keepLines w:val="0"/>
        <w:pageBreakBefore w:val="0"/>
        <w:widowControl w:val="0"/>
        <w:kinsoku/>
        <w:wordWrap/>
        <w:overflowPunct/>
        <w:topLinePunct w:val="0"/>
        <w:autoSpaceDE/>
        <w:autoSpaceDN/>
        <w:bidi w:val="0"/>
        <w:adjustRightInd/>
        <w:snapToGrid/>
        <w:spacing w:line="440" w:lineRule="exact"/>
        <w:ind w:right="0" w:rightChars="0" w:firstLine="422" w:firstLineChars="200"/>
        <w:jc w:val="left"/>
        <w:textAlignment w:val="auto"/>
        <w:rPr>
          <w:rFonts w:hint="eastAsia" w:ascii="宋体" w:hAnsi="宋体" w:cs="宋体"/>
          <w:b/>
          <w:bCs w:val="0"/>
          <w:color w:val="auto"/>
          <w:szCs w:val="21"/>
          <w:highlight w:val="none"/>
        </w:rPr>
      </w:pPr>
      <w:r>
        <w:rPr>
          <w:rFonts w:hint="eastAsia" w:ascii="宋体" w:hAnsi="宋体" w:cs="宋体"/>
          <w:b/>
          <w:bCs w:val="0"/>
          <w:color w:val="auto"/>
          <w:szCs w:val="21"/>
          <w:highlight w:val="none"/>
        </w:rPr>
        <w:t>1.评标专家检验电子投标文件的上述材料，如果由于投标人自身原因导致评标专家无法查看并检验电子投标文件中以上相关资料的，后果有投标人自行承担。</w:t>
      </w:r>
    </w:p>
    <w:p w14:paraId="71ABFE42">
      <w:pPr>
        <w:spacing w:line="440" w:lineRule="exact"/>
        <w:ind w:right="569" w:rightChars="271" w:firstLine="422" w:firstLineChars="200"/>
        <w:jc w:val="left"/>
        <w:rPr>
          <w:rFonts w:hint="eastAsia" w:ascii="宋体" w:hAnsi="宋体" w:cs="宋体"/>
          <w:bCs/>
          <w:color w:val="auto"/>
          <w:szCs w:val="21"/>
          <w:highlight w:val="none"/>
          <w:lang w:eastAsia="zh-CN"/>
        </w:rPr>
      </w:pPr>
      <w:r>
        <w:rPr>
          <w:rFonts w:hint="eastAsia" w:ascii="宋体" w:hAnsi="宋体" w:cs="宋体"/>
          <w:b/>
          <w:bCs w:val="0"/>
          <w:color w:val="auto"/>
          <w:szCs w:val="21"/>
          <w:highlight w:val="none"/>
        </w:rPr>
        <w:t>2.以上分值均保留二位小数，小数点后第三位四舍五入</w:t>
      </w:r>
      <w:r>
        <w:rPr>
          <w:rFonts w:hint="eastAsia" w:ascii="宋体" w:hAnsi="宋体" w:cs="宋体"/>
          <w:b/>
          <w:bCs w:val="0"/>
          <w:color w:val="auto"/>
          <w:szCs w:val="21"/>
          <w:highlight w:val="none"/>
          <w:lang w:eastAsia="zh-CN"/>
        </w:rPr>
        <w:t>。</w:t>
      </w:r>
    </w:p>
    <w:p w14:paraId="7C72D7D3">
      <w:pPr>
        <w:spacing w:line="440" w:lineRule="exact"/>
        <w:ind w:right="569" w:rightChars="271" w:firstLine="420" w:firstLineChars="200"/>
        <w:jc w:val="left"/>
        <w:rPr>
          <w:rFonts w:hint="eastAsia" w:ascii="宋体" w:hAnsi="宋体" w:cs="宋体"/>
          <w:bCs/>
          <w:color w:val="auto"/>
          <w:szCs w:val="21"/>
          <w:highlight w:val="none"/>
        </w:rPr>
      </w:pPr>
    </w:p>
    <w:p w14:paraId="40A2B072">
      <w:pPr>
        <w:spacing w:before="156" w:beforeLines="50" w:after="156" w:afterLines="50" w:line="440" w:lineRule="exact"/>
        <w:jc w:val="center"/>
        <w:outlineLvl w:val="1"/>
        <w:rPr>
          <w:rFonts w:hint="eastAsia" w:ascii="宋体"/>
          <w:b/>
          <w:color w:val="auto"/>
          <w:sz w:val="28"/>
          <w:szCs w:val="28"/>
          <w:highlight w:val="none"/>
        </w:rPr>
      </w:pPr>
      <w:bookmarkStart w:id="128" w:name="_Toc58430321"/>
      <w:bookmarkStart w:id="129" w:name="_Toc311"/>
      <w:bookmarkStart w:id="130" w:name="_Toc2490"/>
      <w:bookmarkStart w:id="131" w:name="_Toc28499"/>
      <w:r>
        <w:rPr>
          <w:rFonts w:hint="eastAsia" w:ascii="宋体"/>
          <w:b/>
          <w:color w:val="auto"/>
          <w:sz w:val="28"/>
          <w:szCs w:val="28"/>
          <w:highlight w:val="none"/>
        </w:rPr>
        <w:t>五、推荐中标候选人</w:t>
      </w:r>
      <w:bookmarkEnd w:id="126"/>
      <w:bookmarkEnd w:id="127"/>
      <w:bookmarkEnd w:id="128"/>
      <w:bookmarkEnd w:id="129"/>
      <w:bookmarkEnd w:id="130"/>
      <w:bookmarkEnd w:id="131"/>
    </w:p>
    <w:bookmarkEnd w:id="107"/>
    <w:p w14:paraId="3474ADF9">
      <w:pPr>
        <w:snapToGrid w:val="0"/>
        <w:spacing w:line="440" w:lineRule="exact"/>
        <w:ind w:right="-212" w:rightChars="-101"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7.评标委员会</w:t>
      </w:r>
      <w:r>
        <w:rPr>
          <w:rFonts w:hint="eastAsia" w:ascii="宋体" w:hAnsi="宋体" w:cs="宋体"/>
          <w:color w:val="auto"/>
          <w:szCs w:val="21"/>
          <w:highlight w:val="none"/>
          <w:lang w:val="en-US" w:eastAsia="zh-CN"/>
        </w:rPr>
        <w:t>按照投标人总得分由高到低的原则，</w:t>
      </w:r>
      <w:r>
        <w:rPr>
          <w:rFonts w:hint="eastAsia" w:ascii="宋体" w:hAnsi="宋体" w:cs="宋体"/>
          <w:color w:val="auto"/>
          <w:szCs w:val="21"/>
          <w:highlight w:val="none"/>
        </w:rPr>
        <w:t>根据第二章投标人须知及前附表的规定数量推荐中标候选人，并标明排序。</w:t>
      </w:r>
    </w:p>
    <w:p w14:paraId="28CAA83A">
      <w:pPr>
        <w:snapToGrid w:val="0"/>
        <w:spacing w:line="440" w:lineRule="exact"/>
        <w:ind w:right="-212" w:rightChars="-101"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7.1如出现报价相同情况，则由招标人现场抽签确定中标候选人排名顺序。</w:t>
      </w:r>
    </w:p>
    <w:p w14:paraId="09CD48C8">
      <w:pPr>
        <w:snapToGrid w:val="0"/>
        <w:spacing w:line="440" w:lineRule="exact"/>
        <w:ind w:right="-212" w:rightChars="-101"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根据评标委员会评审初步结论，项目单位（代理机构）对预中标候选人</w:t>
      </w:r>
      <w:r>
        <w:rPr>
          <w:rFonts w:hint="eastAsia" w:ascii="Times New Roman" w:hAnsi="Times New Roman"/>
          <w:smallCaps w:val="0"/>
          <w:color w:val="auto"/>
          <w:highlight w:val="none"/>
        </w:rPr>
        <w:t>（包括联合体各成员）</w:t>
      </w:r>
      <w:r>
        <w:rPr>
          <w:rFonts w:hint="eastAsia" w:ascii="宋体" w:hAnsi="宋体" w:cs="宋体"/>
          <w:color w:val="auto"/>
          <w:szCs w:val="21"/>
          <w:highlight w:val="none"/>
        </w:rPr>
        <w:t>是否存在招标文件要求查询的失信行为进行网上核查后，提交网站截图等查询记录给评标委员会复核。若核查结果不符合招标文件规定的投标人资格条件信誉要求，由评标委员会取消其预中标候选人资格，并依次替补，再次对替补单位进行核查。如评标现场未发现问题但标后质疑（异议）、投诉发现中标候选人</w:t>
      </w:r>
      <w:r>
        <w:rPr>
          <w:rFonts w:hint="eastAsia" w:ascii="Times New Roman" w:hAnsi="Times New Roman"/>
          <w:smallCaps w:val="0"/>
          <w:color w:val="auto"/>
          <w:highlight w:val="none"/>
        </w:rPr>
        <w:t>（包括联合体各成员）</w:t>
      </w:r>
      <w:r>
        <w:rPr>
          <w:rFonts w:hint="eastAsia" w:ascii="宋体" w:hAnsi="宋体" w:cs="宋体"/>
          <w:color w:val="auto"/>
          <w:szCs w:val="21"/>
          <w:highlight w:val="none"/>
        </w:rPr>
        <w:t>存在信誉问题，则组织评标委员会重新启动复核程序。</w:t>
      </w:r>
    </w:p>
    <w:p w14:paraId="54B18FCB">
      <w:pPr>
        <w:snapToGrid w:val="0"/>
        <w:spacing w:line="440" w:lineRule="exact"/>
        <w:ind w:right="-212" w:rightChars="-101"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8.无效投标条款</w:t>
      </w:r>
    </w:p>
    <w:p w14:paraId="53DE1AFA">
      <w:pPr>
        <w:snapToGrid w:val="0"/>
        <w:spacing w:line="440" w:lineRule="exact"/>
        <w:ind w:right="-212" w:rightChars="-101" w:firstLine="420" w:firstLineChars="200"/>
        <w:rPr>
          <w:rFonts w:hint="eastAsia" w:ascii="宋体" w:hAnsi="宋体" w:cs="宋体"/>
          <w:color w:val="auto"/>
          <w:szCs w:val="21"/>
          <w:highlight w:val="none"/>
        </w:rPr>
      </w:pPr>
      <w:r>
        <w:rPr>
          <w:rFonts w:hint="eastAsia" w:ascii="宋体" w:hAnsi="宋体" w:cs="宋体"/>
          <w:color w:val="auto"/>
          <w:szCs w:val="21"/>
          <w:highlight w:val="none"/>
        </w:rPr>
        <w:t>8.1投标文件有下列情形之一的,其投标文件拒收:</w:t>
      </w:r>
    </w:p>
    <w:p w14:paraId="3116B546">
      <w:pPr>
        <w:snapToGrid w:val="0"/>
        <w:spacing w:line="440" w:lineRule="exact"/>
        <w:ind w:right="-212" w:rightChars="-101"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（1）未在开标截止时间前通过网上招标投标系统递交有效电子投标文件的，开标系统不予接收，投标将被拒绝。</w:t>
      </w:r>
    </w:p>
    <w:p w14:paraId="747E553A">
      <w:pPr>
        <w:snapToGrid w:val="0"/>
        <w:spacing w:line="440" w:lineRule="exact"/>
        <w:ind w:right="-212" w:rightChars="-101"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2）投标企业接到远程解密指令后，须在规定时间内解密。因投标人自身原因导致投标文件在规定时间内未能解密、解密失败或解密超时，投标文件无效；解密时间：从本项目网上招投标系统解密倒计时开始，至完成投标文件解密时间，不得超过 60 分钟，否则投标文件将被拒绝。</w:t>
      </w:r>
    </w:p>
    <w:p w14:paraId="615EA289">
      <w:pPr>
        <w:snapToGrid w:val="0"/>
        <w:spacing w:line="440" w:lineRule="exact"/>
        <w:ind w:right="-212" w:rightChars="-101"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8.2 投标人有下列情形之一的,资格审查后其投标作无效投标处理：</w:t>
      </w:r>
    </w:p>
    <w:p w14:paraId="6487FBF5">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(1)投标人为本项目提供招标代理服务的；</w:t>
      </w:r>
    </w:p>
    <w:p w14:paraId="6E52CD65">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(2)投标人与在本项目代理机构存在相互任职或工作的；</w:t>
      </w:r>
    </w:p>
    <w:p w14:paraId="79F7B826">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(3)与采购人存在利害关系可能影响采购公正性的法人、其他组织或者个人；</w:t>
      </w:r>
    </w:p>
    <w:p w14:paraId="28743079">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(4)评标专家无法查看并检验电子投标文件中相关资料的；</w:t>
      </w:r>
    </w:p>
    <w:p w14:paraId="08DC6533">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)联合体投标未提交联合体协议的；</w:t>
      </w:r>
    </w:p>
    <w:p w14:paraId="2FFDADE0">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)责令停产停业的；</w:t>
      </w:r>
    </w:p>
    <w:p w14:paraId="452D408A">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)暂停或者取消参与采购项目资格的；</w:t>
      </w:r>
    </w:p>
    <w:p w14:paraId="0F0428B3">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)投标人单位负责人为同一人或者存在直接控股、管理关系的不同单位的；</w:t>
      </w:r>
    </w:p>
    <w:p w14:paraId="7090DE8B">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)投标人基本资格条件和特定资格条件中有一项及以上不符合要求的；</w:t>
      </w:r>
    </w:p>
    <w:p w14:paraId="1A51A058">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开标时查询投标文件制作机器码、文件创建标识码及造价软件加密锁号。若存在投标文件制作机器码或创建标识码或造价软件加密锁号信息与其他投标人雷同的，投标无效、进行信用信息披露，行政监管部门将依据线索依法查处；</w:t>
      </w:r>
    </w:p>
    <w:p w14:paraId="2712EFFD">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11</w:t>
      </w:r>
      <w:r>
        <w:rPr>
          <w:rFonts w:hint="eastAsia" w:ascii="宋体" w:hAnsi="宋体" w:cs="宋体"/>
          <w:color w:val="auto"/>
          <w:szCs w:val="21"/>
          <w:highlight w:val="none"/>
        </w:rPr>
        <w:t>)其它情形，经评标委员会提出按无效投标处理，并经公共资源交易监督部门核准的；</w:t>
      </w:r>
    </w:p>
    <w:p w14:paraId="4BD24C1A">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)投标人投标MAC地址一致，由评标委员会否决其投标；</w:t>
      </w:r>
    </w:p>
    <w:p w14:paraId="5E4C4F2D">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)投标人单方面出现其他投标人材料的；</w:t>
      </w:r>
    </w:p>
    <w:p w14:paraId="217D54BC">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)投标人联系人或联系电话相同的，由评标委员会否决其投标，并报告监管部门作不良行为处理和进一步调查；</w:t>
      </w:r>
    </w:p>
    <w:p w14:paraId="2764BC10">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)招标文件规定的其它无效投标情形。</w:t>
      </w:r>
    </w:p>
    <w:p w14:paraId="0476BEC4">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 xml:space="preserve"> 8.3 投标人有下列情形之一的,符合性审查后其投标按无效投标处理：</w:t>
      </w:r>
    </w:p>
    <w:p w14:paraId="6E5B5D5A">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）投标文件签字、盖章不全，经评标委员会一致认定对开评标内容有实质性影响并经公共资源交易监督部门核准的；</w:t>
      </w:r>
    </w:p>
    <w:p w14:paraId="50F49B11">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）未按规定的格式填写导致实质性内容不全以及实质上不响应，或者关键字迹模糊、无法辨认； 经公共资源交易监督部门核准的；</w:t>
      </w:r>
    </w:p>
    <w:p w14:paraId="6FBE3A5A">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）同一投标人提交两个以上不同的投标文件或者投标报价，但招标文件规定提交备选方案的除外；</w:t>
      </w:r>
    </w:p>
    <w:p w14:paraId="1A70015D">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）投标文件没有对招标文件的实质性要求和条件作出响应;</w:t>
      </w:r>
    </w:p>
    <w:p w14:paraId="2C261EFD">
      <w:pPr>
        <w:keepNext w:val="0"/>
        <w:keepLines w:val="0"/>
        <w:pageBreakBefore w:val="0"/>
        <w:widowControl w:val="0"/>
        <w:shd w:val="clear" w:color="auto" w:fill="auto"/>
        <w:kinsoku/>
        <w:wordWrap/>
        <w:overflowPunct/>
        <w:topLinePunct w:val="0"/>
        <w:autoSpaceDE/>
        <w:autoSpaceDN/>
        <w:bidi w:val="0"/>
        <w:adjustRightInd/>
        <w:spacing w:line="500" w:lineRule="exact"/>
        <w:ind w:right="0" w:rightChars="0" w:firstLine="420" w:firstLineChars="200"/>
        <w:jc w:val="left"/>
        <w:textAlignment w:val="auto"/>
        <w:rPr>
          <w:rFonts w:ascii="宋体" w:hAnsi="宋体" w:cs="宋体"/>
          <w:b/>
          <w:bCs/>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）投标报价超出规定的投标限价或公布的采购预算的或投标人的投标报价各项单价高于招标文件给定的单价最高限价；</w:t>
      </w:r>
    </w:p>
    <w:p w14:paraId="5F1DDF29">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）不按评标委员会要求澄清、说明或补正的，或者评标委员会根据招标文件的规定对招标文件的计算错误进行修正后，投标人不接受修正的投标报价的。</w:t>
      </w:r>
    </w:p>
    <w:p w14:paraId="4117A134">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）其它情形，经评标委员会提出按无效投标处理，并经公共资源交易监督部门核准的；</w:t>
      </w:r>
    </w:p>
    <w:p w14:paraId="2AB6FC18">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）投标文件含有招标人不能接受的附加条件的;</w:t>
      </w:r>
    </w:p>
    <w:p w14:paraId="12FE744E">
      <w:pPr>
        <w:keepNext w:val="0"/>
        <w:keepLines w:val="0"/>
        <w:pageBreakBefore w:val="0"/>
        <w:widowControl w:val="0"/>
        <w:shd w:val="clear" w:color="auto" w:fill="auto"/>
        <w:tabs>
          <w:tab w:val="left" w:pos="1123"/>
        </w:tabs>
        <w:kinsoku/>
        <w:wordWrap/>
        <w:overflowPunct/>
        <w:topLinePunct w:val="0"/>
        <w:autoSpaceDE/>
        <w:autoSpaceDN/>
        <w:bidi w:val="0"/>
        <w:adjustRightInd/>
        <w:snapToGrid w:val="0"/>
        <w:spacing w:line="500" w:lineRule="exact"/>
        <w:ind w:right="0" w:rightChars="0"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（9）招标文件规定的其它无效投标情形。</w:t>
      </w:r>
    </w:p>
    <w:p w14:paraId="4ECBA5F0">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8.4 投标人有下列情形之一的, 详细评审后其投标按无效投标处理：</w:t>
      </w:r>
    </w:p>
    <w:p w14:paraId="4813B2B8">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）投标产品不符合必须强制执行的国家标准的；</w:t>
      </w:r>
    </w:p>
    <w:p w14:paraId="6EB69EA4">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）投标人有串通投标、弄虚作假、行贿等违法行为；</w:t>
      </w:r>
    </w:p>
    <w:p w14:paraId="637F759B">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）投标文件含有违反国家法律、法规的内容，或附有招标人不能接受的条件的；</w:t>
      </w:r>
    </w:p>
    <w:p w14:paraId="4687FA5E">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（4）报价明显低于其他投标人，且不能证明报价合理性的投标无效；</w:t>
      </w:r>
    </w:p>
    <w:p w14:paraId="06F6290E">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（5）拒不确认评标委员会评审修正的投标无效；</w:t>
      </w:r>
    </w:p>
    <w:p w14:paraId="3CCF39A9">
      <w:pPr>
        <w:keepNext w:val="0"/>
        <w:keepLines w:val="0"/>
        <w:pageBreakBefore w:val="0"/>
        <w:widowControl w:val="0"/>
        <w:shd w:val="clear" w:color="auto" w:fill="auto"/>
        <w:kinsoku/>
        <w:wordWrap/>
        <w:overflowPunct/>
        <w:topLinePunct w:val="0"/>
        <w:autoSpaceDE/>
        <w:autoSpaceDN/>
        <w:bidi w:val="0"/>
        <w:adjustRightInd/>
        <w:snapToGrid w:val="0"/>
        <w:spacing w:line="500" w:lineRule="exact"/>
        <w:ind w:right="0" w:rightChars="0"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（6）其它情形，经评标委员会提出按无效投标处理，并经公共资源交易监督部门核准的；</w:t>
      </w:r>
    </w:p>
    <w:p w14:paraId="19746E47">
      <w:pPr>
        <w:snapToGrid w:val="0"/>
        <w:spacing w:line="440" w:lineRule="exact"/>
        <w:ind w:right="-212" w:rightChars="-101" w:firstLine="420" w:firstLineChars="20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）招标文件规定的其它无效投标情形。</w:t>
      </w:r>
    </w:p>
    <w:p w14:paraId="4493B460">
      <w:pPr>
        <w:jc w:val="center"/>
        <w:outlineLvl w:val="0"/>
        <w:rPr>
          <w:rFonts w:hint="eastAsia" w:ascii="宋体" w:hAnsi="宋体" w:eastAsia="宋体" w:cs="宋体"/>
          <w:color w:val="auto"/>
          <w:szCs w:val="21"/>
          <w:highlight w:val="none"/>
          <w:lang w:eastAsia="zh-CN"/>
        </w:rPr>
      </w:pPr>
      <w:r>
        <w:rPr>
          <w:rFonts w:hint="eastAsia"/>
          <w:color w:val="auto"/>
          <w:highlight w:val="none"/>
        </w:rPr>
        <w:br w:type="page"/>
      </w:r>
      <w:bookmarkStart w:id="132" w:name="_Toc1228"/>
      <w:r>
        <w:rPr>
          <w:rFonts w:hint="eastAsia" w:ascii="宋体"/>
          <w:b/>
          <w:color w:val="auto"/>
          <w:sz w:val="32"/>
          <w:szCs w:val="32"/>
          <w:highlight w:val="none"/>
        </w:rPr>
        <w:t xml:space="preserve">第四章  </w:t>
      </w:r>
      <w:bookmarkEnd w:id="108"/>
      <w:bookmarkEnd w:id="132"/>
      <w:r>
        <w:rPr>
          <w:rFonts w:hint="eastAsia" w:ascii="宋体"/>
          <w:b/>
          <w:color w:val="auto"/>
          <w:sz w:val="32"/>
          <w:szCs w:val="32"/>
          <w:highlight w:val="none"/>
        </w:rPr>
        <w:t>采购需求</w:t>
      </w:r>
      <w:bookmarkStart w:id="133" w:name="_Toc8709"/>
      <w:bookmarkStart w:id="134" w:name="_Toc449028945"/>
    </w:p>
    <w:bookmarkEnd w:id="133"/>
    <w:p w14:paraId="42AC4BC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以下条款所涉及的文件及规定，如与现行行政主管部门和业务主管部门的相关文件及规定有冲突的，执行最新文件。</w:t>
      </w:r>
    </w:p>
    <w:p w14:paraId="07A9F228">
      <w:pPr>
        <w:keepNext w:val="0"/>
        <w:keepLines w:val="0"/>
        <w:pageBreakBefore w:val="0"/>
        <w:widowControl w:val="0"/>
        <w:kinsoku/>
        <w:wordWrap/>
        <w:overflowPunct/>
        <w:topLinePunct w:val="0"/>
        <w:autoSpaceDE/>
        <w:autoSpaceDN/>
        <w:bidi w:val="0"/>
        <w:adjustRightInd/>
        <w:snapToGrid/>
        <w:spacing w:before="0" w:beforeLines="50" w:after="0" w:afterLines="50"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一、项目概况</w:t>
      </w:r>
    </w:p>
    <w:p w14:paraId="36C6CB4D">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（一）基本情况</w:t>
      </w:r>
    </w:p>
    <w:p w14:paraId="0131D39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滁州市实验中学高中部位于滁州市西涧路2697号，学校占地约90亩，建筑面积4.65万平方米。学校高中部现有教职工约200人，在校学生约2900人。学生食堂位于学校高中部生活区（西南侧），一栋三层单体建筑，建筑面积约4523平方米。现食堂委托合同期至2026年10月31日止，本次招标拟引进一家餐饮企业，</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rPr>
        <w:t>一、二层食堂餐饮服务（不含商店），食堂供应早、中、晚三餐。实行“零租赁”，免收中标</w:t>
      </w:r>
      <w:r>
        <w:rPr>
          <w:rFonts w:hint="eastAsia" w:ascii="宋体" w:hAnsi="宋体" w:eastAsia="宋体" w:cs="宋体"/>
          <w:color w:val="auto"/>
          <w:sz w:val="21"/>
          <w:szCs w:val="21"/>
          <w:highlight w:val="none"/>
          <w:lang w:val="en-US" w:eastAsia="zh-CN"/>
        </w:rPr>
        <w:t>人</w:t>
      </w:r>
      <w:r>
        <w:rPr>
          <w:rFonts w:hint="eastAsia" w:ascii="宋体" w:hAnsi="宋体" w:eastAsia="宋体" w:cs="宋体"/>
          <w:color w:val="auto"/>
          <w:sz w:val="21"/>
          <w:szCs w:val="21"/>
          <w:highlight w:val="none"/>
        </w:rPr>
        <w:t>经营管理费。</w:t>
      </w:r>
    </w:p>
    <w:p w14:paraId="539D28AE">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（二）现有资产配置情况</w:t>
      </w:r>
    </w:p>
    <w:p w14:paraId="24383AD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1.学生食堂一、二层有基础装修，各功能用房以现场为准。</w:t>
      </w:r>
    </w:p>
    <w:p w14:paraId="5C1DB9E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2.中标人需按照招标人提供的场所组织餐饮服务，不得在指定的经营范围以外提供餐饮服务。</w:t>
      </w:r>
    </w:p>
    <w:p w14:paraId="6F3D8F7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招标人现有的设施设备可交接由中标人使用，但设备设施归属招标人国有资产，中标人承接项目时，应对所有场所、设施、设备进行认真查验、交接、清点并建立资产档案，负有规范使用和管理维护的责任，每年至少安排两次（寒暑假）全面检修，并负责承担维修维保和年检费用，确保经营期内房屋、设备、设施等国有资产的安全完好。如未能尽到维护保养义务，</w:t>
      </w:r>
      <w:r>
        <w:rPr>
          <w:rFonts w:hint="eastAsia" w:ascii="宋体" w:hAnsi="宋体" w:eastAsia="宋体" w:cs="宋体"/>
          <w:color w:val="auto"/>
          <w:sz w:val="21"/>
          <w:szCs w:val="21"/>
          <w:highlight w:val="none"/>
          <w:lang w:val="en-US" w:eastAsia="zh-CN"/>
        </w:rPr>
        <w:t>招标人</w:t>
      </w:r>
      <w:r>
        <w:rPr>
          <w:rFonts w:hint="eastAsia" w:ascii="宋体" w:hAnsi="宋体" w:eastAsia="宋体" w:cs="宋体"/>
          <w:color w:val="auto"/>
          <w:sz w:val="21"/>
          <w:szCs w:val="21"/>
          <w:highlight w:val="none"/>
        </w:rPr>
        <w:t>有权安排第三方维修保养，所需费用</w:t>
      </w:r>
      <w:r>
        <w:rPr>
          <w:rFonts w:hint="eastAsia" w:ascii="宋体" w:hAnsi="宋体" w:eastAsia="宋体" w:cs="宋体"/>
          <w:color w:val="auto"/>
          <w:sz w:val="21"/>
          <w:szCs w:val="21"/>
          <w:highlight w:val="none"/>
          <w:lang w:val="en-US" w:eastAsia="zh-CN"/>
        </w:rPr>
        <w:t>由中标人承担</w:t>
      </w:r>
      <w:r>
        <w:rPr>
          <w:rFonts w:hint="eastAsia" w:ascii="宋体" w:hAnsi="宋体" w:eastAsia="宋体" w:cs="宋体"/>
          <w:color w:val="auto"/>
          <w:sz w:val="21"/>
          <w:szCs w:val="21"/>
          <w:highlight w:val="none"/>
        </w:rPr>
        <w:t>。</w:t>
      </w:r>
    </w:p>
    <w:p w14:paraId="5AFB4A2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4.合同期内，除不可抗力和房屋建筑主体结构问题外，因交接物的原因导致的倒塌、水灾、火灾、爆炸、人身伤害等事故造成的损失，均由中标人独自承担全部责任，招标人不承担赔偿等任何责任。</w:t>
      </w:r>
    </w:p>
    <w:p w14:paraId="2383864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5.合同终止时，双方进行场所、设备、设施的清点，中标人对损坏部分应在规定期限内维修完好，并办理归还手续，对因经营或自身原因造成资产难以修复或丢失，由中标人按照资产重置价值赔偿。</w:t>
      </w:r>
    </w:p>
    <w:p w14:paraId="0F0ABAF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中标人要按照《餐饮服务食品安全操作规范》对经营场所改造，费用由中标人承担。中标人不得随意改动招标人提供的房屋结构，因经营服务的需要改变室内功能分区和水、电、燃气设施，必须经招标人审批同意。对私自改建导致损坏的设施设备，中标人应承担相应的维修责任并及时恢复原状，所产生的一切费用由中标人支付。</w:t>
      </w:r>
    </w:p>
    <w:p w14:paraId="40D0F08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7.合同终止时，依附于地面、墙壁、建筑物上的固定设施（含改造部分），无偿交给招标人，中标人不得以任何理由向招标人索要费用，不得提出任何补偿要求。</w:t>
      </w:r>
    </w:p>
    <w:p w14:paraId="2BC4966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8.除招标人配备的固定资产外，招标人有权要求中标人购置所需的餐桌椅家具、厨具或日常经营器具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产生的费用均由中标人自行承担、自行保管和使用，其产权归中标人所有，招标人不负责收购，中标人退出时不得提出任何补偿要求、不得用于抵扣相关费用。</w:t>
      </w:r>
    </w:p>
    <w:p w14:paraId="0F5C182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9.合同终止后，中标人须将自行购置的可移动设备于5日内搬离，逾期视为中标人自动放弃上述设备的所有权，由此造成的一切经济损失和法律责任由中标人自行承担。</w:t>
      </w:r>
    </w:p>
    <w:p w14:paraId="16171766">
      <w:pPr>
        <w:keepNext w:val="0"/>
        <w:keepLines w:val="0"/>
        <w:pageBreakBefore w:val="0"/>
        <w:widowControl w:val="0"/>
        <w:kinsoku/>
        <w:wordWrap/>
        <w:overflowPunct/>
        <w:topLinePunct w:val="0"/>
        <w:autoSpaceDE/>
        <w:autoSpaceDN/>
        <w:bidi w:val="0"/>
        <w:adjustRightInd/>
        <w:snapToGrid/>
        <w:spacing w:before="0" w:beforeLines="50" w:after="0" w:afterLines="50"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二、服务需求</w:t>
      </w:r>
    </w:p>
    <w:p w14:paraId="5CD59835">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（一）经营期限及主营伙食要求</w:t>
      </w:r>
    </w:p>
    <w:p w14:paraId="1053C30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食堂的主要职能是为师生提供餐饮服务，具有特定的服务性和公益性。食堂运营的总体目标是：食堂经营管理规范，就餐环境优美，后厨布局科学规范，售卖窗口规划合理，食品安全保障措施完善，服务育人文化建设氛围浓厚，师生就餐体验良好，菜品质量稳定、选择丰富、价格合理。投标人应充分了解学校学生生活规律和要求，充分认识校园餐饮所具有的公益性、保障性、时效性和阶段性等特征，正确处理好“基本大伙与特色风味”“学生需求与健康饮食”“实施优惠措施与学生得实惠”关系，在运营机制上既要遵循市场规律，更要发挥后勤保障性、基础性和先行性的作用。在服从招标人统一管理的前提下，坚持为师生员工服务的宗旨，充分考虑到大多数学生的经济消费能力，严格执行招标人和行业的相关规定控制饭菜价格，保障饭菜质量，不断提高服务水平和改善就餐环境。</w:t>
      </w:r>
    </w:p>
    <w:p w14:paraId="11D745CC">
      <w:pPr>
        <w:keepNext w:val="0"/>
        <w:keepLines w:val="0"/>
        <w:pageBreakBefore w:val="0"/>
        <w:widowControl w:val="0"/>
        <w:kinsoku/>
        <w:wordWrap/>
        <w:overflowPunct/>
        <w:topLinePunct w:val="0"/>
        <w:autoSpaceDE/>
        <w:autoSpaceDN/>
        <w:bidi w:val="0"/>
        <w:adjustRightInd/>
        <w:snapToGrid/>
        <w:spacing w:line="48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2.本次委托经营服务期限为3年，（第1年服务期限：合同签订之日起至 2027 年 7月 15日；后续年份服务期限：当年度7月16日—第2 年7 月15 日）</w:t>
      </w:r>
      <w:r>
        <w:rPr>
          <w:rFonts w:hint="eastAsia" w:ascii="宋体" w:hAnsi="宋体" w:eastAsia="宋体" w:cs="宋体"/>
          <w:color w:val="auto"/>
          <w:sz w:val="21"/>
          <w:szCs w:val="21"/>
          <w:highlight w:val="none"/>
        </w:rPr>
        <w:t>。每年进行一次年度综合考核评价，经招标人年度综合考核评价合格的，可续签下一年合同，续签合同一年一签模式，合同期满，自行终止。招标人每年依据《滁州市实验中学学生食堂管理考核办法》对中标人进行考核，年度综合考核合格后签订下一年合同。中标人在经营过程中出现责任事故，招标人有权提前终止合同。中标人接到</w:t>
      </w:r>
      <w:r>
        <w:rPr>
          <w:rFonts w:hint="eastAsia" w:ascii="宋体" w:hAnsi="宋体" w:eastAsia="宋体" w:cs="宋体"/>
          <w:color w:val="auto"/>
          <w:sz w:val="21"/>
          <w:szCs w:val="21"/>
          <w:highlight w:val="none"/>
          <w:lang w:val="en-US" w:eastAsia="zh-CN"/>
        </w:rPr>
        <w:t>招标人</w:t>
      </w:r>
      <w:r>
        <w:rPr>
          <w:rFonts w:hint="eastAsia" w:ascii="宋体" w:hAnsi="宋体" w:eastAsia="宋体" w:cs="宋体"/>
          <w:color w:val="auto"/>
          <w:sz w:val="21"/>
          <w:szCs w:val="21"/>
          <w:highlight w:val="none"/>
        </w:rPr>
        <w:t>通知后在7个日历天内完成进驻校方食堂，完成就餐保障等要求。</w:t>
      </w:r>
    </w:p>
    <w:p w14:paraId="6F7B568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人必须独立经营、统一管理、自负盈亏，严禁承包经营主体以任何方式分包、转包、买卖经营权。不得超出合同约定的经营范围，不得在食堂内或利用招标人资产搞不法经营。招标人对违规转包分包、买卖经营权等达到退出条件的，将依法依规解除合同。</w:t>
      </w:r>
    </w:p>
    <w:p w14:paraId="58DCD2E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学生食堂主要经营基本大伙、特色风味小吃、现场制作饮品（现场制作饮品的食品经营许可需单独申请），其中基本大伙范围包括：包子、馒头类，米饭、稀饭、粥类，面条、水饺、馄饨、米线（粉）类，炒菜、烧菜、炖菜类，各类大锅菜、套餐饭、盖浇饭、盖浇面及自选餐，以及根据需要设立的特色窗口；基本大伙范围之外的属于特色风味小吃（同层特殊风味不得重复经营）。</w:t>
      </w:r>
    </w:p>
    <w:p w14:paraId="05981C6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中标人要以办好满足师生需求的基本大伙为重点，坚持微利保本的经营原则，基本大伙的品种、范围比例等按照相关主管部门现行政策文件规定执行，基本大伙窗口占比不得低于食堂总售卖窗口的三分之二。饭菜价格按招标人明确的食堂菜品档次占比和饭菜份量标准执行，所有菜品的出品量、荤素比、售卖价，采取报批制。基本大伙配餐时应南北兼顾、品种多样、营养均衡，荤素搭配符合膳食营养规范，搭配多种新鲜蔬菜和适量禽肉蛋奶，定期循环更新菜谱，做好每日三餐菜谱品种结构与配比管理。制餐时应合理烹调，推进减盐、减油、减糖行动，少用煎、炸等可能产生影响健康的烹调方式。</w:t>
      </w:r>
    </w:p>
    <w:p w14:paraId="59B72CA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中标人在做好基本大伙、满足广大学生保障性需求的基础上，可适度开设“特色风味”服务，满足不同消费习惯的学生差异化需求。“特色风味”窗口经营实行审批管理，需具备与经营品种、数量相适应的场所及设备设施，其售卖窗口占比不得超过食堂总售卖窗口的三分之一，菜肴品种、菜品价格、成本核算、菜品质量标准等执行“一事一议一报批”，由招标人审核批准同意后方可实施，认真落实食堂统一食材采购管理、统一财务管理、统一监督管理、统一考核评价等要求。招标人有权要求中标人开设档口的类型和菜式的品种，中标人应无条件服从。如开设的档口服务质量和供餐质量较差，或不适合在校园继续经营，招标人有权要求中标人更换档口，中标人应无条件服从。</w:t>
      </w:r>
    </w:p>
    <w:p w14:paraId="5A1059B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中标人在经营管理方面必须服从招标人的整体大局需求，根据招标人规定的营业时间按时为师生提供餐饮服务，除不可抗力外，不得以任何理由不按时或不充足提供膳食保障，不得以任何理由减少营业时间和营业窗口，否则视为严重违约，招标人有权解除合同，并追究违约责任。中标人应制定满足师生就餐需求的突发性事件相关应急预案，如停电、停气、停水、社会重大事件等，并做好必要的应急准备，产生的一切费用均由中标人承担，尽最大能力保障供餐，因保障不力，招标人要追究中标人责任。特殊情况如开会、考试、军训、放假等需调整供餐时间的，中标人必须服从招标人安排。寒暑假、节假日营业时间由招标人另行通知中标人，中标人接到通知后无条件做好饮食保障工作。</w:t>
      </w:r>
    </w:p>
    <w:p w14:paraId="660D724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（二）安全卫生管理</w:t>
      </w:r>
    </w:p>
    <w:p w14:paraId="6487896D">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8.安全卫生主体责任</w:t>
      </w:r>
    </w:p>
    <w:p w14:paraId="2442C3E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（1）中标人对</w:t>
      </w:r>
      <w:r>
        <w:rPr>
          <w:rFonts w:hint="eastAsia" w:ascii="宋体" w:hAnsi="宋体" w:eastAsia="宋体" w:cs="宋体"/>
          <w:color w:val="auto"/>
          <w:sz w:val="21"/>
          <w:szCs w:val="21"/>
          <w:highlight w:val="none"/>
          <w:lang w:val="en-US" w:eastAsia="zh-CN"/>
        </w:rPr>
        <w:t>经营</w:t>
      </w:r>
      <w:r>
        <w:rPr>
          <w:rFonts w:hint="eastAsia" w:ascii="宋体" w:hAnsi="宋体" w:eastAsia="宋体" w:cs="宋体"/>
          <w:color w:val="auto"/>
          <w:sz w:val="21"/>
          <w:szCs w:val="21"/>
          <w:highlight w:val="none"/>
        </w:rPr>
        <w:t>的食堂工作负全面责任，其法定代表人是食品安全、消防安全、人身安全、食堂维稳的第一责任人，对相应工作负有直接的组织和管理义务，独立承担全部经济风险和法律责任。中标人须建立健全岗位责任制和责任追究制，做到层层把关，措施落实、责任到人，保证安全监督制度的落实。食堂管理负责人是食堂防火防盗、防爆炸等安全防范和食品安全卫生监督管理责任人。中标人在经营过程中如违反有关法律法规及学校相关规定，视为中标人违约，招标人可根据合同约定条款单方面提前解除合同，由此造成的一切损失由中标人承担。</w:t>
      </w:r>
    </w:p>
    <w:p w14:paraId="0832F2B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人须与招标人签订《食品安全责任书》和《治安消防安全管理责任书》，严格落实《中华人民共和国食品安全法》《中华人民共和国食品安全法实施条例》和《集中用餐单位落实食品安全主体责任监督管理规定》等法律法规制度要求，采取人员培训考核、完善操作流程、排查整改各类隐患、定期演练应急处置预案等一切必要措施，严防严管严控校园食品安全风险，做到层层把关、措施落实、责任到人，确保在经营期内不发生食品卫生安全、消防安全、人身设备安全等各类事故。如发生食品安全、消防安全等事故，所造成的一切损失均由中标人负责，直至追究相应刑事责任。</w:t>
      </w:r>
    </w:p>
    <w:p w14:paraId="38B6D92F">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人须建立基于食品安全风险防控的动态管理机制，结合实际制定并及时更新《食品安全风险管控清单》，建立健全日管控、周排查、月调度工作机制。经营期间，食品安全员每日根据《食品安全风险管控清单》进行检查，形成《每日食品安全检查记录台账》，对发现的食品安全风险隐患，应当立即采取防范措施，按照程序及时上报食品安全总监或主要负责人。未发现问题的，也应当予以记录，实行零风险报告。食品安全总监或食品安全员每周至少组织1次风险隐患排查，分析研判食品安全管理情况，研究解决日管控中发现的问题，形成《每周食品安全排查治理报告》。</w:t>
      </w:r>
      <w:r>
        <w:rPr>
          <w:rFonts w:hint="eastAsia" w:ascii="宋体" w:hAnsi="宋体" w:eastAsia="宋体" w:cs="宋体"/>
          <w:b/>
          <w:bCs/>
          <w:color w:val="auto"/>
          <w:sz w:val="21"/>
          <w:szCs w:val="21"/>
          <w:highlight w:val="none"/>
        </w:rPr>
        <w:t>招标人每月至少听取1次食品安全总监管理工作情况汇报，对当月食品安全日常管理、风险隐患排查治理等情况进行工作总结，对下个月重点工作作出安排，形成《每月食品安全调度会议纪要》。项目经理、食品安全总监、食品安全员等人员的配备调整情况，《食品安全风险管控清单》《每日食品安全检查记录台账》《每周食品安全排查治理报告》《每月食品安全调度会议纪要》以及食品安全总监、食品安全员提出的意见建议和报告等履职情况予以记录并存档备查</w:t>
      </w:r>
      <w:r>
        <w:rPr>
          <w:rFonts w:hint="eastAsia" w:ascii="宋体" w:hAnsi="宋体" w:eastAsia="宋体" w:cs="宋体"/>
          <w:color w:val="auto"/>
          <w:sz w:val="21"/>
          <w:szCs w:val="21"/>
          <w:highlight w:val="none"/>
        </w:rPr>
        <w:t>。</w:t>
      </w:r>
    </w:p>
    <w:p w14:paraId="7190FCAE">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中标人在经营期间，每学期要全面分析经营过程中的食品安全隐患和风险点，确定食品安全自查项目和要求，包括制度自查、定期自查和专项自查。其中，对食品安全制度的适用性，每年至少开展一次自查。在国家食品安全法律、法规、规章、规范性文件和食品安全国家标准发生变化时，应及时开展制度自查和修订。在“日管控、周排查、月调度”等定期自查中，获知食品安全风险信息后，须立即开展专项自查。对自查中发现的问题食品，应立即停止使用，存放在加贴醒目、牢固标识的专门区域，并及时采取退货、销毁等处理措施。对自查中发现的其他食品安全风险，应立即采取整改措施，确保整改到位。</w:t>
      </w:r>
    </w:p>
    <w:p w14:paraId="0943A1B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9.食材安全要求</w:t>
      </w:r>
    </w:p>
    <w:p w14:paraId="555BFE5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人须严格执行《食品安全国家标准餐饮服务通用卫生规范》（GB31654-2021），强化食材采购与验收、贮存与加工过程管控，严格按许可经营项目制售食品，严格制售分离，严格复用餐饮具消毒管理，严格销售食品留样，严格有害生物防控防治，加强供应商遴选、大宗物资采购、索证索票、物资出入库、菜品生产加工、食品留样、菜品销售、餐厨用品清洗消毒、餐厨垃圾处理等全流程管理，并建立档案，做好台账备查和追溯。中标人食品加工所需的主要原材料应集中定点采购，相关食品必须具有检验、检疫合格证明。完善食品安全溯源体系，原材料的验收、入库、出库等工作环节必须纳入“明厨亮灶”系统监督范围，确保全程监控到位，防止食品安全事故发生。</w:t>
      </w:r>
    </w:p>
    <w:p w14:paraId="6AF23D3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（2）中标人须严格执行《学校食堂大宗食材采购验收管理工作指引》（教体艺厅函〔2025〕30 号），米、面、油（非转基因）等大宗食材由学校统一招标采购，中标人须在学校统一招标采购的企业中采购，货款在中标方当月营业款中支付。其它物资采购由中标人备档备查，并定期公示食材采购情况。</w:t>
      </w:r>
    </w:p>
    <w:p w14:paraId="2B0753D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人须严格执行进货查验制度，落实《餐饮服务食品采购索证索票管理规定》，按照先入库、实入库、尽入库将采购原材料的品种、数量和单价等进行入库登记，执行“双人或多人联检”查验制度，建立食材供应企业评价和退出机制，定期对食材供应企业食品安全状况进行现场评价，及时更换不符合安全要求的供应企业。原材料现场验收纳入“明厨亮灶”监管范围，保留清晰的影像资料和供货清单、随货证明文件，如实规范记录台账。</w:t>
      </w:r>
    </w:p>
    <w:p w14:paraId="04E525B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中标人严禁采购、使用以下食品、食品添加剂、食品相关产品：超过保质期的食品、食品添加剂；腐败变质、油脂酸败、霉变生虫、污秽不洁、混有异物、掺假掺杂或感官性状异常的食品、食品添加剂；未按规定进行检疫或检疫不合格的肉类，或未经检验或检验不合格的肉类制品；不符合食品安全标准的食品原料、食品添加剂以及消毒剂、洗涤剂等食品相关产品；被包装材料、容器、运输工具等污染的食品、食品添加剂；无标签的预包装食品、食品添加剂；亚硝酸盐（包括亚硝酸钠、亚硝酸钾）；四季豆、鲜黄花菜、野生蘑菇、发芽土豆等高风险食品；野生动值物或野生动值物制品、活畜禽等；国家为防病等特殊需要明令禁止生产经营的食品；其他不符合法律、法规或食品安全标准的食品、食品添加剂、食品相关产品。</w:t>
      </w:r>
    </w:p>
    <w:p w14:paraId="52B09BA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减少食品添加剂使用，食品添加剂执行五专管理，做到“专人采购、专人保管、专人使用、专人登记、专柜保存”。存放食品添加剂应设置专柜（位），并标注“食品添加剂”字样。食品添加剂（含拆包盛放）的标签上应标注清楚使用范围、用量、使用方法、生产日期和保质期等内容。不得超范围、超限量使用食品添加剂，准确称量和记录有“最大使用量”规定的食品添加剂。</w:t>
      </w:r>
    </w:p>
    <w:p w14:paraId="6A6442C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10.食堂卫生要求</w:t>
      </w:r>
    </w:p>
    <w:p w14:paraId="7629B3C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食堂的设备布局和工艺流程应当符合食品卫生要求，设置独立的食品原料存放间、食品加工操作间、食品预售间、配餐间及用餐场所，食品加工、储存、销售、陈列的各种防护措施、设备及其运送食品的工具应该定期维护保养。冷藏、冷冻及保温设施应当定期清洗、除臭。加工食品原料、半成品、成品的工具容器有明显的区分标识、分开使用，生熟（畜类、禽类及水产类等）食品进行分类加工、分类存放，防止交叉污染，保证菜肴内无泥沙、无杂物、黄叶及腐烂变质物等。主副食仓库（室温不得超过 25 摄氏度）必须具有完好的防鼠、防尘、防蝇、防潮和通风设施，不得存放有毒有害物品。</w:t>
      </w:r>
    </w:p>
    <w:p w14:paraId="1E77935F">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人须严格执行《学校食堂和校外供餐单位复用餐饮具清洗消毒工作指引》，配备能满足需要的餐饮具清洗消毒保洁设施设备，采用物理消毒方法开展复用餐饮具消毒。餐饮具专用清洗消毒水池不得与清洗食品原料、清洁工具等水池混用，使用的复用餐饮具应材质稳定、无毒无害、不易受污染、易于清洁和保养，符合《食品安全国家标准食品接触材料及制品通用安全要求》（GB4806.1-2016）相关要求。使用的洗涤剂应符合《食品安全国家标准洗涤剂》（GB14930.1-2022）的要求，在产品的最小销售包装上应标明 A 类（直接用于清洗食品的洗涤剂）或 B 类（用于清洗餐饮具以及接触食品的工具、设备、容器和食品包装材料的洗涤剂）。使用的消毒剂应符合《食品安全国家标准消毒剂》（GB14930.2-2012）的要求，在产品或最小销售包装上应标识“食品接触用”。</w:t>
      </w:r>
    </w:p>
    <w:p w14:paraId="084A97F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人应随时清洁后厨区和售卖区，每日对食品处理区及用餐区环境进行全面清洁消毒，确保食品处理区、备餐区、用餐区操作台面、地面等处无散落食品及油脂，目视干净无污渍、无垃圾、无灰尘等，设施设备表面无灰尘及附着物，各种炊具、用具光亮洁净。储存及加工区域的排水（污）道须保持清洁无异味、水流顺畅。每月至少清理两次食堂周边管辖范围内的下水道、污水井、沉渣池（井）、隔油池（井），保持管道畅通及隔油池良好工作状态，合同期内食堂实际使用的管道堵塞而产生的疏通、维修等费用由中标人负责。如发生因餐厨具卫生问题造成师生食源性疾病甚至食物中毒的,中标人必须承担全部责任，</w:t>
      </w:r>
      <w:r>
        <w:rPr>
          <w:rFonts w:hint="eastAsia" w:ascii="宋体" w:hAnsi="宋体" w:eastAsia="宋体" w:cs="宋体"/>
          <w:color w:val="auto"/>
          <w:sz w:val="21"/>
          <w:szCs w:val="21"/>
          <w:highlight w:val="none"/>
          <w:lang w:val="en-US" w:eastAsia="zh-CN"/>
        </w:rPr>
        <w:t>并按</w:t>
      </w:r>
      <w:r>
        <w:rPr>
          <w:rFonts w:hint="eastAsia" w:ascii="宋体" w:hAnsi="宋体" w:eastAsia="宋体" w:cs="宋体"/>
          <w:color w:val="auto"/>
          <w:sz w:val="21"/>
          <w:szCs w:val="21"/>
          <w:highlight w:val="none"/>
        </w:rPr>
        <w:t>20000 元/次</w:t>
      </w:r>
      <w:r>
        <w:rPr>
          <w:rFonts w:hint="eastAsia" w:ascii="宋体" w:hAnsi="宋体" w:eastAsia="宋体" w:cs="宋体"/>
          <w:color w:val="auto"/>
          <w:sz w:val="21"/>
          <w:szCs w:val="21"/>
          <w:highlight w:val="none"/>
          <w:lang w:val="en-US" w:eastAsia="zh-CN"/>
        </w:rPr>
        <w:t>向招标人支付</w:t>
      </w:r>
      <w:r>
        <w:rPr>
          <w:rFonts w:hint="eastAsia" w:ascii="宋体" w:hAnsi="宋体" w:eastAsia="宋体" w:cs="宋体"/>
          <w:color w:val="auto"/>
          <w:sz w:val="21"/>
          <w:szCs w:val="21"/>
          <w:highlight w:val="none"/>
        </w:rPr>
        <w:t>违约金 ；情节严重的，招标人有权按合同条款约定解除合同；违反法律法规的，报请相关部门依法处置。为做好传染病突发情况的管理和应对工作，中标人须根据国家、省市相关规定，制定科学完整、合乎规范、具有可操作性的食堂常见疾病及传染病等重大公共卫生事件的应急预案，并向招标人职能部门报备。</w:t>
      </w:r>
    </w:p>
    <w:p w14:paraId="03F82F9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11.防火防盗防毒等其它安全要求</w:t>
      </w:r>
    </w:p>
    <w:p w14:paraId="2BF4C46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人须严格遵守招标人安全保卫管理规定，建立严格的安全保卫措施，安装防盗报警和监控设备并接入监管平台，加强经营食堂区域生产安全、日常治安、交通安全和人员管理。食堂后厨实行封闭管理安全措施，严禁非食堂工作人员随意进出食堂的食品加工间及食品原料存放间，防止不法人员恶意破坏，杜绝盗窃事件和安全事故的发生。中标人的从业人员和进出车辆，必须遵守招标人校园人员管理规定，未经授权不得随意进出校园其它场所，定期将人员和车辆信息提交招标人报备。</w:t>
      </w:r>
    </w:p>
    <w:p w14:paraId="26CDC7F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人经营食堂开学供餐前须将所有电器设备检修合格单备档备查，所有电器设备设施必须有可靠的接地或接零装置，严禁私拉乱接电源线路或违章用电；经营期间需更换或增加大功率设备设施，应在安装使用前由专业人员核准后并向招标人申报批准后方可实施，不得擅自增加用电负荷。中标人应设有专职或兼职的安全巡查员，加强食堂用电管理、规范用电操作、检查维护水源，每日按时巡检食堂内水、电、气的使用情况，定期检查维护食堂设备设施，及时发现和排除设备故障和安全隐患，严防安全事故的发生。</w:t>
      </w:r>
    </w:p>
    <w:p w14:paraId="6C8F27A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（3）中标人须严格执行《人员密集场所消防安全管理》（GB/T40248-2021）《安徽省学校消防安全标准化管理指南》（皖教工委函〔2022〕326 号），积极配合和接受消防等安全部门的监督检查，配备必要的消防和其他安全器材，如灭火毯、防毒面具、强光电筒等，定期做好各类安全培训和安全检查，做好培训与检查记录，确保经营场所内的消防设备设施及应急灯、安全出口指示灯、嵌入式安全指示灯、报警器等消防器材按规范要求安装配备到位并正常使用。严格按照国家燃气相关规定，安全使用食堂内燃气设施（包括燃气管路、阀门、灶具等），禁止在同一加工区域使用两种及以上气源，做好日常维护保养和气密性的检测，用气区域应安装燃气泄漏报警器、自闭阀或紧急切断阀，燃气灶具接驳应使用金属波纹管（金属包覆软管），燃气灶具应具备熄火保护功能。食堂内严禁存放一切易燃易爆危险化学品（如酒精、汽油、烟花爆竹等），严禁使用和存储液化石油气。</w:t>
      </w:r>
    </w:p>
    <w:p w14:paraId="4F1DA6F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中标人须制定火灾防控制度和应急预案，明确防火职责，对其经营管理场所内发生火灾造成的一切损失负完全责任。对于中标人安全管理不善或私自超过用电负载，发生燃气泄漏、违章用电、私自动火检修等引起火灾、爆炸事故或供电设备设施损坏等事故，造成招标人财产损失和人员伤亡事故，中标人负责承担全部责任，所产生的一切费用及造成的损失均由中标人承担。</w:t>
      </w:r>
    </w:p>
    <w:p w14:paraId="689527E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中标人须遵守招标人网络安全管理规定，食堂因经营需开通网络的（费用自理），须经招标人职能部门审批同意，按要求向招标人合作网络运营商申请开通，接受招标人对网络的安全监控。中标人在使用校园网络时，必须遵守高校网络安全相关要求和规定，主动做好意识形态安全，不得利用网络从事危害国家安全、荣誉及利益等活动。</w:t>
      </w:r>
    </w:p>
    <w:p w14:paraId="56470B1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（三）用工管理及人员配备</w:t>
      </w:r>
    </w:p>
    <w:p w14:paraId="1B99F50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中标人食堂用工由中标人自行招聘和管理，应科学合理地配备餐饮操作和就餐区域服务人员，选聘高水平的厨师及业务团队。凡国家有关法规规定必须持证上岗的岗位，都应持有相应的岗位任职资格证书。中标人须依据《劳动合同法》做好与聘用人员的劳动合同签订、履行，按时足额缴纳基本养老保险、基本医疗保险、工伤保险、生育保险及人身意外伤害保险等，有义务对用工人员进行安全教育、纪律约束，并采取必要的安全措施。中标人所有用工人员出现工资、社会保险、加班费、福利待遇、人身伤害等劳动纠纷，均由中标人负责调解和处理，并承担经济和法律上的一切责任。招标人有权对中标人的用工情况进行监督和检查，但不承担与中标人用工有关的任何连带法律责任。中标人食堂经营服务不得影响招标人正常的教学、办公和学习、生活秩序，如因劳动纠纷而出现脱岗、离岗给招标人造成损失,中标人应承担违约和赔偿责任。</w:t>
      </w:r>
    </w:p>
    <w:p w14:paraId="65B37F83">
      <w:pPr>
        <w:keepNext w:val="0"/>
        <w:keepLines w:val="0"/>
        <w:pageBreakBefore w:val="0"/>
        <w:widowControl w:val="0"/>
        <w:kinsoku/>
        <w:wordWrap/>
        <w:overflowPunct/>
        <w:topLinePunct w:val="0"/>
        <w:autoSpaceDE/>
        <w:autoSpaceDN/>
        <w:bidi w:val="0"/>
        <w:adjustRightInd/>
        <w:snapToGrid/>
        <w:spacing w:line="48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13.中标人投入本项目的管理团队，</w:t>
      </w:r>
      <w:r>
        <w:rPr>
          <w:rFonts w:hint="eastAsia" w:ascii="宋体" w:hAnsi="宋体" w:eastAsia="宋体" w:cs="宋体"/>
          <w:b/>
          <w:bCs/>
          <w:color w:val="auto"/>
          <w:sz w:val="21"/>
          <w:szCs w:val="21"/>
          <w:highlight w:val="none"/>
          <w:lang w:val="en-US" w:eastAsia="zh-CN"/>
        </w:rPr>
        <w:t>至少</w:t>
      </w:r>
      <w:r>
        <w:rPr>
          <w:rFonts w:hint="eastAsia" w:ascii="宋体" w:hAnsi="宋体" w:eastAsia="宋体" w:cs="宋体"/>
          <w:b/>
          <w:bCs/>
          <w:color w:val="auto"/>
          <w:sz w:val="21"/>
          <w:szCs w:val="21"/>
          <w:highlight w:val="none"/>
        </w:rPr>
        <w:t>包括项目经理</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名、食品安全总监</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名、厨师长</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名、食品安全员</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名、财务管理员</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名须与投标文件一致</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项目经理、食品安全总监、厨师长、食品安全员、财务管理员不得兼任</w:t>
      </w:r>
      <w:r>
        <w:rPr>
          <w:rFonts w:hint="eastAsia" w:ascii="宋体" w:hAnsi="宋体" w:eastAsia="宋体" w:cs="宋体"/>
          <w:color w:val="auto"/>
          <w:sz w:val="21"/>
          <w:szCs w:val="21"/>
          <w:highlight w:val="none"/>
        </w:rPr>
        <w:t>。项目经理和食品安全总监应具有与其餐饮经营规模相适应的经营管理能力，并经市级及以上市场监督管理部门等备案的餐饮从业人员食品安全知识培训机构培训合格证。中标人对投标文件指定的项目经理应书面授权。未按要求配齐管理团队人员的，每缺一人按 10000 元/月/人</w:t>
      </w:r>
      <w:r>
        <w:rPr>
          <w:rFonts w:hint="eastAsia" w:ascii="宋体" w:hAnsi="宋体" w:eastAsia="宋体" w:cs="宋体"/>
          <w:color w:val="auto"/>
          <w:sz w:val="21"/>
          <w:szCs w:val="21"/>
          <w:highlight w:val="none"/>
          <w:lang w:val="en-US" w:eastAsia="zh-CN"/>
        </w:rPr>
        <w:t>向招标人支付</w:t>
      </w:r>
      <w:r>
        <w:rPr>
          <w:rFonts w:hint="eastAsia" w:ascii="宋体" w:hAnsi="宋体" w:eastAsia="宋体" w:cs="宋体"/>
          <w:color w:val="auto"/>
          <w:sz w:val="21"/>
          <w:szCs w:val="21"/>
          <w:highlight w:val="none"/>
        </w:rPr>
        <w:t>违约金，限中标人 30 日内相应岗位人员到岗履职，否则视为违约。中标人不得在未征得招标人同意下擅自更换管理团队人员，否则视为“严重违约”，招标人不予退还履约保证金且有权单方面解除合同。如因特殊原因（如疾病、离职等）确需调换上述人员，中标人须向招标人提交书面报告阐述更换理由，更换的人员不得低于招标文件要求并经招标人同意，并按 10000 元/人次</w:t>
      </w:r>
      <w:r>
        <w:rPr>
          <w:rFonts w:hint="eastAsia" w:ascii="宋体" w:hAnsi="宋体" w:eastAsia="宋体" w:cs="宋体"/>
          <w:color w:val="auto"/>
          <w:sz w:val="21"/>
          <w:szCs w:val="21"/>
          <w:highlight w:val="none"/>
          <w:lang w:val="en-US" w:eastAsia="zh-CN"/>
        </w:rPr>
        <w:t>向招标人支付</w:t>
      </w:r>
      <w:r>
        <w:rPr>
          <w:rFonts w:hint="eastAsia" w:ascii="宋体" w:hAnsi="宋体" w:eastAsia="宋体" w:cs="宋体"/>
          <w:color w:val="auto"/>
          <w:sz w:val="21"/>
          <w:szCs w:val="21"/>
          <w:highlight w:val="none"/>
        </w:rPr>
        <w:t>违约金。因中标人选聘的管理人员不能履职尽责或不胜任岗位，招标人要求中标人调整管理团队人员，中标人须无条件更换，限 30 天内到岗履职尽责，否则视为违约。</w:t>
      </w:r>
    </w:p>
    <w:p w14:paraId="6727FC46">
      <w:pPr>
        <w:keepNext w:val="0"/>
        <w:keepLines w:val="0"/>
        <w:pageBreakBefore w:val="0"/>
        <w:widowControl w:val="0"/>
        <w:kinsoku/>
        <w:wordWrap/>
        <w:overflowPunct/>
        <w:topLinePunct w:val="0"/>
        <w:autoSpaceDE/>
        <w:autoSpaceDN/>
        <w:bidi w:val="0"/>
        <w:adjustRightInd/>
        <w:snapToGrid/>
        <w:spacing w:line="48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14.除评分标准中要求提供的相关人员证明材料作为评分条件外，投标人在投标文件中无须提供人员其他相关证明材料，</w:t>
      </w:r>
      <w:r>
        <w:rPr>
          <w:rFonts w:hint="eastAsia" w:ascii="宋体" w:hAnsi="宋体" w:eastAsia="宋体" w:cs="宋体"/>
          <w:color w:val="auto"/>
          <w:sz w:val="21"/>
          <w:szCs w:val="21"/>
          <w:highlight w:val="none"/>
        </w:rPr>
        <w:t>由招标人在中标人进场服务前核查人员配备情况，人员须按照要求配备到位，否则招标人有权追究违约责任。除有明确要求外，烹调师、面点师、保洁人员等人员数量和资质须满足校区就餐人数的需求。中标人项目经理每月至少 22 天在岗（离岗要书面请假并经招标人同意）。项目经理无故缺勤的，每缺勤一天按 1000 元/天</w:t>
      </w:r>
      <w:r>
        <w:rPr>
          <w:rFonts w:hint="eastAsia" w:ascii="宋体" w:hAnsi="宋体" w:eastAsia="宋体" w:cs="宋体"/>
          <w:color w:val="auto"/>
          <w:sz w:val="21"/>
          <w:szCs w:val="21"/>
          <w:highlight w:val="none"/>
          <w:lang w:val="en-US" w:eastAsia="zh-CN"/>
        </w:rPr>
        <w:t>向招标人支付</w:t>
      </w:r>
      <w:r>
        <w:rPr>
          <w:rFonts w:hint="eastAsia" w:ascii="宋体" w:hAnsi="宋体" w:eastAsia="宋体" w:cs="宋体"/>
          <w:color w:val="auto"/>
          <w:sz w:val="21"/>
          <w:szCs w:val="21"/>
          <w:highlight w:val="none"/>
        </w:rPr>
        <w:t>违约金。除管理团队人员外的其他工作人员离职或新增应适时向招标人报备。</w:t>
      </w:r>
    </w:p>
    <w:p w14:paraId="0FA71B1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中标人应依法配备与供餐规模、食品经营项目、风险等级、管理水平、安全状况等相适应的具有相关资质的食品安全总监、食品安全员、财务管理人员等人员，明确食品安全总监、食品安全员、财务管理人员等岗位职责。食品安全总监应做好食品安全管理工作并对用工人员进行食品安全教育和日常管理。食品安全总监、食品安全员每年应接受累计不少于 40 学时的食品安全相关法律、法规、规章、标准和其他相关专业知识集中培训并经考核合格。中标人应支持和保障食品安全总监、食品安全员依法开展食品安全管理工作，在作出涉及食品安全的重大决策前，应当充分听取食品安全总监和食品安全员的意见和建议。食品安全总监、食品安全员发现有食品安全事故潜在风险的，应当提出停止相关餐饮服务活动等否决建议，由招标人会同中标人共同分析研判，采取处置措施，消除风险隐患。有发生食品安全事故潜在风险的，中标人应立即停止餐饮服务活动，依法依规向招标人和上级主管部门报告。</w:t>
      </w:r>
    </w:p>
    <w:p w14:paraId="52FEAD7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中标人对所聘用人员的健康负责，所有用工人员均须持有效健康证明，合同期间员工应身心健康，要符合岗位需求的能力。中标人须在人员入职前将基本信息报招标人查验备案（包括但不限于身份证、健康证、无犯罪记录查询等），如招标人审核认为中标人拟聘人员不符合有关规定的，有权要求中标人拒绝聘用，中标人应积极配合。用工人员的相关信息建档备查并公示在食堂服务区域显著位置。经营期间，中标人应对所有员工每日开展健康检查并建立台账备档备查。如产生相关的责任事故，责任全部由中标人承担，招标人保留追究责任的权利。</w:t>
      </w:r>
    </w:p>
    <w:p w14:paraId="11C3570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中标人应严格落实用工人员食品安全、消防安全、职业道德等方面知识培训和考核，每半年至少进行一次食品安全培训考核，考核合格后方可上岗，培训考核计划、方案每学期开学前报招标人备案。培训考核内容包括但不限于有关餐饮食品安全的法律法规知识、基础知识及本单位的食品安全管理制度、加工制作规程，以及职业道德、消防安全、水电气安全、操作安全、突发应急等知识，提高用工人员的安全防范意识、法制观念、道德修养和食品安全规范操作习惯。中标人应建立健全绩效考核奖惩制度，明确每个岗位、每个环节员工的责任，做到有奖有罚，营造争优争先的工作氛围。</w:t>
      </w:r>
    </w:p>
    <w:p w14:paraId="36F9A99F">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中标人须对用工人员的思想道德、业务素质、安全健康等进行全面管理，自行解决用工人员的吃住问题，招标人不提供住宿。在校期间要遵守招标人相关规章制度，在日常管理服务中做到文明用语、礼貌服务，不得以任何理由与就餐师生发生吵架、打架等纠纷，严禁在招标人校内从事违法违规活动，严禁发生任何矛盾或冲突、打架斗殴行为，坚决杜绝员工与招标人师生产生法律纠纷、经济纠纷、败坏道德风气等问题。中标人用工人员在工作中违反操作规范或合同约定，或因用工人员其它个人原因，导致招标人设备设施损坏或招标人师生或第三人人身财产损害的，由中标人承担全部经济赔偿责任和法律责任。</w:t>
      </w:r>
    </w:p>
    <w:p w14:paraId="0EF70F9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中标人用工人员在服务期内，严禁在招标人校内进行任何形式的宗教活动，严禁私自占用学生宿舍和其它房源，严禁使用大功率的电器（设备）用于生活用途，不得擅自在公共场所晾晒衣被，不得在校园内焚烧树枝、树叶、垃圾、杂物，不得在校园内拾荒、种菜、钓鱼、采摘或饲养鸡、鸭、猫、狗等家禽宠物等，不得私自在招标人校内进行委托经营范围之外的其它任何商业经营服务，不得将招标人的设备设施借给他人使用，不得将招标人的设备设施出租、转租等进行盈利活动，不得转让给第三方管理。如有此类情况，招标人有权对中标人予以罚款处罚，直至解除合同并不予退还履约保证金；造成严重后果的，招标人将依法追究相应法律责任。</w:t>
      </w:r>
    </w:p>
    <w:p w14:paraId="2249673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（四）经营管理</w:t>
      </w:r>
    </w:p>
    <w:p w14:paraId="1E72D2B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中标人必须遵守《中华人民共和国民法典》《中华人民共和国教育法》《中华人民共和国食品安全法》《中华人民共和国安全生产法》《中华人民共和国消防法》《中华人民共和国劳动法》《中华人民共和国消费者权益保护法》《餐饮服务许可管理办法》《学校食品安全与营养健康管理规定》《餐饮服务食品安全操作规范》《高等学校引入社会餐饮企业承办学生食堂管理规范》《安徽省学校食堂食品安全管理工作指南（试行）》《集中用餐单位落实食品安全主体责任监督管理规定》等法律法规政策及招标人有关管理规定，在招标人监管下自主经营、独立核算、自负盈亏，承担一切经营风险和责任。</w:t>
      </w:r>
    </w:p>
    <w:p w14:paraId="332B0C5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中标人应结合食堂许可与经营实际，建立健全学生食堂餐饮经营管理制度和各项食品安全规章制度，并报招标人备案。相关制度包括但不限于：从业人员健康管理制度，从业人员培训考核制度，从业人员个人卫生管理制度，食品、食品添加剂采购索证索票、购进查验制度，食品添加剂管理制度，食品储存管理制度，粗加工切配制度，烹调加工管理制度，备餐管理制度，食品安全投诉处理管理制度，餐饮具清洗、消毒、保洁管理制度，食品设施设备清洗、维护、校验管理制度，就餐场所卫生管理制度，信息公示管理制度，餐厨废弃物管理制度，有害生物防制制度，供货者准入与退出管理制度等。与经营活动有关的制度应在相应场所上墙公示。</w:t>
      </w:r>
    </w:p>
    <w:p w14:paraId="0524E1D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22.中标人不得超范围经营，不得有提现业务，不得擅自发放各种形式的就餐券，严禁在食堂内出售烟酒和预包装食品（预制菜）等。发现上述情况中的任何一例，在给予警告下达整改通知的同时，第一次</w:t>
      </w:r>
      <w:r>
        <w:rPr>
          <w:rFonts w:hint="eastAsia" w:ascii="宋体" w:hAnsi="宋体" w:eastAsia="宋体" w:cs="宋体"/>
          <w:color w:val="auto"/>
          <w:sz w:val="21"/>
          <w:szCs w:val="21"/>
          <w:highlight w:val="none"/>
          <w:lang w:val="en-US" w:eastAsia="zh-CN"/>
        </w:rPr>
        <w:t>按</w:t>
      </w:r>
      <w:r>
        <w:rPr>
          <w:rFonts w:hint="eastAsia" w:ascii="宋体" w:hAnsi="宋体" w:eastAsia="宋体" w:cs="宋体"/>
          <w:color w:val="auto"/>
          <w:sz w:val="21"/>
          <w:szCs w:val="21"/>
          <w:highlight w:val="none"/>
        </w:rPr>
        <w:t>1000 元</w:t>
      </w:r>
      <w:r>
        <w:rPr>
          <w:rFonts w:hint="eastAsia" w:ascii="宋体" w:hAnsi="宋体" w:eastAsia="宋体" w:cs="宋体"/>
          <w:color w:val="auto"/>
          <w:sz w:val="21"/>
          <w:szCs w:val="21"/>
          <w:highlight w:val="none"/>
          <w:lang w:val="en-US" w:eastAsia="zh-CN"/>
        </w:rPr>
        <w:t>向招标人支付</w:t>
      </w:r>
      <w:r>
        <w:rPr>
          <w:rFonts w:hint="eastAsia" w:ascii="宋体" w:hAnsi="宋体" w:eastAsia="宋体" w:cs="宋体"/>
          <w:color w:val="auto"/>
          <w:sz w:val="21"/>
          <w:szCs w:val="21"/>
          <w:highlight w:val="none"/>
        </w:rPr>
        <w:t>违约金，第二次</w:t>
      </w:r>
      <w:r>
        <w:rPr>
          <w:rFonts w:hint="eastAsia" w:ascii="宋体" w:hAnsi="宋体" w:eastAsia="宋体" w:cs="宋体"/>
          <w:color w:val="auto"/>
          <w:sz w:val="21"/>
          <w:szCs w:val="21"/>
          <w:highlight w:val="none"/>
          <w:lang w:val="en-US" w:eastAsia="zh-CN"/>
        </w:rPr>
        <w:t>按</w:t>
      </w:r>
      <w:r>
        <w:rPr>
          <w:rFonts w:hint="eastAsia" w:ascii="宋体" w:hAnsi="宋体" w:eastAsia="宋体" w:cs="宋体"/>
          <w:color w:val="auto"/>
          <w:sz w:val="21"/>
          <w:szCs w:val="21"/>
          <w:highlight w:val="none"/>
        </w:rPr>
        <w:t>2000 元</w:t>
      </w:r>
      <w:r>
        <w:rPr>
          <w:rFonts w:hint="eastAsia" w:ascii="宋体" w:hAnsi="宋体" w:eastAsia="宋体" w:cs="宋体"/>
          <w:color w:val="auto"/>
          <w:sz w:val="21"/>
          <w:szCs w:val="21"/>
          <w:highlight w:val="none"/>
          <w:lang w:val="en-US" w:eastAsia="zh-CN"/>
        </w:rPr>
        <w:t>向招标人支付</w:t>
      </w:r>
      <w:r>
        <w:rPr>
          <w:rFonts w:hint="eastAsia" w:ascii="宋体" w:hAnsi="宋体" w:eastAsia="宋体" w:cs="宋体"/>
          <w:color w:val="auto"/>
          <w:sz w:val="21"/>
          <w:szCs w:val="21"/>
          <w:highlight w:val="none"/>
        </w:rPr>
        <w:t>违约金，第三次</w:t>
      </w:r>
      <w:r>
        <w:rPr>
          <w:rFonts w:hint="eastAsia" w:ascii="宋体" w:hAnsi="宋体" w:eastAsia="宋体" w:cs="宋体"/>
          <w:color w:val="auto"/>
          <w:sz w:val="21"/>
          <w:szCs w:val="21"/>
          <w:highlight w:val="none"/>
          <w:lang w:val="en-US" w:eastAsia="zh-CN"/>
        </w:rPr>
        <w:t>按</w:t>
      </w:r>
      <w:r>
        <w:rPr>
          <w:rFonts w:hint="eastAsia" w:ascii="宋体" w:hAnsi="宋体" w:eastAsia="宋体" w:cs="宋体"/>
          <w:color w:val="auto"/>
          <w:sz w:val="21"/>
          <w:szCs w:val="21"/>
          <w:highlight w:val="none"/>
        </w:rPr>
        <w:t>5000 元</w:t>
      </w:r>
      <w:r>
        <w:rPr>
          <w:rFonts w:hint="eastAsia" w:ascii="宋体" w:hAnsi="宋体" w:eastAsia="宋体" w:cs="宋体"/>
          <w:color w:val="auto"/>
          <w:sz w:val="21"/>
          <w:szCs w:val="21"/>
          <w:highlight w:val="none"/>
          <w:lang w:val="en-US" w:eastAsia="zh-CN"/>
        </w:rPr>
        <w:t>向招标人支付</w:t>
      </w:r>
      <w:r>
        <w:rPr>
          <w:rFonts w:hint="eastAsia" w:ascii="宋体" w:hAnsi="宋体" w:eastAsia="宋体" w:cs="宋体"/>
          <w:color w:val="auto"/>
          <w:sz w:val="21"/>
          <w:szCs w:val="21"/>
          <w:highlight w:val="none"/>
        </w:rPr>
        <w:t>违约金，中标人在接到整改通知后未能在规定时间内整改落实的，均视为违约，招标人有权单方解除合同、收回食堂，且不退还履约保证金。情节严重的，将提请相关部门追究法律责任。</w:t>
      </w:r>
    </w:p>
    <w:p w14:paraId="51D5061E">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中标人应加强就餐场所管理，维护文明就餐环境，工作人员要做到文明用语、礼貌服务、热情周到，就餐场所及设备设施要定期维护，保持干净整洁，做好地面防滑。中标人要安排人员引导师生有序排队购餐，排队、用餐时不大声喧哗，用餐完毕自行将餐具送至餐具回收台。建立供餐信息公开制度，利用食堂公示栏、公共信息平台等方式及时公开供餐单位资质、食品进货来源、粮油肉蛋菜等原材料采购价格信息、从业人员健康情况以及执法检查、整改通知报告、食品检查报告等日常检查监督信息。</w:t>
      </w:r>
    </w:p>
    <w:p w14:paraId="4BE979D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中标人应强化成本核算和节约管理，积极倡导“厉行节约、反对浪费”，在采购、存储、加工、售卖等各个环节做到厉行节约、严禁浪费。中标人应对用餐人员数量、结构进行监测、分析和评估，按需供餐，改进供餐方式，合理设计主食单份大小，积极供应“小份菜”、“半份菜”、“按斤称取”、“拼菜”等，提倡按需、适量、合理购餐，收残环节对浪费行为进行监督和提醒，从源头减少餐饮浪费。中标人应在食堂大门、就餐大厅、回收台等醒目位置张贴或悬挂节水、节电、节粮相关提醒牌、宣传画或者宣传标语，宣传节约粮食、文明就餐、均衡营养、健康饮食等知识；在食堂内部张贴反食品浪费、适量点餐的标识、提示牌，常态化推进光盘行动，在全食堂范围内营造浪费可耻、节约为荣的氛围。包括项目经理在内的从业人员，均有义务对食堂出现的浪费行为进行提醒和制止。</w:t>
      </w:r>
    </w:p>
    <w:p w14:paraId="5AAA33B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中标人须建立畅通的食品安全投诉渠道和建议处理机制，舆情处理应急预案，在食堂醒目位置张贴“你呼我应”的渠道和方式，公示学校职能部门的监管电话和食堂负责人姓名、手机号码等相关信息；通过“食堂开放日”、满意度测评等形式，听取招标人师生对食堂以及其他有关校园就餐和食品管理方面的意见建议，不断改进经营服务模式，提高经营服务水平。对就餐人员投诉必须做到“即呼即应”“接诉即办”，需要现场处理的，应迅速到达现场，第一时间和投诉人见面，查清事实、认真办理、立行立改，妥善处置舆情，并分析问题背后存在的管理漏洞、服务短板及薄弱环节，做到举一反三防止同类问题再次发生；不得以任何理由推诿扯皮、推卸责任，不得放任问题蔓延发展。对初步判断为疑似食品安全事故或存在重大食品安全风险隐患的，应立即向招标人职能部门和主管部门报告并迅速启动应急处置预案。投诉建议受理及处置过程应形成完整闭环的工作台账，包括投诉时间、投诉问题、处置措施、处置时限、经办人员、投诉人满意度及回访情况等。</w:t>
      </w:r>
    </w:p>
    <w:p w14:paraId="407D5DB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26.投标人须承诺中标后，应面向在校学生家长设立一定工作岗位，优先选聘在校学生家长参与食堂工作，帮助家庭经济困难学生解决家庭收入来源。中标人有义务无偿提供场地供学校开展活动使用。为体现餐饮企业社会责任，中标人应在传统节日或有关活动等时段免费为学生准备、提供和节日、活动相符的食品等，具体情况由学校安排中标企业落实。</w:t>
      </w:r>
      <w:r>
        <w:rPr>
          <w:rFonts w:hint="eastAsia" w:ascii="宋体" w:hAnsi="宋体" w:eastAsia="宋体" w:cs="宋体"/>
          <w:b/>
          <w:bCs/>
          <w:color w:val="auto"/>
          <w:sz w:val="21"/>
          <w:szCs w:val="21"/>
          <w:highlight w:val="none"/>
        </w:rPr>
        <w:t>（提供承诺函并加盖公章，格式</w:t>
      </w:r>
      <w:r>
        <w:rPr>
          <w:rFonts w:hint="eastAsia" w:ascii="宋体" w:hAnsi="宋体" w:eastAsia="宋体" w:cs="宋体"/>
          <w:b/>
          <w:bCs/>
          <w:color w:val="auto"/>
          <w:sz w:val="21"/>
          <w:szCs w:val="21"/>
          <w:highlight w:val="none"/>
          <w:lang w:val="en-US" w:eastAsia="zh-CN"/>
        </w:rPr>
        <w:t>见附件</w:t>
      </w:r>
      <w:r>
        <w:rPr>
          <w:rFonts w:hint="eastAsia" w:ascii="宋体" w:hAnsi="宋体" w:eastAsia="宋体" w:cs="宋体"/>
          <w:b/>
          <w:bCs/>
          <w:color w:val="auto"/>
          <w:sz w:val="21"/>
          <w:szCs w:val="21"/>
          <w:highlight w:val="none"/>
        </w:rPr>
        <w:t>，未提供的按无效标处理）</w:t>
      </w:r>
    </w:p>
    <w:p w14:paraId="67DFE06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（五）设备设施运行、维修维护及环境管理</w:t>
      </w:r>
    </w:p>
    <w:p w14:paraId="553594D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中标人须在接到中标通知书后5天内进驻及现场交接。食堂优化方案、施工图纸应报招标人职能部门审核，严格按照经招标人及市场监管、消防、燃气、环保等主管部门审核同意的优化建设方案、施工图纸做好后厨及就餐区域的优化建设工作，确保符合《餐饮服务食品安全操作规范》等规范标准，满足食品安全、人员及设备合理要求，接受招标人、主管部门的监督与指导。中标人施工改造未经招标人批准不得改变食堂结构，不得更改承重墙、横梁、支柱等结构，不得加建、扩建、拆除任何建筑物和构筑物，不得改变食堂建筑物外貌，不得擅自在外墙安装任何伸出物；不得损坏食堂及附属水、电、消防、网络通信管线及排水道、暗渠等设施。中标人对施工安全负全部责任，招标人不承担施工改造过程中的一切安全责任。对招标人房屋造成损坏的，中标人承担全部维修责任。如果中标人在经营期间，食品安全法以及相关实施细则发生修改，对食堂现场设施设备要求发生重大变化，中标人须无条件配合招标人要求进行维修改造，确保现场布局流程、设施设备符合相关要求，中标人须承担运营期间的改造费用。如果国家、省市对食堂前厅后堂等设施设备提出新标准，中标人须按照新标准进行改造并承担全部改造费用。</w:t>
      </w:r>
    </w:p>
    <w:p w14:paraId="064C36F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中标人优化建设和设备配置必须达到餐饮工作的专业要求：在经营管理场地范围内合理布局主副食库房、冷藏库、冷冻库、粗加工间、精加工间、操作间、洗碗间、留样间等。装修改造须保证建筑结构安全，同时符合食品安全、消防安全、燃气安全、环保排放、油污深度治理、空气检测相关标准并通过验收。建设使用材料（含装修材料）须符合食品、消防安全及环保相关规范要求，油烟排放和噪声控制须达到环保要求，自行补充和添置与制售的食品品种、数量相适应的厨具、餐具、通风、防尘、防蝇、防鼠、防虫、洗涤、消毒等设施设备，须符合国家食品卫生标准（主要包括：容器、砧板、菜刀、餐用具、清洁用具、炉具、家具及其他设备等）和卫生防疫、消防、环保、食安等相关部门的监管标准。中标人对食堂配置各种设备设施，必须建立资产管理台账，在验收投入使用后两个月内全部列明详细清单并附图纸及实物照片，整理成册连同优化建设有关资料（包括但不限于原状、改造内容、装修改造后现状、工程签证单、竣工资料等）一并交由招标人备案。</w:t>
      </w:r>
    </w:p>
    <w:p w14:paraId="5BD14985">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中标人对食堂的水电气改造须满足相关规范要求：招标人指定水电接口，中标人自行安装，全部水、电、气管线需含在装修改造设计图（强电、弱电、给排水）并经图审通过。招标人指定天然气接口位置，中标人根据需要并按燃气公司相关规范要求完成经营所需的安装、改造，并承担相关费用和完善所有相关手续及报备。经营过程中如需要对水电气增容或者扩建，应在招标人指导下进行，费用由中标人自行承担，其投入的增容管线合同期满后完整交付招标人，或征得招标人同意后拆除。中标人须自行承担所经营食堂水电气等设施设备检测、维护、维修、维保、更换等费用。</w:t>
      </w:r>
    </w:p>
    <w:p w14:paraId="393F2C7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中标人在经营期间负责做好防鼠、防蟑螂、防异物等病媒生物防制工作，合理配备符合规定的挡鼠板、灭蝇灯、排水栅栏、地沟盖板等防治设施，根据现场情况及时进行有害生物消杀，及时检修墙砖裂缝及有关防治设施。每月至少两次（按季节适当增加）对食堂内部及外围进行有害生物消杀工作，清除鼠类、苍蝇、蟑螂等有害生物的栖息场所，建立完善有害生物防治设施设备。实施除虫灭害工作时，应对各种食品（包括原料）采取保护措施，不应污染食品、食品接触面及包装材料,不应在食品加工操作时进行。使用除虫灭害药物后应将所有设备、工具及容器彻底清洗。相关工作清单、作业图片等资料存档备查。</w:t>
      </w:r>
    </w:p>
    <w:p w14:paraId="6B1148C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中标人应按照国家及省市相关法律规定和标准，自行委托具有资质的烟道清洗公司，每季度至少进行一次烟道及污水池油污清洗，每年至少更换一次油烟净化装置过滤棉，烟道及污水池清洗相关凭据（如验收报告）报招标人备案。中标人应负责所经营食堂的房屋内外各种设施（室内外、楼顶、周边道路、消防设备设施、水电管线、空调、照明、明厨亮灶、风扇、排污排烟、餐厨设备、墙体、墙砖、纱窗、卫生间、上下水等）以及自行添加的各类设施设备的更新补充和维修维保，定期对食堂空调进行清洗维护，滤网至少每月清洗一次，空调内部每学期至少进行一次全面深度清洗，清洗工作应在非营业时段进行，避免影响食堂正常运营。清洗过程需严格按照空调设备的操作规范执行，使用专业的清洗工具和清洁剂，确保清洗效果，为师生提供舒适的就餐环境。以上对设备设施资产的更新、维修、维保、清洗费用由中标人自行承担。</w:t>
      </w:r>
    </w:p>
    <w:p w14:paraId="1C0201CE">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32.投标人须承诺中标后，根据安徽省市场监督管理局、安徽省教育厅《关于做好学校食堂食品处理区视频接入省级可视化监管应用的通知》（皖市监函〔2025〕273 号）和“互联网＋明厨亮灶”建设规范，应用先进物联设备与管理系统终端，确保在经营区域的所有出入口、操作区、服务区均安装网络摄像机监控系统并实时录像，满足招标人、政府监管部门要求及监控系统联网的终端需要，实现互联网式“明厨亮灶”，且与招标人监控系统无缝对接并按要求接入省级可视化监管平台，费用由中标人自行承担。其中，摄像头设备应符合国家相关技术规范，像素不低于1080P,视频储存设备（含云储存）应支持存储监控摄像设备采集所得的原始视频或图像数据进行存储，图像、音视频信息保存不得少于 60 天，单路视频上行带宽不少于 4M,摄像头视频信号必须覆盖食堂的食材采购验收、库房、初加工、烹饪、备餐（销售）、清洗消毒保洁、食品留样等重点加工操作场所，并预留拓展接口（在保持原有视频接入点的情况下作适当增加）。摄像头视频画面按“安徽省-市-县（区）-街乡-学校名称-食堂名称-楼层-加工场所具体位置”信息规范标注，并参照视频监控式“明厨亮灶”建设规范要求，利用液晶电视的方式向师生群体公开展示原料清洗、切配、烹饪、留样、餐用具清洗消毒等关键区域和重点环节。建立食材库存动态监管与优化机制，构建覆盖食品安全、生产安全、消防安全的数字化管理体系。</w:t>
      </w:r>
      <w:r>
        <w:rPr>
          <w:rFonts w:hint="eastAsia" w:ascii="宋体" w:hAnsi="宋体" w:eastAsia="宋体" w:cs="宋体"/>
          <w:b/>
          <w:bCs/>
          <w:color w:val="auto"/>
          <w:sz w:val="21"/>
          <w:szCs w:val="21"/>
          <w:highlight w:val="none"/>
        </w:rPr>
        <w:t>（提供承诺函并加盖公章，格式</w:t>
      </w:r>
      <w:r>
        <w:rPr>
          <w:rFonts w:hint="eastAsia" w:ascii="宋体" w:hAnsi="宋体" w:eastAsia="宋体" w:cs="宋体"/>
          <w:b/>
          <w:bCs/>
          <w:color w:val="auto"/>
          <w:sz w:val="21"/>
          <w:szCs w:val="21"/>
          <w:highlight w:val="none"/>
          <w:lang w:val="en-US" w:eastAsia="zh-CN"/>
        </w:rPr>
        <w:t>见附件</w:t>
      </w:r>
      <w:r>
        <w:rPr>
          <w:rFonts w:hint="eastAsia" w:ascii="宋体" w:hAnsi="宋体" w:eastAsia="宋体" w:cs="宋体"/>
          <w:b/>
          <w:bCs/>
          <w:color w:val="auto"/>
          <w:sz w:val="21"/>
          <w:szCs w:val="21"/>
          <w:highlight w:val="none"/>
        </w:rPr>
        <w:t>，未提供的按无效标处理）</w:t>
      </w:r>
    </w:p>
    <w:p w14:paraId="061F89C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33.投标人须承诺中标后与招标人共同商定引入第三方食品安全检测单位参与食堂日常食品安全监督管理和抽检工作，所有费用由中标人承担，不得推诿、拒绝，否则视为违约。餐饮具与炊具的检测每月不少于一次快检，每学期不少于一次洗涤剂残留检测和细菌培养检测，抽检品种不少于 10 种/次；新鲜蔬菜的检测每月不少于一次，检测品种不少于 10 种/次，每学期所有品种都必须经过检测；食堂采购的所有米、面、油、干货、调味品、禽类、肉类、蛋类等原材料的检测每年不少于 1 次，所有检测都必须出具正规检测报告。第三方安全检测单位监督检查每月编发监督意见书，明确存在的安全隐患与处罚意见，中标人须在指定期限整改落实；检验检测不合格的，中标人承担所有有关责任。</w:t>
      </w:r>
      <w:r>
        <w:rPr>
          <w:rFonts w:hint="eastAsia" w:ascii="宋体" w:hAnsi="宋体" w:eastAsia="宋体" w:cs="宋体"/>
          <w:b/>
          <w:bCs/>
          <w:color w:val="auto"/>
          <w:sz w:val="21"/>
          <w:szCs w:val="21"/>
          <w:highlight w:val="none"/>
        </w:rPr>
        <w:t>（提供承诺函并加盖公章，格式</w:t>
      </w:r>
      <w:r>
        <w:rPr>
          <w:rFonts w:hint="eastAsia" w:ascii="宋体" w:hAnsi="宋体" w:eastAsia="宋体" w:cs="宋体"/>
          <w:b/>
          <w:bCs/>
          <w:color w:val="auto"/>
          <w:sz w:val="21"/>
          <w:szCs w:val="21"/>
          <w:highlight w:val="none"/>
          <w:lang w:val="en-US" w:eastAsia="zh-CN"/>
        </w:rPr>
        <w:t>见附件</w:t>
      </w:r>
      <w:r>
        <w:rPr>
          <w:rFonts w:hint="eastAsia" w:ascii="宋体" w:hAnsi="宋体" w:eastAsia="宋体" w:cs="宋体"/>
          <w:b/>
          <w:bCs/>
          <w:color w:val="auto"/>
          <w:sz w:val="21"/>
          <w:szCs w:val="21"/>
          <w:highlight w:val="none"/>
        </w:rPr>
        <w:t>，未提供的按无效标处理）</w:t>
      </w:r>
    </w:p>
    <w:p w14:paraId="14D0F6E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34.投标人须承诺中标后，负责食堂范围内的环境、设备、用具食品等的卫生管理，就餐大厅、操作间、室外楼梯及食堂外围台阶内均属于中标人管理范围。食堂后厨工作间和就餐大厅要保持通风、明亮、洁净，做到桌面、地面、墙面无杂物脏物、无油污等，保证良好的卫生环境。经营过程中产生的废弃油脂、废料、纸皮等要严格按照所在地和招标人环境卫生有关管理规定处理。食堂污水排放、油烟废气排放、产生的噪声、固体废弃物排放等均应符合国家相关标准规定及招标人要求。中标人应严格对照《公共机构停止使用不可降解一次性塑料制品名录(第一批)》要求，严禁违规采购和使用名录内的不可降解一次性塑料餐具（餐盒、餐勺、筷子等）、塑料水杯、塑料包装袋等违禁产品。</w:t>
      </w:r>
      <w:r>
        <w:rPr>
          <w:rFonts w:hint="eastAsia" w:ascii="宋体" w:hAnsi="宋体" w:eastAsia="宋体" w:cs="宋体"/>
          <w:b/>
          <w:bCs/>
          <w:color w:val="auto"/>
          <w:sz w:val="21"/>
          <w:szCs w:val="21"/>
          <w:highlight w:val="none"/>
        </w:rPr>
        <w:t>（提供承诺函并加盖公章，格式</w:t>
      </w:r>
      <w:r>
        <w:rPr>
          <w:rFonts w:hint="eastAsia" w:ascii="宋体" w:hAnsi="宋体" w:eastAsia="宋体" w:cs="宋体"/>
          <w:b/>
          <w:bCs/>
          <w:color w:val="auto"/>
          <w:sz w:val="21"/>
          <w:szCs w:val="21"/>
          <w:highlight w:val="none"/>
          <w:lang w:val="en-US" w:eastAsia="zh-CN"/>
        </w:rPr>
        <w:t>见附件</w:t>
      </w:r>
      <w:r>
        <w:rPr>
          <w:rFonts w:hint="eastAsia" w:ascii="宋体" w:hAnsi="宋体" w:eastAsia="宋体" w:cs="宋体"/>
          <w:b/>
          <w:bCs/>
          <w:color w:val="auto"/>
          <w:sz w:val="21"/>
          <w:szCs w:val="21"/>
          <w:highlight w:val="none"/>
        </w:rPr>
        <w:t>，未提供的按无效标处理）</w:t>
      </w:r>
    </w:p>
    <w:p w14:paraId="0719094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投标人须设置专门的餐厨废弃物收集设施并明显标识，食堂经营过程中产生的餐厨废弃物应单独收集、分类放置、及时清理，不得溢出存放容器，必要时进行消毒。中标人应按照垃圾分类相关法律法规，将餐厨废弃物交由符合资质的清运公司处理，垃圾实行袋装化管理，建筑垃圾外运和处理费用由中标人负责。严禁餐厨废弃物作为原料进入食品生产经营环节，禁止利用餐厨废弃物或餐厨废弃物的提炼物生产加工食品。</w:t>
      </w:r>
    </w:p>
    <w:p w14:paraId="2BA19CB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（六）经营指标控制</w:t>
      </w:r>
    </w:p>
    <w:p w14:paraId="0AB4B94D">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36.为体现学生食堂公益性，学生食堂所售卖的产品实行限价和报备定价两种方式，限价销售产品及售价包括：</w:t>
      </w:r>
    </w:p>
    <w:p w14:paraId="47557B45">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（1）餐点主食类：水煮蛋不超过 1 元/个，茶叶蛋不超过 1.2 元/个，荷包蛋不超过 1.5 元/个，肉包不超过 1.5 元/个，素包不超过 1 元/个，白面馒头不超过 0.5元/个（馒头和包子的重量不少于 80 克/个），油条不超过 1.5 元/根，素面（光面）不超过 5 元/份，白米稀饭不超过 0.5 元/份，白米饭不超过 0.5 元/份（免费添加）。（2）菜肴类：纯荤菜单品售价不超过 5.5 元/份，半荤半素单品不超过 4 元/份，精品素菜（如西兰花、茭白、山药、菇菌类等）单品售价不超过 3.5 元/份，普通素菜（如青菜、豆腐、土豆、冬瓜、时令蔬菜等）单品售价不超过 2 元/份。</w:t>
      </w:r>
    </w:p>
    <w:p w14:paraId="2374FE6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（3）套餐类（含米饭）：基本大伙套餐一荤一素不得高于 8 元每份，套餐内米饭免费提供。</w:t>
      </w:r>
    </w:p>
    <w:p w14:paraId="201EF737">
      <w:pPr>
        <w:keepNext w:val="0"/>
        <w:keepLines w:val="0"/>
        <w:pageBreakBefore w:val="0"/>
        <w:widowControl w:val="0"/>
        <w:kinsoku/>
        <w:wordWrap/>
        <w:overflowPunct/>
        <w:topLinePunct w:val="0"/>
        <w:autoSpaceDE/>
        <w:autoSpaceDN/>
        <w:bidi w:val="0"/>
        <w:adjustRightInd/>
        <w:snapToGrid/>
        <w:spacing w:line="480" w:lineRule="exact"/>
        <w:ind w:left="273" w:leftChars="13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（4）自助类：自选菜品类每50g不得高于1.7元，米饭0.5元/份（师生可按需取用，</w:t>
      </w:r>
      <w:r>
        <w:rPr>
          <w:rFonts w:hint="eastAsia" w:ascii="宋体" w:hAnsi="宋体" w:eastAsia="宋体" w:cs="宋体"/>
          <w:color w:val="auto"/>
          <w:sz w:val="21"/>
          <w:szCs w:val="21"/>
          <w:highlight w:val="none"/>
          <w:lang w:val="en-US" w:eastAsia="zh-CN"/>
        </w:rPr>
        <w:t>续加不再额外付费</w:t>
      </w:r>
      <w:r>
        <w:rPr>
          <w:rFonts w:hint="eastAsia" w:ascii="宋体" w:hAnsi="宋体" w:eastAsia="宋体" w:cs="宋体"/>
          <w:color w:val="auto"/>
          <w:sz w:val="21"/>
          <w:szCs w:val="21"/>
          <w:highlight w:val="none"/>
        </w:rPr>
        <w:t>）。</w:t>
      </w:r>
    </w:p>
    <w:p w14:paraId="47D1B0A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（5）豆浆、八宝粥、牛奶等预包装饮品不得高于同城</w:t>
      </w:r>
      <w:r>
        <w:rPr>
          <w:rFonts w:hint="eastAsia" w:ascii="宋体" w:hAnsi="宋体" w:eastAsia="宋体" w:cs="宋体"/>
          <w:color w:val="auto"/>
          <w:sz w:val="21"/>
          <w:szCs w:val="21"/>
          <w:highlight w:val="none"/>
          <w:lang w:val="en-US" w:eastAsia="zh-CN"/>
        </w:rPr>
        <w:t>学校</w:t>
      </w:r>
      <w:r>
        <w:rPr>
          <w:rFonts w:hint="eastAsia" w:ascii="宋体" w:hAnsi="宋体" w:eastAsia="宋体" w:cs="宋体"/>
          <w:color w:val="auto"/>
          <w:sz w:val="21"/>
          <w:szCs w:val="21"/>
          <w:highlight w:val="none"/>
        </w:rPr>
        <w:t>价格。投标人须承诺中标后，坚持公益性和微利经营，严格遵守前述限价销售规定，做到合理定价、价格稳定、质价相符，确保学生食堂饭菜价格</w:t>
      </w:r>
      <w:r>
        <w:rPr>
          <w:rFonts w:hint="eastAsia" w:ascii="宋体" w:hAnsi="宋体" w:eastAsia="宋体" w:cs="宋体"/>
          <w:color w:val="auto"/>
          <w:sz w:val="21"/>
          <w:szCs w:val="21"/>
          <w:highlight w:val="none"/>
          <w:lang w:val="en-US" w:eastAsia="zh-CN"/>
        </w:rPr>
        <w:t>不高于</w:t>
      </w:r>
      <w:r>
        <w:rPr>
          <w:rFonts w:hint="eastAsia" w:ascii="宋体" w:hAnsi="宋体" w:eastAsia="宋体" w:cs="宋体"/>
          <w:color w:val="auto"/>
          <w:sz w:val="21"/>
          <w:szCs w:val="21"/>
          <w:highlight w:val="none"/>
        </w:rPr>
        <w:t>学校周边同类同质同量食品价格。</w:t>
      </w:r>
      <w:r>
        <w:rPr>
          <w:rFonts w:hint="eastAsia" w:ascii="宋体" w:hAnsi="宋体" w:eastAsia="宋体" w:cs="宋体"/>
          <w:b/>
          <w:bCs/>
          <w:color w:val="auto"/>
          <w:sz w:val="21"/>
          <w:szCs w:val="21"/>
          <w:highlight w:val="none"/>
        </w:rPr>
        <w:t>（提供承诺函并加盖公章，格式自拟，未提供的按无效标处理）</w:t>
      </w:r>
    </w:p>
    <w:p w14:paraId="3F09F68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除上述限价销售品种外，食堂所售卖的其他产品定价需向招标人职能部门书面报备后方可实行，所有饭菜一律明码标价、一品一价。在合同期内，开学前一周向招标人职能部门上报所有单品售价，每学期至少维护完善一次，经审核同意后执行，确保明显低于市场同类同质同量饭菜价格。中标人不得自行调整变更，不得随意上涨菜价或通过减少菜品分量等方式进行变相涨价。如遇市场较大范围的价格波动时，根据上级文件精神经由招标人职能部门审批同意后方可进行调价。中标人未按以上售价和质量标准经营的，或未履行规定程序擅自涨价的，每发现一次</w:t>
      </w:r>
      <w:r>
        <w:rPr>
          <w:rFonts w:hint="eastAsia" w:ascii="宋体" w:hAnsi="宋体" w:eastAsia="宋体" w:cs="宋体"/>
          <w:color w:val="auto"/>
          <w:sz w:val="21"/>
          <w:szCs w:val="21"/>
          <w:highlight w:val="none"/>
          <w:lang w:val="en-US" w:eastAsia="zh-CN"/>
        </w:rPr>
        <w:t>按</w:t>
      </w:r>
      <w:r>
        <w:rPr>
          <w:rFonts w:hint="eastAsia" w:ascii="宋体" w:hAnsi="宋体" w:eastAsia="宋体" w:cs="宋体"/>
          <w:color w:val="auto"/>
          <w:sz w:val="21"/>
          <w:szCs w:val="21"/>
          <w:highlight w:val="none"/>
        </w:rPr>
        <w:t>5000 元</w:t>
      </w:r>
      <w:r>
        <w:rPr>
          <w:rFonts w:hint="eastAsia" w:ascii="宋体" w:hAnsi="宋体" w:eastAsia="宋体" w:cs="宋体"/>
          <w:color w:val="auto"/>
          <w:sz w:val="21"/>
          <w:szCs w:val="21"/>
          <w:highlight w:val="none"/>
          <w:lang w:val="en-US" w:eastAsia="zh-CN"/>
        </w:rPr>
        <w:t>向招标人支付</w:t>
      </w:r>
      <w:r>
        <w:rPr>
          <w:rFonts w:hint="eastAsia" w:ascii="宋体" w:hAnsi="宋体" w:eastAsia="宋体" w:cs="宋体"/>
          <w:color w:val="auto"/>
          <w:sz w:val="21"/>
          <w:szCs w:val="21"/>
          <w:highlight w:val="none"/>
        </w:rPr>
        <w:t>违约金，发现三次（含三次）以上，将被视为严重违约，招标人有权解除合同，并追究其违约责任。</w:t>
      </w:r>
    </w:p>
    <w:p w14:paraId="73E1EED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38.中标人须确保学生食堂主副食品花色品种不断翻新。早餐主食品种不少于 10 种，其中面食品种不少于 6 种；中餐主食不少于 3 种，其中米饭、馒头、面条必须提供，菜肴品种不少于 40 种；晚餐主食不少于 3 种，菜肴品种不少于 30 种。基本大伙每餐高、中、低档各类菜肴比例分别为 20-30%、40-50%、20-30%，中标人须确保所有规定的基本大伙主副食不断供。</w:t>
      </w:r>
    </w:p>
    <w:p w14:paraId="506D333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39.关于“低、中、高档菜肴”的界定及基本大伙套餐要求为：</w:t>
      </w:r>
    </w:p>
    <w:p w14:paraId="293F3CD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（1）特价菜：指单份售价为 1 元的菜肴，每餐不得少于 2 种，且在供餐时间不断供。</w:t>
      </w:r>
    </w:p>
    <w:p w14:paraId="7AFD55E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（2）低档菜：指单份售价为 1 元（不含 1 元）—2 元（含 2 元）的菜肴，中、晚餐且在供餐时间不断供。</w:t>
      </w:r>
    </w:p>
    <w:p w14:paraId="607EA3A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（3）中档菜：指单份售价为 2 元（不含 2 元）—4 元（含 4 元）的菜肴。</w:t>
      </w:r>
    </w:p>
    <w:p w14:paraId="1F35159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（4）高档菜：指单份售价为 4 元（不含 4 元）—5.5 元（含 5.5 元）的菜肴。</w:t>
      </w:r>
    </w:p>
    <w:p w14:paraId="694F634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（5）中标人须保证中、晚餐提供免费汤，且在供餐时间不断供。免费汤品种应定期更新、荤素搭配。</w:t>
      </w:r>
    </w:p>
    <w:p w14:paraId="1662927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40.中标人应在食堂就餐区设置微波炉、公平台和公平秤，单份菜重量要求为：</w:t>
      </w:r>
    </w:p>
    <w:p w14:paraId="7F2DAF7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（1）单菜份量为无汤无汁类不少于 180 克/份。</w:t>
      </w:r>
    </w:p>
    <w:p w14:paraId="6F00383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（2）带汁类不少于 200 克/份。</w:t>
      </w:r>
    </w:p>
    <w:p w14:paraId="169765A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（3）带汤类不少于 220 克/份。</w:t>
      </w:r>
    </w:p>
    <w:p w14:paraId="30418CB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（4）5.5 元以上菜肴，计量售卖，按质论价。</w:t>
      </w:r>
    </w:p>
    <w:p w14:paraId="020B9AF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（5）支持半份、拼菜等供餐方式。</w:t>
      </w:r>
    </w:p>
    <w:p w14:paraId="4740CB2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41.中标人要做好“基本大伙”菜肴单品、套餐等食材（不含米、面）投料率应不低于 55%（投料率〔%〕=食材成本/食品销售价格×100%）备档备查。</w:t>
      </w:r>
    </w:p>
    <w:p w14:paraId="2495358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中标人须配合招标人开展伙食成本核算和生均消费监测。中标人须使用进销存管理系统，安排专人负责管理和填报，在系统中建立所有食材（主料、辅料、调料）进货、出货台账，确保每日进货、出货数据及时更新，保证食材种类、数量与系统数据一致。学生食堂的成本核算方式以经营时间的月度为核算周期，中标人须在下个经营月的</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日前，向招标人职能部门报送上个经营月的成本核算清单，对录入进销存管理系统的信息和报送的成本核算数据的真实性负责。进销存管理系统应向招标人开放管理权限，招标人有权调取核实该系统数据，依据系统数据、原材料市场询价比对和日常检查抽查情况是否一致。中标人应坚持微利经营，将饭菜价格控制在承包合同约定的范围内，其经营利润应控制在营业额的5%以内（中标方应提供由第三方出具的年度审计报告）。经营净利润超出5%部分应让利学生。</w:t>
      </w:r>
    </w:p>
    <w:p w14:paraId="0522947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（七）“消费帮扶采购”相关要求</w:t>
      </w:r>
    </w:p>
    <w:p w14:paraId="1A18B99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43.投标人须承诺中标后，积极参加招标人组织的“面向采购”工作，按时按量完成乡村振兴采购农产品、“消费帮扶”、“832 平台”等采购任务，采购品种遴选、采购任务、采购合同签订、采购数量认定等按照招标人要求执行。在质量和价格相近时，优先采购本市脱贫地区和招标人联系帮扶县区农副产品,集中消纳滞销农副产品。如有中标人未完成招标人下达的“消费帮扶采购”工作，对于未完成的指标量，招标人将在年度结算时从中标人营业款中直接扣除。</w:t>
      </w:r>
      <w:r>
        <w:rPr>
          <w:rFonts w:hint="eastAsia" w:ascii="宋体" w:hAnsi="宋体" w:eastAsia="宋体" w:cs="宋体"/>
          <w:b/>
          <w:bCs/>
          <w:color w:val="auto"/>
          <w:sz w:val="21"/>
          <w:szCs w:val="21"/>
          <w:highlight w:val="none"/>
        </w:rPr>
        <w:t>（提供承诺函并加盖公章，格式自拟，未提供的按无效标处理）</w:t>
      </w:r>
    </w:p>
    <w:p w14:paraId="3BB4B9A5">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（八）餐饮文化和服务育人相关要求</w:t>
      </w:r>
    </w:p>
    <w:p w14:paraId="33F2B91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中标人须主动承担“服务育人”的职责，以学生多元化、多层次消费需求为导向，优化餐饮服务结构，构建“基本大伙”与多元化服务并重的餐饮体系，拓展“餐饮+学习交流生活+育人”复合空间，创新“产品+服务+业态+环境+互动”的综合服务模式，将食堂办成集餐饮、学习、会议、社团活动于一体的复合型就餐场所，突出培育大学生社会主义核心价值观与文化育人等元素，提升学生获得感与满意度。</w:t>
      </w:r>
    </w:p>
    <w:p w14:paraId="4508B265">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中标人应积极营造文明就餐的餐饮氛围，把精神文明建设融入安全用餐、健康用餐、节俭用餐、文明用餐的饮食文化，加强食品安全与营养健康的宣传教育，定期开展文明健康饮食、中华美食文化、就餐礼仪等相关科学知识普及和宣传教育活动，倡导“小餐桌、大文明”餐桌文化，培养学生健康的饮食习惯，全面提升学生食堂文明水准。食堂内部及周边招牌广告、张贴物、媒体播出内容等一切宣传物须经招标人职能部门审查后方可公开，未经招标人批准不得在食堂场所擅自发布商业广告或从事其他改变其使用功能等行为。</w:t>
      </w:r>
    </w:p>
    <w:p w14:paraId="595E3B8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（九）风险责任相关要求</w:t>
      </w:r>
    </w:p>
    <w:p w14:paraId="64E3C9CE">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中标人不得干涉招标人其它服务场所保障，招标人不确保就餐人数，或因招生人数变化、院部搬迁调整、校园周边市场环境变化等导致本项目投资收益变化等风险，由中标人自行承担，与招标人无关。投标人应对经营范围期间可能出现的政策、环境和市场的变化带来的运营成本上涨等可能影响运营的因素，做出正确的评估；在经营活动中应秉持平等竞争原则，通过合法渠道公平竞争，严禁各种不正当竞争和无序竞争。</w:t>
      </w:r>
    </w:p>
    <w:p w14:paraId="48EBB62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strike/>
          <w:dstrike w:val="0"/>
          <w:color w:val="auto"/>
          <w:sz w:val="21"/>
          <w:szCs w:val="21"/>
          <w:highlight w:val="none"/>
        </w:rPr>
      </w:pPr>
      <w:r>
        <w:rPr>
          <w:rFonts w:hint="eastAsia" w:ascii="宋体" w:hAnsi="宋体" w:eastAsia="宋体" w:cs="宋体"/>
          <w:color w:val="auto"/>
          <w:sz w:val="21"/>
          <w:szCs w:val="21"/>
          <w:highlight w:val="none"/>
        </w:rPr>
        <w:t>47.本项目收取履约保证金（人民币壹拾万元整，缴纳方式以合同约定为准）。履约保证金有效期自双方合同生效之日起至约定的中标人主要义务履行完毕止。</w:t>
      </w:r>
    </w:p>
    <w:p w14:paraId="1197FC3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履行期限届满，中标人已完全承担经营期内全部经济与法律责任（包括但不限于经济、劳工、合约纠纷、赔偿责任等）并妥善处理且无遗留问题，办理场地移交手续后，在双方无争议的情况下，招标人将中标人缴纳的履约保证金予以退还。</w:t>
      </w:r>
    </w:p>
    <w:p w14:paraId="3B411CB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予退还的情形包括：中标人不履行合同的，履约保证金不予退还；中标人未能按招标文件、投标响应文件或合同约定全面履行义务，或违反招标人有关管理规定的，招标人有权从履约保证金中取得补偿或赔偿，同时不影响招标人要求中标人承担合同约定的超过履约保证金的违约责任的权利。</w:t>
      </w:r>
    </w:p>
    <w:p w14:paraId="268EF37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期内，在食堂经营过程中出现安全、卫生、稳定等重大问题时，中标人须及时处理并支付相关费用，若不能及时处理或支付相关费用，招标人有权使用履约保证金先行支付相关费用。中标人擅自停止或退出经营的，除了需向招标人赔偿各种损失外，所有投入的设备设施归招标人所有，且履约保证金不退还。</w:t>
      </w:r>
    </w:p>
    <w:p w14:paraId="5E16953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（4）招标人每次扣除履约保证金后，中标人有义务在 20 日内按合同约定的全额履约保证金数额向招标人予以补足。若未按时补足的，每逾期 1 日，招标人有权要求中标人支付履约保证金总额 1%的逾期罚金；逾期超过 20 日的，招标人有权终止合同，并没收剩余的履约保证金。履约保证金不足以承担全部责任和弥补全部损失的，中标人应继续承担赔偿责任。</w:t>
      </w:r>
    </w:p>
    <w:p w14:paraId="316698B5">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48.投标人须承诺中标后，在签订合同后</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个月内为本项目购买雇主责任险、财产综合险等商业保险，向招标人提供保险合同、保险发票复印件备案。经营期内，应逐年续保并提供相关证明文件向招标人备案，否则视为违约。</w:t>
      </w:r>
      <w:r>
        <w:rPr>
          <w:rFonts w:hint="eastAsia" w:ascii="宋体" w:hAnsi="宋体" w:eastAsia="宋体" w:cs="宋体"/>
          <w:b/>
          <w:bCs/>
          <w:color w:val="auto"/>
          <w:sz w:val="21"/>
          <w:szCs w:val="21"/>
          <w:highlight w:val="none"/>
        </w:rPr>
        <w:t>（提供承诺函并加盖公章，格式自拟，未提供的按无效标处理）</w:t>
      </w:r>
    </w:p>
    <w:p w14:paraId="1417303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（十）监督检查</w:t>
      </w:r>
    </w:p>
    <w:p w14:paraId="2AB21BE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49.中标人应自觉接受属地市场监督部门、教育部门、消防部门等相关部门和招标人职能部门的监督检查，对监督检查提出的整改意见，中标人须即知即改，采取有效措施不折不扣落实整改，确保食堂管理工作科学化，服务工作规范化。经营期间，中标人有义务接受招标人内部审计。</w:t>
      </w:r>
    </w:p>
    <w:p w14:paraId="1D430A1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50.招标人按照《餐饮服务食品安全管理规范》等法规规范，开展“日管控、周巡查、月调度”工作，常态化开展安全风险隐患排查、专项检查工作。</w:t>
      </w:r>
    </w:p>
    <w:p w14:paraId="217AB10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监督检查的内容包括但不限于：</w:t>
      </w:r>
    </w:p>
    <w:p w14:paraId="0CE162B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（1）食堂制度建设、内控管理、资产管理、用能管理、食品经营许可、从业人员资质与依法用工等合同履行情况。</w:t>
      </w:r>
    </w:p>
    <w:p w14:paraId="559C2E1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（2）食堂经营方式（有无分包、转包等）。</w:t>
      </w:r>
    </w:p>
    <w:p w14:paraId="05459A7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食品安全管理，包括经营场所功能分区执行情况，食堂内外环境、服务人员个人卫生与防护措施、服务态度和质量；食堂原材料采购、验收与仓储，主副食烹饪制作与售卖程序；食堂餐用具清洗消毒、蒸汽烟气排放；食堂食品留样与索票索证、档案管理等。</w:t>
      </w:r>
    </w:p>
    <w:p w14:paraId="3DAD7C7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（4）食堂食物烹制质量、食品安全状况、食物分量、高中低档副食比例、花色品种情况（含免费汤）、明码标价等。</w:t>
      </w:r>
    </w:p>
    <w:p w14:paraId="7386F51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（5）原材料公示、单菜净重价格公示、饭菜质量、饭菜价格、公平秤设置、投诉电话设置等情况。</w:t>
      </w:r>
    </w:p>
    <w:p w14:paraId="316BD70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（6）食堂消防安全、值班值守巡查记录，从业人员消防教育培训情况；抽油烟机、烟道定期清理、用火用气用电安全隐患排查整改情况。</w:t>
      </w:r>
    </w:p>
    <w:p w14:paraId="5EFC689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（7）餐饮服务单位“校园一卡通”消费执行情况。</w:t>
      </w:r>
    </w:p>
    <w:p w14:paraId="07B827E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（8）“消费帮扶采购”等平台采购任务完成情况。</w:t>
      </w:r>
    </w:p>
    <w:p w14:paraId="0D1BF00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（9）食堂餐厨垃圾分类、清运情况。</w:t>
      </w:r>
    </w:p>
    <w:p w14:paraId="3A570A8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（10）食堂反食品浪费工作的落实情况。</w:t>
      </w:r>
    </w:p>
    <w:p w14:paraId="2FF6B0D5">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（11）餐饮服务单位大型活动餐饮保障、节假日（含法定假日、双休日、寒暑假）餐饮服务执行情况。</w:t>
      </w:r>
    </w:p>
    <w:p w14:paraId="633CF63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（12）重大突发事件应急预案的制定及落实情况。</w:t>
      </w:r>
    </w:p>
    <w:p w14:paraId="4025F74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（13）根据法律法规或实际需要监督检查的其他情况。</w:t>
      </w:r>
    </w:p>
    <w:p w14:paraId="19F9B3B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51.对监督检查中发现的问题，按照提醒、约谈和违约处理等方式进行处置。</w:t>
      </w:r>
    </w:p>
    <w:p w14:paraId="60D02A3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（1）提醒对中标人在服务过程中首次出现的不规范行为及安全隐患、师生的相关意见和建议、重要时间节点和重要环节的注意事项，采取口头提醒或书面提醒企业及时整改。</w:t>
      </w:r>
    </w:p>
    <w:p w14:paraId="6AB8177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（2）约谈</w:t>
      </w:r>
    </w:p>
    <w:p w14:paraId="3AAFA21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对反复出现的突出问题及违约问题、提醒效果不明显或共性问题、突出问题，采取集中约谈或个别约谈的方式，约谈中标人，强化法人责任意识，敦促中标人认真整改处置存在问题，防止类似隐患再次发生。</w:t>
      </w:r>
    </w:p>
    <w:p w14:paraId="750250C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（3）违约处理（处罚）</w:t>
      </w:r>
    </w:p>
    <w:p w14:paraId="4955F4C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对经提醒、约谈后仍不积极整改或整改不到位的，以招标人《食堂管理处罚细则》下发处罚告知书，罚金从中标人营业款中扣除。</w:t>
      </w:r>
    </w:p>
    <w:p w14:paraId="1AE2AC9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（十一）应急管理</w:t>
      </w:r>
    </w:p>
    <w:p w14:paraId="0C91A2B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中标人应建立健全突发事件应急处理机制，将保障出餐作为头等大事。应急预案应充分考虑各种可能导致就餐人员无法正常用餐的情况，应包括但不限于：食物中毒、食源性疾患、停水停电停气、消防安全、公共卫生、人手不足、突发事件混乱情况、突发舆情、应急供应能力等。</w:t>
      </w:r>
    </w:p>
    <w:p w14:paraId="2B5CB91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坚持早发现、早报告和早处置，中标人发现问题第一时间上报招标人，不得瞒报、迟报、漏报、谎报，并迅速启动应急处置预案，无条件协助招标人做好临时紧急处置，保护现场食品及其原料、工具、设备等不被破坏，主动配合公安、卫生、教育、市场监管等职能部门进行事件调查，并按要求如实提供有关材料和样品，严格落实政府职能部门和招标人要求采取的其他措施，把事态控制在最小范围。</w:t>
      </w:r>
    </w:p>
    <w:p w14:paraId="0023CAAD">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应急处置结束后，根据政府相关职能部门对事件现场的调查结果和提出的相关意见，配合招标人采取防范对策、措施落实整改，经验收合格后方可恢复供餐。如因中标人瞒报、迟报、漏报、谎报突发事件导致产生不良影响的，招标人有权对中标人予以罚款处罚，直至解除合同并不予退还履约保证金；造成严重后果的，招标人将依法追究相应法律责任。</w:t>
      </w:r>
    </w:p>
    <w:p w14:paraId="21D6CA6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（十二）评价和退出机制</w:t>
      </w:r>
    </w:p>
    <w:p w14:paraId="4C14096E">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55.考核评价机制</w:t>
      </w:r>
    </w:p>
    <w:p w14:paraId="720A807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招标人对食堂经营考核采取月度考核与年度综合考核相结合的办法。考核按照招标人制订的考核办法执行。</w:t>
      </w:r>
    </w:p>
    <w:p w14:paraId="4E2F126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（1）考核方式</w:t>
      </w:r>
    </w:p>
    <w:p w14:paraId="727B8AA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①月度考核：每月结合“日管控、周排查”日常监管情况，由招标人职能部门进行量化评分。</w:t>
      </w:r>
    </w:p>
    <w:p w14:paraId="725A90E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②师生满意度测评：每学期进行一次，由招标人职能部门组织师生客观填写满意度调查表。</w:t>
      </w:r>
    </w:p>
    <w:p w14:paraId="3EF05D6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③年度综合考核：由招标人职能部门牵头，学校相关部门及学生参与共同量化评分。</w:t>
      </w:r>
    </w:p>
    <w:p w14:paraId="6DC211F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（2）考核内容</w:t>
      </w:r>
    </w:p>
    <w:p w14:paraId="5D0E166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①月度考核：每月考核食品安全与食堂运营情况，考核实行百分制，招标人制定考核表评分。考核成绩 90 分以上（含 90 分）为优秀，80-90 分（含 80 分）为合格，80 分以下为不合格。</w:t>
      </w:r>
    </w:p>
    <w:p w14:paraId="4E82897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②师生满意度测评：每学期组织开展 1 次对食堂满意度测评，测评实行百分制计算考核结果。由招标人职能部门制定满意度测评表，组织师生填写。</w:t>
      </w:r>
    </w:p>
    <w:p w14:paraId="590EC51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③年度综合考核：年度综合考核分=月度考核平均分×50%+师生满意度测评平均分×30%+年度考核×20%。考核成绩 90 分以上（含 90 分）为优秀，80-90 分（含 80 分）为合格，80 分以下为不合格。</w:t>
      </w:r>
    </w:p>
    <w:p w14:paraId="618836D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④凡发生群体食物中毒事件、火灾事故、社会治安综合治理事故及其他安全事故，并造成重大不良影响的，当年年度综合考核结果直接评定为不合格。</w:t>
      </w:r>
    </w:p>
    <w:p w14:paraId="3A7627F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（3）考核结果运用</w:t>
      </w:r>
    </w:p>
    <w:p w14:paraId="0E9D6AF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考核结果作为下一合同年度是否续签合同的重要依据。如中标人月度考核不合格，经招标人约谈或下达整改通知后，限期整改无效且情节严重的，或同一年度内累计</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次月度考核成绩为不合格，或履约过程中发现中标人资质审查不合格的，及时启动退出机制，招标人有权解除合同。如中标人年度综合考核结果为不合格，招标人不再与之续签下一年度合同。年度综合考核结果为合格及以上的食堂，招标人可与中标人续签下一年度合同。</w:t>
      </w:r>
    </w:p>
    <w:p w14:paraId="782FAE8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（4）考核标准</w:t>
      </w:r>
    </w:p>
    <w:p w14:paraId="309800B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项目实施过程中，招标人有权根据实际情况对考核标准进行修订，中标人须无条件执行。</w:t>
      </w:r>
    </w:p>
    <w:p w14:paraId="47217CE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56.退出机制</w:t>
      </w:r>
    </w:p>
    <w:p w14:paraId="23C1387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（1）正常退出</w:t>
      </w:r>
    </w:p>
    <w:p w14:paraId="69B91DB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①合同到期后，不符合续签条件或招标人和中标人双方任一方无合作意向，根据合同约定，双方结清相关费用，办理移交手续后，中标人自行退出，合同自动终止。</w:t>
      </w:r>
    </w:p>
    <w:p w14:paraId="1E02D405">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②退出时，中标人应积极解决善后问题（包括人员问题及资产问题等），招标人暂停支付最后一个月的营业款，直到所有的问题解决后，方可结清所有的余款。</w:t>
      </w:r>
    </w:p>
    <w:p w14:paraId="3E2D1D4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（2）提前退出</w:t>
      </w:r>
    </w:p>
    <w:p w14:paraId="5CCF6A5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期内，若因政府规划建设、招标人整体规划需要或自然灾害等不可抗力因素和不可预测的客观因素导致合同无法履行的，合同自然终止，双方互不承担责任，中标人无条件撤离。因特殊原因中标人无法继续经营，应提前三个月书面申请，经招标人研究批准，按合同约定办理相关手续后，终止合同。未尽事宜双方协商解决。</w:t>
      </w:r>
    </w:p>
    <w:p w14:paraId="7F00CBD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（3）强制退出</w:t>
      </w:r>
    </w:p>
    <w:p w14:paraId="42D5386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引进的中标人，在经营期内出现下列情况之一，招标人有权取消其经营资格，责令退出食堂经营。凡被强制退出的中标人须承担由此产生的一切经济损失及法律责任，无条件同意招标人直接解除委托经营合同，并在接到强制退出通知后限期撤离，招标人不予退还被强制退出的中标人的履约保证金。</w:t>
      </w:r>
    </w:p>
    <w:p w14:paraId="070D272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①在投标时以弄虚作假等欺骗手段获得中标资格或履约过程中发现不具备食堂经营资质的，一经被查出的。</w:t>
      </w:r>
    </w:p>
    <w:p w14:paraId="3BF89B3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②食堂装修改造方案未经招标人审定或不按招标人审定的食堂装修改造方案擅自进行装修改造的；或未经招标人同意，私自拆改或变动房屋结构的。</w:t>
      </w:r>
    </w:p>
    <w:p w14:paraId="19B86DEF">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在经营招标人食堂过程中，存在掺杂做假、销售“三无”食品、腐烂变质食品、未按规定范围经营、擅自变更经营范围、超范围经营、不服从学校日常管理等违规行为，经招标人提醒规劝、限期整改依然拒不整改或整改无效的。</w:t>
      </w:r>
    </w:p>
    <w:p w14:paraId="2412F8B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④因擅自提价、伙食质量、食品安全卫生、服务质量等问题而引起员工罢工、师生罢餐、静坐、聚众闹事等群体事件，造成恶劣影响的。</w:t>
      </w:r>
    </w:p>
    <w:p w14:paraId="0BE4882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⑤发生群体性食物中毒事件，或在食品安全、伙食质量、生产、消防等方面被政府监管部门认定为重大安全事故的。</w:t>
      </w:r>
    </w:p>
    <w:p w14:paraId="5FAB740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⑥在经营过程中有转包、分包、转让行为或擅自引进特色风味档口，拒不整改的。</w:t>
      </w:r>
    </w:p>
    <w:p w14:paraId="7166F91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⑦违反有关法律法规和招标人治安综合治理规定，造成重大不良影响的；或因中标人原因引发社会舆论，造成严重不良影响的；用工人员因聚众滋事、赌博、盗窃、传教等给招标人造成不良影响的</w:t>
      </w:r>
    </w:p>
    <w:p w14:paraId="06627ED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⑧因中标人破产或在经营过程中因违法受到司法部门处理导致不能正常营业的，或符合国家、上级主管部门及行业协会有关规定必须终止的。</w:t>
      </w:r>
    </w:p>
    <w:p w14:paraId="47CA5BC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⑨中标人违规抵押、转让所经营食堂所有权及整体经营权的；或利用承接食堂存放危险物品或进行违法活动的。</w:t>
      </w:r>
    </w:p>
    <w:p w14:paraId="28EF820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⑩中标人未按期足额缴纳或补齐履约保证金的，或因拖欠供应商货款、燃料款、员工工资等情况影响食堂正常运作的。</w:t>
      </w:r>
    </w:p>
    <w:p w14:paraId="3291605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⑪合同期内非不可抗力情况下擅自停业的。</w:t>
      </w:r>
    </w:p>
    <w:p w14:paraId="2A345E9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⑫不接受招标人考核，不及时按招标人和政府监管部门要求整改合格的；或年度综合考核不合格，或存在其他违规、违约行为，经招标人规劝、限期整改无效且情节严重的。</w:t>
      </w:r>
    </w:p>
    <w:p w14:paraId="0EAAB3C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终止时，中标人所有用工人员由中标人带走或解聘解散，不得以任何理由滞留在招标人校园内。如由于中标人原因，导致招标人提供使用的房屋、设备设施损坏（不含自然损耗）、遗失的，招标人有权扣除中标人所交纳的履约保证金以冲抵资产损毁、遗失的赔偿金。</w:t>
      </w:r>
    </w:p>
    <w:p w14:paraId="435824A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（5）合同终止时，中标人离场时所涉及到与其它单位和个体的所有合同、债务纠纷由中标人全权负责，招标人不负责任。双方按合同约定进行清算，从履约保证金中扣除中标人应承担的费用。</w:t>
      </w:r>
    </w:p>
    <w:p w14:paraId="32FCCF63">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（6）其它未尽事宜，双方可在互惠互利、友好协商的原则上在委托经营合同签订时依据相关规定进一步协商细化。</w:t>
      </w:r>
    </w:p>
    <w:p w14:paraId="2FDD19D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（十三）其他要求</w:t>
      </w:r>
    </w:p>
    <w:p w14:paraId="238593AA">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57.投标人须在合同签订后，在</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rPr>
        <w:t>年秋季开学前（如因招标人原因或假期导致延期的除外）完成必要的食堂优化建设、设备添置和人员聘用，具备正常营业条件，实现全面开餐。中标人不得以任何理由拖延交接和开餐时间，如在规定时间内未按时开餐，属于中标人原因的，每延期 1 天</w:t>
      </w:r>
      <w:r>
        <w:rPr>
          <w:rFonts w:hint="eastAsia" w:ascii="宋体" w:hAnsi="宋体" w:eastAsia="宋体" w:cs="宋体"/>
          <w:color w:val="auto"/>
          <w:sz w:val="21"/>
          <w:szCs w:val="21"/>
          <w:highlight w:val="none"/>
          <w:lang w:val="en-US" w:eastAsia="zh-CN"/>
        </w:rPr>
        <w:t>按</w:t>
      </w:r>
      <w:r>
        <w:rPr>
          <w:rFonts w:hint="eastAsia" w:ascii="宋体" w:hAnsi="宋体" w:eastAsia="宋体" w:cs="宋体"/>
          <w:color w:val="auto"/>
          <w:sz w:val="21"/>
          <w:szCs w:val="21"/>
          <w:highlight w:val="none"/>
        </w:rPr>
        <w:t xml:space="preserve"> 10000 元/天</w:t>
      </w:r>
      <w:r>
        <w:rPr>
          <w:rFonts w:hint="eastAsia" w:ascii="宋体" w:hAnsi="宋体" w:eastAsia="宋体" w:cs="宋体"/>
          <w:color w:val="auto"/>
          <w:sz w:val="21"/>
          <w:szCs w:val="21"/>
          <w:highlight w:val="none"/>
          <w:lang w:val="en-US" w:eastAsia="zh-CN"/>
        </w:rPr>
        <w:t>向招标人支付违约金</w:t>
      </w:r>
      <w:r>
        <w:rPr>
          <w:rFonts w:hint="eastAsia" w:ascii="宋体" w:hAnsi="宋体" w:eastAsia="宋体" w:cs="宋体"/>
          <w:color w:val="auto"/>
          <w:sz w:val="21"/>
          <w:szCs w:val="21"/>
          <w:highlight w:val="none"/>
        </w:rPr>
        <w:t>，且中标人须采取有效应对措施补救，所产生的一切费用由中标人承担。</w:t>
      </w:r>
    </w:p>
    <w:p w14:paraId="6E7D63A0">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58.投标人须在中标后供餐前在滁州市办理好《食品经营许可证》等必需的证照，按期进行年审，并承担相关费用。招标人配合提供办证、年审所需要的文件资料。《食品经营许可证》、食堂从业人员的健康证明、餐饮服务食品安全监督量化分级管理等级评定及日常监督检查结果记录表等信息应悬挂或摆放在就餐区显著位置，严禁涂改或遮盖。对中标人的资质审查贯穿合同履约全过程，招标人一经发现并查实中标人不具备合同约定及国家、行业规定相关资质经营食堂的，视为中标人违约，招标人有权单方解除合同、收回食堂，且不退还履约保证金。</w:t>
      </w:r>
    </w:p>
    <w:p w14:paraId="183FB31D">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59.食堂委托经营期间，中标人在食堂经营过程中对外签订任何协议（含劳动合同）或法律文件均应以中标人自身为主体，不得使用“</w:t>
      </w:r>
      <w:r>
        <w:rPr>
          <w:rFonts w:hint="eastAsia" w:ascii="宋体" w:hAnsi="宋体" w:eastAsia="宋体" w:cs="宋体"/>
          <w:color w:val="auto"/>
          <w:sz w:val="21"/>
          <w:szCs w:val="21"/>
          <w:highlight w:val="none"/>
          <w:lang w:val="en-US" w:eastAsia="zh-CN"/>
        </w:rPr>
        <w:t>滁州市实验中学</w:t>
      </w:r>
      <w:r>
        <w:rPr>
          <w:rFonts w:hint="eastAsia" w:ascii="宋体" w:hAnsi="宋体" w:eastAsia="宋体" w:cs="宋体"/>
          <w:color w:val="auto"/>
          <w:sz w:val="21"/>
          <w:szCs w:val="21"/>
          <w:highlight w:val="none"/>
        </w:rPr>
        <w:t>某食堂”或其他与招标人有关的称谓。中标人与招标人以外的任何第三方发生任何法律关系时，负有明确告知、消除误解的责任；其与第三方发生的债权债务、财产损失、人身伤害、劳动纠纷、行政处罚并由此产生的法律责任等一切问题，均由中标人自行承担和处理，并承担法律责任，招标人不承担责任。前述如给招标人造成不良影响和损失的，招标人有权解除合同，并追究相应法律责任。</w:t>
      </w:r>
    </w:p>
    <w:p w14:paraId="3D81340F">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中标人应充分认识到服务对象的特殊性，管理服务行为必须符合国家法律法规及教育行政部门的规章制度规定，自觉执行招标人相关管理制度和各项工作规范，不得对招标人师生实施违法犯罪行为，不得侵犯招标人师生的人身权利，不得与招标人师生有违背公序良俗的不正当交往，不得利用提供管理服务的便利获取不当利益，不得擅自占用或改变招标人公用设施的使用功能。在日常服务中应做到文明管理、规范服务，服务过程中如发现违纪、违法、违规等行为，中标人应及时向招标人反映报告，由招标人职能部门依法依规进行处理。</w:t>
      </w:r>
    </w:p>
    <w:p w14:paraId="34BD214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依据《中华人民共和国房产税暂行条例》《中华人民共和国城镇土地使用税暂行条例》等文件规定，中标方负责缴纳国家和地方规定的经营场所房产税、土地使用税等相关税费（以税务部门核算缴纳税费为准、由招标方代收代缴）。</w:t>
      </w:r>
    </w:p>
    <w:p w14:paraId="4CC733D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62.本项目需求中未尽事宜按教育部办公厅《高校学生食堂运营管理工作指引》（教发厅〔2025〕15 号）、安徽省教育厅等八部门《关于进一步规范和加强高等学校学生食堂管理工作的通知》（皖教发〔2025〕8 号）执行。</w:t>
      </w:r>
    </w:p>
    <w:p w14:paraId="42578D0E">
      <w:pPr>
        <w:keepNext w:val="0"/>
        <w:keepLines w:val="0"/>
        <w:pageBreakBefore w:val="0"/>
        <w:widowControl w:val="0"/>
        <w:kinsoku/>
        <w:wordWrap/>
        <w:overflowPunct/>
        <w:topLinePunct w:val="0"/>
        <w:autoSpaceDE/>
        <w:autoSpaceDN/>
        <w:bidi w:val="0"/>
        <w:adjustRightInd/>
        <w:snapToGrid/>
        <w:spacing w:line="48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63.投标人</w:t>
      </w:r>
      <w:r>
        <w:rPr>
          <w:rFonts w:hint="eastAsia" w:ascii="宋体" w:hAnsi="宋体" w:eastAsia="宋体" w:cs="宋体"/>
          <w:b/>
          <w:bCs/>
          <w:color w:val="auto"/>
          <w:sz w:val="21"/>
          <w:szCs w:val="21"/>
          <w:highlight w:val="none"/>
          <w:lang w:val="en-US" w:eastAsia="zh-CN"/>
        </w:rPr>
        <w:t>投标时</w:t>
      </w:r>
      <w:r>
        <w:rPr>
          <w:rFonts w:hint="eastAsia" w:ascii="宋体" w:hAnsi="宋体" w:eastAsia="宋体" w:cs="宋体"/>
          <w:b/>
          <w:bCs/>
          <w:color w:val="auto"/>
          <w:sz w:val="21"/>
          <w:szCs w:val="21"/>
          <w:highlight w:val="none"/>
        </w:rPr>
        <w:t>在投标文件中提供的各项服务方案视为承诺，在履约期间须按照服务方案开展工作。</w:t>
      </w:r>
    </w:p>
    <w:p w14:paraId="78D7D9DC">
      <w:pPr>
        <w:keepNext w:val="0"/>
        <w:keepLines w:val="0"/>
        <w:pageBreakBefore w:val="0"/>
        <w:widowControl w:val="0"/>
        <w:kinsoku/>
        <w:wordWrap/>
        <w:overflowPunct/>
        <w:topLinePunct w:val="0"/>
        <w:autoSpaceDE/>
        <w:autoSpaceDN/>
        <w:bidi w:val="0"/>
        <w:adjustRightInd/>
        <w:snapToGrid/>
        <w:spacing w:before="0" w:beforeLines="50" w:after="0" w:afterLines="50"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三、报价要求</w:t>
      </w:r>
    </w:p>
    <w:p w14:paraId="5312CF6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本项目食堂经营方实行“零租赁”，无需报价。</w:t>
      </w:r>
      <w:r>
        <w:rPr>
          <w:rFonts w:hint="eastAsia" w:ascii="宋体" w:hAnsi="宋体" w:eastAsia="宋体" w:cs="宋体"/>
          <w:b/>
          <w:bCs/>
          <w:color w:val="auto"/>
          <w:sz w:val="21"/>
          <w:szCs w:val="21"/>
          <w:highlight w:val="none"/>
        </w:rPr>
        <w:t xml:space="preserve">（中标人必须交纳的其他费用：履约保证金：人民币10万元； 垃圾清运费：每学年4000元）。 </w:t>
      </w:r>
    </w:p>
    <w:p w14:paraId="62AC7939">
      <w:pPr>
        <w:keepNext w:val="0"/>
        <w:keepLines w:val="0"/>
        <w:pageBreakBefore w:val="0"/>
        <w:widowControl w:val="0"/>
        <w:kinsoku/>
        <w:wordWrap/>
        <w:overflowPunct/>
        <w:topLinePunct w:val="0"/>
        <w:autoSpaceDE/>
        <w:autoSpaceDN/>
        <w:bidi w:val="0"/>
        <w:adjustRightInd/>
        <w:snapToGrid/>
        <w:spacing w:before="0" w:beforeLines="50" w:after="0" w:afterLines="50"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四、收费和结算要求</w:t>
      </w:r>
    </w:p>
    <w:p w14:paraId="619AF05E">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食堂的经营收入一律纳入招标人财务统一管理，实行“统收统分”，招标人与中标人按合同约定对代收、应交、应付、扣罚款项每月结算一次。严禁设立“账外账”“小金库”，任何单位和个人不得挪用、转移。中标人作为经营主体，应完善财务管理制度，加强内部控制，规范账务处理，按月盘点库存，按时足额结算货款、人员工资等，主动接受招标人对食堂的财务监控并备档备查。</w:t>
      </w:r>
    </w:p>
    <w:p w14:paraId="50B0BC5A">
      <w:pPr>
        <w:keepNext w:val="0"/>
        <w:keepLines w:val="0"/>
        <w:pageBreakBefore w:val="0"/>
        <w:widowControl w:val="0"/>
        <w:kinsoku/>
        <w:wordWrap/>
        <w:overflowPunct/>
        <w:topLinePunct w:val="0"/>
        <w:autoSpaceDE/>
        <w:autoSpaceDN/>
        <w:bidi w:val="0"/>
        <w:adjustRightInd/>
        <w:snapToGrid/>
        <w:spacing w:line="480" w:lineRule="exact"/>
        <w:ind w:firstLine="422" w:firstLineChars="200"/>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付款方式、条件：</w:t>
      </w:r>
      <w:r>
        <w:rPr>
          <w:rFonts w:hint="eastAsia" w:ascii="宋体" w:hAnsi="宋体" w:eastAsia="宋体" w:cs="宋体"/>
          <w:b/>
          <w:bCs/>
          <w:color w:val="auto"/>
          <w:sz w:val="21"/>
          <w:szCs w:val="21"/>
          <w:highlight w:val="none"/>
        </w:rPr>
        <w:t>按月支付营业款，自合同签订之日起的下个月，校方向中标方支付上个月总营业额(校园一卡通报表)的50%营业款，上月食堂员工工资全部发放完成后(含特色窗口等相关费用)，校方支付中标方上月剩余营业款。因欠款造成投诉、举报、上访等，校方有权从营业款中代为支付相关欠款</w:t>
      </w:r>
      <w:r>
        <w:rPr>
          <w:rFonts w:hint="eastAsia" w:ascii="宋体" w:hAnsi="宋体" w:cs="宋体"/>
          <w:b/>
          <w:bCs/>
          <w:color w:val="auto"/>
          <w:sz w:val="21"/>
          <w:szCs w:val="21"/>
          <w:highlight w:val="none"/>
          <w:lang w:eastAsia="zh-CN"/>
        </w:rPr>
        <w:t>。</w:t>
      </w:r>
    </w:p>
    <w:p w14:paraId="0A549C06">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校园一卡通”为招标人食堂消费的指定支付方式。中标人须服从招标人关于收费系统的统一管理，未经允许不得收取消费者现金，不得私自使用各类收款码等。未经招标人同意，中标人不得开展各类促销活动，不得以任何形式强制消费或办理充值卡。否则一经发现，视为中标人违约，招标人有权给予警告、处罚等。出现集体接待用餐任务时，按招标人要求的结算方式执行。</w:t>
      </w:r>
    </w:p>
    <w:p w14:paraId="4AD1829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食堂水、电表安装必须符合招标人节能监管平台要求，费用由中标人自理。食堂经营发生的水、电费用由中标人自理，水、电价格按有关规定执行居民价格，根据滁州市收费标准据实结算；燃气费用由中标人直接向燃气公司缴纳。（注：如遇国家和有关部门对上述价格进行调整，则按调整后的价格对上述价格进行等额增减）。中标人须以本公司名义开立独立的水、电、气账户，不得擅自开立多个账户分别结算、变相分包。中标人未能按时足额缴纳水电气费用导致影响供餐的，招标人有权从营业款中直接扣除，并按 10000 元/次扣罚违约金。水电气等器具的检测维保维护等费用，由中标人自行承担。招标人提供校园一卡通消费交易系统，系统的维护与维修等事宜按照招标人一卡通管理规定办理。</w:t>
      </w:r>
    </w:p>
    <w:p w14:paraId="61AEFD2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中标人在经营活动中，与供货商、员工等产生的经济纠纷和法律纠纷，由中标人自行负责解决并承担一切责任；对招标人造成不良影响的，招标人有权解除合同，并追究中标人相关责任。如中标人因拖欠货款或员工工资问题导致影响食堂正常运营的，视为中标人违约并承担违约责任，招标人有权暂停结算营业款直至中标人结清应付账款。</w:t>
      </w:r>
    </w:p>
    <w:p w14:paraId="7EE7B30B">
      <w:pPr>
        <w:spacing w:before="156" w:beforeLines="50" w:after="156" w:afterLines="50"/>
        <w:jc w:val="center"/>
        <w:outlineLvl w:val="0"/>
        <w:rPr>
          <w:rFonts w:hint="eastAsia" w:ascii="宋体"/>
          <w:b/>
          <w:color w:val="auto"/>
          <w:sz w:val="32"/>
          <w:szCs w:val="32"/>
          <w:highlight w:val="none"/>
        </w:rPr>
      </w:pPr>
      <w:r>
        <w:rPr>
          <w:rFonts w:hint="eastAsia" w:ascii="宋体"/>
          <w:b/>
          <w:color w:val="auto"/>
          <w:sz w:val="32"/>
          <w:szCs w:val="32"/>
          <w:highlight w:val="none"/>
        </w:rPr>
        <w:br w:type="page"/>
      </w:r>
      <w:bookmarkStart w:id="135" w:name="_Toc18876"/>
      <w:bookmarkStart w:id="136" w:name="_Toc15152"/>
      <w:bookmarkStart w:id="137" w:name="_Toc31226"/>
      <w:r>
        <w:rPr>
          <w:rFonts w:hint="eastAsia" w:ascii="宋体"/>
          <w:b/>
          <w:color w:val="auto"/>
          <w:sz w:val="32"/>
          <w:szCs w:val="32"/>
          <w:highlight w:val="none"/>
        </w:rPr>
        <w:t>第五章  合同条款及格式</w:t>
      </w:r>
      <w:bookmarkEnd w:id="134"/>
      <w:bookmarkEnd w:id="135"/>
      <w:bookmarkEnd w:id="136"/>
      <w:bookmarkEnd w:id="137"/>
    </w:p>
    <w:p w14:paraId="50EDEE3A">
      <w:pPr>
        <w:spacing w:before="120" w:line="480" w:lineRule="auto"/>
        <w:jc w:val="center"/>
        <w:rPr>
          <w:rFonts w:hint="eastAsia" w:ascii="宋体" w:hAnsi="宋体" w:eastAsia="宋体" w:cs="Times New Roman"/>
          <w:color w:val="auto"/>
          <w:szCs w:val="21"/>
          <w:highlight w:val="none"/>
        </w:rPr>
      </w:pPr>
      <w:bookmarkStart w:id="138" w:name="_Toc331685783"/>
      <w:bookmarkStart w:id="139" w:name="_Toc449028948"/>
      <w:r>
        <w:rPr>
          <w:rFonts w:hint="eastAsia" w:ascii="宋体" w:hAnsi="宋体" w:cs="宋体"/>
          <w:color w:val="auto"/>
          <w:szCs w:val="21"/>
          <w:highlight w:val="none"/>
          <w:lang w:eastAsia="zh-CN" w:bidi="ar"/>
        </w:rPr>
        <w:t>说明：建议与中标人签订合同时将中标人技术方案和采购需求纳入合同中以保证项目顺利开展。</w:t>
      </w:r>
      <w:r>
        <w:rPr>
          <w:rFonts w:hint="eastAsia" w:ascii="宋体" w:hAnsi="宋体" w:eastAsia="宋体" w:cs="Times New Roman"/>
          <w:color w:val="auto"/>
          <w:szCs w:val="21"/>
          <w:highlight w:val="none"/>
        </w:rPr>
        <w:t>本合同仅供参考，以实际签订合同为准。</w:t>
      </w:r>
    </w:p>
    <w:p w14:paraId="21D61D1A">
      <w:pPr>
        <w:widowControl/>
        <w:spacing w:line="400" w:lineRule="exact"/>
        <w:ind w:left="360"/>
        <w:jc w:val="center"/>
        <w:textAlignment w:val="baseline"/>
        <w:outlineLvl w:val="1"/>
        <w:rPr>
          <w:rFonts w:hint="eastAsia" w:ascii="宋体"/>
          <w:b/>
          <w:color w:val="auto"/>
          <w:sz w:val="30"/>
          <w:szCs w:val="30"/>
          <w:highlight w:val="none"/>
        </w:rPr>
      </w:pPr>
    </w:p>
    <w:p w14:paraId="46942BB3">
      <w:pPr>
        <w:widowControl/>
        <w:spacing w:line="400" w:lineRule="exact"/>
        <w:ind w:left="360"/>
        <w:jc w:val="center"/>
        <w:textAlignment w:val="baseline"/>
        <w:outlineLvl w:val="1"/>
        <w:rPr>
          <w:rFonts w:hint="eastAsia" w:ascii="黑体" w:eastAsia="黑体"/>
          <w:b/>
          <w:color w:val="auto"/>
          <w:sz w:val="30"/>
          <w:szCs w:val="30"/>
          <w:highlight w:val="none"/>
        </w:rPr>
      </w:pPr>
      <w:r>
        <w:rPr>
          <w:rFonts w:hint="eastAsia" w:ascii="宋体"/>
          <w:b/>
          <w:color w:val="auto"/>
          <w:sz w:val="30"/>
          <w:szCs w:val="30"/>
          <w:highlight w:val="none"/>
        </w:rPr>
        <w:t>一</w:t>
      </w:r>
      <w:bookmarkStart w:id="140" w:name="_Toc449028946"/>
      <w:r>
        <w:rPr>
          <w:rFonts w:hint="eastAsia" w:ascii="宋体"/>
          <w:b/>
          <w:color w:val="auto"/>
          <w:sz w:val="30"/>
          <w:szCs w:val="30"/>
          <w:highlight w:val="none"/>
        </w:rPr>
        <w:t>、合同协议书（格式）</w:t>
      </w:r>
      <w:bookmarkEnd w:id="140"/>
    </w:p>
    <w:p w14:paraId="539D5FFA">
      <w:pPr>
        <w:spacing w:before="120" w:line="480" w:lineRule="auto"/>
        <w:ind w:left="960"/>
        <w:rPr>
          <w:rFonts w:hint="eastAsia" w:ascii="宋体" w:hAnsi="宋体"/>
          <w:color w:val="auto"/>
          <w:sz w:val="24"/>
          <w:highlight w:val="none"/>
        </w:rPr>
      </w:pPr>
    </w:p>
    <w:p w14:paraId="4BDD3347">
      <w:pPr>
        <w:spacing w:before="120" w:line="480" w:lineRule="auto"/>
        <w:ind w:left="960"/>
        <w:rPr>
          <w:rFonts w:hint="eastAsia" w:ascii="宋体" w:hAnsi="宋体"/>
          <w:color w:val="auto"/>
          <w:sz w:val="24"/>
          <w:highlight w:val="none"/>
        </w:rPr>
      </w:pPr>
    </w:p>
    <w:p w14:paraId="68893879">
      <w:pPr>
        <w:spacing w:before="120" w:line="480" w:lineRule="auto"/>
        <w:ind w:left="960"/>
        <w:rPr>
          <w:rFonts w:hint="eastAsia" w:ascii="宋体" w:hAnsi="宋体"/>
          <w:color w:val="auto"/>
          <w:sz w:val="24"/>
          <w:highlight w:val="none"/>
        </w:rPr>
      </w:pPr>
    </w:p>
    <w:p w14:paraId="464EA535">
      <w:pPr>
        <w:spacing w:before="120" w:line="480" w:lineRule="auto"/>
        <w:ind w:left="960"/>
        <w:rPr>
          <w:rFonts w:hint="eastAsia" w:ascii="宋体" w:hAnsi="宋体"/>
          <w:color w:val="auto"/>
          <w:sz w:val="24"/>
          <w:highlight w:val="none"/>
        </w:rPr>
      </w:pPr>
    </w:p>
    <w:p w14:paraId="51418E5F">
      <w:pPr>
        <w:spacing w:before="120" w:line="480" w:lineRule="auto"/>
        <w:ind w:left="960"/>
        <w:rPr>
          <w:rFonts w:hint="eastAsia" w:ascii="宋体" w:hAnsi="宋体"/>
          <w:color w:val="auto"/>
          <w:sz w:val="24"/>
          <w:highlight w:val="none"/>
        </w:rPr>
      </w:pPr>
    </w:p>
    <w:p w14:paraId="02D29FF3">
      <w:pPr>
        <w:spacing w:before="120" w:line="480" w:lineRule="auto"/>
        <w:ind w:firstLine="840" w:firstLineChars="400"/>
        <w:rPr>
          <w:rFonts w:hint="eastAsia" w:ascii="宋体" w:hAnsi="宋体"/>
          <w:color w:val="auto"/>
          <w:szCs w:val="21"/>
          <w:highlight w:val="none"/>
        </w:rPr>
      </w:pPr>
      <w:r>
        <w:rPr>
          <w:rFonts w:hint="eastAsia" w:ascii="宋体" w:hAnsi="宋体"/>
          <w:color w:val="auto"/>
          <w:szCs w:val="21"/>
          <w:highlight w:val="none"/>
        </w:rPr>
        <w:t xml:space="preserve">项目名称：    </w:t>
      </w:r>
    </w:p>
    <w:p w14:paraId="7A08632B">
      <w:pPr>
        <w:spacing w:before="120" w:line="480" w:lineRule="auto"/>
        <w:ind w:firstLine="840" w:firstLineChars="400"/>
        <w:rPr>
          <w:rFonts w:ascii="宋体" w:hAnsi="宋体"/>
          <w:color w:val="auto"/>
          <w:szCs w:val="21"/>
          <w:highlight w:val="none"/>
        </w:rPr>
      </w:pPr>
      <w:r>
        <w:rPr>
          <w:rFonts w:hint="eastAsia" w:ascii="宋体" w:hAnsi="宋体"/>
          <w:color w:val="auto"/>
          <w:szCs w:val="21"/>
          <w:highlight w:val="none"/>
        </w:rPr>
        <w:t>项目编号：</w:t>
      </w:r>
    </w:p>
    <w:p w14:paraId="14BF6EF7">
      <w:pPr>
        <w:spacing w:before="120" w:line="480" w:lineRule="auto"/>
        <w:ind w:firstLine="840" w:firstLineChars="400"/>
        <w:rPr>
          <w:rFonts w:ascii="宋体" w:hAnsi="宋体"/>
          <w:color w:val="auto"/>
          <w:szCs w:val="21"/>
          <w:highlight w:val="none"/>
          <w:u w:val="single"/>
        </w:rPr>
      </w:pPr>
      <w:r>
        <w:rPr>
          <w:rFonts w:hint="eastAsia" w:ascii="宋体" w:hAnsi="宋体"/>
          <w:color w:val="auto"/>
          <w:szCs w:val="21"/>
          <w:highlight w:val="none"/>
        </w:rPr>
        <w:t>甲方（</w:t>
      </w:r>
      <w:r>
        <w:rPr>
          <w:rFonts w:hint="eastAsia" w:ascii="宋体" w:hAnsi="宋体"/>
          <w:color w:val="auto"/>
          <w:szCs w:val="21"/>
          <w:highlight w:val="none"/>
          <w:lang w:val="en-US" w:eastAsia="zh-CN"/>
        </w:rPr>
        <w:t>招标</w:t>
      </w:r>
      <w:r>
        <w:rPr>
          <w:rFonts w:hint="eastAsia" w:ascii="宋体" w:hAnsi="宋体"/>
          <w:color w:val="auto"/>
          <w:szCs w:val="21"/>
          <w:highlight w:val="none"/>
        </w:rPr>
        <w:t>人）：</w:t>
      </w:r>
      <w:r>
        <w:rPr>
          <w:rFonts w:hint="eastAsia" w:ascii="宋体" w:hAnsi="宋体"/>
          <w:color w:val="auto"/>
          <w:szCs w:val="21"/>
          <w:highlight w:val="none"/>
          <w:u w:val="single"/>
        </w:rPr>
        <w:t xml:space="preserve">                              </w:t>
      </w:r>
    </w:p>
    <w:p w14:paraId="5B44E912">
      <w:pPr>
        <w:spacing w:before="120" w:line="480" w:lineRule="auto"/>
        <w:ind w:firstLine="840" w:firstLineChars="400"/>
        <w:rPr>
          <w:rFonts w:ascii="宋体" w:hAnsi="宋体"/>
          <w:color w:val="auto"/>
          <w:szCs w:val="21"/>
          <w:highlight w:val="none"/>
          <w:u w:val="single"/>
        </w:rPr>
      </w:pPr>
      <w:r>
        <w:rPr>
          <w:rFonts w:hint="eastAsia" w:ascii="宋体" w:hAnsi="宋体"/>
          <w:color w:val="auto"/>
          <w:szCs w:val="21"/>
          <w:highlight w:val="none"/>
        </w:rPr>
        <w:t>乙方（中标人）：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p>
    <w:p w14:paraId="11E642FF">
      <w:pPr>
        <w:spacing w:before="120" w:line="480" w:lineRule="auto"/>
        <w:ind w:firstLine="840" w:firstLineChars="400"/>
        <w:rPr>
          <w:rFonts w:ascii="宋体" w:hAnsi="宋体"/>
          <w:color w:val="auto"/>
          <w:szCs w:val="21"/>
          <w:highlight w:val="none"/>
          <w:u w:val="single"/>
        </w:rPr>
      </w:pPr>
      <w:r>
        <w:rPr>
          <w:rFonts w:hint="eastAsia" w:ascii="宋体" w:hAnsi="宋体"/>
          <w:color w:val="auto"/>
          <w:szCs w:val="21"/>
          <w:highlight w:val="none"/>
        </w:rPr>
        <w:t>签订地：</w:t>
      </w:r>
      <w:r>
        <w:rPr>
          <w:rFonts w:hint="eastAsia" w:ascii="宋体" w:hAnsi="宋体"/>
          <w:color w:val="auto"/>
          <w:szCs w:val="21"/>
          <w:highlight w:val="none"/>
          <w:u w:val="single"/>
        </w:rPr>
        <w:t xml:space="preserve">                                     </w:t>
      </w:r>
    </w:p>
    <w:p w14:paraId="79EB7F63">
      <w:pPr>
        <w:spacing w:before="120" w:line="480" w:lineRule="auto"/>
        <w:ind w:firstLine="840" w:firstLineChars="400"/>
        <w:rPr>
          <w:rFonts w:ascii="宋体" w:hAnsi="宋体"/>
          <w:color w:val="auto"/>
          <w:szCs w:val="21"/>
          <w:highlight w:val="none"/>
        </w:rPr>
      </w:pPr>
      <w:r>
        <w:rPr>
          <w:rFonts w:hint="eastAsia" w:ascii="宋体" w:hAnsi="宋体"/>
          <w:color w:val="auto"/>
          <w:szCs w:val="21"/>
          <w:highlight w:val="none"/>
        </w:rPr>
        <w:t>签订日期：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1F6309D7">
      <w:pPr>
        <w:widowControl/>
        <w:jc w:val="center"/>
        <w:rPr>
          <w:rFonts w:hint="eastAsia" w:ascii="Arial Unicode MS" w:hAnsi="Arial Unicode MS" w:eastAsia="Arial Unicode MS" w:cs="Arial Unicode MS"/>
          <w:b/>
          <w:color w:val="auto"/>
          <w:sz w:val="44"/>
          <w:szCs w:val="44"/>
          <w:highlight w:val="none"/>
        </w:rPr>
      </w:pPr>
      <w:r>
        <w:rPr>
          <w:rFonts w:ascii="宋体" w:hAnsi="宋体"/>
          <w:color w:val="auto"/>
          <w:szCs w:val="21"/>
          <w:highlight w:val="none"/>
        </w:rPr>
        <w:br w:type="page"/>
      </w:r>
      <w:r>
        <w:rPr>
          <w:rFonts w:hint="eastAsia" w:ascii="宋体" w:hAnsi="宋体" w:cs="宋体"/>
          <w:b/>
          <w:color w:val="auto"/>
          <w:sz w:val="28"/>
          <w:szCs w:val="28"/>
          <w:highlight w:val="none"/>
          <w:lang w:bidi="ar"/>
        </w:rPr>
        <w:t>(签订合同时，仅以此文本为基准，具体条款双方协定)</w:t>
      </w:r>
    </w:p>
    <w:p w14:paraId="492C2CC4">
      <w:pPr>
        <w:widowControl/>
        <w:spacing w:line="357" w:lineRule="atLeast"/>
        <w:jc w:val="left"/>
        <w:textAlignment w:val="baseline"/>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 </w:t>
      </w:r>
    </w:p>
    <w:p w14:paraId="3361D2DC">
      <w:pPr>
        <w:spacing w:line="360" w:lineRule="auto"/>
        <w:ind w:firstLine="435"/>
        <w:textAlignment w:val="baseline"/>
        <w:rPr>
          <w:rFonts w:hint="eastAsia" w:ascii="宋体" w:hAnsi="宋体" w:cs="宋体"/>
          <w:color w:val="auto"/>
          <w:szCs w:val="21"/>
          <w:highlight w:val="none"/>
        </w:rPr>
      </w:pPr>
      <w:r>
        <w:rPr>
          <w:rFonts w:hint="eastAsia" w:ascii="宋体" w:hAnsi="宋体" w:cs="宋体"/>
          <w:i/>
          <w:iCs/>
          <w:color w:val="auto"/>
          <w:szCs w:val="21"/>
          <w:highlight w:val="none"/>
          <w:u w:val="single" w:color="000000"/>
          <w:lang w:val="en-US" w:eastAsia="zh-CN" w:bidi="ar"/>
        </w:rPr>
        <w:t xml:space="preserve">  </w:t>
      </w:r>
      <w:r>
        <w:rPr>
          <w:rFonts w:hint="eastAsia" w:ascii="宋体" w:hAnsi="宋体" w:cs="宋体"/>
          <w:i/>
          <w:iCs/>
          <w:color w:val="auto"/>
          <w:szCs w:val="21"/>
          <w:highlight w:val="none"/>
          <w:u w:val="single" w:color="000000"/>
          <w:lang w:bidi="ar"/>
        </w:rPr>
        <w:t>（</w:t>
      </w:r>
      <w:r>
        <w:rPr>
          <w:rFonts w:hint="eastAsia" w:ascii="宋体" w:hAnsi="宋体" w:cs="宋体"/>
          <w:i/>
          <w:iCs/>
          <w:color w:val="auto"/>
          <w:szCs w:val="21"/>
          <w:highlight w:val="none"/>
          <w:u w:val="single" w:color="000000"/>
          <w:lang w:val="en-US" w:eastAsia="zh-CN" w:bidi="ar"/>
        </w:rPr>
        <w:t>招标人</w:t>
      </w:r>
      <w:r>
        <w:rPr>
          <w:rFonts w:hint="eastAsia" w:ascii="宋体" w:hAnsi="宋体" w:cs="宋体"/>
          <w:i/>
          <w:iCs/>
          <w:color w:val="auto"/>
          <w:szCs w:val="21"/>
          <w:highlight w:val="none"/>
          <w:u w:val="single" w:color="000000"/>
          <w:lang w:bidi="ar"/>
        </w:rPr>
        <w:t>人名称）</w:t>
      </w:r>
      <w:r>
        <w:rPr>
          <w:rFonts w:hint="eastAsia" w:ascii="宋体" w:hAnsi="宋体" w:cs="宋体"/>
          <w:color w:val="auto"/>
          <w:szCs w:val="21"/>
          <w:highlight w:val="none"/>
          <w:lang w:bidi="ar"/>
        </w:rPr>
        <w:t>（以下简称：甲方）通过公开招标，经评标委员会评定，确定</w:t>
      </w:r>
      <w:r>
        <w:rPr>
          <w:rFonts w:hint="eastAsia" w:ascii="宋体" w:hAnsi="宋体" w:cs="宋体"/>
          <w:i/>
          <w:iCs/>
          <w:color w:val="auto"/>
          <w:szCs w:val="21"/>
          <w:highlight w:val="none"/>
          <w:u w:val="single" w:color="000000"/>
          <w:lang w:bidi="ar"/>
        </w:rPr>
        <w:t>（中标人人名称）</w:t>
      </w:r>
      <w:r>
        <w:rPr>
          <w:rFonts w:hint="eastAsia" w:ascii="宋体" w:hAnsi="宋体" w:cs="宋体"/>
          <w:color w:val="auto"/>
          <w:szCs w:val="21"/>
          <w:highlight w:val="none"/>
          <w:lang w:bidi="ar"/>
        </w:rPr>
        <w:t>（以下简称：乙方）为本项目中标人，现按照招标文件确定的事项签订本合同。</w:t>
      </w:r>
    </w:p>
    <w:p w14:paraId="2BFEF9BB">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根据《中华人民共和国民法典》等相关法律法规之规定，按照平等、自愿、公平和诚实信用的原则，经甲方和乙方协商一致，约定以下合同条款，以兹共同遵守、全面履行。</w:t>
      </w:r>
    </w:p>
    <w:p w14:paraId="2B5CCC81">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1.1 合同组成部分</w:t>
      </w:r>
    </w:p>
    <w:p w14:paraId="2846591E">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下列文件为本合同的组成部分，并构成一个整体，需综合解释、相互补充。如果下列文件内容出现不一致的情形，那么在保证按照</w:t>
      </w:r>
      <w:r>
        <w:rPr>
          <w:rFonts w:hint="eastAsia" w:ascii="宋体" w:hAnsi="宋体" w:cs="宋体"/>
          <w:color w:val="auto"/>
          <w:szCs w:val="21"/>
          <w:highlight w:val="none"/>
          <w:lang w:val="en-US" w:eastAsia="zh-CN" w:bidi="ar"/>
        </w:rPr>
        <w:t>招标</w:t>
      </w:r>
      <w:r>
        <w:rPr>
          <w:rFonts w:hint="eastAsia" w:ascii="宋体" w:hAnsi="宋体" w:cs="宋体"/>
          <w:color w:val="auto"/>
          <w:szCs w:val="21"/>
          <w:highlight w:val="none"/>
          <w:lang w:bidi="ar"/>
        </w:rPr>
        <w:t>文件确定的事项前提下，组成本合同的多个文件的优先适用顺序如下：</w:t>
      </w:r>
    </w:p>
    <w:p w14:paraId="1254C5F9">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1.1.1本合同及其补充合同、变更协议；</w:t>
      </w:r>
    </w:p>
    <w:p w14:paraId="161934B5">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1.1.2中标通知书；</w:t>
      </w:r>
    </w:p>
    <w:p w14:paraId="2092C6F4">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1.1.3投标文件（含澄清或者说明文件）；</w:t>
      </w:r>
    </w:p>
    <w:p w14:paraId="64ED1725">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1.1.4招标文件（含澄清或者修改文件）；</w:t>
      </w:r>
    </w:p>
    <w:p w14:paraId="5075CE0F">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1.1.5其他相关采购文件。</w:t>
      </w:r>
    </w:p>
    <w:p w14:paraId="36DF4AE8">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1.2 服务</w:t>
      </w:r>
    </w:p>
    <w:p w14:paraId="21278B05">
      <w:pPr>
        <w:spacing w:line="360" w:lineRule="auto"/>
        <w:ind w:firstLine="435"/>
        <w:textAlignment w:val="baseline"/>
        <w:rPr>
          <w:rFonts w:hint="eastAsia" w:ascii="宋体" w:hAnsi="宋体" w:cs="宋体"/>
          <w:color w:val="auto"/>
          <w:szCs w:val="21"/>
          <w:highlight w:val="none"/>
          <w:u w:val="single" w:color="000000"/>
        </w:rPr>
      </w:pPr>
      <w:r>
        <w:rPr>
          <w:rFonts w:hint="eastAsia" w:ascii="宋体" w:hAnsi="宋体" w:cs="宋体"/>
          <w:color w:val="auto"/>
          <w:szCs w:val="21"/>
          <w:highlight w:val="none"/>
          <w:lang w:bidi="ar"/>
        </w:rPr>
        <w:t>1.2.1服务名称：</w:t>
      </w:r>
      <w:r>
        <w:rPr>
          <w:rFonts w:hint="eastAsia" w:ascii="宋体" w:hAnsi="宋体" w:cs="宋体"/>
          <w:color w:val="auto"/>
          <w:szCs w:val="21"/>
          <w:highlight w:val="none"/>
          <w:u w:val="single" w:color="000000"/>
          <w:lang w:bidi="ar"/>
        </w:rPr>
        <w:t xml:space="preserve">                                                </w:t>
      </w:r>
      <w:r>
        <w:rPr>
          <w:rFonts w:hint="eastAsia" w:ascii="宋体" w:hAnsi="宋体" w:cs="宋体"/>
          <w:color w:val="auto"/>
          <w:szCs w:val="21"/>
          <w:highlight w:val="none"/>
          <w:lang w:bidi="ar"/>
        </w:rPr>
        <w:t>；</w:t>
      </w:r>
    </w:p>
    <w:p w14:paraId="21297FBB">
      <w:pPr>
        <w:spacing w:line="360" w:lineRule="auto"/>
        <w:ind w:firstLine="435"/>
        <w:textAlignment w:val="baseline"/>
        <w:rPr>
          <w:rFonts w:hint="eastAsia" w:ascii="宋体" w:hAnsi="宋体" w:cs="宋体"/>
          <w:color w:val="auto"/>
          <w:szCs w:val="21"/>
          <w:highlight w:val="none"/>
          <w:u w:val="single" w:color="000000"/>
        </w:rPr>
      </w:pPr>
      <w:r>
        <w:rPr>
          <w:rFonts w:hint="eastAsia" w:ascii="宋体" w:hAnsi="宋体" w:cs="宋体"/>
          <w:color w:val="auto"/>
          <w:szCs w:val="21"/>
          <w:highlight w:val="none"/>
          <w:lang w:bidi="ar"/>
        </w:rPr>
        <w:t>1.2.2服务内容：</w:t>
      </w:r>
      <w:r>
        <w:rPr>
          <w:rFonts w:hint="eastAsia" w:ascii="宋体" w:hAnsi="宋体" w:cs="宋体"/>
          <w:color w:val="auto"/>
          <w:szCs w:val="21"/>
          <w:highlight w:val="none"/>
          <w:u w:val="single" w:color="000000"/>
          <w:lang w:bidi="ar"/>
        </w:rPr>
        <w:t xml:space="preserve">                                                </w:t>
      </w:r>
      <w:r>
        <w:rPr>
          <w:rFonts w:hint="eastAsia" w:ascii="宋体" w:hAnsi="宋体" w:cs="宋体"/>
          <w:color w:val="auto"/>
          <w:szCs w:val="21"/>
          <w:highlight w:val="none"/>
          <w:lang w:bidi="ar"/>
        </w:rPr>
        <w:t>；</w:t>
      </w:r>
    </w:p>
    <w:p w14:paraId="74D80F70">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1.2.3服务质量：</w:t>
      </w:r>
      <w:r>
        <w:rPr>
          <w:rFonts w:hint="eastAsia" w:ascii="宋体" w:hAnsi="宋体" w:cs="宋体"/>
          <w:color w:val="auto"/>
          <w:szCs w:val="21"/>
          <w:highlight w:val="none"/>
          <w:u w:val="single" w:color="000000"/>
          <w:lang w:bidi="ar"/>
        </w:rPr>
        <w:t xml:space="preserve">                                                </w:t>
      </w:r>
      <w:r>
        <w:rPr>
          <w:rFonts w:hint="eastAsia" w:ascii="宋体" w:hAnsi="宋体" w:cs="宋体"/>
          <w:color w:val="auto"/>
          <w:szCs w:val="21"/>
          <w:highlight w:val="none"/>
          <w:lang w:bidi="ar"/>
        </w:rPr>
        <w:t>。</w:t>
      </w:r>
    </w:p>
    <w:p w14:paraId="355F6D9B">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1.3 价款</w:t>
      </w:r>
    </w:p>
    <w:p w14:paraId="5D13E787">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本合同总价为：¥</w:t>
      </w:r>
      <w:r>
        <w:rPr>
          <w:rFonts w:hint="eastAsia" w:ascii="宋体" w:hAnsi="宋体" w:cs="宋体"/>
          <w:color w:val="auto"/>
          <w:szCs w:val="21"/>
          <w:highlight w:val="none"/>
          <w:u w:val="single" w:color="000000"/>
          <w:lang w:bidi="ar"/>
        </w:rPr>
        <w:t xml:space="preserve">    </w:t>
      </w:r>
      <w:r>
        <w:rPr>
          <w:rFonts w:hint="eastAsia" w:ascii="宋体" w:hAnsi="宋体" w:cs="宋体"/>
          <w:color w:val="auto"/>
          <w:szCs w:val="21"/>
          <w:highlight w:val="none"/>
          <w:u w:val="single" w:color="000000"/>
          <w:lang w:val="en-US" w:eastAsia="zh-CN" w:bidi="ar"/>
        </w:rPr>
        <w:t>/</w:t>
      </w:r>
      <w:r>
        <w:rPr>
          <w:rFonts w:hint="eastAsia" w:ascii="宋体" w:hAnsi="宋体" w:cs="宋体"/>
          <w:color w:val="auto"/>
          <w:szCs w:val="21"/>
          <w:highlight w:val="none"/>
          <w:u w:val="single" w:color="000000"/>
          <w:lang w:bidi="ar"/>
        </w:rPr>
        <w:t xml:space="preserve">     </w:t>
      </w:r>
      <w:r>
        <w:rPr>
          <w:rFonts w:hint="eastAsia" w:ascii="宋体" w:hAnsi="宋体" w:cs="宋体"/>
          <w:color w:val="auto"/>
          <w:szCs w:val="21"/>
          <w:highlight w:val="none"/>
          <w:lang w:bidi="ar"/>
        </w:rPr>
        <w:t>元（大写：人民币</w:t>
      </w:r>
      <w:r>
        <w:rPr>
          <w:rFonts w:hint="eastAsia" w:ascii="宋体" w:hAnsi="宋体" w:cs="宋体"/>
          <w:color w:val="auto"/>
          <w:szCs w:val="21"/>
          <w:highlight w:val="none"/>
          <w:u w:val="single" w:color="000000"/>
          <w:lang w:bidi="ar"/>
        </w:rPr>
        <w:t xml:space="preserve">       </w:t>
      </w:r>
      <w:r>
        <w:rPr>
          <w:rFonts w:hint="eastAsia" w:ascii="宋体" w:hAnsi="宋体" w:cs="宋体"/>
          <w:color w:val="auto"/>
          <w:szCs w:val="21"/>
          <w:highlight w:val="none"/>
          <w:u w:val="single" w:color="000000"/>
          <w:lang w:val="en-US" w:eastAsia="zh-CN" w:bidi="ar"/>
        </w:rPr>
        <w:t>/</w:t>
      </w:r>
      <w:r>
        <w:rPr>
          <w:rFonts w:hint="eastAsia" w:ascii="宋体" w:hAnsi="宋体" w:cs="宋体"/>
          <w:color w:val="auto"/>
          <w:szCs w:val="21"/>
          <w:highlight w:val="none"/>
          <w:u w:val="single" w:color="000000"/>
          <w:lang w:bidi="ar"/>
        </w:rPr>
        <w:t xml:space="preserve">      </w:t>
      </w:r>
      <w:r>
        <w:rPr>
          <w:rFonts w:hint="eastAsia" w:ascii="宋体" w:hAnsi="宋体" w:cs="宋体"/>
          <w:color w:val="auto"/>
          <w:szCs w:val="21"/>
          <w:highlight w:val="none"/>
          <w:lang w:bidi="ar"/>
        </w:rPr>
        <w:t>元）。</w:t>
      </w:r>
    </w:p>
    <w:p w14:paraId="7CF01CBD">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1.4 付款方式</w:t>
      </w:r>
    </w:p>
    <w:p w14:paraId="67A73719">
      <w:pPr>
        <w:pStyle w:val="31"/>
        <w:spacing w:before="0" w:beforeAutospacing="0" w:after="0" w:afterAutospacing="0" w:line="360" w:lineRule="auto"/>
        <w:ind w:firstLine="422" w:firstLineChars="200"/>
        <w:jc w:val="both"/>
        <w:textAlignment w:val="baseline"/>
        <w:rPr>
          <w:rFonts w:hint="eastAsia" w:cs="Times New Roman"/>
          <w:b/>
          <w:bCs/>
          <w:color w:val="auto"/>
          <w:sz w:val="21"/>
          <w:szCs w:val="21"/>
          <w:highlight w:val="none"/>
          <w:u w:val="single" w:color="000000"/>
        </w:rPr>
      </w:pPr>
      <w:r>
        <w:rPr>
          <w:rFonts w:hint="eastAsia"/>
          <w:b/>
          <w:bCs/>
          <w:color w:val="auto"/>
          <w:sz w:val="21"/>
          <w:szCs w:val="21"/>
          <w:highlight w:val="none"/>
          <w:lang w:bidi="ar"/>
        </w:rPr>
        <w:t>1.4.1付款方式：</w:t>
      </w:r>
      <w:r>
        <w:rPr>
          <w:rFonts w:hint="eastAsia" w:cs="Times New Roman"/>
          <w:b/>
          <w:bCs/>
          <w:color w:val="auto"/>
          <w:sz w:val="21"/>
          <w:szCs w:val="21"/>
          <w:highlight w:val="none"/>
          <w:u w:val="single" w:color="000000"/>
          <w:lang w:bidi="ar"/>
        </w:rPr>
        <w:t xml:space="preserve">  </w:t>
      </w:r>
      <w:r>
        <w:rPr>
          <w:rFonts w:hint="eastAsia" w:cs="Times New Roman"/>
          <w:b/>
          <w:bCs/>
          <w:color w:val="auto"/>
          <w:sz w:val="21"/>
          <w:szCs w:val="21"/>
          <w:highlight w:val="none"/>
          <w:u w:val="single" w:color="000000"/>
          <w:lang w:val="en-US" w:eastAsia="zh-CN" w:bidi="ar"/>
        </w:rPr>
        <w:t xml:space="preserve"> </w:t>
      </w:r>
      <w:r>
        <w:rPr>
          <w:rFonts w:hint="eastAsia"/>
          <w:b/>
          <w:bCs/>
          <w:color w:val="auto"/>
          <w:sz w:val="21"/>
          <w:szCs w:val="21"/>
          <w:highlight w:val="none"/>
          <w:u w:val="single" w:color="000000"/>
          <w:lang w:bidi="ar"/>
        </w:rPr>
        <w:t>。</w:t>
      </w:r>
    </w:p>
    <w:p w14:paraId="5A498874">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1.4.2发票开具方式：</w:t>
      </w:r>
      <w:r>
        <w:rPr>
          <w:rFonts w:hint="eastAsia" w:ascii="宋体" w:hAnsi="宋体" w:cs="宋体"/>
          <w:color w:val="auto"/>
          <w:szCs w:val="21"/>
          <w:highlight w:val="none"/>
          <w:u w:val="single" w:color="000000"/>
          <w:lang w:bidi="ar"/>
        </w:rPr>
        <w:t xml:space="preserve">                                            </w:t>
      </w:r>
      <w:r>
        <w:rPr>
          <w:rFonts w:hint="eastAsia" w:ascii="宋体" w:hAnsi="宋体" w:cs="宋体"/>
          <w:color w:val="auto"/>
          <w:szCs w:val="21"/>
          <w:highlight w:val="none"/>
          <w:lang w:bidi="ar"/>
        </w:rPr>
        <w:t>。</w:t>
      </w:r>
    </w:p>
    <w:p w14:paraId="6CCDE0C2">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1.5 服务期限、地点和方式</w:t>
      </w:r>
    </w:p>
    <w:p w14:paraId="0E74DC14">
      <w:pPr>
        <w:spacing w:line="360" w:lineRule="auto"/>
        <w:ind w:firstLine="435"/>
        <w:textAlignment w:val="baseline"/>
        <w:rPr>
          <w:rFonts w:hint="eastAsia" w:ascii="宋体" w:hAnsi="宋体" w:cs="宋体"/>
          <w:color w:val="auto"/>
          <w:szCs w:val="21"/>
          <w:highlight w:val="none"/>
          <w:u w:val="single" w:color="000000"/>
        </w:rPr>
      </w:pPr>
      <w:r>
        <w:rPr>
          <w:rFonts w:hint="eastAsia" w:ascii="宋体" w:hAnsi="宋体" w:cs="宋体"/>
          <w:color w:val="auto"/>
          <w:szCs w:val="21"/>
          <w:highlight w:val="none"/>
          <w:lang w:bidi="ar"/>
        </w:rPr>
        <w:t>1.5.1服务期限：</w:t>
      </w:r>
      <w:r>
        <w:rPr>
          <w:rFonts w:hint="eastAsia" w:ascii="宋体" w:hAnsi="宋体" w:cs="宋体"/>
          <w:color w:val="auto"/>
          <w:szCs w:val="21"/>
          <w:highlight w:val="none"/>
          <w:u w:val="single" w:color="000000"/>
          <w:lang w:bidi="ar"/>
        </w:rPr>
        <w:t xml:space="preserve">                                                </w:t>
      </w:r>
      <w:r>
        <w:rPr>
          <w:rFonts w:hint="eastAsia" w:ascii="宋体" w:hAnsi="宋体" w:cs="宋体"/>
          <w:color w:val="auto"/>
          <w:szCs w:val="21"/>
          <w:highlight w:val="none"/>
          <w:lang w:bidi="ar"/>
        </w:rPr>
        <w:t>；</w:t>
      </w:r>
    </w:p>
    <w:p w14:paraId="002F2EA2">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1.5.2服务地点：</w:t>
      </w:r>
      <w:r>
        <w:rPr>
          <w:rFonts w:hint="eastAsia" w:ascii="宋体" w:hAnsi="宋体" w:cs="宋体"/>
          <w:color w:val="auto"/>
          <w:szCs w:val="21"/>
          <w:highlight w:val="none"/>
          <w:u w:val="single" w:color="000000"/>
          <w:lang w:bidi="ar"/>
        </w:rPr>
        <w:t xml:space="preserve">                                                </w:t>
      </w:r>
      <w:r>
        <w:rPr>
          <w:rFonts w:hint="eastAsia" w:ascii="宋体" w:hAnsi="宋体" w:cs="宋体"/>
          <w:color w:val="auto"/>
          <w:szCs w:val="21"/>
          <w:highlight w:val="none"/>
          <w:lang w:bidi="ar"/>
        </w:rPr>
        <w:t>；</w:t>
      </w:r>
    </w:p>
    <w:p w14:paraId="18FBC177">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1.5.3服务方式：</w:t>
      </w:r>
      <w:r>
        <w:rPr>
          <w:rFonts w:hint="eastAsia" w:ascii="宋体" w:hAnsi="宋体" w:cs="宋体"/>
          <w:color w:val="auto"/>
          <w:szCs w:val="21"/>
          <w:highlight w:val="none"/>
          <w:u w:val="single" w:color="000000"/>
          <w:lang w:bidi="ar"/>
        </w:rPr>
        <w:t xml:space="preserve">                                                </w:t>
      </w:r>
      <w:r>
        <w:rPr>
          <w:rFonts w:hint="eastAsia" w:ascii="宋体" w:hAnsi="宋体" w:cs="宋体"/>
          <w:color w:val="auto"/>
          <w:szCs w:val="21"/>
          <w:highlight w:val="none"/>
          <w:lang w:bidi="ar"/>
        </w:rPr>
        <w:t>。</w:t>
      </w:r>
    </w:p>
    <w:p w14:paraId="2AF19B30">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1.6 违约责任</w:t>
      </w:r>
    </w:p>
    <w:p w14:paraId="32050AB8">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1.6.1除不可抗力外，如果乙方没有按照本合同约定的期限、地点和方式履行，那么甲方可要求乙方支付违约金，违约金按每迟延履行一日的应提供而未提供服务价格的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Cs w:val="21"/>
          <w:highlight w:val="none"/>
          <w:u w:val="single" w:color="000000"/>
          <w:lang w:val="en-US" w:eastAsia="zh-CN" w:bidi="ar"/>
        </w:rPr>
        <w:t xml:space="preserve">  </w:t>
      </w:r>
      <w:r>
        <w:rPr>
          <w:rFonts w:hint="eastAsia" w:ascii="宋体" w:hAnsi="宋体" w:cs="宋体"/>
          <w:color w:val="auto"/>
          <w:szCs w:val="21"/>
          <w:highlight w:val="none"/>
          <w:lang w:bidi="ar"/>
        </w:rPr>
        <w:t>%计算，最高限额为本合同总价的</w:t>
      </w:r>
      <w:r>
        <w:rPr>
          <w:rFonts w:hint="eastAsia" w:ascii="宋体" w:hAnsi="宋体" w:cs="宋体"/>
          <w:color w:val="auto"/>
          <w:szCs w:val="21"/>
          <w:highlight w:val="none"/>
          <w:u w:val="single" w:color="000000"/>
          <w:lang w:val="en-US" w:eastAsia="zh-CN" w:bidi="ar"/>
        </w:rPr>
        <w:t xml:space="preserve">  </w:t>
      </w:r>
      <w:r>
        <w:rPr>
          <w:rFonts w:hint="eastAsia" w:ascii="宋体" w:hAnsi="宋体" w:cs="宋体"/>
          <w:color w:val="auto"/>
          <w:szCs w:val="21"/>
          <w:highlight w:val="none"/>
          <w:lang w:bidi="ar"/>
        </w:rPr>
        <w:t>%；迟延履行的违约金计算数额达到前述最高限额之日起，甲方有权在要求乙方支付违约金的同时，书面通知乙方解除本合同；</w:t>
      </w:r>
    </w:p>
    <w:p w14:paraId="5B545DB0">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1.6.2除不可抗力外，如果甲方没有按照本合同约定的付款方式付款，那么乙方可要求甲方支付违约金，违约金按每迟延付款一日的应付而未付款的</w:t>
      </w:r>
      <w:r>
        <w:rPr>
          <w:rFonts w:hint="eastAsia" w:ascii="宋体" w:hAnsi="宋体" w:cs="宋体"/>
          <w:color w:val="auto"/>
          <w:szCs w:val="21"/>
          <w:highlight w:val="none"/>
          <w:u w:val="single" w:color="000000"/>
          <w:lang w:bidi="ar"/>
        </w:rPr>
        <w:t xml:space="preserve"> </w:t>
      </w:r>
      <w:r>
        <w:rPr>
          <w:rFonts w:hint="eastAsia" w:ascii="宋体" w:hAnsi="宋体" w:cs="宋体"/>
          <w:color w:val="auto"/>
          <w:szCs w:val="21"/>
          <w:highlight w:val="none"/>
          <w:u w:val="single" w:color="000000"/>
          <w:lang w:val="en-US" w:eastAsia="zh-CN" w:bidi="ar"/>
        </w:rPr>
        <w:t xml:space="preserve"> </w:t>
      </w:r>
      <w:r>
        <w:rPr>
          <w:rFonts w:hint="eastAsia" w:ascii="宋体" w:hAnsi="宋体" w:cs="宋体"/>
          <w:color w:val="auto"/>
          <w:szCs w:val="21"/>
          <w:highlight w:val="none"/>
          <w:u w:val="single" w:color="000000"/>
          <w:lang w:bidi="ar"/>
        </w:rPr>
        <w:t xml:space="preserve"> </w:t>
      </w:r>
      <w:r>
        <w:rPr>
          <w:rFonts w:hint="eastAsia" w:ascii="宋体" w:hAnsi="宋体" w:cs="宋体"/>
          <w:color w:val="auto"/>
          <w:szCs w:val="21"/>
          <w:highlight w:val="none"/>
          <w:lang w:bidi="ar"/>
        </w:rPr>
        <w:t>%计算，最高限额为本合同总价的</w:t>
      </w:r>
      <w:r>
        <w:rPr>
          <w:rFonts w:hint="eastAsia" w:ascii="宋体" w:hAnsi="宋体" w:cs="宋体"/>
          <w:color w:val="auto"/>
          <w:szCs w:val="21"/>
          <w:highlight w:val="none"/>
          <w:u w:val="single" w:color="000000"/>
          <w:lang w:val="en-US" w:eastAsia="zh-CN" w:bidi="ar"/>
        </w:rPr>
        <w:t xml:space="preserve"> </w:t>
      </w:r>
      <w:r>
        <w:rPr>
          <w:rFonts w:hint="eastAsia" w:ascii="宋体" w:hAnsi="宋体" w:cs="宋体"/>
          <w:color w:val="auto"/>
          <w:szCs w:val="21"/>
          <w:highlight w:val="none"/>
          <w:u w:val="single" w:color="000000"/>
          <w:lang w:bidi="ar"/>
        </w:rPr>
        <w:t xml:space="preserve"> </w:t>
      </w:r>
      <w:r>
        <w:rPr>
          <w:rFonts w:hint="eastAsia" w:ascii="宋体" w:hAnsi="宋体" w:cs="宋体"/>
          <w:color w:val="auto"/>
          <w:szCs w:val="21"/>
          <w:highlight w:val="none"/>
          <w:lang w:bidi="ar"/>
        </w:rPr>
        <w:t>%；迟延付款的违约金计算数额达到前述最高限额之日起，乙方有权在要求甲方支付违约金的同时，书面通知甲方解除本合同；</w:t>
      </w:r>
    </w:p>
    <w:p w14:paraId="75BA2EF2">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1765E626">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72549E37">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178DC0C1">
      <w:pPr>
        <w:spacing w:line="360" w:lineRule="auto"/>
        <w:ind w:firstLine="435"/>
        <w:textAlignment w:val="baseline"/>
        <w:rPr>
          <w:rFonts w:hint="eastAsia" w:ascii="宋体" w:hAnsi="宋体" w:cs="宋体"/>
          <w:color w:val="auto"/>
          <w:szCs w:val="21"/>
          <w:highlight w:val="none"/>
          <w:lang w:bidi="ar"/>
        </w:rPr>
      </w:pPr>
      <w:r>
        <w:rPr>
          <w:rFonts w:hint="eastAsia" w:ascii="宋体" w:hAnsi="宋体" w:cs="宋体"/>
          <w:color w:val="auto"/>
          <w:szCs w:val="21"/>
          <w:highlight w:val="none"/>
          <w:lang w:bidi="ar"/>
        </w:rPr>
        <w:t>1.6.6如果出现政府采购监督管理部门在处理投诉事项期间，书面通知甲方暂停采购活动的情形，或者询问或质疑事项可能影响中标结果的，导致甲方中止履行合同的情形，均不视为甲方违约。</w:t>
      </w:r>
    </w:p>
    <w:p w14:paraId="5069E28F">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1.7 合同争议的解决</w:t>
      </w:r>
    </w:p>
    <w:p w14:paraId="4E4673C2">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本合同履行过程中发生的任何争议，双方当事人均可通过和解或者调解解决；不愿和解、调解或者和解、调解不成的，可以选择下列第</w:t>
      </w:r>
      <w:r>
        <w:rPr>
          <w:rFonts w:hint="eastAsia" w:ascii="宋体" w:hAnsi="宋体" w:cs="宋体"/>
          <w:color w:val="auto"/>
          <w:szCs w:val="21"/>
          <w:highlight w:val="none"/>
          <w:u w:val="single" w:color="000000"/>
          <w:lang w:bidi="ar"/>
        </w:rPr>
        <w:t xml:space="preserve"> </w:t>
      </w:r>
      <w:r>
        <w:rPr>
          <w:rFonts w:hint="eastAsia" w:ascii="宋体" w:hAnsi="宋体" w:cs="宋体"/>
          <w:color w:val="auto"/>
          <w:szCs w:val="21"/>
          <w:highlight w:val="none"/>
          <w:u w:val="single" w:color="000000"/>
          <w:lang w:val="en-US" w:eastAsia="zh-CN" w:bidi="ar"/>
        </w:rPr>
        <w:t>2</w:t>
      </w:r>
      <w:r>
        <w:rPr>
          <w:rFonts w:hint="eastAsia" w:ascii="宋体" w:hAnsi="宋体" w:cs="宋体"/>
          <w:color w:val="auto"/>
          <w:szCs w:val="21"/>
          <w:highlight w:val="none"/>
          <w:u w:val="single" w:color="000000"/>
          <w:lang w:bidi="ar"/>
        </w:rPr>
        <w:t xml:space="preserve"> </w:t>
      </w:r>
      <w:r>
        <w:rPr>
          <w:rFonts w:hint="eastAsia" w:ascii="宋体" w:hAnsi="宋体" w:cs="宋体"/>
          <w:color w:val="auto"/>
          <w:szCs w:val="21"/>
          <w:highlight w:val="none"/>
          <w:lang w:bidi="ar"/>
        </w:rPr>
        <w:t>种方式解决：</w:t>
      </w:r>
    </w:p>
    <w:p w14:paraId="40D242AD">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1.7.1将争议提交滁州仲裁委员会依申请仲裁时其现行有效的仲裁规则裁决；</w:t>
      </w:r>
    </w:p>
    <w:p w14:paraId="675CBBF0">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1.7.2向甲方（</w:t>
      </w:r>
      <w:r>
        <w:rPr>
          <w:rFonts w:hint="eastAsia" w:ascii="宋体" w:hAnsi="宋体" w:cs="宋体"/>
          <w:color w:val="auto"/>
          <w:szCs w:val="21"/>
          <w:highlight w:val="none"/>
          <w:lang w:val="en-US" w:eastAsia="zh-CN" w:bidi="ar"/>
        </w:rPr>
        <w:t>招标</w:t>
      </w:r>
      <w:r>
        <w:rPr>
          <w:rFonts w:hint="eastAsia" w:ascii="宋体" w:hAnsi="宋体" w:cs="宋体"/>
          <w:color w:val="auto"/>
          <w:szCs w:val="21"/>
          <w:highlight w:val="none"/>
          <w:lang w:bidi="ar"/>
        </w:rPr>
        <w:t>人）所在地人民法院起诉。</w:t>
      </w:r>
    </w:p>
    <w:p w14:paraId="50D73BD0">
      <w:pPr>
        <w:spacing w:line="360" w:lineRule="auto"/>
        <w:ind w:firstLine="437"/>
        <w:textAlignment w:val="baseline"/>
        <w:outlineLvl w:val="3"/>
        <w:rPr>
          <w:rFonts w:hint="eastAsia" w:ascii="宋体" w:hAnsi="宋体" w:cs="宋体"/>
          <w:b/>
          <w:bCs/>
          <w:color w:val="auto"/>
          <w:szCs w:val="21"/>
          <w:highlight w:val="none"/>
          <w:lang w:val="en-US" w:eastAsia="zh-CN" w:bidi="ar"/>
        </w:rPr>
      </w:pPr>
      <w:r>
        <w:rPr>
          <w:rFonts w:hint="eastAsia" w:ascii="宋体" w:hAnsi="宋体" w:cs="宋体"/>
          <w:b/>
          <w:bCs/>
          <w:color w:val="auto"/>
          <w:szCs w:val="21"/>
          <w:highlight w:val="none"/>
          <w:lang w:bidi="ar"/>
        </w:rPr>
        <w:t xml:space="preserve">1.8 </w:t>
      </w:r>
      <w:r>
        <w:rPr>
          <w:rFonts w:hint="eastAsia" w:ascii="宋体" w:hAnsi="宋体" w:cs="宋体"/>
          <w:b/>
          <w:bCs/>
          <w:color w:val="auto"/>
          <w:szCs w:val="21"/>
          <w:highlight w:val="none"/>
          <w:lang w:val="en-US" w:eastAsia="zh-CN" w:bidi="ar"/>
        </w:rPr>
        <w:t>其他</w:t>
      </w:r>
    </w:p>
    <w:p w14:paraId="586AB38C">
      <w:pPr>
        <w:spacing w:line="360" w:lineRule="auto"/>
        <w:ind w:firstLine="437"/>
        <w:textAlignment w:val="baseline"/>
        <w:outlineLvl w:val="3"/>
        <w:rPr>
          <w:rFonts w:hint="eastAsia"/>
          <w:color w:val="auto"/>
          <w:highlight w:val="none"/>
          <w:lang w:val="en-US" w:eastAsia="zh-CN"/>
        </w:rPr>
      </w:pPr>
      <w:r>
        <w:rPr>
          <w:rFonts w:hint="eastAsia" w:ascii="宋体" w:hAnsi="宋体" w:eastAsia="宋体" w:cs="宋体"/>
          <w:b/>
          <w:bCs/>
          <w:color w:val="auto"/>
          <w:sz w:val="21"/>
          <w:szCs w:val="21"/>
          <w:highlight w:val="none"/>
          <w:lang w:val="en-US" w:eastAsia="zh-CN"/>
        </w:rPr>
        <w:t>招标文件第三章招标需求、招标人指定的考核管理办法、投标人投标文均作为</w:t>
      </w:r>
      <w:r>
        <w:rPr>
          <w:rFonts w:hint="eastAsia" w:ascii="宋体" w:hAnsi="宋体" w:eastAsia="宋体" w:cs="宋体"/>
          <w:b/>
          <w:bCs/>
          <w:color w:val="auto"/>
          <w:sz w:val="21"/>
          <w:szCs w:val="21"/>
          <w:highlight w:val="none"/>
        </w:rPr>
        <w:t>本合同的附件</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与本合同具有同等的法律效力。</w:t>
      </w:r>
    </w:p>
    <w:p w14:paraId="74D6C2C2">
      <w:pPr>
        <w:spacing w:line="360" w:lineRule="auto"/>
        <w:ind w:firstLine="437"/>
        <w:textAlignment w:val="baseline"/>
        <w:outlineLvl w:val="3"/>
        <w:rPr>
          <w:rFonts w:hint="eastAsia" w:ascii="宋体" w:hAnsi="宋体" w:cs="宋体"/>
          <w:b/>
          <w:bCs/>
          <w:color w:val="auto"/>
          <w:szCs w:val="21"/>
          <w:highlight w:val="none"/>
        </w:rPr>
      </w:pPr>
      <w:r>
        <w:rPr>
          <w:rFonts w:hint="eastAsia"/>
          <w:color w:val="auto"/>
          <w:highlight w:val="none"/>
          <w:lang w:val="en-US" w:eastAsia="zh-CN"/>
        </w:rPr>
        <w:t xml:space="preserve">1.9 </w:t>
      </w:r>
      <w:r>
        <w:rPr>
          <w:rFonts w:hint="eastAsia" w:ascii="宋体" w:hAnsi="宋体" w:cs="宋体"/>
          <w:b/>
          <w:bCs/>
          <w:color w:val="auto"/>
          <w:szCs w:val="21"/>
          <w:highlight w:val="none"/>
          <w:lang w:bidi="ar"/>
        </w:rPr>
        <w:t>合同生效</w:t>
      </w:r>
    </w:p>
    <w:p w14:paraId="2BD91784">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本合同自双方当事人盖章时生效。</w:t>
      </w:r>
    </w:p>
    <w:p w14:paraId="4E4AAACE">
      <w:pPr>
        <w:autoSpaceDE w:val="0"/>
        <w:autoSpaceDN w:val="0"/>
        <w:adjustRightInd w:val="0"/>
        <w:spacing w:line="560" w:lineRule="exact"/>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 xml:space="preserve"> </w:t>
      </w:r>
    </w:p>
    <w:p w14:paraId="45B4AFC3">
      <w:pPr>
        <w:autoSpaceDE w:val="0"/>
        <w:autoSpaceDN w:val="0"/>
        <w:adjustRightInd w:val="0"/>
        <w:spacing w:line="560" w:lineRule="exact"/>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 xml:space="preserve"> </w:t>
      </w:r>
    </w:p>
    <w:p w14:paraId="1335B6CB">
      <w:pPr>
        <w:autoSpaceDE w:val="0"/>
        <w:autoSpaceDN w:val="0"/>
        <w:adjustRightInd w:val="0"/>
        <w:spacing w:line="560" w:lineRule="exact"/>
        <w:textAlignment w:val="baseline"/>
        <w:rPr>
          <w:rFonts w:hint="eastAsia" w:ascii="宋体" w:hAnsi="宋体" w:cs="宋体"/>
          <w:bCs/>
          <w:color w:val="auto"/>
          <w:szCs w:val="21"/>
          <w:highlight w:val="none"/>
        </w:rPr>
      </w:pPr>
      <w:r>
        <w:rPr>
          <w:rFonts w:hint="eastAsia" w:ascii="宋体" w:hAnsi="宋体" w:cs="宋体"/>
          <w:bCs/>
          <w:color w:val="auto"/>
          <w:szCs w:val="21"/>
          <w:highlight w:val="none"/>
          <w:lang w:bidi="ar"/>
        </w:rPr>
        <w:t>甲    方：</w:t>
      </w:r>
      <w:r>
        <w:rPr>
          <w:rFonts w:hint="eastAsia" w:ascii="宋体" w:hAnsi="宋体" w:cs="宋体"/>
          <w:bCs/>
          <w:color w:val="auto"/>
          <w:szCs w:val="21"/>
          <w:highlight w:val="none"/>
          <w:u w:val="single" w:color="000000"/>
          <w:lang w:bidi="ar"/>
        </w:rPr>
        <w:t xml:space="preserve">    （单位盖章）     </w:t>
      </w:r>
      <w:r>
        <w:rPr>
          <w:rFonts w:hint="eastAsia" w:ascii="宋体" w:hAnsi="宋体" w:cs="宋体"/>
          <w:bCs/>
          <w:color w:val="auto"/>
          <w:szCs w:val="21"/>
          <w:highlight w:val="none"/>
          <w:lang w:bidi="ar"/>
        </w:rPr>
        <w:t xml:space="preserve">          乙    方：</w:t>
      </w:r>
      <w:r>
        <w:rPr>
          <w:rFonts w:hint="eastAsia" w:ascii="宋体" w:hAnsi="宋体" w:cs="宋体"/>
          <w:bCs/>
          <w:color w:val="auto"/>
          <w:szCs w:val="21"/>
          <w:highlight w:val="none"/>
          <w:u w:val="single" w:color="000000"/>
          <w:lang w:bidi="ar"/>
        </w:rPr>
        <w:t xml:space="preserve">    （单位盖章）     </w:t>
      </w:r>
    </w:p>
    <w:p w14:paraId="43561AE5">
      <w:pPr>
        <w:autoSpaceDE w:val="0"/>
        <w:autoSpaceDN w:val="0"/>
        <w:adjustRightInd w:val="0"/>
        <w:spacing w:line="560" w:lineRule="exact"/>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法定代表人                               法定代表人</w:t>
      </w:r>
    </w:p>
    <w:p w14:paraId="4954911A">
      <w:pPr>
        <w:autoSpaceDE w:val="0"/>
        <w:autoSpaceDN w:val="0"/>
        <w:adjustRightInd w:val="0"/>
        <w:spacing w:line="560" w:lineRule="exact"/>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或授权代表（签字）：                     或授权代表（签字）：</w:t>
      </w:r>
    </w:p>
    <w:p w14:paraId="4877D05A">
      <w:pPr>
        <w:widowControl/>
        <w:spacing w:line="357" w:lineRule="atLeast"/>
        <w:textAlignment w:val="baseline"/>
        <w:rPr>
          <w:color w:val="auto"/>
          <w:szCs w:val="21"/>
          <w:highlight w:val="none"/>
        </w:rPr>
      </w:pPr>
      <w:r>
        <w:rPr>
          <w:rFonts w:hint="eastAsia" w:ascii="宋体" w:hAnsi="宋体" w:cs="宋体"/>
          <w:bCs/>
          <w:color w:val="auto"/>
          <w:szCs w:val="21"/>
          <w:highlight w:val="none"/>
          <w:lang w:bidi="ar"/>
        </w:rPr>
        <w:t>时间：</w:t>
      </w:r>
      <w:r>
        <w:rPr>
          <w:rFonts w:hint="eastAsia" w:ascii="宋体" w:hAnsi="宋体" w:cs="宋体"/>
          <w:bCs/>
          <w:color w:val="auto"/>
          <w:szCs w:val="21"/>
          <w:highlight w:val="none"/>
          <w:u w:val="single" w:color="000000"/>
          <w:lang w:bidi="ar"/>
        </w:rPr>
        <w:t xml:space="preserve">      </w:t>
      </w:r>
      <w:r>
        <w:rPr>
          <w:rFonts w:hint="eastAsia" w:ascii="宋体" w:hAnsi="宋体" w:cs="宋体"/>
          <w:bCs/>
          <w:color w:val="auto"/>
          <w:szCs w:val="21"/>
          <w:highlight w:val="none"/>
          <w:lang w:bidi="ar"/>
        </w:rPr>
        <w:t>年</w:t>
      </w:r>
      <w:r>
        <w:rPr>
          <w:rFonts w:hint="eastAsia" w:ascii="宋体" w:hAnsi="宋体" w:cs="宋体"/>
          <w:bCs/>
          <w:color w:val="auto"/>
          <w:szCs w:val="21"/>
          <w:highlight w:val="none"/>
          <w:u w:val="single" w:color="000000"/>
          <w:lang w:bidi="ar"/>
        </w:rPr>
        <w:t xml:space="preserve">    </w:t>
      </w:r>
      <w:r>
        <w:rPr>
          <w:rFonts w:hint="eastAsia" w:ascii="宋体" w:hAnsi="宋体" w:cs="宋体"/>
          <w:bCs/>
          <w:color w:val="auto"/>
          <w:szCs w:val="21"/>
          <w:highlight w:val="none"/>
          <w:lang w:bidi="ar"/>
        </w:rPr>
        <w:t>月</w:t>
      </w:r>
      <w:r>
        <w:rPr>
          <w:rFonts w:hint="eastAsia" w:ascii="宋体" w:hAnsi="宋体" w:cs="宋体"/>
          <w:bCs/>
          <w:color w:val="auto"/>
          <w:szCs w:val="21"/>
          <w:highlight w:val="none"/>
          <w:u w:val="single" w:color="000000"/>
          <w:lang w:bidi="ar"/>
        </w:rPr>
        <w:t xml:space="preserve">    </w:t>
      </w:r>
      <w:r>
        <w:rPr>
          <w:rFonts w:hint="eastAsia" w:ascii="宋体" w:hAnsi="宋体" w:cs="宋体"/>
          <w:bCs/>
          <w:color w:val="auto"/>
          <w:szCs w:val="21"/>
          <w:highlight w:val="none"/>
          <w:lang w:bidi="ar"/>
        </w:rPr>
        <w:t>日               时间：</w:t>
      </w:r>
      <w:r>
        <w:rPr>
          <w:rFonts w:hint="eastAsia" w:ascii="宋体" w:hAnsi="宋体" w:cs="宋体"/>
          <w:bCs/>
          <w:color w:val="auto"/>
          <w:szCs w:val="21"/>
          <w:highlight w:val="none"/>
          <w:u w:val="single" w:color="000000"/>
          <w:lang w:bidi="ar"/>
        </w:rPr>
        <w:t xml:space="preserve">      </w:t>
      </w:r>
      <w:r>
        <w:rPr>
          <w:rFonts w:hint="eastAsia" w:ascii="宋体" w:hAnsi="宋体" w:cs="宋体"/>
          <w:bCs/>
          <w:color w:val="auto"/>
          <w:szCs w:val="21"/>
          <w:highlight w:val="none"/>
          <w:lang w:bidi="ar"/>
        </w:rPr>
        <w:t>年</w:t>
      </w:r>
      <w:r>
        <w:rPr>
          <w:rFonts w:hint="eastAsia" w:ascii="宋体" w:hAnsi="宋体" w:cs="宋体"/>
          <w:bCs/>
          <w:color w:val="auto"/>
          <w:szCs w:val="21"/>
          <w:highlight w:val="none"/>
          <w:u w:val="single" w:color="000000"/>
          <w:lang w:bidi="ar"/>
        </w:rPr>
        <w:t xml:space="preserve">    </w:t>
      </w:r>
      <w:r>
        <w:rPr>
          <w:rFonts w:hint="eastAsia" w:ascii="宋体" w:hAnsi="宋体" w:cs="宋体"/>
          <w:bCs/>
          <w:color w:val="auto"/>
          <w:szCs w:val="21"/>
          <w:highlight w:val="none"/>
          <w:lang w:bidi="ar"/>
        </w:rPr>
        <w:t>月</w:t>
      </w:r>
      <w:r>
        <w:rPr>
          <w:rFonts w:hint="eastAsia" w:ascii="宋体" w:hAnsi="宋体" w:cs="宋体"/>
          <w:bCs/>
          <w:color w:val="auto"/>
          <w:szCs w:val="21"/>
          <w:highlight w:val="none"/>
          <w:u w:val="single" w:color="000000"/>
          <w:lang w:bidi="ar"/>
        </w:rPr>
        <w:t xml:space="preserve">    </w:t>
      </w:r>
      <w:r>
        <w:rPr>
          <w:rFonts w:hint="eastAsia" w:ascii="宋体" w:hAnsi="宋体" w:cs="宋体"/>
          <w:bCs/>
          <w:color w:val="auto"/>
          <w:szCs w:val="21"/>
          <w:highlight w:val="none"/>
          <w:lang w:bidi="ar"/>
        </w:rPr>
        <w:t>日</w:t>
      </w:r>
    </w:p>
    <w:p w14:paraId="723A0EDA">
      <w:pPr>
        <w:widowControl/>
        <w:spacing w:line="314" w:lineRule="auto"/>
        <w:jc w:val="center"/>
        <w:textAlignment w:val="baseline"/>
        <w:rPr>
          <w:rFonts w:hint="eastAsia" w:ascii="宋体" w:hAnsi="宋体" w:cs="宋体"/>
          <w:b/>
          <w:color w:val="auto"/>
          <w:sz w:val="24"/>
          <w:highlight w:val="none"/>
        </w:rPr>
      </w:pPr>
      <w:r>
        <w:rPr>
          <w:rFonts w:hint="eastAsia" w:ascii="宋体" w:hAnsi="宋体" w:cs="宋体"/>
          <w:b/>
          <w:color w:val="auto"/>
          <w:kern w:val="0"/>
          <w:sz w:val="24"/>
          <w:highlight w:val="none"/>
          <w:lang w:bidi="ar"/>
        </w:rPr>
        <w:t xml:space="preserve"> </w:t>
      </w:r>
    </w:p>
    <w:p w14:paraId="41149E2B">
      <w:pPr>
        <w:spacing w:line="360" w:lineRule="auto"/>
        <w:jc w:val="center"/>
        <w:textAlignment w:val="baseline"/>
        <w:outlineLvl w:val="2"/>
        <w:rPr>
          <w:rFonts w:hint="eastAsia" w:ascii="宋体" w:hAnsi="宋体" w:cs="宋体"/>
          <w:b/>
          <w:color w:val="auto"/>
          <w:szCs w:val="21"/>
          <w:highlight w:val="none"/>
        </w:rPr>
      </w:pPr>
      <w:r>
        <w:rPr>
          <w:rFonts w:hint="eastAsia" w:ascii="宋体" w:hAnsi="宋体" w:cs="宋体"/>
          <w:b/>
          <w:color w:val="auto"/>
          <w:szCs w:val="21"/>
          <w:highlight w:val="none"/>
          <w:lang w:bidi="ar"/>
        </w:rPr>
        <w:br w:type="page"/>
      </w:r>
      <w:r>
        <w:rPr>
          <w:rFonts w:hint="eastAsia" w:ascii="宋体" w:hAnsi="宋体" w:cs="宋体"/>
          <w:b/>
          <w:color w:val="auto"/>
          <w:szCs w:val="21"/>
          <w:highlight w:val="none"/>
          <w:lang w:bidi="ar"/>
        </w:rPr>
        <w:t>第二部分 合同一般条款</w:t>
      </w:r>
    </w:p>
    <w:p w14:paraId="47532738">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2.1 定义</w:t>
      </w:r>
    </w:p>
    <w:p w14:paraId="4ED906FF">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本合同中的下列词语应按以下内容进行解释：</w:t>
      </w:r>
    </w:p>
    <w:p w14:paraId="3443C075">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2.1.1“合同”系指</w:t>
      </w:r>
      <w:r>
        <w:rPr>
          <w:rFonts w:hint="eastAsia" w:ascii="宋体" w:hAnsi="宋体" w:cs="宋体"/>
          <w:color w:val="auto"/>
          <w:szCs w:val="21"/>
          <w:highlight w:val="none"/>
          <w:lang w:eastAsia="zh-CN" w:bidi="ar"/>
        </w:rPr>
        <w:t>招标人</w:t>
      </w:r>
      <w:r>
        <w:rPr>
          <w:rFonts w:hint="eastAsia" w:ascii="宋体" w:hAnsi="宋体" w:cs="宋体"/>
          <w:color w:val="auto"/>
          <w:szCs w:val="21"/>
          <w:highlight w:val="none"/>
          <w:lang w:bidi="ar"/>
        </w:rPr>
        <w:t>和中标人签订的载明双方当事人所达成的协议，并包括所有的附件、附录和构成合同的其他文件。</w:t>
      </w:r>
    </w:p>
    <w:p w14:paraId="64A13FA5">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2.1.2“合同价”系指根据合同约定，中标人在完全履行合同义务后，</w:t>
      </w:r>
      <w:r>
        <w:rPr>
          <w:rFonts w:hint="eastAsia" w:ascii="宋体" w:hAnsi="宋体" w:cs="宋体"/>
          <w:color w:val="auto"/>
          <w:szCs w:val="21"/>
          <w:highlight w:val="none"/>
          <w:lang w:eastAsia="zh-CN" w:bidi="ar"/>
        </w:rPr>
        <w:t>招标人</w:t>
      </w:r>
      <w:r>
        <w:rPr>
          <w:rFonts w:hint="eastAsia" w:ascii="宋体" w:hAnsi="宋体" w:cs="宋体"/>
          <w:color w:val="auto"/>
          <w:szCs w:val="21"/>
          <w:highlight w:val="none"/>
          <w:lang w:bidi="ar"/>
        </w:rPr>
        <w:t>应支付给中标人的价格。</w:t>
      </w:r>
    </w:p>
    <w:p w14:paraId="5AA3099C">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2.1.3“服务”系指中标人根据合同约定应向</w:t>
      </w:r>
      <w:r>
        <w:rPr>
          <w:rFonts w:hint="eastAsia" w:ascii="宋体" w:hAnsi="宋体" w:cs="宋体"/>
          <w:color w:val="auto"/>
          <w:szCs w:val="21"/>
          <w:highlight w:val="none"/>
          <w:lang w:eastAsia="zh-CN" w:bidi="ar"/>
        </w:rPr>
        <w:t>招标人</w:t>
      </w:r>
      <w:r>
        <w:rPr>
          <w:rFonts w:hint="eastAsia" w:ascii="宋体" w:hAnsi="宋体" w:cs="宋体"/>
          <w:color w:val="auto"/>
          <w:szCs w:val="21"/>
          <w:highlight w:val="none"/>
          <w:lang w:bidi="ar"/>
        </w:rPr>
        <w:t>履行的除货物和工程以外的其他政府采购对象，包括</w:t>
      </w:r>
      <w:r>
        <w:rPr>
          <w:rFonts w:hint="eastAsia" w:ascii="宋体" w:hAnsi="宋体" w:cs="宋体"/>
          <w:color w:val="auto"/>
          <w:szCs w:val="21"/>
          <w:highlight w:val="none"/>
          <w:lang w:eastAsia="zh-CN" w:bidi="ar"/>
        </w:rPr>
        <w:t>招标人</w:t>
      </w:r>
      <w:r>
        <w:rPr>
          <w:rFonts w:hint="eastAsia" w:ascii="宋体" w:hAnsi="宋体" w:cs="宋体"/>
          <w:color w:val="auto"/>
          <w:szCs w:val="21"/>
          <w:highlight w:val="none"/>
          <w:lang w:bidi="ar"/>
        </w:rPr>
        <w:t>自身需要的服务和向社会公众提供的公共服务。</w:t>
      </w:r>
    </w:p>
    <w:p w14:paraId="0C74151E">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2.1.4“甲方”系指与中标人签署合同的</w:t>
      </w:r>
      <w:r>
        <w:rPr>
          <w:rFonts w:hint="eastAsia" w:ascii="宋体" w:hAnsi="宋体" w:cs="宋体"/>
          <w:color w:val="auto"/>
          <w:szCs w:val="21"/>
          <w:highlight w:val="none"/>
          <w:lang w:eastAsia="zh-CN" w:bidi="ar"/>
        </w:rPr>
        <w:t>招标人</w:t>
      </w:r>
      <w:r>
        <w:rPr>
          <w:rFonts w:hint="eastAsia" w:ascii="宋体" w:hAnsi="宋体" w:cs="宋体"/>
          <w:color w:val="auto"/>
          <w:szCs w:val="21"/>
          <w:highlight w:val="none"/>
          <w:lang w:bidi="ar"/>
        </w:rPr>
        <w:t>；</w:t>
      </w:r>
      <w:r>
        <w:rPr>
          <w:rFonts w:hint="eastAsia" w:ascii="宋体" w:hAnsi="宋体" w:cs="宋体"/>
          <w:color w:val="auto"/>
          <w:szCs w:val="21"/>
          <w:highlight w:val="none"/>
          <w:lang w:eastAsia="zh-CN" w:bidi="ar"/>
        </w:rPr>
        <w:t>招标人</w:t>
      </w:r>
      <w:r>
        <w:rPr>
          <w:rFonts w:hint="eastAsia" w:ascii="宋体" w:hAnsi="宋体" w:cs="宋体"/>
          <w:color w:val="auto"/>
          <w:szCs w:val="21"/>
          <w:highlight w:val="none"/>
          <w:lang w:bidi="ar"/>
        </w:rPr>
        <w:t>委托采购代理机构代表其与乙方签订合同的，</w:t>
      </w:r>
      <w:r>
        <w:rPr>
          <w:rFonts w:hint="eastAsia" w:ascii="宋体" w:hAnsi="宋体" w:cs="宋体"/>
          <w:color w:val="auto"/>
          <w:szCs w:val="21"/>
          <w:highlight w:val="none"/>
          <w:lang w:eastAsia="zh-CN" w:bidi="ar"/>
        </w:rPr>
        <w:t>招标人</w:t>
      </w:r>
      <w:r>
        <w:rPr>
          <w:rFonts w:hint="eastAsia" w:ascii="宋体" w:hAnsi="宋体" w:cs="宋体"/>
          <w:color w:val="auto"/>
          <w:szCs w:val="21"/>
          <w:highlight w:val="none"/>
          <w:lang w:bidi="ar"/>
        </w:rPr>
        <w:t>的授权委托书作为合同附件。</w:t>
      </w:r>
    </w:p>
    <w:p w14:paraId="0BBAE47E">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2.1.5“乙方”系指根据合同约定提供服务的中标人；两个以上的自然人、法人或者其他组织组成一个联合体，以一个供应商的身份共同参加政府采购的，联合体各方均应为乙方或者与乙方相同地位的合同当事人，并就合同约定的事项对甲方承担连带责任。</w:t>
      </w:r>
    </w:p>
    <w:p w14:paraId="59B4184C">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2.1.6“现场”系指合同约定提供服务的地点。</w:t>
      </w:r>
    </w:p>
    <w:p w14:paraId="02F1BD17">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2.2 技术规范</w:t>
      </w:r>
    </w:p>
    <w:p w14:paraId="2E47E7A0">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2D3F270B">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2.3 知识产权</w:t>
      </w:r>
    </w:p>
    <w:p w14:paraId="2C036AEA">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2.3.1乙方应保证其提供的服务不受任何第三方提出的侵犯其著作权、商标权、专利权等知识产权方面的起诉；如果任何第三方提出侵权指控，那么乙方须与该第三方交涉并承担由此发生的一切责任、费用和赔偿；</w:t>
      </w:r>
    </w:p>
    <w:p w14:paraId="1F099736">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2.3.2具有知识产权的计算机软件等货物的知识产权归属，详见</w:t>
      </w:r>
      <w:r>
        <w:rPr>
          <w:rFonts w:hint="eastAsia" w:ascii="宋体" w:hAnsi="宋体" w:cs="宋体"/>
          <w:b/>
          <w:i/>
          <w:color w:val="auto"/>
          <w:szCs w:val="21"/>
          <w:highlight w:val="none"/>
          <w:u w:val="single" w:color="000000"/>
          <w:lang w:bidi="ar"/>
        </w:rPr>
        <w:t>合同专用条款</w:t>
      </w:r>
      <w:r>
        <w:rPr>
          <w:rFonts w:hint="eastAsia" w:ascii="宋体" w:hAnsi="宋体" w:cs="宋体"/>
          <w:color w:val="auto"/>
          <w:szCs w:val="21"/>
          <w:highlight w:val="none"/>
          <w:lang w:bidi="ar"/>
        </w:rPr>
        <w:t>。</w:t>
      </w:r>
    </w:p>
    <w:p w14:paraId="4756AAD5">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2.4 履约检查和问题反馈</w:t>
      </w:r>
    </w:p>
    <w:p w14:paraId="10D2A90F">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2.4.1甲方有权在其认为必要时，对乙方是否能够按照合同约定提供服务进行履约检查，以确保乙方所提供的服务能够依约满足甲方项目需求，但不得因履约检查妨碍乙方的正常工作，乙方应予积极配合；</w:t>
      </w:r>
    </w:p>
    <w:p w14:paraId="558922AF">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2.4.2合同履行期间，甲方有权将履行过程中出现的问题反馈给乙方，双方当事人应以书面形式约定需要完善和改进的内容。</w:t>
      </w:r>
    </w:p>
    <w:p w14:paraId="1F608A7D">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2.5 结算方式和付款条件</w:t>
      </w:r>
    </w:p>
    <w:p w14:paraId="3939DCF4">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详见</w:t>
      </w:r>
      <w:r>
        <w:rPr>
          <w:rFonts w:hint="eastAsia" w:ascii="宋体" w:hAnsi="宋体" w:cs="宋体"/>
          <w:b/>
          <w:i/>
          <w:color w:val="auto"/>
          <w:szCs w:val="21"/>
          <w:highlight w:val="none"/>
          <w:u w:val="single" w:color="000000"/>
          <w:lang w:bidi="ar"/>
        </w:rPr>
        <w:t>合同专用条款</w:t>
      </w:r>
      <w:r>
        <w:rPr>
          <w:rFonts w:hint="eastAsia" w:ascii="宋体" w:hAnsi="宋体" w:cs="宋体"/>
          <w:color w:val="auto"/>
          <w:szCs w:val="21"/>
          <w:highlight w:val="none"/>
          <w:lang w:bidi="ar"/>
        </w:rPr>
        <w:t>。</w:t>
      </w:r>
    </w:p>
    <w:p w14:paraId="6EED0F2B">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2.6 技术资料和保密义务</w:t>
      </w:r>
    </w:p>
    <w:p w14:paraId="3494BFAB">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2.6.1乙方有权依据合同约定和项目需要，向甲方了解有关情况，调阅有关资料等，甲方应予积极配合；</w:t>
      </w:r>
    </w:p>
    <w:p w14:paraId="0F3C7D2A">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2.6.2乙方有义务妥善保管和保护由甲方提供的前款信息和资料等；</w:t>
      </w:r>
    </w:p>
    <w:p w14:paraId="4FF950FE">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2.6.3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50C2CF2A">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2.7 质量保证</w:t>
      </w:r>
    </w:p>
    <w:p w14:paraId="50A4E8F0">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2.7.1乙方应建立和完善履行合同的内部质量保证体系，并提供相关内部规章制度给甲方，以便甲方进行监督检查；</w:t>
      </w:r>
    </w:p>
    <w:p w14:paraId="5F9947F1">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2.7.2乙方应保证履行合同的人员数量和素质、软件和硬件设备的配置、场地、环境和设施等满足全面履行合同的要求，并应接受甲方的监督检查。</w:t>
      </w:r>
    </w:p>
    <w:p w14:paraId="58E2049B">
      <w:pPr>
        <w:spacing w:line="360" w:lineRule="auto"/>
        <w:ind w:firstLine="437"/>
        <w:textAlignment w:val="baseline"/>
        <w:outlineLvl w:val="3"/>
        <w:rPr>
          <w:rFonts w:hint="eastAsia" w:ascii="宋体" w:hAnsi="宋体" w:cs="宋体"/>
          <w:b/>
          <w:color w:val="auto"/>
          <w:szCs w:val="21"/>
          <w:highlight w:val="none"/>
        </w:rPr>
      </w:pPr>
      <w:r>
        <w:rPr>
          <w:rFonts w:hint="eastAsia" w:ascii="宋体" w:hAnsi="宋体" w:cs="宋体"/>
          <w:b/>
          <w:color w:val="auto"/>
          <w:szCs w:val="21"/>
          <w:highlight w:val="none"/>
          <w:lang w:bidi="ar"/>
        </w:rPr>
        <w:t>2.8 延迟履行</w:t>
      </w:r>
    </w:p>
    <w:p w14:paraId="745A7ACB">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67925CDA">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2.9 合同变更</w:t>
      </w:r>
    </w:p>
    <w:p w14:paraId="2A6AA94C">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2.9.1双方当事人协商一致，可以签订书面补充合同的形式变更合同，但不得违背采购文件确定的事项；</w:t>
      </w:r>
    </w:p>
    <w:p w14:paraId="0C10BBC1">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2.9.2合同继续履行将损害国家利益和社会公共利益的，双方当事人应当以书面形式变更合同。有过错的一方应当承担赔偿责任，双方当事人都有过错的，各自承担相应的责任。</w:t>
      </w:r>
    </w:p>
    <w:p w14:paraId="66629D41">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2.10 合同转让和分包</w:t>
      </w:r>
    </w:p>
    <w:p w14:paraId="7C10C1DB">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5F334A9D">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2.11 不可抗力</w:t>
      </w:r>
    </w:p>
    <w:p w14:paraId="700E3289">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2.11.1如果任何一方遭遇法律规定的不可抗力，致使合同履行受阻时，履行合同的期限应予延长，延长的期限应相当于不可抗力所影响的时间；</w:t>
      </w:r>
    </w:p>
    <w:p w14:paraId="182EDCEB">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2.11.2因不可抗力致使不能实现合同目的的，当事人可以解除合同；</w:t>
      </w:r>
    </w:p>
    <w:p w14:paraId="4D50314B">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2.11.3因不可抗力致使合同有变更必要的，双方当事人应在</w:t>
      </w:r>
      <w:r>
        <w:rPr>
          <w:rFonts w:hint="eastAsia" w:ascii="宋体" w:hAnsi="宋体" w:cs="宋体"/>
          <w:b/>
          <w:i/>
          <w:color w:val="auto"/>
          <w:szCs w:val="21"/>
          <w:highlight w:val="none"/>
          <w:u w:val="single" w:color="000000"/>
          <w:lang w:bidi="ar"/>
        </w:rPr>
        <w:t>合同专用条款</w:t>
      </w:r>
      <w:r>
        <w:rPr>
          <w:rFonts w:hint="eastAsia" w:ascii="宋体" w:hAnsi="宋体" w:cs="宋体"/>
          <w:color w:val="auto"/>
          <w:szCs w:val="21"/>
          <w:highlight w:val="none"/>
          <w:lang w:bidi="ar"/>
        </w:rPr>
        <w:t>约定时间内以书面形式变更合同；</w:t>
      </w:r>
    </w:p>
    <w:p w14:paraId="3D2997C8">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2.11.4受不可抗力影响的一方在不可抗力发生后，应在</w:t>
      </w:r>
      <w:r>
        <w:rPr>
          <w:rFonts w:hint="eastAsia" w:ascii="宋体" w:hAnsi="宋体" w:cs="宋体"/>
          <w:b/>
          <w:i/>
          <w:color w:val="auto"/>
          <w:szCs w:val="21"/>
          <w:highlight w:val="none"/>
          <w:u w:val="single" w:color="000000"/>
          <w:lang w:bidi="ar"/>
        </w:rPr>
        <w:t>合同专用条款</w:t>
      </w:r>
      <w:r>
        <w:rPr>
          <w:rFonts w:hint="eastAsia" w:ascii="宋体" w:hAnsi="宋体" w:cs="宋体"/>
          <w:color w:val="auto"/>
          <w:szCs w:val="21"/>
          <w:highlight w:val="none"/>
          <w:lang w:bidi="ar"/>
        </w:rPr>
        <w:t>约定时间内以书面形式通知对方当事人，并在</w:t>
      </w:r>
      <w:r>
        <w:rPr>
          <w:rFonts w:hint="eastAsia" w:ascii="宋体" w:hAnsi="宋体" w:cs="宋体"/>
          <w:b/>
          <w:i/>
          <w:color w:val="auto"/>
          <w:szCs w:val="21"/>
          <w:highlight w:val="none"/>
          <w:u w:val="single" w:color="000000"/>
          <w:lang w:bidi="ar"/>
        </w:rPr>
        <w:t>合同专用条款</w:t>
      </w:r>
      <w:r>
        <w:rPr>
          <w:rFonts w:hint="eastAsia" w:ascii="宋体" w:hAnsi="宋体" w:cs="宋体"/>
          <w:color w:val="auto"/>
          <w:szCs w:val="21"/>
          <w:highlight w:val="none"/>
          <w:lang w:bidi="ar"/>
        </w:rPr>
        <w:t>约定时间内，将有关部门出具的证明文件送达对方当事人。</w:t>
      </w:r>
    </w:p>
    <w:p w14:paraId="5A6F2EA1">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2.12 税费</w:t>
      </w:r>
    </w:p>
    <w:p w14:paraId="69E3358D">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与合同有关的一切税费，均按照中华人民共和国法律的相关规定缴纳。</w:t>
      </w:r>
    </w:p>
    <w:p w14:paraId="169ABB62">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2.13 乙方破产</w:t>
      </w:r>
    </w:p>
    <w:p w14:paraId="78B648C4">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103AFB45">
      <w:pPr>
        <w:spacing w:line="360" w:lineRule="auto"/>
        <w:ind w:firstLine="437"/>
        <w:textAlignment w:val="baseline"/>
        <w:outlineLvl w:val="3"/>
        <w:rPr>
          <w:rFonts w:hint="eastAsia" w:ascii="宋体" w:hAnsi="宋体" w:cs="宋体"/>
          <w:b/>
          <w:color w:val="auto"/>
          <w:szCs w:val="21"/>
          <w:highlight w:val="none"/>
        </w:rPr>
      </w:pPr>
      <w:r>
        <w:rPr>
          <w:rFonts w:hint="eastAsia" w:ascii="宋体" w:hAnsi="宋体" w:cs="宋体"/>
          <w:b/>
          <w:bCs/>
          <w:color w:val="auto"/>
          <w:szCs w:val="21"/>
          <w:highlight w:val="none"/>
          <w:lang w:bidi="ar"/>
        </w:rPr>
        <w:t>2.14 合同中止、终止</w:t>
      </w:r>
    </w:p>
    <w:p w14:paraId="7FE62D2F">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2.14.1双方当事人不得擅自中止或者终止合同；</w:t>
      </w:r>
    </w:p>
    <w:p w14:paraId="4F9BC84D">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2.14.2合同继续履行将损害国家利益和社会公共利益的，双方当事人应当中止或者终止合同。有过错的一方应当承担赔偿责任，双方当事人都有过错的，各自承担相应的责任。</w:t>
      </w:r>
    </w:p>
    <w:p w14:paraId="02C22A2E">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2.15 检验和验收</w:t>
      </w:r>
    </w:p>
    <w:p w14:paraId="2F8C6CF3">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2.15.1乙方按照</w:t>
      </w:r>
      <w:r>
        <w:rPr>
          <w:rFonts w:hint="eastAsia" w:ascii="宋体" w:hAnsi="宋体" w:cs="宋体"/>
          <w:b/>
          <w:i/>
          <w:color w:val="auto"/>
          <w:szCs w:val="21"/>
          <w:highlight w:val="none"/>
          <w:u w:val="single" w:color="000000"/>
          <w:lang w:bidi="ar"/>
        </w:rPr>
        <w:t>合同专用条款</w:t>
      </w:r>
      <w:r>
        <w:rPr>
          <w:rFonts w:hint="eastAsia" w:ascii="宋体" w:hAnsi="宋体" w:cs="宋体"/>
          <w:color w:val="auto"/>
          <w:szCs w:val="21"/>
          <w:highlight w:val="none"/>
          <w:lang w:bidi="ar"/>
        </w:rPr>
        <w:t>的约定，定期提交服务报告，甲方按照</w:t>
      </w:r>
      <w:r>
        <w:rPr>
          <w:rFonts w:hint="eastAsia" w:ascii="宋体" w:hAnsi="宋体" w:cs="宋体"/>
          <w:b/>
          <w:i/>
          <w:color w:val="auto"/>
          <w:szCs w:val="21"/>
          <w:highlight w:val="none"/>
          <w:u w:val="single" w:color="000000"/>
          <w:lang w:bidi="ar"/>
        </w:rPr>
        <w:t>合同专用条款</w:t>
      </w:r>
      <w:r>
        <w:rPr>
          <w:rFonts w:hint="eastAsia" w:ascii="宋体" w:hAnsi="宋体" w:cs="宋体"/>
          <w:color w:val="auto"/>
          <w:szCs w:val="21"/>
          <w:highlight w:val="none"/>
          <w:lang w:bidi="ar"/>
        </w:rPr>
        <w:t>的约定进行定期验收；</w:t>
      </w:r>
    </w:p>
    <w:p w14:paraId="3246CDD3">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2.15.2合同期满或者履行完毕后，甲方有权组织对乙方履约的验收，即：按照合同约定的标准，组织对乙方履约情况的验收，并出具验收书；向社会公众提供的公共服务项目，验收时应当邀请服务对象参与并出具意见，验收结果应当向社会公告；</w:t>
      </w:r>
    </w:p>
    <w:p w14:paraId="76471E20">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2.15.3检验和验收标准、程序等具体内容以及前述验收书的效力详见</w:t>
      </w:r>
      <w:r>
        <w:rPr>
          <w:rFonts w:hint="eastAsia" w:ascii="宋体" w:hAnsi="宋体" w:cs="宋体"/>
          <w:b/>
          <w:i/>
          <w:color w:val="auto"/>
          <w:szCs w:val="21"/>
          <w:highlight w:val="none"/>
          <w:u w:val="single" w:color="000000"/>
          <w:lang w:bidi="ar"/>
        </w:rPr>
        <w:t>合同专用条款</w:t>
      </w:r>
      <w:r>
        <w:rPr>
          <w:rFonts w:hint="eastAsia" w:ascii="宋体" w:hAnsi="宋体" w:cs="宋体"/>
          <w:i/>
          <w:color w:val="auto"/>
          <w:szCs w:val="21"/>
          <w:highlight w:val="none"/>
          <w:lang w:bidi="ar"/>
        </w:rPr>
        <w:t>。</w:t>
      </w:r>
    </w:p>
    <w:p w14:paraId="09BFE85D">
      <w:pPr>
        <w:spacing w:line="360" w:lineRule="auto"/>
        <w:ind w:firstLine="437"/>
        <w:textAlignment w:val="baseline"/>
        <w:outlineLvl w:val="3"/>
        <w:rPr>
          <w:rFonts w:hint="eastAsia" w:ascii="宋体" w:hAnsi="宋体" w:cs="宋体"/>
          <w:b/>
          <w:bCs/>
          <w:color w:val="auto"/>
          <w:szCs w:val="21"/>
          <w:highlight w:val="none"/>
        </w:rPr>
      </w:pPr>
      <w:r>
        <w:rPr>
          <w:rFonts w:hint="eastAsia" w:ascii="宋体" w:hAnsi="宋体" w:cs="宋体"/>
          <w:b/>
          <w:bCs/>
          <w:color w:val="auto"/>
          <w:szCs w:val="21"/>
          <w:highlight w:val="none"/>
          <w:lang w:bidi="ar"/>
        </w:rPr>
        <w:t>2.16 合同使用的文字和适用的法律</w:t>
      </w:r>
    </w:p>
    <w:p w14:paraId="6F0F5471">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2.16.1合同使用汉语进行书写、变更和解释；</w:t>
      </w:r>
    </w:p>
    <w:p w14:paraId="28DE3E7A">
      <w:pPr>
        <w:spacing w:line="360" w:lineRule="auto"/>
        <w:ind w:firstLine="435"/>
        <w:textAlignment w:val="baseline"/>
        <w:rPr>
          <w:rFonts w:hint="eastAsia" w:ascii="宋体" w:hAnsi="宋体" w:cs="宋体"/>
          <w:color w:val="auto"/>
          <w:szCs w:val="21"/>
          <w:highlight w:val="none"/>
        </w:rPr>
      </w:pPr>
      <w:r>
        <w:rPr>
          <w:rFonts w:hint="eastAsia" w:ascii="宋体" w:hAnsi="宋体" w:cs="宋体"/>
          <w:color w:val="auto"/>
          <w:szCs w:val="21"/>
          <w:highlight w:val="none"/>
          <w:lang w:bidi="ar"/>
        </w:rPr>
        <w:t>2.16.2合同适用中华人民共和国法律。</w:t>
      </w:r>
    </w:p>
    <w:p w14:paraId="301BD4D1">
      <w:pPr>
        <w:spacing w:line="360" w:lineRule="auto"/>
        <w:ind w:firstLine="437"/>
        <w:textAlignment w:val="baseline"/>
        <w:outlineLvl w:val="3"/>
        <w:rPr>
          <w:rFonts w:hint="eastAsia" w:ascii="宋体" w:hAnsi="宋体" w:cs="宋体"/>
          <w:b/>
          <w:color w:val="auto"/>
          <w:szCs w:val="21"/>
          <w:highlight w:val="none"/>
        </w:rPr>
      </w:pPr>
      <w:r>
        <w:rPr>
          <w:rFonts w:hint="eastAsia" w:ascii="宋体" w:hAnsi="宋体" w:cs="宋体"/>
          <w:b/>
          <w:bCs/>
          <w:color w:val="auto"/>
          <w:szCs w:val="21"/>
          <w:highlight w:val="none"/>
          <w:lang w:bidi="ar"/>
        </w:rPr>
        <w:t>2.17 合同份数</w:t>
      </w:r>
    </w:p>
    <w:p w14:paraId="799582E1">
      <w:pPr>
        <w:spacing w:line="360" w:lineRule="auto"/>
        <w:ind w:firstLine="435"/>
        <w:textAlignment w:val="baseline"/>
        <w:rPr>
          <w:b/>
          <w:color w:val="auto"/>
          <w:szCs w:val="21"/>
          <w:highlight w:val="none"/>
        </w:rPr>
      </w:pPr>
      <w:r>
        <w:rPr>
          <w:rFonts w:hint="eastAsia" w:ascii="宋体" w:hAnsi="宋体" w:cs="宋体"/>
          <w:color w:val="auto"/>
          <w:szCs w:val="21"/>
          <w:highlight w:val="none"/>
          <w:lang w:bidi="ar"/>
        </w:rPr>
        <w:t>合同份数按</w:t>
      </w:r>
      <w:r>
        <w:rPr>
          <w:rFonts w:hint="eastAsia" w:ascii="宋体" w:hAnsi="宋体" w:cs="宋体"/>
          <w:b/>
          <w:i/>
          <w:color w:val="auto"/>
          <w:szCs w:val="21"/>
          <w:highlight w:val="none"/>
          <w:u w:val="single" w:color="000000"/>
          <w:lang w:bidi="ar"/>
        </w:rPr>
        <w:t>合同专用条款</w:t>
      </w:r>
      <w:r>
        <w:rPr>
          <w:rFonts w:hint="eastAsia" w:ascii="宋体" w:hAnsi="宋体" w:cs="宋体"/>
          <w:color w:val="auto"/>
          <w:szCs w:val="21"/>
          <w:highlight w:val="none"/>
          <w:lang w:bidi="ar"/>
        </w:rPr>
        <w:t>规定，每份均具有同等法律效力。</w:t>
      </w:r>
      <w:r>
        <w:rPr>
          <w:b/>
          <w:color w:val="auto"/>
          <w:szCs w:val="21"/>
          <w:highlight w:val="none"/>
          <w:lang w:bidi="ar"/>
        </w:rPr>
        <w:t xml:space="preserve"> </w:t>
      </w:r>
    </w:p>
    <w:p w14:paraId="39B768CD">
      <w:pPr>
        <w:spacing w:line="360" w:lineRule="auto"/>
        <w:jc w:val="center"/>
        <w:textAlignment w:val="baseline"/>
        <w:outlineLvl w:val="2"/>
        <w:rPr>
          <w:rFonts w:hint="eastAsia" w:ascii="宋体" w:hAnsi="宋体" w:cs="宋体"/>
          <w:b/>
          <w:color w:val="auto"/>
          <w:szCs w:val="21"/>
          <w:highlight w:val="none"/>
        </w:rPr>
      </w:pPr>
      <w:r>
        <w:rPr>
          <w:rFonts w:hint="eastAsia" w:ascii="宋体" w:hAnsi="宋体" w:cs="宋体"/>
          <w:b/>
          <w:color w:val="auto"/>
          <w:szCs w:val="21"/>
          <w:highlight w:val="none"/>
          <w:lang w:bidi="ar"/>
        </w:rPr>
        <w:br w:type="page"/>
      </w:r>
      <w:r>
        <w:rPr>
          <w:rFonts w:hint="eastAsia" w:ascii="宋体" w:hAnsi="宋体" w:cs="宋体"/>
          <w:b/>
          <w:color w:val="auto"/>
          <w:szCs w:val="21"/>
          <w:highlight w:val="none"/>
          <w:lang w:bidi="ar"/>
        </w:rPr>
        <w:t>第三部分 合同专用条款</w:t>
      </w:r>
    </w:p>
    <w:p w14:paraId="0C8F289F">
      <w:pPr>
        <w:spacing w:line="360" w:lineRule="auto"/>
        <w:ind w:firstLine="435"/>
        <w:jc w:val="center"/>
        <w:textAlignment w:val="baseline"/>
        <w:rPr>
          <w:rFonts w:hint="eastAsia" w:ascii="宋体" w:hAnsi="宋体" w:cs="宋体"/>
          <w:color w:val="auto"/>
          <w:szCs w:val="21"/>
          <w:highlight w:val="none"/>
          <w:lang w:bidi="ar"/>
        </w:rPr>
      </w:pPr>
      <w:r>
        <w:rPr>
          <w:rFonts w:hint="eastAsia" w:ascii="宋体" w:hAnsi="宋体" w:cs="宋体"/>
          <w:color w:val="auto"/>
          <w:szCs w:val="21"/>
          <w:highlight w:val="none"/>
          <w:lang w:bidi="ar"/>
        </w:rPr>
        <w:t>本部分是对前两部分的补充和修改，如果前两部分和本部分的约定不一致，应以本部分的约定为准。</w:t>
      </w:r>
      <w:bookmarkEnd w:id="138"/>
      <w:bookmarkStart w:id="141" w:name="_Toc25726"/>
      <w:bookmarkStart w:id="142" w:name="_Toc7655"/>
      <w:bookmarkStart w:id="143" w:name="_Toc95223495"/>
    </w:p>
    <w:p w14:paraId="3196E7EC">
      <w:pPr>
        <w:spacing w:line="360" w:lineRule="auto"/>
        <w:ind w:firstLine="435"/>
        <w:jc w:val="center"/>
        <w:textAlignment w:val="baseline"/>
        <w:rPr>
          <w:rFonts w:hint="eastAsia" w:ascii="宋体"/>
          <w:b/>
          <w:color w:val="auto"/>
          <w:sz w:val="32"/>
          <w:szCs w:val="32"/>
          <w:highlight w:val="none"/>
        </w:rPr>
      </w:pPr>
      <w:r>
        <w:rPr>
          <w:rFonts w:hint="eastAsia" w:ascii="宋体" w:hAnsi="宋体" w:cs="宋体"/>
          <w:color w:val="auto"/>
          <w:sz w:val="24"/>
          <w:highlight w:val="none"/>
        </w:rPr>
        <w:br w:type="page"/>
      </w:r>
      <w:bookmarkEnd w:id="141"/>
      <w:bookmarkEnd w:id="142"/>
      <w:bookmarkEnd w:id="143"/>
      <w:bookmarkStart w:id="144" w:name="_Toc30697"/>
      <w:bookmarkStart w:id="145" w:name="_Toc19199"/>
      <w:bookmarkStart w:id="146" w:name="_Toc15755"/>
      <w:r>
        <w:rPr>
          <w:rFonts w:hint="eastAsia" w:ascii="宋体"/>
          <w:b/>
          <w:color w:val="auto"/>
          <w:sz w:val="32"/>
          <w:szCs w:val="32"/>
          <w:highlight w:val="none"/>
        </w:rPr>
        <w:t>第六章  投标文件格式</w:t>
      </w:r>
      <w:bookmarkEnd w:id="139"/>
      <w:bookmarkEnd w:id="144"/>
      <w:bookmarkEnd w:id="145"/>
      <w:bookmarkEnd w:id="146"/>
    </w:p>
    <w:p w14:paraId="2F26310F">
      <w:pPr>
        <w:jc w:val="center"/>
        <w:rPr>
          <w:rFonts w:hint="eastAsia" w:ascii="宋体" w:hAnsi="宋体"/>
          <w:b/>
          <w:color w:val="auto"/>
          <w:sz w:val="28"/>
          <w:szCs w:val="28"/>
          <w:highlight w:val="none"/>
          <w:bdr w:val="single" w:color="000000" w:sz="4" w:space="0"/>
        </w:rPr>
      </w:pPr>
      <w:r>
        <w:rPr>
          <w:rFonts w:hint="eastAsia" w:ascii="宋体" w:hAnsi="宋体"/>
          <w:b/>
          <w:color w:val="auto"/>
          <w:sz w:val="28"/>
          <w:szCs w:val="28"/>
          <w:highlight w:val="none"/>
        </w:rPr>
        <w:t>一、资信证明格式文件</w:t>
      </w:r>
    </w:p>
    <w:p w14:paraId="65D5E2E9">
      <w:pPr>
        <w:jc w:val="center"/>
        <w:rPr>
          <w:rFonts w:hint="eastAsia" w:eastAsia="黑体"/>
          <w:color w:val="auto"/>
          <w:sz w:val="20"/>
          <w:highlight w:val="none"/>
        </w:rPr>
      </w:pPr>
    </w:p>
    <w:p w14:paraId="7A1BFF21">
      <w:pPr>
        <w:rPr>
          <w:rFonts w:hint="eastAsia" w:eastAsia="黑体"/>
          <w:color w:val="auto"/>
          <w:sz w:val="20"/>
          <w:highlight w:val="none"/>
        </w:rPr>
      </w:pPr>
    </w:p>
    <w:p w14:paraId="2A1C67F5">
      <w:pPr>
        <w:jc w:val="center"/>
        <w:rPr>
          <w:rFonts w:hint="eastAsia" w:ascii="宋体"/>
          <w:b/>
          <w:color w:val="auto"/>
          <w:sz w:val="44"/>
          <w:szCs w:val="44"/>
          <w:highlight w:val="none"/>
        </w:rPr>
      </w:pPr>
      <w:bookmarkStart w:id="147" w:name="_Toc449028949"/>
      <w:bookmarkStart w:id="148" w:name="_Toc350698753"/>
    </w:p>
    <w:p w14:paraId="0DBD8557">
      <w:pPr>
        <w:jc w:val="center"/>
        <w:rPr>
          <w:rFonts w:hint="eastAsia" w:ascii="宋体"/>
          <w:b/>
          <w:color w:val="auto"/>
          <w:sz w:val="44"/>
          <w:szCs w:val="44"/>
          <w:highlight w:val="none"/>
        </w:rPr>
      </w:pPr>
      <w:r>
        <w:rPr>
          <w:rFonts w:hint="eastAsia" w:ascii="宋体"/>
          <w:b/>
          <w:color w:val="auto"/>
          <w:sz w:val="44"/>
          <w:szCs w:val="44"/>
          <w:highlight w:val="none"/>
        </w:rPr>
        <w:t>资信证明文件</w:t>
      </w:r>
      <w:bookmarkEnd w:id="147"/>
      <w:bookmarkEnd w:id="148"/>
    </w:p>
    <w:p w14:paraId="4B71D6B5">
      <w:pPr>
        <w:jc w:val="center"/>
        <w:rPr>
          <w:rFonts w:hint="eastAsia" w:ascii="宋体"/>
          <w:color w:val="auto"/>
          <w:sz w:val="32"/>
          <w:szCs w:val="32"/>
          <w:highlight w:val="none"/>
        </w:rPr>
      </w:pPr>
      <w:r>
        <w:rPr>
          <w:rFonts w:hint="eastAsia" w:ascii="宋体"/>
          <w:color w:val="auto"/>
          <w:sz w:val="32"/>
          <w:szCs w:val="32"/>
          <w:highlight w:val="none"/>
        </w:rPr>
        <w:t>（投标文件一）</w:t>
      </w:r>
    </w:p>
    <w:p w14:paraId="115B3D13">
      <w:pPr>
        <w:jc w:val="center"/>
        <w:rPr>
          <w:rFonts w:hint="eastAsia" w:eastAsia="黑体"/>
          <w:color w:val="auto"/>
          <w:sz w:val="44"/>
          <w:szCs w:val="44"/>
          <w:highlight w:val="none"/>
        </w:rPr>
      </w:pPr>
    </w:p>
    <w:p w14:paraId="51F4C99E">
      <w:pPr>
        <w:jc w:val="center"/>
        <w:rPr>
          <w:rFonts w:hint="eastAsia" w:ascii="宋体"/>
          <w:color w:val="auto"/>
          <w:sz w:val="32"/>
          <w:szCs w:val="32"/>
          <w:highlight w:val="none"/>
          <w:u w:val="single"/>
        </w:rPr>
      </w:pPr>
    </w:p>
    <w:p w14:paraId="23594972">
      <w:pPr>
        <w:jc w:val="center"/>
        <w:rPr>
          <w:rFonts w:hint="default" w:ascii="宋体" w:eastAsia="宋体"/>
          <w:color w:val="auto"/>
          <w:sz w:val="32"/>
          <w:szCs w:val="32"/>
          <w:highlight w:val="none"/>
          <w:lang w:val="en-US" w:eastAsia="zh-CN"/>
        </w:rPr>
      </w:pPr>
      <w:r>
        <w:rPr>
          <w:rFonts w:hint="eastAsia" w:ascii="宋体"/>
          <w:color w:val="auto"/>
          <w:sz w:val="32"/>
          <w:szCs w:val="32"/>
          <w:highlight w:val="none"/>
          <w:u w:val="single"/>
        </w:rPr>
        <w:t xml:space="preserve">        </w:t>
      </w:r>
      <w:r>
        <w:rPr>
          <w:rFonts w:hint="eastAsia" w:ascii="宋体"/>
          <w:color w:val="auto"/>
          <w:sz w:val="32"/>
          <w:szCs w:val="32"/>
          <w:highlight w:val="none"/>
        </w:rPr>
        <w:t>项目</w:t>
      </w:r>
    </w:p>
    <w:p w14:paraId="11227615">
      <w:pPr>
        <w:jc w:val="center"/>
        <w:rPr>
          <w:rFonts w:hint="eastAsia" w:ascii="宋体"/>
          <w:color w:val="auto"/>
          <w:sz w:val="44"/>
          <w:szCs w:val="44"/>
          <w:highlight w:val="none"/>
        </w:rPr>
      </w:pPr>
      <w:r>
        <w:rPr>
          <w:rFonts w:hint="eastAsia" w:ascii="宋体"/>
          <w:color w:val="auto"/>
          <w:sz w:val="28"/>
          <w:szCs w:val="28"/>
          <w:highlight w:val="none"/>
        </w:rPr>
        <w:t>项目编号：</w:t>
      </w:r>
      <w:r>
        <w:rPr>
          <w:rFonts w:hint="eastAsia" w:ascii="宋体"/>
          <w:color w:val="auto"/>
          <w:sz w:val="28"/>
          <w:szCs w:val="28"/>
          <w:highlight w:val="none"/>
          <w:u w:val="single"/>
        </w:rPr>
        <w:t xml:space="preserve">     </w:t>
      </w:r>
    </w:p>
    <w:p w14:paraId="4B71421D">
      <w:pPr>
        <w:rPr>
          <w:rFonts w:hint="eastAsia" w:ascii="宋体"/>
          <w:color w:val="auto"/>
          <w:sz w:val="28"/>
          <w:szCs w:val="28"/>
          <w:highlight w:val="none"/>
        </w:rPr>
      </w:pPr>
    </w:p>
    <w:p w14:paraId="5BAFB9B7">
      <w:pPr>
        <w:rPr>
          <w:rFonts w:hint="eastAsia" w:ascii="宋体"/>
          <w:color w:val="auto"/>
          <w:sz w:val="28"/>
          <w:szCs w:val="28"/>
          <w:highlight w:val="none"/>
        </w:rPr>
      </w:pPr>
    </w:p>
    <w:p w14:paraId="1240D287">
      <w:pPr>
        <w:rPr>
          <w:rFonts w:hint="eastAsia" w:ascii="宋体"/>
          <w:color w:val="auto"/>
          <w:sz w:val="28"/>
          <w:szCs w:val="28"/>
          <w:highlight w:val="none"/>
        </w:rPr>
      </w:pPr>
    </w:p>
    <w:p w14:paraId="47CA845E">
      <w:pPr>
        <w:rPr>
          <w:rFonts w:hint="eastAsia" w:ascii="宋体"/>
          <w:color w:val="auto"/>
          <w:sz w:val="28"/>
          <w:szCs w:val="28"/>
          <w:highlight w:val="none"/>
        </w:rPr>
      </w:pPr>
    </w:p>
    <w:p w14:paraId="639C4E36">
      <w:pPr>
        <w:rPr>
          <w:rFonts w:hint="eastAsia" w:ascii="宋体"/>
          <w:color w:val="auto"/>
          <w:sz w:val="28"/>
          <w:szCs w:val="28"/>
          <w:highlight w:val="none"/>
        </w:rPr>
      </w:pPr>
    </w:p>
    <w:p w14:paraId="65AC2E7C">
      <w:pPr>
        <w:rPr>
          <w:rFonts w:hint="eastAsia" w:ascii="宋体"/>
          <w:color w:val="auto"/>
          <w:sz w:val="28"/>
          <w:szCs w:val="28"/>
          <w:highlight w:val="none"/>
        </w:rPr>
      </w:pPr>
    </w:p>
    <w:p w14:paraId="011F3E06">
      <w:pPr>
        <w:rPr>
          <w:rFonts w:hint="eastAsia" w:ascii="宋体"/>
          <w:color w:val="auto"/>
          <w:sz w:val="28"/>
          <w:szCs w:val="28"/>
          <w:highlight w:val="none"/>
        </w:rPr>
      </w:pPr>
    </w:p>
    <w:p w14:paraId="04182DD3">
      <w:pPr>
        <w:jc w:val="center"/>
        <w:rPr>
          <w:rFonts w:hint="eastAsia" w:ascii="宋体"/>
          <w:color w:val="auto"/>
          <w:sz w:val="28"/>
          <w:szCs w:val="28"/>
          <w:highlight w:val="none"/>
          <w:u w:val="single"/>
        </w:rPr>
      </w:pPr>
      <w:r>
        <w:rPr>
          <w:rFonts w:hint="eastAsia" w:ascii="宋体"/>
          <w:color w:val="auto"/>
          <w:sz w:val="28"/>
          <w:szCs w:val="28"/>
          <w:highlight w:val="none"/>
          <w:lang w:val="en-US" w:eastAsia="zh-CN"/>
        </w:rPr>
        <w:t xml:space="preserve">    </w:t>
      </w:r>
      <w:r>
        <w:rPr>
          <w:rFonts w:hint="eastAsia" w:ascii="宋体"/>
          <w:color w:val="auto"/>
          <w:sz w:val="28"/>
          <w:szCs w:val="28"/>
          <w:highlight w:val="none"/>
        </w:rPr>
        <w:t>投标人：</w:t>
      </w:r>
      <w:r>
        <w:rPr>
          <w:rFonts w:hint="eastAsia" w:ascii="宋体"/>
          <w:color w:val="auto"/>
          <w:sz w:val="28"/>
          <w:szCs w:val="28"/>
          <w:highlight w:val="none"/>
          <w:u w:val="single"/>
        </w:rPr>
        <w:t xml:space="preserve">                       </w:t>
      </w:r>
      <w:r>
        <w:rPr>
          <w:rFonts w:hint="eastAsia" w:ascii="宋体"/>
          <w:color w:val="auto"/>
          <w:sz w:val="28"/>
          <w:szCs w:val="28"/>
          <w:highlight w:val="none"/>
          <w:u w:val="single"/>
          <w:lang w:val="en-US" w:eastAsia="zh-CN"/>
        </w:rPr>
        <w:t xml:space="preserve">   </w:t>
      </w:r>
      <w:r>
        <w:rPr>
          <w:rFonts w:hint="eastAsia" w:ascii="宋体"/>
          <w:color w:val="auto"/>
          <w:sz w:val="28"/>
          <w:szCs w:val="28"/>
          <w:highlight w:val="none"/>
          <w:u w:val="single"/>
        </w:rPr>
        <w:t xml:space="preserve">       </w:t>
      </w:r>
      <w:r>
        <w:rPr>
          <w:rFonts w:hint="eastAsia" w:ascii="宋体"/>
          <w:color w:val="auto"/>
          <w:sz w:val="28"/>
          <w:szCs w:val="28"/>
          <w:highlight w:val="none"/>
        </w:rPr>
        <w:t>（签章）</w:t>
      </w:r>
    </w:p>
    <w:p w14:paraId="4D746F38">
      <w:pPr>
        <w:ind w:firstLine="1400" w:firstLineChars="500"/>
        <w:rPr>
          <w:rFonts w:hint="eastAsia" w:ascii="宋体"/>
          <w:color w:val="auto"/>
          <w:sz w:val="28"/>
          <w:szCs w:val="28"/>
          <w:highlight w:val="none"/>
        </w:rPr>
      </w:pPr>
      <w:r>
        <w:rPr>
          <w:rFonts w:hint="eastAsia" w:ascii="宋体"/>
          <w:color w:val="auto"/>
          <w:sz w:val="28"/>
          <w:szCs w:val="28"/>
          <w:highlight w:val="none"/>
        </w:rPr>
        <w:t>法定代表人：</w:t>
      </w:r>
      <w:r>
        <w:rPr>
          <w:rFonts w:hint="eastAsia" w:ascii="宋体"/>
          <w:color w:val="auto"/>
          <w:sz w:val="28"/>
          <w:szCs w:val="28"/>
          <w:highlight w:val="none"/>
          <w:u w:val="single"/>
        </w:rPr>
        <w:t xml:space="preserve">                              </w:t>
      </w:r>
      <w:r>
        <w:rPr>
          <w:rFonts w:hint="eastAsia" w:ascii="宋体"/>
          <w:color w:val="auto"/>
          <w:sz w:val="28"/>
          <w:szCs w:val="28"/>
          <w:highlight w:val="none"/>
        </w:rPr>
        <w:t>（签章）</w:t>
      </w:r>
    </w:p>
    <w:p w14:paraId="440DED23">
      <w:pPr>
        <w:jc w:val="center"/>
        <w:rPr>
          <w:rFonts w:hint="eastAsia" w:ascii="宋体"/>
          <w:color w:val="auto"/>
          <w:sz w:val="28"/>
          <w:szCs w:val="28"/>
          <w:highlight w:val="none"/>
        </w:rPr>
      </w:pPr>
      <w:r>
        <w:rPr>
          <w:rFonts w:hint="eastAsia" w:ascii="宋体"/>
          <w:color w:val="auto"/>
          <w:sz w:val="28"/>
          <w:szCs w:val="28"/>
          <w:highlight w:val="none"/>
          <w:u w:val="single"/>
        </w:rPr>
        <w:t xml:space="preserve">        </w:t>
      </w:r>
      <w:r>
        <w:rPr>
          <w:rFonts w:hint="eastAsia" w:ascii="宋体"/>
          <w:color w:val="auto"/>
          <w:sz w:val="28"/>
          <w:szCs w:val="28"/>
          <w:highlight w:val="none"/>
        </w:rPr>
        <w:t>年</w:t>
      </w:r>
      <w:r>
        <w:rPr>
          <w:rFonts w:hint="eastAsia" w:ascii="宋体"/>
          <w:color w:val="auto"/>
          <w:sz w:val="28"/>
          <w:szCs w:val="28"/>
          <w:highlight w:val="none"/>
          <w:u w:val="single"/>
        </w:rPr>
        <w:t xml:space="preserve">        </w:t>
      </w:r>
      <w:r>
        <w:rPr>
          <w:rFonts w:hint="eastAsia" w:ascii="宋体"/>
          <w:color w:val="auto"/>
          <w:sz w:val="28"/>
          <w:szCs w:val="28"/>
          <w:highlight w:val="none"/>
        </w:rPr>
        <w:t>月</w:t>
      </w:r>
      <w:r>
        <w:rPr>
          <w:rFonts w:hint="eastAsia" w:ascii="宋体"/>
          <w:color w:val="auto"/>
          <w:sz w:val="28"/>
          <w:szCs w:val="28"/>
          <w:highlight w:val="none"/>
          <w:u w:val="single"/>
        </w:rPr>
        <w:t xml:space="preserve">        </w:t>
      </w:r>
      <w:r>
        <w:rPr>
          <w:rFonts w:hint="eastAsia" w:ascii="宋体"/>
          <w:color w:val="auto"/>
          <w:sz w:val="28"/>
          <w:szCs w:val="28"/>
          <w:highlight w:val="none"/>
        </w:rPr>
        <w:t>日</w:t>
      </w:r>
    </w:p>
    <w:p w14:paraId="0DC7F7DC">
      <w:pPr>
        <w:spacing w:line="400" w:lineRule="exact"/>
        <w:ind w:firstLine="4130" w:firstLineChars="935"/>
        <w:rPr>
          <w:rFonts w:hint="eastAsia"/>
          <w:b/>
          <w:color w:val="auto"/>
          <w:sz w:val="44"/>
          <w:szCs w:val="44"/>
          <w:highlight w:val="none"/>
        </w:rPr>
      </w:pPr>
    </w:p>
    <w:p w14:paraId="6E9A67E6">
      <w:pPr>
        <w:jc w:val="center"/>
        <w:rPr>
          <w:rFonts w:hint="eastAsia"/>
          <w:b/>
          <w:color w:val="auto"/>
          <w:sz w:val="44"/>
          <w:szCs w:val="44"/>
          <w:highlight w:val="none"/>
        </w:rPr>
      </w:pPr>
      <w:r>
        <w:rPr>
          <w:rFonts w:hint="eastAsia"/>
          <w:b/>
          <w:color w:val="auto"/>
          <w:sz w:val="36"/>
          <w:szCs w:val="36"/>
          <w:highlight w:val="none"/>
        </w:rPr>
        <w:br w:type="page"/>
      </w:r>
      <w:r>
        <w:rPr>
          <w:rFonts w:hint="eastAsia"/>
          <w:b/>
          <w:color w:val="auto"/>
          <w:sz w:val="36"/>
          <w:szCs w:val="36"/>
          <w:highlight w:val="none"/>
        </w:rPr>
        <w:t>目   录</w:t>
      </w:r>
    </w:p>
    <w:p w14:paraId="5A8CB9CE">
      <w:pPr>
        <w:spacing w:line="400" w:lineRule="exact"/>
        <w:ind w:firstLine="562" w:firstLineChars="200"/>
        <w:rPr>
          <w:rFonts w:hint="eastAsia"/>
          <w:b/>
          <w:color w:val="auto"/>
          <w:sz w:val="28"/>
          <w:szCs w:val="28"/>
          <w:highlight w:val="none"/>
        </w:rPr>
      </w:pPr>
    </w:p>
    <w:p w14:paraId="1593E221">
      <w:pPr>
        <w:spacing w:line="440" w:lineRule="exact"/>
        <w:ind w:firstLine="420" w:firstLineChars="200"/>
        <w:jc w:val="left"/>
        <w:rPr>
          <w:rFonts w:hint="eastAsia" w:ascii="宋体" w:hAnsi="宋体" w:cs="宋体"/>
          <w:bCs/>
          <w:color w:val="auto"/>
          <w:szCs w:val="21"/>
          <w:highlight w:val="none"/>
        </w:rPr>
      </w:pPr>
      <w:r>
        <w:rPr>
          <w:rFonts w:hint="eastAsia" w:ascii="宋体" w:hAnsi="宋体" w:cs="宋体"/>
          <w:bCs/>
          <w:color w:val="auto"/>
          <w:szCs w:val="21"/>
          <w:highlight w:val="none"/>
        </w:rPr>
        <w:t>（1）法定代表人身份证明及其有效身份证（或法定代表人授权委托书及其有效身份证）；（格式见附件）</w:t>
      </w:r>
    </w:p>
    <w:p w14:paraId="627276B7">
      <w:pPr>
        <w:spacing w:line="440" w:lineRule="exact"/>
        <w:ind w:firstLine="420" w:firstLineChars="200"/>
        <w:jc w:val="left"/>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（2）投标人有效的营业执照、税务登记证、组织机构代码证（或三合一证书）； </w:t>
      </w:r>
    </w:p>
    <w:p w14:paraId="4428369D">
      <w:pPr>
        <w:spacing w:line="440" w:lineRule="exact"/>
        <w:ind w:firstLine="420" w:firstLineChars="200"/>
        <w:jc w:val="left"/>
        <w:rPr>
          <w:rFonts w:hint="eastAsia" w:ascii="宋体" w:hAnsi="宋体" w:cs="宋体"/>
          <w:bCs/>
          <w:color w:val="auto"/>
          <w:szCs w:val="21"/>
          <w:highlight w:val="none"/>
        </w:rPr>
      </w:pPr>
      <w:r>
        <w:rPr>
          <w:rFonts w:hint="eastAsia" w:ascii="宋体" w:hAnsi="宋体" w:cs="宋体"/>
          <w:bCs/>
          <w:color w:val="auto"/>
          <w:szCs w:val="21"/>
          <w:highlight w:val="none"/>
        </w:rPr>
        <w:t>（3）诚信投标承诺书（或《公共信用信息报告（无违法违规证明版或核查版）》）</w:t>
      </w:r>
      <w:r>
        <w:rPr>
          <w:rFonts w:hint="eastAsia" w:ascii="宋体" w:hAnsi="宋体" w:cs="宋体"/>
          <w:color w:val="auto"/>
          <w:szCs w:val="21"/>
          <w:highlight w:val="none"/>
        </w:rPr>
        <w:t>；</w:t>
      </w:r>
      <w:r>
        <w:rPr>
          <w:rFonts w:hint="eastAsia" w:ascii="宋体" w:hAnsi="宋体" w:cs="宋体"/>
          <w:bCs/>
          <w:color w:val="auto"/>
          <w:szCs w:val="21"/>
          <w:highlight w:val="none"/>
        </w:rPr>
        <w:t>（格式见附件）</w:t>
      </w:r>
    </w:p>
    <w:p w14:paraId="28B8F225">
      <w:pPr>
        <w:spacing w:line="440" w:lineRule="exact"/>
        <w:ind w:firstLine="420" w:firstLineChars="200"/>
        <w:jc w:val="left"/>
        <w:rPr>
          <w:rFonts w:hint="eastAsia" w:ascii="宋体" w:hAnsi="宋体" w:cs="宋体"/>
          <w:bCs/>
          <w:color w:val="auto"/>
          <w:szCs w:val="21"/>
          <w:highlight w:val="none"/>
        </w:rPr>
      </w:pPr>
      <w:r>
        <w:rPr>
          <w:rFonts w:hint="eastAsia" w:ascii="宋体" w:hAnsi="宋体" w:cs="宋体"/>
          <w:bCs/>
          <w:color w:val="auto"/>
          <w:szCs w:val="21"/>
          <w:highlight w:val="none"/>
        </w:rPr>
        <w:t>（4）</w:t>
      </w:r>
      <w:r>
        <w:rPr>
          <w:rFonts w:hint="eastAsia" w:ascii="宋体" w:hAnsi="宋体" w:cs="宋体-18030"/>
          <w:color w:val="auto"/>
          <w:szCs w:val="21"/>
          <w:highlight w:val="none"/>
        </w:rPr>
        <w:t>服务承诺：是否响应招标文件要求的书面说明和服务承诺书</w:t>
      </w:r>
      <w:r>
        <w:rPr>
          <w:rFonts w:hint="eastAsia" w:ascii="宋体" w:hAnsi="宋体" w:cs="宋体"/>
          <w:bCs/>
          <w:color w:val="auto"/>
          <w:szCs w:val="21"/>
          <w:highlight w:val="none"/>
        </w:rPr>
        <w:t>；</w:t>
      </w:r>
      <w:r>
        <w:rPr>
          <w:rFonts w:hint="eastAsia" w:ascii="宋体" w:hAnsi="宋体" w:cs="宋体-18030"/>
          <w:color w:val="auto"/>
          <w:szCs w:val="21"/>
          <w:highlight w:val="none"/>
        </w:rPr>
        <w:t>（格式见附件）</w:t>
      </w:r>
    </w:p>
    <w:p w14:paraId="4A33AF99">
      <w:pPr>
        <w:spacing w:line="440" w:lineRule="exact"/>
        <w:ind w:firstLine="420" w:firstLineChars="200"/>
        <w:jc w:val="left"/>
        <w:rPr>
          <w:rFonts w:hint="eastAsia" w:ascii="宋体" w:hAnsi="宋体" w:cs="宋体"/>
          <w:bCs/>
          <w:color w:val="auto"/>
          <w:szCs w:val="21"/>
          <w:highlight w:val="none"/>
        </w:rPr>
      </w:pPr>
      <w:r>
        <w:rPr>
          <w:rFonts w:hint="eastAsia" w:ascii="宋体" w:hAnsi="宋体" w:cs="宋体"/>
          <w:bCs/>
          <w:color w:val="auto"/>
          <w:szCs w:val="21"/>
          <w:highlight w:val="none"/>
        </w:rPr>
        <w:t>（5）招标文件中要求的资信评审和资信评分的支持资料；</w:t>
      </w:r>
    </w:p>
    <w:p w14:paraId="35AFF542">
      <w:pPr>
        <w:spacing w:line="440" w:lineRule="exact"/>
        <w:ind w:firstLine="420" w:firstLineChars="200"/>
        <w:jc w:val="left"/>
        <w:rPr>
          <w:rFonts w:hint="eastAsia" w:ascii="宋体" w:hAnsi="宋体" w:cs="宋体"/>
          <w:bCs/>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s="宋体"/>
          <w:bCs/>
          <w:color w:val="auto"/>
          <w:szCs w:val="21"/>
          <w:highlight w:val="none"/>
        </w:rPr>
        <w:t>投标人认为需要提供的其他资信证明材料</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如有</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w:t>
      </w:r>
    </w:p>
    <w:p w14:paraId="1EEDA1EF">
      <w:pPr>
        <w:spacing w:line="440" w:lineRule="exact"/>
        <w:ind w:firstLine="420" w:firstLineChars="200"/>
        <w:jc w:val="left"/>
        <w:rPr>
          <w:rFonts w:hint="eastAsia" w:ascii="宋体" w:hAnsi="宋体" w:cs="宋体"/>
          <w:bCs/>
          <w:color w:val="auto"/>
          <w:szCs w:val="21"/>
          <w:highlight w:val="none"/>
        </w:rPr>
      </w:pPr>
    </w:p>
    <w:p w14:paraId="01C9B47D">
      <w:pPr>
        <w:spacing w:line="440" w:lineRule="exact"/>
        <w:ind w:firstLine="420" w:firstLineChars="200"/>
        <w:jc w:val="left"/>
        <w:rPr>
          <w:rFonts w:hint="eastAsia" w:ascii="宋体" w:hAnsi="宋体" w:cs="宋体"/>
          <w:bCs/>
          <w:color w:val="auto"/>
          <w:szCs w:val="21"/>
          <w:highlight w:val="none"/>
        </w:rPr>
      </w:pPr>
    </w:p>
    <w:p w14:paraId="56A7BC84">
      <w:pPr>
        <w:spacing w:line="440" w:lineRule="exact"/>
        <w:ind w:firstLine="420" w:firstLineChars="200"/>
        <w:jc w:val="left"/>
        <w:rPr>
          <w:rFonts w:hint="eastAsia" w:ascii="宋体" w:hAnsi="宋体" w:cs="宋体"/>
          <w:bCs/>
          <w:color w:val="auto"/>
          <w:szCs w:val="21"/>
          <w:highlight w:val="none"/>
        </w:rPr>
      </w:pPr>
    </w:p>
    <w:p w14:paraId="28728CCD">
      <w:pPr>
        <w:spacing w:line="440" w:lineRule="exact"/>
        <w:ind w:firstLine="420" w:firstLineChars="200"/>
        <w:jc w:val="left"/>
        <w:rPr>
          <w:rFonts w:hint="eastAsia" w:ascii="宋体" w:hAnsi="宋体" w:cs="宋体"/>
          <w:bCs/>
          <w:color w:val="auto"/>
          <w:szCs w:val="21"/>
          <w:highlight w:val="none"/>
        </w:rPr>
      </w:pPr>
    </w:p>
    <w:p w14:paraId="29DEEAF2">
      <w:pPr>
        <w:spacing w:line="500" w:lineRule="exact"/>
        <w:ind w:firstLine="480" w:firstLineChars="200"/>
        <w:jc w:val="left"/>
        <w:rPr>
          <w:rFonts w:hint="eastAsia" w:ascii="宋体" w:hAnsi="宋体" w:cs="宋体"/>
          <w:bCs/>
          <w:color w:val="auto"/>
          <w:sz w:val="24"/>
          <w:highlight w:val="none"/>
        </w:rPr>
      </w:pPr>
    </w:p>
    <w:p w14:paraId="0D3EC63F">
      <w:pPr>
        <w:spacing w:line="500" w:lineRule="exact"/>
        <w:ind w:firstLine="480" w:firstLineChars="200"/>
        <w:jc w:val="left"/>
        <w:rPr>
          <w:rFonts w:hint="eastAsia" w:ascii="宋体" w:hAnsi="宋体" w:cs="宋体"/>
          <w:bCs/>
          <w:color w:val="auto"/>
          <w:sz w:val="24"/>
          <w:highlight w:val="none"/>
        </w:rPr>
      </w:pPr>
    </w:p>
    <w:p w14:paraId="344726C5">
      <w:pPr>
        <w:spacing w:line="400" w:lineRule="exact"/>
        <w:ind w:firstLine="562" w:firstLineChars="200"/>
        <w:rPr>
          <w:rFonts w:hint="eastAsia"/>
          <w:b/>
          <w:color w:val="auto"/>
          <w:sz w:val="28"/>
          <w:szCs w:val="28"/>
          <w:highlight w:val="none"/>
        </w:rPr>
      </w:pPr>
    </w:p>
    <w:p w14:paraId="2A4F57E7">
      <w:pPr>
        <w:spacing w:line="400" w:lineRule="exact"/>
        <w:ind w:firstLine="562" w:firstLineChars="200"/>
        <w:rPr>
          <w:rFonts w:hint="eastAsia"/>
          <w:b/>
          <w:color w:val="auto"/>
          <w:sz w:val="28"/>
          <w:szCs w:val="28"/>
          <w:highlight w:val="none"/>
        </w:rPr>
      </w:pPr>
    </w:p>
    <w:p w14:paraId="1B8D6BC8">
      <w:pPr>
        <w:spacing w:line="400" w:lineRule="exact"/>
        <w:ind w:firstLine="562" w:firstLineChars="200"/>
        <w:rPr>
          <w:rFonts w:hint="eastAsia"/>
          <w:b/>
          <w:color w:val="auto"/>
          <w:sz w:val="28"/>
          <w:szCs w:val="28"/>
          <w:highlight w:val="none"/>
        </w:rPr>
      </w:pPr>
    </w:p>
    <w:p w14:paraId="11240756">
      <w:pPr>
        <w:spacing w:line="400" w:lineRule="exact"/>
        <w:ind w:firstLine="562" w:firstLineChars="200"/>
        <w:rPr>
          <w:rFonts w:hint="eastAsia"/>
          <w:b/>
          <w:color w:val="auto"/>
          <w:sz w:val="28"/>
          <w:szCs w:val="28"/>
          <w:highlight w:val="none"/>
        </w:rPr>
      </w:pPr>
    </w:p>
    <w:p w14:paraId="5D8F33FB">
      <w:pPr>
        <w:spacing w:line="400" w:lineRule="exact"/>
        <w:ind w:firstLine="562" w:firstLineChars="200"/>
        <w:rPr>
          <w:rFonts w:hint="eastAsia"/>
          <w:b/>
          <w:color w:val="auto"/>
          <w:sz w:val="28"/>
          <w:szCs w:val="28"/>
          <w:highlight w:val="none"/>
        </w:rPr>
      </w:pPr>
    </w:p>
    <w:p w14:paraId="33BABDA2">
      <w:pPr>
        <w:spacing w:line="400" w:lineRule="exact"/>
        <w:rPr>
          <w:b/>
          <w:color w:val="auto"/>
          <w:sz w:val="28"/>
          <w:szCs w:val="28"/>
          <w:highlight w:val="none"/>
        </w:rPr>
        <w:sectPr>
          <w:headerReference r:id="rId5" w:type="default"/>
          <w:footerReference r:id="rId6" w:type="default"/>
          <w:pgSz w:w="11906" w:h="16838"/>
          <w:pgMar w:top="1440" w:right="1417" w:bottom="1417" w:left="1417" w:header="851" w:footer="992" w:gutter="0"/>
          <w:pgBorders>
            <w:top w:val="none" w:sz="0" w:space="0"/>
            <w:left w:val="none" w:sz="0" w:space="0"/>
            <w:bottom w:val="none" w:sz="0" w:space="0"/>
            <w:right w:val="none" w:sz="0" w:space="0"/>
          </w:pgBorders>
          <w:pgNumType w:fmt="numberInDash"/>
          <w:cols w:space="720" w:num="1"/>
          <w:docGrid w:type="lines" w:linePitch="312" w:charSpace="0"/>
        </w:sectPr>
      </w:pPr>
    </w:p>
    <w:p w14:paraId="09BEDB89">
      <w:pPr>
        <w:spacing w:line="360" w:lineRule="auto"/>
        <w:rPr>
          <w:rFonts w:hint="eastAsia"/>
          <w:b/>
          <w:color w:val="auto"/>
          <w:sz w:val="28"/>
          <w:szCs w:val="28"/>
          <w:highlight w:val="none"/>
        </w:rPr>
      </w:pPr>
      <w:r>
        <w:rPr>
          <w:rFonts w:hint="eastAsia"/>
          <w:b/>
          <w:color w:val="auto"/>
          <w:sz w:val="28"/>
          <w:szCs w:val="28"/>
          <w:highlight w:val="none"/>
        </w:rPr>
        <w:t>附件1</w:t>
      </w:r>
    </w:p>
    <w:p w14:paraId="6177FC57">
      <w:pPr>
        <w:spacing w:line="360" w:lineRule="auto"/>
        <w:ind w:left="720"/>
        <w:jc w:val="center"/>
        <w:rPr>
          <w:rFonts w:hint="eastAsia" w:ascii="宋体"/>
          <w:b/>
          <w:color w:val="auto"/>
          <w:sz w:val="28"/>
          <w:szCs w:val="28"/>
          <w:highlight w:val="none"/>
        </w:rPr>
      </w:pPr>
      <w:r>
        <w:rPr>
          <w:rFonts w:hint="eastAsia"/>
          <w:b/>
          <w:color w:val="auto"/>
          <w:sz w:val="28"/>
          <w:szCs w:val="28"/>
          <w:highlight w:val="none"/>
        </w:rPr>
        <w:t>法定代表人身份证明或授权委托书</w:t>
      </w:r>
    </w:p>
    <w:p w14:paraId="2E563219">
      <w:pPr>
        <w:pStyle w:val="87"/>
        <w:spacing w:line="480" w:lineRule="exact"/>
        <w:ind w:firstLine="180" w:firstLineChars="75"/>
        <w:rPr>
          <w:rFonts w:hint="eastAsia" w:ascii="宋体"/>
          <w:b/>
          <w:color w:val="auto"/>
          <w:sz w:val="24"/>
          <w:szCs w:val="24"/>
          <w:highlight w:val="none"/>
        </w:rPr>
      </w:pPr>
      <w:r>
        <w:rPr>
          <w:rFonts w:hint="eastAsia" w:ascii="宋体"/>
          <w:color w:val="auto"/>
          <w:sz w:val="24"/>
          <w:szCs w:val="24"/>
          <w:highlight w:val="none"/>
        </w:rPr>
        <w:t>1.法定代表人身份证明</w:t>
      </w:r>
    </w:p>
    <w:p w14:paraId="4562C260">
      <w:pPr>
        <w:spacing w:line="480" w:lineRule="exact"/>
        <w:ind w:firstLine="480" w:firstLineChars="200"/>
        <w:rPr>
          <w:rFonts w:hint="eastAsia" w:ascii="宋体"/>
          <w:color w:val="auto"/>
          <w:sz w:val="24"/>
          <w:highlight w:val="none"/>
        </w:rPr>
      </w:pPr>
      <w:r>
        <w:rPr>
          <w:rFonts w:hint="eastAsia" w:ascii="宋体"/>
          <w:color w:val="auto"/>
          <w:sz w:val="24"/>
          <w:highlight w:val="none"/>
        </w:rPr>
        <w:t>投标人名称：</w:t>
      </w:r>
      <w:r>
        <w:rPr>
          <w:rFonts w:hint="eastAsia" w:ascii="宋体"/>
          <w:color w:val="auto"/>
          <w:sz w:val="24"/>
          <w:highlight w:val="none"/>
          <w:u w:val="single"/>
        </w:rPr>
        <w:t xml:space="preserve">                                </w:t>
      </w:r>
      <w:r>
        <w:rPr>
          <w:rFonts w:hint="eastAsia" w:ascii="宋体"/>
          <w:color w:val="auto"/>
          <w:sz w:val="24"/>
          <w:highlight w:val="none"/>
        </w:rPr>
        <w:t xml:space="preserve"> </w:t>
      </w:r>
    </w:p>
    <w:p w14:paraId="5AB07C7B">
      <w:pPr>
        <w:spacing w:line="480" w:lineRule="exact"/>
        <w:ind w:firstLine="480" w:firstLineChars="200"/>
        <w:rPr>
          <w:rFonts w:hint="eastAsia" w:ascii="宋体"/>
          <w:color w:val="auto"/>
          <w:sz w:val="24"/>
          <w:highlight w:val="none"/>
        </w:rPr>
      </w:pPr>
      <w:r>
        <w:rPr>
          <w:rFonts w:hint="eastAsia" w:ascii="宋体"/>
          <w:color w:val="auto"/>
          <w:sz w:val="24"/>
          <w:highlight w:val="none"/>
        </w:rPr>
        <w:t xml:space="preserve">单位性质： </w:t>
      </w:r>
      <w:r>
        <w:rPr>
          <w:rFonts w:hint="eastAsia" w:ascii="宋体"/>
          <w:color w:val="auto"/>
          <w:sz w:val="24"/>
          <w:highlight w:val="none"/>
          <w:u w:val="single"/>
        </w:rPr>
        <w:t xml:space="preserve">                                  </w:t>
      </w:r>
      <w:r>
        <w:rPr>
          <w:rFonts w:hint="eastAsia" w:ascii="宋体"/>
          <w:color w:val="auto"/>
          <w:sz w:val="24"/>
          <w:highlight w:val="none"/>
        </w:rPr>
        <w:t xml:space="preserve"> </w:t>
      </w:r>
    </w:p>
    <w:p w14:paraId="69B2EA1F">
      <w:pPr>
        <w:spacing w:line="480" w:lineRule="exact"/>
        <w:ind w:firstLine="480" w:firstLineChars="200"/>
        <w:rPr>
          <w:rFonts w:hint="eastAsia" w:ascii="宋体"/>
          <w:color w:val="auto"/>
          <w:sz w:val="24"/>
          <w:highlight w:val="none"/>
        </w:rPr>
      </w:pPr>
      <w:r>
        <w:rPr>
          <w:rFonts w:hint="eastAsia" w:ascii="宋体"/>
          <w:color w:val="auto"/>
          <w:sz w:val="24"/>
          <w:highlight w:val="none"/>
        </w:rPr>
        <w:t>地    址：</w:t>
      </w:r>
      <w:r>
        <w:rPr>
          <w:rFonts w:hint="eastAsia" w:ascii="宋体"/>
          <w:color w:val="auto"/>
          <w:sz w:val="24"/>
          <w:highlight w:val="none"/>
          <w:u w:val="single"/>
        </w:rPr>
        <w:t xml:space="preserve">                                   </w:t>
      </w:r>
      <w:r>
        <w:rPr>
          <w:rFonts w:hint="eastAsia" w:ascii="宋体"/>
          <w:color w:val="auto"/>
          <w:sz w:val="24"/>
          <w:highlight w:val="none"/>
        </w:rPr>
        <w:t xml:space="preserve"> </w:t>
      </w:r>
    </w:p>
    <w:p w14:paraId="0D86390C">
      <w:pPr>
        <w:spacing w:line="480" w:lineRule="exact"/>
        <w:ind w:firstLine="480" w:firstLineChars="200"/>
        <w:rPr>
          <w:rFonts w:hint="eastAsia" w:ascii="宋体"/>
          <w:color w:val="auto"/>
          <w:sz w:val="24"/>
          <w:highlight w:val="none"/>
        </w:rPr>
      </w:pPr>
      <w:r>
        <w:rPr>
          <w:rFonts w:hint="eastAsia" w:ascii="宋体"/>
          <w:color w:val="auto"/>
          <w:sz w:val="24"/>
          <w:highlight w:val="none"/>
        </w:rPr>
        <w:t>成立时间：</w:t>
      </w:r>
      <w:r>
        <w:rPr>
          <w:rFonts w:hint="eastAsia" w:ascii="宋体"/>
          <w:color w:val="auto"/>
          <w:sz w:val="24"/>
          <w:highlight w:val="none"/>
          <w:u w:val="single"/>
        </w:rPr>
        <w:t xml:space="preserve">        </w:t>
      </w:r>
      <w:r>
        <w:rPr>
          <w:rFonts w:hint="eastAsia" w:ascii="宋体"/>
          <w:color w:val="auto"/>
          <w:sz w:val="24"/>
          <w:highlight w:val="none"/>
        </w:rPr>
        <w:t>年</w:t>
      </w:r>
      <w:r>
        <w:rPr>
          <w:rFonts w:hint="eastAsia" w:ascii="宋体"/>
          <w:color w:val="auto"/>
          <w:sz w:val="24"/>
          <w:highlight w:val="none"/>
          <w:u w:val="single"/>
        </w:rPr>
        <w:t xml:space="preserve">       </w:t>
      </w:r>
      <w:r>
        <w:rPr>
          <w:rFonts w:hint="eastAsia" w:ascii="宋体"/>
          <w:color w:val="auto"/>
          <w:sz w:val="24"/>
          <w:highlight w:val="none"/>
        </w:rPr>
        <w:t>月</w:t>
      </w:r>
      <w:r>
        <w:rPr>
          <w:rFonts w:hint="eastAsia" w:ascii="宋体"/>
          <w:color w:val="auto"/>
          <w:sz w:val="24"/>
          <w:highlight w:val="none"/>
          <w:u w:val="single"/>
        </w:rPr>
        <w:t xml:space="preserve">        </w:t>
      </w:r>
      <w:r>
        <w:rPr>
          <w:rFonts w:hint="eastAsia" w:ascii="宋体"/>
          <w:color w:val="auto"/>
          <w:sz w:val="24"/>
          <w:highlight w:val="none"/>
        </w:rPr>
        <w:t>日</w:t>
      </w:r>
    </w:p>
    <w:p w14:paraId="1F8CA29C">
      <w:pPr>
        <w:spacing w:line="480" w:lineRule="exact"/>
        <w:ind w:firstLine="480" w:firstLineChars="200"/>
        <w:rPr>
          <w:rFonts w:hint="eastAsia" w:ascii="宋体"/>
          <w:color w:val="auto"/>
          <w:sz w:val="24"/>
          <w:highlight w:val="none"/>
        </w:rPr>
      </w:pPr>
      <w:r>
        <w:rPr>
          <w:rFonts w:hint="eastAsia" w:ascii="宋体"/>
          <w:color w:val="auto"/>
          <w:sz w:val="24"/>
          <w:highlight w:val="none"/>
        </w:rPr>
        <w:t>经营期限：</w:t>
      </w:r>
      <w:r>
        <w:rPr>
          <w:rFonts w:hint="eastAsia" w:ascii="宋体"/>
          <w:color w:val="auto"/>
          <w:sz w:val="24"/>
          <w:highlight w:val="none"/>
          <w:u w:val="single"/>
        </w:rPr>
        <w:t xml:space="preserve">                                </w:t>
      </w:r>
      <w:r>
        <w:rPr>
          <w:rFonts w:hint="eastAsia" w:ascii="宋体"/>
          <w:color w:val="auto"/>
          <w:sz w:val="24"/>
          <w:highlight w:val="none"/>
        </w:rPr>
        <w:t xml:space="preserve"> </w:t>
      </w:r>
    </w:p>
    <w:p w14:paraId="30612ADA">
      <w:pPr>
        <w:spacing w:line="480" w:lineRule="exact"/>
        <w:ind w:firstLine="1440" w:firstLineChars="200"/>
        <w:rPr>
          <w:rFonts w:hint="eastAsia" w:ascii="宋体"/>
          <w:color w:val="auto"/>
          <w:sz w:val="24"/>
          <w:highlight w:val="none"/>
        </w:rPr>
      </w:pPr>
      <w:r>
        <w:rPr>
          <w:rFonts w:hint="eastAsia" w:ascii="宋体"/>
          <w:color w:val="auto"/>
          <w:spacing w:val="240"/>
          <w:sz w:val="24"/>
          <w:highlight w:val="none"/>
        </w:rPr>
        <w:t>姓</w:t>
      </w:r>
      <w:r>
        <w:rPr>
          <w:rFonts w:hint="eastAsia" w:ascii="宋体"/>
          <w:color w:val="auto"/>
          <w:sz w:val="24"/>
          <w:highlight w:val="none"/>
        </w:rPr>
        <w:t>名：</w:t>
      </w:r>
      <w:r>
        <w:rPr>
          <w:rFonts w:hint="eastAsia" w:ascii="宋体"/>
          <w:color w:val="auto"/>
          <w:sz w:val="24"/>
          <w:highlight w:val="none"/>
          <w:u w:val="single"/>
        </w:rPr>
        <w:t xml:space="preserve">          </w:t>
      </w:r>
      <w:r>
        <w:rPr>
          <w:rFonts w:hint="eastAsia" w:ascii="宋体"/>
          <w:color w:val="auto"/>
          <w:sz w:val="24"/>
          <w:highlight w:val="none"/>
        </w:rPr>
        <w:t>性别：</w:t>
      </w:r>
      <w:r>
        <w:rPr>
          <w:rFonts w:hint="eastAsia" w:ascii="宋体"/>
          <w:color w:val="auto"/>
          <w:sz w:val="24"/>
          <w:highlight w:val="none"/>
          <w:u w:val="single"/>
        </w:rPr>
        <w:t xml:space="preserve">        </w:t>
      </w:r>
      <w:r>
        <w:rPr>
          <w:rFonts w:hint="eastAsia" w:ascii="宋体"/>
          <w:color w:val="auto"/>
          <w:sz w:val="24"/>
          <w:highlight w:val="none"/>
        </w:rPr>
        <w:t>年龄：</w:t>
      </w:r>
      <w:r>
        <w:rPr>
          <w:rFonts w:hint="eastAsia" w:ascii="宋体"/>
          <w:color w:val="auto"/>
          <w:sz w:val="24"/>
          <w:highlight w:val="none"/>
          <w:u w:val="single"/>
        </w:rPr>
        <w:t xml:space="preserve">       </w:t>
      </w:r>
      <w:r>
        <w:rPr>
          <w:rFonts w:hint="eastAsia" w:ascii="宋体"/>
          <w:color w:val="auto"/>
          <w:sz w:val="24"/>
          <w:highlight w:val="none"/>
        </w:rPr>
        <w:t>职务：</w:t>
      </w:r>
      <w:r>
        <w:rPr>
          <w:rFonts w:hint="eastAsia" w:ascii="宋体"/>
          <w:color w:val="auto"/>
          <w:sz w:val="24"/>
          <w:highlight w:val="none"/>
          <w:u w:val="single"/>
        </w:rPr>
        <w:t xml:space="preserve">       </w:t>
      </w:r>
      <w:r>
        <w:rPr>
          <w:rFonts w:hint="eastAsia" w:ascii="宋体"/>
          <w:color w:val="auto"/>
          <w:sz w:val="24"/>
          <w:highlight w:val="none"/>
        </w:rPr>
        <w:t>_</w:t>
      </w:r>
    </w:p>
    <w:p w14:paraId="61F2CB99">
      <w:pPr>
        <w:spacing w:line="480" w:lineRule="exact"/>
        <w:ind w:firstLine="480" w:firstLineChars="200"/>
        <w:rPr>
          <w:rFonts w:hint="eastAsia" w:ascii="宋体"/>
          <w:color w:val="auto"/>
          <w:sz w:val="24"/>
          <w:highlight w:val="none"/>
        </w:rPr>
      </w:pPr>
      <w:r>
        <w:rPr>
          <w:rFonts w:hint="eastAsia" w:ascii="宋体"/>
          <w:color w:val="auto"/>
          <w:sz w:val="24"/>
          <w:highlight w:val="none"/>
        </w:rPr>
        <w:t>系</w:t>
      </w:r>
      <w:r>
        <w:rPr>
          <w:rFonts w:hint="eastAsia" w:ascii="宋体"/>
          <w:color w:val="auto"/>
          <w:sz w:val="24"/>
          <w:highlight w:val="none"/>
          <w:u w:val="single"/>
        </w:rPr>
        <w:t xml:space="preserve">                                </w:t>
      </w:r>
      <w:r>
        <w:rPr>
          <w:rFonts w:hint="eastAsia" w:ascii="宋体"/>
          <w:color w:val="auto"/>
          <w:sz w:val="24"/>
          <w:highlight w:val="none"/>
        </w:rPr>
        <w:t>（投标人名称）的法定代表人。</w:t>
      </w:r>
    </w:p>
    <w:p w14:paraId="058FBCFE">
      <w:pPr>
        <w:spacing w:line="480" w:lineRule="exact"/>
        <w:ind w:firstLine="960" w:firstLineChars="400"/>
        <w:rPr>
          <w:rFonts w:hint="eastAsia" w:ascii="宋体"/>
          <w:color w:val="auto"/>
          <w:sz w:val="24"/>
          <w:highlight w:val="none"/>
        </w:rPr>
      </w:pPr>
      <w:r>
        <w:rPr>
          <w:rFonts w:hint="eastAsia" w:ascii="宋体"/>
          <w:color w:val="auto"/>
          <w:sz w:val="24"/>
          <w:highlight w:val="none"/>
        </w:rPr>
        <w:t>特此证明。</w:t>
      </w:r>
    </w:p>
    <w:p w14:paraId="59FF18B4">
      <w:pPr>
        <w:spacing w:line="360" w:lineRule="auto"/>
        <w:ind w:firstLine="3480" w:firstLineChars="1450"/>
        <w:rPr>
          <w:rFonts w:hint="eastAsia" w:ascii="宋体"/>
          <w:color w:val="auto"/>
          <w:sz w:val="24"/>
          <w:highlight w:val="none"/>
        </w:rPr>
      </w:pPr>
      <w:r>
        <w:rPr>
          <w:rFonts w:hint="eastAsia" w:ascii="宋体"/>
          <w:color w:val="auto"/>
          <w:sz w:val="24"/>
          <w:highlight w:val="none"/>
        </w:rPr>
        <w:t>投标人：</w:t>
      </w:r>
      <w:r>
        <w:rPr>
          <w:rFonts w:hint="eastAsia" w:ascii="宋体"/>
          <w:color w:val="auto"/>
          <w:sz w:val="24"/>
          <w:highlight w:val="none"/>
          <w:u w:val="single"/>
        </w:rPr>
        <w:t xml:space="preserve">                 </w:t>
      </w:r>
      <w:r>
        <w:rPr>
          <w:rFonts w:hint="eastAsia" w:ascii="宋体"/>
          <w:color w:val="auto"/>
          <w:sz w:val="24"/>
          <w:highlight w:val="none"/>
        </w:rPr>
        <w:t>（签章）</w:t>
      </w:r>
    </w:p>
    <w:p w14:paraId="5999B2D1">
      <w:pPr>
        <w:wordWrap w:val="0"/>
        <w:spacing w:line="360" w:lineRule="auto"/>
        <w:jc w:val="right"/>
        <w:rPr>
          <w:rFonts w:hint="eastAsia"/>
          <w:color w:val="auto"/>
          <w:highlight w:val="none"/>
        </w:rPr>
      </w:pPr>
      <w:r>
        <w:rPr>
          <w:rFonts w:hint="eastAsia" w:ascii="宋体"/>
          <w:color w:val="auto"/>
          <w:sz w:val="24"/>
          <w:highlight w:val="none"/>
        </w:rPr>
        <w:t xml:space="preserve">                                        </w:t>
      </w:r>
      <w:r>
        <w:rPr>
          <w:rFonts w:hint="eastAsia" w:ascii="宋体"/>
          <w:color w:val="auto"/>
          <w:sz w:val="24"/>
          <w:highlight w:val="none"/>
          <w:u w:val="single"/>
        </w:rPr>
        <w:t xml:space="preserve">       </w:t>
      </w:r>
      <w:r>
        <w:rPr>
          <w:rFonts w:hint="eastAsia" w:ascii="宋体"/>
          <w:color w:val="auto"/>
          <w:sz w:val="24"/>
          <w:highlight w:val="none"/>
        </w:rPr>
        <w:t xml:space="preserve">年 </w:t>
      </w:r>
      <w:r>
        <w:rPr>
          <w:rFonts w:hint="eastAsia" w:ascii="宋体"/>
          <w:color w:val="auto"/>
          <w:sz w:val="24"/>
          <w:highlight w:val="none"/>
          <w:u w:val="single"/>
        </w:rPr>
        <w:t xml:space="preserve">    </w:t>
      </w:r>
      <w:r>
        <w:rPr>
          <w:rFonts w:hint="eastAsia" w:ascii="宋体"/>
          <w:color w:val="auto"/>
          <w:sz w:val="24"/>
          <w:highlight w:val="none"/>
        </w:rPr>
        <w:t>月</w:t>
      </w:r>
      <w:r>
        <w:rPr>
          <w:rFonts w:hint="eastAsia" w:ascii="宋体"/>
          <w:color w:val="auto"/>
          <w:sz w:val="24"/>
          <w:highlight w:val="none"/>
          <w:u w:val="single"/>
        </w:rPr>
        <w:t xml:space="preserve">     </w:t>
      </w:r>
      <w:r>
        <w:rPr>
          <w:rFonts w:hint="eastAsia" w:ascii="宋体"/>
          <w:color w:val="auto"/>
          <w:sz w:val="24"/>
          <w:highlight w:val="none"/>
        </w:rPr>
        <w:t xml:space="preserve">日  </w:t>
      </w:r>
    </w:p>
    <w:p w14:paraId="54A52EFD">
      <w:pPr>
        <w:spacing w:line="480" w:lineRule="exact"/>
        <w:ind w:firstLine="3654" w:firstLineChars="1305"/>
        <w:rPr>
          <w:rFonts w:hint="eastAsia" w:ascii="宋体"/>
          <w:color w:val="auto"/>
          <w:sz w:val="28"/>
          <w:szCs w:val="28"/>
          <w:highlight w:val="none"/>
        </w:rPr>
      </w:pPr>
      <w:r>
        <w:rPr>
          <w:rFonts w:hint="eastAsia" w:ascii="宋体"/>
          <w:color w:val="auto"/>
          <w:sz w:val="28"/>
          <w:szCs w:val="28"/>
          <w:highlight w:val="none"/>
        </w:rPr>
        <w:t>2.授权委托书</w:t>
      </w:r>
    </w:p>
    <w:p w14:paraId="246D2E0F">
      <w:pPr>
        <w:spacing w:line="480" w:lineRule="exact"/>
        <w:ind w:firstLine="480" w:firstLineChars="200"/>
        <w:rPr>
          <w:rFonts w:hint="eastAsia" w:ascii="宋体"/>
          <w:color w:val="auto"/>
          <w:sz w:val="24"/>
          <w:highlight w:val="none"/>
        </w:rPr>
      </w:pPr>
      <w:r>
        <w:rPr>
          <w:rFonts w:hint="eastAsia" w:ascii="宋体"/>
          <w:color w:val="auto"/>
          <w:sz w:val="24"/>
          <w:highlight w:val="none"/>
        </w:rPr>
        <w:t xml:space="preserve">本人 </w:t>
      </w:r>
      <w:r>
        <w:rPr>
          <w:rFonts w:hint="eastAsia" w:ascii="宋体"/>
          <w:color w:val="auto"/>
          <w:sz w:val="24"/>
          <w:highlight w:val="none"/>
          <w:u w:val="single"/>
        </w:rPr>
        <w:t xml:space="preserve">    </w:t>
      </w:r>
      <w:r>
        <w:rPr>
          <w:rFonts w:hint="eastAsia" w:ascii="宋体"/>
          <w:color w:val="auto"/>
          <w:sz w:val="24"/>
          <w:highlight w:val="none"/>
        </w:rPr>
        <w:t>（姓名）系</w:t>
      </w:r>
      <w:r>
        <w:rPr>
          <w:rFonts w:hint="eastAsia" w:ascii="宋体"/>
          <w:color w:val="auto"/>
          <w:sz w:val="24"/>
          <w:highlight w:val="none"/>
          <w:u w:val="single"/>
        </w:rPr>
        <w:t xml:space="preserve">       </w:t>
      </w:r>
      <w:r>
        <w:rPr>
          <w:rFonts w:hint="eastAsia" w:ascii="宋体"/>
          <w:color w:val="auto"/>
          <w:sz w:val="24"/>
          <w:highlight w:val="none"/>
        </w:rPr>
        <w:t>（投标人）的法定代表人，现委托</w:t>
      </w:r>
      <w:r>
        <w:rPr>
          <w:rFonts w:hint="eastAsia" w:ascii="宋体"/>
          <w:color w:val="auto"/>
          <w:sz w:val="24"/>
          <w:highlight w:val="none"/>
          <w:u w:val="single"/>
        </w:rPr>
        <w:t xml:space="preserve">   </w:t>
      </w:r>
      <w:r>
        <w:rPr>
          <w:rFonts w:hint="eastAsia" w:ascii="宋体"/>
          <w:color w:val="auto"/>
          <w:sz w:val="24"/>
          <w:highlight w:val="none"/>
        </w:rPr>
        <w:t>（姓名）为我方代理人。代理人根据授权，以我方名义签署、澄清、说明、补正、递交、撤回、修改 “</w:t>
      </w:r>
      <w:r>
        <w:rPr>
          <w:rFonts w:hint="eastAsia" w:ascii="宋体"/>
          <w:color w:val="auto"/>
          <w:sz w:val="24"/>
          <w:highlight w:val="none"/>
          <w:u w:val="single"/>
        </w:rPr>
        <w:t xml:space="preserve">      </w:t>
      </w:r>
      <w:r>
        <w:rPr>
          <w:rFonts w:hint="eastAsia" w:ascii="宋体"/>
          <w:color w:val="auto"/>
          <w:sz w:val="24"/>
          <w:highlight w:val="none"/>
        </w:rPr>
        <w:t xml:space="preserve"> ”(项目名称、编号）投标文件，全权处理与该项目投标、评审答疑、签订合同以及与合同执行有关的一切事务，其法律后果由我方承担。</w:t>
      </w:r>
    </w:p>
    <w:p w14:paraId="1B14408E">
      <w:pPr>
        <w:spacing w:line="480" w:lineRule="exact"/>
        <w:ind w:firstLine="480" w:firstLineChars="200"/>
        <w:rPr>
          <w:rFonts w:hint="eastAsia" w:ascii="宋体"/>
          <w:color w:val="auto"/>
          <w:sz w:val="24"/>
          <w:highlight w:val="none"/>
        </w:rPr>
      </w:pPr>
      <w:r>
        <w:rPr>
          <w:rFonts w:hint="eastAsia" w:ascii="宋体"/>
          <w:color w:val="auto"/>
          <w:sz w:val="24"/>
          <w:highlight w:val="none"/>
        </w:rPr>
        <w:t>委托期限：</w:t>
      </w:r>
      <w:r>
        <w:rPr>
          <w:rFonts w:hint="eastAsia" w:ascii="宋体" w:hAnsi="Times New Roman" w:eastAsia="宋体" w:cs="Times New Roman"/>
          <w:color w:val="auto"/>
          <w:sz w:val="24"/>
          <w:highlight w:val="none"/>
          <w:u w:val="single"/>
          <w:lang w:val="en-US" w:eastAsia="zh-CN"/>
        </w:rPr>
        <w:t>授权之日起至合同履行期满。</w:t>
      </w:r>
      <w:r>
        <w:rPr>
          <w:rFonts w:hint="eastAsia" w:ascii="宋体"/>
          <w:color w:val="auto"/>
          <w:sz w:val="24"/>
          <w:highlight w:val="none"/>
        </w:rPr>
        <w:t xml:space="preserve">                                </w:t>
      </w:r>
    </w:p>
    <w:p w14:paraId="6C206451">
      <w:pPr>
        <w:spacing w:line="480" w:lineRule="exact"/>
        <w:ind w:firstLine="480" w:firstLineChars="200"/>
        <w:rPr>
          <w:rFonts w:hint="eastAsia" w:ascii="宋体"/>
          <w:color w:val="auto"/>
          <w:sz w:val="24"/>
          <w:highlight w:val="none"/>
        </w:rPr>
      </w:pPr>
      <w:r>
        <w:rPr>
          <w:rFonts w:hint="eastAsia" w:ascii="宋体"/>
          <w:color w:val="auto"/>
          <w:sz w:val="24"/>
          <w:highlight w:val="none"/>
        </w:rPr>
        <w:t>代理人无转委托权。</w:t>
      </w:r>
    </w:p>
    <w:p w14:paraId="02B6510D">
      <w:pPr>
        <w:spacing w:line="480" w:lineRule="exact"/>
        <w:ind w:firstLine="480" w:firstLineChars="200"/>
        <w:rPr>
          <w:rFonts w:hint="eastAsia" w:ascii="宋体"/>
          <w:color w:val="auto"/>
          <w:sz w:val="24"/>
          <w:highlight w:val="none"/>
        </w:rPr>
      </w:pPr>
      <w:r>
        <w:rPr>
          <w:rFonts w:hint="eastAsia" w:ascii="宋体"/>
          <w:color w:val="auto"/>
          <w:sz w:val="24"/>
          <w:highlight w:val="none"/>
        </w:rPr>
        <w:t>附：授权委托人有效身份证及法定代表人有效身份证</w:t>
      </w:r>
    </w:p>
    <w:p w14:paraId="7AB80513">
      <w:pPr>
        <w:spacing w:line="480" w:lineRule="exact"/>
        <w:rPr>
          <w:rFonts w:hint="eastAsia" w:ascii="宋体"/>
          <w:color w:val="auto"/>
          <w:sz w:val="24"/>
          <w:highlight w:val="none"/>
        </w:rPr>
      </w:pPr>
      <w:r>
        <w:rPr>
          <w:rFonts w:hint="eastAsia" w:ascii="宋体"/>
          <w:color w:val="auto"/>
          <w:sz w:val="24"/>
          <w:highlight w:val="none"/>
        </w:rPr>
        <w:t xml:space="preserve">                                     投标人：             </w:t>
      </w:r>
      <w:r>
        <w:rPr>
          <w:rFonts w:hint="eastAsia" w:ascii="宋体"/>
          <w:color w:val="auto"/>
          <w:sz w:val="28"/>
          <w:szCs w:val="28"/>
          <w:highlight w:val="none"/>
        </w:rPr>
        <w:t>（签章）</w:t>
      </w:r>
    </w:p>
    <w:p w14:paraId="4712765E">
      <w:pPr>
        <w:spacing w:line="480" w:lineRule="exact"/>
        <w:ind w:firstLine="2280" w:firstLineChars="950"/>
        <w:rPr>
          <w:rFonts w:hint="eastAsia" w:ascii="宋体"/>
          <w:color w:val="auto"/>
          <w:sz w:val="24"/>
          <w:highlight w:val="none"/>
        </w:rPr>
      </w:pPr>
      <w:r>
        <w:rPr>
          <w:rFonts w:hint="eastAsia" w:ascii="宋体"/>
          <w:color w:val="auto"/>
          <w:sz w:val="24"/>
          <w:highlight w:val="none"/>
        </w:rPr>
        <w:t xml:space="preserve">法定代表人（身份证号码）：             </w:t>
      </w:r>
      <w:r>
        <w:rPr>
          <w:rFonts w:hint="eastAsia" w:ascii="宋体"/>
          <w:color w:val="auto"/>
          <w:sz w:val="28"/>
          <w:szCs w:val="28"/>
          <w:highlight w:val="none"/>
        </w:rPr>
        <w:t>（签章）</w:t>
      </w:r>
    </w:p>
    <w:p w14:paraId="5DFAF106">
      <w:pPr>
        <w:spacing w:line="480" w:lineRule="exact"/>
        <w:ind w:firstLine="4200" w:firstLineChars="1750"/>
        <w:rPr>
          <w:rFonts w:ascii="宋体"/>
          <w:color w:val="auto"/>
          <w:sz w:val="24"/>
          <w:highlight w:val="none"/>
        </w:rPr>
      </w:pPr>
      <w:r>
        <w:rPr>
          <w:rFonts w:hint="eastAsia" w:ascii="宋体"/>
          <w:color w:val="auto"/>
          <w:sz w:val="24"/>
          <w:highlight w:val="none"/>
        </w:rPr>
        <w:t>联系电话：</w:t>
      </w:r>
    </w:p>
    <w:p w14:paraId="1F16944E">
      <w:pPr>
        <w:spacing w:line="480" w:lineRule="exact"/>
        <w:ind w:firstLine="2280" w:firstLineChars="950"/>
        <w:rPr>
          <w:rFonts w:hint="eastAsia" w:ascii="宋体"/>
          <w:color w:val="auto"/>
          <w:sz w:val="24"/>
          <w:highlight w:val="none"/>
        </w:rPr>
      </w:pPr>
      <w:r>
        <w:rPr>
          <w:rFonts w:hint="eastAsia" w:ascii="宋体"/>
          <w:color w:val="auto"/>
          <w:sz w:val="24"/>
          <w:highlight w:val="none"/>
        </w:rPr>
        <w:t>委托代理人（身份证号码）：</w:t>
      </w:r>
    </w:p>
    <w:p w14:paraId="3D6CBDE8">
      <w:pPr>
        <w:spacing w:line="480" w:lineRule="exact"/>
        <w:ind w:firstLine="4200" w:firstLineChars="1750"/>
        <w:rPr>
          <w:rFonts w:ascii="宋体"/>
          <w:color w:val="auto"/>
          <w:sz w:val="24"/>
          <w:highlight w:val="none"/>
        </w:rPr>
      </w:pPr>
      <w:r>
        <w:rPr>
          <w:rFonts w:hint="eastAsia" w:ascii="宋体"/>
          <w:color w:val="auto"/>
          <w:sz w:val="24"/>
          <w:highlight w:val="none"/>
        </w:rPr>
        <w:t>联系电话：</w:t>
      </w:r>
    </w:p>
    <w:p w14:paraId="55F68F2B">
      <w:pPr>
        <w:spacing w:line="480" w:lineRule="exact"/>
        <w:ind w:firstLine="4980" w:firstLineChars="2075"/>
        <w:rPr>
          <w:rFonts w:hint="eastAsia"/>
          <w:b/>
          <w:color w:val="auto"/>
          <w:sz w:val="28"/>
          <w:szCs w:val="28"/>
          <w:highlight w:val="none"/>
          <w:u w:val="single"/>
        </w:rPr>
      </w:pPr>
      <w:r>
        <w:rPr>
          <w:rFonts w:hint="eastAsia" w:ascii="宋体"/>
          <w:color w:val="auto"/>
          <w:sz w:val="24"/>
          <w:highlight w:val="none"/>
        </w:rPr>
        <w:t>年    月    日</w:t>
      </w:r>
    </w:p>
    <w:p w14:paraId="28BB4BB3">
      <w:pPr>
        <w:spacing w:line="360" w:lineRule="exact"/>
        <w:ind w:firstLine="443" w:firstLineChars="147"/>
        <w:rPr>
          <w:rFonts w:hint="eastAsia" w:ascii="宋体"/>
          <w:b/>
          <w:color w:val="auto"/>
          <w:sz w:val="30"/>
          <w:szCs w:val="30"/>
          <w:highlight w:val="none"/>
        </w:rPr>
      </w:pPr>
      <w:r>
        <w:rPr>
          <w:rFonts w:hint="eastAsia" w:ascii="宋体"/>
          <w:b/>
          <w:color w:val="auto"/>
          <w:sz w:val="30"/>
          <w:szCs w:val="30"/>
          <w:highlight w:val="none"/>
        </w:rPr>
        <w:br w:type="page"/>
      </w:r>
      <w:r>
        <w:rPr>
          <w:rFonts w:hint="eastAsia" w:ascii="宋体"/>
          <w:b/>
          <w:color w:val="auto"/>
          <w:sz w:val="30"/>
          <w:szCs w:val="30"/>
          <w:highlight w:val="none"/>
        </w:rPr>
        <w:t>附件2</w:t>
      </w:r>
    </w:p>
    <w:p w14:paraId="71DACFC5">
      <w:pPr>
        <w:spacing w:line="360" w:lineRule="auto"/>
        <w:jc w:val="center"/>
        <w:rPr>
          <w:rFonts w:hint="eastAsia"/>
          <w:b/>
          <w:color w:val="auto"/>
          <w:sz w:val="28"/>
          <w:szCs w:val="28"/>
          <w:highlight w:val="none"/>
        </w:rPr>
      </w:pPr>
      <w:bookmarkStart w:id="149" w:name="_Toc440443268"/>
      <w:bookmarkStart w:id="150" w:name="_Toc449028950"/>
      <w:r>
        <w:rPr>
          <w:rFonts w:hint="eastAsia"/>
          <w:b/>
          <w:color w:val="auto"/>
          <w:sz w:val="28"/>
          <w:szCs w:val="28"/>
          <w:highlight w:val="none"/>
        </w:rPr>
        <w:t>诚信投标承诺书 </w:t>
      </w:r>
    </w:p>
    <w:p w14:paraId="5ED94D99">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本人以企业法定代表人的身份郑重承诺：</w:t>
      </w:r>
    </w:p>
    <w:p w14:paraId="7AA9AB39">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一、将遵循公开、公正和诚实信用的原则自愿参加</w:t>
      </w:r>
      <w:r>
        <w:rPr>
          <w:rFonts w:hint="eastAsia" w:ascii="宋体" w:hAnsi="宋体"/>
          <w:color w:val="auto"/>
          <w:szCs w:val="21"/>
          <w:highlight w:val="none"/>
          <w:u w:val="single"/>
        </w:rPr>
        <w:t xml:space="preserve">       （项目名称）       </w:t>
      </w:r>
      <w:r>
        <w:rPr>
          <w:rFonts w:hint="eastAsia" w:ascii="宋体" w:hAnsi="宋体"/>
          <w:color w:val="auto"/>
          <w:szCs w:val="21"/>
          <w:highlight w:val="none"/>
        </w:rPr>
        <w:t>项目的投标，所提供的一切材料都是真实、有效、合法的；</w:t>
      </w:r>
    </w:p>
    <w:p w14:paraId="1116F3AA">
      <w:pPr>
        <w:wordWrap w:val="0"/>
        <w:overflowPunct/>
        <w:bidi w:val="0"/>
        <w:spacing w:line="500" w:lineRule="exact"/>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二、本单位郑重声明，我公司具有良好的商业信誉和健全的财务会计制度，具有履行合同所必需的设备和专业技术能力，有依法缴纳税收和社会保障资金的良好记录；参加政府采购活动前三年内，本单位在经营活动中没有重大违法记录，没有因违法经营受到刑事处罚或者责令停产停业、吊销许可证或者执照、较大数额罚款等行政处罚。</w:t>
      </w:r>
    </w:p>
    <w:p w14:paraId="417D9B5C">
      <w:pPr>
        <w:wordWrap w:val="0"/>
        <w:overflowPunct/>
        <w:bidi w:val="0"/>
        <w:spacing w:line="500" w:lineRule="exact"/>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三、不出借、转让资质证书，不让他人挂靠投标，不以他人名义投标或者以其他方式弄虚作假，骗取中标；</w:t>
      </w:r>
    </w:p>
    <w:p w14:paraId="1A7B84CC">
      <w:pPr>
        <w:wordWrap w:val="0"/>
        <w:overflowPunct/>
        <w:bidi w:val="0"/>
        <w:spacing w:line="500" w:lineRule="exact"/>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四、不与其他投标人相互串通投标报价，不排挤其他投标人的公平竞争、损害招标人的合法权益；</w:t>
      </w:r>
    </w:p>
    <w:p w14:paraId="379AF544">
      <w:pPr>
        <w:wordWrap w:val="0"/>
        <w:overflowPunct/>
        <w:bidi w:val="0"/>
        <w:spacing w:line="500" w:lineRule="exact"/>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五、不与招标人、招标代理机构或其他投标人串通投标，损害国家利益、社会公共利益或者他人的合法权益；</w:t>
      </w:r>
    </w:p>
    <w:p w14:paraId="68D1649A">
      <w:pPr>
        <w:wordWrap w:val="0"/>
        <w:overflowPunct/>
        <w:bidi w:val="0"/>
        <w:spacing w:line="500" w:lineRule="exact"/>
        <w:ind w:firstLine="420" w:firstLineChars="200"/>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rPr>
        <w:t>六、</w:t>
      </w:r>
      <w:r>
        <w:rPr>
          <w:rFonts w:hint="eastAsia" w:ascii="宋体" w:hAnsi="宋体" w:eastAsia="宋体" w:cs="Times New Roman"/>
          <w:color w:val="auto"/>
          <w:sz w:val="21"/>
          <w:szCs w:val="21"/>
          <w:highlight w:val="none"/>
          <w:u w:val="single"/>
        </w:rPr>
        <w:t>（企业名称）</w:t>
      </w:r>
      <w:r>
        <w:rPr>
          <w:rFonts w:hint="eastAsia" w:ascii="宋体" w:hAnsi="宋体" w:eastAsia="宋体" w:cs="Times New Roman"/>
          <w:color w:val="auto"/>
          <w:sz w:val="21"/>
          <w:szCs w:val="21"/>
          <w:highlight w:val="none"/>
          <w:u w:val="single"/>
          <w:lang w:val="en-US" w:eastAsia="zh-CN"/>
        </w:rPr>
        <w:t xml:space="preserve">     </w:t>
      </w:r>
      <w:r>
        <w:rPr>
          <w:rFonts w:hint="eastAsia" w:ascii="宋体" w:hAnsi="宋体" w:eastAsia="宋体" w:cs="Times New Roman"/>
          <w:color w:val="auto"/>
          <w:sz w:val="21"/>
          <w:szCs w:val="21"/>
          <w:highlight w:val="none"/>
        </w:rPr>
        <w:t>没有下列情形：</w:t>
      </w:r>
      <w:r>
        <w:rPr>
          <w:rFonts w:hint="eastAsia" w:ascii="宋体" w:hAnsi="宋体" w:eastAsia="宋体" w:cs="Times New Roman"/>
          <w:color w:val="auto"/>
          <w:sz w:val="21"/>
          <w:szCs w:val="21"/>
          <w:highlight w:val="none"/>
          <w:lang w:val="en-US" w:eastAsia="zh-CN"/>
        </w:rPr>
        <w:t>①被列入“信用中国”网站（www.creditchina.gov.cn）“失信被执行人”的；②被列入“信用中国”网站（www.creditchina.gov.cn）“重大税收违法失信主体”的；③被列入“信用中国”网站（www.creditchina.gov.cn）“拖欠农民工工资失信联合惩戒对象名单”的；④被列入“信用中国”网站（www.creditchina.gov.cn） “安全生产严重失信主体名单”的；⑤被列入国家企业信用信息公示系统网站（www.gsxt.gov.cn）“严重违法失信名单”的。</w:t>
      </w:r>
    </w:p>
    <w:p w14:paraId="65635B62">
      <w:pPr>
        <w:wordWrap w:val="0"/>
        <w:overflowPunct/>
        <w:bidi w:val="0"/>
        <w:spacing w:line="500" w:lineRule="exact"/>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七、严格遵守开标现场纪律，服从监管人员管理；</w:t>
      </w:r>
    </w:p>
    <w:p w14:paraId="2C682FB2">
      <w:pPr>
        <w:wordWrap w:val="0"/>
        <w:overflowPunct/>
        <w:bidi w:val="0"/>
        <w:spacing w:line="500" w:lineRule="exact"/>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八、保证中标后不转包，若有分包征得招标人同意；</w:t>
      </w:r>
    </w:p>
    <w:p w14:paraId="663C26B7">
      <w:pPr>
        <w:wordWrap w:val="0"/>
        <w:overflowPunct/>
        <w:bidi w:val="0"/>
        <w:spacing w:line="500" w:lineRule="exact"/>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九、保证中标之后，按照投标文件要求提供相关后续服务；</w:t>
      </w:r>
    </w:p>
    <w:p w14:paraId="3BC1D971">
      <w:pPr>
        <w:wordWrap w:val="0"/>
        <w:overflowPunct/>
        <w:bidi w:val="0"/>
        <w:spacing w:line="500" w:lineRule="exact"/>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十、保证企业及所属相关人员在本次投标中无行贿等犯罪行为；</w:t>
      </w:r>
    </w:p>
    <w:p w14:paraId="130FCF5C">
      <w:pPr>
        <w:wordWrap w:val="0"/>
        <w:overflowPunct/>
        <w:bidi w:val="0"/>
        <w:spacing w:line="500" w:lineRule="exact"/>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十一、如在投标过程和公示期间发生投诉行为，保证按照相关规定要求进行。投诉内容符合要求，投诉材料加盖企业公章或由法定代表人授权委托人签字，并附有关身份证明复印件。不恶意投诉，对本公司提供的投诉线索的真实性负责，否则愿接受有关部门的处罚。</w:t>
      </w:r>
    </w:p>
    <w:p w14:paraId="0DFA58F1">
      <w:pPr>
        <w:spacing w:line="500" w:lineRule="exact"/>
        <w:ind w:firstLine="420" w:firstLineChars="200"/>
        <w:rPr>
          <w:rFonts w:hint="eastAsia" w:ascii="宋体" w:hAnsi="宋体"/>
          <w:color w:val="auto"/>
          <w:szCs w:val="21"/>
          <w:highlight w:val="none"/>
        </w:rPr>
      </w:pPr>
      <w:r>
        <w:rPr>
          <w:rFonts w:hint="eastAsia" w:ascii="宋体" w:hAnsi="宋体" w:eastAsia="宋体" w:cs="Times New Roman"/>
          <w:color w:val="auto"/>
          <w:sz w:val="21"/>
          <w:szCs w:val="21"/>
          <w:highlight w:val="none"/>
        </w:rPr>
        <w:t>以上内容我已仔细阅读，本公司若有违反承诺内容的行为，自愿接受取消投标或者中标资格、中标无效、记入不良行为记录等有关处理，愿意承担法律责任，给招标人造成损失的，依法承担赔偿责任</w:t>
      </w:r>
      <w:r>
        <w:rPr>
          <w:rFonts w:hint="eastAsia" w:ascii="宋体" w:hAnsi="宋体"/>
          <w:color w:val="auto"/>
          <w:szCs w:val="21"/>
          <w:highlight w:val="none"/>
        </w:rPr>
        <w:t>。</w:t>
      </w:r>
    </w:p>
    <w:p w14:paraId="56F3E16C">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 </w:t>
      </w:r>
    </w:p>
    <w:p w14:paraId="415CEC6A">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开户银行：                          基本账户：</w:t>
      </w:r>
    </w:p>
    <w:p w14:paraId="3BBF04EB">
      <w:pPr>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投标</w:t>
      </w:r>
      <w:r>
        <w:rPr>
          <w:rFonts w:hint="eastAsia" w:ascii="宋体" w:hAnsi="宋体"/>
          <w:color w:val="auto"/>
          <w:szCs w:val="21"/>
          <w:highlight w:val="none"/>
          <w:lang w:val="en-US" w:eastAsia="zh-CN"/>
        </w:rPr>
        <w:t>人</w:t>
      </w:r>
      <w:r>
        <w:rPr>
          <w:rFonts w:hint="eastAsia" w:ascii="宋体" w:hAnsi="宋体"/>
          <w:color w:val="auto"/>
          <w:szCs w:val="21"/>
          <w:highlight w:val="none"/>
        </w:rPr>
        <w:t xml:space="preserve">（签章）：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法定代表人（签章）：</w:t>
      </w:r>
    </w:p>
    <w:p w14:paraId="5578F7EB">
      <w:pPr>
        <w:spacing w:line="500" w:lineRule="exact"/>
        <w:ind w:firstLine="420" w:firstLineChars="200"/>
        <w:rPr>
          <w:rFonts w:hint="eastAsia" w:ascii="宋体" w:hAnsi="宋体"/>
          <w:color w:val="auto"/>
          <w:szCs w:val="21"/>
          <w:highlight w:val="none"/>
        </w:rPr>
      </w:pPr>
    </w:p>
    <w:p w14:paraId="324157A0">
      <w:pPr>
        <w:spacing w:line="560" w:lineRule="exact"/>
        <w:jc w:val="right"/>
        <w:rPr>
          <w:rFonts w:hint="eastAsia" w:ascii="仿宋_GB2312" w:eastAsia="仿宋_GB2312"/>
          <w:color w:val="auto"/>
          <w:sz w:val="32"/>
          <w:szCs w:val="32"/>
          <w:highlight w:val="none"/>
        </w:rPr>
      </w:pPr>
      <w:r>
        <w:rPr>
          <w:rFonts w:hint="eastAsia" w:ascii="宋体" w:hAnsi="宋体"/>
          <w:color w:val="auto"/>
          <w:szCs w:val="21"/>
          <w:highlight w:val="none"/>
        </w:rPr>
        <w:t>日期：</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日</w:t>
      </w:r>
    </w:p>
    <w:p w14:paraId="654FFA02">
      <w:pPr>
        <w:spacing w:line="360" w:lineRule="auto"/>
        <w:jc w:val="center"/>
        <w:rPr>
          <w:rFonts w:hint="eastAsia"/>
          <w:b/>
          <w:color w:val="auto"/>
          <w:sz w:val="28"/>
          <w:szCs w:val="28"/>
          <w:highlight w:val="none"/>
        </w:rPr>
      </w:pPr>
    </w:p>
    <w:p w14:paraId="191A73F5">
      <w:pPr>
        <w:spacing w:line="360" w:lineRule="auto"/>
        <w:jc w:val="center"/>
        <w:rPr>
          <w:rFonts w:hint="eastAsia"/>
          <w:b/>
          <w:color w:val="auto"/>
          <w:sz w:val="28"/>
          <w:szCs w:val="28"/>
          <w:highlight w:val="none"/>
        </w:rPr>
      </w:pPr>
    </w:p>
    <w:p w14:paraId="548AC86A">
      <w:pPr>
        <w:spacing w:line="360" w:lineRule="auto"/>
        <w:jc w:val="center"/>
        <w:rPr>
          <w:rFonts w:hint="eastAsia"/>
          <w:b/>
          <w:color w:val="auto"/>
          <w:sz w:val="28"/>
          <w:szCs w:val="28"/>
          <w:highlight w:val="none"/>
        </w:rPr>
      </w:pPr>
      <w:r>
        <w:rPr>
          <w:rFonts w:hint="eastAsia"/>
          <w:b/>
          <w:color w:val="auto"/>
          <w:sz w:val="28"/>
          <w:szCs w:val="28"/>
          <w:highlight w:val="none"/>
        </w:rPr>
        <w:t>或公共信用信息报告（无违法违规证明版或核查版）</w:t>
      </w:r>
    </w:p>
    <w:p w14:paraId="76E9490C">
      <w:pPr>
        <w:wordWrap w:val="0"/>
        <w:spacing w:line="5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符合条件的投标人可在信用中国（安徽）网站（网址https://credit.ah.gov.cn/xinyongfuwu/index.html），获取信用报告（无违法违规证明版或核查版）并上传至投标文件中。</w:t>
      </w:r>
    </w:p>
    <w:p w14:paraId="766DCD75">
      <w:pPr>
        <w:spacing w:line="500" w:lineRule="exact"/>
        <w:ind w:firstLine="420" w:firstLineChars="200"/>
        <w:rPr>
          <w:rFonts w:hint="eastAsia" w:ascii="宋体" w:hAnsi="宋体"/>
          <w:color w:val="auto"/>
          <w:szCs w:val="21"/>
          <w:highlight w:val="none"/>
        </w:rPr>
      </w:pPr>
    </w:p>
    <w:p w14:paraId="44A6F286">
      <w:pPr>
        <w:spacing w:line="500" w:lineRule="exact"/>
        <w:ind w:firstLine="420" w:firstLineChars="200"/>
        <w:rPr>
          <w:rFonts w:hint="eastAsia" w:ascii="宋体" w:hAnsi="宋体"/>
          <w:color w:val="auto"/>
          <w:szCs w:val="21"/>
          <w:highlight w:val="none"/>
        </w:rPr>
      </w:pPr>
    </w:p>
    <w:p w14:paraId="5926AE20">
      <w:pPr>
        <w:rPr>
          <w:rFonts w:hint="eastAsia" w:ascii="宋体" w:hAnsi="宋体"/>
          <w:b/>
          <w:color w:val="auto"/>
          <w:sz w:val="24"/>
          <w:highlight w:val="none"/>
        </w:rPr>
      </w:pPr>
    </w:p>
    <w:p w14:paraId="37AA0028">
      <w:pPr>
        <w:rPr>
          <w:rFonts w:hint="eastAsia" w:ascii="宋体" w:hAnsi="宋体"/>
          <w:b/>
          <w:color w:val="auto"/>
          <w:sz w:val="24"/>
          <w:highlight w:val="none"/>
        </w:rPr>
      </w:pPr>
      <w:r>
        <w:rPr>
          <w:rFonts w:hint="eastAsia" w:ascii="宋体" w:hAnsi="宋体"/>
          <w:b/>
          <w:color w:val="auto"/>
          <w:sz w:val="24"/>
          <w:highlight w:val="none"/>
        </w:rPr>
        <w:br w:type="page"/>
      </w:r>
      <w:r>
        <w:rPr>
          <w:rFonts w:hint="eastAsia" w:ascii="宋体" w:hAnsi="宋体"/>
          <w:b/>
          <w:color w:val="auto"/>
          <w:sz w:val="24"/>
          <w:highlight w:val="none"/>
        </w:rPr>
        <w:t>附件3：</w:t>
      </w:r>
    </w:p>
    <w:p w14:paraId="6CF44B43">
      <w:pPr>
        <w:jc w:val="center"/>
        <w:rPr>
          <w:rFonts w:hint="eastAsia" w:ascii="宋体"/>
          <w:b/>
          <w:color w:val="auto"/>
          <w:sz w:val="30"/>
          <w:szCs w:val="30"/>
          <w:highlight w:val="none"/>
        </w:rPr>
      </w:pPr>
      <w:r>
        <w:rPr>
          <w:rFonts w:hint="eastAsia" w:ascii="宋体"/>
          <w:b/>
          <w:color w:val="auto"/>
          <w:sz w:val="30"/>
          <w:szCs w:val="30"/>
          <w:highlight w:val="none"/>
        </w:rPr>
        <w:t>服务承诺书</w:t>
      </w:r>
    </w:p>
    <w:p w14:paraId="6A5646E3">
      <w:pPr>
        <w:ind w:firstLine="480" w:firstLineChars="200"/>
        <w:rPr>
          <w:rFonts w:hint="eastAsia" w:ascii="宋体"/>
          <w:color w:val="auto"/>
          <w:sz w:val="24"/>
          <w:highlight w:val="none"/>
        </w:rPr>
      </w:pPr>
    </w:p>
    <w:p w14:paraId="5E8DA602">
      <w:pPr>
        <w:wordWrap w:val="0"/>
        <w:overflowPunct/>
        <w:bidi w:val="0"/>
        <w:ind w:firstLine="480" w:firstLineChars="200"/>
        <w:rPr>
          <w:rFonts w:hint="eastAsia" w:ascii="宋体" w:hAnsi="Times New Roman" w:eastAsia="宋体" w:cs="Times New Roman"/>
          <w:b/>
          <w:color w:val="auto"/>
          <w:sz w:val="24"/>
          <w:highlight w:val="none"/>
        </w:rPr>
      </w:pPr>
      <w:r>
        <w:rPr>
          <w:rFonts w:hint="eastAsia" w:ascii="宋体" w:hAnsi="Times New Roman" w:eastAsia="宋体" w:cs="Times New Roman"/>
          <w:color w:val="auto"/>
          <w:sz w:val="24"/>
          <w:highlight w:val="none"/>
        </w:rPr>
        <w:t>致：</w:t>
      </w:r>
      <w:r>
        <w:rPr>
          <w:rFonts w:hint="eastAsia" w:ascii="宋体" w:hAnsi="Times New Roman" w:eastAsia="宋体" w:cs="Times New Roman"/>
          <w:color w:val="auto"/>
          <w:sz w:val="24"/>
          <w:highlight w:val="none"/>
          <w:u w:val="single"/>
          <w:lang w:val="en-US" w:eastAsia="zh-CN"/>
        </w:rPr>
        <w:t xml:space="preserve">   </w:t>
      </w:r>
      <w:r>
        <w:rPr>
          <w:rFonts w:hint="eastAsia" w:ascii="宋体" w:hAnsi="Times New Roman" w:eastAsia="宋体" w:cs="Times New Roman"/>
          <w:color w:val="auto"/>
          <w:sz w:val="24"/>
          <w:highlight w:val="none"/>
          <w:u w:val="single"/>
        </w:rPr>
        <w:t>（招标人）</w:t>
      </w:r>
      <w:r>
        <w:rPr>
          <w:rFonts w:hint="eastAsia" w:ascii="宋体" w:hAnsi="Times New Roman" w:eastAsia="宋体" w:cs="Times New Roman"/>
          <w:color w:val="auto"/>
          <w:sz w:val="24"/>
          <w:highlight w:val="none"/>
        </w:rPr>
        <w:t>：</w:t>
      </w:r>
    </w:p>
    <w:p w14:paraId="13A2414E">
      <w:pPr>
        <w:wordWrap w:val="0"/>
        <w:overflowPunct/>
        <w:bidi w:val="0"/>
        <w:spacing w:line="800" w:lineRule="exact"/>
        <w:ind w:firstLine="480" w:firstLineChars="200"/>
        <w:rPr>
          <w:rFonts w:hint="eastAsia"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rPr>
        <w:t>本承诺声明：</w:t>
      </w:r>
      <w:r>
        <w:rPr>
          <w:rFonts w:hint="eastAsia" w:ascii="宋体" w:hAnsi="Times New Roman" w:eastAsia="宋体" w:cs="Times New Roman"/>
          <w:color w:val="auto"/>
          <w:sz w:val="24"/>
          <w:highlight w:val="none"/>
          <w:u w:val="single"/>
          <w:lang w:val="en-US" w:eastAsia="zh-CN"/>
        </w:rPr>
        <w:t xml:space="preserve">                  </w:t>
      </w:r>
      <w:r>
        <w:rPr>
          <w:rFonts w:hint="eastAsia" w:ascii="宋体" w:hAnsi="Times New Roman" w:eastAsia="宋体" w:cs="Times New Roman"/>
          <w:color w:val="auto"/>
          <w:sz w:val="24"/>
          <w:highlight w:val="none"/>
        </w:rPr>
        <w:t>（投标人名称）对本招标文件的相关要求完全响应。若有幸中标将严格按照</w:t>
      </w:r>
      <w:r>
        <w:rPr>
          <w:rFonts w:hint="eastAsia" w:ascii="宋体" w:hAnsi="Times New Roman" w:eastAsia="宋体" w:cs="Times New Roman"/>
          <w:color w:val="auto"/>
          <w:sz w:val="24"/>
          <w:highlight w:val="none"/>
          <w:lang w:val="en-US" w:eastAsia="zh-CN"/>
        </w:rPr>
        <w:t>招标文件及招标人要求</w:t>
      </w:r>
      <w:r>
        <w:rPr>
          <w:rFonts w:hint="eastAsia" w:ascii="宋体" w:hAnsi="Times New Roman" w:eastAsia="宋体" w:cs="Times New Roman"/>
          <w:color w:val="auto"/>
          <w:sz w:val="24"/>
          <w:highlight w:val="none"/>
        </w:rPr>
        <w:t>进行服务。</w:t>
      </w:r>
      <w:r>
        <w:rPr>
          <w:rFonts w:hint="eastAsia" w:ascii="宋体" w:hAnsi="Times New Roman" w:eastAsia="宋体" w:cs="Times New Roman"/>
          <w:color w:val="auto"/>
          <w:sz w:val="24"/>
          <w:highlight w:val="none"/>
          <w:lang w:val="en-US" w:eastAsia="zh-CN"/>
        </w:rPr>
        <w:t>并对如下事项进行承诺：</w:t>
      </w:r>
    </w:p>
    <w:p w14:paraId="06105C82">
      <w:pPr>
        <w:wordWrap w:val="0"/>
        <w:overflowPunct/>
        <w:bidi w:val="0"/>
        <w:spacing w:line="800" w:lineRule="exact"/>
        <w:ind w:firstLine="480" w:firstLineChars="200"/>
        <w:rPr>
          <w:rFonts w:hint="eastAsia"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val="en-US" w:eastAsia="zh-CN"/>
        </w:rPr>
        <w:t>1.我单位承诺中标后，面向在校学生家长设立一定工作岗位，优先选聘在校学生家长参与食堂工作，帮助家庭经济困难学生解决家庭收入来源。有义务无偿提供场地供学校开展活动使用。为体现餐饮企业社会责任，并在传统节日或有关活动等时段免费为学生准备、提供和节日、活动相符的食品等，具体情况由学校安排我单位企业落实。</w:t>
      </w:r>
    </w:p>
    <w:p w14:paraId="032F1F58">
      <w:pPr>
        <w:wordWrap w:val="0"/>
        <w:overflowPunct/>
        <w:bidi w:val="0"/>
        <w:spacing w:line="800" w:lineRule="exact"/>
        <w:ind w:firstLine="480" w:firstLineChars="200"/>
        <w:rPr>
          <w:rFonts w:hint="eastAsia"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val="en-US" w:eastAsia="zh-CN"/>
        </w:rPr>
        <w:t>2.我单位承诺中标后，根据安徽省市场监督管理局、安徽省教育厅《关于做好学校食堂食品处理区视频接入省级可视化监管应用的通知》（皖市监函〔2025〕273 号）和“互联网＋明厨亮灶”建设规范，应用先进物联设备与管理系统终端，确保在经营区域的所有出入口、操作区、服务区均安装网络摄像机监控系统并实时录像，满足招标人、政府监管部门要求及监控系统联网的终端需要，实现互联网式“明厨亮灶”，且与招标人监控系统无缝对接并按要求接入省级可视化监管平台，费用由我单位自行承担。其中，摄像头设备符合国家相关技术规范，像素不低于1080P,视频储存设备（含云储存）支持存储监控摄像设备采集所得的原始视频或图像数据进行存储，图像、音视频信息保存不得少于 60 天，单路视频上行带宽不少于 4M,摄像头视频信号必须覆盖食堂的食材采购验收、库房、初加工、烹饪、备餐（销售）、清洗消毒保洁、食品留样等重点加工操作场所，并预留拓展接口（在保持原有视频接入点的情况下作适当增加）。摄像头视频画面按“安徽省-市-县（区）-街乡-学校名称-食堂名称-楼层-加工场所具体位置”信息规范标注，并参照视频监控式“明厨亮灶”建设规范要求，利用液晶电视的方式向师生群体公开展示原料清洗、切配、烹饪、留样、餐用具清洗消毒等关键区域和重点环节。建立食材库存动态监管与优化机制，构建覆盖食品安全、生产安全、消防安全的数字化管理体系。</w:t>
      </w:r>
    </w:p>
    <w:p w14:paraId="45810A66">
      <w:pPr>
        <w:wordWrap w:val="0"/>
        <w:overflowPunct/>
        <w:bidi w:val="0"/>
        <w:spacing w:line="800" w:lineRule="exact"/>
        <w:ind w:firstLine="480" w:firstLineChars="200"/>
        <w:rPr>
          <w:rFonts w:hint="eastAsia"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val="en-US" w:eastAsia="zh-CN"/>
        </w:rPr>
        <w:t>3.我单位承诺中标后与招标人共同商定引入第三方食品安全检测单位参与食堂日常食品安全监督管理和抽检工作，所有费用由我单位承担，不推诿、拒绝，否则视为违约。餐饮具与炊具的检测每月不少于一次快检，每学期不少于一次洗涤剂残留检测和细菌培养检测，抽检品种不少于10 种/次；新鲜蔬菜的检测每月不少于一次，检测品种不少于10 种/次，每学期所有品种都必须经过检测；食堂采购的所有米、面、油、干货、调味品、禽类、肉类、蛋类等原材料的检测每年不少于1次，所有检测都必须出具正规检测报告。第三方安全检测单位监督检查每月编发监督意见书，明确存在的安全隐患与处罚意见，我单位在指定期限整改落实；检验检测不合格的，我单位承担所有有关责任。</w:t>
      </w:r>
    </w:p>
    <w:p w14:paraId="084DCDBC">
      <w:pPr>
        <w:wordWrap w:val="0"/>
        <w:overflowPunct/>
        <w:bidi w:val="0"/>
        <w:spacing w:line="800" w:lineRule="exact"/>
        <w:ind w:firstLine="480" w:firstLineChars="200"/>
        <w:rPr>
          <w:rFonts w:hint="default"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val="en-US" w:eastAsia="zh-CN"/>
        </w:rPr>
        <w:t>4.我单位</w:t>
      </w:r>
      <w:r>
        <w:rPr>
          <w:rFonts w:hint="default" w:ascii="宋体" w:hAnsi="Times New Roman" w:eastAsia="宋体" w:cs="Times New Roman"/>
          <w:color w:val="auto"/>
          <w:sz w:val="24"/>
          <w:highlight w:val="none"/>
          <w:lang w:val="en-US" w:eastAsia="zh-CN"/>
        </w:rPr>
        <w:t>承诺中标后，负责食堂范围内的环境、设备、用具食品等的卫生管理，就餐大厅、操作间、室外楼梯及食堂外围台阶内均属于</w:t>
      </w:r>
      <w:r>
        <w:rPr>
          <w:rFonts w:hint="eastAsia" w:ascii="宋体" w:hAnsi="Times New Roman" w:eastAsia="宋体" w:cs="Times New Roman"/>
          <w:color w:val="auto"/>
          <w:sz w:val="24"/>
          <w:highlight w:val="none"/>
          <w:lang w:val="en-US" w:eastAsia="zh-CN"/>
        </w:rPr>
        <w:t>我单位</w:t>
      </w:r>
      <w:r>
        <w:rPr>
          <w:rFonts w:hint="default" w:ascii="宋体" w:hAnsi="Times New Roman" w:eastAsia="宋体" w:cs="Times New Roman"/>
          <w:color w:val="auto"/>
          <w:sz w:val="24"/>
          <w:highlight w:val="none"/>
          <w:lang w:val="en-US" w:eastAsia="zh-CN"/>
        </w:rPr>
        <w:t>管理范围。食堂后厨工作间和就餐大厅要保持通风、明亮、洁净，做到桌面、地面、墙面无杂物脏物、无油污等，保证良好的卫生环境。经营过程中产生的废弃油脂、废料、纸皮等要严格按照所在地和招标人环境卫生有关管理规定处理。食堂污水排放、油烟废气排放、产生的噪声、固体废弃物排放等均应符合国家相关标准规定及招标人要求。</w:t>
      </w:r>
      <w:r>
        <w:rPr>
          <w:rFonts w:hint="eastAsia" w:ascii="宋体" w:hAnsi="Times New Roman" w:eastAsia="宋体" w:cs="Times New Roman"/>
          <w:color w:val="auto"/>
          <w:sz w:val="24"/>
          <w:highlight w:val="none"/>
          <w:lang w:val="en-US" w:eastAsia="zh-CN"/>
        </w:rPr>
        <w:t>我单位</w:t>
      </w:r>
      <w:r>
        <w:rPr>
          <w:rFonts w:hint="default" w:ascii="宋体" w:hAnsi="Times New Roman" w:eastAsia="宋体" w:cs="Times New Roman"/>
          <w:color w:val="auto"/>
          <w:sz w:val="24"/>
          <w:highlight w:val="none"/>
          <w:lang w:val="en-US" w:eastAsia="zh-CN"/>
        </w:rPr>
        <w:t>严格对照《公共机构停止使用不可降解一次性塑料制品名录(第一批)》要求，严禁违规采购和使用名录内的不可降解一次性塑料餐具（餐盒、餐勺、筷子等）、塑料水杯、塑料包装袋等违禁产品</w:t>
      </w:r>
      <w:r>
        <w:rPr>
          <w:rFonts w:hint="eastAsia" w:ascii="宋体" w:hAnsi="Times New Roman" w:eastAsia="宋体" w:cs="Times New Roman"/>
          <w:color w:val="auto"/>
          <w:sz w:val="24"/>
          <w:highlight w:val="none"/>
          <w:lang w:val="en-US" w:eastAsia="zh-CN"/>
        </w:rPr>
        <w:t>。</w:t>
      </w:r>
    </w:p>
    <w:p w14:paraId="55C27D08">
      <w:pPr>
        <w:wordWrap w:val="0"/>
        <w:overflowPunct/>
        <w:bidi w:val="0"/>
        <w:spacing w:line="800" w:lineRule="exact"/>
        <w:ind w:firstLine="480" w:firstLineChars="200"/>
        <w:rPr>
          <w:rFonts w:hint="eastAsia"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val="en-US" w:eastAsia="zh-CN"/>
        </w:rPr>
        <w:t>5.我单位承诺中标后，坚持公益性和微利经营，严格遵守前述限价销售规定，做到合理定价、价格稳定、质价相符，确保学生食堂饭菜价格明显不高于学校周边同类同质同量食品价格。</w:t>
      </w:r>
    </w:p>
    <w:p w14:paraId="2490D84E">
      <w:pPr>
        <w:wordWrap w:val="0"/>
        <w:overflowPunct/>
        <w:bidi w:val="0"/>
        <w:spacing w:line="800" w:lineRule="exact"/>
        <w:ind w:firstLine="480" w:firstLineChars="200"/>
        <w:rPr>
          <w:rFonts w:hint="eastAsia"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val="en-US" w:eastAsia="zh-CN"/>
        </w:rPr>
        <w:t>6.我单位承诺中标后，积极参加招标人组织的“面向采购”工作，按时按量完成乡村振兴采购农产品、“消费帮扶”、“832 平台”等采购任务，采购品种遴选、采购任务、采购合同签订、采购数量认定等按照招标人要求执行。在质量和价格相近时，优先采购本市脱贫地区和招标人联系帮扶县区农副产品,集中消纳滞销农副产品。如有未完成招标人下达的“消费帮扶采购”工作，对于未完成的指标量，招标人有权在年度结算时从我单位营业款中直接扣除。</w:t>
      </w:r>
    </w:p>
    <w:p w14:paraId="077208BD">
      <w:pPr>
        <w:spacing w:line="800" w:lineRule="exact"/>
        <w:ind w:firstLine="480" w:firstLineChars="200"/>
        <w:rPr>
          <w:rFonts w:hint="eastAsia" w:ascii="宋体"/>
          <w:color w:val="auto"/>
          <w:sz w:val="24"/>
          <w:highlight w:val="none"/>
        </w:rPr>
      </w:pPr>
      <w:r>
        <w:rPr>
          <w:rFonts w:hint="eastAsia" w:ascii="宋体" w:hAnsi="Times New Roman" w:eastAsia="宋体" w:cs="Times New Roman"/>
          <w:color w:val="auto"/>
          <w:sz w:val="24"/>
          <w:highlight w:val="none"/>
          <w:lang w:val="en-US" w:eastAsia="zh-CN"/>
        </w:rPr>
        <w:t>7.我单位承诺中标后，在签订合同后1个月内为本项目购买雇主责任险、财产综合险等商业保险，向招标人提供保险合同、保险发票复印件备案。经营期内，应逐年续保并提供相关证明文件向招标人备案，否则视为违约</w:t>
      </w:r>
      <w:r>
        <w:rPr>
          <w:rFonts w:hint="eastAsia" w:ascii="宋体"/>
          <w:color w:val="auto"/>
          <w:sz w:val="24"/>
          <w:highlight w:val="none"/>
        </w:rPr>
        <w:t>。</w:t>
      </w:r>
    </w:p>
    <w:p w14:paraId="25B9D7CF">
      <w:pPr>
        <w:spacing w:line="800" w:lineRule="exact"/>
        <w:ind w:firstLine="480" w:firstLineChars="200"/>
        <w:rPr>
          <w:rFonts w:hint="eastAsia" w:ascii="宋体"/>
          <w:color w:val="auto"/>
          <w:sz w:val="24"/>
          <w:highlight w:val="none"/>
        </w:rPr>
      </w:pPr>
      <w:r>
        <w:rPr>
          <w:rFonts w:hint="eastAsia" w:ascii="宋体"/>
          <w:color w:val="auto"/>
          <w:sz w:val="24"/>
          <w:highlight w:val="none"/>
        </w:rPr>
        <w:t>特此声明。</w:t>
      </w:r>
    </w:p>
    <w:p w14:paraId="76CE162A">
      <w:pPr>
        <w:spacing w:line="600" w:lineRule="exact"/>
        <w:rPr>
          <w:rFonts w:hint="eastAsia" w:ascii="宋体"/>
          <w:color w:val="auto"/>
          <w:sz w:val="24"/>
          <w:highlight w:val="none"/>
        </w:rPr>
      </w:pPr>
      <w:r>
        <w:rPr>
          <w:rFonts w:hint="eastAsia" w:ascii="宋体"/>
          <w:color w:val="auto"/>
          <w:sz w:val="24"/>
          <w:highlight w:val="none"/>
        </w:rPr>
        <w:t> </w:t>
      </w:r>
    </w:p>
    <w:p w14:paraId="390EA1E0">
      <w:pPr>
        <w:spacing w:line="480" w:lineRule="auto"/>
        <w:ind w:firstLine="3120" w:firstLineChars="1300"/>
        <w:rPr>
          <w:rFonts w:ascii="宋体" w:hAnsi="宋体"/>
          <w:color w:val="auto"/>
          <w:sz w:val="24"/>
          <w:szCs w:val="21"/>
          <w:highlight w:val="none"/>
        </w:rPr>
      </w:pPr>
      <w:r>
        <w:rPr>
          <w:rFonts w:hint="eastAsia" w:ascii="宋体" w:hAnsi="宋体"/>
          <w:color w:val="auto"/>
          <w:sz w:val="24"/>
          <w:szCs w:val="21"/>
          <w:highlight w:val="none"/>
        </w:rPr>
        <w:t>投标人名称：</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（签章）</w:t>
      </w:r>
    </w:p>
    <w:p w14:paraId="0C4BFDA1">
      <w:pPr>
        <w:spacing w:line="480" w:lineRule="auto"/>
        <w:ind w:firstLine="3120" w:firstLineChars="1300"/>
        <w:rPr>
          <w:rFonts w:ascii="宋体" w:hAnsi="宋体"/>
          <w:color w:val="auto"/>
          <w:sz w:val="24"/>
          <w:szCs w:val="21"/>
          <w:highlight w:val="none"/>
        </w:rPr>
      </w:pPr>
      <w:r>
        <w:rPr>
          <w:rFonts w:hint="eastAsia" w:ascii="宋体" w:hAnsi="宋体"/>
          <w:color w:val="auto"/>
          <w:sz w:val="24"/>
          <w:szCs w:val="21"/>
          <w:highlight w:val="none"/>
        </w:rPr>
        <w:t>法定代表人：</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(签章)</w:t>
      </w:r>
    </w:p>
    <w:p w14:paraId="4901C516">
      <w:pPr>
        <w:spacing w:line="480" w:lineRule="auto"/>
        <w:jc w:val="right"/>
        <w:rPr>
          <w:rFonts w:hint="eastAsia"/>
          <w:b/>
          <w:color w:val="auto"/>
          <w:sz w:val="36"/>
          <w:szCs w:val="28"/>
          <w:highlight w:val="none"/>
        </w:rPr>
      </w:pPr>
      <w:r>
        <w:rPr>
          <w:rFonts w:hint="eastAsia" w:ascii="宋体" w:hAnsi="宋体"/>
          <w:color w:val="auto"/>
          <w:sz w:val="24"/>
          <w:szCs w:val="21"/>
          <w:highlight w:val="none"/>
        </w:rPr>
        <w:t xml:space="preserve">                                  日    期：</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年</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月</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日</w:t>
      </w:r>
    </w:p>
    <w:p w14:paraId="4E780A01">
      <w:pPr>
        <w:spacing w:line="400" w:lineRule="exact"/>
        <w:ind w:firstLine="562" w:firstLineChars="200"/>
        <w:rPr>
          <w:rFonts w:hint="eastAsia"/>
          <w:b/>
          <w:color w:val="auto"/>
          <w:sz w:val="28"/>
          <w:szCs w:val="28"/>
          <w:highlight w:val="none"/>
        </w:rPr>
      </w:pPr>
    </w:p>
    <w:p w14:paraId="33CFA770">
      <w:pPr>
        <w:spacing w:line="400" w:lineRule="exact"/>
        <w:ind w:firstLine="562" w:firstLineChars="200"/>
        <w:rPr>
          <w:rFonts w:hint="eastAsia"/>
          <w:b/>
          <w:color w:val="auto"/>
          <w:sz w:val="28"/>
          <w:szCs w:val="28"/>
          <w:highlight w:val="none"/>
        </w:rPr>
      </w:pPr>
    </w:p>
    <w:p w14:paraId="043B8DEE">
      <w:pPr>
        <w:spacing w:line="400" w:lineRule="exact"/>
        <w:ind w:firstLine="562" w:firstLineChars="200"/>
        <w:rPr>
          <w:rFonts w:hint="eastAsia"/>
          <w:b/>
          <w:color w:val="auto"/>
          <w:sz w:val="28"/>
          <w:szCs w:val="28"/>
          <w:highlight w:val="none"/>
        </w:rPr>
      </w:pPr>
    </w:p>
    <w:p w14:paraId="6682B734">
      <w:pPr>
        <w:spacing w:line="400" w:lineRule="exact"/>
        <w:ind w:firstLine="562" w:firstLineChars="200"/>
        <w:rPr>
          <w:rFonts w:hint="eastAsia"/>
          <w:b/>
          <w:color w:val="auto"/>
          <w:sz w:val="28"/>
          <w:szCs w:val="28"/>
          <w:highlight w:val="none"/>
        </w:rPr>
      </w:pPr>
    </w:p>
    <w:p w14:paraId="73C9AEA2">
      <w:pPr>
        <w:spacing w:line="400" w:lineRule="exact"/>
        <w:ind w:firstLine="562" w:firstLineChars="200"/>
        <w:rPr>
          <w:b/>
          <w:color w:val="auto"/>
          <w:sz w:val="28"/>
          <w:szCs w:val="28"/>
          <w:highlight w:val="none"/>
        </w:rPr>
      </w:pPr>
    </w:p>
    <w:p w14:paraId="46869DB5">
      <w:pPr>
        <w:spacing w:line="400" w:lineRule="exact"/>
        <w:ind w:firstLine="562" w:firstLineChars="200"/>
        <w:rPr>
          <w:b/>
          <w:color w:val="auto"/>
          <w:sz w:val="28"/>
          <w:szCs w:val="28"/>
          <w:highlight w:val="none"/>
        </w:rPr>
      </w:pPr>
    </w:p>
    <w:p w14:paraId="7D1101A1">
      <w:pPr>
        <w:spacing w:line="400" w:lineRule="exact"/>
        <w:ind w:firstLine="562" w:firstLineChars="200"/>
        <w:rPr>
          <w:b/>
          <w:color w:val="auto"/>
          <w:sz w:val="28"/>
          <w:szCs w:val="28"/>
          <w:highlight w:val="none"/>
        </w:rPr>
      </w:pPr>
    </w:p>
    <w:p w14:paraId="3F4F924C">
      <w:pPr>
        <w:spacing w:line="400" w:lineRule="exact"/>
        <w:ind w:firstLine="562" w:firstLineChars="200"/>
        <w:rPr>
          <w:rFonts w:hint="eastAsia"/>
          <w:b/>
          <w:color w:val="auto"/>
          <w:sz w:val="28"/>
          <w:szCs w:val="28"/>
          <w:highlight w:val="none"/>
        </w:rPr>
      </w:pPr>
    </w:p>
    <w:p w14:paraId="539DEBEC">
      <w:pPr>
        <w:spacing w:line="400" w:lineRule="exact"/>
        <w:rPr>
          <w:b/>
          <w:color w:val="auto"/>
          <w:sz w:val="28"/>
          <w:szCs w:val="28"/>
          <w:highlight w:val="none"/>
        </w:rPr>
        <w:sectPr>
          <w:pgSz w:w="11906" w:h="16838"/>
          <w:pgMar w:top="1440" w:right="1417" w:bottom="1417" w:left="1417" w:header="851" w:footer="992" w:gutter="0"/>
          <w:pgBorders>
            <w:top w:val="none" w:sz="0" w:space="0"/>
            <w:left w:val="none" w:sz="0" w:space="0"/>
            <w:bottom w:val="none" w:sz="0" w:space="0"/>
            <w:right w:val="none" w:sz="0" w:space="0"/>
          </w:pgBorders>
          <w:pgNumType w:fmt="numberInDash"/>
          <w:cols w:space="720" w:num="1"/>
          <w:docGrid w:type="lines" w:linePitch="312" w:charSpace="0"/>
        </w:sectPr>
      </w:pPr>
    </w:p>
    <w:bookmarkEnd w:id="149"/>
    <w:bookmarkEnd w:id="150"/>
    <w:p w14:paraId="3B078FDE">
      <w:pPr>
        <w:wordWrap w:val="0"/>
        <w:spacing w:before="100" w:beforeAutospacing="1" w:after="100" w:afterAutospacing="1"/>
        <w:jc w:val="center"/>
        <w:rPr>
          <w:rFonts w:hint="eastAsia" w:ascii="宋体" w:hAnsi="宋体"/>
          <w:b/>
          <w:color w:val="auto"/>
          <w:sz w:val="28"/>
          <w:szCs w:val="28"/>
          <w:highlight w:val="none"/>
          <w:bdr w:val="single" w:color="auto" w:sz="4" w:space="0"/>
        </w:rPr>
      </w:pPr>
      <w:r>
        <w:rPr>
          <w:rFonts w:hint="eastAsia" w:ascii="宋体" w:hAnsi="宋体"/>
          <w:b/>
          <w:color w:val="auto"/>
          <w:sz w:val="28"/>
          <w:szCs w:val="28"/>
          <w:highlight w:val="none"/>
        </w:rPr>
        <w:t>二、技术标格式文件</w:t>
      </w:r>
    </w:p>
    <w:p w14:paraId="6C755920">
      <w:pPr>
        <w:jc w:val="center"/>
        <w:rPr>
          <w:rFonts w:hint="eastAsia" w:ascii="宋体"/>
          <w:b/>
          <w:color w:val="auto"/>
          <w:sz w:val="44"/>
          <w:szCs w:val="44"/>
          <w:highlight w:val="none"/>
        </w:rPr>
      </w:pPr>
      <w:bookmarkStart w:id="151" w:name="_Toc449028953"/>
      <w:bookmarkStart w:id="152" w:name="_Toc387149626"/>
    </w:p>
    <w:p w14:paraId="0AF134A0">
      <w:pPr>
        <w:jc w:val="center"/>
        <w:rPr>
          <w:rFonts w:hint="eastAsia" w:ascii="宋体"/>
          <w:b/>
          <w:color w:val="auto"/>
          <w:sz w:val="44"/>
          <w:szCs w:val="44"/>
          <w:highlight w:val="none"/>
        </w:rPr>
      </w:pPr>
      <w:r>
        <w:rPr>
          <w:rFonts w:hint="eastAsia" w:ascii="宋体"/>
          <w:b/>
          <w:color w:val="auto"/>
          <w:sz w:val="44"/>
          <w:szCs w:val="44"/>
          <w:highlight w:val="none"/>
        </w:rPr>
        <w:t>技术标</w:t>
      </w:r>
      <w:bookmarkEnd w:id="151"/>
      <w:bookmarkEnd w:id="152"/>
    </w:p>
    <w:p w14:paraId="3485B9E9">
      <w:pPr>
        <w:jc w:val="center"/>
        <w:rPr>
          <w:rFonts w:hint="eastAsia" w:ascii="宋体"/>
          <w:color w:val="auto"/>
          <w:sz w:val="32"/>
          <w:szCs w:val="32"/>
          <w:highlight w:val="none"/>
        </w:rPr>
      </w:pPr>
      <w:r>
        <w:rPr>
          <w:rFonts w:hint="eastAsia" w:ascii="宋体"/>
          <w:color w:val="auto"/>
          <w:sz w:val="32"/>
          <w:szCs w:val="32"/>
          <w:highlight w:val="none"/>
        </w:rPr>
        <w:t>（投标文件二）</w:t>
      </w:r>
    </w:p>
    <w:p w14:paraId="2312DC37">
      <w:pPr>
        <w:jc w:val="center"/>
        <w:rPr>
          <w:rFonts w:hint="eastAsia" w:eastAsia="黑体"/>
          <w:color w:val="auto"/>
          <w:sz w:val="44"/>
          <w:szCs w:val="44"/>
          <w:highlight w:val="none"/>
        </w:rPr>
      </w:pPr>
    </w:p>
    <w:p w14:paraId="75DAEA3F">
      <w:pPr>
        <w:jc w:val="center"/>
        <w:rPr>
          <w:rFonts w:hint="eastAsia" w:ascii="宋体"/>
          <w:color w:val="auto"/>
          <w:sz w:val="32"/>
          <w:szCs w:val="32"/>
          <w:highlight w:val="none"/>
        </w:rPr>
      </w:pPr>
      <w:r>
        <w:rPr>
          <w:rFonts w:hint="eastAsia" w:ascii="宋体"/>
          <w:color w:val="auto"/>
          <w:sz w:val="32"/>
          <w:szCs w:val="32"/>
          <w:highlight w:val="none"/>
          <w:u w:val="single"/>
        </w:rPr>
        <w:t xml:space="preserve">        </w:t>
      </w:r>
      <w:r>
        <w:rPr>
          <w:rFonts w:hint="eastAsia" w:ascii="宋体"/>
          <w:color w:val="auto"/>
          <w:sz w:val="32"/>
          <w:szCs w:val="32"/>
          <w:highlight w:val="none"/>
        </w:rPr>
        <w:t>项目</w:t>
      </w:r>
    </w:p>
    <w:p w14:paraId="38F00116">
      <w:pPr>
        <w:jc w:val="center"/>
        <w:rPr>
          <w:rFonts w:hint="eastAsia" w:ascii="宋体"/>
          <w:color w:val="auto"/>
          <w:sz w:val="28"/>
          <w:szCs w:val="28"/>
          <w:highlight w:val="none"/>
          <w:u w:val="single"/>
        </w:rPr>
      </w:pPr>
      <w:r>
        <w:rPr>
          <w:rFonts w:hint="eastAsia" w:ascii="宋体"/>
          <w:color w:val="auto"/>
          <w:sz w:val="28"/>
          <w:szCs w:val="28"/>
          <w:highlight w:val="none"/>
        </w:rPr>
        <w:t>项目编号：</w:t>
      </w:r>
      <w:r>
        <w:rPr>
          <w:rFonts w:hint="eastAsia" w:ascii="宋体"/>
          <w:color w:val="auto"/>
          <w:sz w:val="28"/>
          <w:szCs w:val="28"/>
          <w:highlight w:val="none"/>
          <w:u w:val="single"/>
        </w:rPr>
        <w:t xml:space="preserve">      </w:t>
      </w:r>
    </w:p>
    <w:p w14:paraId="56289E27">
      <w:pPr>
        <w:jc w:val="center"/>
        <w:rPr>
          <w:rFonts w:hint="eastAsia" w:ascii="宋体"/>
          <w:color w:val="auto"/>
          <w:sz w:val="28"/>
          <w:szCs w:val="28"/>
          <w:highlight w:val="none"/>
          <w:u w:val="single"/>
        </w:rPr>
      </w:pPr>
    </w:p>
    <w:p w14:paraId="57864ED0">
      <w:pPr>
        <w:jc w:val="center"/>
        <w:rPr>
          <w:rFonts w:hint="eastAsia" w:ascii="宋体"/>
          <w:color w:val="auto"/>
          <w:sz w:val="28"/>
          <w:szCs w:val="28"/>
          <w:highlight w:val="none"/>
          <w:u w:val="single"/>
        </w:rPr>
      </w:pPr>
    </w:p>
    <w:p w14:paraId="13C9D5B8">
      <w:pPr>
        <w:jc w:val="center"/>
        <w:rPr>
          <w:rFonts w:hint="eastAsia" w:ascii="宋体"/>
          <w:color w:val="auto"/>
          <w:sz w:val="28"/>
          <w:szCs w:val="28"/>
          <w:highlight w:val="none"/>
          <w:u w:val="single"/>
        </w:rPr>
      </w:pPr>
    </w:p>
    <w:p w14:paraId="18949579">
      <w:pPr>
        <w:jc w:val="center"/>
        <w:rPr>
          <w:rFonts w:hint="eastAsia" w:ascii="宋体"/>
          <w:color w:val="auto"/>
          <w:sz w:val="28"/>
          <w:szCs w:val="28"/>
          <w:highlight w:val="none"/>
          <w:u w:val="single"/>
        </w:rPr>
      </w:pPr>
    </w:p>
    <w:p w14:paraId="4788F705">
      <w:pPr>
        <w:jc w:val="center"/>
        <w:rPr>
          <w:rFonts w:hint="eastAsia" w:ascii="宋体"/>
          <w:color w:val="auto"/>
          <w:sz w:val="28"/>
          <w:szCs w:val="28"/>
          <w:highlight w:val="none"/>
          <w:u w:val="single"/>
        </w:rPr>
      </w:pPr>
    </w:p>
    <w:p w14:paraId="2D7DB135">
      <w:pPr>
        <w:jc w:val="center"/>
        <w:rPr>
          <w:rFonts w:hint="eastAsia" w:ascii="宋体"/>
          <w:color w:val="auto"/>
          <w:sz w:val="28"/>
          <w:szCs w:val="28"/>
          <w:highlight w:val="none"/>
          <w:u w:val="single"/>
        </w:rPr>
      </w:pPr>
    </w:p>
    <w:p w14:paraId="72E2705F">
      <w:pPr>
        <w:jc w:val="center"/>
        <w:rPr>
          <w:rFonts w:hint="eastAsia" w:ascii="宋体"/>
          <w:color w:val="auto"/>
          <w:sz w:val="28"/>
          <w:szCs w:val="28"/>
          <w:highlight w:val="none"/>
          <w:u w:val="single"/>
        </w:rPr>
      </w:pPr>
    </w:p>
    <w:p w14:paraId="4F54E126">
      <w:pPr>
        <w:jc w:val="center"/>
        <w:rPr>
          <w:rFonts w:hint="eastAsia" w:ascii="宋体"/>
          <w:color w:val="auto"/>
          <w:sz w:val="28"/>
          <w:szCs w:val="28"/>
          <w:highlight w:val="none"/>
          <w:u w:val="single"/>
        </w:rPr>
      </w:pPr>
    </w:p>
    <w:p w14:paraId="425DCFF4">
      <w:pPr>
        <w:jc w:val="center"/>
        <w:rPr>
          <w:rFonts w:hint="eastAsia" w:ascii="宋体"/>
          <w:color w:val="auto"/>
          <w:sz w:val="28"/>
          <w:szCs w:val="28"/>
          <w:highlight w:val="none"/>
          <w:u w:val="single"/>
        </w:rPr>
      </w:pPr>
    </w:p>
    <w:p w14:paraId="01718BD2">
      <w:pPr>
        <w:spacing w:line="400" w:lineRule="exact"/>
        <w:ind w:firstLine="420" w:firstLineChars="200"/>
        <w:rPr>
          <w:rFonts w:hint="eastAsia" w:ascii="宋体" w:hAnsi="宋体" w:cs="宋体"/>
          <w:bCs/>
          <w:color w:val="auto"/>
          <w:szCs w:val="21"/>
          <w:highlight w:val="none"/>
        </w:rPr>
      </w:pPr>
    </w:p>
    <w:p w14:paraId="15362021">
      <w:pPr>
        <w:spacing w:line="400" w:lineRule="exact"/>
        <w:ind w:firstLine="420" w:firstLineChars="200"/>
        <w:rPr>
          <w:rFonts w:hint="eastAsia" w:ascii="宋体" w:hAnsi="宋体" w:cs="宋体"/>
          <w:bCs/>
          <w:color w:val="auto"/>
          <w:szCs w:val="21"/>
          <w:highlight w:val="none"/>
        </w:rPr>
      </w:pPr>
    </w:p>
    <w:p w14:paraId="583B5D16">
      <w:pPr>
        <w:spacing w:line="400" w:lineRule="exact"/>
        <w:ind w:firstLine="420" w:firstLineChars="200"/>
        <w:rPr>
          <w:rFonts w:hint="eastAsia" w:ascii="宋体" w:hAnsi="宋体" w:cs="宋体"/>
          <w:bCs/>
          <w:color w:val="auto"/>
          <w:szCs w:val="21"/>
          <w:highlight w:val="none"/>
        </w:rPr>
      </w:pPr>
    </w:p>
    <w:p w14:paraId="2FAB156C">
      <w:pPr>
        <w:spacing w:line="400" w:lineRule="exact"/>
        <w:ind w:firstLine="422" w:firstLineChars="200"/>
        <w:rPr>
          <w:rFonts w:hint="eastAsia" w:ascii="宋体" w:hAnsi="宋体" w:cs="宋体"/>
          <w:bCs/>
          <w:color w:val="auto"/>
          <w:szCs w:val="21"/>
          <w:highlight w:val="none"/>
        </w:rPr>
      </w:pPr>
      <w:r>
        <w:rPr>
          <w:rFonts w:hint="eastAsia" w:ascii="宋体" w:hAnsi="宋体" w:cs="宋体"/>
          <w:b/>
          <w:color w:val="auto"/>
          <w:szCs w:val="21"/>
          <w:highlight w:val="none"/>
        </w:rPr>
        <w:t>注：本项目技术标为暗标横向评审，暗标横向评审技术标不设目录，评审前系统自动对所有投标人的技术标及各评分点分别进行编号；投标企业制作的技术标部分不得出现可能泄露投标人单位及个人信息的文字、图片、图表（技术标部分不得签章）等有关表述，否则该评分点作零分处理。</w:t>
      </w:r>
    </w:p>
    <w:p w14:paraId="25B02A09">
      <w:pPr>
        <w:spacing w:line="480" w:lineRule="auto"/>
        <w:jc w:val="right"/>
        <w:rPr>
          <w:rFonts w:hint="eastAsia"/>
          <w:b/>
          <w:color w:val="auto"/>
          <w:sz w:val="36"/>
          <w:szCs w:val="28"/>
          <w:highlight w:val="none"/>
        </w:rPr>
      </w:pPr>
    </w:p>
    <w:p w14:paraId="33EA691A">
      <w:pPr>
        <w:spacing w:line="300" w:lineRule="exact"/>
        <w:rPr>
          <w:rFonts w:hint="eastAsia" w:ascii="宋体"/>
          <w:color w:val="auto"/>
          <w:sz w:val="24"/>
          <w:highlight w:val="none"/>
          <w:u w:val="single"/>
        </w:rPr>
      </w:pPr>
    </w:p>
    <w:p w14:paraId="040862B3">
      <w:pPr>
        <w:spacing w:line="440" w:lineRule="exact"/>
        <w:jc w:val="center"/>
        <w:outlineLvl w:val="0"/>
        <w:rPr>
          <w:rFonts w:hint="eastAsia" w:ascii="宋体"/>
          <w:b/>
          <w:color w:val="auto"/>
          <w:sz w:val="32"/>
          <w:szCs w:val="32"/>
          <w:highlight w:val="none"/>
        </w:rPr>
      </w:pPr>
      <w:bookmarkStart w:id="153" w:name="_Toc24555"/>
      <w:bookmarkStart w:id="154" w:name="_Toc8946"/>
      <w:bookmarkStart w:id="155" w:name="_Toc58430333"/>
      <w:bookmarkStart w:id="156" w:name="_Toc449028957"/>
      <w:bookmarkStart w:id="157" w:name="_Toc12162"/>
      <w:r>
        <w:rPr>
          <w:rFonts w:hint="eastAsia" w:ascii="宋体"/>
          <w:b/>
          <w:color w:val="auto"/>
          <w:sz w:val="32"/>
          <w:szCs w:val="32"/>
          <w:highlight w:val="none"/>
        </w:rPr>
        <w:t>招标人、代理机构对本招标文件的确认</w:t>
      </w:r>
      <w:bookmarkEnd w:id="153"/>
      <w:bookmarkEnd w:id="154"/>
      <w:bookmarkEnd w:id="155"/>
      <w:bookmarkEnd w:id="156"/>
      <w:bookmarkEnd w:id="157"/>
    </w:p>
    <w:p w14:paraId="07F746B8">
      <w:pPr>
        <w:spacing w:line="440" w:lineRule="exact"/>
        <w:rPr>
          <w:rFonts w:hint="eastAsia" w:ascii="宋体"/>
          <w:color w:val="auto"/>
          <w:sz w:val="24"/>
          <w:highlight w:val="none"/>
          <w:u w:val="single"/>
        </w:rPr>
      </w:pPr>
    </w:p>
    <w:bookmarkEnd w:id="0"/>
    <w:tbl>
      <w:tblPr>
        <w:tblStyle w:val="36"/>
        <w:tblW w:w="0" w:type="auto"/>
        <w:jc w:val="center"/>
        <w:tblLayout w:type="fixed"/>
        <w:tblCellMar>
          <w:top w:w="0" w:type="dxa"/>
          <w:left w:w="108" w:type="dxa"/>
          <w:bottom w:w="0" w:type="dxa"/>
          <w:right w:w="108" w:type="dxa"/>
        </w:tblCellMar>
      </w:tblPr>
      <w:tblGrid>
        <w:gridCol w:w="9374"/>
      </w:tblGrid>
      <w:tr w14:paraId="00021139">
        <w:tblPrEx>
          <w:tblCellMar>
            <w:top w:w="0" w:type="dxa"/>
            <w:left w:w="108" w:type="dxa"/>
            <w:bottom w:w="0" w:type="dxa"/>
            <w:right w:w="108" w:type="dxa"/>
          </w:tblCellMar>
        </w:tblPrEx>
        <w:trPr>
          <w:trHeight w:val="6049" w:hRule="atLeast"/>
          <w:jc w:val="center"/>
        </w:trPr>
        <w:tc>
          <w:tcPr>
            <w:tcW w:w="9374" w:type="dxa"/>
            <w:tcBorders>
              <w:top w:val="single" w:color="auto" w:sz="4" w:space="0"/>
              <w:left w:val="single" w:color="auto" w:sz="4" w:space="0"/>
              <w:bottom w:val="single" w:color="auto" w:sz="4" w:space="0"/>
              <w:right w:val="single" w:color="auto" w:sz="4" w:space="0"/>
            </w:tcBorders>
            <w:noWrap w:val="0"/>
            <w:vAlign w:val="top"/>
          </w:tcPr>
          <w:p w14:paraId="5D32D8CD">
            <w:pPr>
              <w:keepNext w:val="0"/>
              <w:keepLines w:val="0"/>
              <w:suppressLineNumbers w:val="0"/>
              <w:spacing w:before="0" w:beforeAutospacing="0" w:after="0" w:afterAutospacing="0" w:line="440" w:lineRule="exact"/>
              <w:ind w:left="0" w:right="0" w:firstLine="560" w:firstLineChars="200"/>
              <w:rPr>
                <w:rFonts w:hint="eastAsia" w:ascii="宋体" w:hAnsi="Times New Roman" w:cs="宋体"/>
                <w:color w:val="auto"/>
                <w:sz w:val="28"/>
                <w:szCs w:val="28"/>
                <w:highlight w:val="none"/>
              </w:rPr>
            </w:pPr>
          </w:p>
          <w:p w14:paraId="341C2E18">
            <w:pPr>
              <w:keepNext w:val="0"/>
              <w:keepLines w:val="0"/>
              <w:suppressLineNumbers w:val="0"/>
              <w:spacing w:before="0" w:beforeAutospacing="0" w:after="0" w:afterAutospacing="0" w:line="540" w:lineRule="exact"/>
              <w:ind w:left="0" w:right="0" w:firstLine="560" w:firstLineChars="200"/>
              <w:rPr>
                <w:rFonts w:hint="eastAsia" w:ascii="宋体" w:hAnsi="Times New Roman" w:cs="宋体"/>
                <w:color w:val="auto"/>
                <w:sz w:val="28"/>
                <w:szCs w:val="28"/>
                <w:highlight w:val="none"/>
              </w:rPr>
            </w:pPr>
            <w:r>
              <w:rPr>
                <w:rFonts w:hint="eastAsia" w:ascii="宋体" w:hAnsi="Times New Roman" w:cs="宋体"/>
                <w:color w:val="auto"/>
                <w:sz w:val="28"/>
                <w:szCs w:val="28"/>
                <w:highlight w:val="none"/>
              </w:rPr>
              <w:t>我单位对</w:t>
            </w:r>
            <w:r>
              <w:rPr>
                <w:rFonts w:hint="eastAsia" w:ascii="宋体" w:hAnsi="Times New Roman" w:cs="宋体"/>
                <w:color w:val="auto"/>
                <w:sz w:val="28"/>
                <w:szCs w:val="28"/>
                <w:highlight w:val="none"/>
                <w:u w:val="single"/>
              </w:rPr>
              <w:t xml:space="preserve"> 滁州市实验中学</w:t>
            </w:r>
            <w:r>
              <w:rPr>
                <w:rFonts w:hint="eastAsia" w:ascii="宋体" w:hAnsi="Times New Roman" w:cs="宋体"/>
                <w:color w:val="auto"/>
                <w:sz w:val="28"/>
                <w:szCs w:val="28"/>
                <w:highlight w:val="none"/>
                <w:u w:val="single"/>
                <w:lang w:val="en-US" w:eastAsia="zh-CN"/>
              </w:rPr>
              <w:t>2026-2029年度</w:t>
            </w:r>
            <w:r>
              <w:rPr>
                <w:rFonts w:hint="eastAsia" w:ascii="宋体" w:hAnsi="Times New Roman" w:cs="宋体"/>
                <w:color w:val="auto"/>
                <w:sz w:val="28"/>
                <w:szCs w:val="28"/>
                <w:highlight w:val="none"/>
                <w:u w:val="single"/>
              </w:rPr>
              <w:t>食堂承包经营权服务项目</w:t>
            </w:r>
            <w:r>
              <w:rPr>
                <w:rFonts w:hint="eastAsia" w:ascii="宋体" w:hAnsi="Times New Roman" w:cs="宋体"/>
                <w:color w:val="auto"/>
                <w:sz w:val="28"/>
                <w:szCs w:val="28"/>
                <w:highlight w:val="none"/>
                <w:u w:val="single"/>
                <w:lang w:eastAsia="zh-CN"/>
              </w:rPr>
              <w:t xml:space="preserve"> </w:t>
            </w:r>
            <w:r>
              <w:rPr>
                <w:rFonts w:hint="eastAsia" w:ascii="宋体" w:hAnsi="Times New Roman" w:cs="宋体"/>
                <w:color w:val="auto"/>
                <w:sz w:val="28"/>
                <w:szCs w:val="28"/>
                <w:highlight w:val="none"/>
                <w:u w:val="single"/>
              </w:rPr>
              <w:t xml:space="preserve"> </w:t>
            </w:r>
            <w:r>
              <w:rPr>
                <w:rFonts w:hint="eastAsia" w:ascii="宋体" w:hAnsi="Times New Roman" w:cs="宋体"/>
                <w:color w:val="auto"/>
                <w:sz w:val="28"/>
                <w:szCs w:val="28"/>
                <w:highlight w:val="none"/>
              </w:rPr>
              <w:t>的招标文件进行确认。</w:t>
            </w:r>
          </w:p>
          <w:p w14:paraId="14C5D690">
            <w:pPr>
              <w:keepNext w:val="0"/>
              <w:keepLines w:val="0"/>
              <w:suppressLineNumbers w:val="0"/>
              <w:spacing w:before="0" w:beforeAutospacing="0" w:after="0" w:afterAutospacing="0" w:line="540" w:lineRule="exact"/>
              <w:ind w:left="0" w:right="0" w:firstLine="560" w:firstLineChars="200"/>
              <w:rPr>
                <w:rFonts w:hint="default" w:ascii="宋体" w:hAnsi="Times New Roman" w:eastAsia="宋体" w:cs="宋体"/>
                <w:color w:val="auto"/>
                <w:sz w:val="28"/>
                <w:szCs w:val="28"/>
                <w:highlight w:val="none"/>
                <w:lang w:val="en-US" w:eastAsia="zh-CN"/>
              </w:rPr>
            </w:pPr>
            <w:r>
              <w:rPr>
                <w:rFonts w:hint="eastAsia" w:ascii="宋体" w:hAnsi="Times New Roman" w:cs="宋体"/>
                <w:color w:val="auto"/>
                <w:sz w:val="28"/>
                <w:szCs w:val="28"/>
                <w:highlight w:val="none"/>
              </w:rPr>
              <w:t>招标人：</w:t>
            </w:r>
            <w:r>
              <w:rPr>
                <w:rFonts w:hint="eastAsia" w:ascii="宋体" w:hAnsi="Times New Roman" w:cs="宋体"/>
                <w:color w:val="auto"/>
                <w:sz w:val="28"/>
                <w:szCs w:val="28"/>
                <w:highlight w:val="none"/>
                <w:lang w:val="en-US" w:eastAsia="zh-CN"/>
              </w:rPr>
              <w:t>滁州市实验中学</w:t>
            </w:r>
          </w:p>
          <w:p w14:paraId="4AD0126F">
            <w:pPr>
              <w:keepNext w:val="0"/>
              <w:keepLines w:val="0"/>
              <w:suppressLineNumbers w:val="0"/>
              <w:spacing w:before="0" w:beforeAutospacing="0" w:after="0" w:afterAutospacing="0" w:line="540" w:lineRule="exact"/>
              <w:ind w:left="0" w:right="0" w:firstLine="560" w:firstLineChars="200"/>
              <w:rPr>
                <w:rFonts w:hint="eastAsia" w:ascii="宋体" w:hAnsi="Times New Roman" w:eastAsia="宋体" w:cs="宋体"/>
                <w:color w:val="auto"/>
                <w:sz w:val="28"/>
                <w:szCs w:val="28"/>
                <w:highlight w:val="none"/>
                <w:lang w:eastAsia="zh-CN"/>
              </w:rPr>
            </w:pPr>
            <w:r>
              <w:rPr>
                <w:rFonts w:hint="eastAsia" w:ascii="宋体" w:hAnsi="Times New Roman" w:cs="宋体"/>
                <w:color w:val="auto"/>
                <w:sz w:val="28"/>
                <w:szCs w:val="28"/>
                <w:highlight w:val="none"/>
              </w:rPr>
              <w:t>联系人：</w:t>
            </w:r>
            <w:r>
              <w:rPr>
                <w:rFonts w:hint="eastAsia" w:ascii="宋体" w:hAnsi="Times New Roman" w:cs="宋体"/>
                <w:color w:val="auto"/>
                <w:sz w:val="28"/>
                <w:szCs w:val="28"/>
                <w:highlight w:val="none"/>
                <w:lang w:val="en-US" w:eastAsia="zh-CN"/>
              </w:rPr>
              <w:t xml:space="preserve">徐老师 </w:t>
            </w:r>
          </w:p>
          <w:p w14:paraId="3A12F6D4">
            <w:pPr>
              <w:keepNext w:val="0"/>
              <w:keepLines w:val="0"/>
              <w:suppressLineNumbers w:val="0"/>
              <w:spacing w:before="0" w:beforeAutospacing="0" w:after="0" w:afterAutospacing="0" w:line="540" w:lineRule="exact"/>
              <w:ind w:left="0" w:right="0" w:firstLine="560" w:firstLineChars="200"/>
              <w:rPr>
                <w:rFonts w:hint="default" w:ascii="宋体" w:hAnsi="Times New Roman" w:cs="宋体"/>
                <w:color w:val="auto"/>
                <w:sz w:val="28"/>
                <w:szCs w:val="28"/>
                <w:highlight w:val="none"/>
              </w:rPr>
            </w:pPr>
            <w:r>
              <w:rPr>
                <w:rFonts w:hint="eastAsia" w:ascii="宋体" w:hAnsi="Times New Roman" w:cs="宋体"/>
                <w:color w:val="auto"/>
                <w:sz w:val="28"/>
                <w:szCs w:val="28"/>
                <w:highlight w:val="none"/>
              </w:rPr>
              <w:t>联系电话：</w:t>
            </w:r>
            <w:r>
              <w:rPr>
                <w:rFonts w:hint="eastAsia" w:ascii="宋体" w:hAnsi="Times New Roman" w:cs="宋体"/>
                <w:color w:val="auto"/>
                <w:sz w:val="28"/>
                <w:szCs w:val="28"/>
                <w:highlight w:val="none"/>
                <w:lang w:val="en-US" w:eastAsia="zh-CN"/>
              </w:rPr>
              <w:t xml:space="preserve">0550-3513055 </w:t>
            </w:r>
            <w:r>
              <w:rPr>
                <w:rFonts w:hint="eastAsia" w:ascii="宋体" w:hAnsi="Times New Roman" w:cs="宋体"/>
                <w:color w:val="auto"/>
                <w:sz w:val="28"/>
                <w:szCs w:val="28"/>
                <w:highlight w:val="none"/>
              </w:rPr>
              <w:t xml:space="preserve"> </w:t>
            </w:r>
          </w:p>
          <w:p w14:paraId="7B37D88E">
            <w:pPr>
              <w:keepNext w:val="0"/>
              <w:keepLines w:val="0"/>
              <w:suppressLineNumbers w:val="0"/>
              <w:spacing w:before="0" w:beforeAutospacing="0" w:after="0" w:afterAutospacing="0" w:line="540" w:lineRule="exact"/>
              <w:ind w:left="0" w:right="0" w:firstLine="7140" w:firstLineChars="2550"/>
              <w:rPr>
                <w:rFonts w:hint="eastAsia" w:ascii="宋体" w:hAnsi="Times New Roman" w:cs="宋体"/>
                <w:color w:val="auto"/>
                <w:sz w:val="28"/>
                <w:szCs w:val="28"/>
                <w:highlight w:val="none"/>
              </w:rPr>
            </w:pPr>
          </w:p>
          <w:p w14:paraId="43B47CDC">
            <w:pPr>
              <w:keepNext w:val="0"/>
              <w:keepLines w:val="0"/>
              <w:suppressLineNumbers w:val="0"/>
              <w:spacing w:before="0" w:beforeAutospacing="0" w:after="0" w:afterAutospacing="0" w:line="540" w:lineRule="exact"/>
              <w:ind w:left="0" w:right="0" w:firstLine="7140" w:firstLineChars="2550"/>
              <w:rPr>
                <w:rFonts w:hint="eastAsia" w:ascii="宋体" w:hAnsi="Times New Roman" w:cs="宋体"/>
                <w:color w:val="auto"/>
                <w:sz w:val="28"/>
                <w:szCs w:val="28"/>
                <w:highlight w:val="none"/>
              </w:rPr>
            </w:pPr>
          </w:p>
          <w:p w14:paraId="3E40C334">
            <w:pPr>
              <w:keepNext w:val="0"/>
              <w:keepLines w:val="0"/>
              <w:suppressLineNumbers w:val="0"/>
              <w:spacing w:before="0" w:beforeAutospacing="0" w:after="0" w:afterAutospacing="0" w:line="540" w:lineRule="exact"/>
              <w:ind w:left="0" w:right="0" w:firstLine="7000" w:firstLineChars="2500"/>
              <w:rPr>
                <w:rFonts w:hint="eastAsia" w:ascii="宋体" w:hAnsi="Times New Roman" w:cs="宋体"/>
                <w:color w:val="auto"/>
                <w:sz w:val="28"/>
                <w:szCs w:val="28"/>
                <w:highlight w:val="none"/>
              </w:rPr>
            </w:pPr>
            <w:r>
              <w:rPr>
                <w:rFonts w:hint="eastAsia" w:ascii="宋体" w:hAnsi="Times New Roman" w:cs="宋体"/>
                <w:color w:val="auto"/>
                <w:sz w:val="28"/>
                <w:szCs w:val="28"/>
                <w:highlight w:val="none"/>
              </w:rPr>
              <w:t>（盖单位章）</w:t>
            </w:r>
          </w:p>
          <w:p w14:paraId="7FFDDD45">
            <w:pPr>
              <w:keepNext w:val="0"/>
              <w:keepLines w:val="0"/>
              <w:suppressLineNumbers w:val="0"/>
              <w:spacing w:before="0" w:beforeAutospacing="0" w:after="0" w:afterAutospacing="0" w:line="540" w:lineRule="exact"/>
              <w:ind w:left="0" w:right="0" w:firstLine="7280" w:firstLineChars="2600"/>
              <w:rPr>
                <w:rFonts w:hint="default" w:ascii="宋体" w:hAnsi="Times New Roman" w:cs="宋体"/>
                <w:color w:val="auto"/>
                <w:sz w:val="28"/>
                <w:szCs w:val="28"/>
                <w:highlight w:val="none"/>
              </w:rPr>
            </w:pPr>
            <w:r>
              <w:rPr>
                <w:rFonts w:hint="eastAsia" w:ascii="宋体" w:hAnsi="Times New Roman" w:cs="宋体"/>
                <w:color w:val="auto"/>
                <w:sz w:val="28"/>
                <w:szCs w:val="28"/>
                <w:highlight w:val="none"/>
                <w:lang w:val="en-US" w:eastAsia="zh-CN"/>
              </w:rPr>
              <w:t>2026</w:t>
            </w:r>
            <w:r>
              <w:rPr>
                <w:rFonts w:hint="eastAsia" w:ascii="宋体" w:hAnsi="Times New Roman" w:cs="宋体"/>
                <w:color w:val="auto"/>
                <w:sz w:val="28"/>
                <w:szCs w:val="28"/>
                <w:highlight w:val="none"/>
              </w:rPr>
              <w:t>年</w:t>
            </w:r>
            <w:r>
              <w:rPr>
                <w:rFonts w:hint="eastAsia" w:ascii="宋体" w:hAnsi="Times New Roman" w:cs="宋体"/>
                <w:color w:val="auto"/>
                <w:sz w:val="28"/>
                <w:szCs w:val="28"/>
                <w:highlight w:val="none"/>
                <w:lang w:val="en-US" w:eastAsia="zh-CN"/>
              </w:rPr>
              <w:t>9</w:t>
            </w:r>
            <w:r>
              <w:rPr>
                <w:rFonts w:hint="eastAsia" w:ascii="宋体" w:hAnsi="Times New Roman" w:cs="宋体"/>
                <w:color w:val="auto"/>
                <w:sz w:val="28"/>
                <w:szCs w:val="28"/>
                <w:highlight w:val="none"/>
              </w:rPr>
              <w:t>月</w:t>
            </w:r>
          </w:p>
        </w:tc>
      </w:tr>
      <w:tr w14:paraId="7239D3DE">
        <w:tblPrEx>
          <w:tblCellMar>
            <w:top w:w="0" w:type="dxa"/>
            <w:left w:w="108" w:type="dxa"/>
            <w:bottom w:w="0" w:type="dxa"/>
            <w:right w:w="108" w:type="dxa"/>
          </w:tblCellMar>
        </w:tblPrEx>
        <w:trPr>
          <w:trHeight w:val="5240" w:hRule="atLeast"/>
          <w:jc w:val="center"/>
        </w:trPr>
        <w:tc>
          <w:tcPr>
            <w:tcW w:w="9374" w:type="dxa"/>
            <w:tcBorders>
              <w:top w:val="single" w:color="auto" w:sz="4" w:space="0"/>
              <w:left w:val="single" w:color="auto" w:sz="4" w:space="0"/>
              <w:bottom w:val="single" w:color="auto" w:sz="4" w:space="0"/>
              <w:right w:val="single" w:color="auto" w:sz="4" w:space="0"/>
            </w:tcBorders>
            <w:noWrap w:val="0"/>
            <w:vAlign w:val="top"/>
          </w:tcPr>
          <w:p w14:paraId="3F76F834">
            <w:pPr>
              <w:keepNext w:val="0"/>
              <w:keepLines w:val="0"/>
              <w:suppressLineNumbers w:val="0"/>
              <w:spacing w:before="0" w:beforeAutospacing="0" w:after="0" w:afterAutospacing="0" w:line="440" w:lineRule="exact"/>
              <w:ind w:left="0" w:right="0"/>
              <w:rPr>
                <w:rFonts w:hint="eastAsia" w:ascii="宋体" w:hAnsi="Times New Roman" w:cs="宋体"/>
                <w:color w:val="auto"/>
                <w:sz w:val="28"/>
                <w:szCs w:val="28"/>
                <w:highlight w:val="none"/>
              </w:rPr>
            </w:pPr>
          </w:p>
          <w:p w14:paraId="3D4EB489">
            <w:pPr>
              <w:keepNext w:val="0"/>
              <w:keepLines w:val="0"/>
              <w:suppressLineNumbers w:val="0"/>
              <w:spacing w:before="0" w:beforeAutospacing="0" w:after="0" w:afterAutospacing="0" w:line="520" w:lineRule="exact"/>
              <w:ind w:left="0" w:right="0" w:firstLine="560" w:firstLineChars="200"/>
              <w:rPr>
                <w:rFonts w:hint="eastAsia" w:ascii="宋体" w:hAnsi="Times New Roman" w:eastAsia="宋体" w:cs="宋体"/>
                <w:color w:val="auto"/>
                <w:sz w:val="28"/>
                <w:szCs w:val="28"/>
                <w:highlight w:val="none"/>
                <w:lang w:eastAsia="zh-CN"/>
              </w:rPr>
            </w:pPr>
            <w:r>
              <w:rPr>
                <w:rFonts w:hint="eastAsia" w:ascii="宋体" w:hAnsi="Times New Roman" w:cs="宋体"/>
                <w:color w:val="auto"/>
                <w:sz w:val="28"/>
                <w:szCs w:val="28"/>
                <w:highlight w:val="none"/>
              </w:rPr>
              <w:t>代理机构：</w:t>
            </w:r>
            <w:r>
              <w:rPr>
                <w:rFonts w:hint="eastAsia" w:ascii="宋体" w:hAnsi="Times New Roman" w:cs="宋体"/>
                <w:color w:val="auto"/>
                <w:sz w:val="28"/>
                <w:szCs w:val="28"/>
                <w:highlight w:val="none"/>
                <w:lang w:val="en-US" w:eastAsia="zh-CN"/>
              </w:rPr>
              <w:t>滁州市城投工程咨询管理有限公司</w:t>
            </w:r>
          </w:p>
          <w:p w14:paraId="46FB7B8E">
            <w:pPr>
              <w:keepNext w:val="0"/>
              <w:keepLines w:val="0"/>
              <w:suppressLineNumbers w:val="0"/>
              <w:spacing w:before="0" w:beforeAutospacing="0" w:after="0" w:afterAutospacing="0" w:line="520" w:lineRule="exact"/>
              <w:ind w:left="0" w:right="0" w:firstLine="560" w:firstLineChars="200"/>
              <w:rPr>
                <w:rFonts w:hint="eastAsia" w:ascii="宋体" w:hAnsi="Times New Roman" w:eastAsia="宋体" w:cs="宋体"/>
                <w:color w:val="auto"/>
                <w:sz w:val="28"/>
                <w:szCs w:val="28"/>
                <w:highlight w:val="none"/>
                <w:lang w:val="en-US" w:eastAsia="zh-CN"/>
              </w:rPr>
            </w:pPr>
            <w:r>
              <w:rPr>
                <w:rFonts w:hint="eastAsia" w:ascii="宋体" w:hAnsi="Times New Roman" w:cs="宋体"/>
                <w:color w:val="auto"/>
                <w:sz w:val="28"/>
                <w:szCs w:val="28"/>
                <w:highlight w:val="none"/>
              </w:rPr>
              <w:t>联系人：</w:t>
            </w:r>
            <w:r>
              <w:rPr>
                <w:rFonts w:hint="eastAsia" w:ascii="宋体" w:hAnsi="Times New Roman" w:cs="宋体"/>
                <w:color w:val="auto"/>
                <w:sz w:val="28"/>
                <w:szCs w:val="28"/>
                <w:highlight w:val="none"/>
                <w:lang w:val="en-US" w:eastAsia="zh-CN"/>
              </w:rPr>
              <w:t>关勤勤</w:t>
            </w:r>
          </w:p>
          <w:p w14:paraId="223D039C">
            <w:pPr>
              <w:keepNext w:val="0"/>
              <w:keepLines w:val="0"/>
              <w:suppressLineNumbers w:val="0"/>
              <w:spacing w:before="0" w:beforeAutospacing="0" w:after="0" w:afterAutospacing="0" w:line="520" w:lineRule="exact"/>
              <w:ind w:left="0" w:right="0" w:firstLine="560" w:firstLineChars="200"/>
              <w:rPr>
                <w:rFonts w:hint="default" w:ascii="宋体" w:hAnsi="Times New Roman" w:eastAsia="宋体" w:cs="宋体"/>
                <w:color w:val="auto"/>
                <w:sz w:val="28"/>
                <w:szCs w:val="28"/>
                <w:highlight w:val="none"/>
                <w:lang w:val="en-US" w:eastAsia="zh-CN"/>
              </w:rPr>
            </w:pPr>
            <w:r>
              <w:rPr>
                <w:rFonts w:hint="eastAsia" w:ascii="宋体" w:hAnsi="Times New Roman" w:cs="宋体"/>
                <w:color w:val="auto"/>
                <w:sz w:val="28"/>
                <w:szCs w:val="28"/>
                <w:highlight w:val="none"/>
              </w:rPr>
              <w:t>联系电话：</w:t>
            </w:r>
            <w:r>
              <w:rPr>
                <w:rFonts w:hint="eastAsia" w:ascii="宋体" w:hAnsi="Times New Roman" w:cs="宋体"/>
                <w:color w:val="auto"/>
                <w:sz w:val="28"/>
                <w:szCs w:val="28"/>
                <w:highlight w:val="none"/>
                <w:lang w:val="en-US" w:eastAsia="zh-CN"/>
              </w:rPr>
              <w:t>18909605753</w:t>
            </w:r>
          </w:p>
          <w:p w14:paraId="24274193">
            <w:pPr>
              <w:keepNext w:val="0"/>
              <w:keepLines w:val="0"/>
              <w:suppressLineNumbers w:val="0"/>
              <w:spacing w:before="0" w:beforeAutospacing="0" w:after="0" w:afterAutospacing="0" w:line="520" w:lineRule="exact"/>
              <w:ind w:left="0" w:right="0" w:firstLine="6300" w:firstLineChars="2250"/>
              <w:rPr>
                <w:rFonts w:hint="eastAsia" w:ascii="宋体" w:hAnsi="Times New Roman" w:cs="宋体"/>
                <w:color w:val="auto"/>
                <w:sz w:val="28"/>
                <w:szCs w:val="28"/>
                <w:highlight w:val="none"/>
              </w:rPr>
            </w:pPr>
          </w:p>
          <w:p w14:paraId="6BF4572B">
            <w:pPr>
              <w:pStyle w:val="35"/>
              <w:keepNext w:val="0"/>
              <w:keepLines w:val="0"/>
              <w:suppressLineNumbers w:val="0"/>
              <w:spacing w:before="0" w:beforeAutospacing="0" w:afterAutospacing="0"/>
              <w:ind w:right="0"/>
              <w:rPr>
                <w:rFonts w:hint="eastAsia" w:ascii="Times New Roman" w:hAnsi="Times New Roman" w:cs="Times New Roman"/>
                <w:color w:val="auto"/>
                <w:highlight w:val="none"/>
              </w:rPr>
            </w:pPr>
          </w:p>
          <w:p w14:paraId="4B61791C">
            <w:pPr>
              <w:keepNext w:val="0"/>
              <w:keepLines w:val="0"/>
              <w:suppressLineNumbers w:val="0"/>
              <w:spacing w:before="0" w:beforeAutospacing="0" w:after="0" w:afterAutospacing="0" w:line="520" w:lineRule="exact"/>
              <w:ind w:left="0" w:right="0" w:firstLine="6580" w:firstLineChars="2350"/>
              <w:rPr>
                <w:rFonts w:hint="eastAsia" w:ascii="宋体" w:hAnsi="Times New Roman" w:cs="宋体"/>
                <w:color w:val="auto"/>
                <w:sz w:val="28"/>
                <w:szCs w:val="28"/>
                <w:highlight w:val="none"/>
              </w:rPr>
            </w:pPr>
          </w:p>
          <w:p w14:paraId="682698A8">
            <w:pPr>
              <w:keepNext w:val="0"/>
              <w:keepLines w:val="0"/>
              <w:suppressLineNumbers w:val="0"/>
              <w:spacing w:before="0" w:beforeAutospacing="0" w:after="0" w:afterAutospacing="0" w:line="540" w:lineRule="exact"/>
              <w:ind w:left="0" w:right="0" w:firstLine="7000" w:firstLineChars="2500"/>
              <w:rPr>
                <w:rFonts w:hint="eastAsia" w:ascii="宋体" w:hAnsi="Times New Roman" w:cs="宋体"/>
                <w:color w:val="auto"/>
                <w:sz w:val="28"/>
                <w:szCs w:val="28"/>
                <w:highlight w:val="none"/>
              </w:rPr>
            </w:pPr>
            <w:r>
              <w:rPr>
                <w:rFonts w:hint="eastAsia" w:ascii="宋体" w:hAnsi="Times New Roman" w:cs="宋体"/>
                <w:color w:val="auto"/>
                <w:sz w:val="28"/>
                <w:szCs w:val="28"/>
                <w:highlight w:val="none"/>
              </w:rPr>
              <w:t>（盖单位章）</w:t>
            </w:r>
          </w:p>
          <w:p w14:paraId="055D97AE">
            <w:pPr>
              <w:keepNext w:val="0"/>
              <w:keepLines w:val="0"/>
              <w:suppressLineNumbers w:val="0"/>
              <w:spacing w:before="0" w:beforeAutospacing="0" w:after="0" w:afterAutospacing="0" w:line="540" w:lineRule="exact"/>
              <w:ind w:left="0" w:right="0" w:firstLine="7560" w:firstLineChars="2700"/>
              <w:rPr>
                <w:rFonts w:hint="eastAsia" w:ascii="宋体" w:hAnsi="Times New Roman" w:cs="宋体"/>
                <w:color w:val="auto"/>
                <w:sz w:val="28"/>
                <w:szCs w:val="28"/>
                <w:highlight w:val="none"/>
              </w:rPr>
            </w:pPr>
            <w:r>
              <w:rPr>
                <w:rFonts w:hint="eastAsia" w:ascii="宋体" w:hAnsi="Times New Roman" w:cs="宋体"/>
                <w:color w:val="auto"/>
                <w:sz w:val="28"/>
                <w:szCs w:val="28"/>
                <w:highlight w:val="none"/>
                <w:lang w:val="en-US" w:eastAsia="zh-CN"/>
              </w:rPr>
              <w:t>2026</w:t>
            </w:r>
            <w:r>
              <w:rPr>
                <w:rFonts w:hint="eastAsia" w:ascii="宋体" w:hAnsi="Times New Roman" w:cs="宋体"/>
                <w:color w:val="auto"/>
                <w:sz w:val="28"/>
                <w:szCs w:val="28"/>
                <w:highlight w:val="none"/>
              </w:rPr>
              <w:t>年</w:t>
            </w:r>
            <w:r>
              <w:rPr>
                <w:rFonts w:hint="eastAsia" w:ascii="宋体" w:hAnsi="Times New Roman" w:cs="宋体"/>
                <w:color w:val="auto"/>
                <w:sz w:val="28"/>
                <w:szCs w:val="28"/>
                <w:highlight w:val="none"/>
                <w:lang w:val="en-US" w:eastAsia="zh-CN"/>
              </w:rPr>
              <w:t>9</w:t>
            </w:r>
            <w:r>
              <w:rPr>
                <w:rFonts w:hint="eastAsia" w:ascii="宋体" w:hAnsi="Times New Roman" w:cs="宋体"/>
                <w:color w:val="auto"/>
                <w:sz w:val="28"/>
                <w:szCs w:val="28"/>
                <w:highlight w:val="none"/>
              </w:rPr>
              <w:t>月</w:t>
            </w:r>
          </w:p>
        </w:tc>
      </w:tr>
    </w:tbl>
    <w:p w14:paraId="31FD59C7">
      <w:pPr>
        <w:rPr>
          <w:color w:val="auto"/>
          <w:highlight w:val="none"/>
        </w:rPr>
      </w:pPr>
    </w:p>
    <w:sectPr>
      <w:pgSz w:w="11906" w:h="16838"/>
      <w:pgMar w:top="1440" w:right="1417" w:bottom="1417" w:left="1417" w:header="851" w:footer="992" w:gutter="0"/>
      <w:pgBorders>
        <w:top w:val="none" w:sz="0" w:space="0"/>
        <w:left w:val="none" w:sz="0" w:space="0"/>
        <w:bottom w:val="none" w:sz="0" w:space="0"/>
        <w:right w:val="none" w:sz="0" w:space="0"/>
      </w:pgBorders>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imes">
    <w:altName w:val="Times New Roman"/>
    <w:panose1 w:val="02020603050405020304"/>
    <w:charset w:val="00"/>
    <w:family w:val="roman"/>
    <w:pitch w:val="default"/>
    <w:sig w:usb0="00000000" w:usb1="00000000" w:usb2="00000009" w:usb3="00000000" w:csb0="000001FF" w:csb1="00000000"/>
  </w:font>
  <w:font w:name="DokChampa">
    <w:altName w:val="Leelawadee UI"/>
    <w:panose1 w:val="00000000000000000000"/>
    <w:charset w:val="DE"/>
    <w:family w:val="swiss"/>
    <w:pitch w:val="default"/>
    <w:sig w:usb0="00000000" w:usb1="00000000" w:usb2="00000000" w:usb3="00000000" w:csb0="00010001" w:csb1="00000000"/>
  </w:font>
  <w:font w:name="Leelawadee UI">
    <w:panose1 w:val="020B0502040204020203"/>
    <w:charset w:val="00"/>
    <w:family w:val="auto"/>
    <w:pitch w:val="default"/>
    <w:sig w:usb0="83000003" w:usb1="00000000" w:usb2="00010000" w:usb3="00000001" w:csb0="00010101" w:csb1="00000000"/>
  </w:font>
  <w:font w:name="Tahoma">
    <w:panose1 w:val="020B0604030504040204"/>
    <w:charset w:val="00"/>
    <w:family w:val="swiss"/>
    <w:pitch w:val="default"/>
    <w:sig w:usb0="E1002EFF" w:usb1="C000605B" w:usb2="00000029" w:usb3="00000000" w:csb0="200101FF" w:csb1="20280000"/>
  </w:font>
  <w:font w:name="MS Sans Serif">
    <w:altName w:val="Segoe Print"/>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roman"/>
    <w:pitch w:val="default"/>
    <w:sig w:usb0="00000000" w:usb1="00000000" w:usb2="0000003F" w:usb3="00000000" w:csb0="603F01FF" w:csb1="FFFF0000"/>
  </w:font>
  <w:font w:name="新宋体">
    <w:panose1 w:val="02010609030101010101"/>
    <w:charset w:val="86"/>
    <w:family w:val="modern"/>
    <w:pitch w:val="default"/>
    <w:sig w:usb0="00000283" w:usb1="288F0000" w:usb2="00000006" w:usb3="00000000" w:csb0="00040001" w:csb1="00000000"/>
  </w:font>
  <w:font w:name="宋体-18030">
    <w:altName w:val="宋体"/>
    <w:panose1 w:val="02010609060101010101"/>
    <w:charset w:val="86"/>
    <w:family w:val="modern"/>
    <w:pitch w:val="default"/>
    <w:sig w:usb0="00000000" w:usb1="00000000" w:usb2="000A005E"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D9C93">
    <w:pPr>
      <w:pStyle w:val="23"/>
      <w:tabs>
        <w:tab w:val="clear" w:pos="4153"/>
        <w:tab w:val="clear" w:pos="8306"/>
      </w:tabs>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ACF89">
    <w:pPr>
      <w:pStyle w:val="23"/>
      <w:tabs>
        <w:tab w:val="clear" w:pos="4153"/>
        <w:tab w:val="clear"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A825037">
                          <w:pPr>
                            <w:pStyle w:val="23"/>
                          </w:pPr>
                          <w:r>
                            <w:fldChar w:fldCharType="begin"/>
                          </w:r>
                          <w:r>
                            <w:instrText xml:space="preserve"> PAGE  \* MERGEFORMAT </w:instrText>
                          </w:r>
                          <w:r>
                            <w:fldChar w:fldCharType="separate"/>
                          </w:r>
                          <w:r>
                            <w:t>- 29 -</w:t>
                          </w:r>
                          <w:r>
                            <w:fldChar w:fldCharType="end"/>
                          </w:r>
                        </w:p>
                      </w:txbxContent>
                    </wps:txbx>
                    <wps:bodyPr wrap="none" lIns="0" tIns="0" rIns="0" bIns="0" upright="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&#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DjrMIb0QEAAKQDAAAOAAAAAAAAAAEAIAAAACIB&#10;AABkcnMvZTJvRG9jLnhtbFBLBQYAAAAABgAGAFkBAABlBQAAAAA=&#10;">
              <v:fill on="f" focussize="0,0"/>
              <v:stroke on="f" weight="1.25pt"/>
              <v:imagedata o:title=""/>
              <o:lock v:ext="edit" aspectratio="f"/>
              <v:textbox inset="0mm,0mm,0mm,0mm" style="mso-fit-shape-to-text:t;">
                <w:txbxContent>
                  <w:p w14:paraId="3A825037">
                    <w:pPr>
                      <w:pStyle w:val="23"/>
                    </w:pPr>
                    <w:r>
                      <w:fldChar w:fldCharType="begin"/>
                    </w:r>
                    <w:r>
                      <w:instrText xml:space="preserve"> PAGE  \* MERGEFORMAT </w:instrText>
                    </w:r>
                    <w:r>
                      <w:fldChar w:fldCharType="separate"/>
                    </w:r>
                    <w:r>
                      <w:t>- 29 -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C30F8">
    <w:pPr>
      <w:pStyle w:val="24"/>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BFF1B">
    <w:pPr>
      <w:pStyle w:val="24"/>
      <w:pBdr>
        <w:bottom w:val="none" w:color="auto" w:sz="0" w:space="0"/>
      </w:pBdr>
      <w:tabs>
        <w:tab w:val="clear" w:pos="4153"/>
        <w:tab w:val="clear"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9"/>
    <w:multiLevelType w:val="multilevel"/>
    <w:tmpl w:val="00000019"/>
    <w:lvl w:ilvl="0" w:tentative="0">
      <w:start w:val="1"/>
      <w:numFmt w:val="chineseCountingThousand"/>
      <w:pStyle w:val="91"/>
      <w:suff w:val="space"/>
      <w:lvlText w:val="%1、"/>
      <w:lvlJc w:val="left"/>
      <w:pPr>
        <w:ind w:left="425" w:hanging="425"/>
      </w:pPr>
      <w:rPr>
        <w:rFonts w:hint="eastAsia"/>
      </w:rPr>
    </w:lvl>
    <w:lvl w:ilvl="1" w:tentative="0">
      <w:start w:val="1"/>
      <w:numFmt w:val="decimal"/>
      <w:lvlRestart w:val="0"/>
      <w:suff w:val="space"/>
      <w:lvlText w:val="%2、"/>
      <w:lvlJc w:val="left"/>
      <w:pPr>
        <w:ind w:left="454" w:hanging="454"/>
      </w:pPr>
      <w:rPr>
        <w:rFonts w:hint="eastAsia"/>
      </w:rPr>
    </w:lvl>
    <w:lvl w:ilvl="2" w:tentative="0">
      <w:start w:val="1"/>
      <w:numFmt w:val="decimal"/>
      <w:lvlRestart w:val="0"/>
      <w:suff w:val="space"/>
      <w:lvlText w:val="%2.%3"/>
      <w:lvlJc w:val="left"/>
      <w:pPr>
        <w:ind w:left="454" w:hanging="454"/>
      </w:pPr>
      <w:rPr>
        <w:rFonts w:hint="default" w:ascii="Cambria" w:hAnsi="Cambria"/>
      </w:rPr>
    </w:lvl>
    <w:lvl w:ilvl="3" w:tentative="0">
      <w:start w:val="1"/>
      <w:numFmt w:val="decimal"/>
      <w:lvlText w:val="%2.%3.%4"/>
      <w:lvlJc w:val="left"/>
      <w:pPr>
        <w:ind w:left="454" w:hanging="454"/>
      </w:pPr>
      <w:rPr>
        <w:rFonts w:hint="eastAsia"/>
      </w:rPr>
    </w:lvl>
    <w:lvl w:ilvl="4" w:tentative="0">
      <w:start w:val="1"/>
      <w:numFmt w:val="decimal"/>
      <w:lvlText w:val="%2.%3.%4.%5"/>
      <w:lvlJc w:val="left"/>
      <w:pPr>
        <w:ind w:left="454" w:hanging="454"/>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1">
    <w:nsid w:val="0C053E09"/>
    <w:multiLevelType w:val="singleLevel"/>
    <w:tmpl w:val="0C053E09"/>
    <w:lvl w:ilvl="0" w:tentative="0">
      <w:start w:val="1"/>
      <w:numFmt w:val="chineseCounting"/>
      <w:suff w:val="nothing"/>
      <w:lvlText w:val="%1、"/>
      <w:lvlJc w:val="left"/>
      <w:rPr>
        <w:rFonts w:hint="eastAsia"/>
      </w:rPr>
    </w:lvl>
  </w:abstractNum>
  <w:abstractNum w:abstractNumId="2">
    <w:nsid w:val="18995355"/>
    <w:multiLevelType w:val="multilevel"/>
    <w:tmpl w:val="18995355"/>
    <w:lvl w:ilvl="0" w:tentative="0">
      <w:start w:val="1"/>
      <w:numFmt w:val="decimal"/>
      <w:pStyle w:val="99"/>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2323379E"/>
    <w:multiLevelType w:val="multilevel"/>
    <w:tmpl w:val="2323379E"/>
    <w:lvl w:ilvl="0" w:tentative="0">
      <w:start w:val="1"/>
      <w:numFmt w:val="chineseCountingThousand"/>
      <w:pStyle w:val="32"/>
      <w:lvlText w:val="%1、"/>
      <w:lvlJc w:val="left"/>
      <w:pPr>
        <w:ind w:left="420" w:hanging="420"/>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16"/>
        <w:szCs w:val="0"/>
        <w:u w:val="none" w:color="000000"/>
        <w:shd w:val="clear" w:color="000000" w:fill="000000"/>
        <w:vertAlign w:val="baseline"/>
        <w:lang w:val="zh-CN" w:eastAsia="zh-CN" w:bidi="zh-C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6857717"/>
    <w:multiLevelType w:val="multilevel"/>
    <w:tmpl w:val="26857717"/>
    <w:lvl w:ilvl="0" w:tentative="0">
      <w:start w:val="1"/>
      <w:numFmt w:val="chineseCountingThousand"/>
      <w:pStyle w:val="97"/>
      <w:lvlText w:val="%1、"/>
      <w:lvlJc w:val="left"/>
      <w:pPr>
        <w:tabs>
          <w:tab w:val="left" w:pos="425"/>
        </w:tabs>
        <w:ind w:left="425" w:hanging="425"/>
      </w:pPr>
      <w:rPr>
        <w:rFonts w:hint="eastAsia" w:cs="Times New Roman"/>
      </w:rPr>
    </w:lvl>
    <w:lvl w:ilvl="1" w:tentative="0">
      <w:start w:val="1"/>
      <w:numFmt w:val="decimal"/>
      <w:isLgl/>
      <w:lvlText w:val="%1.%2"/>
      <w:lvlJc w:val="left"/>
      <w:pPr>
        <w:tabs>
          <w:tab w:val="left" w:pos="567"/>
        </w:tabs>
        <w:ind w:left="567" w:hanging="567"/>
      </w:pPr>
      <w:rPr>
        <w:rFonts w:hint="default" w:ascii="Arial" w:hAnsi="Arial" w:cs="Arial"/>
      </w:rPr>
    </w:lvl>
    <w:lvl w:ilvl="2" w:tentative="0">
      <w:start w:val="1"/>
      <w:numFmt w:val="decimal"/>
      <w:isLgl/>
      <w:lvlText w:val="%1.%2.%3"/>
      <w:lvlJc w:val="left"/>
      <w:pPr>
        <w:tabs>
          <w:tab w:val="left" w:pos="1069"/>
        </w:tabs>
        <w:ind w:left="1069" w:hanging="709"/>
      </w:pPr>
      <w:rPr>
        <w:rFonts w:hint="default" w:ascii="Arial" w:hAnsi="Arial" w:cs="Arial"/>
      </w:rPr>
    </w:lvl>
    <w:lvl w:ilvl="3" w:tentative="0">
      <w:start w:val="1"/>
      <w:numFmt w:val="decimal"/>
      <w:isLgl/>
      <w:lvlText w:val="%1.%2.%3.%4"/>
      <w:lvlJc w:val="left"/>
      <w:pPr>
        <w:tabs>
          <w:tab w:val="left" w:pos="1080"/>
        </w:tabs>
        <w:ind w:left="851" w:hanging="851"/>
      </w:pPr>
      <w:rPr>
        <w:rFonts w:hint="default" w:ascii="Arial" w:hAnsi="Arial" w:cs="Arial"/>
        <w:sz w:val="24"/>
        <w:szCs w:val="24"/>
      </w:rPr>
    </w:lvl>
    <w:lvl w:ilvl="4" w:tentative="0">
      <w:start w:val="1"/>
      <w:numFmt w:val="decimal"/>
      <w:isLgl/>
      <w:lvlText w:val="%1.%2.%3.%4.%5"/>
      <w:lvlJc w:val="left"/>
      <w:pPr>
        <w:tabs>
          <w:tab w:val="left" w:pos="1440"/>
        </w:tabs>
        <w:ind w:left="992" w:hanging="992"/>
      </w:pPr>
      <w:rPr>
        <w:rFonts w:hint="eastAsia" w:cs="Times New Roman"/>
      </w:rPr>
    </w:lvl>
    <w:lvl w:ilvl="5" w:tentative="0">
      <w:start w:val="1"/>
      <w:numFmt w:val="decimal"/>
      <w:isLgl/>
      <w:lvlText w:val="%1.%2.%3.%4.%5.%6"/>
      <w:lvlJc w:val="left"/>
      <w:pPr>
        <w:tabs>
          <w:tab w:val="left" w:pos="1440"/>
        </w:tabs>
        <w:ind w:left="1134" w:hanging="1134"/>
      </w:pPr>
      <w:rPr>
        <w:rFonts w:hint="eastAsia" w:cs="Times New Roman"/>
      </w:rPr>
    </w:lvl>
    <w:lvl w:ilvl="6" w:tentative="0">
      <w:start w:val="1"/>
      <w:numFmt w:val="decimal"/>
      <w:isLgl/>
      <w:lvlText w:val="%1.%2.%3.%4.%5.%6.%7"/>
      <w:lvlJc w:val="left"/>
      <w:pPr>
        <w:tabs>
          <w:tab w:val="left" w:pos="1800"/>
        </w:tabs>
        <w:ind w:left="1276" w:hanging="1276"/>
      </w:pPr>
      <w:rPr>
        <w:rFonts w:hint="eastAsia" w:cs="Times New Roman"/>
      </w:rPr>
    </w:lvl>
    <w:lvl w:ilvl="7" w:tentative="0">
      <w:start w:val="1"/>
      <w:numFmt w:val="decimal"/>
      <w:isLgl/>
      <w:lvlText w:val="%1.%2.%3.%4.%5.%6.%7.%8"/>
      <w:lvlJc w:val="left"/>
      <w:pPr>
        <w:tabs>
          <w:tab w:val="left" w:pos="1800"/>
        </w:tabs>
        <w:ind w:left="1418" w:hanging="1418"/>
      </w:pPr>
      <w:rPr>
        <w:rFonts w:hint="eastAsia" w:cs="Times New Roman"/>
      </w:rPr>
    </w:lvl>
    <w:lvl w:ilvl="8" w:tentative="0">
      <w:start w:val="1"/>
      <w:numFmt w:val="decimal"/>
      <w:isLgl/>
      <w:lvlText w:val="%1.%2.%3.%4.%5.%6.%7.%8.%9"/>
      <w:lvlJc w:val="left"/>
      <w:pPr>
        <w:tabs>
          <w:tab w:val="left" w:pos="2160"/>
        </w:tabs>
        <w:ind w:left="1559" w:hanging="1559"/>
      </w:pPr>
      <w:rPr>
        <w:rFonts w:hint="eastAsia" w:cs="Times New Roman"/>
      </w:rPr>
    </w:lvl>
  </w:abstractNum>
  <w:abstractNum w:abstractNumId="5">
    <w:nsid w:val="26F2549E"/>
    <w:multiLevelType w:val="multilevel"/>
    <w:tmpl w:val="26F2549E"/>
    <w:lvl w:ilvl="0" w:tentative="0">
      <w:start w:val="1"/>
      <w:numFmt w:val="decimal"/>
      <w:lvlText w:val="%1、"/>
      <w:lvlJc w:val="left"/>
      <w:pPr>
        <w:ind w:left="371" w:hanging="360"/>
      </w:pPr>
      <w:rPr>
        <w:rFonts w:hint="default"/>
      </w:rPr>
    </w:lvl>
    <w:lvl w:ilvl="1" w:tentative="0">
      <w:start w:val="1"/>
      <w:numFmt w:val="lowerLetter"/>
      <w:pStyle w:val="4"/>
      <w:lvlText w:val="%2)"/>
      <w:lvlJc w:val="left"/>
      <w:pPr>
        <w:ind w:left="851" w:hanging="420"/>
      </w:pPr>
    </w:lvl>
    <w:lvl w:ilvl="2" w:tentative="0">
      <w:start w:val="1"/>
      <w:numFmt w:val="lowerRoman"/>
      <w:lvlText w:val="%3."/>
      <w:lvlJc w:val="right"/>
      <w:pPr>
        <w:ind w:left="1271" w:hanging="420"/>
      </w:pPr>
    </w:lvl>
    <w:lvl w:ilvl="3" w:tentative="0">
      <w:start w:val="1"/>
      <w:numFmt w:val="decimal"/>
      <w:lvlText w:val="%4."/>
      <w:lvlJc w:val="left"/>
      <w:pPr>
        <w:ind w:left="1691" w:hanging="420"/>
      </w:pPr>
    </w:lvl>
    <w:lvl w:ilvl="4" w:tentative="0">
      <w:start w:val="1"/>
      <w:numFmt w:val="lowerLetter"/>
      <w:lvlText w:val="%5)"/>
      <w:lvlJc w:val="left"/>
      <w:pPr>
        <w:ind w:left="2111" w:hanging="420"/>
      </w:pPr>
    </w:lvl>
    <w:lvl w:ilvl="5" w:tentative="0">
      <w:start w:val="1"/>
      <w:numFmt w:val="lowerRoman"/>
      <w:lvlText w:val="%6."/>
      <w:lvlJc w:val="right"/>
      <w:pPr>
        <w:ind w:left="2531" w:hanging="420"/>
      </w:pPr>
    </w:lvl>
    <w:lvl w:ilvl="6" w:tentative="0">
      <w:start w:val="1"/>
      <w:numFmt w:val="decimal"/>
      <w:lvlText w:val="%7."/>
      <w:lvlJc w:val="left"/>
      <w:pPr>
        <w:ind w:left="2951" w:hanging="420"/>
      </w:pPr>
    </w:lvl>
    <w:lvl w:ilvl="7" w:tentative="0">
      <w:start w:val="1"/>
      <w:numFmt w:val="lowerLetter"/>
      <w:lvlText w:val="%8)"/>
      <w:lvlJc w:val="left"/>
      <w:pPr>
        <w:ind w:left="3371" w:hanging="420"/>
      </w:pPr>
    </w:lvl>
    <w:lvl w:ilvl="8" w:tentative="0">
      <w:start w:val="1"/>
      <w:numFmt w:val="lowerRoman"/>
      <w:lvlText w:val="%9."/>
      <w:lvlJc w:val="right"/>
      <w:pPr>
        <w:ind w:left="3791" w:hanging="420"/>
      </w:pPr>
    </w:lvl>
  </w:abstractNum>
  <w:abstractNum w:abstractNumId="6">
    <w:nsid w:val="6CB11212"/>
    <w:multiLevelType w:val="multilevel"/>
    <w:tmpl w:val="6CB11212"/>
    <w:lvl w:ilvl="0" w:tentative="0">
      <w:start w:val="1"/>
      <w:numFmt w:val="decimal"/>
      <w:pStyle w:val="10"/>
      <w:lvlText w:val="%1"/>
      <w:lvlJc w:val="left"/>
      <w:pPr>
        <w:tabs>
          <w:tab w:val="left" w:pos="425"/>
        </w:tabs>
        <w:ind w:left="425" w:hanging="425"/>
      </w:pPr>
      <w:rPr>
        <w:rFonts w:hint="default" w:ascii="Times New Roman" w:hAnsi="Times New Roman" w:cs="Times New Roman"/>
        <w:b/>
        <w:i w:val="0"/>
        <w:sz w:val="28"/>
      </w:rPr>
    </w:lvl>
    <w:lvl w:ilvl="1" w:tentative="0">
      <w:start w:val="1"/>
      <w:numFmt w:val="decimal"/>
      <w:lvlText w:val="%1.%2"/>
      <w:lvlJc w:val="left"/>
      <w:pPr>
        <w:tabs>
          <w:tab w:val="left" w:pos="992"/>
        </w:tabs>
        <w:ind w:left="992" w:hanging="567"/>
      </w:pPr>
      <w:rPr>
        <w:rFonts w:hint="eastAsia" w:cs="Times New Roman"/>
      </w:rPr>
    </w:lvl>
    <w:lvl w:ilvl="2" w:tentative="0">
      <w:start w:val="1"/>
      <w:numFmt w:val="decimal"/>
      <w:lvlText w:val="%1.%2.%3"/>
      <w:lvlJc w:val="left"/>
      <w:pPr>
        <w:tabs>
          <w:tab w:val="left" w:pos="1418"/>
        </w:tabs>
        <w:ind w:left="1418" w:hanging="567"/>
      </w:pPr>
      <w:rPr>
        <w:rFonts w:hint="eastAsia" w:cs="Times New Roman"/>
      </w:rPr>
    </w:lvl>
    <w:lvl w:ilvl="3" w:tentative="0">
      <w:start w:val="1"/>
      <w:numFmt w:val="decimal"/>
      <w:lvlText w:val="%1.%2.%3.%4"/>
      <w:lvlJc w:val="left"/>
      <w:pPr>
        <w:tabs>
          <w:tab w:val="left" w:pos="1984"/>
        </w:tabs>
        <w:ind w:left="1984" w:hanging="708"/>
      </w:pPr>
      <w:rPr>
        <w:rFonts w:hint="eastAsia" w:cs="Times New Roman"/>
      </w:rPr>
    </w:lvl>
    <w:lvl w:ilvl="4" w:tentative="0">
      <w:start w:val="1"/>
      <w:numFmt w:val="decimal"/>
      <w:lvlText w:val="%1.%2.%3.%4.%5"/>
      <w:lvlJc w:val="left"/>
      <w:pPr>
        <w:tabs>
          <w:tab w:val="left" w:pos="2551"/>
        </w:tabs>
        <w:ind w:left="2551" w:hanging="850"/>
      </w:pPr>
      <w:rPr>
        <w:rFonts w:hint="eastAsia" w:cs="Times New Roman"/>
      </w:rPr>
    </w:lvl>
    <w:lvl w:ilvl="5" w:tentative="0">
      <w:start w:val="1"/>
      <w:numFmt w:val="decimal"/>
      <w:lvlText w:val="%1.%2.%3.%4.%5.%6"/>
      <w:lvlJc w:val="left"/>
      <w:pPr>
        <w:tabs>
          <w:tab w:val="left" w:pos="3260"/>
        </w:tabs>
        <w:ind w:left="3260" w:hanging="1134"/>
      </w:pPr>
      <w:rPr>
        <w:rFonts w:hint="eastAsia" w:cs="Times New Roman"/>
      </w:rPr>
    </w:lvl>
    <w:lvl w:ilvl="6" w:tentative="0">
      <w:start w:val="1"/>
      <w:numFmt w:val="decimal"/>
      <w:lvlText w:val="%1.%2.%3.%4.%5.%6.%7"/>
      <w:lvlJc w:val="left"/>
      <w:pPr>
        <w:tabs>
          <w:tab w:val="left" w:pos="3827"/>
        </w:tabs>
        <w:ind w:left="3827" w:hanging="1276"/>
      </w:pPr>
      <w:rPr>
        <w:rFonts w:hint="eastAsia" w:cs="Times New Roman"/>
      </w:rPr>
    </w:lvl>
    <w:lvl w:ilvl="7" w:tentative="0">
      <w:start w:val="1"/>
      <w:numFmt w:val="decimal"/>
      <w:lvlText w:val="%1.%2.%3.%4.%5.%6.%7.%8"/>
      <w:lvlJc w:val="left"/>
      <w:pPr>
        <w:tabs>
          <w:tab w:val="left" w:pos="4394"/>
        </w:tabs>
        <w:ind w:left="4394" w:hanging="1418"/>
      </w:pPr>
      <w:rPr>
        <w:rFonts w:hint="eastAsia" w:cs="Times New Roman"/>
      </w:rPr>
    </w:lvl>
    <w:lvl w:ilvl="8" w:tentative="0">
      <w:start w:val="1"/>
      <w:numFmt w:val="decimal"/>
      <w:lvlText w:val="%1.%2.%3.%4.%5.%6.%7.%8.%9"/>
      <w:lvlJc w:val="left"/>
      <w:pPr>
        <w:tabs>
          <w:tab w:val="left" w:pos="5102"/>
        </w:tabs>
        <w:ind w:left="5102" w:hanging="1700"/>
      </w:pPr>
      <w:rPr>
        <w:rFonts w:hint="eastAsia" w:cs="Times New Roman"/>
      </w:rPr>
    </w:lvl>
  </w:abstractNum>
  <w:abstractNum w:abstractNumId="7">
    <w:nsid w:val="6F1D7D26"/>
    <w:multiLevelType w:val="multilevel"/>
    <w:tmpl w:val="6F1D7D26"/>
    <w:lvl w:ilvl="0" w:tentative="0">
      <w:start w:val="1"/>
      <w:numFmt w:val="decimal"/>
      <w:pStyle w:val="26"/>
      <w:lvlText w:val="%1."/>
      <w:lvlJc w:val="left"/>
      <w:pPr>
        <w:ind w:left="420" w:firstLine="0"/>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16"/>
        <w:szCs w:val="0"/>
        <w:u w:val="none" w:color="000000"/>
        <w:shd w:val="clear" w:color="000000" w:fill="000000"/>
        <w:vertAlign w:val="baseline"/>
        <w:lang w:val="zh-CN" w:eastAsia="zh-CN" w:bidi="zh-C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6"/>
  </w:num>
  <w:num w:numId="3">
    <w:abstractNumId w:val="7"/>
  </w:num>
  <w:num w:numId="4">
    <w:abstractNumId w:val="3"/>
  </w:num>
  <w:num w:numId="5">
    <w:abstractNumId w:val="0"/>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I5ZDY5ZDNjMmE2ZDcxYTFkMDY0Zjg5Mjg3YTE0YTgifQ=="/>
  </w:docVars>
  <w:rsids>
    <w:rsidRoot w:val="00172A27"/>
    <w:rsid w:val="00000FD7"/>
    <w:rsid w:val="00001745"/>
    <w:rsid w:val="000018C2"/>
    <w:rsid w:val="00001EDD"/>
    <w:rsid w:val="00002FE3"/>
    <w:rsid w:val="00003231"/>
    <w:rsid w:val="0000387A"/>
    <w:rsid w:val="00003B78"/>
    <w:rsid w:val="00003E3C"/>
    <w:rsid w:val="00003F2A"/>
    <w:rsid w:val="00005025"/>
    <w:rsid w:val="00005C91"/>
    <w:rsid w:val="0000620B"/>
    <w:rsid w:val="0000682D"/>
    <w:rsid w:val="00007272"/>
    <w:rsid w:val="00007892"/>
    <w:rsid w:val="00011FD2"/>
    <w:rsid w:val="0001207D"/>
    <w:rsid w:val="00012CBB"/>
    <w:rsid w:val="00012CFA"/>
    <w:rsid w:val="00013187"/>
    <w:rsid w:val="000131BA"/>
    <w:rsid w:val="00014B17"/>
    <w:rsid w:val="0001582D"/>
    <w:rsid w:val="00015980"/>
    <w:rsid w:val="0001696F"/>
    <w:rsid w:val="00016F81"/>
    <w:rsid w:val="00017E3B"/>
    <w:rsid w:val="000201C1"/>
    <w:rsid w:val="000204E4"/>
    <w:rsid w:val="00020F35"/>
    <w:rsid w:val="00021C59"/>
    <w:rsid w:val="00021FD3"/>
    <w:rsid w:val="00023055"/>
    <w:rsid w:val="00023156"/>
    <w:rsid w:val="00023185"/>
    <w:rsid w:val="00026A08"/>
    <w:rsid w:val="00026B7C"/>
    <w:rsid w:val="000279EA"/>
    <w:rsid w:val="000314DB"/>
    <w:rsid w:val="000316BD"/>
    <w:rsid w:val="00032E2D"/>
    <w:rsid w:val="000334DF"/>
    <w:rsid w:val="00033536"/>
    <w:rsid w:val="00033AA1"/>
    <w:rsid w:val="00033B6A"/>
    <w:rsid w:val="00034324"/>
    <w:rsid w:val="0003496F"/>
    <w:rsid w:val="00034BA3"/>
    <w:rsid w:val="00034CDA"/>
    <w:rsid w:val="00034F63"/>
    <w:rsid w:val="0003627F"/>
    <w:rsid w:val="00037505"/>
    <w:rsid w:val="000404C6"/>
    <w:rsid w:val="000405BF"/>
    <w:rsid w:val="00040C87"/>
    <w:rsid w:val="00040CAE"/>
    <w:rsid w:val="00041067"/>
    <w:rsid w:val="00041856"/>
    <w:rsid w:val="00041921"/>
    <w:rsid w:val="000430E9"/>
    <w:rsid w:val="00044BB7"/>
    <w:rsid w:val="00044F9F"/>
    <w:rsid w:val="00045942"/>
    <w:rsid w:val="00045EE5"/>
    <w:rsid w:val="00047196"/>
    <w:rsid w:val="00050258"/>
    <w:rsid w:val="0005034F"/>
    <w:rsid w:val="00051277"/>
    <w:rsid w:val="0005173F"/>
    <w:rsid w:val="00051ECE"/>
    <w:rsid w:val="00054663"/>
    <w:rsid w:val="00055300"/>
    <w:rsid w:val="00055AB6"/>
    <w:rsid w:val="0005632F"/>
    <w:rsid w:val="00056A13"/>
    <w:rsid w:val="00061311"/>
    <w:rsid w:val="00061B85"/>
    <w:rsid w:val="00062064"/>
    <w:rsid w:val="00063028"/>
    <w:rsid w:val="00063B93"/>
    <w:rsid w:val="00063EFE"/>
    <w:rsid w:val="00064417"/>
    <w:rsid w:val="0006463B"/>
    <w:rsid w:val="00064649"/>
    <w:rsid w:val="00064BF9"/>
    <w:rsid w:val="00065388"/>
    <w:rsid w:val="00065665"/>
    <w:rsid w:val="0006601A"/>
    <w:rsid w:val="000665FE"/>
    <w:rsid w:val="000671A2"/>
    <w:rsid w:val="00067818"/>
    <w:rsid w:val="00067833"/>
    <w:rsid w:val="00067D7A"/>
    <w:rsid w:val="00070340"/>
    <w:rsid w:val="000708F9"/>
    <w:rsid w:val="000719DB"/>
    <w:rsid w:val="00071DAC"/>
    <w:rsid w:val="0007207A"/>
    <w:rsid w:val="00072CA0"/>
    <w:rsid w:val="00072FF3"/>
    <w:rsid w:val="00073F2F"/>
    <w:rsid w:val="00073F71"/>
    <w:rsid w:val="00073F84"/>
    <w:rsid w:val="000743D1"/>
    <w:rsid w:val="000746A8"/>
    <w:rsid w:val="00074FC6"/>
    <w:rsid w:val="00076052"/>
    <w:rsid w:val="00076223"/>
    <w:rsid w:val="00076436"/>
    <w:rsid w:val="00076558"/>
    <w:rsid w:val="00077068"/>
    <w:rsid w:val="0007793B"/>
    <w:rsid w:val="00077C43"/>
    <w:rsid w:val="00077D8B"/>
    <w:rsid w:val="00082390"/>
    <w:rsid w:val="00082EB0"/>
    <w:rsid w:val="00083463"/>
    <w:rsid w:val="00083C57"/>
    <w:rsid w:val="00084EFD"/>
    <w:rsid w:val="00085489"/>
    <w:rsid w:val="000863D1"/>
    <w:rsid w:val="00086A7A"/>
    <w:rsid w:val="000874E4"/>
    <w:rsid w:val="00087DEF"/>
    <w:rsid w:val="000921FF"/>
    <w:rsid w:val="000942A8"/>
    <w:rsid w:val="00094641"/>
    <w:rsid w:val="00094F01"/>
    <w:rsid w:val="00095245"/>
    <w:rsid w:val="00095368"/>
    <w:rsid w:val="00095431"/>
    <w:rsid w:val="000955A6"/>
    <w:rsid w:val="0009679B"/>
    <w:rsid w:val="00097185"/>
    <w:rsid w:val="000A16BC"/>
    <w:rsid w:val="000A2970"/>
    <w:rsid w:val="000A2A2A"/>
    <w:rsid w:val="000A2F53"/>
    <w:rsid w:val="000A3B88"/>
    <w:rsid w:val="000A3FD5"/>
    <w:rsid w:val="000A4A5B"/>
    <w:rsid w:val="000A4BA2"/>
    <w:rsid w:val="000A4C42"/>
    <w:rsid w:val="000A4D00"/>
    <w:rsid w:val="000A6219"/>
    <w:rsid w:val="000A694F"/>
    <w:rsid w:val="000A6DD1"/>
    <w:rsid w:val="000A6DF5"/>
    <w:rsid w:val="000A7BFA"/>
    <w:rsid w:val="000A7E34"/>
    <w:rsid w:val="000B071E"/>
    <w:rsid w:val="000B0A14"/>
    <w:rsid w:val="000B0B87"/>
    <w:rsid w:val="000B0C3D"/>
    <w:rsid w:val="000B2E83"/>
    <w:rsid w:val="000B40C2"/>
    <w:rsid w:val="000B428C"/>
    <w:rsid w:val="000B5B09"/>
    <w:rsid w:val="000B5CD6"/>
    <w:rsid w:val="000B5DAB"/>
    <w:rsid w:val="000B6098"/>
    <w:rsid w:val="000B615E"/>
    <w:rsid w:val="000B7097"/>
    <w:rsid w:val="000B71A8"/>
    <w:rsid w:val="000B7353"/>
    <w:rsid w:val="000B7627"/>
    <w:rsid w:val="000B7B9F"/>
    <w:rsid w:val="000B7FF5"/>
    <w:rsid w:val="000C0D0A"/>
    <w:rsid w:val="000C3114"/>
    <w:rsid w:val="000C5FF0"/>
    <w:rsid w:val="000C7F94"/>
    <w:rsid w:val="000D0783"/>
    <w:rsid w:val="000D0794"/>
    <w:rsid w:val="000D1770"/>
    <w:rsid w:val="000D1955"/>
    <w:rsid w:val="000D1963"/>
    <w:rsid w:val="000D2B25"/>
    <w:rsid w:val="000D2BE7"/>
    <w:rsid w:val="000D3563"/>
    <w:rsid w:val="000D3FE5"/>
    <w:rsid w:val="000D456B"/>
    <w:rsid w:val="000D45FF"/>
    <w:rsid w:val="000D522D"/>
    <w:rsid w:val="000D57AA"/>
    <w:rsid w:val="000D5856"/>
    <w:rsid w:val="000D5BFA"/>
    <w:rsid w:val="000D66BD"/>
    <w:rsid w:val="000D73C3"/>
    <w:rsid w:val="000E12E1"/>
    <w:rsid w:val="000E169F"/>
    <w:rsid w:val="000E18AA"/>
    <w:rsid w:val="000E3822"/>
    <w:rsid w:val="000E416E"/>
    <w:rsid w:val="000E427E"/>
    <w:rsid w:val="000E4C55"/>
    <w:rsid w:val="000E4F64"/>
    <w:rsid w:val="000E5225"/>
    <w:rsid w:val="000E62E9"/>
    <w:rsid w:val="000E7541"/>
    <w:rsid w:val="000F0405"/>
    <w:rsid w:val="000F1DED"/>
    <w:rsid w:val="000F1DEE"/>
    <w:rsid w:val="000F1E18"/>
    <w:rsid w:val="000F2EDB"/>
    <w:rsid w:val="000F365B"/>
    <w:rsid w:val="000F3FFF"/>
    <w:rsid w:val="000F44ED"/>
    <w:rsid w:val="000F4B95"/>
    <w:rsid w:val="000F5992"/>
    <w:rsid w:val="000F6AB9"/>
    <w:rsid w:val="000F6B00"/>
    <w:rsid w:val="000F6FE4"/>
    <w:rsid w:val="000F7194"/>
    <w:rsid w:val="000F746A"/>
    <w:rsid w:val="00100276"/>
    <w:rsid w:val="0010047E"/>
    <w:rsid w:val="001008C8"/>
    <w:rsid w:val="0010124A"/>
    <w:rsid w:val="001017D7"/>
    <w:rsid w:val="00102D15"/>
    <w:rsid w:val="00103102"/>
    <w:rsid w:val="00104E2B"/>
    <w:rsid w:val="001051AF"/>
    <w:rsid w:val="001057AF"/>
    <w:rsid w:val="00106684"/>
    <w:rsid w:val="0010699C"/>
    <w:rsid w:val="00106EC5"/>
    <w:rsid w:val="00107005"/>
    <w:rsid w:val="001072E0"/>
    <w:rsid w:val="00107B42"/>
    <w:rsid w:val="001108D1"/>
    <w:rsid w:val="00111111"/>
    <w:rsid w:val="001123E7"/>
    <w:rsid w:val="001129B2"/>
    <w:rsid w:val="00112A7E"/>
    <w:rsid w:val="00113A3E"/>
    <w:rsid w:val="00114258"/>
    <w:rsid w:val="00114702"/>
    <w:rsid w:val="00114A7D"/>
    <w:rsid w:val="001159EE"/>
    <w:rsid w:val="00115E66"/>
    <w:rsid w:val="001161CF"/>
    <w:rsid w:val="001167DB"/>
    <w:rsid w:val="00116967"/>
    <w:rsid w:val="00116A34"/>
    <w:rsid w:val="00116D76"/>
    <w:rsid w:val="00116E49"/>
    <w:rsid w:val="00117062"/>
    <w:rsid w:val="001170CE"/>
    <w:rsid w:val="001178E2"/>
    <w:rsid w:val="00117C52"/>
    <w:rsid w:val="001209B7"/>
    <w:rsid w:val="001213E9"/>
    <w:rsid w:val="001214D0"/>
    <w:rsid w:val="00123DB7"/>
    <w:rsid w:val="0012425E"/>
    <w:rsid w:val="00124F09"/>
    <w:rsid w:val="0012511F"/>
    <w:rsid w:val="00125237"/>
    <w:rsid w:val="00125262"/>
    <w:rsid w:val="00125392"/>
    <w:rsid w:val="00126AD8"/>
    <w:rsid w:val="001276ED"/>
    <w:rsid w:val="00127E6A"/>
    <w:rsid w:val="00130067"/>
    <w:rsid w:val="001302B8"/>
    <w:rsid w:val="00131086"/>
    <w:rsid w:val="0013112F"/>
    <w:rsid w:val="0013161B"/>
    <w:rsid w:val="00131C30"/>
    <w:rsid w:val="00131D14"/>
    <w:rsid w:val="00131F24"/>
    <w:rsid w:val="00132477"/>
    <w:rsid w:val="0013362D"/>
    <w:rsid w:val="0013431D"/>
    <w:rsid w:val="00134648"/>
    <w:rsid w:val="001347EC"/>
    <w:rsid w:val="001352D7"/>
    <w:rsid w:val="00135759"/>
    <w:rsid w:val="00135AED"/>
    <w:rsid w:val="00135BC4"/>
    <w:rsid w:val="001369C3"/>
    <w:rsid w:val="00136EE6"/>
    <w:rsid w:val="001378A8"/>
    <w:rsid w:val="00137AF4"/>
    <w:rsid w:val="00137B6B"/>
    <w:rsid w:val="001407AB"/>
    <w:rsid w:val="00141CB6"/>
    <w:rsid w:val="00142194"/>
    <w:rsid w:val="0014457C"/>
    <w:rsid w:val="001449E6"/>
    <w:rsid w:val="00144C04"/>
    <w:rsid w:val="0014579B"/>
    <w:rsid w:val="00146A7E"/>
    <w:rsid w:val="0015132A"/>
    <w:rsid w:val="00151628"/>
    <w:rsid w:val="00151A64"/>
    <w:rsid w:val="0015210B"/>
    <w:rsid w:val="0015286F"/>
    <w:rsid w:val="001528B1"/>
    <w:rsid w:val="00152AFF"/>
    <w:rsid w:val="001554EC"/>
    <w:rsid w:val="001565DA"/>
    <w:rsid w:val="00157E12"/>
    <w:rsid w:val="001602D9"/>
    <w:rsid w:val="001605FB"/>
    <w:rsid w:val="00160863"/>
    <w:rsid w:val="00160C56"/>
    <w:rsid w:val="001621B2"/>
    <w:rsid w:val="00162769"/>
    <w:rsid w:val="00162B12"/>
    <w:rsid w:val="00163021"/>
    <w:rsid w:val="00163A4F"/>
    <w:rsid w:val="00164A96"/>
    <w:rsid w:val="001654FA"/>
    <w:rsid w:val="0016649D"/>
    <w:rsid w:val="00166692"/>
    <w:rsid w:val="0016722F"/>
    <w:rsid w:val="00167DD2"/>
    <w:rsid w:val="00167EAD"/>
    <w:rsid w:val="00170051"/>
    <w:rsid w:val="00170340"/>
    <w:rsid w:val="0017080E"/>
    <w:rsid w:val="00170C26"/>
    <w:rsid w:val="00171430"/>
    <w:rsid w:val="00173435"/>
    <w:rsid w:val="00173C5E"/>
    <w:rsid w:val="00173E37"/>
    <w:rsid w:val="00174529"/>
    <w:rsid w:val="00174D16"/>
    <w:rsid w:val="00174E84"/>
    <w:rsid w:val="00175041"/>
    <w:rsid w:val="00175BB3"/>
    <w:rsid w:val="00176570"/>
    <w:rsid w:val="0017662E"/>
    <w:rsid w:val="0017703B"/>
    <w:rsid w:val="00177477"/>
    <w:rsid w:val="00177851"/>
    <w:rsid w:val="00177B77"/>
    <w:rsid w:val="00177E3F"/>
    <w:rsid w:val="001801CB"/>
    <w:rsid w:val="00180275"/>
    <w:rsid w:val="00180644"/>
    <w:rsid w:val="0018131E"/>
    <w:rsid w:val="00181735"/>
    <w:rsid w:val="00181BE3"/>
    <w:rsid w:val="00182153"/>
    <w:rsid w:val="00183195"/>
    <w:rsid w:val="00183525"/>
    <w:rsid w:val="0018358B"/>
    <w:rsid w:val="00183724"/>
    <w:rsid w:val="00184EAF"/>
    <w:rsid w:val="0018503D"/>
    <w:rsid w:val="0018523C"/>
    <w:rsid w:val="00185E01"/>
    <w:rsid w:val="00186292"/>
    <w:rsid w:val="00187319"/>
    <w:rsid w:val="00187533"/>
    <w:rsid w:val="0019079F"/>
    <w:rsid w:val="00190953"/>
    <w:rsid w:val="00190EA7"/>
    <w:rsid w:val="00191194"/>
    <w:rsid w:val="00192441"/>
    <w:rsid w:val="00192922"/>
    <w:rsid w:val="001935E2"/>
    <w:rsid w:val="0019444D"/>
    <w:rsid w:val="00194A22"/>
    <w:rsid w:val="00194D8F"/>
    <w:rsid w:val="001958DC"/>
    <w:rsid w:val="00196252"/>
    <w:rsid w:val="001966AA"/>
    <w:rsid w:val="00196D5E"/>
    <w:rsid w:val="00196F4B"/>
    <w:rsid w:val="001A0CAB"/>
    <w:rsid w:val="001A0E41"/>
    <w:rsid w:val="001A11EB"/>
    <w:rsid w:val="001A1D0A"/>
    <w:rsid w:val="001A2968"/>
    <w:rsid w:val="001A3056"/>
    <w:rsid w:val="001A312F"/>
    <w:rsid w:val="001A330F"/>
    <w:rsid w:val="001A344A"/>
    <w:rsid w:val="001A3ACE"/>
    <w:rsid w:val="001A406C"/>
    <w:rsid w:val="001A62A1"/>
    <w:rsid w:val="001A63E7"/>
    <w:rsid w:val="001A64CF"/>
    <w:rsid w:val="001A6AF5"/>
    <w:rsid w:val="001B0F50"/>
    <w:rsid w:val="001B16CE"/>
    <w:rsid w:val="001B1C75"/>
    <w:rsid w:val="001B253D"/>
    <w:rsid w:val="001B31D7"/>
    <w:rsid w:val="001B4093"/>
    <w:rsid w:val="001B522A"/>
    <w:rsid w:val="001B5738"/>
    <w:rsid w:val="001B58C9"/>
    <w:rsid w:val="001B6006"/>
    <w:rsid w:val="001B6C2D"/>
    <w:rsid w:val="001B6E93"/>
    <w:rsid w:val="001B74F5"/>
    <w:rsid w:val="001B79FD"/>
    <w:rsid w:val="001B7B84"/>
    <w:rsid w:val="001C05AB"/>
    <w:rsid w:val="001C1059"/>
    <w:rsid w:val="001C2A8A"/>
    <w:rsid w:val="001C4859"/>
    <w:rsid w:val="001C54F3"/>
    <w:rsid w:val="001C5539"/>
    <w:rsid w:val="001C5E26"/>
    <w:rsid w:val="001D28A8"/>
    <w:rsid w:val="001D2F5F"/>
    <w:rsid w:val="001D30A6"/>
    <w:rsid w:val="001D44EC"/>
    <w:rsid w:val="001D58FF"/>
    <w:rsid w:val="001D59B0"/>
    <w:rsid w:val="001D6266"/>
    <w:rsid w:val="001D63FD"/>
    <w:rsid w:val="001D677E"/>
    <w:rsid w:val="001D6F3F"/>
    <w:rsid w:val="001D72FB"/>
    <w:rsid w:val="001D77EC"/>
    <w:rsid w:val="001D79C2"/>
    <w:rsid w:val="001E04F1"/>
    <w:rsid w:val="001E07BF"/>
    <w:rsid w:val="001E1E50"/>
    <w:rsid w:val="001E3BD1"/>
    <w:rsid w:val="001E3F0E"/>
    <w:rsid w:val="001E44BA"/>
    <w:rsid w:val="001E460E"/>
    <w:rsid w:val="001E4EE8"/>
    <w:rsid w:val="001E5159"/>
    <w:rsid w:val="001E5898"/>
    <w:rsid w:val="001E68D0"/>
    <w:rsid w:val="001E7E31"/>
    <w:rsid w:val="001F07C5"/>
    <w:rsid w:val="001F1324"/>
    <w:rsid w:val="001F134E"/>
    <w:rsid w:val="001F1946"/>
    <w:rsid w:val="001F1C38"/>
    <w:rsid w:val="001F1C73"/>
    <w:rsid w:val="001F3378"/>
    <w:rsid w:val="001F3C43"/>
    <w:rsid w:val="001F4719"/>
    <w:rsid w:val="001F602E"/>
    <w:rsid w:val="001F66CF"/>
    <w:rsid w:val="001F7137"/>
    <w:rsid w:val="001F7DFE"/>
    <w:rsid w:val="002005FD"/>
    <w:rsid w:val="00201180"/>
    <w:rsid w:val="00201590"/>
    <w:rsid w:val="00201F0C"/>
    <w:rsid w:val="00202157"/>
    <w:rsid w:val="002028E4"/>
    <w:rsid w:val="00202D5B"/>
    <w:rsid w:val="00202F2A"/>
    <w:rsid w:val="002036F3"/>
    <w:rsid w:val="00204191"/>
    <w:rsid w:val="002047D3"/>
    <w:rsid w:val="002054D8"/>
    <w:rsid w:val="002056FA"/>
    <w:rsid w:val="00205A83"/>
    <w:rsid w:val="00205CBD"/>
    <w:rsid w:val="00206487"/>
    <w:rsid w:val="0020674D"/>
    <w:rsid w:val="00206C3F"/>
    <w:rsid w:val="00206E10"/>
    <w:rsid w:val="00207273"/>
    <w:rsid w:val="00207E8B"/>
    <w:rsid w:val="002108DD"/>
    <w:rsid w:val="0021092F"/>
    <w:rsid w:val="0021169E"/>
    <w:rsid w:val="00211789"/>
    <w:rsid w:val="00211C20"/>
    <w:rsid w:val="00212686"/>
    <w:rsid w:val="002130FB"/>
    <w:rsid w:val="0021421B"/>
    <w:rsid w:val="002157C5"/>
    <w:rsid w:val="00215BDE"/>
    <w:rsid w:val="0021605B"/>
    <w:rsid w:val="002164F2"/>
    <w:rsid w:val="002169E6"/>
    <w:rsid w:val="0021708A"/>
    <w:rsid w:val="002173CF"/>
    <w:rsid w:val="00217490"/>
    <w:rsid w:val="00217DC1"/>
    <w:rsid w:val="00220226"/>
    <w:rsid w:val="00220734"/>
    <w:rsid w:val="002216C1"/>
    <w:rsid w:val="00222513"/>
    <w:rsid w:val="0022259D"/>
    <w:rsid w:val="0022346E"/>
    <w:rsid w:val="00224266"/>
    <w:rsid w:val="00224DB7"/>
    <w:rsid w:val="00225305"/>
    <w:rsid w:val="00225A4D"/>
    <w:rsid w:val="00226100"/>
    <w:rsid w:val="00227667"/>
    <w:rsid w:val="00227E9F"/>
    <w:rsid w:val="002306BE"/>
    <w:rsid w:val="00230CC1"/>
    <w:rsid w:val="00230D14"/>
    <w:rsid w:val="00231065"/>
    <w:rsid w:val="002314E9"/>
    <w:rsid w:val="00231F99"/>
    <w:rsid w:val="00232729"/>
    <w:rsid w:val="00233016"/>
    <w:rsid w:val="00235478"/>
    <w:rsid w:val="00235509"/>
    <w:rsid w:val="002358C7"/>
    <w:rsid w:val="002362CC"/>
    <w:rsid w:val="00237506"/>
    <w:rsid w:val="002378D0"/>
    <w:rsid w:val="00237D12"/>
    <w:rsid w:val="002402A5"/>
    <w:rsid w:val="0024055D"/>
    <w:rsid w:val="00240863"/>
    <w:rsid w:val="00240C70"/>
    <w:rsid w:val="00240ECA"/>
    <w:rsid w:val="002410F9"/>
    <w:rsid w:val="0024120B"/>
    <w:rsid w:val="002414ED"/>
    <w:rsid w:val="002423ED"/>
    <w:rsid w:val="00242A2B"/>
    <w:rsid w:val="00243A1C"/>
    <w:rsid w:val="00245ACA"/>
    <w:rsid w:val="00245C87"/>
    <w:rsid w:val="00246194"/>
    <w:rsid w:val="00246411"/>
    <w:rsid w:val="00247253"/>
    <w:rsid w:val="00247B6D"/>
    <w:rsid w:val="00252089"/>
    <w:rsid w:val="0025249A"/>
    <w:rsid w:val="00252ADA"/>
    <w:rsid w:val="0025326E"/>
    <w:rsid w:val="0025448F"/>
    <w:rsid w:val="002553EA"/>
    <w:rsid w:val="00255705"/>
    <w:rsid w:val="0025577C"/>
    <w:rsid w:val="002557DC"/>
    <w:rsid w:val="0025785F"/>
    <w:rsid w:val="00261696"/>
    <w:rsid w:val="00261984"/>
    <w:rsid w:val="0026258A"/>
    <w:rsid w:val="00262A9D"/>
    <w:rsid w:val="00263540"/>
    <w:rsid w:val="00263AF8"/>
    <w:rsid w:val="00264279"/>
    <w:rsid w:val="0026440A"/>
    <w:rsid w:val="002646DF"/>
    <w:rsid w:val="00265130"/>
    <w:rsid w:val="00265203"/>
    <w:rsid w:val="0026581B"/>
    <w:rsid w:val="00265D50"/>
    <w:rsid w:val="00265EDA"/>
    <w:rsid w:val="00266594"/>
    <w:rsid w:val="0026664B"/>
    <w:rsid w:val="00270D49"/>
    <w:rsid w:val="00270FEA"/>
    <w:rsid w:val="00272390"/>
    <w:rsid w:val="00272582"/>
    <w:rsid w:val="00272A37"/>
    <w:rsid w:val="00272B60"/>
    <w:rsid w:val="00272E91"/>
    <w:rsid w:val="002734B2"/>
    <w:rsid w:val="00273945"/>
    <w:rsid w:val="00273DEE"/>
    <w:rsid w:val="0027522C"/>
    <w:rsid w:val="0027543F"/>
    <w:rsid w:val="002760E4"/>
    <w:rsid w:val="002765B9"/>
    <w:rsid w:val="00277378"/>
    <w:rsid w:val="002775E0"/>
    <w:rsid w:val="00280BAA"/>
    <w:rsid w:val="002834D7"/>
    <w:rsid w:val="0028431C"/>
    <w:rsid w:val="00284AA1"/>
    <w:rsid w:val="00284BDB"/>
    <w:rsid w:val="00284FF3"/>
    <w:rsid w:val="00285937"/>
    <w:rsid w:val="00285CC4"/>
    <w:rsid w:val="00286851"/>
    <w:rsid w:val="002870BB"/>
    <w:rsid w:val="002909AD"/>
    <w:rsid w:val="00291B90"/>
    <w:rsid w:val="00292F4A"/>
    <w:rsid w:val="00293F97"/>
    <w:rsid w:val="00294D1A"/>
    <w:rsid w:val="002962C6"/>
    <w:rsid w:val="0029660E"/>
    <w:rsid w:val="00296CFF"/>
    <w:rsid w:val="00296FAA"/>
    <w:rsid w:val="00297134"/>
    <w:rsid w:val="0029727E"/>
    <w:rsid w:val="0029798C"/>
    <w:rsid w:val="002A04DB"/>
    <w:rsid w:val="002A1959"/>
    <w:rsid w:val="002A3638"/>
    <w:rsid w:val="002A49E9"/>
    <w:rsid w:val="002A4D9A"/>
    <w:rsid w:val="002A61A0"/>
    <w:rsid w:val="002A64B0"/>
    <w:rsid w:val="002A666B"/>
    <w:rsid w:val="002A6B50"/>
    <w:rsid w:val="002A7567"/>
    <w:rsid w:val="002A7DF4"/>
    <w:rsid w:val="002B0308"/>
    <w:rsid w:val="002B14F2"/>
    <w:rsid w:val="002B1A43"/>
    <w:rsid w:val="002B1ABC"/>
    <w:rsid w:val="002B1FB9"/>
    <w:rsid w:val="002B2690"/>
    <w:rsid w:val="002B26EC"/>
    <w:rsid w:val="002B324A"/>
    <w:rsid w:val="002B3D17"/>
    <w:rsid w:val="002B3EF5"/>
    <w:rsid w:val="002B5793"/>
    <w:rsid w:val="002B5D1A"/>
    <w:rsid w:val="002B5F03"/>
    <w:rsid w:val="002B6423"/>
    <w:rsid w:val="002B65EE"/>
    <w:rsid w:val="002B6A63"/>
    <w:rsid w:val="002B6B7B"/>
    <w:rsid w:val="002B7C85"/>
    <w:rsid w:val="002B7DCD"/>
    <w:rsid w:val="002C0484"/>
    <w:rsid w:val="002C0D1E"/>
    <w:rsid w:val="002C1DFD"/>
    <w:rsid w:val="002C20CF"/>
    <w:rsid w:val="002C2381"/>
    <w:rsid w:val="002C2987"/>
    <w:rsid w:val="002C2BF7"/>
    <w:rsid w:val="002C324F"/>
    <w:rsid w:val="002C3B7F"/>
    <w:rsid w:val="002C4380"/>
    <w:rsid w:val="002C44F8"/>
    <w:rsid w:val="002C66EA"/>
    <w:rsid w:val="002D1BCB"/>
    <w:rsid w:val="002D2B6F"/>
    <w:rsid w:val="002D4617"/>
    <w:rsid w:val="002D5B85"/>
    <w:rsid w:val="002D64B1"/>
    <w:rsid w:val="002D6C02"/>
    <w:rsid w:val="002D6F6A"/>
    <w:rsid w:val="002D73D4"/>
    <w:rsid w:val="002E023A"/>
    <w:rsid w:val="002E05E3"/>
    <w:rsid w:val="002E0CF1"/>
    <w:rsid w:val="002E1533"/>
    <w:rsid w:val="002E1AF0"/>
    <w:rsid w:val="002E1F1A"/>
    <w:rsid w:val="002E2E1F"/>
    <w:rsid w:val="002E3A69"/>
    <w:rsid w:val="002E3B8A"/>
    <w:rsid w:val="002E5015"/>
    <w:rsid w:val="002E55E5"/>
    <w:rsid w:val="002E5DC8"/>
    <w:rsid w:val="002E620F"/>
    <w:rsid w:val="002E6CBA"/>
    <w:rsid w:val="002E6CF3"/>
    <w:rsid w:val="002E779E"/>
    <w:rsid w:val="002F0126"/>
    <w:rsid w:val="002F04E5"/>
    <w:rsid w:val="002F0C88"/>
    <w:rsid w:val="002F1B07"/>
    <w:rsid w:val="002F29ED"/>
    <w:rsid w:val="002F33E4"/>
    <w:rsid w:val="002F553D"/>
    <w:rsid w:val="002F5EA3"/>
    <w:rsid w:val="002F60DC"/>
    <w:rsid w:val="002F62E7"/>
    <w:rsid w:val="002F6350"/>
    <w:rsid w:val="002F65D3"/>
    <w:rsid w:val="002F6C62"/>
    <w:rsid w:val="002F6E36"/>
    <w:rsid w:val="002F7307"/>
    <w:rsid w:val="002F7D96"/>
    <w:rsid w:val="003002FC"/>
    <w:rsid w:val="0030054A"/>
    <w:rsid w:val="00301451"/>
    <w:rsid w:val="00301764"/>
    <w:rsid w:val="003061F3"/>
    <w:rsid w:val="003065EA"/>
    <w:rsid w:val="0030791A"/>
    <w:rsid w:val="00310A63"/>
    <w:rsid w:val="00311D1C"/>
    <w:rsid w:val="0031215C"/>
    <w:rsid w:val="00312B46"/>
    <w:rsid w:val="00313C11"/>
    <w:rsid w:val="00313E87"/>
    <w:rsid w:val="00314E48"/>
    <w:rsid w:val="00314EAA"/>
    <w:rsid w:val="00315218"/>
    <w:rsid w:val="003162FE"/>
    <w:rsid w:val="003169FF"/>
    <w:rsid w:val="00317374"/>
    <w:rsid w:val="0031782B"/>
    <w:rsid w:val="00320797"/>
    <w:rsid w:val="003209A5"/>
    <w:rsid w:val="00321303"/>
    <w:rsid w:val="003215D0"/>
    <w:rsid w:val="00321B0F"/>
    <w:rsid w:val="00321BF5"/>
    <w:rsid w:val="00321CA7"/>
    <w:rsid w:val="00322242"/>
    <w:rsid w:val="0032294B"/>
    <w:rsid w:val="00322BDA"/>
    <w:rsid w:val="00322FEA"/>
    <w:rsid w:val="0032368B"/>
    <w:rsid w:val="00323B3C"/>
    <w:rsid w:val="00323B9B"/>
    <w:rsid w:val="00323EE0"/>
    <w:rsid w:val="003250B5"/>
    <w:rsid w:val="0032569D"/>
    <w:rsid w:val="00325E39"/>
    <w:rsid w:val="00327342"/>
    <w:rsid w:val="003275CF"/>
    <w:rsid w:val="00327958"/>
    <w:rsid w:val="00327AE8"/>
    <w:rsid w:val="003300D1"/>
    <w:rsid w:val="00330EEC"/>
    <w:rsid w:val="003310FC"/>
    <w:rsid w:val="003316A2"/>
    <w:rsid w:val="00331BA2"/>
    <w:rsid w:val="00331F09"/>
    <w:rsid w:val="0033248F"/>
    <w:rsid w:val="0033289C"/>
    <w:rsid w:val="00334294"/>
    <w:rsid w:val="00336881"/>
    <w:rsid w:val="0033705C"/>
    <w:rsid w:val="00337E3A"/>
    <w:rsid w:val="00340700"/>
    <w:rsid w:val="00341701"/>
    <w:rsid w:val="00341E1B"/>
    <w:rsid w:val="00342538"/>
    <w:rsid w:val="00343F2D"/>
    <w:rsid w:val="00345340"/>
    <w:rsid w:val="003454D9"/>
    <w:rsid w:val="003468BE"/>
    <w:rsid w:val="003468D2"/>
    <w:rsid w:val="00346D81"/>
    <w:rsid w:val="0034767C"/>
    <w:rsid w:val="003504E0"/>
    <w:rsid w:val="00351B7B"/>
    <w:rsid w:val="003520CF"/>
    <w:rsid w:val="00352130"/>
    <w:rsid w:val="00352629"/>
    <w:rsid w:val="00352F5E"/>
    <w:rsid w:val="003535C3"/>
    <w:rsid w:val="0035435C"/>
    <w:rsid w:val="00354637"/>
    <w:rsid w:val="0035480E"/>
    <w:rsid w:val="0035494E"/>
    <w:rsid w:val="00354BFF"/>
    <w:rsid w:val="00355078"/>
    <w:rsid w:val="00355BD8"/>
    <w:rsid w:val="00356695"/>
    <w:rsid w:val="00356AD2"/>
    <w:rsid w:val="003577C2"/>
    <w:rsid w:val="003607F7"/>
    <w:rsid w:val="00360DE5"/>
    <w:rsid w:val="00361C08"/>
    <w:rsid w:val="0036201E"/>
    <w:rsid w:val="003633E1"/>
    <w:rsid w:val="0036373E"/>
    <w:rsid w:val="003639F7"/>
    <w:rsid w:val="00363AD4"/>
    <w:rsid w:val="00363D93"/>
    <w:rsid w:val="00363EAE"/>
    <w:rsid w:val="00364893"/>
    <w:rsid w:val="00365A9D"/>
    <w:rsid w:val="00366C81"/>
    <w:rsid w:val="00366D2F"/>
    <w:rsid w:val="00367FDD"/>
    <w:rsid w:val="0037282B"/>
    <w:rsid w:val="0037338E"/>
    <w:rsid w:val="003738CE"/>
    <w:rsid w:val="0037433D"/>
    <w:rsid w:val="003764D2"/>
    <w:rsid w:val="00376B56"/>
    <w:rsid w:val="003773A5"/>
    <w:rsid w:val="003775F7"/>
    <w:rsid w:val="0037765D"/>
    <w:rsid w:val="0037791B"/>
    <w:rsid w:val="00377CC1"/>
    <w:rsid w:val="0038033E"/>
    <w:rsid w:val="003822A4"/>
    <w:rsid w:val="003822B8"/>
    <w:rsid w:val="00382429"/>
    <w:rsid w:val="00382C45"/>
    <w:rsid w:val="00382C7E"/>
    <w:rsid w:val="00383387"/>
    <w:rsid w:val="0038351C"/>
    <w:rsid w:val="00383891"/>
    <w:rsid w:val="003845F8"/>
    <w:rsid w:val="00384A94"/>
    <w:rsid w:val="003852A8"/>
    <w:rsid w:val="00385827"/>
    <w:rsid w:val="00385E7A"/>
    <w:rsid w:val="00386A77"/>
    <w:rsid w:val="00386B3B"/>
    <w:rsid w:val="003872A8"/>
    <w:rsid w:val="00387EF5"/>
    <w:rsid w:val="0039030C"/>
    <w:rsid w:val="003906A3"/>
    <w:rsid w:val="003907C0"/>
    <w:rsid w:val="00390A55"/>
    <w:rsid w:val="003916E8"/>
    <w:rsid w:val="00391E4B"/>
    <w:rsid w:val="00391F3C"/>
    <w:rsid w:val="00392149"/>
    <w:rsid w:val="00392461"/>
    <w:rsid w:val="00392690"/>
    <w:rsid w:val="0039288E"/>
    <w:rsid w:val="00393021"/>
    <w:rsid w:val="00393365"/>
    <w:rsid w:val="0039363C"/>
    <w:rsid w:val="00393D4C"/>
    <w:rsid w:val="00394B4B"/>
    <w:rsid w:val="00397EBC"/>
    <w:rsid w:val="00397F87"/>
    <w:rsid w:val="003A185C"/>
    <w:rsid w:val="003A1C83"/>
    <w:rsid w:val="003A1FAF"/>
    <w:rsid w:val="003A24EE"/>
    <w:rsid w:val="003A2A46"/>
    <w:rsid w:val="003A2BEE"/>
    <w:rsid w:val="003A4F37"/>
    <w:rsid w:val="003A53B6"/>
    <w:rsid w:val="003A5F71"/>
    <w:rsid w:val="003A6060"/>
    <w:rsid w:val="003A797D"/>
    <w:rsid w:val="003A7EA6"/>
    <w:rsid w:val="003B03DB"/>
    <w:rsid w:val="003B080C"/>
    <w:rsid w:val="003B0BC6"/>
    <w:rsid w:val="003B25FB"/>
    <w:rsid w:val="003B436D"/>
    <w:rsid w:val="003B45BC"/>
    <w:rsid w:val="003B49C5"/>
    <w:rsid w:val="003B500B"/>
    <w:rsid w:val="003B7173"/>
    <w:rsid w:val="003B76FC"/>
    <w:rsid w:val="003B7796"/>
    <w:rsid w:val="003B77DC"/>
    <w:rsid w:val="003C0070"/>
    <w:rsid w:val="003C008F"/>
    <w:rsid w:val="003C1764"/>
    <w:rsid w:val="003C1D2A"/>
    <w:rsid w:val="003C2AF5"/>
    <w:rsid w:val="003C4520"/>
    <w:rsid w:val="003C4616"/>
    <w:rsid w:val="003C4D5C"/>
    <w:rsid w:val="003C522F"/>
    <w:rsid w:val="003C562D"/>
    <w:rsid w:val="003C58A1"/>
    <w:rsid w:val="003C6DB2"/>
    <w:rsid w:val="003C7D73"/>
    <w:rsid w:val="003C7EC0"/>
    <w:rsid w:val="003D0205"/>
    <w:rsid w:val="003D086A"/>
    <w:rsid w:val="003D1587"/>
    <w:rsid w:val="003D238C"/>
    <w:rsid w:val="003D24F7"/>
    <w:rsid w:val="003D3259"/>
    <w:rsid w:val="003D38BA"/>
    <w:rsid w:val="003D589D"/>
    <w:rsid w:val="003D6656"/>
    <w:rsid w:val="003D6965"/>
    <w:rsid w:val="003D6DAE"/>
    <w:rsid w:val="003E0184"/>
    <w:rsid w:val="003E042B"/>
    <w:rsid w:val="003E0721"/>
    <w:rsid w:val="003E0CD3"/>
    <w:rsid w:val="003E13FF"/>
    <w:rsid w:val="003E14E7"/>
    <w:rsid w:val="003E1E30"/>
    <w:rsid w:val="003E2182"/>
    <w:rsid w:val="003E273C"/>
    <w:rsid w:val="003E333B"/>
    <w:rsid w:val="003E334E"/>
    <w:rsid w:val="003E3BF0"/>
    <w:rsid w:val="003E4056"/>
    <w:rsid w:val="003E42A7"/>
    <w:rsid w:val="003E4507"/>
    <w:rsid w:val="003E5852"/>
    <w:rsid w:val="003E5EB4"/>
    <w:rsid w:val="003E5F67"/>
    <w:rsid w:val="003E6E09"/>
    <w:rsid w:val="003E6F20"/>
    <w:rsid w:val="003E718F"/>
    <w:rsid w:val="003E7D50"/>
    <w:rsid w:val="003F101A"/>
    <w:rsid w:val="003F1095"/>
    <w:rsid w:val="003F15CD"/>
    <w:rsid w:val="003F1B20"/>
    <w:rsid w:val="003F2112"/>
    <w:rsid w:val="003F2267"/>
    <w:rsid w:val="003F2E97"/>
    <w:rsid w:val="003F3171"/>
    <w:rsid w:val="003F382F"/>
    <w:rsid w:val="003F41E8"/>
    <w:rsid w:val="003F4D4E"/>
    <w:rsid w:val="003F5570"/>
    <w:rsid w:val="003F6082"/>
    <w:rsid w:val="003F6180"/>
    <w:rsid w:val="003F6452"/>
    <w:rsid w:val="003F6931"/>
    <w:rsid w:val="003F7D6D"/>
    <w:rsid w:val="0040046C"/>
    <w:rsid w:val="004006D6"/>
    <w:rsid w:val="00401DB1"/>
    <w:rsid w:val="00402646"/>
    <w:rsid w:val="00402C0A"/>
    <w:rsid w:val="004039CF"/>
    <w:rsid w:val="00404F09"/>
    <w:rsid w:val="00405792"/>
    <w:rsid w:val="00405802"/>
    <w:rsid w:val="00405E5E"/>
    <w:rsid w:val="004066FB"/>
    <w:rsid w:val="00407458"/>
    <w:rsid w:val="004079D9"/>
    <w:rsid w:val="00410282"/>
    <w:rsid w:val="00410585"/>
    <w:rsid w:val="0041072B"/>
    <w:rsid w:val="00410764"/>
    <w:rsid w:val="004113FC"/>
    <w:rsid w:val="0041223C"/>
    <w:rsid w:val="004126E0"/>
    <w:rsid w:val="00412E27"/>
    <w:rsid w:val="0041542E"/>
    <w:rsid w:val="004154BF"/>
    <w:rsid w:val="00415780"/>
    <w:rsid w:val="00415A8A"/>
    <w:rsid w:val="00415D23"/>
    <w:rsid w:val="0041615B"/>
    <w:rsid w:val="00416645"/>
    <w:rsid w:val="004168C5"/>
    <w:rsid w:val="00416D78"/>
    <w:rsid w:val="00417BC7"/>
    <w:rsid w:val="0042096D"/>
    <w:rsid w:val="00420E6D"/>
    <w:rsid w:val="00421C2B"/>
    <w:rsid w:val="004233B2"/>
    <w:rsid w:val="004236FB"/>
    <w:rsid w:val="004237BE"/>
    <w:rsid w:val="00423B8C"/>
    <w:rsid w:val="00423FF8"/>
    <w:rsid w:val="00424232"/>
    <w:rsid w:val="00424370"/>
    <w:rsid w:val="00424BCC"/>
    <w:rsid w:val="00427129"/>
    <w:rsid w:val="0042715C"/>
    <w:rsid w:val="004274FB"/>
    <w:rsid w:val="004301B1"/>
    <w:rsid w:val="00430339"/>
    <w:rsid w:val="004303D4"/>
    <w:rsid w:val="00432121"/>
    <w:rsid w:val="004326BA"/>
    <w:rsid w:val="004333A6"/>
    <w:rsid w:val="004338B0"/>
    <w:rsid w:val="00433900"/>
    <w:rsid w:val="00434AED"/>
    <w:rsid w:val="00434EAA"/>
    <w:rsid w:val="004350B4"/>
    <w:rsid w:val="004363E7"/>
    <w:rsid w:val="004376E9"/>
    <w:rsid w:val="00437EE6"/>
    <w:rsid w:val="004400F3"/>
    <w:rsid w:val="004416DD"/>
    <w:rsid w:val="00441D12"/>
    <w:rsid w:val="004425B4"/>
    <w:rsid w:val="00443B24"/>
    <w:rsid w:val="00445AD1"/>
    <w:rsid w:val="004460F3"/>
    <w:rsid w:val="004465A9"/>
    <w:rsid w:val="0044683C"/>
    <w:rsid w:val="00446E3D"/>
    <w:rsid w:val="00447213"/>
    <w:rsid w:val="00447CE2"/>
    <w:rsid w:val="00450FFB"/>
    <w:rsid w:val="004511E3"/>
    <w:rsid w:val="004520ED"/>
    <w:rsid w:val="00452E71"/>
    <w:rsid w:val="00453895"/>
    <w:rsid w:val="00453EBB"/>
    <w:rsid w:val="004542CB"/>
    <w:rsid w:val="0045480C"/>
    <w:rsid w:val="00454DE2"/>
    <w:rsid w:val="004555C5"/>
    <w:rsid w:val="00457544"/>
    <w:rsid w:val="0046063A"/>
    <w:rsid w:val="0046069B"/>
    <w:rsid w:val="004607F9"/>
    <w:rsid w:val="00460DA4"/>
    <w:rsid w:val="00461382"/>
    <w:rsid w:val="00462D9B"/>
    <w:rsid w:val="004630FD"/>
    <w:rsid w:val="0046342A"/>
    <w:rsid w:val="00463E1B"/>
    <w:rsid w:val="0046401C"/>
    <w:rsid w:val="00464999"/>
    <w:rsid w:val="004650EF"/>
    <w:rsid w:val="004676E9"/>
    <w:rsid w:val="00467822"/>
    <w:rsid w:val="00467898"/>
    <w:rsid w:val="00470476"/>
    <w:rsid w:val="00470D89"/>
    <w:rsid w:val="00471219"/>
    <w:rsid w:val="00471564"/>
    <w:rsid w:val="004726B2"/>
    <w:rsid w:val="0047382F"/>
    <w:rsid w:val="00473C03"/>
    <w:rsid w:val="00474DB3"/>
    <w:rsid w:val="004753B8"/>
    <w:rsid w:val="00475748"/>
    <w:rsid w:val="00476BBF"/>
    <w:rsid w:val="004770CC"/>
    <w:rsid w:val="00477AEB"/>
    <w:rsid w:val="00477C21"/>
    <w:rsid w:val="00480BD3"/>
    <w:rsid w:val="00480E1C"/>
    <w:rsid w:val="00480ED4"/>
    <w:rsid w:val="004810CA"/>
    <w:rsid w:val="00481B48"/>
    <w:rsid w:val="004824DF"/>
    <w:rsid w:val="00484148"/>
    <w:rsid w:val="004845DF"/>
    <w:rsid w:val="004860C8"/>
    <w:rsid w:val="0048617F"/>
    <w:rsid w:val="004870BB"/>
    <w:rsid w:val="004874ED"/>
    <w:rsid w:val="0049006E"/>
    <w:rsid w:val="00491CA5"/>
    <w:rsid w:val="00492569"/>
    <w:rsid w:val="00492593"/>
    <w:rsid w:val="00493825"/>
    <w:rsid w:val="004946A1"/>
    <w:rsid w:val="00495EE5"/>
    <w:rsid w:val="00496239"/>
    <w:rsid w:val="00496267"/>
    <w:rsid w:val="00496540"/>
    <w:rsid w:val="00496F58"/>
    <w:rsid w:val="004A009F"/>
    <w:rsid w:val="004A1991"/>
    <w:rsid w:val="004A1F33"/>
    <w:rsid w:val="004A2693"/>
    <w:rsid w:val="004A2A11"/>
    <w:rsid w:val="004A2E1E"/>
    <w:rsid w:val="004A3F21"/>
    <w:rsid w:val="004A44AE"/>
    <w:rsid w:val="004A478F"/>
    <w:rsid w:val="004A4B21"/>
    <w:rsid w:val="004A4C5E"/>
    <w:rsid w:val="004A65D9"/>
    <w:rsid w:val="004A7286"/>
    <w:rsid w:val="004A7AB9"/>
    <w:rsid w:val="004B1083"/>
    <w:rsid w:val="004B1BB6"/>
    <w:rsid w:val="004B21D8"/>
    <w:rsid w:val="004B2282"/>
    <w:rsid w:val="004B3258"/>
    <w:rsid w:val="004B36C2"/>
    <w:rsid w:val="004B3765"/>
    <w:rsid w:val="004B39C1"/>
    <w:rsid w:val="004B3D77"/>
    <w:rsid w:val="004B46CA"/>
    <w:rsid w:val="004B4B38"/>
    <w:rsid w:val="004B6214"/>
    <w:rsid w:val="004B67D1"/>
    <w:rsid w:val="004B7182"/>
    <w:rsid w:val="004B74DD"/>
    <w:rsid w:val="004C031B"/>
    <w:rsid w:val="004C0519"/>
    <w:rsid w:val="004C07D7"/>
    <w:rsid w:val="004C0F35"/>
    <w:rsid w:val="004C193F"/>
    <w:rsid w:val="004C1A8A"/>
    <w:rsid w:val="004C1D16"/>
    <w:rsid w:val="004C1E29"/>
    <w:rsid w:val="004C2023"/>
    <w:rsid w:val="004C2D1E"/>
    <w:rsid w:val="004C32E5"/>
    <w:rsid w:val="004C34B1"/>
    <w:rsid w:val="004C4357"/>
    <w:rsid w:val="004C4429"/>
    <w:rsid w:val="004C4656"/>
    <w:rsid w:val="004C50AB"/>
    <w:rsid w:val="004C5351"/>
    <w:rsid w:val="004C5697"/>
    <w:rsid w:val="004C5734"/>
    <w:rsid w:val="004C6E98"/>
    <w:rsid w:val="004C6EA0"/>
    <w:rsid w:val="004C6EFC"/>
    <w:rsid w:val="004C7260"/>
    <w:rsid w:val="004C7DF5"/>
    <w:rsid w:val="004C7FDD"/>
    <w:rsid w:val="004D067C"/>
    <w:rsid w:val="004D072B"/>
    <w:rsid w:val="004D0CC6"/>
    <w:rsid w:val="004D1634"/>
    <w:rsid w:val="004D18C2"/>
    <w:rsid w:val="004D27C4"/>
    <w:rsid w:val="004D2AC1"/>
    <w:rsid w:val="004D2C5E"/>
    <w:rsid w:val="004D3FCF"/>
    <w:rsid w:val="004D44DC"/>
    <w:rsid w:val="004D470B"/>
    <w:rsid w:val="004D4765"/>
    <w:rsid w:val="004D4CC6"/>
    <w:rsid w:val="004D4E3E"/>
    <w:rsid w:val="004D52FF"/>
    <w:rsid w:val="004D5837"/>
    <w:rsid w:val="004D63C6"/>
    <w:rsid w:val="004D7742"/>
    <w:rsid w:val="004D7796"/>
    <w:rsid w:val="004E03FE"/>
    <w:rsid w:val="004E1DDA"/>
    <w:rsid w:val="004E2027"/>
    <w:rsid w:val="004E23B9"/>
    <w:rsid w:val="004E33E6"/>
    <w:rsid w:val="004E3802"/>
    <w:rsid w:val="004E4631"/>
    <w:rsid w:val="004E4C3E"/>
    <w:rsid w:val="004E5DDF"/>
    <w:rsid w:val="004E7513"/>
    <w:rsid w:val="004F0179"/>
    <w:rsid w:val="004F0776"/>
    <w:rsid w:val="004F07B4"/>
    <w:rsid w:val="004F0A2E"/>
    <w:rsid w:val="004F0A50"/>
    <w:rsid w:val="004F0BBC"/>
    <w:rsid w:val="004F158C"/>
    <w:rsid w:val="004F2179"/>
    <w:rsid w:val="004F2D39"/>
    <w:rsid w:val="004F2E66"/>
    <w:rsid w:val="004F31B6"/>
    <w:rsid w:val="004F48EC"/>
    <w:rsid w:val="00500239"/>
    <w:rsid w:val="005013C8"/>
    <w:rsid w:val="00501669"/>
    <w:rsid w:val="00501833"/>
    <w:rsid w:val="00501D1E"/>
    <w:rsid w:val="005022A6"/>
    <w:rsid w:val="00502D77"/>
    <w:rsid w:val="00502E30"/>
    <w:rsid w:val="0050301A"/>
    <w:rsid w:val="00503965"/>
    <w:rsid w:val="00503B38"/>
    <w:rsid w:val="00503F0C"/>
    <w:rsid w:val="005048EF"/>
    <w:rsid w:val="00506159"/>
    <w:rsid w:val="00506243"/>
    <w:rsid w:val="00506740"/>
    <w:rsid w:val="00506AF4"/>
    <w:rsid w:val="0051007B"/>
    <w:rsid w:val="00510100"/>
    <w:rsid w:val="005103F6"/>
    <w:rsid w:val="00510FF3"/>
    <w:rsid w:val="00511A3F"/>
    <w:rsid w:val="005123B0"/>
    <w:rsid w:val="00512C46"/>
    <w:rsid w:val="00513292"/>
    <w:rsid w:val="005133F8"/>
    <w:rsid w:val="005140B3"/>
    <w:rsid w:val="00514644"/>
    <w:rsid w:val="00515E9D"/>
    <w:rsid w:val="005170DB"/>
    <w:rsid w:val="0051736C"/>
    <w:rsid w:val="0051783C"/>
    <w:rsid w:val="00517A78"/>
    <w:rsid w:val="00520130"/>
    <w:rsid w:val="00520994"/>
    <w:rsid w:val="00520DE4"/>
    <w:rsid w:val="005212D1"/>
    <w:rsid w:val="00521398"/>
    <w:rsid w:val="005216F4"/>
    <w:rsid w:val="00521A71"/>
    <w:rsid w:val="00521C4C"/>
    <w:rsid w:val="005230ED"/>
    <w:rsid w:val="0052353E"/>
    <w:rsid w:val="005241CD"/>
    <w:rsid w:val="005253CD"/>
    <w:rsid w:val="005254B6"/>
    <w:rsid w:val="00525807"/>
    <w:rsid w:val="00526CD8"/>
    <w:rsid w:val="00526EAD"/>
    <w:rsid w:val="00527552"/>
    <w:rsid w:val="00530019"/>
    <w:rsid w:val="00530813"/>
    <w:rsid w:val="00530C83"/>
    <w:rsid w:val="00531CED"/>
    <w:rsid w:val="00531D80"/>
    <w:rsid w:val="0053214E"/>
    <w:rsid w:val="005324E4"/>
    <w:rsid w:val="005329CE"/>
    <w:rsid w:val="00532A14"/>
    <w:rsid w:val="00533A96"/>
    <w:rsid w:val="00534464"/>
    <w:rsid w:val="005355C1"/>
    <w:rsid w:val="00535B0B"/>
    <w:rsid w:val="005360E0"/>
    <w:rsid w:val="005364A9"/>
    <w:rsid w:val="00536A36"/>
    <w:rsid w:val="005402D0"/>
    <w:rsid w:val="005407B3"/>
    <w:rsid w:val="0054154B"/>
    <w:rsid w:val="005425D7"/>
    <w:rsid w:val="005429C0"/>
    <w:rsid w:val="005429D8"/>
    <w:rsid w:val="00543A5B"/>
    <w:rsid w:val="005448F0"/>
    <w:rsid w:val="0054503F"/>
    <w:rsid w:val="00545325"/>
    <w:rsid w:val="005453AD"/>
    <w:rsid w:val="00545DB7"/>
    <w:rsid w:val="005462E0"/>
    <w:rsid w:val="00546C28"/>
    <w:rsid w:val="00547001"/>
    <w:rsid w:val="00547251"/>
    <w:rsid w:val="005478AA"/>
    <w:rsid w:val="00550097"/>
    <w:rsid w:val="00550481"/>
    <w:rsid w:val="00550683"/>
    <w:rsid w:val="005511C0"/>
    <w:rsid w:val="0055255E"/>
    <w:rsid w:val="0055448A"/>
    <w:rsid w:val="0055471E"/>
    <w:rsid w:val="00555A2D"/>
    <w:rsid w:val="00555DC1"/>
    <w:rsid w:val="005567A5"/>
    <w:rsid w:val="00560806"/>
    <w:rsid w:val="00560AC2"/>
    <w:rsid w:val="00560F48"/>
    <w:rsid w:val="0056185D"/>
    <w:rsid w:val="00561DE3"/>
    <w:rsid w:val="005623A4"/>
    <w:rsid w:val="00562825"/>
    <w:rsid w:val="00562CB9"/>
    <w:rsid w:val="00563E7F"/>
    <w:rsid w:val="005651DF"/>
    <w:rsid w:val="0056536A"/>
    <w:rsid w:val="0056585D"/>
    <w:rsid w:val="005667D3"/>
    <w:rsid w:val="005669E9"/>
    <w:rsid w:val="005678C9"/>
    <w:rsid w:val="00567EE8"/>
    <w:rsid w:val="0057014C"/>
    <w:rsid w:val="005713D9"/>
    <w:rsid w:val="00573793"/>
    <w:rsid w:val="005742A7"/>
    <w:rsid w:val="00576042"/>
    <w:rsid w:val="00576136"/>
    <w:rsid w:val="0057660A"/>
    <w:rsid w:val="005770D8"/>
    <w:rsid w:val="00577A29"/>
    <w:rsid w:val="00577EBF"/>
    <w:rsid w:val="0058170B"/>
    <w:rsid w:val="00581CF2"/>
    <w:rsid w:val="00581D96"/>
    <w:rsid w:val="005828DE"/>
    <w:rsid w:val="00582938"/>
    <w:rsid w:val="0058309C"/>
    <w:rsid w:val="005851F3"/>
    <w:rsid w:val="00586D56"/>
    <w:rsid w:val="0058721B"/>
    <w:rsid w:val="00590CD1"/>
    <w:rsid w:val="00591360"/>
    <w:rsid w:val="00591AAD"/>
    <w:rsid w:val="00591DFC"/>
    <w:rsid w:val="00592A5D"/>
    <w:rsid w:val="00592D2A"/>
    <w:rsid w:val="0059373E"/>
    <w:rsid w:val="00594EC0"/>
    <w:rsid w:val="0059545B"/>
    <w:rsid w:val="00596D16"/>
    <w:rsid w:val="00596DC4"/>
    <w:rsid w:val="005A0E19"/>
    <w:rsid w:val="005A224F"/>
    <w:rsid w:val="005A268E"/>
    <w:rsid w:val="005A3F5D"/>
    <w:rsid w:val="005A5F79"/>
    <w:rsid w:val="005A7103"/>
    <w:rsid w:val="005A7372"/>
    <w:rsid w:val="005A79B9"/>
    <w:rsid w:val="005A7A1D"/>
    <w:rsid w:val="005B0CEE"/>
    <w:rsid w:val="005B214C"/>
    <w:rsid w:val="005B2527"/>
    <w:rsid w:val="005B4E15"/>
    <w:rsid w:val="005B583B"/>
    <w:rsid w:val="005B5A2B"/>
    <w:rsid w:val="005B6758"/>
    <w:rsid w:val="005B6852"/>
    <w:rsid w:val="005B6B94"/>
    <w:rsid w:val="005B72DA"/>
    <w:rsid w:val="005B7348"/>
    <w:rsid w:val="005B79A8"/>
    <w:rsid w:val="005B7DF7"/>
    <w:rsid w:val="005B7E73"/>
    <w:rsid w:val="005C12E9"/>
    <w:rsid w:val="005C14DC"/>
    <w:rsid w:val="005C1E5C"/>
    <w:rsid w:val="005C2D29"/>
    <w:rsid w:val="005C326A"/>
    <w:rsid w:val="005C386B"/>
    <w:rsid w:val="005C3EB0"/>
    <w:rsid w:val="005C4719"/>
    <w:rsid w:val="005C47D6"/>
    <w:rsid w:val="005C50B4"/>
    <w:rsid w:val="005C61C4"/>
    <w:rsid w:val="005C6209"/>
    <w:rsid w:val="005C6232"/>
    <w:rsid w:val="005C62AB"/>
    <w:rsid w:val="005C6739"/>
    <w:rsid w:val="005C6A97"/>
    <w:rsid w:val="005C6ABF"/>
    <w:rsid w:val="005C7960"/>
    <w:rsid w:val="005D03FC"/>
    <w:rsid w:val="005D082B"/>
    <w:rsid w:val="005D146B"/>
    <w:rsid w:val="005D1CAE"/>
    <w:rsid w:val="005D2E94"/>
    <w:rsid w:val="005D32B9"/>
    <w:rsid w:val="005D3C7D"/>
    <w:rsid w:val="005D4C9D"/>
    <w:rsid w:val="005D50B8"/>
    <w:rsid w:val="005D5217"/>
    <w:rsid w:val="005D5811"/>
    <w:rsid w:val="005D6DFF"/>
    <w:rsid w:val="005D7212"/>
    <w:rsid w:val="005D72C0"/>
    <w:rsid w:val="005E04D3"/>
    <w:rsid w:val="005E1071"/>
    <w:rsid w:val="005E135F"/>
    <w:rsid w:val="005E14C5"/>
    <w:rsid w:val="005E1AD4"/>
    <w:rsid w:val="005E216A"/>
    <w:rsid w:val="005E21ED"/>
    <w:rsid w:val="005E3267"/>
    <w:rsid w:val="005E424D"/>
    <w:rsid w:val="005E63E0"/>
    <w:rsid w:val="005E6A58"/>
    <w:rsid w:val="005E74AA"/>
    <w:rsid w:val="005F20ED"/>
    <w:rsid w:val="005F250C"/>
    <w:rsid w:val="005F265C"/>
    <w:rsid w:val="005F272D"/>
    <w:rsid w:val="005F276A"/>
    <w:rsid w:val="005F34DC"/>
    <w:rsid w:val="005F472D"/>
    <w:rsid w:val="005F486C"/>
    <w:rsid w:val="005F4A05"/>
    <w:rsid w:val="005F515D"/>
    <w:rsid w:val="005F58F6"/>
    <w:rsid w:val="005F6A04"/>
    <w:rsid w:val="005F70C0"/>
    <w:rsid w:val="005F7D1A"/>
    <w:rsid w:val="0060026A"/>
    <w:rsid w:val="00600974"/>
    <w:rsid w:val="00600D49"/>
    <w:rsid w:val="00601AD4"/>
    <w:rsid w:val="00601EFD"/>
    <w:rsid w:val="006026B5"/>
    <w:rsid w:val="00602F06"/>
    <w:rsid w:val="0060367E"/>
    <w:rsid w:val="00603A0D"/>
    <w:rsid w:val="00604420"/>
    <w:rsid w:val="006047C3"/>
    <w:rsid w:val="00604D8B"/>
    <w:rsid w:val="0060515D"/>
    <w:rsid w:val="0060572C"/>
    <w:rsid w:val="00605ADC"/>
    <w:rsid w:val="00605E01"/>
    <w:rsid w:val="0060714A"/>
    <w:rsid w:val="006077C1"/>
    <w:rsid w:val="00610392"/>
    <w:rsid w:val="0061141D"/>
    <w:rsid w:val="00611CD4"/>
    <w:rsid w:val="00611CE4"/>
    <w:rsid w:val="00612728"/>
    <w:rsid w:val="00612914"/>
    <w:rsid w:val="00612E4C"/>
    <w:rsid w:val="006147E7"/>
    <w:rsid w:val="006148C0"/>
    <w:rsid w:val="0061506A"/>
    <w:rsid w:val="00615574"/>
    <w:rsid w:val="006156DE"/>
    <w:rsid w:val="00615AC0"/>
    <w:rsid w:val="00616E90"/>
    <w:rsid w:val="0061737F"/>
    <w:rsid w:val="006207BC"/>
    <w:rsid w:val="00621166"/>
    <w:rsid w:val="00621C81"/>
    <w:rsid w:val="00621DDA"/>
    <w:rsid w:val="00621E03"/>
    <w:rsid w:val="00623207"/>
    <w:rsid w:val="0062332E"/>
    <w:rsid w:val="00623DFC"/>
    <w:rsid w:val="0062412C"/>
    <w:rsid w:val="0062440C"/>
    <w:rsid w:val="0062472F"/>
    <w:rsid w:val="006247C0"/>
    <w:rsid w:val="00625048"/>
    <w:rsid w:val="00625D78"/>
    <w:rsid w:val="00626629"/>
    <w:rsid w:val="00626A56"/>
    <w:rsid w:val="00626E36"/>
    <w:rsid w:val="00627173"/>
    <w:rsid w:val="00627474"/>
    <w:rsid w:val="00627B8B"/>
    <w:rsid w:val="0063105D"/>
    <w:rsid w:val="0063330A"/>
    <w:rsid w:val="00633CBC"/>
    <w:rsid w:val="00633D90"/>
    <w:rsid w:val="006347A2"/>
    <w:rsid w:val="00634A5D"/>
    <w:rsid w:val="0063570F"/>
    <w:rsid w:val="00635711"/>
    <w:rsid w:val="006363D5"/>
    <w:rsid w:val="006363DA"/>
    <w:rsid w:val="00640F05"/>
    <w:rsid w:val="006421DF"/>
    <w:rsid w:val="00643884"/>
    <w:rsid w:val="0064418E"/>
    <w:rsid w:val="00644CC4"/>
    <w:rsid w:val="00644F7F"/>
    <w:rsid w:val="0064538E"/>
    <w:rsid w:val="00645472"/>
    <w:rsid w:val="00645F55"/>
    <w:rsid w:val="00646A25"/>
    <w:rsid w:val="00646EA5"/>
    <w:rsid w:val="00647A5E"/>
    <w:rsid w:val="00647B5F"/>
    <w:rsid w:val="00647B67"/>
    <w:rsid w:val="00647C7F"/>
    <w:rsid w:val="00650039"/>
    <w:rsid w:val="006510E8"/>
    <w:rsid w:val="00651C76"/>
    <w:rsid w:val="0065439B"/>
    <w:rsid w:val="00654555"/>
    <w:rsid w:val="00654915"/>
    <w:rsid w:val="00654D9A"/>
    <w:rsid w:val="00654EEE"/>
    <w:rsid w:val="00655F87"/>
    <w:rsid w:val="006562F3"/>
    <w:rsid w:val="00656573"/>
    <w:rsid w:val="00657568"/>
    <w:rsid w:val="006600B9"/>
    <w:rsid w:val="00660260"/>
    <w:rsid w:val="00661381"/>
    <w:rsid w:val="0066164D"/>
    <w:rsid w:val="00661B4A"/>
    <w:rsid w:val="00662265"/>
    <w:rsid w:val="006624E0"/>
    <w:rsid w:val="00662FB6"/>
    <w:rsid w:val="00663804"/>
    <w:rsid w:val="00664193"/>
    <w:rsid w:val="006643DF"/>
    <w:rsid w:val="00664E12"/>
    <w:rsid w:val="006651D0"/>
    <w:rsid w:val="006653DB"/>
    <w:rsid w:val="0066573E"/>
    <w:rsid w:val="00665D65"/>
    <w:rsid w:val="006664BC"/>
    <w:rsid w:val="006665F2"/>
    <w:rsid w:val="00666FE8"/>
    <w:rsid w:val="006671DE"/>
    <w:rsid w:val="00667EA6"/>
    <w:rsid w:val="006702FE"/>
    <w:rsid w:val="00670AF3"/>
    <w:rsid w:val="00670B5E"/>
    <w:rsid w:val="00671C63"/>
    <w:rsid w:val="00671FF3"/>
    <w:rsid w:val="006726D4"/>
    <w:rsid w:val="00672BF0"/>
    <w:rsid w:val="00672EBC"/>
    <w:rsid w:val="006733E5"/>
    <w:rsid w:val="0067369E"/>
    <w:rsid w:val="006736C1"/>
    <w:rsid w:val="006743BA"/>
    <w:rsid w:val="00674A18"/>
    <w:rsid w:val="0067528F"/>
    <w:rsid w:val="0067619F"/>
    <w:rsid w:val="00677784"/>
    <w:rsid w:val="0068001A"/>
    <w:rsid w:val="0068018B"/>
    <w:rsid w:val="00680B45"/>
    <w:rsid w:val="00680B97"/>
    <w:rsid w:val="006810FA"/>
    <w:rsid w:val="00681A38"/>
    <w:rsid w:val="00682F92"/>
    <w:rsid w:val="00683085"/>
    <w:rsid w:val="00683B4C"/>
    <w:rsid w:val="0068522C"/>
    <w:rsid w:val="0068609C"/>
    <w:rsid w:val="006874D8"/>
    <w:rsid w:val="00687E01"/>
    <w:rsid w:val="00687F19"/>
    <w:rsid w:val="00690220"/>
    <w:rsid w:val="00690638"/>
    <w:rsid w:val="00691098"/>
    <w:rsid w:val="00691980"/>
    <w:rsid w:val="006932B6"/>
    <w:rsid w:val="00694402"/>
    <w:rsid w:val="0069481D"/>
    <w:rsid w:val="00694887"/>
    <w:rsid w:val="00694C91"/>
    <w:rsid w:val="006950FD"/>
    <w:rsid w:val="006957C4"/>
    <w:rsid w:val="00696109"/>
    <w:rsid w:val="00696684"/>
    <w:rsid w:val="006967E5"/>
    <w:rsid w:val="00696B27"/>
    <w:rsid w:val="006A02CB"/>
    <w:rsid w:val="006A0D9E"/>
    <w:rsid w:val="006A10D8"/>
    <w:rsid w:val="006A1449"/>
    <w:rsid w:val="006A1797"/>
    <w:rsid w:val="006A1EAF"/>
    <w:rsid w:val="006A2403"/>
    <w:rsid w:val="006A25A4"/>
    <w:rsid w:val="006A298B"/>
    <w:rsid w:val="006A2CB6"/>
    <w:rsid w:val="006A2FFC"/>
    <w:rsid w:val="006A3379"/>
    <w:rsid w:val="006A33C7"/>
    <w:rsid w:val="006A3701"/>
    <w:rsid w:val="006A39AF"/>
    <w:rsid w:val="006A3D83"/>
    <w:rsid w:val="006A5308"/>
    <w:rsid w:val="006A59BA"/>
    <w:rsid w:val="006A59DA"/>
    <w:rsid w:val="006A5D0C"/>
    <w:rsid w:val="006A6B2B"/>
    <w:rsid w:val="006A6CA2"/>
    <w:rsid w:val="006A7844"/>
    <w:rsid w:val="006B0212"/>
    <w:rsid w:val="006B1C46"/>
    <w:rsid w:val="006B1E20"/>
    <w:rsid w:val="006B2C55"/>
    <w:rsid w:val="006B2CBB"/>
    <w:rsid w:val="006B32A5"/>
    <w:rsid w:val="006B38E7"/>
    <w:rsid w:val="006B404E"/>
    <w:rsid w:val="006B4581"/>
    <w:rsid w:val="006B522D"/>
    <w:rsid w:val="006B5339"/>
    <w:rsid w:val="006B5367"/>
    <w:rsid w:val="006B5455"/>
    <w:rsid w:val="006B63AA"/>
    <w:rsid w:val="006B66C8"/>
    <w:rsid w:val="006B7579"/>
    <w:rsid w:val="006B7E61"/>
    <w:rsid w:val="006B7FD5"/>
    <w:rsid w:val="006B7FDD"/>
    <w:rsid w:val="006C0111"/>
    <w:rsid w:val="006C012F"/>
    <w:rsid w:val="006C0731"/>
    <w:rsid w:val="006C119B"/>
    <w:rsid w:val="006C1DF0"/>
    <w:rsid w:val="006C208C"/>
    <w:rsid w:val="006C3157"/>
    <w:rsid w:val="006C5277"/>
    <w:rsid w:val="006C54F9"/>
    <w:rsid w:val="006C6955"/>
    <w:rsid w:val="006C73EB"/>
    <w:rsid w:val="006C7B78"/>
    <w:rsid w:val="006D123A"/>
    <w:rsid w:val="006D2000"/>
    <w:rsid w:val="006D2689"/>
    <w:rsid w:val="006D3D6F"/>
    <w:rsid w:val="006D5A20"/>
    <w:rsid w:val="006D5FF4"/>
    <w:rsid w:val="006D6134"/>
    <w:rsid w:val="006D64C7"/>
    <w:rsid w:val="006D6704"/>
    <w:rsid w:val="006D6C92"/>
    <w:rsid w:val="006D6D53"/>
    <w:rsid w:val="006D76C3"/>
    <w:rsid w:val="006D7DF8"/>
    <w:rsid w:val="006E0634"/>
    <w:rsid w:val="006E17C0"/>
    <w:rsid w:val="006E188C"/>
    <w:rsid w:val="006E190E"/>
    <w:rsid w:val="006E2D7D"/>
    <w:rsid w:val="006E33B2"/>
    <w:rsid w:val="006E3A1F"/>
    <w:rsid w:val="006E42CB"/>
    <w:rsid w:val="006E49ED"/>
    <w:rsid w:val="006E5612"/>
    <w:rsid w:val="006E592D"/>
    <w:rsid w:val="006E62A3"/>
    <w:rsid w:val="006E6620"/>
    <w:rsid w:val="006E7719"/>
    <w:rsid w:val="006E7B1E"/>
    <w:rsid w:val="006F106B"/>
    <w:rsid w:val="006F108F"/>
    <w:rsid w:val="006F1BBF"/>
    <w:rsid w:val="006F2DED"/>
    <w:rsid w:val="006F46C4"/>
    <w:rsid w:val="006F4A9F"/>
    <w:rsid w:val="006F4FC7"/>
    <w:rsid w:val="006F5022"/>
    <w:rsid w:val="006F611E"/>
    <w:rsid w:val="006F74E4"/>
    <w:rsid w:val="006F770D"/>
    <w:rsid w:val="00700E28"/>
    <w:rsid w:val="007022E1"/>
    <w:rsid w:val="0070290A"/>
    <w:rsid w:val="0070320D"/>
    <w:rsid w:val="007033FB"/>
    <w:rsid w:val="007040AD"/>
    <w:rsid w:val="007049BE"/>
    <w:rsid w:val="00704A99"/>
    <w:rsid w:val="00704F7C"/>
    <w:rsid w:val="00705D76"/>
    <w:rsid w:val="0070660A"/>
    <w:rsid w:val="00706680"/>
    <w:rsid w:val="00706B95"/>
    <w:rsid w:val="00706F32"/>
    <w:rsid w:val="00707B58"/>
    <w:rsid w:val="00707B88"/>
    <w:rsid w:val="00707EC6"/>
    <w:rsid w:val="00707F3F"/>
    <w:rsid w:val="0071013E"/>
    <w:rsid w:val="00710702"/>
    <w:rsid w:val="007107B7"/>
    <w:rsid w:val="00710E26"/>
    <w:rsid w:val="0071121C"/>
    <w:rsid w:val="007113B6"/>
    <w:rsid w:val="007114B6"/>
    <w:rsid w:val="00711A71"/>
    <w:rsid w:val="00711C04"/>
    <w:rsid w:val="00712829"/>
    <w:rsid w:val="00713390"/>
    <w:rsid w:val="00713748"/>
    <w:rsid w:val="007151E5"/>
    <w:rsid w:val="00716902"/>
    <w:rsid w:val="007175D3"/>
    <w:rsid w:val="00717743"/>
    <w:rsid w:val="00717AFA"/>
    <w:rsid w:val="00717D7C"/>
    <w:rsid w:val="00720042"/>
    <w:rsid w:val="00720655"/>
    <w:rsid w:val="00720BA7"/>
    <w:rsid w:val="00721876"/>
    <w:rsid w:val="00722CF8"/>
    <w:rsid w:val="00723080"/>
    <w:rsid w:val="00723224"/>
    <w:rsid w:val="00723285"/>
    <w:rsid w:val="0072329B"/>
    <w:rsid w:val="00723CDC"/>
    <w:rsid w:val="0072525F"/>
    <w:rsid w:val="00725D4E"/>
    <w:rsid w:val="007272AF"/>
    <w:rsid w:val="007277E1"/>
    <w:rsid w:val="00727812"/>
    <w:rsid w:val="0072790F"/>
    <w:rsid w:val="007307A3"/>
    <w:rsid w:val="00731244"/>
    <w:rsid w:val="00731AE4"/>
    <w:rsid w:val="00731CBA"/>
    <w:rsid w:val="0073264B"/>
    <w:rsid w:val="00732771"/>
    <w:rsid w:val="007333C0"/>
    <w:rsid w:val="007349FD"/>
    <w:rsid w:val="00737C5E"/>
    <w:rsid w:val="007402C7"/>
    <w:rsid w:val="00740E95"/>
    <w:rsid w:val="00741B79"/>
    <w:rsid w:val="007425D6"/>
    <w:rsid w:val="00742777"/>
    <w:rsid w:val="00743424"/>
    <w:rsid w:val="00743AB1"/>
    <w:rsid w:val="0074550E"/>
    <w:rsid w:val="00745A48"/>
    <w:rsid w:val="00745C40"/>
    <w:rsid w:val="00747549"/>
    <w:rsid w:val="0075047D"/>
    <w:rsid w:val="00751B48"/>
    <w:rsid w:val="00752498"/>
    <w:rsid w:val="007535AE"/>
    <w:rsid w:val="00754F7F"/>
    <w:rsid w:val="00755589"/>
    <w:rsid w:val="0075760B"/>
    <w:rsid w:val="007576C7"/>
    <w:rsid w:val="00757D8F"/>
    <w:rsid w:val="00757DCD"/>
    <w:rsid w:val="00760288"/>
    <w:rsid w:val="00760490"/>
    <w:rsid w:val="00760ECE"/>
    <w:rsid w:val="00761014"/>
    <w:rsid w:val="007618D8"/>
    <w:rsid w:val="0076208F"/>
    <w:rsid w:val="00762219"/>
    <w:rsid w:val="007625DB"/>
    <w:rsid w:val="00762725"/>
    <w:rsid w:val="00762EF7"/>
    <w:rsid w:val="00762F07"/>
    <w:rsid w:val="0076323D"/>
    <w:rsid w:val="007638D6"/>
    <w:rsid w:val="00763B28"/>
    <w:rsid w:val="0076430C"/>
    <w:rsid w:val="00764A1D"/>
    <w:rsid w:val="00764DD4"/>
    <w:rsid w:val="0076535E"/>
    <w:rsid w:val="00765824"/>
    <w:rsid w:val="007666F9"/>
    <w:rsid w:val="00766F93"/>
    <w:rsid w:val="007704C6"/>
    <w:rsid w:val="00770543"/>
    <w:rsid w:val="007709DA"/>
    <w:rsid w:val="00770ABF"/>
    <w:rsid w:val="00770BAD"/>
    <w:rsid w:val="00772F22"/>
    <w:rsid w:val="00772F8D"/>
    <w:rsid w:val="00773132"/>
    <w:rsid w:val="0077349C"/>
    <w:rsid w:val="00773831"/>
    <w:rsid w:val="00773B22"/>
    <w:rsid w:val="00774512"/>
    <w:rsid w:val="00775C80"/>
    <w:rsid w:val="0078055F"/>
    <w:rsid w:val="00780CF2"/>
    <w:rsid w:val="007813CF"/>
    <w:rsid w:val="00784404"/>
    <w:rsid w:val="0078497E"/>
    <w:rsid w:val="00784B14"/>
    <w:rsid w:val="00784F2C"/>
    <w:rsid w:val="007850DF"/>
    <w:rsid w:val="00785674"/>
    <w:rsid w:val="00785690"/>
    <w:rsid w:val="0078692E"/>
    <w:rsid w:val="00790432"/>
    <w:rsid w:val="00790494"/>
    <w:rsid w:val="00790808"/>
    <w:rsid w:val="00790FA5"/>
    <w:rsid w:val="007913B6"/>
    <w:rsid w:val="007936DC"/>
    <w:rsid w:val="00794AFE"/>
    <w:rsid w:val="00794CA3"/>
    <w:rsid w:val="00794CEF"/>
    <w:rsid w:val="007974FA"/>
    <w:rsid w:val="0079757D"/>
    <w:rsid w:val="00797995"/>
    <w:rsid w:val="007A0212"/>
    <w:rsid w:val="007A034C"/>
    <w:rsid w:val="007A0AC9"/>
    <w:rsid w:val="007A10C2"/>
    <w:rsid w:val="007A1104"/>
    <w:rsid w:val="007A1A75"/>
    <w:rsid w:val="007A1D54"/>
    <w:rsid w:val="007A2E94"/>
    <w:rsid w:val="007A38B9"/>
    <w:rsid w:val="007A3CEB"/>
    <w:rsid w:val="007A413D"/>
    <w:rsid w:val="007A427A"/>
    <w:rsid w:val="007A4656"/>
    <w:rsid w:val="007A4D9D"/>
    <w:rsid w:val="007A4E39"/>
    <w:rsid w:val="007A59E3"/>
    <w:rsid w:val="007A6174"/>
    <w:rsid w:val="007A634A"/>
    <w:rsid w:val="007A63B5"/>
    <w:rsid w:val="007A6406"/>
    <w:rsid w:val="007A65E9"/>
    <w:rsid w:val="007A6A9E"/>
    <w:rsid w:val="007A6C84"/>
    <w:rsid w:val="007A7176"/>
    <w:rsid w:val="007A72CF"/>
    <w:rsid w:val="007A7638"/>
    <w:rsid w:val="007B0900"/>
    <w:rsid w:val="007B0B93"/>
    <w:rsid w:val="007B13C7"/>
    <w:rsid w:val="007B13EC"/>
    <w:rsid w:val="007B233C"/>
    <w:rsid w:val="007B2A91"/>
    <w:rsid w:val="007B2CBB"/>
    <w:rsid w:val="007B452D"/>
    <w:rsid w:val="007B462B"/>
    <w:rsid w:val="007B698D"/>
    <w:rsid w:val="007B6ABB"/>
    <w:rsid w:val="007B7175"/>
    <w:rsid w:val="007C0011"/>
    <w:rsid w:val="007C0309"/>
    <w:rsid w:val="007C0C6B"/>
    <w:rsid w:val="007C154A"/>
    <w:rsid w:val="007C1842"/>
    <w:rsid w:val="007C24AA"/>
    <w:rsid w:val="007C2CD3"/>
    <w:rsid w:val="007C2E4D"/>
    <w:rsid w:val="007C3037"/>
    <w:rsid w:val="007C460F"/>
    <w:rsid w:val="007C65CD"/>
    <w:rsid w:val="007C71D9"/>
    <w:rsid w:val="007C77DE"/>
    <w:rsid w:val="007C7D63"/>
    <w:rsid w:val="007D0D07"/>
    <w:rsid w:val="007D0DFB"/>
    <w:rsid w:val="007D1746"/>
    <w:rsid w:val="007D1E14"/>
    <w:rsid w:val="007D2649"/>
    <w:rsid w:val="007D4838"/>
    <w:rsid w:val="007D516E"/>
    <w:rsid w:val="007D6896"/>
    <w:rsid w:val="007D6B1D"/>
    <w:rsid w:val="007D79B9"/>
    <w:rsid w:val="007D7FB5"/>
    <w:rsid w:val="007E0419"/>
    <w:rsid w:val="007E04C9"/>
    <w:rsid w:val="007E095D"/>
    <w:rsid w:val="007E1587"/>
    <w:rsid w:val="007E15CA"/>
    <w:rsid w:val="007E2BC5"/>
    <w:rsid w:val="007E3271"/>
    <w:rsid w:val="007E3C04"/>
    <w:rsid w:val="007E4384"/>
    <w:rsid w:val="007E4E45"/>
    <w:rsid w:val="007E5646"/>
    <w:rsid w:val="007E61C8"/>
    <w:rsid w:val="007E62E8"/>
    <w:rsid w:val="007E63BF"/>
    <w:rsid w:val="007E66ED"/>
    <w:rsid w:val="007F017A"/>
    <w:rsid w:val="007F05B0"/>
    <w:rsid w:val="007F0ACA"/>
    <w:rsid w:val="007F21FB"/>
    <w:rsid w:val="007F2D2B"/>
    <w:rsid w:val="007F301F"/>
    <w:rsid w:val="007F5828"/>
    <w:rsid w:val="007F5DA7"/>
    <w:rsid w:val="007F60C9"/>
    <w:rsid w:val="007F7081"/>
    <w:rsid w:val="007F7256"/>
    <w:rsid w:val="00800178"/>
    <w:rsid w:val="00800743"/>
    <w:rsid w:val="008011CA"/>
    <w:rsid w:val="00802115"/>
    <w:rsid w:val="0080297F"/>
    <w:rsid w:val="00804653"/>
    <w:rsid w:val="008050D4"/>
    <w:rsid w:val="00805376"/>
    <w:rsid w:val="00805E6B"/>
    <w:rsid w:val="00806B48"/>
    <w:rsid w:val="00806B79"/>
    <w:rsid w:val="00807409"/>
    <w:rsid w:val="00807C05"/>
    <w:rsid w:val="00810142"/>
    <w:rsid w:val="00810D7D"/>
    <w:rsid w:val="00810E82"/>
    <w:rsid w:val="0081149E"/>
    <w:rsid w:val="0081255C"/>
    <w:rsid w:val="008139AE"/>
    <w:rsid w:val="00814123"/>
    <w:rsid w:val="008142DE"/>
    <w:rsid w:val="00814482"/>
    <w:rsid w:val="008144F4"/>
    <w:rsid w:val="00814509"/>
    <w:rsid w:val="00815814"/>
    <w:rsid w:val="0081713C"/>
    <w:rsid w:val="00817A3E"/>
    <w:rsid w:val="00817CE9"/>
    <w:rsid w:val="0082098C"/>
    <w:rsid w:val="00820C87"/>
    <w:rsid w:val="00822524"/>
    <w:rsid w:val="0082336A"/>
    <w:rsid w:val="008237D2"/>
    <w:rsid w:val="008248B1"/>
    <w:rsid w:val="00824A60"/>
    <w:rsid w:val="00824D94"/>
    <w:rsid w:val="00826543"/>
    <w:rsid w:val="00827420"/>
    <w:rsid w:val="00827500"/>
    <w:rsid w:val="00827D38"/>
    <w:rsid w:val="00830D77"/>
    <w:rsid w:val="00831610"/>
    <w:rsid w:val="0083401D"/>
    <w:rsid w:val="00834126"/>
    <w:rsid w:val="00834226"/>
    <w:rsid w:val="00834839"/>
    <w:rsid w:val="00835338"/>
    <w:rsid w:val="00835FAD"/>
    <w:rsid w:val="0083660F"/>
    <w:rsid w:val="00837CF8"/>
    <w:rsid w:val="00840530"/>
    <w:rsid w:val="00840EAF"/>
    <w:rsid w:val="0084102B"/>
    <w:rsid w:val="008411AD"/>
    <w:rsid w:val="008415D7"/>
    <w:rsid w:val="0084160B"/>
    <w:rsid w:val="00841666"/>
    <w:rsid w:val="00842134"/>
    <w:rsid w:val="00842394"/>
    <w:rsid w:val="00842B81"/>
    <w:rsid w:val="00843508"/>
    <w:rsid w:val="00844DE2"/>
    <w:rsid w:val="008452CB"/>
    <w:rsid w:val="0084548E"/>
    <w:rsid w:val="008477BC"/>
    <w:rsid w:val="00847DE1"/>
    <w:rsid w:val="00851032"/>
    <w:rsid w:val="0085148D"/>
    <w:rsid w:val="00851504"/>
    <w:rsid w:val="0085314A"/>
    <w:rsid w:val="00853ECF"/>
    <w:rsid w:val="0085439C"/>
    <w:rsid w:val="00854AD1"/>
    <w:rsid w:val="00855332"/>
    <w:rsid w:val="0085543E"/>
    <w:rsid w:val="0085578B"/>
    <w:rsid w:val="00855CB4"/>
    <w:rsid w:val="00856EEC"/>
    <w:rsid w:val="00857202"/>
    <w:rsid w:val="0085763D"/>
    <w:rsid w:val="008579B9"/>
    <w:rsid w:val="00857C72"/>
    <w:rsid w:val="00860637"/>
    <w:rsid w:val="0086099E"/>
    <w:rsid w:val="00860E4D"/>
    <w:rsid w:val="00861337"/>
    <w:rsid w:val="00861906"/>
    <w:rsid w:val="008633F6"/>
    <w:rsid w:val="00864415"/>
    <w:rsid w:val="008646F4"/>
    <w:rsid w:val="00864EE5"/>
    <w:rsid w:val="0086594A"/>
    <w:rsid w:val="00865A02"/>
    <w:rsid w:val="00865EE8"/>
    <w:rsid w:val="0086750F"/>
    <w:rsid w:val="008676F6"/>
    <w:rsid w:val="00870753"/>
    <w:rsid w:val="00870BED"/>
    <w:rsid w:val="00872B76"/>
    <w:rsid w:val="00873FFC"/>
    <w:rsid w:val="008742D4"/>
    <w:rsid w:val="00875B10"/>
    <w:rsid w:val="00875FB0"/>
    <w:rsid w:val="00880122"/>
    <w:rsid w:val="008803DB"/>
    <w:rsid w:val="0088059E"/>
    <w:rsid w:val="00880A20"/>
    <w:rsid w:val="00881014"/>
    <w:rsid w:val="0088132C"/>
    <w:rsid w:val="008814B9"/>
    <w:rsid w:val="00881613"/>
    <w:rsid w:val="008819D7"/>
    <w:rsid w:val="00881CE8"/>
    <w:rsid w:val="00882328"/>
    <w:rsid w:val="0088255E"/>
    <w:rsid w:val="00882B67"/>
    <w:rsid w:val="0088317C"/>
    <w:rsid w:val="00883B30"/>
    <w:rsid w:val="00884217"/>
    <w:rsid w:val="00884BA6"/>
    <w:rsid w:val="008855C7"/>
    <w:rsid w:val="0088645D"/>
    <w:rsid w:val="008868ED"/>
    <w:rsid w:val="00891286"/>
    <w:rsid w:val="00891B2E"/>
    <w:rsid w:val="00893590"/>
    <w:rsid w:val="00893596"/>
    <w:rsid w:val="00893C65"/>
    <w:rsid w:val="00894794"/>
    <w:rsid w:val="00894BAC"/>
    <w:rsid w:val="00894EEA"/>
    <w:rsid w:val="008953F8"/>
    <w:rsid w:val="0089578A"/>
    <w:rsid w:val="00895CF2"/>
    <w:rsid w:val="00896B6C"/>
    <w:rsid w:val="008973DD"/>
    <w:rsid w:val="008978E4"/>
    <w:rsid w:val="008A084B"/>
    <w:rsid w:val="008A18DE"/>
    <w:rsid w:val="008A1976"/>
    <w:rsid w:val="008A1A55"/>
    <w:rsid w:val="008A2374"/>
    <w:rsid w:val="008A2709"/>
    <w:rsid w:val="008A3B0F"/>
    <w:rsid w:val="008A44CD"/>
    <w:rsid w:val="008A4910"/>
    <w:rsid w:val="008A53A8"/>
    <w:rsid w:val="008A60AD"/>
    <w:rsid w:val="008A60BD"/>
    <w:rsid w:val="008A6C6B"/>
    <w:rsid w:val="008A6CCF"/>
    <w:rsid w:val="008A76FD"/>
    <w:rsid w:val="008A7BCB"/>
    <w:rsid w:val="008B0347"/>
    <w:rsid w:val="008B03CD"/>
    <w:rsid w:val="008B0AB8"/>
    <w:rsid w:val="008B1368"/>
    <w:rsid w:val="008B2C6E"/>
    <w:rsid w:val="008B32D6"/>
    <w:rsid w:val="008B37D1"/>
    <w:rsid w:val="008B4713"/>
    <w:rsid w:val="008B4846"/>
    <w:rsid w:val="008B48F3"/>
    <w:rsid w:val="008B6593"/>
    <w:rsid w:val="008B6A09"/>
    <w:rsid w:val="008B7006"/>
    <w:rsid w:val="008C0B15"/>
    <w:rsid w:val="008C0FFE"/>
    <w:rsid w:val="008C2AB7"/>
    <w:rsid w:val="008C3219"/>
    <w:rsid w:val="008C4945"/>
    <w:rsid w:val="008C4ACB"/>
    <w:rsid w:val="008C59D3"/>
    <w:rsid w:val="008C7357"/>
    <w:rsid w:val="008D050A"/>
    <w:rsid w:val="008D08B1"/>
    <w:rsid w:val="008D1ADD"/>
    <w:rsid w:val="008D2AB4"/>
    <w:rsid w:val="008D31E0"/>
    <w:rsid w:val="008D4818"/>
    <w:rsid w:val="008D4E03"/>
    <w:rsid w:val="008D5327"/>
    <w:rsid w:val="008D6086"/>
    <w:rsid w:val="008D6A1C"/>
    <w:rsid w:val="008D6FA8"/>
    <w:rsid w:val="008D747C"/>
    <w:rsid w:val="008E0096"/>
    <w:rsid w:val="008E00B8"/>
    <w:rsid w:val="008E1259"/>
    <w:rsid w:val="008E1935"/>
    <w:rsid w:val="008E292F"/>
    <w:rsid w:val="008E29FF"/>
    <w:rsid w:val="008E31C0"/>
    <w:rsid w:val="008E329C"/>
    <w:rsid w:val="008E5051"/>
    <w:rsid w:val="008E5C69"/>
    <w:rsid w:val="008E65EC"/>
    <w:rsid w:val="008E6D1A"/>
    <w:rsid w:val="008E7021"/>
    <w:rsid w:val="008E79D3"/>
    <w:rsid w:val="008E7E7B"/>
    <w:rsid w:val="008F092E"/>
    <w:rsid w:val="008F0B62"/>
    <w:rsid w:val="008F133D"/>
    <w:rsid w:val="008F1365"/>
    <w:rsid w:val="008F1670"/>
    <w:rsid w:val="008F1B99"/>
    <w:rsid w:val="008F2132"/>
    <w:rsid w:val="008F2249"/>
    <w:rsid w:val="008F28AA"/>
    <w:rsid w:val="008F3D82"/>
    <w:rsid w:val="008F42C8"/>
    <w:rsid w:val="008F4DC2"/>
    <w:rsid w:val="008F572E"/>
    <w:rsid w:val="008F5A54"/>
    <w:rsid w:val="008F5D8C"/>
    <w:rsid w:val="008F63D2"/>
    <w:rsid w:val="008F64AE"/>
    <w:rsid w:val="008F6C65"/>
    <w:rsid w:val="00900033"/>
    <w:rsid w:val="009004DF"/>
    <w:rsid w:val="0090122B"/>
    <w:rsid w:val="009017F9"/>
    <w:rsid w:val="009019ED"/>
    <w:rsid w:val="00901D95"/>
    <w:rsid w:val="009027B1"/>
    <w:rsid w:val="00902D57"/>
    <w:rsid w:val="0090407C"/>
    <w:rsid w:val="00905504"/>
    <w:rsid w:val="00906B8F"/>
    <w:rsid w:val="00906BBF"/>
    <w:rsid w:val="00906CF9"/>
    <w:rsid w:val="009100A1"/>
    <w:rsid w:val="009102F3"/>
    <w:rsid w:val="00910587"/>
    <w:rsid w:val="00910D50"/>
    <w:rsid w:val="009114C1"/>
    <w:rsid w:val="009119E7"/>
    <w:rsid w:val="00913747"/>
    <w:rsid w:val="00913E62"/>
    <w:rsid w:val="009143FC"/>
    <w:rsid w:val="00915F1C"/>
    <w:rsid w:val="00916340"/>
    <w:rsid w:val="00917B17"/>
    <w:rsid w:val="009215B3"/>
    <w:rsid w:val="0092176E"/>
    <w:rsid w:val="00921771"/>
    <w:rsid w:val="00924006"/>
    <w:rsid w:val="009250E4"/>
    <w:rsid w:val="00925958"/>
    <w:rsid w:val="00925D5A"/>
    <w:rsid w:val="009263DA"/>
    <w:rsid w:val="0093028F"/>
    <w:rsid w:val="00930D6E"/>
    <w:rsid w:val="00931895"/>
    <w:rsid w:val="00933E6D"/>
    <w:rsid w:val="00934302"/>
    <w:rsid w:val="0093447D"/>
    <w:rsid w:val="00934ED4"/>
    <w:rsid w:val="00935C34"/>
    <w:rsid w:val="00936BB8"/>
    <w:rsid w:val="00937316"/>
    <w:rsid w:val="00937817"/>
    <w:rsid w:val="009407CC"/>
    <w:rsid w:val="00940969"/>
    <w:rsid w:val="00941460"/>
    <w:rsid w:val="009415E6"/>
    <w:rsid w:val="009416A8"/>
    <w:rsid w:val="00942307"/>
    <w:rsid w:val="009433D5"/>
    <w:rsid w:val="009436AD"/>
    <w:rsid w:val="00943C53"/>
    <w:rsid w:val="00944BB1"/>
    <w:rsid w:val="009453C4"/>
    <w:rsid w:val="0094785D"/>
    <w:rsid w:val="00947C94"/>
    <w:rsid w:val="00951727"/>
    <w:rsid w:val="00951846"/>
    <w:rsid w:val="00951F8F"/>
    <w:rsid w:val="009547A0"/>
    <w:rsid w:val="00955C3A"/>
    <w:rsid w:val="00955EFF"/>
    <w:rsid w:val="00956000"/>
    <w:rsid w:val="0095690D"/>
    <w:rsid w:val="00960CD9"/>
    <w:rsid w:val="00960E15"/>
    <w:rsid w:val="0096221C"/>
    <w:rsid w:val="009622B9"/>
    <w:rsid w:val="00962F51"/>
    <w:rsid w:val="0096360F"/>
    <w:rsid w:val="0096478B"/>
    <w:rsid w:val="009647EF"/>
    <w:rsid w:val="00966EBC"/>
    <w:rsid w:val="00967288"/>
    <w:rsid w:val="00967352"/>
    <w:rsid w:val="0096771D"/>
    <w:rsid w:val="00967CBD"/>
    <w:rsid w:val="0097026B"/>
    <w:rsid w:val="00971384"/>
    <w:rsid w:val="00972005"/>
    <w:rsid w:val="00972124"/>
    <w:rsid w:val="00973D76"/>
    <w:rsid w:val="0097450C"/>
    <w:rsid w:val="009746CD"/>
    <w:rsid w:val="00975419"/>
    <w:rsid w:val="00975672"/>
    <w:rsid w:val="00975891"/>
    <w:rsid w:val="0097591B"/>
    <w:rsid w:val="00975F53"/>
    <w:rsid w:val="009768E6"/>
    <w:rsid w:val="009772D5"/>
    <w:rsid w:val="00977B14"/>
    <w:rsid w:val="009809D4"/>
    <w:rsid w:val="00981545"/>
    <w:rsid w:val="009816D9"/>
    <w:rsid w:val="009818C1"/>
    <w:rsid w:val="00981D12"/>
    <w:rsid w:val="00982B4B"/>
    <w:rsid w:val="00983912"/>
    <w:rsid w:val="00983E29"/>
    <w:rsid w:val="00986183"/>
    <w:rsid w:val="00986691"/>
    <w:rsid w:val="00986F93"/>
    <w:rsid w:val="009870C7"/>
    <w:rsid w:val="009879AD"/>
    <w:rsid w:val="00990106"/>
    <w:rsid w:val="009901B3"/>
    <w:rsid w:val="009902FB"/>
    <w:rsid w:val="0099045A"/>
    <w:rsid w:val="0099063B"/>
    <w:rsid w:val="00990D70"/>
    <w:rsid w:val="00991417"/>
    <w:rsid w:val="00991731"/>
    <w:rsid w:val="00992311"/>
    <w:rsid w:val="00993604"/>
    <w:rsid w:val="00993814"/>
    <w:rsid w:val="009954B9"/>
    <w:rsid w:val="009964C4"/>
    <w:rsid w:val="00996C9B"/>
    <w:rsid w:val="009973BB"/>
    <w:rsid w:val="00997649"/>
    <w:rsid w:val="00997E5B"/>
    <w:rsid w:val="009A01DD"/>
    <w:rsid w:val="009A07F0"/>
    <w:rsid w:val="009A0E02"/>
    <w:rsid w:val="009A16EF"/>
    <w:rsid w:val="009A176E"/>
    <w:rsid w:val="009A1A84"/>
    <w:rsid w:val="009A2CCF"/>
    <w:rsid w:val="009A32AE"/>
    <w:rsid w:val="009A36FE"/>
    <w:rsid w:val="009A4AD1"/>
    <w:rsid w:val="009A5295"/>
    <w:rsid w:val="009A60BC"/>
    <w:rsid w:val="009A67B2"/>
    <w:rsid w:val="009B20FF"/>
    <w:rsid w:val="009B22BC"/>
    <w:rsid w:val="009B30FB"/>
    <w:rsid w:val="009B3593"/>
    <w:rsid w:val="009B41AF"/>
    <w:rsid w:val="009B491B"/>
    <w:rsid w:val="009B51E7"/>
    <w:rsid w:val="009B5A8B"/>
    <w:rsid w:val="009B6833"/>
    <w:rsid w:val="009B68BD"/>
    <w:rsid w:val="009B7953"/>
    <w:rsid w:val="009B7B21"/>
    <w:rsid w:val="009C11A8"/>
    <w:rsid w:val="009C23DD"/>
    <w:rsid w:val="009C242A"/>
    <w:rsid w:val="009C3469"/>
    <w:rsid w:val="009C3C24"/>
    <w:rsid w:val="009C424A"/>
    <w:rsid w:val="009C4DA6"/>
    <w:rsid w:val="009C50D9"/>
    <w:rsid w:val="009C514B"/>
    <w:rsid w:val="009C5DB1"/>
    <w:rsid w:val="009C5E4A"/>
    <w:rsid w:val="009C78F7"/>
    <w:rsid w:val="009C796C"/>
    <w:rsid w:val="009C7A44"/>
    <w:rsid w:val="009C7D7A"/>
    <w:rsid w:val="009D0398"/>
    <w:rsid w:val="009D0998"/>
    <w:rsid w:val="009D09C4"/>
    <w:rsid w:val="009D0F17"/>
    <w:rsid w:val="009D1679"/>
    <w:rsid w:val="009D176A"/>
    <w:rsid w:val="009D1D9B"/>
    <w:rsid w:val="009D1E2D"/>
    <w:rsid w:val="009D250D"/>
    <w:rsid w:val="009D39E9"/>
    <w:rsid w:val="009D3A7E"/>
    <w:rsid w:val="009D4A03"/>
    <w:rsid w:val="009D4BBA"/>
    <w:rsid w:val="009D5FBF"/>
    <w:rsid w:val="009D68F6"/>
    <w:rsid w:val="009D6930"/>
    <w:rsid w:val="009D7CB3"/>
    <w:rsid w:val="009E069C"/>
    <w:rsid w:val="009E1851"/>
    <w:rsid w:val="009E1E47"/>
    <w:rsid w:val="009E249C"/>
    <w:rsid w:val="009E2F96"/>
    <w:rsid w:val="009E40EF"/>
    <w:rsid w:val="009E4275"/>
    <w:rsid w:val="009E4A2A"/>
    <w:rsid w:val="009E4BCE"/>
    <w:rsid w:val="009E4E2D"/>
    <w:rsid w:val="009E5B01"/>
    <w:rsid w:val="009E70DA"/>
    <w:rsid w:val="009E7DE5"/>
    <w:rsid w:val="009F18CE"/>
    <w:rsid w:val="009F2CF8"/>
    <w:rsid w:val="009F31B6"/>
    <w:rsid w:val="009F3EEF"/>
    <w:rsid w:val="009F4065"/>
    <w:rsid w:val="009F4552"/>
    <w:rsid w:val="009F4B67"/>
    <w:rsid w:val="009F4C1D"/>
    <w:rsid w:val="009F5503"/>
    <w:rsid w:val="009F5866"/>
    <w:rsid w:val="009F615F"/>
    <w:rsid w:val="009F6F81"/>
    <w:rsid w:val="009F71A9"/>
    <w:rsid w:val="00A01176"/>
    <w:rsid w:val="00A0257C"/>
    <w:rsid w:val="00A039E6"/>
    <w:rsid w:val="00A03F0D"/>
    <w:rsid w:val="00A0479D"/>
    <w:rsid w:val="00A05AF4"/>
    <w:rsid w:val="00A05CF3"/>
    <w:rsid w:val="00A0632E"/>
    <w:rsid w:val="00A0748F"/>
    <w:rsid w:val="00A0753F"/>
    <w:rsid w:val="00A07754"/>
    <w:rsid w:val="00A10319"/>
    <w:rsid w:val="00A10453"/>
    <w:rsid w:val="00A10C44"/>
    <w:rsid w:val="00A117A1"/>
    <w:rsid w:val="00A11FFF"/>
    <w:rsid w:val="00A120C7"/>
    <w:rsid w:val="00A1237F"/>
    <w:rsid w:val="00A12592"/>
    <w:rsid w:val="00A12B88"/>
    <w:rsid w:val="00A12B90"/>
    <w:rsid w:val="00A139C2"/>
    <w:rsid w:val="00A13A72"/>
    <w:rsid w:val="00A13CEC"/>
    <w:rsid w:val="00A15247"/>
    <w:rsid w:val="00A15567"/>
    <w:rsid w:val="00A15664"/>
    <w:rsid w:val="00A15A35"/>
    <w:rsid w:val="00A15D28"/>
    <w:rsid w:val="00A16C2D"/>
    <w:rsid w:val="00A16FAF"/>
    <w:rsid w:val="00A202D9"/>
    <w:rsid w:val="00A206EA"/>
    <w:rsid w:val="00A208DF"/>
    <w:rsid w:val="00A2097D"/>
    <w:rsid w:val="00A2121E"/>
    <w:rsid w:val="00A21BD9"/>
    <w:rsid w:val="00A22490"/>
    <w:rsid w:val="00A235C2"/>
    <w:rsid w:val="00A2437C"/>
    <w:rsid w:val="00A27CB5"/>
    <w:rsid w:val="00A27D6F"/>
    <w:rsid w:val="00A30CD0"/>
    <w:rsid w:val="00A3113C"/>
    <w:rsid w:val="00A3196C"/>
    <w:rsid w:val="00A32418"/>
    <w:rsid w:val="00A34E38"/>
    <w:rsid w:val="00A35F68"/>
    <w:rsid w:val="00A36840"/>
    <w:rsid w:val="00A3735F"/>
    <w:rsid w:val="00A374CF"/>
    <w:rsid w:val="00A375FB"/>
    <w:rsid w:val="00A37CA6"/>
    <w:rsid w:val="00A37FDE"/>
    <w:rsid w:val="00A40174"/>
    <w:rsid w:val="00A40184"/>
    <w:rsid w:val="00A41747"/>
    <w:rsid w:val="00A41770"/>
    <w:rsid w:val="00A41B9C"/>
    <w:rsid w:val="00A422F9"/>
    <w:rsid w:val="00A42695"/>
    <w:rsid w:val="00A44AC4"/>
    <w:rsid w:val="00A450FD"/>
    <w:rsid w:val="00A45114"/>
    <w:rsid w:val="00A46894"/>
    <w:rsid w:val="00A46CBB"/>
    <w:rsid w:val="00A46E36"/>
    <w:rsid w:val="00A47A03"/>
    <w:rsid w:val="00A512F8"/>
    <w:rsid w:val="00A51E34"/>
    <w:rsid w:val="00A521ED"/>
    <w:rsid w:val="00A52588"/>
    <w:rsid w:val="00A534B2"/>
    <w:rsid w:val="00A54D04"/>
    <w:rsid w:val="00A54DE3"/>
    <w:rsid w:val="00A55626"/>
    <w:rsid w:val="00A55D1E"/>
    <w:rsid w:val="00A5673B"/>
    <w:rsid w:val="00A567D2"/>
    <w:rsid w:val="00A56E67"/>
    <w:rsid w:val="00A572A2"/>
    <w:rsid w:val="00A57D9B"/>
    <w:rsid w:val="00A60EE0"/>
    <w:rsid w:val="00A6193F"/>
    <w:rsid w:val="00A62702"/>
    <w:rsid w:val="00A62800"/>
    <w:rsid w:val="00A62A44"/>
    <w:rsid w:val="00A63099"/>
    <w:rsid w:val="00A63186"/>
    <w:rsid w:val="00A632D6"/>
    <w:rsid w:val="00A63AD6"/>
    <w:rsid w:val="00A64FBA"/>
    <w:rsid w:val="00A659F2"/>
    <w:rsid w:val="00A66887"/>
    <w:rsid w:val="00A6748D"/>
    <w:rsid w:val="00A67496"/>
    <w:rsid w:val="00A674A8"/>
    <w:rsid w:val="00A705DC"/>
    <w:rsid w:val="00A705F0"/>
    <w:rsid w:val="00A7096C"/>
    <w:rsid w:val="00A70FE2"/>
    <w:rsid w:val="00A719FC"/>
    <w:rsid w:val="00A71CD7"/>
    <w:rsid w:val="00A7331D"/>
    <w:rsid w:val="00A742C5"/>
    <w:rsid w:val="00A74DD9"/>
    <w:rsid w:val="00A77171"/>
    <w:rsid w:val="00A77297"/>
    <w:rsid w:val="00A77377"/>
    <w:rsid w:val="00A7793E"/>
    <w:rsid w:val="00A77B5C"/>
    <w:rsid w:val="00A80323"/>
    <w:rsid w:val="00A80505"/>
    <w:rsid w:val="00A807C2"/>
    <w:rsid w:val="00A808E2"/>
    <w:rsid w:val="00A81616"/>
    <w:rsid w:val="00A818FF"/>
    <w:rsid w:val="00A81E2D"/>
    <w:rsid w:val="00A82819"/>
    <w:rsid w:val="00A8334B"/>
    <w:rsid w:val="00A8397B"/>
    <w:rsid w:val="00A8440D"/>
    <w:rsid w:val="00A84C32"/>
    <w:rsid w:val="00A85053"/>
    <w:rsid w:val="00A8521D"/>
    <w:rsid w:val="00A858B6"/>
    <w:rsid w:val="00A85BE2"/>
    <w:rsid w:val="00A876E2"/>
    <w:rsid w:val="00A90CBB"/>
    <w:rsid w:val="00A91064"/>
    <w:rsid w:val="00A922B6"/>
    <w:rsid w:val="00A92BDA"/>
    <w:rsid w:val="00A931B2"/>
    <w:rsid w:val="00A93D56"/>
    <w:rsid w:val="00A94E4F"/>
    <w:rsid w:val="00A96B4F"/>
    <w:rsid w:val="00AA0428"/>
    <w:rsid w:val="00AA0801"/>
    <w:rsid w:val="00AA0D56"/>
    <w:rsid w:val="00AA0DE8"/>
    <w:rsid w:val="00AA1D19"/>
    <w:rsid w:val="00AA2590"/>
    <w:rsid w:val="00AA273D"/>
    <w:rsid w:val="00AA2758"/>
    <w:rsid w:val="00AA3063"/>
    <w:rsid w:val="00AA3ADB"/>
    <w:rsid w:val="00AA4298"/>
    <w:rsid w:val="00AA47C8"/>
    <w:rsid w:val="00AA579E"/>
    <w:rsid w:val="00AA5A39"/>
    <w:rsid w:val="00AA6128"/>
    <w:rsid w:val="00AA7811"/>
    <w:rsid w:val="00AA7EAA"/>
    <w:rsid w:val="00AB004A"/>
    <w:rsid w:val="00AB04F4"/>
    <w:rsid w:val="00AB0536"/>
    <w:rsid w:val="00AB0757"/>
    <w:rsid w:val="00AB1AA8"/>
    <w:rsid w:val="00AB1E03"/>
    <w:rsid w:val="00AB1E5B"/>
    <w:rsid w:val="00AB200C"/>
    <w:rsid w:val="00AB227C"/>
    <w:rsid w:val="00AB244B"/>
    <w:rsid w:val="00AB3106"/>
    <w:rsid w:val="00AB3B84"/>
    <w:rsid w:val="00AB4A2B"/>
    <w:rsid w:val="00AB56CA"/>
    <w:rsid w:val="00AB5731"/>
    <w:rsid w:val="00AB5EA2"/>
    <w:rsid w:val="00AB6B57"/>
    <w:rsid w:val="00AB6F2C"/>
    <w:rsid w:val="00AC399B"/>
    <w:rsid w:val="00AC4381"/>
    <w:rsid w:val="00AC4AC9"/>
    <w:rsid w:val="00AC4BD5"/>
    <w:rsid w:val="00AC6506"/>
    <w:rsid w:val="00AC6F58"/>
    <w:rsid w:val="00AC7E02"/>
    <w:rsid w:val="00AD0CFD"/>
    <w:rsid w:val="00AD105A"/>
    <w:rsid w:val="00AD12F6"/>
    <w:rsid w:val="00AD15B0"/>
    <w:rsid w:val="00AD1D1A"/>
    <w:rsid w:val="00AD1E38"/>
    <w:rsid w:val="00AD221E"/>
    <w:rsid w:val="00AD2CA8"/>
    <w:rsid w:val="00AD307C"/>
    <w:rsid w:val="00AD30C8"/>
    <w:rsid w:val="00AD34D4"/>
    <w:rsid w:val="00AD3E2A"/>
    <w:rsid w:val="00AD41CC"/>
    <w:rsid w:val="00AD421D"/>
    <w:rsid w:val="00AD4DEC"/>
    <w:rsid w:val="00AD5CD6"/>
    <w:rsid w:val="00AD6CE1"/>
    <w:rsid w:val="00AE02EC"/>
    <w:rsid w:val="00AE1953"/>
    <w:rsid w:val="00AE1DFC"/>
    <w:rsid w:val="00AE2ADB"/>
    <w:rsid w:val="00AE2C01"/>
    <w:rsid w:val="00AE35E2"/>
    <w:rsid w:val="00AE4E58"/>
    <w:rsid w:val="00AE5259"/>
    <w:rsid w:val="00AE5C9B"/>
    <w:rsid w:val="00AE6772"/>
    <w:rsid w:val="00AE7646"/>
    <w:rsid w:val="00AE79E0"/>
    <w:rsid w:val="00AE7CEB"/>
    <w:rsid w:val="00AF0336"/>
    <w:rsid w:val="00AF0580"/>
    <w:rsid w:val="00AF080A"/>
    <w:rsid w:val="00AF208F"/>
    <w:rsid w:val="00AF2D16"/>
    <w:rsid w:val="00AF3186"/>
    <w:rsid w:val="00AF40BA"/>
    <w:rsid w:val="00AF4FD5"/>
    <w:rsid w:val="00AF58BD"/>
    <w:rsid w:val="00AF5CF3"/>
    <w:rsid w:val="00AF5E95"/>
    <w:rsid w:val="00AF5F90"/>
    <w:rsid w:val="00AF673A"/>
    <w:rsid w:val="00AF7284"/>
    <w:rsid w:val="00AF7926"/>
    <w:rsid w:val="00AF7F56"/>
    <w:rsid w:val="00B01A5E"/>
    <w:rsid w:val="00B01D40"/>
    <w:rsid w:val="00B021A2"/>
    <w:rsid w:val="00B02486"/>
    <w:rsid w:val="00B02FFE"/>
    <w:rsid w:val="00B04B6C"/>
    <w:rsid w:val="00B05154"/>
    <w:rsid w:val="00B05DCC"/>
    <w:rsid w:val="00B06CB4"/>
    <w:rsid w:val="00B072A3"/>
    <w:rsid w:val="00B07A86"/>
    <w:rsid w:val="00B1057A"/>
    <w:rsid w:val="00B12215"/>
    <w:rsid w:val="00B12B49"/>
    <w:rsid w:val="00B12BE1"/>
    <w:rsid w:val="00B12CC9"/>
    <w:rsid w:val="00B12E11"/>
    <w:rsid w:val="00B13263"/>
    <w:rsid w:val="00B13953"/>
    <w:rsid w:val="00B1663B"/>
    <w:rsid w:val="00B16A4F"/>
    <w:rsid w:val="00B16D49"/>
    <w:rsid w:val="00B17262"/>
    <w:rsid w:val="00B17DF6"/>
    <w:rsid w:val="00B2032E"/>
    <w:rsid w:val="00B208E7"/>
    <w:rsid w:val="00B20CAE"/>
    <w:rsid w:val="00B2134D"/>
    <w:rsid w:val="00B217E8"/>
    <w:rsid w:val="00B22EC9"/>
    <w:rsid w:val="00B232AF"/>
    <w:rsid w:val="00B25206"/>
    <w:rsid w:val="00B2573C"/>
    <w:rsid w:val="00B268BB"/>
    <w:rsid w:val="00B268F8"/>
    <w:rsid w:val="00B27682"/>
    <w:rsid w:val="00B277C1"/>
    <w:rsid w:val="00B27EE7"/>
    <w:rsid w:val="00B319D1"/>
    <w:rsid w:val="00B320BE"/>
    <w:rsid w:val="00B34323"/>
    <w:rsid w:val="00B358BA"/>
    <w:rsid w:val="00B366A1"/>
    <w:rsid w:val="00B36B52"/>
    <w:rsid w:val="00B3738C"/>
    <w:rsid w:val="00B37C19"/>
    <w:rsid w:val="00B400EF"/>
    <w:rsid w:val="00B40C1D"/>
    <w:rsid w:val="00B41572"/>
    <w:rsid w:val="00B42442"/>
    <w:rsid w:val="00B43EFE"/>
    <w:rsid w:val="00B44600"/>
    <w:rsid w:val="00B447D3"/>
    <w:rsid w:val="00B44F95"/>
    <w:rsid w:val="00B456EF"/>
    <w:rsid w:val="00B45C89"/>
    <w:rsid w:val="00B47884"/>
    <w:rsid w:val="00B5021E"/>
    <w:rsid w:val="00B508DA"/>
    <w:rsid w:val="00B5094E"/>
    <w:rsid w:val="00B50D86"/>
    <w:rsid w:val="00B50D8A"/>
    <w:rsid w:val="00B50FBC"/>
    <w:rsid w:val="00B50FF6"/>
    <w:rsid w:val="00B5125D"/>
    <w:rsid w:val="00B52414"/>
    <w:rsid w:val="00B5266A"/>
    <w:rsid w:val="00B535A1"/>
    <w:rsid w:val="00B535F4"/>
    <w:rsid w:val="00B53A6F"/>
    <w:rsid w:val="00B53CAD"/>
    <w:rsid w:val="00B54769"/>
    <w:rsid w:val="00B547A7"/>
    <w:rsid w:val="00B55363"/>
    <w:rsid w:val="00B55596"/>
    <w:rsid w:val="00B5599A"/>
    <w:rsid w:val="00B55AEE"/>
    <w:rsid w:val="00B55ECC"/>
    <w:rsid w:val="00B56EAE"/>
    <w:rsid w:val="00B57380"/>
    <w:rsid w:val="00B61080"/>
    <w:rsid w:val="00B61856"/>
    <w:rsid w:val="00B61E45"/>
    <w:rsid w:val="00B62043"/>
    <w:rsid w:val="00B62A55"/>
    <w:rsid w:val="00B635D6"/>
    <w:rsid w:val="00B639F0"/>
    <w:rsid w:val="00B6438D"/>
    <w:rsid w:val="00B6469B"/>
    <w:rsid w:val="00B648D2"/>
    <w:rsid w:val="00B6518D"/>
    <w:rsid w:val="00B652EA"/>
    <w:rsid w:val="00B65A58"/>
    <w:rsid w:val="00B65DBB"/>
    <w:rsid w:val="00B67A3D"/>
    <w:rsid w:val="00B70670"/>
    <w:rsid w:val="00B7140F"/>
    <w:rsid w:val="00B71493"/>
    <w:rsid w:val="00B719E8"/>
    <w:rsid w:val="00B71EBF"/>
    <w:rsid w:val="00B72A0C"/>
    <w:rsid w:val="00B72DDC"/>
    <w:rsid w:val="00B7364C"/>
    <w:rsid w:val="00B73D5D"/>
    <w:rsid w:val="00B74007"/>
    <w:rsid w:val="00B74319"/>
    <w:rsid w:val="00B74320"/>
    <w:rsid w:val="00B743FE"/>
    <w:rsid w:val="00B753CD"/>
    <w:rsid w:val="00B7570C"/>
    <w:rsid w:val="00B75D60"/>
    <w:rsid w:val="00B7660D"/>
    <w:rsid w:val="00B7710E"/>
    <w:rsid w:val="00B775B8"/>
    <w:rsid w:val="00B77F0D"/>
    <w:rsid w:val="00B801AA"/>
    <w:rsid w:val="00B803B2"/>
    <w:rsid w:val="00B80855"/>
    <w:rsid w:val="00B82219"/>
    <w:rsid w:val="00B82761"/>
    <w:rsid w:val="00B827D7"/>
    <w:rsid w:val="00B82CDD"/>
    <w:rsid w:val="00B82EB1"/>
    <w:rsid w:val="00B83506"/>
    <w:rsid w:val="00B838CD"/>
    <w:rsid w:val="00B83C1A"/>
    <w:rsid w:val="00B86290"/>
    <w:rsid w:val="00B8656B"/>
    <w:rsid w:val="00B86A31"/>
    <w:rsid w:val="00B87913"/>
    <w:rsid w:val="00B87949"/>
    <w:rsid w:val="00B87B26"/>
    <w:rsid w:val="00B907DE"/>
    <w:rsid w:val="00B90B20"/>
    <w:rsid w:val="00B91F0D"/>
    <w:rsid w:val="00B92058"/>
    <w:rsid w:val="00B92BA4"/>
    <w:rsid w:val="00B9307D"/>
    <w:rsid w:val="00B93847"/>
    <w:rsid w:val="00B940D6"/>
    <w:rsid w:val="00B94110"/>
    <w:rsid w:val="00B949A2"/>
    <w:rsid w:val="00B95DB5"/>
    <w:rsid w:val="00B96D93"/>
    <w:rsid w:val="00B96E0A"/>
    <w:rsid w:val="00BA086D"/>
    <w:rsid w:val="00BA17C8"/>
    <w:rsid w:val="00BA1A83"/>
    <w:rsid w:val="00BA1AEE"/>
    <w:rsid w:val="00BA2F77"/>
    <w:rsid w:val="00BA38CF"/>
    <w:rsid w:val="00BA396A"/>
    <w:rsid w:val="00BA3B4D"/>
    <w:rsid w:val="00BA3BB9"/>
    <w:rsid w:val="00BA3E03"/>
    <w:rsid w:val="00BA440E"/>
    <w:rsid w:val="00BA5988"/>
    <w:rsid w:val="00BA5EA9"/>
    <w:rsid w:val="00BA6677"/>
    <w:rsid w:val="00BA6CF0"/>
    <w:rsid w:val="00BA7DB6"/>
    <w:rsid w:val="00BB07BE"/>
    <w:rsid w:val="00BB07CA"/>
    <w:rsid w:val="00BB107C"/>
    <w:rsid w:val="00BB2243"/>
    <w:rsid w:val="00BB26BD"/>
    <w:rsid w:val="00BB3259"/>
    <w:rsid w:val="00BB3BCA"/>
    <w:rsid w:val="00BB3FFB"/>
    <w:rsid w:val="00BB4A80"/>
    <w:rsid w:val="00BB5340"/>
    <w:rsid w:val="00BB5558"/>
    <w:rsid w:val="00BB6C1E"/>
    <w:rsid w:val="00BC0938"/>
    <w:rsid w:val="00BC0BD8"/>
    <w:rsid w:val="00BC2228"/>
    <w:rsid w:val="00BC2FB5"/>
    <w:rsid w:val="00BC5DFE"/>
    <w:rsid w:val="00BC6258"/>
    <w:rsid w:val="00BD14DA"/>
    <w:rsid w:val="00BD16A2"/>
    <w:rsid w:val="00BD16CA"/>
    <w:rsid w:val="00BD17B8"/>
    <w:rsid w:val="00BD17DC"/>
    <w:rsid w:val="00BD2385"/>
    <w:rsid w:val="00BD2D99"/>
    <w:rsid w:val="00BD4AF8"/>
    <w:rsid w:val="00BD581A"/>
    <w:rsid w:val="00BD58F4"/>
    <w:rsid w:val="00BD6551"/>
    <w:rsid w:val="00BD6B29"/>
    <w:rsid w:val="00BD7267"/>
    <w:rsid w:val="00BD7941"/>
    <w:rsid w:val="00BD7959"/>
    <w:rsid w:val="00BD7AB8"/>
    <w:rsid w:val="00BE085B"/>
    <w:rsid w:val="00BE0887"/>
    <w:rsid w:val="00BE0D35"/>
    <w:rsid w:val="00BE266C"/>
    <w:rsid w:val="00BE2894"/>
    <w:rsid w:val="00BE2988"/>
    <w:rsid w:val="00BE43EF"/>
    <w:rsid w:val="00BE48A9"/>
    <w:rsid w:val="00BE4D39"/>
    <w:rsid w:val="00BE4DC8"/>
    <w:rsid w:val="00BE5175"/>
    <w:rsid w:val="00BE6E37"/>
    <w:rsid w:val="00BE6F4B"/>
    <w:rsid w:val="00BE7AE5"/>
    <w:rsid w:val="00BE7FDF"/>
    <w:rsid w:val="00BF05F5"/>
    <w:rsid w:val="00BF0B19"/>
    <w:rsid w:val="00BF0C21"/>
    <w:rsid w:val="00BF0C83"/>
    <w:rsid w:val="00BF0CD5"/>
    <w:rsid w:val="00BF10DC"/>
    <w:rsid w:val="00BF11EE"/>
    <w:rsid w:val="00BF1246"/>
    <w:rsid w:val="00BF30D4"/>
    <w:rsid w:val="00BF3216"/>
    <w:rsid w:val="00BF35F2"/>
    <w:rsid w:val="00BF454F"/>
    <w:rsid w:val="00BF480E"/>
    <w:rsid w:val="00BF4B19"/>
    <w:rsid w:val="00BF4BF4"/>
    <w:rsid w:val="00BF51F8"/>
    <w:rsid w:val="00BF60FB"/>
    <w:rsid w:val="00BF6BC2"/>
    <w:rsid w:val="00BF75DD"/>
    <w:rsid w:val="00BF7616"/>
    <w:rsid w:val="00BF7620"/>
    <w:rsid w:val="00C01054"/>
    <w:rsid w:val="00C012B3"/>
    <w:rsid w:val="00C012D5"/>
    <w:rsid w:val="00C0222E"/>
    <w:rsid w:val="00C02634"/>
    <w:rsid w:val="00C0398A"/>
    <w:rsid w:val="00C0420F"/>
    <w:rsid w:val="00C0470E"/>
    <w:rsid w:val="00C04D71"/>
    <w:rsid w:val="00C050DB"/>
    <w:rsid w:val="00C06666"/>
    <w:rsid w:val="00C06C13"/>
    <w:rsid w:val="00C074CA"/>
    <w:rsid w:val="00C07F30"/>
    <w:rsid w:val="00C10750"/>
    <w:rsid w:val="00C112F8"/>
    <w:rsid w:val="00C1189D"/>
    <w:rsid w:val="00C11ABA"/>
    <w:rsid w:val="00C12496"/>
    <w:rsid w:val="00C12C03"/>
    <w:rsid w:val="00C12EFC"/>
    <w:rsid w:val="00C130E8"/>
    <w:rsid w:val="00C1366B"/>
    <w:rsid w:val="00C1469A"/>
    <w:rsid w:val="00C14C24"/>
    <w:rsid w:val="00C155C9"/>
    <w:rsid w:val="00C16047"/>
    <w:rsid w:val="00C20872"/>
    <w:rsid w:val="00C20C2B"/>
    <w:rsid w:val="00C22F14"/>
    <w:rsid w:val="00C23BD9"/>
    <w:rsid w:val="00C23DE0"/>
    <w:rsid w:val="00C23E3F"/>
    <w:rsid w:val="00C248E4"/>
    <w:rsid w:val="00C24E48"/>
    <w:rsid w:val="00C2765A"/>
    <w:rsid w:val="00C30357"/>
    <w:rsid w:val="00C308AD"/>
    <w:rsid w:val="00C30E75"/>
    <w:rsid w:val="00C312C1"/>
    <w:rsid w:val="00C31EAC"/>
    <w:rsid w:val="00C31ED5"/>
    <w:rsid w:val="00C321BE"/>
    <w:rsid w:val="00C32A23"/>
    <w:rsid w:val="00C33228"/>
    <w:rsid w:val="00C334CC"/>
    <w:rsid w:val="00C3468F"/>
    <w:rsid w:val="00C35560"/>
    <w:rsid w:val="00C35754"/>
    <w:rsid w:val="00C36452"/>
    <w:rsid w:val="00C37C37"/>
    <w:rsid w:val="00C40878"/>
    <w:rsid w:val="00C408BB"/>
    <w:rsid w:val="00C40A89"/>
    <w:rsid w:val="00C40B12"/>
    <w:rsid w:val="00C40BF0"/>
    <w:rsid w:val="00C40DA6"/>
    <w:rsid w:val="00C40EAB"/>
    <w:rsid w:val="00C411AB"/>
    <w:rsid w:val="00C425AA"/>
    <w:rsid w:val="00C433DF"/>
    <w:rsid w:val="00C44303"/>
    <w:rsid w:val="00C44393"/>
    <w:rsid w:val="00C448B7"/>
    <w:rsid w:val="00C45145"/>
    <w:rsid w:val="00C46202"/>
    <w:rsid w:val="00C46E5A"/>
    <w:rsid w:val="00C47624"/>
    <w:rsid w:val="00C47901"/>
    <w:rsid w:val="00C47F66"/>
    <w:rsid w:val="00C500FA"/>
    <w:rsid w:val="00C50869"/>
    <w:rsid w:val="00C51601"/>
    <w:rsid w:val="00C53602"/>
    <w:rsid w:val="00C54BBD"/>
    <w:rsid w:val="00C55023"/>
    <w:rsid w:val="00C55728"/>
    <w:rsid w:val="00C5585F"/>
    <w:rsid w:val="00C558D9"/>
    <w:rsid w:val="00C57223"/>
    <w:rsid w:val="00C6012A"/>
    <w:rsid w:val="00C612F0"/>
    <w:rsid w:val="00C61AEE"/>
    <w:rsid w:val="00C629F5"/>
    <w:rsid w:val="00C629FD"/>
    <w:rsid w:val="00C62B8A"/>
    <w:rsid w:val="00C63946"/>
    <w:rsid w:val="00C63D40"/>
    <w:rsid w:val="00C640D9"/>
    <w:rsid w:val="00C644A0"/>
    <w:rsid w:val="00C6488D"/>
    <w:rsid w:val="00C64CCF"/>
    <w:rsid w:val="00C66EE0"/>
    <w:rsid w:val="00C67A89"/>
    <w:rsid w:val="00C67E7E"/>
    <w:rsid w:val="00C700B2"/>
    <w:rsid w:val="00C700F9"/>
    <w:rsid w:val="00C704CE"/>
    <w:rsid w:val="00C70CCA"/>
    <w:rsid w:val="00C72794"/>
    <w:rsid w:val="00C72869"/>
    <w:rsid w:val="00C7318D"/>
    <w:rsid w:val="00C7389D"/>
    <w:rsid w:val="00C74011"/>
    <w:rsid w:val="00C74AD3"/>
    <w:rsid w:val="00C74FB7"/>
    <w:rsid w:val="00C7504C"/>
    <w:rsid w:val="00C75318"/>
    <w:rsid w:val="00C759C1"/>
    <w:rsid w:val="00C764DB"/>
    <w:rsid w:val="00C76BB7"/>
    <w:rsid w:val="00C77793"/>
    <w:rsid w:val="00C808CA"/>
    <w:rsid w:val="00C81E1A"/>
    <w:rsid w:val="00C83AA4"/>
    <w:rsid w:val="00C842C7"/>
    <w:rsid w:val="00C8532E"/>
    <w:rsid w:val="00C85DE4"/>
    <w:rsid w:val="00C866F6"/>
    <w:rsid w:val="00C86E3F"/>
    <w:rsid w:val="00C8793D"/>
    <w:rsid w:val="00C87B1E"/>
    <w:rsid w:val="00C90091"/>
    <w:rsid w:val="00C92600"/>
    <w:rsid w:val="00C93782"/>
    <w:rsid w:val="00C94032"/>
    <w:rsid w:val="00C9439C"/>
    <w:rsid w:val="00C94EA9"/>
    <w:rsid w:val="00C95011"/>
    <w:rsid w:val="00C95513"/>
    <w:rsid w:val="00C95C89"/>
    <w:rsid w:val="00C97834"/>
    <w:rsid w:val="00C97AEC"/>
    <w:rsid w:val="00C97CDD"/>
    <w:rsid w:val="00C97F5B"/>
    <w:rsid w:val="00CA03AB"/>
    <w:rsid w:val="00CA0B0A"/>
    <w:rsid w:val="00CA1540"/>
    <w:rsid w:val="00CA17EE"/>
    <w:rsid w:val="00CA2332"/>
    <w:rsid w:val="00CA3355"/>
    <w:rsid w:val="00CA4DA6"/>
    <w:rsid w:val="00CA7945"/>
    <w:rsid w:val="00CA7A4C"/>
    <w:rsid w:val="00CB109B"/>
    <w:rsid w:val="00CB1B6F"/>
    <w:rsid w:val="00CB1BC6"/>
    <w:rsid w:val="00CB2250"/>
    <w:rsid w:val="00CB289A"/>
    <w:rsid w:val="00CB328A"/>
    <w:rsid w:val="00CB3D0A"/>
    <w:rsid w:val="00CB4A4F"/>
    <w:rsid w:val="00CB5982"/>
    <w:rsid w:val="00CB59B4"/>
    <w:rsid w:val="00CB6058"/>
    <w:rsid w:val="00CB6081"/>
    <w:rsid w:val="00CB7142"/>
    <w:rsid w:val="00CB7ADB"/>
    <w:rsid w:val="00CC1AF7"/>
    <w:rsid w:val="00CC2A25"/>
    <w:rsid w:val="00CC2C3B"/>
    <w:rsid w:val="00CC608F"/>
    <w:rsid w:val="00CC60EA"/>
    <w:rsid w:val="00CC69CB"/>
    <w:rsid w:val="00CC78DD"/>
    <w:rsid w:val="00CC7A0B"/>
    <w:rsid w:val="00CC7AF9"/>
    <w:rsid w:val="00CD17D5"/>
    <w:rsid w:val="00CD185E"/>
    <w:rsid w:val="00CD1D2C"/>
    <w:rsid w:val="00CD216C"/>
    <w:rsid w:val="00CD34B3"/>
    <w:rsid w:val="00CD3933"/>
    <w:rsid w:val="00CD3E25"/>
    <w:rsid w:val="00CD44D3"/>
    <w:rsid w:val="00CD4F85"/>
    <w:rsid w:val="00CD5205"/>
    <w:rsid w:val="00CD54D9"/>
    <w:rsid w:val="00CD54DA"/>
    <w:rsid w:val="00CD6B8C"/>
    <w:rsid w:val="00CD73DC"/>
    <w:rsid w:val="00CE047F"/>
    <w:rsid w:val="00CE11FE"/>
    <w:rsid w:val="00CE279C"/>
    <w:rsid w:val="00CE2E5D"/>
    <w:rsid w:val="00CE3476"/>
    <w:rsid w:val="00CE3F73"/>
    <w:rsid w:val="00CE58BA"/>
    <w:rsid w:val="00CF0C11"/>
    <w:rsid w:val="00CF126E"/>
    <w:rsid w:val="00CF1B95"/>
    <w:rsid w:val="00CF2654"/>
    <w:rsid w:val="00CF2A17"/>
    <w:rsid w:val="00CF2C79"/>
    <w:rsid w:val="00CF2F34"/>
    <w:rsid w:val="00CF4433"/>
    <w:rsid w:val="00CF5640"/>
    <w:rsid w:val="00CF5872"/>
    <w:rsid w:val="00CF6C37"/>
    <w:rsid w:val="00CF7E51"/>
    <w:rsid w:val="00D001EF"/>
    <w:rsid w:val="00D00265"/>
    <w:rsid w:val="00D02657"/>
    <w:rsid w:val="00D0266E"/>
    <w:rsid w:val="00D041F1"/>
    <w:rsid w:val="00D04A21"/>
    <w:rsid w:val="00D04E0B"/>
    <w:rsid w:val="00D05A65"/>
    <w:rsid w:val="00D0635D"/>
    <w:rsid w:val="00D07D31"/>
    <w:rsid w:val="00D07F09"/>
    <w:rsid w:val="00D101D9"/>
    <w:rsid w:val="00D1126C"/>
    <w:rsid w:val="00D11A14"/>
    <w:rsid w:val="00D12228"/>
    <w:rsid w:val="00D12A1E"/>
    <w:rsid w:val="00D133F8"/>
    <w:rsid w:val="00D13CB5"/>
    <w:rsid w:val="00D146FC"/>
    <w:rsid w:val="00D14B54"/>
    <w:rsid w:val="00D15336"/>
    <w:rsid w:val="00D16DF7"/>
    <w:rsid w:val="00D16F70"/>
    <w:rsid w:val="00D1768D"/>
    <w:rsid w:val="00D17B8B"/>
    <w:rsid w:val="00D17DCF"/>
    <w:rsid w:val="00D20F6E"/>
    <w:rsid w:val="00D21313"/>
    <w:rsid w:val="00D213C7"/>
    <w:rsid w:val="00D22168"/>
    <w:rsid w:val="00D22E0B"/>
    <w:rsid w:val="00D2318D"/>
    <w:rsid w:val="00D23463"/>
    <w:rsid w:val="00D23520"/>
    <w:rsid w:val="00D242C6"/>
    <w:rsid w:val="00D247B7"/>
    <w:rsid w:val="00D255C8"/>
    <w:rsid w:val="00D25C51"/>
    <w:rsid w:val="00D26BF4"/>
    <w:rsid w:val="00D2741E"/>
    <w:rsid w:val="00D27FC7"/>
    <w:rsid w:val="00D3001E"/>
    <w:rsid w:val="00D30AFC"/>
    <w:rsid w:val="00D30B3A"/>
    <w:rsid w:val="00D32873"/>
    <w:rsid w:val="00D32C4F"/>
    <w:rsid w:val="00D337A9"/>
    <w:rsid w:val="00D34183"/>
    <w:rsid w:val="00D349E6"/>
    <w:rsid w:val="00D353D9"/>
    <w:rsid w:val="00D36A63"/>
    <w:rsid w:val="00D36BE7"/>
    <w:rsid w:val="00D402A3"/>
    <w:rsid w:val="00D40AE2"/>
    <w:rsid w:val="00D41262"/>
    <w:rsid w:val="00D44487"/>
    <w:rsid w:val="00D44C3F"/>
    <w:rsid w:val="00D4559A"/>
    <w:rsid w:val="00D459B6"/>
    <w:rsid w:val="00D47242"/>
    <w:rsid w:val="00D479F2"/>
    <w:rsid w:val="00D50142"/>
    <w:rsid w:val="00D501B4"/>
    <w:rsid w:val="00D50C22"/>
    <w:rsid w:val="00D50CF9"/>
    <w:rsid w:val="00D523BE"/>
    <w:rsid w:val="00D52C26"/>
    <w:rsid w:val="00D52CB4"/>
    <w:rsid w:val="00D536BF"/>
    <w:rsid w:val="00D53932"/>
    <w:rsid w:val="00D54FBC"/>
    <w:rsid w:val="00D56ADB"/>
    <w:rsid w:val="00D60E9A"/>
    <w:rsid w:val="00D61141"/>
    <w:rsid w:val="00D61520"/>
    <w:rsid w:val="00D61CF0"/>
    <w:rsid w:val="00D6300D"/>
    <w:rsid w:val="00D63840"/>
    <w:rsid w:val="00D64361"/>
    <w:rsid w:val="00D64AAF"/>
    <w:rsid w:val="00D64ADE"/>
    <w:rsid w:val="00D659E4"/>
    <w:rsid w:val="00D65E99"/>
    <w:rsid w:val="00D661E3"/>
    <w:rsid w:val="00D6673E"/>
    <w:rsid w:val="00D67BCF"/>
    <w:rsid w:val="00D67EF9"/>
    <w:rsid w:val="00D709AD"/>
    <w:rsid w:val="00D7111B"/>
    <w:rsid w:val="00D71682"/>
    <w:rsid w:val="00D739A3"/>
    <w:rsid w:val="00D740A8"/>
    <w:rsid w:val="00D74585"/>
    <w:rsid w:val="00D745B3"/>
    <w:rsid w:val="00D74EA2"/>
    <w:rsid w:val="00D75129"/>
    <w:rsid w:val="00D75B60"/>
    <w:rsid w:val="00D77100"/>
    <w:rsid w:val="00D77997"/>
    <w:rsid w:val="00D801B6"/>
    <w:rsid w:val="00D80B9F"/>
    <w:rsid w:val="00D81BE3"/>
    <w:rsid w:val="00D829CD"/>
    <w:rsid w:val="00D82DE9"/>
    <w:rsid w:val="00D83412"/>
    <w:rsid w:val="00D835A7"/>
    <w:rsid w:val="00D83759"/>
    <w:rsid w:val="00D84ABE"/>
    <w:rsid w:val="00D85255"/>
    <w:rsid w:val="00D855E5"/>
    <w:rsid w:val="00D86D1E"/>
    <w:rsid w:val="00D87420"/>
    <w:rsid w:val="00D87B2E"/>
    <w:rsid w:val="00D91D13"/>
    <w:rsid w:val="00D91D38"/>
    <w:rsid w:val="00D927DD"/>
    <w:rsid w:val="00D92F8D"/>
    <w:rsid w:val="00D936AD"/>
    <w:rsid w:val="00D939EE"/>
    <w:rsid w:val="00D93B18"/>
    <w:rsid w:val="00D95501"/>
    <w:rsid w:val="00D95823"/>
    <w:rsid w:val="00D95E59"/>
    <w:rsid w:val="00D95EBC"/>
    <w:rsid w:val="00D96608"/>
    <w:rsid w:val="00D974CF"/>
    <w:rsid w:val="00D976F8"/>
    <w:rsid w:val="00D97F5F"/>
    <w:rsid w:val="00DA0F36"/>
    <w:rsid w:val="00DA181E"/>
    <w:rsid w:val="00DA1A1C"/>
    <w:rsid w:val="00DA21E6"/>
    <w:rsid w:val="00DA2F4B"/>
    <w:rsid w:val="00DA2F8B"/>
    <w:rsid w:val="00DA3253"/>
    <w:rsid w:val="00DA39B7"/>
    <w:rsid w:val="00DA496E"/>
    <w:rsid w:val="00DA5358"/>
    <w:rsid w:val="00DA5796"/>
    <w:rsid w:val="00DA5940"/>
    <w:rsid w:val="00DA5F8D"/>
    <w:rsid w:val="00DA618B"/>
    <w:rsid w:val="00DA6C8E"/>
    <w:rsid w:val="00DA7549"/>
    <w:rsid w:val="00DA7571"/>
    <w:rsid w:val="00DA7628"/>
    <w:rsid w:val="00DA78B6"/>
    <w:rsid w:val="00DA7CD3"/>
    <w:rsid w:val="00DB05E3"/>
    <w:rsid w:val="00DB1494"/>
    <w:rsid w:val="00DB1667"/>
    <w:rsid w:val="00DB22EC"/>
    <w:rsid w:val="00DB2842"/>
    <w:rsid w:val="00DB3A7F"/>
    <w:rsid w:val="00DB41CD"/>
    <w:rsid w:val="00DB6970"/>
    <w:rsid w:val="00DB6E92"/>
    <w:rsid w:val="00DC019B"/>
    <w:rsid w:val="00DC0695"/>
    <w:rsid w:val="00DC06CC"/>
    <w:rsid w:val="00DC0920"/>
    <w:rsid w:val="00DC2451"/>
    <w:rsid w:val="00DC2BB3"/>
    <w:rsid w:val="00DC4508"/>
    <w:rsid w:val="00DC4673"/>
    <w:rsid w:val="00DC4CE9"/>
    <w:rsid w:val="00DC4E38"/>
    <w:rsid w:val="00DC5325"/>
    <w:rsid w:val="00DC5349"/>
    <w:rsid w:val="00DC57B7"/>
    <w:rsid w:val="00DC5A5A"/>
    <w:rsid w:val="00DC5C08"/>
    <w:rsid w:val="00DC634F"/>
    <w:rsid w:val="00DC6DB7"/>
    <w:rsid w:val="00DC6F77"/>
    <w:rsid w:val="00DC759D"/>
    <w:rsid w:val="00DD05DB"/>
    <w:rsid w:val="00DD0974"/>
    <w:rsid w:val="00DD1447"/>
    <w:rsid w:val="00DD1BE8"/>
    <w:rsid w:val="00DD1EA0"/>
    <w:rsid w:val="00DD22C5"/>
    <w:rsid w:val="00DD32B7"/>
    <w:rsid w:val="00DD4059"/>
    <w:rsid w:val="00DD4C91"/>
    <w:rsid w:val="00DD50C5"/>
    <w:rsid w:val="00DD7F04"/>
    <w:rsid w:val="00DE041D"/>
    <w:rsid w:val="00DE0744"/>
    <w:rsid w:val="00DE0912"/>
    <w:rsid w:val="00DE10B9"/>
    <w:rsid w:val="00DE1962"/>
    <w:rsid w:val="00DE3EA2"/>
    <w:rsid w:val="00DE40EC"/>
    <w:rsid w:val="00DE42AF"/>
    <w:rsid w:val="00DE43B2"/>
    <w:rsid w:val="00DE4C68"/>
    <w:rsid w:val="00DE517F"/>
    <w:rsid w:val="00DE583F"/>
    <w:rsid w:val="00DE69D6"/>
    <w:rsid w:val="00DF0F6F"/>
    <w:rsid w:val="00DF2B2F"/>
    <w:rsid w:val="00DF383A"/>
    <w:rsid w:val="00DF419D"/>
    <w:rsid w:val="00DF5195"/>
    <w:rsid w:val="00DF601B"/>
    <w:rsid w:val="00E02DFF"/>
    <w:rsid w:val="00E03A48"/>
    <w:rsid w:val="00E03A69"/>
    <w:rsid w:val="00E0561C"/>
    <w:rsid w:val="00E0575B"/>
    <w:rsid w:val="00E10CA5"/>
    <w:rsid w:val="00E10F77"/>
    <w:rsid w:val="00E11102"/>
    <w:rsid w:val="00E111CE"/>
    <w:rsid w:val="00E12696"/>
    <w:rsid w:val="00E12CD0"/>
    <w:rsid w:val="00E12FC8"/>
    <w:rsid w:val="00E131BD"/>
    <w:rsid w:val="00E133DB"/>
    <w:rsid w:val="00E140FB"/>
    <w:rsid w:val="00E14D32"/>
    <w:rsid w:val="00E15D18"/>
    <w:rsid w:val="00E15DB7"/>
    <w:rsid w:val="00E163FB"/>
    <w:rsid w:val="00E16941"/>
    <w:rsid w:val="00E17235"/>
    <w:rsid w:val="00E17509"/>
    <w:rsid w:val="00E17DA9"/>
    <w:rsid w:val="00E20A78"/>
    <w:rsid w:val="00E21B81"/>
    <w:rsid w:val="00E22006"/>
    <w:rsid w:val="00E2240F"/>
    <w:rsid w:val="00E22A59"/>
    <w:rsid w:val="00E22E75"/>
    <w:rsid w:val="00E236A0"/>
    <w:rsid w:val="00E24853"/>
    <w:rsid w:val="00E24E2C"/>
    <w:rsid w:val="00E25E1A"/>
    <w:rsid w:val="00E25EBE"/>
    <w:rsid w:val="00E26367"/>
    <w:rsid w:val="00E27B5C"/>
    <w:rsid w:val="00E27B8C"/>
    <w:rsid w:val="00E3021E"/>
    <w:rsid w:val="00E30DB4"/>
    <w:rsid w:val="00E31715"/>
    <w:rsid w:val="00E31E1C"/>
    <w:rsid w:val="00E3247D"/>
    <w:rsid w:val="00E32DDC"/>
    <w:rsid w:val="00E33305"/>
    <w:rsid w:val="00E33611"/>
    <w:rsid w:val="00E33A5A"/>
    <w:rsid w:val="00E346CB"/>
    <w:rsid w:val="00E34BBE"/>
    <w:rsid w:val="00E37E76"/>
    <w:rsid w:val="00E410E7"/>
    <w:rsid w:val="00E41AAA"/>
    <w:rsid w:val="00E42C7B"/>
    <w:rsid w:val="00E43C15"/>
    <w:rsid w:val="00E453E2"/>
    <w:rsid w:val="00E4636B"/>
    <w:rsid w:val="00E46B21"/>
    <w:rsid w:val="00E47A9A"/>
    <w:rsid w:val="00E47D33"/>
    <w:rsid w:val="00E51D75"/>
    <w:rsid w:val="00E52B75"/>
    <w:rsid w:val="00E53911"/>
    <w:rsid w:val="00E53AD9"/>
    <w:rsid w:val="00E543FC"/>
    <w:rsid w:val="00E54C1A"/>
    <w:rsid w:val="00E556C8"/>
    <w:rsid w:val="00E5698B"/>
    <w:rsid w:val="00E57317"/>
    <w:rsid w:val="00E605CA"/>
    <w:rsid w:val="00E61DD8"/>
    <w:rsid w:val="00E623FA"/>
    <w:rsid w:val="00E62D0A"/>
    <w:rsid w:val="00E6333D"/>
    <w:rsid w:val="00E63409"/>
    <w:rsid w:val="00E63F28"/>
    <w:rsid w:val="00E64D67"/>
    <w:rsid w:val="00E65822"/>
    <w:rsid w:val="00E6628F"/>
    <w:rsid w:val="00E66B87"/>
    <w:rsid w:val="00E66CE3"/>
    <w:rsid w:val="00E67725"/>
    <w:rsid w:val="00E7007E"/>
    <w:rsid w:val="00E707CA"/>
    <w:rsid w:val="00E716F9"/>
    <w:rsid w:val="00E718E9"/>
    <w:rsid w:val="00E7190B"/>
    <w:rsid w:val="00E730C9"/>
    <w:rsid w:val="00E7398E"/>
    <w:rsid w:val="00E73B79"/>
    <w:rsid w:val="00E74078"/>
    <w:rsid w:val="00E74BEA"/>
    <w:rsid w:val="00E74E3A"/>
    <w:rsid w:val="00E75D2E"/>
    <w:rsid w:val="00E75D79"/>
    <w:rsid w:val="00E7605E"/>
    <w:rsid w:val="00E76186"/>
    <w:rsid w:val="00E77B2E"/>
    <w:rsid w:val="00E80386"/>
    <w:rsid w:val="00E80438"/>
    <w:rsid w:val="00E808C8"/>
    <w:rsid w:val="00E810DF"/>
    <w:rsid w:val="00E8111A"/>
    <w:rsid w:val="00E812F9"/>
    <w:rsid w:val="00E814C8"/>
    <w:rsid w:val="00E81554"/>
    <w:rsid w:val="00E81A0D"/>
    <w:rsid w:val="00E8220A"/>
    <w:rsid w:val="00E826AE"/>
    <w:rsid w:val="00E832F9"/>
    <w:rsid w:val="00E83309"/>
    <w:rsid w:val="00E84074"/>
    <w:rsid w:val="00E84BF8"/>
    <w:rsid w:val="00E84D69"/>
    <w:rsid w:val="00E85CBD"/>
    <w:rsid w:val="00E86E07"/>
    <w:rsid w:val="00E86E5E"/>
    <w:rsid w:val="00E87EE9"/>
    <w:rsid w:val="00E90F76"/>
    <w:rsid w:val="00E915D5"/>
    <w:rsid w:val="00E91D49"/>
    <w:rsid w:val="00E924F6"/>
    <w:rsid w:val="00E9292D"/>
    <w:rsid w:val="00E92ED0"/>
    <w:rsid w:val="00E93238"/>
    <w:rsid w:val="00E937E9"/>
    <w:rsid w:val="00E94268"/>
    <w:rsid w:val="00E9519D"/>
    <w:rsid w:val="00E9526A"/>
    <w:rsid w:val="00E95A9D"/>
    <w:rsid w:val="00E961FD"/>
    <w:rsid w:val="00E9705F"/>
    <w:rsid w:val="00E971B2"/>
    <w:rsid w:val="00E975CA"/>
    <w:rsid w:val="00E97FDF"/>
    <w:rsid w:val="00EA0274"/>
    <w:rsid w:val="00EA05C5"/>
    <w:rsid w:val="00EA1AE3"/>
    <w:rsid w:val="00EA1BB6"/>
    <w:rsid w:val="00EA1CC0"/>
    <w:rsid w:val="00EA20BE"/>
    <w:rsid w:val="00EA3D4C"/>
    <w:rsid w:val="00EA42C7"/>
    <w:rsid w:val="00EA42DA"/>
    <w:rsid w:val="00EA5675"/>
    <w:rsid w:val="00EA59E1"/>
    <w:rsid w:val="00EA5C70"/>
    <w:rsid w:val="00EA68BC"/>
    <w:rsid w:val="00EA6F04"/>
    <w:rsid w:val="00EB05F5"/>
    <w:rsid w:val="00EB1255"/>
    <w:rsid w:val="00EB2F2E"/>
    <w:rsid w:val="00EB4941"/>
    <w:rsid w:val="00EB4A95"/>
    <w:rsid w:val="00EB4B53"/>
    <w:rsid w:val="00EB4CC3"/>
    <w:rsid w:val="00EB533C"/>
    <w:rsid w:val="00EB5BB7"/>
    <w:rsid w:val="00EB641D"/>
    <w:rsid w:val="00EB6EC1"/>
    <w:rsid w:val="00EB7189"/>
    <w:rsid w:val="00EB7CAA"/>
    <w:rsid w:val="00EC0232"/>
    <w:rsid w:val="00EC0844"/>
    <w:rsid w:val="00EC0ABA"/>
    <w:rsid w:val="00EC2ED3"/>
    <w:rsid w:val="00EC333F"/>
    <w:rsid w:val="00EC354E"/>
    <w:rsid w:val="00EC375B"/>
    <w:rsid w:val="00EC4E1B"/>
    <w:rsid w:val="00EC5757"/>
    <w:rsid w:val="00EC59BE"/>
    <w:rsid w:val="00EC6190"/>
    <w:rsid w:val="00EC6F9C"/>
    <w:rsid w:val="00EC7131"/>
    <w:rsid w:val="00EC7566"/>
    <w:rsid w:val="00EC7676"/>
    <w:rsid w:val="00EC7F98"/>
    <w:rsid w:val="00ED199B"/>
    <w:rsid w:val="00ED1E66"/>
    <w:rsid w:val="00ED2248"/>
    <w:rsid w:val="00ED2E55"/>
    <w:rsid w:val="00ED4161"/>
    <w:rsid w:val="00ED5AB8"/>
    <w:rsid w:val="00ED6332"/>
    <w:rsid w:val="00ED7446"/>
    <w:rsid w:val="00ED7B42"/>
    <w:rsid w:val="00EE3592"/>
    <w:rsid w:val="00EE35C0"/>
    <w:rsid w:val="00EE371F"/>
    <w:rsid w:val="00EE3F6D"/>
    <w:rsid w:val="00EE4177"/>
    <w:rsid w:val="00EE45D0"/>
    <w:rsid w:val="00EE4733"/>
    <w:rsid w:val="00EE634B"/>
    <w:rsid w:val="00EE648B"/>
    <w:rsid w:val="00EE65A8"/>
    <w:rsid w:val="00EE7028"/>
    <w:rsid w:val="00EF03F1"/>
    <w:rsid w:val="00EF0BB8"/>
    <w:rsid w:val="00EF0E62"/>
    <w:rsid w:val="00EF1922"/>
    <w:rsid w:val="00EF235C"/>
    <w:rsid w:val="00EF23AE"/>
    <w:rsid w:val="00EF2713"/>
    <w:rsid w:val="00EF2817"/>
    <w:rsid w:val="00EF2956"/>
    <w:rsid w:val="00EF2C3A"/>
    <w:rsid w:val="00EF2E65"/>
    <w:rsid w:val="00EF35E0"/>
    <w:rsid w:val="00EF406E"/>
    <w:rsid w:val="00EF4457"/>
    <w:rsid w:val="00EF4F36"/>
    <w:rsid w:val="00EF5D2B"/>
    <w:rsid w:val="00EF5E0B"/>
    <w:rsid w:val="00EF5ED5"/>
    <w:rsid w:val="00EF63E9"/>
    <w:rsid w:val="00EF699F"/>
    <w:rsid w:val="00EF7015"/>
    <w:rsid w:val="00EF7271"/>
    <w:rsid w:val="00EF745B"/>
    <w:rsid w:val="00EF7A2C"/>
    <w:rsid w:val="00F001FE"/>
    <w:rsid w:val="00F00A68"/>
    <w:rsid w:val="00F00A84"/>
    <w:rsid w:val="00F00BA3"/>
    <w:rsid w:val="00F00D28"/>
    <w:rsid w:val="00F01554"/>
    <w:rsid w:val="00F02ACC"/>
    <w:rsid w:val="00F0317C"/>
    <w:rsid w:val="00F03E68"/>
    <w:rsid w:val="00F04A3D"/>
    <w:rsid w:val="00F063E9"/>
    <w:rsid w:val="00F0698C"/>
    <w:rsid w:val="00F069CD"/>
    <w:rsid w:val="00F070AC"/>
    <w:rsid w:val="00F0782A"/>
    <w:rsid w:val="00F07F19"/>
    <w:rsid w:val="00F1182D"/>
    <w:rsid w:val="00F11B1D"/>
    <w:rsid w:val="00F126FF"/>
    <w:rsid w:val="00F12CEB"/>
    <w:rsid w:val="00F12E45"/>
    <w:rsid w:val="00F14708"/>
    <w:rsid w:val="00F15255"/>
    <w:rsid w:val="00F152BC"/>
    <w:rsid w:val="00F15D2A"/>
    <w:rsid w:val="00F15E2F"/>
    <w:rsid w:val="00F1659B"/>
    <w:rsid w:val="00F17B6E"/>
    <w:rsid w:val="00F17CCB"/>
    <w:rsid w:val="00F202E8"/>
    <w:rsid w:val="00F2036F"/>
    <w:rsid w:val="00F2066D"/>
    <w:rsid w:val="00F21F66"/>
    <w:rsid w:val="00F229EA"/>
    <w:rsid w:val="00F233AA"/>
    <w:rsid w:val="00F23527"/>
    <w:rsid w:val="00F23E3B"/>
    <w:rsid w:val="00F23EE9"/>
    <w:rsid w:val="00F2636C"/>
    <w:rsid w:val="00F26AC3"/>
    <w:rsid w:val="00F26D51"/>
    <w:rsid w:val="00F270E6"/>
    <w:rsid w:val="00F274C3"/>
    <w:rsid w:val="00F30660"/>
    <w:rsid w:val="00F309AE"/>
    <w:rsid w:val="00F30E10"/>
    <w:rsid w:val="00F30E75"/>
    <w:rsid w:val="00F311DC"/>
    <w:rsid w:val="00F3180A"/>
    <w:rsid w:val="00F31C34"/>
    <w:rsid w:val="00F31F0A"/>
    <w:rsid w:val="00F31F33"/>
    <w:rsid w:val="00F31FC6"/>
    <w:rsid w:val="00F32175"/>
    <w:rsid w:val="00F3233D"/>
    <w:rsid w:val="00F323EA"/>
    <w:rsid w:val="00F325B2"/>
    <w:rsid w:val="00F3420D"/>
    <w:rsid w:val="00F346E5"/>
    <w:rsid w:val="00F34C32"/>
    <w:rsid w:val="00F361B0"/>
    <w:rsid w:val="00F36936"/>
    <w:rsid w:val="00F371C8"/>
    <w:rsid w:val="00F37B12"/>
    <w:rsid w:val="00F4004F"/>
    <w:rsid w:val="00F40A7D"/>
    <w:rsid w:val="00F40DF4"/>
    <w:rsid w:val="00F4130C"/>
    <w:rsid w:val="00F41788"/>
    <w:rsid w:val="00F41AA8"/>
    <w:rsid w:val="00F41C79"/>
    <w:rsid w:val="00F41F05"/>
    <w:rsid w:val="00F42085"/>
    <w:rsid w:val="00F420D8"/>
    <w:rsid w:val="00F43602"/>
    <w:rsid w:val="00F43736"/>
    <w:rsid w:val="00F44343"/>
    <w:rsid w:val="00F45082"/>
    <w:rsid w:val="00F45675"/>
    <w:rsid w:val="00F45A11"/>
    <w:rsid w:val="00F45B5A"/>
    <w:rsid w:val="00F46DA2"/>
    <w:rsid w:val="00F477B5"/>
    <w:rsid w:val="00F5006D"/>
    <w:rsid w:val="00F50AB0"/>
    <w:rsid w:val="00F51128"/>
    <w:rsid w:val="00F511D2"/>
    <w:rsid w:val="00F514C2"/>
    <w:rsid w:val="00F5173D"/>
    <w:rsid w:val="00F532D7"/>
    <w:rsid w:val="00F53C02"/>
    <w:rsid w:val="00F53DB7"/>
    <w:rsid w:val="00F554B1"/>
    <w:rsid w:val="00F558D1"/>
    <w:rsid w:val="00F55ADC"/>
    <w:rsid w:val="00F56628"/>
    <w:rsid w:val="00F5666C"/>
    <w:rsid w:val="00F566BA"/>
    <w:rsid w:val="00F56BE6"/>
    <w:rsid w:val="00F56CC8"/>
    <w:rsid w:val="00F578F1"/>
    <w:rsid w:val="00F57B80"/>
    <w:rsid w:val="00F57CA6"/>
    <w:rsid w:val="00F60472"/>
    <w:rsid w:val="00F604D1"/>
    <w:rsid w:val="00F609C7"/>
    <w:rsid w:val="00F60F9F"/>
    <w:rsid w:val="00F612F5"/>
    <w:rsid w:val="00F61384"/>
    <w:rsid w:val="00F61AF2"/>
    <w:rsid w:val="00F6209B"/>
    <w:rsid w:val="00F6252F"/>
    <w:rsid w:val="00F628AF"/>
    <w:rsid w:val="00F62F22"/>
    <w:rsid w:val="00F63A74"/>
    <w:rsid w:val="00F64354"/>
    <w:rsid w:val="00F64798"/>
    <w:rsid w:val="00F64A4B"/>
    <w:rsid w:val="00F64AC6"/>
    <w:rsid w:val="00F65288"/>
    <w:rsid w:val="00F6588E"/>
    <w:rsid w:val="00F66F40"/>
    <w:rsid w:val="00F676EB"/>
    <w:rsid w:val="00F67E0A"/>
    <w:rsid w:val="00F70005"/>
    <w:rsid w:val="00F71012"/>
    <w:rsid w:val="00F72855"/>
    <w:rsid w:val="00F734A4"/>
    <w:rsid w:val="00F7394B"/>
    <w:rsid w:val="00F73C1B"/>
    <w:rsid w:val="00F73E84"/>
    <w:rsid w:val="00F74577"/>
    <w:rsid w:val="00F74A43"/>
    <w:rsid w:val="00F7584F"/>
    <w:rsid w:val="00F7676F"/>
    <w:rsid w:val="00F7717A"/>
    <w:rsid w:val="00F77233"/>
    <w:rsid w:val="00F778E0"/>
    <w:rsid w:val="00F80277"/>
    <w:rsid w:val="00F80AB8"/>
    <w:rsid w:val="00F811C9"/>
    <w:rsid w:val="00F81234"/>
    <w:rsid w:val="00F812D5"/>
    <w:rsid w:val="00F81AD1"/>
    <w:rsid w:val="00F82545"/>
    <w:rsid w:val="00F829A5"/>
    <w:rsid w:val="00F83C08"/>
    <w:rsid w:val="00F83CD2"/>
    <w:rsid w:val="00F8499E"/>
    <w:rsid w:val="00F86091"/>
    <w:rsid w:val="00F86B43"/>
    <w:rsid w:val="00F90560"/>
    <w:rsid w:val="00F90864"/>
    <w:rsid w:val="00F91AD4"/>
    <w:rsid w:val="00F9202C"/>
    <w:rsid w:val="00F92421"/>
    <w:rsid w:val="00F92531"/>
    <w:rsid w:val="00F92A28"/>
    <w:rsid w:val="00F93778"/>
    <w:rsid w:val="00F948A4"/>
    <w:rsid w:val="00F94C79"/>
    <w:rsid w:val="00F95067"/>
    <w:rsid w:val="00F963DD"/>
    <w:rsid w:val="00F972CD"/>
    <w:rsid w:val="00F97950"/>
    <w:rsid w:val="00F97DF5"/>
    <w:rsid w:val="00FA0BB9"/>
    <w:rsid w:val="00FA0F12"/>
    <w:rsid w:val="00FA155D"/>
    <w:rsid w:val="00FA17B0"/>
    <w:rsid w:val="00FA3553"/>
    <w:rsid w:val="00FA365D"/>
    <w:rsid w:val="00FA3776"/>
    <w:rsid w:val="00FA37CC"/>
    <w:rsid w:val="00FA4416"/>
    <w:rsid w:val="00FA55AA"/>
    <w:rsid w:val="00FA6871"/>
    <w:rsid w:val="00FA7A2E"/>
    <w:rsid w:val="00FB0788"/>
    <w:rsid w:val="00FB18E9"/>
    <w:rsid w:val="00FB19FF"/>
    <w:rsid w:val="00FB1BBF"/>
    <w:rsid w:val="00FB234F"/>
    <w:rsid w:val="00FB2AB7"/>
    <w:rsid w:val="00FB4720"/>
    <w:rsid w:val="00FB472A"/>
    <w:rsid w:val="00FB491F"/>
    <w:rsid w:val="00FB4970"/>
    <w:rsid w:val="00FB49F4"/>
    <w:rsid w:val="00FB67B4"/>
    <w:rsid w:val="00FB68BB"/>
    <w:rsid w:val="00FB6ADF"/>
    <w:rsid w:val="00FB71F1"/>
    <w:rsid w:val="00FB731B"/>
    <w:rsid w:val="00FB7553"/>
    <w:rsid w:val="00FC052F"/>
    <w:rsid w:val="00FC13EA"/>
    <w:rsid w:val="00FC2C14"/>
    <w:rsid w:val="00FC30FA"/>
    <w:rsid w:val="00FC336B"/>
    <w:rsid w:val="00FC3E3B"/>
    <w:rsid w:val="00FC5154"/>
    <w:rsid w:val="00FC73AB"/>
    <w:rsid w:val="00FC7E36"/>
    <w:rsid w:val="00FC7E99"/>
    <w:rsid w:val="00FD0C5B"/>
    <w:rsid w:val="00FD10D1"/>
    <w:rsid w:val="00FD173C"/>
    <w:rsid w:val="00FD1FC1"/>
    <w:rsid w:val="00FD3324"/>
    <w:rsid w:val="00FD34D9"/>
    <w:rsid w:val="00FD4129"/>
    <w:rsid w:val="00FD487A"/>
    <w:rsid w:val="00FD4EBA"/>
    <w:rsid w:val="00FD6419"/>
    <w:rsid w:val="00FD6646"/>
    <w:rsid w:val="00FD6D73"/>
    <w:rsid w:val="00FD7028"/>
    <w:rsid w:val="00FE11E1"/>
    <w:rsid w:val="00FE190E"/>
    <w:rsid w:val="00FE2424"/>
    <w:rsid w:val="00FE2703"/>
    <w:rsid w:val="00FE3D94"/>
    <w:rsid w:val="00FE41B8"/>
    <w:rsid w:val="00FE4B47"/>
    <w:rsid w:val="00FE5B80"/>
    <w:rsid w:val="00FE61D8"/>
    <w:rsid w:val="00FE6574"/>
    <w:rsid w:val="00FE67CB"/>
    <w:rsid w:val="00FE7B94"/>
    <w:rsid w:val="00FE7E4B"/>
    <w:rsid w:val="00FE7FA3"/>
    <w:rsid w:val="00FF0273"/>
    <w:rsid w:val="00FF0C25"/>
    <w:rsid w:val="00FF151A"/>
    <w:rsid w:val="00FF158F"/>
    <w:rsid w:val="00FF2228"/>
    <w:rsid w:val="00FF2FEC"/>
    <w:rsid w:val="00FF3172"/>
    <w:rsid w:val="00FF39A0"/>
    <w:rsid w:val="00FF39B4"/>
    <w:rsid w:val="00FF3CCF"/>
    <w:rsid w:val="00FF3EBA"/>
    <w:rsid w:val="00FF4025"/>
    <w:rsid w:val="00FF41B1"/>
    <w:rsid w:val="00FF512E"/>
    <w:rsid w:val="00FF53A5"/>
    <w:rsid w:val="00FF5723"/>
    <w:rsid w:val="00FF72AB"/>
    <w:rsid w:val="011E2303"/>
    <w:rsid w:val="012A56D3"/>
    <w:rsid w:val="014001AC"/>
    <w:rsid w:val="014557C2"/>
    <w:rsid w:val="01457570"/>
    <w:rsid w:val="01474598"/>
    <w:rsid w:val="01481133"/>
    <w:rsid w:val="015D7E49"/>
    <w:rsid w:val="0160078A"/>
    <w:rsid w:val="016A38F1"/>
    <w:rsid w:val="018067FB"/>
    <w:rsid w:val="018C295D"/>
    <w:rsid w:val="018C519F"/>
    <w:rsid w:val="01945EC5"/>
    <w:rsid w:val="01967DCC"/>
    <w:rsid w:val="019F04B5"/>
    <w:rsid w:val="019F636B"/>
    <w:rsid w:val="01A87AFF"/>
    <w:rsid w:val="01B76BC6"/>
    <w:rsid w:val="01B97F5E"/>
    <w:rsid w:val="01C3190C"/>
    <w:rsid w:val="01C701DC"/>
    <w:rsid w:val="01E054EB"/>
    <w:rsid w:val="01E81930"/>
    <w:rsid w:val="01F66ABD"/>
    <w:rsid w:val="01F9035B"/>
    <w:rsid w:val="01FD1534"/>
    <w:rsid w:val="020A5844"/>
    <w:rsid w:val="02104022"/>
    <w:rsid w:val="02136A35"/>
    <w:rsid w:val="022573A2"/>
    <w:rsid w:val="02263E9A"/>
    <w:rsid w:val="022950E4"/>
    <w:rsid w:val="02295F03"/>
    <w:rsid w:val="02347FB3"/>
    <w:rsid w:val="024E68F9"/>
    <w:rsid w:val="026305F6"/>
    <w:rsid w:val="026A7313"/>
    <w:rsid w:val="02D70B5F"/>
    <w:rsid w:val="02DC3F04"/>
    <w:rsid w:val="02DD1A2B"/>
    <w:rsid w:val="02DF23B3"/>
    <w:rsid w:val="02E01C47"/>
    <w:rsid w:val="02EA7C6D"/>
    <w:rsid w:val="02F41532"/>
    <w:rsid w:val="03324574"/>
    <w:rsid w:val="03372BDE"/>
    <w:rsid w:val="033F6241"/>
    <w:rsid w:val="035D38D5"/>
    <w:rsid w:val="03636F78"/>
    <w:rsid w:val="0374740F"/>
    <w:rsid w:val="0375592E"/>
    <w:rsid w:val="037800D1"/>
    <w:rsid w:val="037843A2"/>
    <w:rsid w:val="038F7198"/>
    <w:rsid w:val="038F71C9"/>
    <w:rsid w:val="03922815"/>
    <w:rsid w:val="03AC1CCF"/>
    <w:rsid w:val="03B41164"/>
    <w:rsid w:val="03B64756"/>
    <w:rsid w:val="03BE2FFA"/>
    <w:rsid w:val="03D90444"/>
    <w:rsid w:val="03DD6393"/>
    <w:rsid w:val="03E63F2A"/>
    <w:rsid w:val="0405071D"/>
    <w:rsid w:val="04123C12"/>
    <w:rsid w:val="04390EE3"/>
    <w:rsid w:val="046643CE"/>
    <w:rsid w:val="046719B1"/>
    <w:rsid w:val="046C750A"/>
    <w:rsid w:val="046E6DDE"/>
    <w:rsid w:val="04775A3C"/>
    <w:rsid w:val="047A7CF9"/>
    <w:rsid w:val="04854128"/>
    <w:rsid w:val="048C2634"/>
    <w:rsid w:val="049C0328"/>
    <w:rsid w:val="04B52C5F"/>
    <w:rsid w:val="04C74740"/>
    <w:rsid w:val="04C90D1F"/>
    <w:rsid w:val="04D637B7"/>
    <w:rsid w:val="04EF43C3"/>
    <w:rsid w:val="04FF1AF7"/>
    <w:rsid w:val="05003828"/>
    <w:rsid w:val="055E6E53"/>
    <w:rsid w:val="056B5B59"/>
    <w:rsid w:val="05A50F26"/>
    <w:rsid w:val="05A75442"/>
    <w:rsid w:val="05B93216"/>
    <w:rsid w:val="05CD5D86"/>
    <w:rsid w:val="05DE5FFB"/>
    <w:rsid w:val="05EB7E30"/>
    <w:rsid w:val="05F536A4"/>
    <w:rsid w:val="05F9283D"/>
    <w:rsid w:val="06081A39"/>
    <w:rsid w:val="063E4905"/>
    <w:rsid w:val="064510DB"/>
    <w:rsid w:val="064B6B81"/>
    <w:rsid w:val="065344DE"/>
    <w:rsid w:val="065B3392"/>
    <w:rsid w:val="06620B3A"/>
    <w:rsid w:val="06813F88"/>
    <w:rsid w:val="06842E38"/>
    <w:rsid w:val="06865420"/>
    <w:rsid w:val="0687062B"/>
    <w:rsid w:val="06A44A58"/>
    <w:rsid w:val="06AD696B"/>
    <w:rsid w:val="06B55198"/>
    <w:rsid w:val="06D0451E"/>
    <w:rsid w:val="06D52268"/>
    <w:rsid w:val="06DA6FC6"/>
    <w:rsid w:val="06DB57EC"/>
    <w:rsid w:val="06DE46EF"/>
    <w:rsid w:val="06E17D3B"/>
    <w:rsid w:val="06EB6E0C"/>
    <w:rsid w:val="06F82FC8"/>
    <w:rsid w:val="06FC6923"/>
    <w:rsid w:val="070A729C"/>
    <w:rsid w:val="070D0B30"/>
    <w:rsid w:val="071368D7"/>
    <w:rsid w:val="071A5D98"/>
    <w:rsid w:val="072B0FB7"/>
    <w:rsid w:val="073B1012"/>
    <w:rsid w:val="073C599D"/>
    <w:rsid w:val="074C6EE6"/>
    <w:rsid w:val="074D53D1"/>
    <w:rsid w:val="07585F66"/>
    <w:rsid w:val="076432D3"/>
    <w:rsid w:val="076646E5"/>
    <w:rsid w:val="07743A8E"/>
    <w:rsid w:val="07794418"/>
    <w:rsid w:val="07AB0349"/>
    <w:rsid w:val="07AD3016"/>
    <w:rsid w:val="07B63215"/>
    <w:rsid w:val="07B77A9C"/>
    <w:rsid w:val="07DE427B"/>
    <w:rsid w:val="08075794"/>
    <w:rsid w:val="080B7557"/>
    <w:rsid w:val="0816499D"/>
    <w:rsid w:val="081D2FF5"/>
    <w:rsid w:val="08253E87"/>
    <w:rsid w:val="0828199A"/>
    <w:rsid w:val="082F4103"/>
    <w:rsid w:val="084F33CB"/>
    <w:rsid w:val="085264A2"/>
    <w:rsid w:val="085F6771"/>
    <w:rsid w:val="086B038D"/>
    <w:rsid w:val="08890C3C"/>
    <w:rsid w:val="08912B54"/>
    <w:rsid w:val="089529B2"/>
    <w:rsid w:val="089B216C"/>
    <w:rsid w:val="089E661B"/>
    <w:rsid w:val="08AE0DF9"/>
    <w:rsid w:val="08B001C4"/>
    <w:rsid w:val="08C52344"/>
    <w:rsid w:val="08EF5F46"/>
    <w:rsid w:val="0900370A"/>
    <w:rsid w:val="090F12E9"/>
    <w:rsid w:val="090F782C"/>
    <w:rsid w:val="091049D8"/>
    <w:rsid w:val="091343F8"/>
    <w:rsid w:val="0926412B"/>
    <w:rsid w:val="09420839"/>
    <w:rsid w:val="094620D8"/>
    <w:rsid w:val="094F6F85"/>
    <w:rsid w:val="0959339A"/>
    <w:rsid w:val="0966277A"/>
    <w:rsid w:val="096A3477"/>
    <w:rsid w:val="097C01EF"/>
    <w:rsid w:val="097C361B"/>
    <w:rsid w:val="098E4FA0"/>
    <w:rsid w:val="09951C33"/>
    <w:rsid w:val="099734F3"/>
    <w:rsid w:val="09A80FE4"/>
    <w:rsid w:val="09AB5942"/>
    <w:rsid w:val="09B825A0"/>
    <w:rsid w:val="09B96D4E"/>
    <w:rsid w:val="09BF2ED7"/>
    <w:rsid w:val="09EC101D"/>
    <w:rsid w:val="09F45FD8"/>
    <w:rsid w:val="09F700F8"/>
    <w:rsid w:val="0A0F7BE1"/>
    <w:rsid w:val="0A2456C5"/>
    <w:rsid w:val="0A27015B"/>
    <w:rsid w:val="0A2829C8"/>
    <w:rsid w:val="0A2D14EA"/>
    <w:rsid w:val="0A2E773B"/>
    <w:rsid w:val="0A385C04"/>
    <w:rsid w:val="0A3A120A"/>
    <w:rsid w:val="0A430D0D"/>
    <w:rsid w:val="0A474057"/>
    <w:rsid w:val="0A4925B9"/>
    <w:rsid w:val="0A5151D8"/>
    <w:rsid w:val="0A7E1D45"/>
    <w:rsid w:val="0A870BFA"/>
    <w:rsid w:val="0A8B5265"/>
    <w:rsid w:val="0AA34B1B"/>
    <w:rsid w:val="0AAF3BEE"/>
    <w:rsid w:val="0ABD15CE"/>
    <w:rsid w:val="0ABF7EA1"/>
    <w:rsid w:val="0AE37DD0"/>
    <w:rsid w:val="0AEE6ECB"/>
    <w:rsid w:val="0B095D1B"/>
    <w:rsid w:val="0B14194A"/>
    <w:rsid w:val="0B365B10"/>
    <w:rsid w:val="0B3A5C6C"/>
    <w:rsid w:val="0B6251C3"/>
    <w:rsid w:val="0B7369C9"/>
    <w:rsid w:val="0B745622"/>
    <w:rsid w:val="0B835347"/>
    <w:rsid w:val="0B842ECF"/>
    <w:rsid w:val="0B980BE5"/>
    <w:rsid w:val="0BA53A0C"/>
    <w:rsid w:val="0BA8462C"/>
    <w:rsid w:val="0BBE329E"/>
    <w:rsid w:val="0BC636DA"/>
    <w:rsid w:val="0BD10EF4"/>
    <w:rsid w:val="0BE61950"/>
    <w:rsid w:val="0BED19DF"/>
    <w:rsid w:val="0BFE4EEC"/>
    <w:rsid w:val="0C05627A"/>
    <w:rsid w:val="0C0A1A00"/>
    <w:rsid w:val="0C2F40C1"/>
    <w:rsid w:val="0C392862"/>
    <w:rsid w:val="0C3B1C9C"/>
    <w:rsid w:val="0C403BDE"/>
    <w:rsid w:val="0C447B66"/>
    <w:rsid w:val="0C4F1BEB"/>
    <w:rsid w:val="0C5E059E"/>
    <w:rsid w:val="0C6172A8"/>
    <w:rsid w:val="0C653D96"/>
    <w:rsid w:val="0C662DE0"/>
    <w:rsid w:val="0C686809"/>
    <w:rsid w:val="0C6A2581"/>
    <w:rsid w:val="0C6C454B"/>
    <w:rsid w:val="0C7E7DDA"/>
    <w:rsid w:val="0C8D0432"/>
    <w:rsid w:val="0C9B098C"/>
    <w:rsid w:val="0CA41DB2"/>
    <w:rsid w:val="0CAB771F"/>
    <w:rsid w:val="0CB21A52"/>
    <w:rsid w:val="0CB832EC"/>
    <w:rsid w:val="0CB91BCD"/>
    <w:rsid w:val="0CBA6C87"/>
    <w:rsid w:val="0CC1672A"/>
    <w:rsid w:val="0CDB0B3E"/>
    <w:rsid w:val="0CDC462F"/>
    <w:rsid w:val="0CE642FD"/>
    <w:rsid w:val="0CF05602"/>
    <w:rsid w:val="0D162709"/>
    <w:rsid w:val="0D194DAA"/>
    <w:rsid w:val="0D1F336B"/>
    <w:rsid w:val="0D276B78"/>
    <w:rsid w:val="0D3606B5"/>
    <w:rsid w:val="0D361253"/>
    <w:rsid w:val="0D3D634E"/>
    <w:rsid w:val="0D5E5ECB"/>
    <w:rsid w:val="0D80340B"/>
    <w:rsid w:val="0D83708C"/>
    <w:rsid w:val="0D854328"/>
    <w:rsid w:val="0DB062CA"/>
    <w:rsid w:val="0DB80B05"/>
    <w:rsid w:val="0DBF0C91"/>
    <w:rsid w:val="0DCB103A"/>
    <w:rsid w:val="0DDB1F25"/>
    <w:rsid w:val="0DE72AC0"/>
    <w:rsid w:val="0DF52CB7"/>
    <w:rsid w:val="0E02007A"/>
    <w:rsid w:val="0E0A5DCA"/>
    <w:rsid w:val="0E0D7668"/>
    <w:rsid w:val="0E182A34"/>
    <w:rsid w:val="0E417312"/>
    <w:rsid w:val="0E5A2C39"/>
    <w:rsid w:val="0E5B5043"/>
    <w:rsid w:val="0E5E6115"/>
    <w:rsid w:val="0E6574A4"/>
    <w:rsid w:val="0E72571D"/>
    <w:rsid w:val="0E7F3562"/>
    <w:rsid w:val="0E80608C"/>
    <w:rsid w:val="0E807E3A"/>
    <w:rsid w:val="0E8A6F0A"/>
    <w:rsid w:val="0E8E126E"/>
    <w:rsid w:val="0EB21FBD"/>
    <w:rsid w:val="0EB36461"/>
    <w:rsid w:val="0EBD2885"/>
    <w:rsid w:val="0EC34B2B"/>
    <w:rsid w:val="0ECB5D10"/>
    <w:rsid w:val="0ECC1E18"/>
    <w:rsid w:val="0EDB7766"/>
    <w:rsid w:val="0EE35EF2"/>
    <w:rsid w:val="0EE87220"/>
    <w:rsid w:val="0EEE7499"/>
    <w:rsid w:val="0F022DC2"/>
    <w:rsid w:val="0F0737D8"/>
    <w:rsid w:val="0F0774AA"/>
    <w:rsid w:val="0F1E6594"/>
    <w:rsid w:val="0F20786F"/>
    <w:rsid w:val="0F2A5FF8"/>
    <w:rsid w:val="0F370802"/>
    <w:rsid w:val="0F3D5D2B"/>
    <w:rsid w:val="0F547B71"/>
    <w:rsid w:val="0F590199"/>
    <w:rsid w:val="0F5C0D94"/>
    <w:rsid w:val="0F5C7ADD"/>
    <w:rsid w:val="0F607C6B"/>
    <w:rsid w:val="0F7936CC"/>
    <w:rsid w:val="0F916077"/>
    <w:rsid w:val="0FA4224E"/>
    <w:rsid w:val="0FA4706B"/>
    <w:rsid w:val="0FAD4701"/>
    <w:rsid w:val="0FD814C2"/>
    <w:rsid w:val="0FDE2036"/>
    <w:rsid w:val="0FE825FD"/>
    <w:rsid w:val="0FF602C5"/>
    <w:rsid w:val="100E76C7"/>
    <w:rsid w:val="10100CD5"/>
    <w:rsid w:val="101822F4"/>
    <w:rsid w:val="10216C76"/>
    <w:rsid w:val="102A0350"/>
    <w:rsid w:val="102B44AE"/>
    <w:rsid w:val="10523A58"/>
    <w:rsid w:val="107548E2"/>
    <w:rsid w:val="10757746"/>
    <w:rsid w:val="10780E0A"/>
    <w:rsid w:val="10795742"/>
    <w:rsid w:val="10846D70"/>
    <w:rsid w:val="10896347"/>
    <w:rsid w:val="109B53FF"/>
    <w:rsid w:val="10A122E9"/>
    <w:rsid w:val="10AC6DD7"/>
    <w:rsid w:val="10AC760C"/>
    <w:rsid w:val="10B93DC2"/>
    <w:rsid w:val="10BB15FD"/>
    <w:rsid w:val="10C94A01"/>
    <w:rsid w:val="10D34B99"/>
    <w:rsid w:val="10DB78ED"/>
    <w:rsid w:val="10DD24C9"/>
    <w:rsid w:val="10E344BC"/>
    <w:rsid w:val="10E83584"/>
    <w:rsid w:val="10FD18AA"/>
    <w:rsid w:val="11066918"/>
    <w:rsid w:val="112A22DF"/>
    <w:rsid w:val="112C42D6"/>
    <w:rsid w:val="113523AD"/>
    <w:rsid w:val="113B1DB1"/>
    <w:rsid w:val="11401B02"/>
    <w:rsid w:val="114535BD"/>
    <w:rsid w:val="114C3FF6"/>
    <w:rsid w:val="114E6116"/>
    <w:rsid w:val="116003F7"/>
    <w:rsid w:val="116021A5"/>
    <w:rsid w:val="11700B96"/>
    <w:rsid w:val="117230B5"/>
    <w:rsid w:val="11877731"/>
    <w:rsid w:val="118874F6"/>
    <w:rsid w:val="119D0D92"/>
    <w:rsid w:val="11AA423F"/>
    <w:rsid w:val="11D324FC"/>
    <w:rsid w:val="11D539EC"/>
    <w:rsid w:val="11E579A3"/>
    <w:rsid w:val="11E94D98"/>
    <w:rsid w:val="11EC57E6"/>
    <w:rsid w:val="11EE5A02"/>
    <w:rsid w:val="11F54C1E"/>
    <w:rsid w:val="12071515"/>
    <w:rsid w:val="12085EBE"/>
    <w:rsid w:val="121645D8"/>
    <w:rsid w:val="122338FE"/>
    <w:rsid w:val="123D1090"/>
    <w:rsid w:val="123D725D"/>
    <w:rsid w:val="12631F4C"/>
    <w:rsid w:val="12653E6A"/>
    <w:rsid w:val="12715267"/>
    <w:rsid w:val="1275424D"/>
    <w:rsid w:val="127658D7"/>
    <w:rsid w:val="127E6D86"/>
    <w:rsid w:val="12836D47"/>
    <w:rsid w:val="12844BCD"/>
    <w:rsid w:val="12864FA7"/>
    <w:rsid w:val="128A396C"/>
    <w:rsid w:val="128D6804"/>
    <w:rsid w:val="12B91B6C"/>
    <w:rsid w:val="12CC7D65"/>
    <w:rsid w:val="12DE5A77"/>
    <w:rsid w:val="12E326D0"/>
    <w:rsid w:val="13096B1C"/>
    <w:rsid w:val="130F3E82"/>
    <w:rsid w:val="132911FE"/>
    <w:rsid w:val="132F0080"/>
    <w:rsid w:val="13337DDA"/>
    <w:rsid w:val="13385187"/>
    <w:rsid w:val="13404ED0"/>
    <w:rsid w:val="13513E01"/>
    <w:rsid w:val="13627040"/>
    <w:rsid w:val="13687FB3"/>
    <w:rsid w:val="136B46BF"/>
    <w:rsid w:val="13707A8F"/>
    <w:rsid w:val="137616FC"/>
    <w:rsid w:val="1376420E"/>
    <w:rsid w:val="137837D5"/>
    <w:rsid w:val="137A030C"/>
    <w:rsid w:val="13880DB3"/>
    <w:rsid w:val="138A779A"/>
    <w:rsid w:val="13A12FBB"/>
    <w:rsid w:val="13AD6558"/>
    <w:rsid w:val="13B3185F"/>
    <w:rsid w:val="13B92FD7"/>
    <w:rsid w:val="13C06F2A"/>
    <w:rsid w:val="13E35339"/>
    <w:rsid w:val="14045069"/>
    <w:rsid w:val="141C55E9"/>
    <w:rsid w:val="14221EEF"/>
    <w:rsid w:val="142B55CD"/>
    <w:rsid w:val="143516C6"/>
    <w:rsid w:val="14473B09"/>
    <w:rsid w:val="14755F67"/>
    <w:rsid w:val="14825146"/>
    <w:rsid w:val="14840D97"/>
    <w:rsid w:val="14863468"/>
    <w:rsid w:val="148A24B5"/>
    <w:rsid w:val="14992AAC"/>
    <w:rsid w:val="14A405FA"/>
    <w:rsid w:val="14BC797C"/>
    <w:rsid w:val="14BD6188"/>
    <w:rsid w:val="14C15F23"/>
    <w:rsid w:val="14CC4C59"/>
    <w:rsid w:val="14CF3D47"/>
    <w:rsid w:val="14D514F5"/>
    <w:rsid w:val="14D94AE9"/>
    <w:rsid w:val="14DA6592"/>
    <w:rsid w:val="14DC6FA6"/>
    <w:rsid w:val="14DF2192"/>
    <w:rsid w:val="14F21845"/>
    <w:rsid w:val="14FC59FF"/>
    <w:rsid w:val="150E7F8C"/>
    <w:rsid w:val="1518005F"/>
    <w:rsid w:val="15207B65"/>
    <w:rsid w:val="152C0A60"/>
    <w:rsid w:val="1543476C"/>
    <w:rsid w:val="15485A51"/>
    <w:rsid w:val="155E7B20"/>
    <w:rsid w:val="15700B8E"/>
    <w:rsid w:val="157A1272"/>
    <w:rsid w:val="157A1343"/>
    <w:rsid w:val="15875F52"/>
    <w:rsid w:val="15876E40"/>
    <w:rsid w:val="158C2DC7"/>
    <w:rsid w:val="158F5014"/>
    <w:rsid w:val="159266A5"/>
    <w:rsid w:val="15A3138F"/>
    <w:rsid w:val="15B50D11"/>
    <w:rsid w:val="15BC1163"/>
    <w:rsid w:val="15BF64B6"/>
    <w:rsid w:val="15D25B70"/>
    <w:rsid w:val="15D80703"/>
    <w:rsid w:val="15D90852"/>
    <w:rsid w:val="15E34F86"/>
    <w:rsid w:val="15EE7D7F"/>
    <w:rsid w:val="15F865C2"/>
    <w:rsid w:val="15FA4976"/>
    <w:rsid w:val="15FB6C69"/>
    <w:rsid w:val="16013B5F"/>
    <w:rsid w:val="161552E4"/>
    <w:rsid w:val="16175528"/>
    <w:rsid w:val="16227A29"/>
    <w:rsid w:val="163013C0"/>
    <w:rsid w:val="163916AD"/>
    <w:rsid w:val="163F2811"/>
    <w:rsid w:val="164E7686"/>
    <w:rsid w:val="165C118C"/>
    <w:rsid w:val="165C2B80"/>
    <w:rsid w:val="16630A92"/>
    <w:rsid w:val="16681976"/>
    <w:rsid w:val="16773B31"/>
    <w:rsid w:val="16850E26"/>
    <w:rsid w:val="16967977"/>
    <w:rsid w:val="169721C5"/>
    <w:rsid w:val="16972659"/>
    <w:rsid w:val="16A22419"/>
    <w:rsid w:val="16B569AA"/>
    <w:rsid w:val="16CB5C81"/>
    <w:rsid w:val="16CF74AC"/>
    <w:rsid w:val="16DC6A51"/>
    <w:rsid w:val="16E573D4"/>
    <w:rsid w:val="17006A33"/>
    <w:rsid w:val="17025136"/>
    <w:rsid w:val="170576D4"/>
    <w:rsid w:val="17080CB3"/>
    <w:rsid w:val="170D2487"/>
    <w:rsid w:val="171952CF"/>
    <w:rsid w:val="17227A3C"/>
    <w:rsid w:val="172B6CDD"/>
    <w:rsid w:val="1732244F"/>
    <w:rsid w:val="173E6C71"/>
    <w:rsid w:val="17435B9A"/>
    <w:rsid w:val="174B6FB0"/>
    <w:rsid w:val="175343F8"/>
    <w:rsid w:val="175946F1"/>
    <w:rsid w:val="175C51BC"/>
    <w:rsid w:val="17607F1E"/>
    <w:rsid w:val="17641E9E"/>
    <w:rsid w:val="17657FD8"/>
    <w:rsid w:val="1770488D"/>
    <w:rsid w:val="177873B8"/>
    <w:rsid w:val="179F403B"/>
    <w:rsid w:val="180A4C18"/>
    <w:rsid w:val="180B10BC"/>
    <w:rsid w:val="180E4708"/>
    <w:rsid w:val="181D21AB"/>
    <w:rsid w:val="182757CA"/>
    <w:rsid w:val="183D285B"/>
    <w:rsid w:val="186A046A"/>
    <w:rsid w:val="18743D16"/>
    <w:rsid w:val="187A0614"/>
    <w:rsid w:val="1887731B"/>
    <w:rsid w:val="188B3FAB"/>
    <w:rsid w:val="188D23EA"/>
    <w:rsid w:val="18AB1F71"/>
    <w:rsid w:val="18B06992"/>
    <w:rsid w:val="18B30A8D"/>
    <w:rsid w:val="18B352B0"/>
    <w:rsid w:val="18CE20EA"/>
    <w:rsid w:val="18FE203D"/>
    <w:rsid w:val="190242AE"/>
    <w:rsid w:val="190B1BC7"/>
    <w:rsid w:val="19133920"/>
    <w:rsid w:val="191B532F"/>
    <w:rsid w:val="1922599C"/>
    <w:rsid w:val="192824BA"/>
    <w:rsid w:val="1936562C"/>
    <w:rsid w:val="1947140A"/>
    <w:rsid w:val="196C36C2"/>
    <w:rsid w:val="19807236"/>
    <w:rsid w:val="198C2FE3"/>
    <w:rsid w:val="198D3D53"/>
    <w:rsid w:val="1991739F"/>
    <w:rsid w:val="19962ED6"/>
    <w:rsid w:val="19B337B9"/>
    <w:rsid w:val="19B42A3F"/>
    <w:rsid w:val="19CE05F3"/>
    <w:rsid w:val="19CF2D83"/>
    <w:rsid w:val="19DE44CC"/>
    <w:rsid w:val="19E01FA2"/>
    <w:rsid w:val="19EE47F1"/>
    <w:rsid w:val="19FA6457"/>
    <w:rsid w:val="1A0634C4"/>
    <w:rsid w:val="1A4239B0"/>
    <w:rsid w:val="1A587EBD"/>
    <w:rsid w:val="1A5C66E8"/>
    <w:rsid w:val="1A632854"/>
    <w:rsid w:val="1A66082C"/>
    <w:rsid w:val="1A767F97"/>
    <w:rsid w:val="1A7B3BAB"/>
    <w:rsid w:val="1A8001E6"/>
    <w:rsid w:val="1A80074C"/>
    <w:rsid w:val="1A815835"/>
    <w:rsid w:val="1A930EF5"/>
    <w:rsid w:val="1A9D1473"/>
    <w:rsid w:val="1AA1530A"/>
    <w:rsid w:val="1AA36883"/>
    <w:rsid w:val="1AA62D70"/>
    <w:rsid w:val="1AA650CC"/>
    <w:rsid w:val="1AA864FA"/>
    <w:rsid w:val="1AB97B24"/>
    <w:rsid w:val="1AC20A5B"/>
    <w:rsid w:val="1AC437A4"/>
    <w:rsid w:val="1ACB580B"/>
    <w:rsid w:val="1B083468"/>
    <w:rsid w:val="1B177D78"/>
    <w:rsid w:val="1B281F85"/>
    <w:rsid w:val="1B410951"/>
    <w:rsid w:val="1B442132"/>
    <w:rsid w:val="1B570174"/>
    <w:rsid w:val="1B7D2468"/>
    <w:rsid w:val="1B7E3953"/>
    <w:rsid w:val="1B855C2C"/>
    <w:rsid w:val="1B887182"/>
    <w:rsid w:val="1BA50C53"/>
    <w:rsid w:val="1BAB30F2"/>
    <w:rsid w:val="1BB63F44"/>
    <w:rsid w:val="1BB64807"/>
    <w:rsid w:val="1BBB4BA7"/>
    <w:rsid w:val="1BC15EA6"/>
    <w:rsid w:val="1BC31CAE"/>
    <w:rsid w:val="1BC45815"/>
    <w:rsid w:val="1BCB4759"/>
    <w:rsid w:val="1BCD0DA7"/>
    <w:rsid w:val="1BDA26C5"/>
    <w:rsid w:val="1BE22134"/>
    <w:rsid w:val="1BEE345E"/>
    <w:rsid w:val="1BF209FD"/>
    <w:rsid w:val="1C0C5403"/>
    <w:rsid w:val="1C1942EB"/>
    <w:rsid w:val="1C356F38"/>
    <w:rsid w:val="1C447129"/>
    <w:rsid w:val="1C534DE0"/>
    <w:rsid w:val="1C5B1EE6"/>
    <w:rsid w:val="1C67088B"/>
    <w:rsid w:val="1C6D30D8"/>
    <w:rsid w:val="1C7F7983"/>
    <w:rsid w:val="1C877CDD"/>
    <w:rsid w:val="1CAD523D"/>
    <w:rsid w:val="1CC57360"/>
    <w:rsid w:val="1CCA3B59"/>
    <w:rsid w:val="1CCC1770"/>
    <w:rsid w:val="1CE41EA1"/>
    <w:rsid w:val="1CEE68B6"/>
    <w:rsid w:val="1CF3330B"/>
    <w:rsid w:val="1D0B7468"/>
    <w:rsid w:val="1D291034"/>
    <w:rsid w:val="1D31391C"/>
    <w:rsid w:val="1D367543"/>
    <w:rsid w:val="1D484219"/>
    <w:rsid w:val="1D6A596E"/>
    <w:rsid w:val="1D7C5FBA"/>
    <w:rsid w:val="1D98143D"/>
    <w:rsid w:val="1D9F19C4"/>
    <w:rsid w:val="1DA8115B"/>
    <w:rsid w:val="1DAF6046"/>
    <w:rsid w:val="1DB7132B"/>
    <w:rsid w:val="1DC5790B"/>
    <w:rsid w:val="1DD261D8"/>
    <w:rsid w:val="1DDC1F50"/>
    <w:rsid w:val="1E0062C5"/>
    <w:rsid w:val="1E081BFA"/>
    <w:rsid w:val="1E0F5A81"/>
    <w:rsid w:val="1E1660C5"/>
    <w:rsid w:val="1E1E766F"/>
    <w:rsid w:val="1E1F5155"/>
    <w:rsid w:val="1E3A6C06"/>
    <w:rsid w:val="1E424E8A"/>
    <w:rsid w:val="1E4C1F8C"/>
    <w:rsid w:val="1E546AFE"/>
    <w:rsid w:val="1E6845C0"/>
    <w:rsid w:val="1E920A8E"/>
    <w:rsid w:val="1E934E45"/>
    <w:rsid w:val="1EA2204E"/>
    <w:rsid w:val="1EBA337C"/>
    <w:rsid w:val="1EC00497"/>
    <w:rsid w:val="1EC8234E"/>
    <w:rsid w:val="1ECF68B5"/>
    <w:rsid w:val="1EDF44F4"/>
    <w:rsid w:val="1EE6018D"/>
    <w:rsid w:val="1EE613D0"/>
    <w:rsid w:val="1EF21855"/>
    <w:rsid w:val="1EF65EF6"/>
    <w:rsid w:val="1EFA16B4"/>
    <w:rsid w:val="1F036FEF"/>
    <w:rsid w:val="1F0C571A"/>
    <w:rsid w:val="1F13592D"/>
    <w:rsid w:val="1F143E83"/>
    <w:rsid w:val="1F1A5D5E"/>
    <w:rsid w:val="1F1C3BCC"/>
    <w:rsid w:val="1F1D4CEA"/>
    <w:rsid w:val="1F1D7927"/>
    <w:rsid w:val="1F314932"/>
    <w:rsid w:val="1F412ACD"/>
    <w:rsid w:val="1F44085B"/>
    <w:rsid w:val="1F4E5D32"/>
    <w:rsid w:val="1F554758"/>
    <w:rsid w:val="1F88633A"/>
    <w:rsid w:val="1F901EA7"/>
    <w:rsid w:val="1F92203A"/>
    <w:rsid w:val="1F943250"/>
    <w:rsid w:val="1F9547C6"/>
    <w:rsid w:val="1FA51C58"/>
    <w:rsid w:val="1FB262C1"/>
    <w:rsid w:val="1FB5597B"/>
    <w:rsid w:val="1FBB456B"/>
    <w:rsid w:val="1FC16504"/>
    <w:rsid w:val="1FC908AF"/>
    <w:rsid w:val="1FDF31B6"/>
    <w:rsid w:val="1FE06FC2"/>
    <w:rsid w:val="1FE11FDB"/>
    <w:rsid w:val="1FE13D1F"/>
    <w:rsid w:val="1FE83926"/>
    <w:rsid w:val="1FFC379B"/>
    <w:rsid w:val="20005F46"/>
    <w:rsid w:val="20061562"/>
    <w:rsid w:val="20197CE9"/>
    <w:rsid w:val="201B5C14"/>
    <w:rsid w:val="201D0468"/>
    <w:rsid w:val="203D7B26"/>
    <w:rsid w:val="203F749A"/>
    <w:rsid w:val="20417B9C"/>
    <w:rsid w:val="204213F3"/>
    <w:rsid w:val="204F58BE"/>
    <w:rsid w:val="2059498F"/>
    <w:rsid w:val="205D622D"/>
    <w:rsid w:val="20665273"/>
    <w:rsid w:val="20896F92"/>
    <w:rsid w:val="20955535"/>
    <w:rsid w:val="209F2A63"/>
    <w:rsid w:val="20DB0CE4"/>
    <w:rsid w:val="20E406FC"/>
    <w:rsid w:val="20F16975"/>
    <w:rsid w:val="20F36B91"/>
    <w:rsid w:val="20F546B7"/>
    <w:rsid w:val="21254871"/>
    <w:rsid w:val="214178FD"/>
    <w:rsid w:val="214E3782"/>
    <w:rsid w:val="214F147B"/>
    <w:rsid w:val="21521E4A"/>
    <w:rsid w:val="21671749"/>
    <w:rsid w:val="216830DB"/>
    <w:rsid w:val="216C24A0"/>
    <w:rsid w:val="21725E20"/>
    <w:rsid w:val="218912A4"/>
    <w:rsid w:val="21892A9C"/>
    <w:rsid w:val="218B511F"/>
    <w:rsid w:val="21966F62"/>
    <w:rsid w:val="21A148C9"/>
    <w:rsid w:val="21B005DE"/>
    <w:rsid w:val="21BE719F"/>
    <w:rsid w:val="21C83B7A"/>
    <w:rsid w:val="21C978F2"/>
    <w:rsid w:val="21E464DA"/>
    <w:rsid w:val="21E50320"/>
    <w:rsid w:val="21F24A1D"/>
    <w:rsid w:val="21F841CB"/>
    <w:rsid w:val="21FC0B4A"/>
    <w:rsid w:val="22000DC3"/>
    <w:rsid w:val="221E19EC"/>
    <w:rsid w:val="2224426F"/>
    <w:rsid w:val="22433200"/>
    <w:rsid w:val="224C10D0"/>
    <w:rsid w:val="22521696"/>
    <w:rsid w:val="225222AD"/>
    <w:rsid w:val="225C24EF"/>
    <w:rsid w:val="226433E0"/>
    <w:rsid w:val="22685BE4"/>
    <w:rsid w:val="22745AB0"/>
    <w:rsid w:val="22786DC6"/>
    <w:rsid w:val="22951269"/>
    <w:rsid w:val="229B303C"/>
    <w:rsid w:val="22AB7021"/>
    <w:rsid w:val="22AC04B1"/>
    <w:rsid w:val="22B42350"/>
    <w:rsid w:val="22B77AB9"/>
    <w:rsid w:val="22DF561F"/>
    <w:rsid w:val="22F13202"/>
    <w:rsid w:val="230D3F37"/>
    <w:rsid w:val="231B23CF"/>
    <w:rsid w:val="23405970"/>
    <w:rsid w:val="2343777C"/>
    <w:rsid w:val="23447230"/>
    <w:rsid w:val="235C7C28"/>
    <w:rsid w:val="23690DB1"/>
    <w:rsid w:val="2369313B"/>
    <w:rsid w:val="236D6AFF"/>
    <w:rsid w:val="23757D31"/>
    <w:rsid w:val="23814BB6"/>
    <w:rsid w:val="238D1486"/>
    <w:rsid w:val="238E3937"/>
    <w:rsid w:val="239406FE"/>
    <w:rsid w:val="23971A56"/>
    <w:rsid w:val="239B0E1A"/>
    <w:rsid w:val="239E55B8"/>
    <w:rsid w:val="23A8387B"/>
    <w:rsid w:val="23B26890"/>
    <w:rsid w:val="23BB4B0F"/>
    <w:rsid w:val="23C67B2A"/>
    <w:rsid w:val="23D36806"/>
    <w:rsid w:val="23E32EED"/>
    <w:rsid w:val="23EE71CC"/>
    <w:rsid w:val="23FA6AAB"/>
    <w:rsid w:val="23FE4FA4"/>
    <w:rsid w:val="241159D8"/>
    <w:rsid w:val="24172B97"/>
    <w:rsid w:val="241B4AF1"/>
    <w:rsid w:val="242D4168"/>
    <w:rsid w:val="242E5513"/>
    <w:rsid w:val="24303C58"/>
    <w:rsid w:val="24305A06"/>
    <w:rsid w:val="243674C1"/>
    <w:rsid w:val="243744E9"/>
    <w:rsid w:val="24390A60"/>
    <w:rsid w:val="24390D5F"/>
    <w:rsid w:val="243D7F68"/>
    <w:rsid w:val="243E33BC"/>
    <w:rsid w:val="246E779D"/>
    <w:rsid w:val="247F737E"/>
    <w:rsid w:val="24997A50"/>
    <w:rsid w:val="24A62471"/>
    <w:rsid w:val="24A8657A"/>
    <w:rsid w:val="24B905D7"/>
    <w:rsid w:val="24D055C5"/>
    <w:rsid w:val="24EE568D"/>
    <w:rsid w:val="25165266"/>
    <w:rsid w:val="252E5396"/>
    <w:rsid w:val="252F609F"/>
    <w:rsid w:val="253311F6"/>
    <w:rsid w:val="253634F0"/>
    <w:rsid w:val="253B3193"/>
    <w:rsid w:val="25552E9E"/>
    <w:rsid w:val="25654FC9"/>
    <w:rsid w:val="257F27A2"/>
    <w:rsid w:val="25826C83"/>
    <w:rsid w:val="25981AB5"/>
    <w:rsid w:val="25B7521A"/>
    <w:rsid w:val="25BC4C70"/>
    <w:rsid w:val="25CB18BD"/>
    <w:rsid w:val="25D35BB4"/>
    <w:rsid w:val="25D42A8C"/>
    <w:rsid w:val="25DD396C"/>
    <w:rsid w:val="260809E9"/>
    <w:rsid w:val="26190E48"/>
    <w:rsid w:val="26313084"/>
    <w:rsid w:val="26333A4F"/>
    <w:rsid w:val="263C68E5"/>
    <w:rsid w:val="264439EB"/>
    <w:rsid w:val="264B7744"/>
    <w:rsid w:val="265C0D35"/>
    <w:rsid w:val="265C612C"/>
    <w:rsid w:val="266100F9"/>
    <w:rsid w:val="266176D6"/>
    <w:rsid w:val="26631034"/>
    <w:rsid w:val="2663737A"/>
    <w:rsid w:val="26721326"/>
    <w:rsid w:val="269E5038"/>
    <w:rsid w:val="26B278DC"/>
    <w:rsid w:val="26C66AA9"/>
    <w:rsid w:val="26D77EB7"/>
    <w:rsid w:val="26E36D60"/>
    <w:rsid w:val="26E43B9D"/>
    <w:rsid w:val="26ED1F82"/>
    <w:rsid w:val="26F860C3"/>
    <w:rsid w:val="26F87EF2"/>
    <w:rsid w:val="270E7AB7"/>
    <w:rsid w:val="2722776F"/>
    <w:rsid w:val="272D447F"/>
    <w:rsid w:val="276D1A9E"/>
    <w:rsid w:val="2776644A"/>
    <w:rsid w:val="277A3B68"/>
    <w:rsid w:val="277B168E"/>
    <w:rsid w:val="277C2A92"/>
    <w:rsid w:val="27C93585"/>
    <w:rsid w:val="27DC3455"/>
    <w:rsid w:val="27F31225"/>
    <w:rsid w:val="281B7D88"/>
    <w:rsid w:val="28295701"/>
    <w:rsid w:val="28342B35"/>
    <w:rsid w:val="284D6B87"/>
    <w:rsid w:val="284E32AF"/>
    <w:rsid w:val="285A4861"/>
    <w:rsid w:val="286E6AFD"/>
    <w:rsid w:val="28792840"/>
    <w:rsid w:val="28971B62"/>
    <w:rsid w:val="2899001E"/>
    <w:rsid w:val="28C4031B"/>
    <w:rsid w:val="28C87810"/>
    <w:rsid w:val="28D9041B"/>
    <w:rsid w:val="28DA7C9C"/>
    <w:rsid w:val="28DD01E7"/>
    <w:rsid w:val="28E7613D"/>
    <w:rsid w:val="28EC71CA"/>
    <w:rsid w:val="290F3210"/>
    <w:rsid w:val="291051AF"/>
    <w:rsid w:val="29115E06"/>
    <w:rsid w:val="2924258A"/>
    <w:rsid w:val="29335210"/>
    <w:rsid w:val="29383CBC"/>
    <w:rsid w:val="293D309F"/>
    <w:rsid w:val="29461546"/>
    <w:rsid w:val="294A1318"/>
    <w:rsid w:val="294F4B81"/>
    <w:rsid w:val="29644210"/>
    <w:rsid w:val="296D1EE4"/>
    <w:rsid w:val="296F0D7F"/>
    <w:rsid w:val="297B7724"/>
    <w:rsid w:val="29A23E5B"/>
    <w:rsid w:val="29B51492"/>
    <w:rsid w:val="29EB726B"/>
    <w:rsid w:val="29F23F07"/>
    <w:rsid w:val="29FB0865"/>
    <w:rsid w:val="29FB1FE8"/>
    <w:rsid w:val="29FE68AE"/>
    <w:rsid w:val="2A070C32"/>
    <w:rsid w:val="2A1E18DB"/>
    <w:rsid w:val="2A2658E2"/>
    <w:rsid w:val="2A3916DE"/>
    <w:rsid w:val="2A3B73B6"/>
    <w:rsid w:val="2A481CFC"/>
    <w:rsid w:val="2A670B7C"/>
    <w:rsid w:val="2A6B13D5"/>
    <w:rsid w:val="2A6F4131"/>
    <w:rsid w:val="2A7D74CC"/>
    <w:rsid w:val="2A821832"/>
    <w:rsid w:val="2A9E191C"/>
    <w:rsid w:val="2AA2782C"/>
    <w:rsid w:val="2ABC3312"/>
    <w:rsid w:val="2ABC7FF4"/>
    <w:rsid w:val="2AC50660"/>
    <w:rsid w:val="2AC7344D"/>
    <w:rsid w:val="2ACE42A1"/>
    <w:rsid w:val="2AD25A69"/>
    <w:rsid w:val="2AD76BDC"/>
    <w:rsid w:val="2AE61515"/>
    <w:rsid w:val="2AE80DE9"/>
    <w:rsid w:val="2AF05EF0"/>
    <w:rsid w:val="2AF2541E"/>
    <w:rsid w:val="2AF8778F"/>
    <w:rsid w:val="2B110340"/>
    <w:rsid w:val="2B165951"/>
    <w:rsid w:val="2B1B11BE"/>
    <w:rsid w:val="2B1C5C3D"/>
    <w:rsid w:val="2B2067D5"/>
    <w:rsid w:val="2B214434"/>
    <w:rsid w:val="2B5232A5"/>
    <w:rsid w:val="2B623B0A"/>
    <w:rsid w:val="2B6E1B3C"/>
    <w:rsid w:val="2BA664B0"/>
    <w:rsid w:val="2BAF435C"/>
    <w:rsid w:val="2BB255CF"/>
    <w:rsid w:val="2BB40CB5"/>
    <w:rsid w:val="2BBE3714"/>
    <w:rsid w:val="2BCC070B"/>
    <w:rsid w:val="2BE8626E"/>
    <w:rsid w:val="2BFF2F40"/>
    <w:rsid w:val="2C0954BB"/>
    <w:rsid w:val="2C0B49F5"/>
    <w:rsid w:val="2C0E10BC"/>
    <w:rsid w:val="2C0E487F"/>
    <w:rsid w:val="2C183950"/>
    <w:rsid w:val="2C2051E2"/>
    <w:rsid w:val="2C2A3767"/>
    <w:rsid w:val="2C302A48"/>
    <w:rsid w:val="2C3A1B18"/>
    <w:rsid w:val="2C4202AD"/>
    <w:rsid w:val="2C4C5BC5"/>
    <w:rsid w:val="2C540D91"/>
    <w:rsid w:val="2C6537E2"/>
    <w:rsid w:val="2C7A242B"/>
    <w:rsid w:val="2C803D54"/>
    <w:rsid w:val="2C880066"/>
    <w:rsid w:val="2CAC69F6"/>
    <w:rsid w:val="2CAF6062"/>
    <w:rsid w:val="2CBA5779"/>
    <w:rsid w:val="2CCB6C14"/>
    <w:rsid w:val="2CD326FB"/>
    <w:rsid w:val="2CD33CDD"/>
    <w:rsid w:val="2CD33D72"/>
    <w:rsid w:val="2CDD2170"/>
    <w:rsid w:val="2CDE6947"/>
    <w:rsid w:val="2D056154"/>
    <w:rsid w:val="2D095047"/>
    <w:rsid w:val="2D0B0DBF"/>
    <w:rsid w:val="2D0D41CA"/>
    <w:rsid w:val="2D1B54A6"/>
    <w:rsid w:val="2D281971"/>
    <w:rsid w:val="2D2A52C6"/>
    <w:rsid w:val="2D406CBA"/>
    <w:rsid w:val="2D4A5E6D"/>
    <w:rsid w:val="2D601447"/>
    <w:rsid w:val="2D630777"/>
    <w:rsid w:val="2D662499"/>
    <w:rsid w:val="2D70251D"/>
    <w:rsid w:val="2D8F19F0"/>
    <w:rsid w:val="2D915A33"/>
    <w:rsid w:val="2D954534"/>
    <w:rsid w:val="2D9800A5"/>
    <w:rsid w:val="2DC3712A"/>
    <w:rsid w:val="2DC773DC"/>
    <w:rsid w:val="2DDD4F5D"/>
    <w:rsid w:val="2DE24215"/>
    <w:rsid w:val="2DF02AE0"/>
    <w:rsid w:val="2DF61A6F"/>
    <w:rsid w:val="2DF87595"/>
    <w:rsid w:val="2E1F2D74"/>
    <w:rsid w:val="2E204D3E"/>
    <w:rsid w:val="2E2A1718"/>
    <w:rsid w:val="2E2B19C3"/>
    <w:rsid w:val="2E3B3FB2"/>
    <w:rsid w:val="2E3F51C4"/>
    <w:rsid w:val="2E400F3C"/>
    <w:rsid w:val="2E5642BC"/>
    <w:rsid w:val="2E5D1AEE"/>
    <w:rsid w:val="2E6332CF"/>
    <w:rsid w:val="2E8E7EF9"/>
    <w:rsid w:val="2E943C55"/>
    <w:rsid w:val="2E9A4AF0"/>
    <w:rsid w:val="2EA679FF"/>
    <w:rsid w:val="2EBA0298"/>
    <w:rsid w:val="2EBF09B3"/>
    <w:rsid w:val="2EC4290F"/>
    <w:rsid w:val="2EC8340B"/>
    <w:rsid w:val="2EEC7466"/>
    <w:rsid w:val="2F012E4C"/>
    <w:rsid w:val="2F034443"/>
    <w:rsid w:val="2F1B1819"/>
    <w:rsid w:val="2F32030A"/>
    <w:rsid w:val="2F3465C1"/>
    <w:rsid w:val="2F38289F"/>
    <w:rsid w:val="2F4131BE"/>
    <w:rsid w:val="2F486989"/>
    <w:rsid w:val="2F4A1338"/>
    <w:rsid w:val="2F53021D"/>
    <w:rsid w:val="2F560021"/>
    <w:rsid w:val="2F57653D"/>
    <w:rsid w:val="2F580719"/>
    <w:rsid w:val="2F6B1FE9"/>
    <w:rsid w:val="2F8D622E"/>
    <w:rsid w:val="2F8D6403"/>
    <w:rsid w:val="2F971556"/>
    <w:rsid w:val="2FA23C5C"/>
    <w:rsid w:val="2FA465FA"/>
    <w:rsid w:val="2FA95D26"/>
    <w:rsid w:val="2FCB7EDC"/>
    <w:rsid w:val="2FD70E5E"/>
    <w:rsid w:val="2FE73D65"/>
    <w:rsid w:val="2FED0C50"/>
    <w:rsid w:val="2FEE6EA1"/>
    <w:rsid w:val="2FF16992"/>
    <w:rsid w:val="2FFE3400"/>
    <w:rsid w:val="30006BD5"/>
    <w:rsid w:val="30024B76"/>
    <w:rsid w:val="30164907"/>
    <w:rsid w:val="301F59D6"/>
    <w:rsid w:val="30230E9C"/>
    <w:rsid w:val="30362AF9"/>
    <w:rsid w:val="304A2860"/>
    <w:rsid w:val="304F22BF"/>
    <w:rsid w:val="3058165E"/>
    <w:rsid w:val="306B04F2"/>
    <w:rsid w:val="306C3ED5"/>
    <w:rsid w:val="30A5072E"/>
    <w:rsid w:val="30B63A79"/>
    <w:rsid w:val="30B8125D"/>
    <w:rsid w:val="30C22649"/>
    <w:rsid w:val="30DD2A72"/>
    <w:rsid w:val="30EA708C"/>
    <w:rsid w:val="30FF50DE"/>
    <w:rsid w:val="3103697D"/>
    <w:rsid w:val="310D3357"/>
    <w:rsid w:val="31161062"/>
    <w:rsid w:val="311E175A"/>
    <w:rsid w:val="312A28E8"/>
    <w:rsid w:val="312E022B"/>
    <w:rsid w:val="31300D7A"/>
    <w:rsid w:val="313308E4"/>
    <w:rsid w:val="314F3970"/>
    <w:rsid w:val="31576325"/>
    <w:rsid w:val="315A0567"/>
    <w:rsid w:val="315D29E9"/>
    <w:rsid w:val="31603DCF"/>
    <w:rsid w:val="316C4F91"/>
    <w:rsid w:val="316D2048"/>
    <w:rsid w:val="3181235B"/>
    <w:rsid w:val="3181401F"/>
    <w:rsid w:val="318178A1"/>
    <w:rsid w:val="318A3760"/>
    <w:rsid w:val="318E3D87"/>
    <w:rsid w:val="31A0241D"/>
    <w:rsid w:val="31A04B02"/>
    <w:rsid w:val="31A16195"/>
    <w:rsid w:val="31A54A87"/>
    <w:rsid w:val="31AD68E8"/>
    <w:rsid w:val="31B41761"/>
    <w:rsid w:val="31D163B5"/>
    <w:rsid w:val="31DC3FC2"/>
    <w:rsid w:val="31DE4220"/>
    <w:rsid w:val="31F2079F"/>
    <w:rsid w:val="3234700A"/>
    <w:rsid w:val="323570E1"/>
    <w:rsid w:val="32430FFB"/>
    <w:rsid w:val="324C3E11"/>
    <w:rsid w:val="32521F18"/>
    <w:rsid w:val="32537654"/>
    <w:rsid w:val="32621481"/>
    <w:rsid w:val="327B7589"/>
    <w:rsid w:val="32A970D8"/>
    <w:rsid w:val="32AB107A"/>
    <w:rsid w:val="32C57C62"/>
    <w:rsid w:val="32C91500"/>
    <w:rsid w:val="32D71710"/>
    <w:rsid w:val="32E4458C"/>
    <w:rsid w:val="32E54290"/>
    <w:rsid w:val="32E552F1"/>
    <w:rsid w:val="32ED5A24"/>
    <w:rsid w:val="32F039C1"/>
    <w:rsid w:val="32FD564D"/>
    <w:rsid w:val="33182487"/>
    <w:rsid w:val="331F49DE"/>
    <w:rsid w:val="332F3D9F"/>
    <w:rsid w:val="333453C0"/>
    <w:rsid w:val="33441DDE"/>
    <w:rsid w:val="33480F8C"/>
    <w:rsid w:val="334D51BF"/>
    <w:rsid w:val="33554575"/>
    <w:rsid w:val="33792F26"/>
    <w:rsid w:val="337F3EEB"/>
    <w:rsid w:val="33A61841"/>
    <w:rsid w:val="33AF4B9A"/>
    <w:rsid w:val="33B57CD6"/>
    <w:rsid w:val="33CA6381"/>
    <w:rsid w:val="33D4718D"/>
    <w:rsid w:val="33E02FA5"/>
    <w:rsid w:val="33E54418"/>
    <w:rsid w:val="33EF5573"/>
    <w:rsid w:val="33F56325"/>
    <w:rsid w:val="33FE78CF"/>
    <w:rsid w:val="340158FF"/>
    <w:rsid w:val="340B50A3"/>
    <w:rsid w:val="34115DF1"/>
    <w:rsid w:val="341964B7"/>
    <w:rsid w:val="341A5E10"/>
    <w:rsid w:val="342310E4"/>
    <w:rsid w:val="3428494C"/>
    <w:rsid w:val="343432F1"/>
    <w:rsid w:val="344011C9"/>
    <w:rsid w:val="344A48C2"/>
    <w:rsid w:val="344F3C87"/>
    <w:rsid w:val="34650FD4"/>
    <w:rsid w:val="347A4AA6"/>
    <w:rsid w:val="34841945"/>
    <w:rsid w:val="349873DC"/>
    <w:rsid w:val="349E076A"/>
    <w:rsid w:val="349E097E"/>
    <w:rsid w:val="34A264AC"/>
    <w:rsid w:val="34A723BA"/>
    <w:rsid w:val="34BC5AFA"/>
    <w:rsid w:val="34D6600F"/>
    <w:rsid w:val="34DD43B0"/>
    <w:rsid w:val="34E6097C"/>
    <w:rsid w:val="34E645EB"/>
    <w:rsid w:val="34EA276D"/>
    <w:rsid w:val="34FA7F15"/>
    <w:rsid w:val="35004F81"/>
    <w:rsid w:val="350D655A"/>
    <w:rsid w:val="3532671A"/>
    <w:rsid w:val="35337105"/>
    <w:rsid w:val="353F1F4D"/>
    <w:rsid w:val="355F439E"/>
    <w:rsid w:val="356F728B"/>
    <w:rsid w:val="357D65D2"/>
    <w:rsid w:val="358749DF"/>
    <w:rsid w:val="3588227F"/>
    <w:rsid w:val="358D0F0B"/>
    <w:rsid w:val="359C6562"/>
    <w:rsid w:val="35A66D4C"/>
    <w:rsid w:val="35A952DD"/>
    <w:rsid w:val="35B5404A"/>
    <w:rsid w:val="35C3299B"/>
    <w:rsid w:val="35C80195"/>
    <w:rsid w:val="35CA6E6E"/>
    <w:rsid w:val="35D53113"/>
    <w:rsid w:val="35EA1EB9"/>
    <w:rsid w:val="35F950CF"/>
    <w:rsid w:val="36071B05"/>
    <w:rsid w:val="361E6D32"/>
    <w:rsid w:val="362178A5"/>
    <w:rsid w:val="363E2205"/>
    <w:rsid w:val="36432BB5"/>
    <w:rsid w:val="365C268B"/>
    <w:rsid w:val="365E6403"/>
    <w:rsid w:val="369260AD"/>
    <w:rsid w:val="369D517D"/>
    <w:rsid w:val="369D6F2B"/>
    <w:rsid w:val="369D743C"/>
    <w:rsid w:val="369D7707"/>
    <w:rsid w:val="369E01E2"/>
    <w:rsid w:val="36AC716F"/>
    <w:rsid w:val="36B13AD8"/>
    <w:rsid w:val="36B2234D"/>
    <w:rsid w:val="36B60B61"/>
    <w:rsid w:val="36C66D6E"/>
    <w:rsid w:val="36D952F5"/>
    <w:rsid w:val="36E05D1D"/>
    <w:rsid w:val="36F77460"/>
    <w:rsid w:val="370F76FD"/>
    <w:rsid w:val="37113EEF"/>
    <w:rsid w:val="371B1F0E"/>
    <w:rsid w:val="37243717"/>
    <w:rsid w:val="376D0FF4"/>
    <w:rsid w:val="37841960"/>
    <w:rsid w:val="379950AD"/>
    <w:rsid w:val="37A02925"/>
    <w:rsid w:val="37A640B9"/>
    <w:rsid w:val="37B34CA4"/>
    <w:rsid w:val="37BD7469"/>
    <w:rsid w:val="37C84F25"/>
    <w:rsid w:val="37D36D5E"/>
    <w:rsid w:val="37E01DFB"/>
    <w:rsid w:val="37E93A81"/>
    <w:rsid w:val="37F75EE1"/>
    <w:rsid w:val="38171967"/>
    <w:rsid w:val="382C4A0B"/>
    <w:rsid w:val="383047CA"/>
    <w:rsid w:val="3842640A"/>
    <w:rsid w:val="384274DA"/>
    <w:rsid w:val="38481119"/>
    <w:rsid w:val="38680F2F"/>
    <w:rsid w:val="38697E97"/>
    <w:rsid w:val="386C12AB"/>
    <w:rsid w:val="386F66A6"/>
    <w:rsid w:val="387046E0"/>
    <w:rsid w:val="38763474"/>
    <w:rsid w:val="38787C50"/>
    <w:rsid w:val="38832371"/>
    <w:rsid w:val="3888121E"/>
    <w:rsid w:val="38887767"/>
    <w:rsid w:val="389B1BDF"/>
    <w:rsid w:val="38A04AB1"/>
    <w:rsid w:val="38AA45E3"/>
    <w:rsid w:val="38D858C0"/>
    <w:rsid w:val="38DE5E5B"/>
    <w:rsid w:val="38F02478"/>
    <w:rsid w:val="38FE5C7B"/>
    <w:rsid w:val="39031830"/>
    <w:rsid w:val="39074B30"/>
    <w:rsid w:val="390C2146"/>
    <w:rsid w:val="39180C1C"/>
    <w:rsid w:val="391D4354"/>
    <w:rsid w:val="39243B0A"/>
    <w:rsid w:val="392641A9"/>
    <w:rsid w:val="393A6E69"/>
    <w:rsid w:val="39545261"/>
    <w:rsid w:val="39675500"/>
    <w:rsid w:val="39682ADB"/>
    <w:rsid w:val="39693A3D"/>
    <w:rsid w:val="39743140"/>
    <w:rsid w:val="397B127F"/>
    <w:rsid w:val="398268AC"/>
    <w:rsid w:val="39BE3AFA"/>
    <w:rsid w:val="39BF57BB"/>
    <w:rsid w:val="39C5497B"/>
    <w:rsid w:val="39ED1F78"/>
    <w:rsid w:val="39EE59C1"/>
    <w:rsid w:val="39F57E62"/>
    <w:rsid w:val="39FF2A65"/>
    <w:rsid w:val="3A1172F4"/>
    <w:rsid w:val="3A255086"/>
    <w:rsid w:val="3A26548A"/>
    <w:rsid w:val="3A2E4C8D"/>
    <w:rsid w:val="3A35147E"/>
    <w:rsid w:val="3A440D4A"/>
    <w:rsid w:val="3A495351"/>
    <w:rsid w:val="3A59585F"/>
    <w:rsid w:val="3A684F47"/>
    <w:rsid w:val="3A6A4A9F"/>
    <w:rsid w:val="3A8C0218"/>
    <w:rsid w:val="3A9222E5"/>
    <w:rsid w:val="3A970136"/>
    <w:rsid w:val="3A9A190D"/>
    <w:rsid w:val="3AA1177A"/>
    <w:rsid w:val="3AAB7CC7"/>
    <w:rsid w:val="3AAC3BE1"/>
    <w:rsid w:val="3ABE56C2"/>
    <w:rsid w:val="3AD90A95"/>
    <w:rsid w:val="3AE570F3"/>
    <w:rsid w:val="3AE96BE3"/>
    <w:rsid w:val="3AF129E2"/>
    <w:rsid w:val="3AFC4698"/>
    <w:rsid w:val="3B143534"/>
    <w:rsid w:val="3B240455"/>
    <w:rsid w:val="3B3C613D"/>
    <w:rsid w:val="3B3E73BE"/>
    <w:rsid w:val="3B4E7A12"/>
    <w:rsid w:val="3B500778"/>
    <w:rsid w:val="3B5B2249"/>
    <w:rsid w:val="3B7F12F6"/>
    <w:rsid w:val="3B8C2E5D"/>
    <w:rsid w:val="3B8F3671"/>
    <w:rsid w:val="3BA269CE"/>
    <w:rsid w:val="3BAF7463"/>
    <w:rsid w:val="3BB26EE4"/>
    <w:rsid w:val="3BB557AB"/>
    <w:rsid w:val="3BD72A99"/>
    <w:rsid w:val="3BE06F10"/>
    <w:rsid w:val="3BE67518"/>
    <w:rsid w:val="3BE73A1E"/>
    <w:rsid w:val="3C062418"/>
    <w:rsid w:val="3C1001A0"/>
    <w:rsid w:val="3C2052F0"/>
    <w:rsid w:val="3C3B2814"/>
    <w:rsid w:val="3C4414D2"/>
    <w:rsid w:val="3C594E5B"/>
    <w:rsid w:val="3C595B04"/>
    <w:rsid w:val="3C5E53AF"/>
    <w:rsid w:val="3C666012"/>
    <w:rsid w:val="3C6B1AAD"/>
    <w:rsid w:val="3C7356FA"/>
    <w:rsid w:val="3C7F70D3"/>
    <w:rsid w:val="3C836C33"/>
    <w:rsid w:val="3C894A95"/>
    <w:rsid w:val="3C9C0A59"/>
    <w:rsid w:val="3CC2593E"/>
    <w:rsid w:val="3CC82828"/>
    <w:rsid w:val="3CDB69FF"/>
    <w:rsid w:val="3CEA09F1"/>
    <w:rsid w:val="3CEF6007"/>
    <w:rsid w:val="3CFB3A43"/>
    <w:rsid w:val="3CFB661F"/>
    <w:rsid w:val="3D066DC4"/>
    <w:rsid w:val="3D0D1101"/>
    <w:rsid w:val="3D3323D6"/>
    <w:rsid w:val="3D3879AE"/>
    <w:rsid w:val="3D5B18EE"/>
    <w:rsid w:val="3D7448F1"/>
    <w:rsid w:val="3D921331"/>
    <w:rsid w:val="3D94095C"/>
    <w:rsid w:val="3DA908AC"/>
    <w:rsid w:val="3DAA7B8D"/>
    <w:rsid w:val="3DBA077F"/>
    <w:rsid w:val="3DD84CED"/>
    <w:rsid w:val="3DDE7492"/>
    <w:rsid w:val="3DEE6A01"/>
    <w:rsid w:val="3E0361F3"/>
    <w:rsid w:val="3E1608D0"/>
    <w:rsid w:val="3E183853"/>
    <w:rsid w:val="3E5500EC"/>
    <w:rsid w:val="3E5B6F4A"/>
    <w:rsid w:val="3E5D51F2"/>
    <w:rsid w:val="3E5E3444"/>
    <w:rsid w:val="3E834C59"/>
    <w:rsid w:val="3EAB0654"/>
    <w:rsid w:val="3EB0314B"/>
    <w:rsid w:val="3EBD4C53"/>
    <w:rsid w:val="3EC05384"/>
    <w:rsid w:val="3EC35CE1"/>
    <w:rsid w:val="3EC434EB"/>
    <w:rsid w:val="3EC80F65"/>
    <w:rsid w:val="3ED35D96"/>
    <w:rsid w:val="3EE0310F"/>
    <w:rsid w:val="3EE61645"/>
    <w:rsid w:val="3EEE3679"/>
    <w:rsid w:val="3EF26BF1"/>
    <w:rsid w:val="3EFA4FFD"/>
    <w:rsid w:val="3F067638"/>
    <w:rsid w:val="3F0B7AC5"/>
    <w:rsid w:val="3F0D6C18"/>
    <w:rsid w:val="3F134F7F"/>
    <w:rsid w:val="3F143F10"/>
    <w:rsid w:val="3F1A17ED"/>
    <w:rsid w:val="3F310B59"/>
    <w:rsid w:val="3F5933D7"/>
    <w:rsid w:val="3F5C61BC"/>
    <w:rsid w:val="3F6727CC"/>
    <w:rsid w:val="3F754EDC"/>
    <w:rsid w:val="3F821E5A"/>
    <w:rsid w:val="3F826617"/>
    <w:rsid w:val="3F8E5FC8"/>
    <w:rsid w:val="3F8F3FC4"/>
    <w:rsid w:val="3F931462"/>
    <w:rsid w:val="3F983C79"/>
    <w:rsid w:val="3FA44006"/>
    <w:rsid w:val="3FAA090B"/>
    <w:rsid w:val="3FC75019"/>
    <w:rsid w:val="3FCF2120"/>
    <w:rsid w:val="3FD85478"/>
    <w:rsid w:val="3FD85683"/>
    <w:rsid w:val="3FFF6096"/>
    <w:rsid w:val="40044B90"/>
    <w:rsid w:val="40310071"/>
    <w:rsid w:val="404552A0"/>
    <w:rsid w:val="4056454A"/>
    <w:rsid w:val="408F524D"/>
    <w:rsid w:val="40A01D3A"/>
    <w:rsid w:val="40BB4A3E"/>
    <w:rsid w:val="40DE086C"/>
    <w:rsid w:val="40DE6ABE"/>
    <w:rsid w:val="40E165AE"/>
    <w:rsid w:val="40ED02B8"/>
    <w:rsid w:val="40FA31CC"/>
    <w:rsid w:val="41110C42"/>
    <w:rsid w:val="411F7702"/>
    <w:rsid w:val="41200DBB"/>
    <w:rsid w:val="41211630"/>
    <w:rsid w:val="41214BFD"/>
    <w:rsid w:val="412169AB"/>
    <w:rsid w:val="41270465"/>
    <w:rsid w:val="412F731A"/>
    <w:rsid w:val="41395AA3"/>
    <w:rsid w:val="414172BF"/>
    <w:rsid w:val="416A190F"/>
    <w:rsid w:val="4177481D"/>
    <w:rsid w:val="418015D5"/>
    <w:rsid w:val="419F141C"/>
    <w:rsid w:val="41B65345"/>
    <w:rsid w:val="41C537DA"/>
    <w:rsid w:val="41C619F5"/>
    <w:rsid w:val="41DD72D9"/>
    <w:rsid w:val="41E53E7C"/>
    <w:rsid w:val="41F35D42"/>
    <w:rsid w:val="41F51969"/>
    <w:rsid w:val="41F53F77"/>
    <w:rsid w:val="41FB36A0"/>
    <w:rsid w:val="42165DE4"/>
    <w:rsid w:val="42187E16"/>
    <w:rsid w:val="421A1D78"/>
    <w:rsid w:val="421D2C9A"/>
    <w:rsid w:val="42277327"/>
    <w:rsid w:val="422D19B2"/>
    <w:rsid w:val="422E1FA9"/>
    <w:rsid w:val="422F448D"/>
    <w:rsid w:val="422F6EA6"/>
    <w:rsid w:val="42300D15"/>
    <w:rsid w:val="42366258"/>
    <w:rsid w:val="424C228D"/>
    <w:rsid w:val="424E40FE"/>
    <w:rsid w:val="42733236"/>
    <w:rsid w:val="427D6FBB"/>
    <w:rsid w:val="427E4A81"/>
    <w:rsid w:val="428617AE"/>
    <w:rsid w:val="42872C3E"/>
    <w:rsid w:val="42892A5A"/>
    <w:rsid w:val="428E7279"/>
    <w:rsid w:val="42997141"/>
    <w:rsid w:val="42A76C14"/>
    <w:rsid w:val="42C16291"/>
    <w:rsid w:val="42C26869"/>
    <w:rsid w:val="42D345EE"/>
    <w:rsid w:val="42D8495B"/>
    <w:rsid w:val="42E74151"/>
    <w:rsid w:val="42ED02B3"/>
    <w:rsid w:val="42F36125"/>
    <w:rsid w:val="42FC1718"/>
    <w:rsid w:val="43043B52"/>
    <w:rsid w:val="430B6AB6"/>
    <w:rsid w:val="430B79FD"/>
    <w:rsid w:val="43152860"/>
    <w:rsid w:val="431A4176"/>
    <w:rsid w:val="432F3601"/>
    <w:rsid w:val="433B00F9"/>
    <w:rsid w:val="43421586"/>
    <w:rsid w:val="436808C1"/>
    <w:rsid w:val="436B10C1"/>
    <w:rsid w:val="436C03B1"/>
    <w:rsid w:val="436D5ED7"/>
    <w:rsid w:val="43867441"/>
    <w:rsid w:val="438761B4"/>
    <w:rsid w:val="4389474A"/>
    <w:rsid w:val="439711A6"/>
    <w:rsid w:val="43A21B23"/>
    <w:rsid w:val="43A4707C"/>
    <w:rsid w:val="43C04259"/>
    <w:rsid w:val="43E77735"/>
    <w:rsid w:val="43FF1225"/>
    <w:rsid w:val="44112D07"/>
    <w:rsid w:val="4412404A"/>
    <w:rsid w:val="441646D5"/>
    <w:rsid w:val="441A673B"/>
    <w:rsid w:val="441C6511"/>
    <w:rsid w:val="44354C47"/>
    <w:rsid w:val="443A225E"/>
    <w:rsid w:val="443C169B"/>
    <w:rsid w:val="443D3AFC"/>
    <w:rsid w:val="44427364"/>
    <w:rsid w:val="4445330B"/>
    <w:rsid w:val="44484B78"/>
    <w:rsid w:val="444906F3"/>
    <w:rsid w:val="445B21D4"/>
    <w:rsid w:val="44602908"/>
    <w:rsid w:val="448319E1"/>
    <w:rsid w:val="448F024A"/>
    <w:rsid w:val="44A678F3"/>
    <w:rsid w:val="44AB4D82"/>
    <w:rsid w:val="44B230AE"/>
    <w:rsid w:val="44BE5E0A"/>
    <w:rsid w:val="44C86593"/>
    <w:rsid w:val="44D41F9A"/>
    <w:rsid w:val="44D53D34"/>
    <w:rsid w:val="44EA1549"/>
    <w:rsid w:val="44EE3048"/>
    <w:rsid w:val="44FF34A7"/>
    <w:rsid w:val="45014B29"/>
    <w:rsid w:val="4503074E"/>
    <w:rsid w:val="45074726"/>
    <w:rsid w:val="45214F7E"/>
    <w:rsid w:val="452B1BA6"/>
    <w:rsid w:val="45303661"/>
    <w:rsid w:val="45433394"/>
    <w:rsid w:val="45492AC0"/>
    <w:rsid w:val="454C2409"/>
    <w:rsid w:val="45520528"/>
    <w:rsid w:val="455D71AD"/>
    <w:rsid w:val="45675331"/>
    <w:rsid w:val="45725111"/>
    <w:rsid w:val="458021A9"/>
    <w:rsid w:val="45CE07A3"/>
    <w:rsid w:val="45D46485"/>
    <w:rsid w:val="45E940B3"/>
    <w:rsid w:val="45EB73DE"/>
    <w:rsid w:val="45F01F6C"/>
    <w:rsid w:val="45F44786"/>
    <w:rsid w:val="45F97EF6"/>
    <w:rsid w:val="460A3EB2"/>
    <w:rsid w:val="460B1E86"/>
    <w:rsid w:val="4616236D"/>
    <w:rsid w:val="46204781"/>
    <w:rsid w:val="46256F3D"/>
    <w:rsid w:val="462B5902"/>
    <w:rsid w:val="46323670"/>
    <w:rsid w:val="46343881"/>
    <w:rsid w:val="46404558"/>
    <w:rsid w:val="464B07E0"/>
    <w:rsid w:val="46565349"/>
    <w:rsid w:val="467A1037"/>
    <w:rsid w:val="46832413"/>
    <w:rsid w:val="4686730A"/>
    <w:rsid w:val="46872E38"/>
    <w:rsid w:val="468A0B4E"/>
    <w:rsid w:val="46910103"/>
    <w:rsid w:val="469F2601"/>
    <w:rsid w:val="46A61E2C"/>
    <w:rsid w:val="46A82FBF"/>
    <w:rsid w:val="46AB40C3"/>
    <w:rsid w:val="46AD2B47"/>
    <w:rsid w:val="46C439A8"/>
    <w:rsid w:val="46DD1482"/>
    <w:rsid w:val="46E0403D"/>
    <w:rsid w:val="46F36A6E"/>
    <w:rsid w:val="46F64465"/>
    <w:rsid w:val="46FC1214"/>
    <w:rsid w:val="46FD57C4"/>
    <w:rsid w:val="47152B0E"/>
    <w:rsid w:val="471A0124"/>
    <w:rsid w:val="471F2FD5"/>
    <w:rsid w:val="472478C0"/>
    <w:rsid w:val="473571BC"/>
    <w:rsid w:val="473A07C7"/>
    <w:rsid w:val="4747781B"/>
    <w:rsid w:val="475438BE"/>
    <w:rsid w:val="475950F1"/>
    <w:rsid w:val="47727F60"/>
    <w:rsid w:val="477E6905"/>
    <w:rsid w:val="47823D32"/>
    <w:rsid w:val="47863A0C"/>
    <w:rsid w:val="47A07BBB"/>
    <w:rsid w:val="47A56FB4"/>
    <w:rsid w:val="47AD7CF1"/>
    <w:rsid w:val="47AF2F63"/>
    <w:rsid w:val="47C22C96"/>
    <w:rsid w:val="47CD224A"/>
    <w:rsid w:val="47D14C87"/>
    <w:rsid w:val="47D67F88"/>
    <w:rsid w:val="47E04ECA"/>
    <w:rsid w:val="47E81FD1"/>
    <w:rsid w:val="47EC1AC1"/>
    <w:rsid w:val="47ED5839"/>
    <w:rsid w:val="47F77C7F"/>
    <w:rsid w:val="480D66CD"/>
    <w:rsid w:val="48141018"/>
    <w:rsid w:val="48171D23"/>
    <w:rsid w:val="482849BA"/>
    <w:rsid w:val="483376F0"/>
    <w:rsid w:val="484E4529"/>
    <w:rsid w:val="48584FE2"/>
    <w:rsid w:val="48627FD5"/>
    <w:rsid w:val="486755EB"/>
    <w:rsid w:val="486C4F01"/>
    <w:rsid w:val="486D1533"/>
    <w:rsid w:val="4876582E"/>
    <w:rsid w:val="488A12DA"/>
    <w:rsid w:val="488F4451"/>
    <w:rsid w:val="48BA15B1"/>
    <w:rsid w:val="48BE5C8A"/>
    <w:rsid w:val="48CB5B7A"/>
    <w:rsid w:val="48D507A7"/>
    <w:rsid w:val="48D673DB"/>
    <w:rsid w:val="48D76D49"/>
    <w:rsid w:val="48D80F37"/>
    <w:rsid w:val="48D82045"/>
    <w:rsid w:val="48E97759"/>
    <w:rsid w:val="48F331AB"/>
    <w:rsid w:val="490A482D"/>
    <w:rsid w:val="49217723"/>
    <w:rsid w:val="49507E2D"/>
    <w:rsid w:val="4955180C"/>
    <w:rsid w:val="49600707"/>
    <w:rsid w:val="496D09DF"/>
    <w:rsid w:val="498227B7"/>
    <w:rsid w:val="49866CAF"/>
    <w:rsid w:val="499524F4"/>
    <w:rsid w:val="499B6895"/>
    <w:rsid w:val="49B44860"/>
    <w:rsid w:val="49BE748D"/>
    <w:rsid w:val="49BF432B"/>
    <w:rsid w:val="49D4280C"/>
    <w:rsid w:val="49D828F0"/>
    <w:rsid w:val="49D86E48"/>
    <w:rsid w:val="49D96075"/>
    <w:rsid w:val="49DE21F0"/>
    <w:rsid w:val="49E204D8"/>
    <w:rsid w:val="49FE2BC4"/>
    <w:rsid w:val="4A003601"/>
    <w:rsid w:val="4A103FF4"/>
    <w:rsid w:val="4A192B94"/>
    <w:rsid w:val="4A292E59"/>
    <w:rsid w:val="4A392FB7"/>
    <w:rsid w:val="4A4A33B3"/>
    <w:rsid w:val="4A601EB7"/>
    <w:rsid w:val="4A666565"/>
    <w:rsid w:val="4A6B31B8"/>
    <w:rsid w:val="4A71325C"/>
    <w:rsid w:val="4A7B1346"/>
    <w:rsid w:val="4A7B66E4"/>
    <w:rsid w:val="4A7F4FCB"/>
    <w:rsid w:val="4A8F0E29"/>
    <w:rsid w:val="4A9220C8"/>
    <w:rsid w:val="4A987CDE"/>
    <w:rsid w:val="4ACC6DEF"/>
    <w:rsid w:val="4AD5154D"/>
    <w:rsid w:val="4ADF590D"/>
    <w:rsid w:val="4AF22B04"/>
    <w:rsid w:val="4AFF7D5D"/>
    <w:rsid w:val="4B08619A"/>
    <w:rsid w:val="4B0E1D4E"/>
    <w:rsid w:val="4B1A5E5B"/>
    <w:rsid w:val="4B27635D"/>
    <w:rsid w:val="4B2E419E"/>
    <w:rsid w:val="4B49722A"/>
    <w:rsid w:val="4B6127C6"/>
    <w:rsid w:val="4B902FB1"/>
    <w:rsid w:val="4B9E1324"/>
    <w:rsid w:val="4BCC283D"/>
    <w:rsid w:val="4BD35E6D"/>
    <w:rsid w:val="4BEB02E1"/>
    <w:rsid w:val="4BFA0524"/>
    <w:rsid w:val="4C215AB1"/>
    <w:rsid w:val="4C291A9B"/>
    <w:rsid w:val="4C391F8E"/>
    <w:rsid w:val="4C3F0D7F"/>
    <w:rsid w:val="4C5916EF"/>
    <w:rsid w:val="4C5B5DF1"/>
    <w:rsid w:val="4C635973"/>
    <w:rsid w:val="4C6562E6"/>
    <w:rsid w:val="4C6919DE"/>
    <w:rsid w:val="4C6C64EF"/>
    <w:rsid w:val="4C6D6DCE"/>
    <w:rsid w:val="4C752052"/>
    <w:rsid w:val="4C7D3694"/>
    <w:rsid w:val="4C877433"/>
    <w:rsid w:val="4C8D407E"/>
    <w:rsid w:val="4C8F5111"/>
    <w:rsid w:val="4C917025"/>
    <w:rsid w:val="4CD4016A"/>
    <w:rsid w:val="4CD63ADF"/>
    <w:rsid w:val="4D267823"/>
    <w:rsid w:val="4D2D4855"/>
    <w:rsid w:val="4D301E1B"/>
    <w:rsid w:val="4D31441A"/>
    <w:rsid w:val="4D393332"/>
    <w:rsid w:val="4D3B01A7"/>
    <w:rsid w:val="4D3E64AE"/>
    <w:rsid w:val="4D4746C5"/>
    <w:rsid w:val="4D5325E2"/>
    <w:rsid w:val="4D5F2A75"/>
    <w:rsid w:val="4D616AAD"/>
    <w:rsid w:val="4D6D5F10"/>
    <w:rsid w:val="4D7A3D69"/>
    <w:rsid w:val="4D8D1485"/>
    <w:rsid w:val="4D9549A9"/>
    <w:rsid w:val="4D9A3D6D"/>
    <w:rsid w:val="4D9B50BA"/>
    <w:rsid w:val="4DA4699A"/>
    <w:rsid w:val="4DB21A18"/>
    <w:rsid w:val="4DC42B98"/>
    <w:rsid w:val="4DC66910"/>
    <w:rsid w:val="4DCB5B2E"/>
    <w:rsid w:val="4DFD50C1"/>
    <w:rsid w:val="4DFF4BFB"/>
    <w:rsid w:val="4E04568A"/>
    <w:rsid w:val="4E0C7AED"/>
    <w:rsid w:val="4E0D09E3"/>
    <w:rsid w:val="4E154FC1"/>
    <w:rsid w:val="4E17139C"/>
    <w:rsid w:val="4E1A6C5C"/>
    <w:rsid w:val="4E1C29D4"/>
    <w:rsid w:val="4E200716"/>
    <w:rsid w:val="4E485577"/>
    <w:rsid w:val="4E496865"/>
    <w:rsid w:val="4E4A05B2"/>
    <w:rsid w:val="4E58321E"/>
    <w:rsid w:val="4E5C4F50"/>
    <w:rsid w:val="4E6735F3"/>
    <w:rsid w:val="4E80487A"/>
    <w:rsid w:val="4E880069"/>
    <w:rsid w:val="4EBD5F65"/>
    <w:rsid w:val="4ECC18EA"/>
    <w:rsid w:val="4EEC1BF8"/>
    <w:rsid w:val="4EF676C9"/>
    <w:rsid w:val="4F0244D9"/>
    <w:rsid w:val="4F091A8C"/>
    <w:rsid w:val="4F0E00E7"/>
    <w:rsid w:val="4F253B0A"/>
    <w:rsid w:val="4F2558A6"/>
    <w:rsid w:val="4F471146"/>
    <w:rsid w:val="4F4A630A"/>
    <w:rsid w:val="4F4F0B87"/>
    <w:rsid w:val="4F6264CF"/>
    <w:rsid w:val="4F730D1A"/>
    <w:rsid w:val="4F7A20A8"/>
    <w:rsid w:val="4F7E438F"/>
    <w:rsid w:val="4F864B42"/>
    <w:rsid w:val="4F8A39FB"/>
    <w:rsid w:val="4F926200"/>
    <w:rsid w:val="4F94767E"/>
    <w:rsid w:val="4F9A0295"/>
    <w:rsid w:val="4F9E61DD"/>
    <w:rsid w:val="4FA1745C"/>
    <w:rsid w:val="4FAA18A4"/>
    <w:rsid w:val="4FBA6EAB"/>
    <w:rsid w:val="4FC41575"/>
    <w:rsid w:val="4FC82E13"/>
    <w:rsid w:val="4FCE62C5"/>
    <w:rsid w:val="4FD52511"/>
    <w:rsid w:val="4FE20FB2"/>
    <w:rsid w:val="4FEB08B0"/>
    <w:rsid w:val="4FF754A7"/>
    <w:rsid w:val="500D4CCA"/>
    <w:rsid w:val="502A01E1"/>
    <w:rsid w:val="50355FCF"/>
    <w:rsid w:val="5038679F"/>
    <w:rsid w:val="503B1837"/>
    <w:rsid w:val="504826DF"/>
    <w:rsid w:val="504E4D82"/>
    <w:rsid w:val="50670571"/>
    <w:rsid w:val="507028FD"/>
    <w:rsid w:val="50933F90"/>
    <w:rsid w:val="509C604E"/>
    <w:rsid w:val="50B030AB"/>
    <w:rsid w:val="50B95E75"/>
    <w:rsid w:val="50CA6916"/>
    <w:rsid w:val="50EB50F9"/>
    <w:rsid w:val="50EF10F8"/>
    <w:rsid w:val="50F23533"/>
    <w:rsid w:val="512A0A14"/>
    <w:rsid w:val="5153495F"/>
    <w:rsid w:val="51562F8F"/>
    <w:rsid w:val="516923D4"/>
    <w:rsid w:val="51752B27"/>
    <w:rsid w:val="517B5A9D"/>
    <w:rsid w:val="51801D58"/>
    <w:rsid w:val="51A253B1"/>
    <w:rsid w:val="51B01DB1"/>
    <w:rsid w:val="51B03B5F"/>
    <w:rsid w:val="51C21AE4"/>
    <w:rsid w:val="51CD69E1"/>
    <w:rsid w:val="51E77F87"/>
    <w:rsid w:val="51F87B88"/>
    <w:rsid w:val="52181606"/>
    <w:rsid w:val="52246F43"/>
    <w:rsid w:val="523B3F1A"/>
    <w:rsid w:val="523E1BC7"/>
    <w:rsid w:val="52543C84"/>
    <w:rsid w:val="526F6ED4"/>
    <w:rsid w:val="52752746"/>
    <w:rsid w:val="528E46E8"/>
    <w:rsid w:val="52950FA7"/>
    <w:rsid w:val="52A31916"/>
    <w:rsid w:val="52B63616"/>
    <w:rsid w:val="52B94C95"/>
    <w:rsid w:val="52C34BE9"/>
    <w:rsid w:val="52CC1DF5"/>
    <w:rsid w:val="52CD201A"/>
    <w:rsid w:val="52EC4603"/>
    <w:rsid w:val="52EF4B5B"/>
    <w:rsid w:val="52F537F4"/>
    <w:rsid w:val="530F02BC"/>
    <w:rsid w:val="53130F14"/>
    <w:rsid w:val="531C6A38"/>
    <w:rsid w:val="53230361"/>
    <w:rsid w:val="532E72E8"/>
    <w:rsid w:val="534A3B3F"/>
    <w:rsid w:val="534B0014"/>
    <w:rsid w:val="534D3630"/>
    <w:rsid w:val="534D72F9"/>
    <w:rsid w:val="535E2231"/>
    <w:rsid w:val="536761E4"/>
    <w:rsid w:val="536C1FB4"/>
    <w:rsid w:val="536F2169"/>
    <w:rsid w:val="5373169B"/>
    <w:rsid w:val="53803A05"/>
    <w:rsid w:val="53831AD5"/>
    <w:rsid w:val="53874D93"/>
    <w:rsid w:val="538848DC"/>
    <w:rsid w:val="538E7706"/>
    <w:rsid w:val="538E7ED0"/>
    <w:rsid w:val="5394300C"/>
    <w:rsid w:val="53AC7DF8"/>
    <w:rsid w:val="53B11E10"/>
    <w:rsid w:val="53C048B6"/>
    <w:rsid w:val="53C75190"/>
    <w:rsid w:val="53D02007"/>
    <w:rsid w:val="53D37FD9"/>
    <w:rsid w:val="53E544DB"/>
    <w:rsid w:val="53FD20BF"/>
    <w:rsid w:val="54041F40"/>
    <w:rsid w:val="541D2A6E"/>
    <w:rsid w:val="54271233"/>
    <w:rsid w:val="5431771D"/>
    <w:rsid w:val="54330A77"/>
    <w:rsid w:val="54357CAF"/>
    <w:rsid w:val="544E46F2"/>
    <w:rsid w:val="544F1F63"/>
    <w:rsid w:val="5454111A"/>
    <w:rsid w:val="54574766"/>
    <w:rsid w:val="545B35D6"/>
    <w:rsid w:val="54741B56"/>
    <w:rsid w:val="548C1FAB"/>
    <w:rsid w:val="549C3AA8"/>
    <w:rsid w:val="54A159E1"/>
    <w:rsid w:val="54A35BFD"/>
    <w:rsid w:val="54B25E40"/>
    <w:rsid w:val="54E63064"/>
    <w:rsid w:val="54EA7388"/>
    <w:rsid w:val="54F41028"/>
    <w:rsid w:val="54F81D6D"/>
    <w:rsid w:val="54F8330C"/>
    <w:rsid w:val="550C37A2"/>
    <w:rsid w:val="550D4D66"/>
    <w:rsid w:val="551714A1"/>
    <w:rsid w:val="552008B5"/>
    <w:rsid w:val="55296CA4"/>
    <w:rsid w:val="55341652"/>
    <w:rsid w:val="553B4D2C"/>
    <w:rsid w:val="55653B22"/>
    <w:rsid w:val="556709D9"/>
    <w:rsid w:val="55782BE6"/>
    <w:rsid w:val="558A1C60"/>
    <w:rsid w:val="558A2919"/>
    <w:rsid w:val="558B0806"/>
    <w:rsid w:val="558E0B1C"/>
    <w:rsid w:val="55944949"/>
    <w:rsid w:val="5596559C"/>
    <w:rsid w:val="559C154A"/>
    <w:rsid w:val="55A0038E"/>
    <w:rsid w:val="55AA0D98"/>
    <w:rsid w:val="55B24181"/>
    <w:rsid w:val="55B96238"/>
    <w:rsid w:val="55C0633B"/>
    <w:rsid w:val="55D93ED6"/>
    <w:rsid w:val="55DB3175"/>
    <w:rsid w:val="55DB570F"/>
    <w:rsid w:val="55DD5D2B"/>
    <w:rsid w:val="55EF09CE"/>
    <w:rsid w:val="55F34962"/>
    <w:rsid w:val="55FB55C5"/>
    <w:rsid w:val="56040F00"/>
    <w:rsid w:val="56101CC8"/>
    <w:rsid w:val="56183FC2"/>
    <w:rsid w:val="56220DA3"/>
    <w:rsid w:val="562768A9"/>
    <w:rsid w:val="56372D41"/>
    <w:rsid w:val="564D0A59"/>
    <w:rsid w:val="564D66AA"/>
    <w:rsid w:val="565467A5"/>
    <w:rsid w:val="56755377"/>
    <w:rsid w:val="567C3E1C"/>
    <w:rsid w:val="5682459F"/>
    <w:rsid w:val="569972B8"/>
    <w:rsid w:val="569E667C"/>
    <w:rsid w:val="56A87127"/>
    <w:rsid w:val="56B062EE"/>
    <w:rsid w:val="56BF65F2"/>
    <w:rsid w:val="56D402F0"/>
    <w:rsid w:val="56E209C5"/>
    <w:rsid w:val="56EA73AE"/>
    <w:rsid w:val="56ED5BFF"/>
    <w:rsid w:val="56EF512A"/>
    <w:rsid w:val="56F0657B"/>
    <w:rsid w:val="56F20621"/>
    <w:rsid w:val="56FA646B"/>
    <w:rsid w:val="57284198"/>
    <w:rsid w:val="572A43B4"/>
    <w:rsid w:val="57364C46"/>
    <w:rsid w:val="575A47E7"/>
    <w:rsid w:val="577D2735"/>
    <w:rsid w:val="57911484"/>
    <w:rsid w:val="5794541B"/>
    <w:rsid w:val="57985B83"/>
    <w:rsid w:val="579E26AC"/>
    <w:rsid w:val="57AA1051"/>
    <w:rsid w:val="57AF439E"/>
    <w:rsid w:val="57B27F05"/>
    <w:rsid w:val="57B878FD"/>
    <w:rsid w:val="57CC35DF"/>
    <w:rsid w:val="57CD0964"/>
    <w:rsid w:val="57CF104F"/>
    <w:rsid w:val="57CF47C9"/>
    <w:rsid w:val="57E010E9"/>
    <w:rsid w:val="57FE746F"/>
    <w:rsid w:val="57FF0946"/>
    <w:rsid w:val="5805272B"/>
    <w:rsid w:val="58095D77"/>
    <w:rsid w:val="58127ED2"/>
    <w:rsid w:val="581811B5"/>
    <w:rsid w:val="583D29A8"/>
    <w:rsid w:val="58406187"/>
    <w:rsid w:val="58421289"/>
    <w:rsid w:val="58471072"/>
    <w:rsid w:val="58537A63"/>
    <w:rsid w:val="58816255"/>
    <w:rsid w:val="588C2AEC"/>
    <w:rsid w:val="58913FAE"/>
    <w:rsid w:val="589208C1"/>
    <w:rsid w:val="58B71C77"/>
    <w:rsid w:val="58B86757"/>
    <w:rsid w:val="58BE1257"/>
    <w:rsid w:val="58CA7BFC"/>
    <w:rsid w:val="58CC0A4E"/>
    <w:rsid w:val="58D42829"/>
    <w:rsid w:val="58E467E4"/>
    <w:rsid w:val="58E54ED0"/>
    <w:rsid w:val="58E86CA3"/>
    <w:rsid w:val="58EC3CC6"/>
    <w:rsid w:val="58F44C79"/>
    <w:rsid w:val="58F90DE0"/>
    <w:rsid w:val="58FA117C"/>
    <w:rsid w:val="58FF01B5"/>
    <w:rsid w:val="590A4EB2"/>
    <w:rsid w:val="59112FC1"/>
    <w:rsid w:val="591744C4"/>
    <w:rsid w:val="592163C9"/>
    <w:rsid w:val="59363E8F"/>
    <w:rsid w:val="59493F76"/>
    <w:rsid w:val="595219A0"/>
    <w:rsid w:val="595650B7"/>
    <w:rsid w:val="59622FBF"/>
    <w:rsid w:val="59637709"/>
    <w:rsid w:val="59651728"/>
    <w:rsid w:val="597F1341"/>
    <w:rsid w:val="599057E7"/>
    <w:rsid w:val="59A27420"/>
    <w:rsid w:val="59A92EAD"/>
    <w:rsid w:val="59B165A3"/>
    <w:rsid w:val="59B25610"/>
    <w:rsid w:val="59C63F80"/>
    <w:rsid w:val="59CE7D0B"/>
    <w:rsid w:val="59D56AC7"/>
    <w:rsid w:val="59D80CBB"/>
    <w:rsid w:val="59F12F67"/>
    <w:rsid w:val="59F1740B"/>
    <w:rsid w:val="59F6057D"/>
    <w:rsid w:val="5A1B0BA5"/>
    <w:rsid w:val="5A3F6E1B"/>
    <w:rsid w:val="5A405BFD"/>
    <w:rsid w:val="5A4412E8"/>
    <w:rsid w:val="5A5C0D28"/>
    <w:rsid w:val="5A655CE7"/>
    <w:rsid w:val="5A76346C"/>
    <w:rsid w:val="5A8156DE"/>
    <w:rsid w:val="5A867B53"/>
    <w:rsid w:val="5A8D3A63"/>
    <w:rsid w:val="5A8E4C59"/>
    <w:rsid w:val="5AAF7962"/>
    <w:rsid w:val="5AB42FC7"/>
    <w:rsid w:val="5ABF6B4D"/>
    <w:rsid w:val="5ACE433A"/>
    <w:rsid w:val="5AD10DAF"/>
    <w:rsid w:val="5ADE6822"/>
    <w:rsid w:val="5ADF54B5"/>
    <w:rsid w:val="5AE56545"/>
    <w:rsid w:val="5AE96334"/>
    <w:rsid w:val="5AF727FF"/>
    <w:rsid w:val="5AFA409D"/>
    <w:rsid w:val="5B0C37B7"/>
    <w:rsid w:val="5B100E03"/>
    <w:rsid w:val="5B163201"/>
    <w:rsid w:val="5B4D0671"/>
    <w:rsid w:val="5B570056"/>
    <w:rsid w:val="5B636D7E"/>
    <w:rsid w:val="5B6521E4"/>
    <w:rsid w:val="5B70435F"/>
    <w:rsid w:val="5B7A6DEA"/>
    <w:rsid w:val="5B913574"/>
    <w:rsid w:val="5B9718EC"/>
    <w:rsid w:val="5B9B5880"/>
    <w:rsid w:val="5BB823D4"/>
    <w:rsid w:val="5BBA50A0"/>
    <w:rsid w:val="5BC22E0D"/>
    <w:rsid w:val="5BC8419B"/>
    <w:rsid w:val="5BCF1086"/>
    <w:rsid w:val="5BCF552A"/>
    <w:rsid w:val="5BD66930"/>
    <w:rsid w:val="5BF54320"/>
    <w:rsid w:val="5C0230C4"/>
    <w:rsid w:val="5C0F3B78"/>
    <w:rsid w:val="5C1633F6"/>
    <w:rsid w:val="5C245AEA"/>
    <w:rsid w:val="5C273341"/>
    <w:rsid w:val="5C2C0286"/>
    <w:rsid w:val="5C550440"/>
    <w:rsid w:val="5C5902A6"/>
    <w:rsid w:val="5C9E7970"/>
    <w:rsid w:val="5C9F4EFC"/>
    <w:rsid w:val="5CC20BEA"/>
    <w:rsid w:val="5CC37F37"/>
    <w:rsid w:val="5CE172C2"/>
    <w:rsid w:val="5CF37D55"/>
    <w:rsid w:val="5D01456F"/>
    <w:rsid w:val="5D044DFB"/>
    <w:rsid w:val="5D101956"/>
    <w:rsid w:val="5D131446"/>
    <w:rsid w:val="5D1A0558"/>
    <w:rsid w:val="5D210D4E"/>
    <w:rsid w:val="5D2E4206"/>
    <w:rsid w:val="5D302E54"/>
    <w:rsid w:val="5D373386"/>
    <w:rsid w:val="5D421AAD"/>
    <w:rsid w:val="5D471C67"/>
    <w:rsid w:val="5D613CAA"/>
    <w:rsid w:val="5D6972B8"/>
    <w:rsid w:val="5D867E6A"/>
    <w:rsid w:val="5D8D23A3"/>
    <w:rsid w:val="5D926935"/>
    <w:rsid w:val="5D973E25"/>
    <w:rsid w:val="5DA21809"/>
    <w:rsid w:val="5DC872C5"/>
    <w:rsid w:val="5DDA30BD"/>
    <w:rsid w:val="5E113BD7"/>
    <w:rsid w:val="5E2404B9"/>
    <w:rsid w:val="5E3148BB"/>
    <w:rsid w:val="5E352635"/>
    <w:rsid w:val="5E37388C"/>
    <w:rsid w:val="5E394EDC"/>
    <w:rsid w:val="5E46634E"/>
    <w:rsid w:val="5E4E3CFA"/>
    <w:rsid w:val="5E666CD3"/>
    <w:rsid w:val="5E736640"/>
    <w:rsid w:val="5E8B50A4"/>
    <w:rsid w:val="5EA03FD9"/>
    <w:rsid w:val="5EA507C4"/>
    <w:rsid w:val="5EAC0A97"/>
    <w:rsid w:val="5EAE0F71"/>
    <w:rsid w:val="5EBB7FE7"/>
    <w:rsid w:val="5EBE6F55"/>
    <w:rsid w:val="5ED35BB4"/>
    <w:rsid w:val="5EE04DB6"/>
    <w:rsid w:val="5EE33DD5"/>
    <w:rsid w:val="5EE44E48"/>
    <w:rsid w:val="5EEB4428"/>
    <w:rsid w:val="5EF200CC"/>
    <w:rsid w:val="5F086C67"/>
    <w:rsid w:val="5F092B01"/>
    <w:rsid w:val="5F116CFA"/>
    <w:rsid w:val="5F125E59"/>
    <w:rsid w:val="5F216707"/>
    <w:rsid w:val="5F2D0AE0"/>
    <w:rsid w:val="5F3151CD"/>
    <w:rsid w:val="5F35040D"/>
    <w:rsid w:val="5F36141C"/>
    <w:rsid w:val="5F463D55"/>
    <w:rsid w:val="5F5024DD"/>
    <w:rsid w:val="5F5C6A78"/>
    <w:rsid w:val="5F790A4B"/>
    <w:rsid w:val="5F7B78CD"/>
    <w:rsid w:val="5F7E34EF"/>
    <w:rsid w:val="5F807428"/>
    <w:rsid w:val="5FA665A1"/>
    <w:rsid w:val="5FAF200F"/>
    <w:rsid w:val="5FB40A21"/>
    <w:rsid w:val="5FB94527"/>
    <w:rsid w:val="5FDE5D3B"/>
    <w:rsid w:val="5FF920FD"/>
    <w:rsid w:val="60000E7D"/>
    <w:rsid w:val="600357A2"/>
    <w:rsid w:val="601F1CF2"/>
    <w:rsid w:val="602676E1"/>
    <w:rsid w:val="602E4F74"/>
    <w:rsid w:val="60366D51"/>
    <w:rsid w:val="606B670C"/>
    <w:rsid w:val="606D24C9"/>
    <w:rsid w:val="60883EF9"/>
    <w:rsid w:val="609B58AB"/>
    <w:rsid w:val="60A74497"/>
    <w:rsid w:val="60B205C3"/>
    <w:rsid w:val="60B966A5"/>
    <w:rsid w:val="60BD679F"/>
    <w:rsid w:val="60C54520"/>
    <w:rsid w:val="60CC7399"/>
    <w:rsid w:val="60CF629A"/>
    <w:rsid w:val="60D4713E"/>
    <w:rsid w:val="60D61108"/>
    <w:rsid w:val="60EA36AB"/>
    <w:rsid w:val="61020C7F"/>
    <w:rsid w:val="61171EEB"/>
    <w:rsid w:val="611B1CE0"/>
    <w:rsid w:val="613051F9"/>
    <w:rsid w:val="613876CD"/>
    <w:rsid w:val="613A29C0"/>
    <w:rsid w:val="614829B2"/>
    <w:rsid w:val="614E0C9F"/>
    <w:rsid w:val="61534507"/>
    <w:rsid w:val="61543299"/>
    <w:rsid w:val="615A5A4D"/>
    <w:rsid w:val="616365BA"/>
    <w:rsid w:val="61706E67"/>
    <w:rsid w:val="61934F21"/>
    <w:rsid w:val="61984372"/>
    <w:rsid w:val="61B74A96"/>
    <w:rsid w:val="61BF394A"/>
    <w:rsid w:val="61C827FF"/>
    <w:rsid w:val="61CE1DDF"/>
    <w:rsid w:val="61D70DF9"/>
    <w:rsid w:val="62007D76"/>
    <w:rsid w:val="62037D26"/>
    <w:rsid w:val="620D46B6"/>
    <w:rsid w:val="62207F37"/>
    <w:rsid w:val="622C3BBB"/>
    <w:rsid w:val="622C555D"/>
    <w:rsid w:val="622D31D4"/>
    <w:rsid w:val="62350E46"/>
    <w:rsid w:val="62582E89"/>
    <w:rsid w:val="626478C2"/>
    <w:rsid w:val="62663B30"/>
    <w:rsid w:val="62854598"/>
    <w:rsid w:val="62A82630"/>
    <w:rsid w:val="62AF334B"/>
    <w:rsid w:val="62B476F0"/>
    <w:rsid w:val="62B965EC"/>
    <w:rsid w:val="62C456BC"/>
    <w:rsid w:val="62D13935"/>
    <w:rsid w:val="62DE5BFA"/>
    <w:rsid w:val="62F277E6"/>
    <w:rsid w:val="62FF03D9"/>
    <w:rsid w:val="631F3AF3"/>
    <w:rsid w:val="63203134"/>
    <w:rsid w:val="6320666B"/>
    <w:rsid w:val="63207702"/>
    <w:rsid w:val="633C769A"/>
    <w:rsid w:val="63521698"/>
    <w:rsid w:val="63644F37"/>
    <w:rsid w:val="63701B73"/>
    <w:rsid w:val="63730E90"/>
    <w:rsid w:val="637701A9"/>
    <w:rsid w:val="63821A94"/>
    <w:rsid w:val="63966FB4"/>
    <w:rsid w:val="63973036"/>
    <w:rsid w:val="63A105E6"/>
    <w:rsid w:val="63A33BB7"/>
    <w:rsid w:val="63C13032"/>
    <w:rsid w:val="63C667A6"/>
    <w:rsid w:val="63CD0FDE"/>
    <w:rsid w:val="63E61F5F"/>
    <w:rsid w:val="63EA73A4"/>
    <w:rsid w:val="63F00811"/>
    <w:rsid w:val="63F657AA"/>
    <w:rsid w:val="63F7386F"/>
    <w:rsid w:val="63F73997"/>
    <w:rsid w:val="63FE4BFE"/>
    <w:rsid w:val="63FF44D2"/>
    <w:rsid w:val="64204EDE"/>
    <w:rsid w:val="642B52BA"/>
    <w:rsid w:val="642F3009"/>
    <w:rsid w:val="64303051"/>
    <w:rsid w:val="643A1926"/>
    <w:rsid w:val="64435F22"/>
    <w:rsid w:val="64572560"/>
    <w:rsid w:val="645E38EF"/>
    <w:rsid w:val="64794284"/>
    <w:rsid w:val="64800394"/>
    <w:rsid w:val="648814BB"/>
    <w:rsid w:val="64AB19A5"/>
    <w:rsid w:val="64BB62C4"/>
    <w:rsid w:val="64C549E2"/>
    <w:rsid w:val="64D8544F"/>
    <w:rsid w:val="64E54558"/>
    <w:rsid w:val="64FB2EEB"/>
    <w:rsid w:val="65164D65"/>
    <w:rsid w:val="652A1A23"/>
    <w:rsid w:val="653603C7"/>
    <w:rsid w:val="653D3504"/>
    <w:rsid w:val="654F1498"/>
    <w:rsid w:val="654F6E40"/>
    <w:rsid w:val="655645C6"/>
    <w:rsid w:val="65660CAD"/>
    <w:rsid w:val="65680F02"/>
    <w:rsid w:val="65735178"/>
    <w:rsid w:val="65744A4C"/>
    <w:rsid w:val="657753A5"/>
    <w:rsid w:val="659E0446"/>
    <w:rsid w:val="65CC0E9B"/>
    <w:rsid w:val="65D76EFA"/>
    <w:rsid w:val="65F52031"/>
    <w:rsid w:val="65FD3E97"/>
    <w:rsid w:val="66044022"/>
    <w:rsid w:val="660A5F17"/>
    <w:rsid w:val="660D1128"/>
    <w:rsid w:val="660E6C4E"/>
    <w:rsid w:val="66273F08"/>
    <w:rsid w:val="662E55F3"/>
    <w:rsid w:val="664803B2"/>
    <w:rsid w:val="66544FA9"/>
    <w:rsid w:val="666B22F3"/>
    <w:rsid w:val="66700EF9"/>
    <w:rsid w:val="667447B3"/>
    <w:rsid w:val="66747DFB"/>
    <w:rsid w:val="668A4527"/>
    <w:rsid w:val="668D3AA7"/>
    <w:rsid w:val="668D6304"/>
    <w:rsid w:val="669F0689"/>
    <w:rsid w:val="669F606A"/>
    <w:rsid w:val="66A7157D"/>
    <w:rsid w:val="66A87A0F"/>
    <w:rsid w:val="66CB5B53"/>
    <w:rsid w:val="66D171C9"/>
    <w:rsid w:val="66D225B4"/>
    <w:rsid w:val="66D622CC"/>
    <w:rsid w:val="66D71F2C"/>
    <w:rsid w:val="66D96AE7"/>
    <w:rsid w:val="66DB6301"/>
    <w:rsid w:val="66EA0F89"/>
    <w:rsid w:val="66EA1469"/>
    <w:rsid w:val="66FF4BA7"/>
    <w:rsid w:val="670D6F06"/>
    <w:rsid w:val="670F7122"/>
    <w:rsid w:val="671706D3"/>
    <w:rsid w:val="672500BF"/>
    <w:rsid w:val="672C3830"/>
    <w:rsid w:val="672E57FA"/>
    <w:rsid w:val="672F50CE"/>
    <w:rsid w:val="67346724"/>
    <w:rsid w:val="67415A8C"/>
    <w:rsid w:val="6759039D"/>
    <w:rsid w:val="675B5EC3"/>
    <w:rsid w:val="675B654F"/>
    <w:rsid w:val="676B07FC"/>
    <w:rsid w:val="676C1E7F"/>
    <w:rsid w:val="677166C6"/>
    <w:rsid w:val="67782886"/>
    <w:rsid w:val="67801EB9"/>
    <w:rsid w:val="678E5BEE"/>
    <w:rsid w:val="6796339F"/>
    <w:rsid w:val="67974E18"/>
    <w:rsid w:val="679E36B2"/>
    <w:rsid w:val="67BC797A"/>
    <w:rsid w:val="67DD296A"/>
    <w:rsid w:val="67EE2A60"/>
    <w:rsid w:val="67EF1948"/>
    <w:rsid w:val="680402E9"/>
    <w:rsid w:val="68106CAE"/>
    <w:rsid w:val="68153AD4"/>
    <w:rsid w:val="68176C1E"/>
    <w:rsid w:val="681D5437"/>
    <w:rsid w:val="683105C0"/>
    <w:rsid w:val="683C7E7F"/>
    <w:rsid w:val="683E5252"/>
    <w:rsid w:val="6841155D"/>
    <w:rsid w:val="685118DE"/>
    <w:rsid w:val="68637725"/>
    <w:rsid w:val="686D2352"/>
    <w:rsid w:val="687152A7"/>
    <w:rsid w:val="687A681D"/>
    <w:rsid w:val="688233FF"/>
    <w:rsid w:val="6894168D"/>
    <w:rsid w:val="689774A3"/>
    <w:rsid w:val="689F6284"/>
    <w:rsid w:val="68A92B71"/>
    <w:rsid w:val="68B7274D"/>
    <w:rsid w:val="68BF7FE7"/>
    <w:rsid w:val="68D56A00"/>
    <w:rsid w:val="69197DE4"/>
    <w:rsid w:val="69231F5F"/>
    <w:rsid w:val="69280C5E"/>
    <w:rsid w:val="692A0C26"/>
    <w:rsid w:val="693410C2"/>
    <w:rsid w:val="694D54E1"/>
    <w:rsid w:val="696908DD"/>
    <w:rsid w:val="6975655B"/>
    <w:rsid w:val="69834327"/>
    <w:rsid w:val="69847953"/>
    <w:rsid w:val="698C2B93"/>
    <w:rsid w:val="69A33D11"/>
    <w:rsid w:val="69AA3132"/>
    <w:rsid w:val="69AB1384"/>
    <w:rsid w:val="69BB4A39"/>
    <w:rsid w:val="69C03DD2"/>
    <w:rsid w:val="69C274C7"/>
    <w:rsid w:val="69CB7DEE"/>
    <w:rsid w:val="69CE5072"/>
    <w:rsid w:val="69D00DEB"/>
    <w:rsid w:val="69DF21C2"/>
    <w:rsid w:val="69E9409F"/>
    <w:rsid w:val="69EB528A"/>
    <w:rsid w:val="69F543AD"/>
    <w:rsid w:val="69F65C23"/>
    <w:rsid w:val="6A0A104C"/>
    <w:rsid w:val="6A0B428D"/>
    <w:rsid w:val="6A0C3528"/>
    <w:rsid w:val="6A220F1A"/>
    <w:rsid w:val="6A240036"/>
    <w:rsid w:val="6A25335A"/>
    <w:rsid w:val="6A2904FB"/>
    <w:rsid w:val="6A2E5B11"/>
    <w:rsid w:val="6A372756"/>
    <w:rsid w:val="6A3C6480"/>
    <w:rsid w:val="6A420369"/>
    <w:rsid w:val="6A4B5F33"/>
    <w:rsid w:val="6A4D243B"/>
    <w:rsid w:val="6A6B28C1"/>
    <w:rsid w:val="6A6E5867"/>
    <w:rsid w:val="6A80686A"/>
    <w:rsid w:val="6A880A74"/>
    <w:rsid w:val="6AA858C3"/>
    <w:rsid w:val="6AB5399D"/>
    <w:rsid w:val="6ABF49BB"/>
    <w:rsid w:val="6ACD6695"/>
    <w:rsid w:val="6AD67F71"/>
    <w:rsid w:val="6B064398"/>
    <w:rsid w:val="6B117EB4"/>
    <w:rsid w:val="6B2D381B"/>
    <w:rsid w:val="6B311795"/>
    <w:rsid w:val="6B3233DF"/>
    <w:rsid w:val="6B464BBC"/>
    <w:rsid w:val="6B625D4B"/>
    <w:rsid w:val="6B63034A"/>
    <w:rsid w:val="6B797260"/>
    <w:rsid w:val="6B7A6D02"/>
    <w:rsid w:val="6B7E1E48"/>
    <w:rsid w:val="6B87197D"/>
    <w:rsid w:val="6B981494"/>
    <w:rsid w:val="6BA936A1"/>
    <w:rsid w:val="6BAA11C7"/>
    <w:rsid w:val="6BB141CE"/>
    <w:rsid w:val="6BCE7915"/>
    <w:rsid w:val="6BD44496"/>
    <w:rsid w:val="6BD46244"/>
    <w:rsid w:val="6BD91AAD"/>
    <w:rsid w:val="6BE9581D"/>
    <w:rsid w:val="6C05110F"/>
    <w:rsid w:val="6C102618"/>
    <w:rsid w:val="6C24597E"/>
    <w:rsid w:val="6C3664AD"/>
    <w:rsid w:val="6C3C2CA5"/>
    <w:rsid w:val="6C497FDA"/>
    <w:rsid w:val="6C4E5FF7"/>
    <w:rsid w:val="6C507FC1"/>
    <w:rsid w:val="6C5E4626"/>
    <w:rsid w:val="6C610C18"/>
    <w:rsid w:val="6C687DC2"/>
    <w:rsid w:val="6C706C42"/>
    <w:rsid w:val="6C7B0D4F"/>
    <w:rsid w:val="6C841A18"/>
    <w:rsid w:val="6C924135"/>
    <w:rsid w:val="6C987F7E"/>
    <w:rsid w:val="6C9902D3"/>
    <w:rsid w:val="6CA13639"/>
    <w:rsid w:val="6CA5540F"/>
    <w:rsid w:val="6CA637F7"/>
    <w:rsid w:val="6CA65E33"/>
    <w:rsid w:val="6CA67BE1"/>
    <w:rsid w:val="6CAB0EF6"/>
    <w:rsid w:val="6CB43BD9"/>
    <w:rsid w:val="6CBD0545"/>
    <w:rsid w:val="6CC37BAF"/>
    <w:rsid w:val="6CC73DF6"/>
    <w:rsid w:val="6CE13277"/>
    <w:rsid w:val="6CF55DD6"/>
    <w:rsid w:val="6CF92FDB"/>
    <w:rsid w:val="6D14642A"/>
    <w:rsid w:val="6D17288C"/>
    <w:rsid w:val="6D1F7993"/>
    <w:rsid w:val="6D2027E9"/>
    <w:rsid w:val="6D2349EE"/>
    <w:rsid w:val="6D3050B3"/>
    <w:rsid w:val="6D3173EA"/>
    <w:rsid w:val="6D385E21"/>
    <w:rsid w:val="6D3A4588"/>
    <w:rsid w:val="6D3A657B"/>
    <w:rsid w:val="6D4E3A60"/>
    <w:rsid w:val="6D4E703B"/>
    <w:rsid w:val="6D605FE2"/>
    <w:rsid w:val="6D6E23AF"/>
    <w:rsid w:val="6D737889"/>
    <w:rsid w:val="6D793547"/>
    <w:rsid w:val="6D7B106D"/>
    <w:rsid w:val="6D832E39"/>
    <w:rsid w:val="6D835DEB"/>
    <w:rsid w:val="6D8368D2"/>
    <w:rsid w:val="6D877A12"/>
    <w:rsid w:val="6D88378A"/>
    <w:rsid w:val="6D967C55"/>
    <w:rsid w:val="6D992BE2"/>
    <w:rsid w:val="6DB962EE"/>
    <w:rsid w:val="6DC701BC"/>
    <w:rsid w:val="6DC72623"/>
    <w:rsid w:val="6DEE6501"/>
    <w:rsid w:val="6DEF4626"/>
    <w:rsid w:val="6DF10ECC"/>
    <w:rsid w:val="6DFE4650"/>
    <w:rsid w:val="6E030AA0"/>
    <w:rsid w:val="6E060A5B"/>
    <w:rsid w:val="6E0C7F17"/>
    <w:rsid w:val="6E10335D"/>
    <w:rsid w:val="6E211CDA"/>
    <w:rsid w:val="6E293B49"/>
    <w:rsid w:val="6E407BC1"/>
    <w:rsid w:val="6E5E0DE0"/>
    <w:rsid w:val="6E8A4303"/>
    <w:rsid w:val="6E941F79"/>
    <w:rsid w:val="6E95214E"/>
    <w:rsid w:val="6E9C573F"/>
    <w:rsid w:val="6EA84CF4"/>
    <w:rsid w:val="6EAB3C5D"/>
    <w:rsid w:val="6EC151A6"/>
    <w:rsid w:val="6EC86534"/>
    <w:rsid w:val="6EEE10D9"/>
    <w:rsid w:val="6EEE62BC"/>
    <w:rsid w:val="6F0230C8"/>
    <w:rsid w:val="6F03131A"/>
    <w:rsid w:val="6F153111"/>
    <w:rsid w:val="6F1E154E"/>
    <w:rsid w:val="6F2662E7"/>
    <w:rsid w:val="6F327E52"/>
    <w:rsid w:val="6F35349E"/>
    <w:rsid w:val="6F5558BD"/>
    <w:rsid w:val="6F674E23"/>
    <w:rsid w:val="6F7044D6"/>
    <w:rsid w:val="6F8971C7"/>
    <w:rsid w:val="6F8D5088"/>
    <w:rsid w:val="6F927913"/>
    <w:rsid w:val="6F963F3C"/>
    <w:rsid w:val="6FA13625"/>
    <w:rsid w:val="6FA77FDB"/>
    <w:rsid w:val="6FAD572A"/>
    <w:rsid w:val="6FB11BBE"/>
    <w:rsid w:val="6FBB5193"/>
    <w:rsid w:val="6FE77690"/>
    <w:rsid w:val="6FF173C5"/>
    <w:rsid w:val="6FF6159B"/>
    <w:rsid w:val="6FF8081F"/>
    <w:rsid w:val="6FFE30EF"/>
    <w:rsid w:val="70017169"/>
    <w:rsid w:val="70032313"/>
    <w:rsid w:val="70057314"/>
    <w:rsid w:val="700E39C9"/>
    <w:rsid w:val="700F3CEF"/>
    <w:rsid w:val="70195AED"/>
    <w:rsid w:val="701D679C"/>
    <w:rsid w:val="702323E3"/>
    <w:rsid w:val="70241CE7"/>
    <w:rsid w:val="703531AB"/>
    <w:rsid w:val="70411DBD"/>
    <w:rsid w:val="704C1556"/>
    <w:rsid w:val="706109EE"/>
    <w:rsid w:val="706A7177"/>
    <w:rsid w:val="707A42EE"/>
    <w:rsid w:val="707E0FD5"/>
    <w:rsid w:val="70867402"/>
    <w:rsid w:val="7088223A"/>
    <w:rsid w:val="708B1BE6"/>
    <w:rsid w:val="709045DD"/>
    <w:rsid w:val="70943FBF"/>
    <w:rsid w:val="709C1767"/>
    <w:rsid w:val="709F4D84"/>
    <w:rsid w:val="70A33376"/>
    <w:rsid w:val="70AA3AF6"/>
    <w:rsid w:val="70AC7790"/>
    <w:rsid w:val="70B36D70"/>
    <w:rsid w:val="70B56644"/>
    <w:rsid w:val="70BD199D"/>
    <w:rsid w:val="70C021B3"/>
    <w:rsid w:val="70C525FF"/>
    <w:rsid w:val="70C70C0E"/>
    <w:rsid w:val="70CE7706"/>
    <w:rsid w:val="70E4027B"/>
    <w:rsid w:val="70E728C8"/>
    <w:rsid w:val="70E944EF"/>
    <w:rsid w:val="71066EA0"/>
    <w:rsid w:val="71241D10"/>
    <w:rsid w:val="71267480"/>
    <w:rsid w:val="714C0205"/>
    <w:rsid w:val="715E0E47"/>
    <w:rsid w:val="71775FF0"/>
    <w:rsid w:val="7183037F"/>
    <w:rsid w:val="718633AD"/>
    <w:rsid w:val="7188169E"/>
    <w:rsid w:val="718D75C1"/>
    <w:rsid w:val="71910D2E"/>
    <w:rsid w:val="71B92164"/>
    <w:rsid w:val="71C561B9"/>
    <w:rsid w:val="71DA38CD"/>
    <w:rsid w:val="71E25B41"/>
    <w:rsid w:val="71FC3A2A"/>
    <w:rsid w:val="720535FB"/>
    <w:rsid w:val="720A0C12"/>
    <w:rsid w:val="72217464"/>
    <w:rsid w:val="72651E44"/>
    <w:rsid w:val="727D27CA"/>
    <w:rsid w:val="72800ED4"/>
    <w:rsid w:val="72983176"/>
    <w:rsid w:val="729A7263"/>
    <w:rsid w:val="729C3F60"/>
    <w:rsid w:val="72AB41A3"/>
    <w:rsid w:val="72B30A5E"/>
    <w:rsid w:val="72BE2D27"/>
    <w:rsid w:val="72C5768A"/>
    <w:rsid w:val="72CF6802"/>
    <w:rsid w:val="72E476B5"/>
    <w:rsid w:val="72F42E4A"/>
    <w:rsid w:val="72F739A7"/>
    <w:rsid w:val="72FE535C"/>
    <w:rsid w:val="7304487D"/>
    <w:rsid w:val="733529C6"/>
    <w:rsid w:val="73552361"/>
    <w:rsid w:val="735B3FA5"/>
    <w:rsid w:val="736F046E"/>
    <w:rsid w:val="73812047"/>
    <w:rsid w:val="738B7B30"/>
    <w:rsid w:val="73AA7544"/>
    <w:rsid w:val="73B21561"/>
    <w:rsid w:val="73C0335A"/>
    <w:rsid w:val="73C179F6"/>
    <w:rsid w:val="73CC1CAC"/>
    <w:rsid w:val="73D27979"/>
    <w:rsid w:val="73D514EE"/>
    <w:rsid w:val="73DD25C3"/>
    <w:rsid w:val="73DF4DB1"/>
    <w:rsid w:val="73F52103"/>
    <w:rsid w:val="74022067"/>
    <w:rsid w:val="7404404C"/>
    <w:rsid w:val="74081181"/>
    <w:rsid w:val="740A7D83"/>
    <w:rsid w:val="740A7DB8"/>
    <w:rsid w:val="740F250F"/>
    <w:rsid w:val="7425388F"/>
    <w:rsid w:val="742835D1"/>
    <w:rsid w:val="7432730F"/>
    <w:rsid w:val="745A0D15"/>
    <w:rsid w:val="748B2830"/>
    <w:rsid w:val="748C3B60"/>
    <w:rsid w:val="74943E9C"/>
    <w:rsid w:val="749B7175"/>
    <w:rsid w:val="74A509B1"/>
    <w:rsid w:val="74A72748"/>
    <w:rsid w:val="74BA06CD"/>
    <w:rsid w:val="74C54D75"/>
    <w:rsid w:val="74CA3328"/>
    <w:rsid w:val="74DF4EF4"/>
    <w:rsid w:val="74F62CED"/>
    <w:rsid w:val="74F82FA3"/>
    <w:rsid w:val="7518727D"/>
    <w:rsid w:val="75374E13"/>
    <w:rsid w:val="756F7636"/>
    <w:rsid w:val="75786D3D"/>
    <w:rsid w:val="75842A89"/>
    <w:rsid w:val="75903E43"/>
    <w:rsid w:val="759A405B"/>
    <w:rsid w:val="75A1363B"/>
    <w:rsid w:val="75B54B75"/>
    <w:rsid w:val="75BA4015"/>
    <w:rsid w:val="75BD392D"/>
    <w:rsid w:val="75BD55A9"/>
    <w:rsid w:val="75C537CD"/>
    <w:rsid w:val="75D457BF"/>
    <w:rsid w:val="75DF79F4"/>
    <w:rsid w:val="75EF6486"/>
    <w:rsid w:val="75F27BC3"/>
    <w:rsid w:val="75FC4D15"/>
    <w:rsid w:val="76033702"/>
    <w:rsid w:val="76250680"/>
    <w:rsid w:val="7631116A"/>
    <w:rsid w:val="76312C11"/>
    <w:rsid w:val="763417C4"/>
    <w:rsid w:val="76345B3A"/>
    <w:rsid w:val="76362A88"/>
    <w:rsid w:val="76454D95"/>
    <w:rsid w:val="766116D9"/>
    <w:rsid w:val="76612DCA"/>
    <w:rsid w:val="76666E78"/>
    <w:rsid w:val="76740D50"/>
    <w:rsid w:val="767B20DE"/>
    <w:rsid w:val="767E72A2"/>
    <w:rsid w:val="7686064F"/>
    <w:rsid w:val="76994922"/>
    <w:rsid w:val="769D3E02"/>
    <w:rsid w:val="76A95A38"/>
    <w:rsid w:val="76AA6BE2"/>
    <w:rsid w:val="76AA74B8"/>
    <w:rsid w:val="76AD665C"/>
    <w:rsid w:val="76B858B5"/>
    <w:rsid w:val="76DA097E"/>
    <w:rsid w:val="76DD4B47"/>
    <w:rsid w:val="76E35B18"/>
    <w:rsid w:val="76E40907"/>
    <w:rsid w:val="77040CFC"/>
    <w:rsid w:val="770E0AD4"/>
    <w:rsid w:val="770F4094"/>
    <w:rsid w:val="7722255A"/>
    <w:rsid w:val="77230F03"/>
    <w:rsid w:val="773D3F97"/>
    <w:rsid w:val="77447635"/>
    <w:rsid w:val="774950AA"/>
    <w:rsid w:val="774E7F34"/>
    <w:rsid w:val="777251EB"/>
    <w:rsid w:val="7772528F"/>
    <w:rsid w:val="777531BB"/>
    <w:rsid w:val="777F79AC"/>
    <w:rsid w:val="77951A25"/>
    <w:rsid w:val="77AC4C4E"/>
    <w:rsid w:val="77B84164"/>
    <w:rsid w:val="77BE29BC"/>
    <w:rsid w:val="77C81353"/>
    <w:rsid w:val="77CB650B"/>
    <w:rsid w:val="77CC2A1C"/>
    <w:rsid w:val="77D25443"/>
    <w:rsid w:val="77D4226D"/>
    <w:rsid w:val="77D71596"/>
    <w:rsid w:val="77DD0CC2"/>
    <w:rsid w:val="77E44E04"/>
    <w:rsid w:val="77E77E1D"/>
    <w:rsid w:val="77F37D3B"/>
    <w:rsid w:val="780F5BAA"/>
    <w:rsid w:val="784529A4"/>
    <w:rsid w:val="784545C9"/>
    <w:rsid w:val="784F55D0"/>
    <w:rsid w:val="7851759A"/>
    <w:rsid w:val="785C7CED"/>
    <w:rsid w:val="78820C9A"/>
    <w:rsid w:val="78832941"/>
    <w:rsid w:val="78882890"/>
    <w:rsid w:val="78907C33"/>
    <w:rsid w:val="78B813C8"/>
    <w:rsid w:val="78B83FF9"/>
    <w:rsid w:val="78D2231F"/>
    <w:rsid w:val="78D85A0E"/>
    <w:rsid w:val="78E0447A"/>
    <w:rsid w:val="78E72828"/>
    <w:rsid w:val="78F06455"/>
    <w:rsid w:val="79027FE0"/>
    <w:rsid w:val="790939D1"/>
    <w:rsid w:val="790E548B"/>
    <w:rsid w:val="79100B39"/>
    <w:rsid w:val="791977F6"/>
    <w:rsid w:val="792425B9"/>
    <w:rsid w:val="793A7966"/>
    <w:rsid w:val="793D1B4C"/>
    <w:rsid w:val="79537342"/>
    <w:rsid w:val="796C52FC"/>
    <w:rsid w:val="797408B1"/>
    <w:rsid w:val="79781620"/>
    <w:rsid w:val="799D05BD"/>
    <w:rsid w:val="799E5122"/>
    <w:rsid w:val="79A65396"/>
    <w:rsid w:val="79B17BC5"/>
    <w:rsid w:val="79BB215E"/>
    <w:rsid w:val="79CB6B04"/>
    <w:rsid w:val="79CD558F"/>
    <w:rsid w:val="79CE4F1A"/>
    <w:rsid w:val="79D87646"/>
    <w:rsid w:val="79DD766B"/>
    <w:rsid w:val="79E24F37"/>
    <w:rsid w:val="79E61F64"/>
    <w:rsid w:val="79EA0DBB"/>
    <w:rsid w:val="79EC5E82"/>
    <w:rsid w:val="7A1067EC"/>
    <w:rsid w:val="7A3007C8"/>
    <w:rsid w:val="7A304CD4"/>
    <w:rsid w:val="7A3231AD"/>
    <w:rsid w:val="7A3B5CD4"/>
    <w:rsid w:val="7A4128EC"/>
    <w:rsid w:val="7A543372"/>
    <w:rsid w:val="7A552C46"/>
    <w:rsid w:val="7A5736A0"/>
    <w:rsid w:val="7A584081"/>
    <w:rsid w:val="7A5A72EE"/>
    <w:rsid w:val="7A5C2227"/>
    <w:rsid w:val="7A60132A"/>
    <w:rsid w:val="7A6A04A0"/>
    <w:rsid w:val="7A7E7F69"/>
    <w:rsid w:val="7A8071E4"/>
    <w:rsid w:val="7A85352B"/>
    <w:rsid w:val="7A91596F"/>
    <w:rsid w:val="7A9D7397"/>
    <w:rsid w:val="7ABC4A73"/>
    <w:rsid w:val="7ACE5EB1"/>
    <w:rsid w:val="7ADC02AF"/>
    <w:rsid w:val="7ADD3367"/>
    <w:rsid w:val="7AF07B1A"/>
    <w:rsid w:val="7B065660"/>
    <w:rsid w:val="7B0C71D9"/>
    <w:rsid w:val="7B120380"/>
    <w:rsid w:val="7B127A70"/>
    <w:rsid w:val="7B18614D"/>
    <w:rsid w:val="7B1B6C06"/>
    <w:rsid w:val="7B2A41F0"/>
    <w:rsid w:val="7B2F5349"/>
    <w:rsid w:val="7B3137A6"/>
    <w:rsid w:val="7B3404F2"/>
    <w:rsid w:val="7B474C85"/>
    <w:rsid w:val="7B476F95"/>
    <w:rsid w:val="7B534868"/>
    <w:rsid w:val="7B5666FB"/>
    <w:rsid w:val="7B5C232E"/>
    <w:rsid w:val="7B5C3128"/>
    <w:rsid w:val="7B637C47"/>
    <w:rsid w:val="7B9847E9"/>
    <w:rsid w:val="7B9A1866"/>
    <w:rsid w:val="7BA14395"/>
    <w:rsid w:val="7BC0478B"/>
    <w:rsid w:val="7BC42FC1"/>
    <w:rsid w:val="7BCC7838"/>
    <w:rsid w:val="7BD5403F"/>
    <w:rsid w:val="7BD92F92"/>
    <w:rsid w:val="7BDF4EBD"/>
    <w:rsid w:val="7C066719"/>
    <w:rsid w:val="7C0E2B1C"/>
    <w:rsid w:val="7C120DEF"/>
    <w:rsid w:val="7C134B67"/>
    <w:rsid w:val="7C1E5412"/>
    <w:rsid w:val="7C2273B0"/>
    <w:rsid w:val="7C4B2553"/>
    <w:rsid w:val="7C582C3F"/>
    <w:rsid w:val="7C753C13"/>
    <w:rsid w:val="7C88441E"/>
    <w:rsid w:val="7C9B286D"/>
    <w:rsid w:val="7C9B7FF0"/>
    <w:rsid w:val="7C9F0FB7"/>
    <w:rsid w:val="7CB4634A"/>
    <w:rsid w:val="7CD9190C"/>
    <w:rsid w:val="7CDE33C7"/>
    <w:rsid w:val="7CE615CC"/>
    <w:rsid w:val="7CE834C2"/>
    <w:rsid w:val="7CEA1D6C"/>
    <w:rsid w:val="7D123C8B"/>
    <w:rsid w:val="7D254B52"/>
    <w:rsid w:val="7D4C20DE"/>
    <w:rsid w:val="7D697134"/>
    <w:rsid w:val="7D6B7727"/>
    <w:rsid w:val="7D7A330E"/>
    <w:rsid w:val="7D851A94"/>
    <w:rsid w:val="7D9D0B8C"/>
    <w:rsid w:val="7DBA2124"/>
    <w:rsid w:val="7DC40FFC"/>
    <w:rsid w:val="7DD6409E"/>
    <w:rsid w:val="7DE6302A"/>
    <w:rsid w:val="7DEE5D3D"/>
    <w:rsid w:val="7E0E7541"/>
    <w:rsid w:val="7E1D2CB4"/>
    <w:rsid w:val="7E227E81"/>
    <w:rsid w:val="7E372D8F"/>
    <w:rsid w:val="7E3F7E95"/>
    <w:rsid w:val="7E571A4B"/>
    <w:rsid w:val="7E6A7322"/>
    <w:rsid w:val="7E6C05D0"/>
    <w:rsid w:val="7E794FBB"/>
    <w:rsid w:val="7E7A641A"/>
    <w:rsid w:val="7E806AA4"/>
    <w:rsid w:val="7E81400A"/>
    <w:rsid w:val="7E9B156F"/>
    <w:rsid w:val="7EA1645A"/>
    <w:rsid w:val="7EB21A4C"/>
    <w:rsid w:val="7EBB01AE"/>
    <w:rsid w:val="7EC42FF6"/>
    <w:rsid w:val="7EE05C4C"/>
    <w:rsid w:val="7EE57148"/>
    <w:rsid w:val="7EF02F3D"/>
    <w:rsid w:val="7F0417A2"/>
    <w:rsid w:val="7F136E79"/>
    <w:rsid w:val="7F360FA8"/>
    <w:rsid w:val="7F3F4D58"/>
    <w:rsid w:val="7F49446D"/>
    <w:rsid w:val="7F4D4A70"/>
    <w:rsid w:val="7F556854"/>
    <w:rsid w:val="7F574F68"/>
    <w:rsid w:val="7F5B485B"/>
    <w:rsid w:val="7F631975"/>
    <w:rsid w:val="7F775DA9"/>
    <w:rsid w:val="7F7D718E"/>
    <w:rsid w:val="7F842003"/>
    <w:rsid w:val="7F863A08"/>
    <w:rsid w:val="7F921352"/>
    <w:rsid w:val="7F9513C8"/>
    <w:rsid w:val="7F9C388A"/>
    <w:rsid w:val="7FA75CF2"/>
    <w:rsid w:val="7FA76140"/>
    <w:rsid w:val="7FC468A4"/>
    <w:rsid w:val="7FE26D2A"/>
    <w:rsid w:val="7FF01447"/>
    <w:rsid w:val="7FF37189"/>
    <w:rsid w:val="7FF970F9"/>
    <w:rsid w:val="7FFB7DE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qFormat="1"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3"/>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numPr>
        <w:ilvl w:val="1"/>
        <w:numId w:val="1"/>
      </w:numPr>
      <w:adjustRightInd w:val="0"/>
      <w:spacing w:line="360" w:lineRule="atLeast"/>
      <w:textAlignment w:val="baseline"/>
      <w:outlineLvl w:val="1"/>
    </w:pPr>
    <w:rPr>
      <w:kern w:val="0"/>
      <w:sz w:val="24"/>
      <w:szCs w:val="20"/>
    </w:rPr>
  </w:style>
  <w:style w:type="paragraph" w:styleId="2">
    <w:name w:val="heading 3"/>
    <w:basedOn w:val="1"/>
    <w:next w:val="1"/>
    <w:qFormat/>
    <w:uiPriority w:val="0"/>
    <w:pPr>
      <w:keepNext/>
      <w:keepLines/>
      <w:spacing w:before="260" w:after="260" w:line="416" w:lineRule="atLeast"/>
      <w:jc w:val="both"/>
      <w:textAlignment w:val="baseline"/>
      <w:outlineLvl w:val="2"/>
    </w:pPr>
    <w:rPr>
      <w:b/>
      <w:bCs/>
      <w:color w:val="000000"/>
      <w:sz w:val="32"/>
      <w:szCs w:val="32"/>
      <w:u w:val="none" w:color="000000"/>
      <w:lang w:val="en-US" w:eastAsia="zh-CN" w:bidi="ar-SA"/>
    </w:rPr>
  </w:style>
  <w:style w:type="paragraph" w:styleId="5">
    <w:name w:val="heading 4"/>
    <w:basedOn w:val="1"/>
    <w:next w:val="1"/>
    <w:link w:val="54"/>
    <w:qFormat/>
    <w:uiPriority w:val="0"/>
    <w:pPr>
      <w:keepNext/>
      <w:keepLines/>
      <w:widowControl/>
      <w:spacing w:before="280" w:after="290" w:line="376" w:lineRule="atLeast"/>
      <w:textAlignment w:val="baseline"/>
      <w:outlineLvl w:val="3"/>
    </w:pPr>
    <w:rPr>
      <w:rFonts w:ascii="Arial" w:hAnsi="Arial" w:eastAsia="黑体"/>
      <w:b/>
      <w:bCs/>
      <w:color w:val="000000"/>
      <w:kern w:val="0"/>
      <w:sz w:val="28"/>
      <w:szCs w:val="28"/>
      <w:u w:val="none" w:color="000000"/>
    </w:rPr>
  </w:style>
  <w:style w:type="paragraph" w:styleId="6">
    <w:name w:val="heading 5"/>
    <w:basedOn w:val="1"/>
    <w:next w:val="1"/>
    <w:link w:val="55"/>
    <w:qFormat/>
    <w:uiPriority w:val="0"/>
    <w:pPr>
      <w:keepNext/>
      <w:keepLines/>
      <w:spacing w:before="280" w:after="290" w:line="376" w:lineRule="auto"/>
      <w:outlineLvl w:val="4"/>
    </w:pPr>
    <w:rPr>
      <w:b/>
      <w:bCs/>
      <w:sz w:val="28"/>
      <w:szCs w:val="28"/>
    </w:rPr>
  </w:style>
  <w:style w:type="paragraph" w:styleId="7">
    <w:name w:val="heading 6"/>
    <w:basedOn w:val="1"/>
    <w:next w:val="1"/>
    <w:link w:val="56"/>
    <w:qFormat/>
    <w:uiPriority w:val="0"/>
    <w:pPr>
      <w:keepNext/>
      <w:keepLines/>
      <w:spacing w:before="240" w:after="64" w:line="320" w:lineRule="auto"/>
      <w:outlineLvl w:val="5"/>
    </w:pPr>
    <w:rPr>
      <w:rFonts w:ascii="Cambria" w:hAnsi="Cambria"/>
      <w:b/>
      <w:bCs/>
      <w:sz w:val="24"/>
    </w:rPr>
  </w:style>
  <w:style w:type="paragraph" w:styleId="8">
    <w:name w:val="heading 7"/>
    <w:basedOn w:val="1"/>
    <w:next w:val="1"/>
    <w:link w:val="57"/>
    <w:qFormat/>
    <w:uiPriority w:val="0"/>
    <w:pPr>
      <w:keepNext/>
      <w:keepLines/>
      <w:spacing w:before="240" w:after="64" w:line="320" w:lineRule="auto"/>
      <w:outlineLvl w:val="6"/>
    </w:pPr>
    <w:rPr>
      <w:b/>
      <w:bCs/>
      <w:sz w:val="24"/>
    </w:rPr>
  </w:style>
  <w:style w:type="character" w:default="1" w:styleId="38">
    <w:name w:val="Default Paragraph Font"/>
    <w:semiHidden/>
    <w:qFormat/>
    <w:uiPriority w:val="0"/>
  </w:style>
  <w:style w:type="table" w:default="1" w:styleId="3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9">
    <w:name w:val="toc 7"/>
    <w:basedOn w:val="1"/>
    <w:next w:val="1"/>
    <w:qFormat/>
    <w:uiPriority w:val="0"/>
    <w:pPr>
      <w:widowControl w:val="0"/>
      <w:spacing w:line="240" w:lineRule="auto"/>
      <w:ind w:left="1260"/>
      <w:jc w:val="left"/>
      <w:textAlignment w:val="auto"/>
    </w:pPr>
    <w:rPr>
      <w:rFonts w:cs="Calibri"/>
      <w:color w:val="auto"/>
      <w:kern w:val="2"/>
      <w:sz w:val="18"/>
      <w:szCs w:val="18"/>
      <w:u w:val="none" w:color="auto"/>
    </w:rPr>
  </w:style>
  <w:style w:type="paragraph" w:styleId="10">
    <w:name w:val="List Number 2"/>
    <w:basedOn w:val="1"/>
    <w:qFormat/>
    <w:uiPriority w:val="0"/>
    <w:pPr>
      <w:numPr>
        <w:ilvl w:val="0"/>
        <w:numId w:val="2"/>
      </w:numPr>
      <w:tabs>
        <w:tab w:val="left" w:pos="567"/>
      </w:tabs>
      <w:adjustRightInd w:val="0"/>
      <w:spacing w:line="300" w:lineRule="auto"/>
      <w:textAlignment w:val="baseline"/>
    </w:pPr>
    <w:rPr>
      <w:kern w:val="0"/>
      <w:sz w:val="28"/>
      <w:szCs w:val="20"/>
    </w:rPr>
  </w:style>
  <w:style w:type="paragraph" w:styleId="11">
    <w:name w:val="Normal Indent"/>
    <w:basedOn w:val="1"/>
    <w:qFormat/>
    <w:uiPriority w:val="0"/>
    <w:pPr>
      <w:adjustRightInd w:val="0"/>
      <w:spacing w:line="360" w:lineRule="atLeast"/>
      <w:ind w:firstLine="482"/>
      <w:textAlignment w:val="baseline"/>
    </w:pPr>
    <w:rPr>
      <w:kern w:val="0"/>
      <w:sz w:val="24"/>
      <w:szCs w:val="20"/>
    </w:rPr>
  </w:style>
  <w:style w:type="paragraph" w:styleId="12">
    <w:name w:val="Document Map"/>
    <w:basedOn w:val="1"/>
    <w:next w:val="1"/>
    <w:semiHidden/>
    <w:qFormat/>
    <w:uiPriority w:val="0"/>
    <w:pPr>
      <w:widowControl/>
      <w:shd w:val="clear" w:color="000000" w:fill="000080"/>
      <w:autoSpaceDE/>
      <w:autoSpaceDN/>
      <w:spacing w:before="0" w:after="0" w:line="357" w:lineRule="atLeast"/>
      <w:ind w:left="0" w:firstLine="0"/>
      <w:jc w:val="both"/>
    </w:pPr>
    <w:rPr>
      <w:rFonts w:ascii="Times New Roman" w:eastAsia="宋体"/>
      <w:color w:val="000000"/>
      <w:sz w:val="21"/>
    </w:rPr>
  </w:style>
  <w:style w:type="paragraph" w:styleId="13">
    <w:name w:val="annotation text"/>
    <w:basedOn w:val="1"/>
    <w:link w:val="58"/>
    <w:qFormat/>
    <w:uiPriority w:val="0"/>
    <w:pPr>
      <w:jc w:val="left"/>
    </w:pPr>
  </w:style>
  <w:style w:type="paragraph" w:styleId="14">
    <w:name w:val="Body Text"/>
    <w:basedOn w:val="1"/>
    <w:semiHidden/>
    <w:qFormat/>
    <w:uiPriority w:val="0"/>
    <w:pPr>
      <w:spacing w:after="120"/>
    </w:pPr>
  </w:style>
  <w:style w:type="paragraph" w:styleId="15">
    <w:name w:val="Body Text Indent"/>
    <w:basedOn w:val="1"/>
    <w:next w:val="16"/>
    <w:link w:val="59"/>
    <w:qFormat/>
    <w:uiPriority w:val="0"/>
    <w:pPr>
      <w:spacing w:after="120"/>
      <w:ind w:left="200" w:leftChars="200"/>
    </w:pPr>
  </w:style>
  <w:style w:type="paragraph" w:styleId="16">
    <w:name w:val="envelope return"/>
    <w:basedOn w:val="1"/>
    <w:qFormat/>
    <w:uiPriority w:val="0"/>
    <w:pPr>
      <w:snapToGrid w:val="0"/>
    </w:pPr>
    <w:rPr>
      <w:rFonts w:ascii="Arial" w:hAnsi="Arial"/>
    </w:rPr>
  </w:style>
  <w:style w:type="paragraph" w:styleId="17">
    <w:name w:val="index 4"/>
    <w:basedOn w:val="1"/>
    <w:next w:val="1"/>
    <w:qFormat/>
    <w:uiPriority w:val="0"/>
    <w:pPr>
      <w:ind w:left="600" w:leftChars="600"/>
    </w:pPr>
    <w:rPr>
      <w:rFonts w:ascii="Times New Roman" w:hAnsi="Times New Roman" w:eastAsia="宋体" w:cs="Times New Roman"/>
    </w:rPr>
  </w:style>
  <w:style w:type="paragraph" w:styleId="18">
    <w:name w:val="toc 3"/>
    <w:basedOn w:val="1"/>
    <w:next w:val="1"/>
    <w:qFormat/>
    <w:uiPriority w:val="39"/>
    <w:pPr>
      <w:tabs>
        <w:tab w:val="right" w:leader="dot" w:pos="9288"/>
      </w:tabs>
      <w:ind w:left="400" w:leftChars="400"/>
    </w:pPr>
    <w:rPr>
      <w:rFonts w:ascii="宋体"/>
    </w:rPr>
  </w:style>
  <w:style w:type="paragraph" w:styleId="19">
    <w:name w:val="Plain Text"/>
    <w:basedOn w:val="1"/>
    <w:next w:val="1"/>
    <w:link w:val="60"/>
    <w:qFormat/>
    <w:uiPriority w:val="99"/>
    <w:rPr>
      <w:rFonts w:ascii="宋体"/>
      <w:color w:val="000000"/>
      <w:szCs w:val="20"/>
      <w:u w:val="none" w:color="000000"/>
    </w:rPr>
  </w:style>
  <w:style w:type="paragraph" w:styleId="20">
    <w:name w:val="Date"/>
    <w:basedOn w:val="1"/>
    <w:next w:val="1"/>
    <w:link w:val="61"/>
    <w:qFormat/>
    <w:uiPriority w:val="0"/>
    <w:rPr>
      <w:rFonts w:ascii="Arial" w:hAnsi="Arial" w:eastAsia="仿宋_GB2312"/>
      <w:color w:val="000000"/>
      <w:sz w:val="32"/>
      <w:szCs w:val="20"/>
      <w:u w:val="none" w:color="000000"/>
    </w:rPr>
  </w:style>
  <w:style w:type="paragraph" w:styleId="21">
    <w:name w:val="Body Text Indent 2"/>
    <w:basedOn w:val="1"/>
    <w:link w:val="62"/>
    <w:qFormat/>
    <w:uiPriority w:val="0"/>
    <w:pPr>
      <w:spacing w:after="120" w:line="480" w:lineRule="auto"/>
      <w:ind w:left="420" w:leftChars="200"/>
    </w:pPr>
  </w:style>
  <w:style w:type="paragraph" w:styleId="22">
    <w:name w:val="Balloon Text"/>
    <w:basedOn w:val="1"/>
    <w:link w:val="63"/>
    <w:qFormat/>
    <w:uiPriority w:val="0"/>
    <w:rPr>
      <w:sz w:val="18"/>
      <w:szCs w:val="18"/>
    </w:rPr>
  </w:style>
  <w:style w:type="paragraph" w:styleId="23">
    <w:name w:val="footer"/>
    <w:basedOn w:val="1"/>
    <w:link w:val="64"/>
    <w:qFormat/>
    <w:uiPriority w:val="0"/>
    <w:pPr>
      <w:tabs>
        <w:tab w:val="center" w:pos="4153"/>
        <w:tab w:val="right" w:pos="8306"/>
      </w:tabs>
      <w:snapToGrid w:val="0"/>
      <w:jc w:val="left"/>
    </w:pPr>
    <w:rPr>
      <w:sz w:val="18"/>
      <w:szCs w:val="18"/>
    </w:rPr>
  </w:style>
  <w:style w:type="paragraph" w:styleId="24">
    <w:name w:val="header"/>
    <w:basedOn w:val="1"/>
    <w:link w:val="65"/>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style>
  <w:style w:type="paragraph" w:styleId="26">
    <w:name w:val="Subtitle"/>
    <w:basedOn w:val="1"/>
    <w:next w:val="1"/>
    <w:qFormat/>
    <w:uiPriority w:val="0"/>
    <w:pPr>
      <w:numPr>
        <w:ilvl w:val="0"/>
        <w:numId w:val="3"/>
      </w:numPr>
      <w:spacing w:line="360" w:lineRule="auto"/>
      <w:jc w:val="left"/>
      <w:outlineLvl w:val="1"/>
    </w:pPr>
    <w:rPr>
      <w:rFonts w:ascii="Calibri Light" w:hAnsi="Calibri Light" w:cs="Times New Roman"/>
      <w:bCs/>
      <w:kern w:val="28"/>
      <w:szCs w:val="32"/>
    </w:rPr>
  </w:style>
  <w:style w:type="paragraph" w:styleId="27">
    <w:name w:val="List"/>
    <w:basedOn w:val="1"/>
    <w:next w:val="1"/>
    <w:qFormat/>
    <w:uiPriority w:val="0"/>
    <w:pPr>
      <w:widowControl w:val="0"/>
      <w:spacing w:line="240" w:lineRule="auto"/>
      <w:ind w:left="420" w:hanging="420"/>
      <w:textAlignment w:val="auto"/>
    </w:pPr>
    <w:rPr>
      <w:rFonts w:ascii="Arial" w:hAnsi="Arial" w:eastAsia="楷体_GB2312"/>
      <w:color w:val="auto"/>
      <w:kern w:val="2"/>
      <w:sz w:val="28"/>
      <w:u w:val="none" w:color="auto"/>
    </w:rPr>
  </w:style>
  <w:style w:type="paragraph" w:styleId="28">
    <w:name w:val="toc 2"/>
    <w:basedOn w:val="1"/>
    <w:next w:val="1"/>
    <w:qFormat/>
    <w:uiPriority w:val="39"/>
    <w:pPr>
      <w:ind w:left="200" w:leftChars="200"/>
    </w:pPr>
  </w:style>
  <w:style w:type="paragraph" w:styleId="29">
    <w:name w:val="List 4"/>
    <w:basedOn w:val="1"/>
    <w:qFormat/>
    <w:uiPriority w:val="0"/>
    <w:pPr>
      <w:ind w:left="1680" w:hanging="420"/>
    </w:pPr>
  </w:style>
  <w:style w:type="paragraph" w:styleId="3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3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32">
    <w:name w:val="Title"/>
    <w:basedOn w:val="1"/>
    <w:next w:val="1"/>
    <w:qFormat/>
    <w:uiPriority w:val="0"/>
    <w:pPr>
      <w:numPr>
        <w:ilvl w:val="0"/>
        <w:numId w:val="4"/>
      </w:numPr>
      <w:spacing w:line="360" w:lineRule="auto"/>
      <w:jc w:val="left"/>
      <w:outlineLvl w:val="0"/>
    </w:pPr>
    <w:rPr>
      <w:rFonts w:ascii="Cambria" w:hAnsi="Cambria" w:cs="Times New Roman"/>
      <w:b/>
      <w:bCs/>
      <w:sz w:val="28"/>
      <w:szCs w:val="32"/>
    </w:rPr>
  </w:style>
  <w:style w:type="paragraph" w:styleId="33">
    <w:name w:val="annotation subject"/>
    <w:basedOn w:val="13"/>
    <w:next w:val="13"/>
    <w:link w:val="66"/>
    <w:qFormat/>
    <w:uiPriority w:val="0"/>
    <w:rPr>
      <w:b/>
      <w:bCs/>
    </w:rPr>
  </w:style>
  <w:style w:type="paragraph" w:styleId="34">
    <w:name w:val="Body Text First Indent"/>
    <w:basedOn w:val="14"/>
    <w:unhideWhenUsed/>
    <w:qFormat/>
    <w:uiPriority w:val="99"/>
    <w:pPr>
      <w:ind w:firstLine="420" w:firstLineChars="100"/>
    </w:pPr>
  </w:style>
  <w:style w:type="paragraph" w:styleId="35">
    <w:name w:val="Body Text First Indent 2"/>
    <w:basedOn w:val="15"/>
    <w:next w:val="1"/>
    <w:link w:val="67"/>
    <w:qFormat/>
    <w:uiPriority w:val="0"/>
    <w:pPr>
      <w:ind w:left="420" w:firstLine="420" w:firstLineChars="200"/>
    </w:pPr>
  </w:style>
  <w:style w:type="table" w:styleId="37">
    <w:name w:val="Table Grid"/>
    <w:basedOn w:val="3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basedOn w:val="38"/>
    <w:qFormat/>
    <w:uiPriority w:val="0"/>
    <w:rPr>
      <w:b/>
      <w:bCs/>
    </w:rPr>
  </w:style>
  <w:style w:type="character" w:styleId="40">
    <w:name w:val="page number"/>
    <w:qFormat/>
    <w:uiPriority w:val="0"/>
  </w:style>
  <w:style w:type="character" w:styleId="41">
    <w:name w:val="FollowedHyperlink"/>
    <w:qFormat/>
    <w:uiPriority w:val="0"/>
    <w:rPr>
      <w:color w:val="333333"/>
      <w:u w:val="none"/>
    </w:rPr>
  </w:style>
  <w:style w:type="character" w:styleId="42">
    <w:name w:val="Emphasis"/>
    <w:qFormat/>
    <w:uiPriority w:val="20"/>
    <w:rPr>
      <w:i/>
      <w:iCs/>
    </w:rPr>
  </w:style>
  <w:style w:type="character" w:styleId="43">
    <w:name w:val="HTML Definition"/>
    <w:qFormat/>
    <w:uiPriority w:val="0"/>
  </w:style>
  <w:style w:type="character" w:styleId="44">
    <w:name w:val="HTML Typewriter"/>
    <w:qFormat/>
    <w:uiPriority w:val="0"/>
    <w:rPr>
      <w:rFonts w:hint="default" w:ascii="monospace" w:hAnsi="monospace" w:eastAsia="monospace" w:cs="monospace"/>
      <w:sz w:val="20"/>
    </w:rPr>
  </w:style>
  <w:style w:type="character" w:styleId="45">
    <w:name w:val="HTML Acronym"/>
    <w:basedOn w:val="38"/>
    <w:qFormat/>
    <w:uiPriority w:val="0"/>
  </w:style>
  <w:style w:type="character" w:styleId="46">
    <w:name w:val="HTML Variable"/>
    <w:qFormat/>
    <w:uiPriority w:val="0"/>
  </w:style>
  <w:style w:type="character" w:styleId="47">
    <w:name w:val="Hyperlink"/>
    <w:qFormat/>
    <w:uiPriority w:val="99"/>
    <w:rPr>
      <w:color w:val="333333"/>
      <w:u w:val="none"/>
    </w:rPr>
  </w:style>
  <w:style w:type="character" w:styleId="48">
    <w:name w:val="HTML Code"/>
    <w:qFormat/>
    <w:uiPriority w:val="0"/>
    <w:rPr>
      <w:rFonts w:hint="default" w:ascii="monospace" w:hAnsi="monospace" w:eastAsia="monospace" w:cs="monospace"/>
      <w:sz w:val="20"/>
    </w:rPr>
  </w:style>
  <w:style w:type="character" w:styleId="49">
    <w:name w:val="annotation reference"/>
    <w:qFormat/>
    <w:uiPriority w:val="0"/>
    <w:rPr>
      <w:sz w:val="21"/>
      <w:szCs w:val="21"/>
    </w:rPr>
  </w:style>
  <w:style w:type="character" w:styleId="50">
    <w:name w:val="HTML Cite"/>
    <w:qFormat/>
    <w:uiPriority w:val="0"/>
  </w:style>
  <w:style w:type="character" w:styleId="51">
    <w:name w:val="HTML Keyboard"/>
    <w:qFormat/>
    <w:uiPriority w:val="0"/>
    <w:rPr>
      <w:rFonts w:hint="default" w:ascii="monospace" w:hAnsi="monospace" w:eastAsia="monospace" w:cs="monospace"/>
      <w:sz w:val="20"/>
    </w:rPr>
  </w:style>
  <w:style w:type="character" w:styleId="52">
    <w:name w:val="HTML Sample"/>
    <w:qFormat/>
    <w:uiPriority w:val="0"/>
    <w:rPr>
      <w:rFonts w:ascii="monospace" w:hAnsi="monospace" w:eastAsia="monospace" w:cs="monospace"/>
    </w:rPr>
  </w:style>
  <w:style w:type="character" w:customStyle="1" w:styleId="53">
    <w:name w:val="标题 1 Char"/>
    <w:link w:val="3"/>
    <w:qFormat/>
    <w:uiPriority w:val="0"/>
    <w:rPr>
      <w:b/>
      <w:bCs/>
      <w:kern w:val="44"/>
      <w:sz w:val="44"/>
      <w:szCs w:val="44"/>
    </w:rPr>
  </w:style>
  <w:style w:type="character" w:customStyle="1" w:styleId="54">
    <w:name w:val="标题 4 Char"/>
    <w:link w:val="5"/>
    <w:qFormat/>
    <w:locked/>
    <w:uiPriority w:val="0"/>
    <w:rPr>
      <w:rFonts w:ascii="Arial" w:hAnsi="Arial" w:eastAsia="黑体"/>
      <w:b/>
      <w:bCs/>
      <w:color w:val="000000"/>
      <w:sz w:val="28"/>
      <w:szCs w:val="28"/>
      <w:u w:val="none" w:color="000000"/>
      <w:lang w:val="en-US" w:eastAsia="zh-CN" w:bidi="ar-SA"/>
    </w:rPr>
  </w:style>
  <w:style w:type="character" w:customStyle="1" w:styleId="55">
    <w:name w:val="标题 5 Char"/>
    <w:link w:val="6"/>
    <w:semiHidden/>
    <w:qFormat/>
    <w:uiPriority w:val="0"/>
    <w:rPr>
      <w:b/>
      <w:bCs/>
      <w:kern w:val="2"/>
      <w:sz w:val="28"/>
      <w:szCs w:val="28"/>
    </w:rPr>
  </w:style>
  <w:style w:type="character" w:customStyle="1" w:styleId="56">
    <w:name w:val="标题 6 Char"/>
    <w:link w:val="7"/>
    <w:semiHidden/>
    <w:qFormat/>
    <w:uiPriority w:val="0"/>
    <w:rPr>
      <w:rFonts w:ascii="Cambria" w:hAnsi="Cambria" w:eastAsia="宋体" w:cs="Times New Roman"/>
      <w:b/>
      <w:bCs/>
      <w:kern w:val="2"/>
      <w:sz w:val="24"/>
      <w:szCs w:val="24"/>
    </w:rPr>
  </w:style>
  <w:style w:type="character" w:customStyle="1" w:styleId="57">
    <w:name w:val="标题 7 Char"/>
    <w:link w:val="8"/>
    <w:semiHidden/>
    <w:qFormat/>
    <w:uiPriority w:val="0"/>
    <w:rPr>
      <w:b/>
      <w:bCs/>
      <w:kern w:val="2"/>
      <w:sz w:val="24"/>
      <w:szCs w:val="24"/>
    </w:rPr>
  </w:style>
  <w:style w:type="character" w:customStyle="1" w:styleId="58">
    <w:name w:val="批注文字 Char"/>
    <w:link w:val="13"/>
    <w:qFormat/>
    <w:uiPriority w:val="0"/>
    <w:rPr>
      <w:kern w:val="2"/>
      <w:sz w:val="21"/>
      <w:szCs w:val="24"/>
    </w:rPr>
  </w:style>
  <w:style w:type="character" w:customStyle="1" w:styleId="59">
    <w:name w:val="正文文本缩进 Char"/>
    <w:link w:val="15"/>
    <w:qFormat/>
    <w:uiPriority w:val="0"/>
    <w:rPr>
      <w:kern w:val="2"/>
      <w:sz w:val="21"/>
      <w:szCs w:val="24"/>
    </w:rPr>
  </w:style>
  <w:style w:type="character" w:customStyle="1" w:styleId="60">
    <w:name w:val="纯文本 Char"/>
    <w:link w:val="19"/>
    <w:qFormat/>
    <w:uiPriority w:val="99"/>
    <w:rPr>
      <w:rFonts w:ascii="宋体" w:eastAsia="宋体"/>
      <w:color w:val="000000"/>
      <w:kern w:val="2"/>
      <w:sz w:val="21"/>
      <w:u w:val="none" w:color="000000"/>
      <w:lang w:val="en-US" w:eastAsia="zh-CN" w:bidi="ar-SA"/>
    </w:rPr>
  </w:style>
  <w:style w:type="character" w:customStyle="1" w:styleId="61">
    <w:name w:val="日期 Char"/>
    <w:link w:val="20"/>
    <w:qFormat/>
    <w:uiPriority w:val="0"/>
    <w:rPr>
      <w:rFonts w:ascii="Arial" w:hAnsi="Arial" w:eastAsia="仿宋_GB2312"/>
      <w:color w:val="000000"/>
      <w:kern w:val="2"/>
      <w:sz w:val="32"/>
      <w:u w:val="none" w:color="000000"/>
    </w:rPr>
  </w:style>
  <w:style w:type="character" w:customStyle="1" w:styleId="62">
    <w:name w:val="正文文本缩进 2 Char"/>
    <w:link w:val="21"/>
    <w:qFormat/>
    <w:uiPriority w:val="0"/>
    <w:rPr>
      <w:kern w:val="2"/>
      <w:sz w:val="21"/>
      <w:szCs w:val="24"/>
    </w:rPr>
  </w:style>
  <w:style w:type="character" w:customStyle="1" w:styleId="63">
    <w:name w:val="批注框文本 Char"/>
    <w:link w:val="22"/>
    <w:qFormat/>
    <w:uiPriority w:val="0"/>
    <w:rPr>
      <w:kern w:val="2"/>
      <w:sz w:val="18"/>
      <w:szCs w:val="18"/>
    </w:rPr>
  </w:style>
  <w:style w:type="character" w:customStyle="1" w:styleId="64">
    <w:name w:val="页脚 Char"/>
    <w:link w:val="23"/>
    <w:qFormat/>
    <w:locked/>
    <w:uiPriority w:val="0"/>
    <w:rPr>
      <w:kern w:val="2"/>
      <w:sz w:val="18"/>
      <w:szCs w:val="18"/>
    </w:rPr>
  </w:style>
  <w:style w:type="character" w:customStyle="1" w:styleId="65">
    <w:name w:val="页眉 Char"/>
    <w:link w:val="24"/>
    <w:qFormat/>
    <w:locked/>
    <w:uiPriority w:val="0"/>
    <w:rPr>
      <w:kern w:val="2"/>
      <w:sz w:val="18"/>
      <w:szCs w:val="18"/>
    </w:rPr>
  </w:style>
  <w:style w:type="character" w:customStyle="1" w:styleId="66">
    <w:name w:val="批注主题 Char"/>
    <w:link w:val="33"/>
    <w:qFormat/>
    <w:uiPriority w:val="0"/>
    <w:rPr>
      <w:b/>
      <w:bCs/>
      <w:kern w:val="2"/>
      <w:sz w:val="21"/>
      <w:szCs w:val="24"/>
    </w:rPr>
  </w:style>
  <w:style w:type="character" w:customStyle="1" w:styleId="67">
    <w:name w:val="正文首行缩进 2 Char"/>
    <w:link w:val="35"/>
    <w:qFormat/>
    <w:uiPriority w:val="0"/>
  </w:style>
  <w:style w:type="paragraph" w:customStyle="1" w:styleId="68">
    <w:name w:val="l正文"/>
    <w:qFormat/>
    <w:uiPriority w:val="0"/>
    <w:pPr>
      <w:widowControl w:val="0"/>
      <w:spacing w:line="300" w:lineRule="auto"/>
      <w:ind w:firstLine="200" w:firstLineChars="200"/>
      <w:jc w:val="both"/>
    </w:pPr>
    <w:rPr>
      <w:rFonts w:ascii="楷体_GB2312" w:hAnsi="Times" w:eastAsia="楷体_GB2312" w:cs="Times New Roman"/>
      <w:kern w:val="2"/>
      <w:sz w:val="24"/>
      <w:szCs w:val="24"/>
      <w:lang w:val="en-US" w:eastAsia="zh-CN" w:bidi="ar-SA"/>
    </w:rPr>
  </w:style>
  <w:style w:type="paragraph" w:customStyle="1" w:styleId="69">
    <w:name w:val="正文 New"/>
    <w:next w:val="70"/>
    <w:qFormat/>
    <w:uiPriority w:val="0"/>
    <w:pPr>
      <w:widowControl w:val="0"/>
      <w:spacing w:line="440" w:lineRule="exact"/>
      <w:ind w:left="357" w:hanging="357"/>
      <w:jc w:val="both"/>
    </w:pPr>
    <w:rPr>
      <w:rFonts w:ascii="Calibri" w:hAnsi="Calibri" w:eastAsia="宋体" w:cs="Times New Roman"/>
      <w:kern w:val="2"/>
      <w:sz w:val="21"/>
      <w:szCs w:val="22"/>
      <w:lang w:val="en-US" w:eastAsia="zh-CN" w:bidi="ar-SA"/>
    </w:rPr>
  </w:style>
  <w:style w:type="paragraph" w:customStyle="1" w:styleId="70">
    <w:name w:val="正文缩进1"/>
    <w:basedOn w:val="1"/>
    <w:next w:val="12"/>
    <w:qFormat/>
    <w:uiPriority w:val="0"/>
    <w:pPr>
      <w:widowControl w:val="0"/>
      <w:autoSpaceDE/>
      <w:autoSpaceDN/>
      <w:spacing w:before="0" w:after="0" w:line="360" w:lineRule="atLeast"/>
      <w:ind w:left="0" w:firstLine="482"/>
      <w:jc w:val="both"/>
    </w:pPr>
    <w:rPr>
      <w:rFonts w:ascii="Times New Roman" w:eastAsia="宋体"/>
      <w:sz w:val="24"/>
    </w:rPr>
  </w:style>
  <w:style w:type="paragraph" w:customStyle="1" w:styleId="71">
    <w:name w:val="正文文字 8"/>
    <w:basedOn w:val="1"/>
    <w:next w:val="1"/>
    <w:qFormat/>
    <w:uiPriority w:val="0"/>
    <w:pPr>
      <w:ind w:left="240"/>
    </w:pPr>
    <w:rPr>
      <w:sz w:val="16"/>
    </w:rPr>
  </w:style>
  <w:style w:type="character" w:customStyle="1" w:styleId="72">
    <w:name w:val="displayarti"/>
    <w:qFormat/>
    <w:uiPriority w:val="0"/>
    <w:rPr>
      <w:color w:val="FFFFFF"/>
      <w:shd w:val="clear" w:color="auto" w:fill="A00000"/>
    </w:rPr>
  </w:style>
  <w:style w:type="character" w:customStyle="1" w:styleId="73">
    <w:name w:val="列出段落 Char"/>
    <w:link w:val="74"/>
    <w:qFormat/>
    <w:locked/>
    <w:uiPriority w:val="0"/>
    <w:rPr>
      <w:rFonts w:ascii="Calibri" w:hAnsi="Calibri" w:eastAsia="宋体"/>
      <w:kern w:val="2"/>
      <w:sz w:val="21"/>
      <w:szCs w:val="22"/>
      <w:lang w:val="en-US" w:eastAsia="zh-CN" w:bidi="ar-SA"/>
    </w:rPr>
  </w:style>
  <w:style w:type="paragraph" w:customStyle="1" w:styleId="74">
    <w:name w:val="List Paragraph1"/>
    <w:basedOn w:val="1"/>
    <w:link w:val="73"/>
    <w:qFormat/>
    <w:uiPriority w:val="0"/>
    <w:pPr>
      <w:spacing w:line="312" w:lineRule="auto"/>
      <w:ind w:firstLine="420" w:firstLineChars="200"/>
    </w:pPr>
    <w:rPr>
      <w:rFonts w:ascii="Calibri" w:hAnsi="Calibri"/>
      <w:szCs w:val="22"/>
    </w:rPr>
  </w:style>
  <w:style w:type="character" w:customStyle="1" w:styleId="75">
    <w:name w:val="gpa"/>
    <w:qFormat/>
    <w:uiPriority w:val="0"/>
    <w:rPr>
      <w:rFonts w:ascii="Arial" w:hAnsi="Arial" w:cs="Arial"/>
      <w:sz w:val="15"/>
      <w:szCs w:val="15"/>
    </w:rPr>
  </w:style>
  <w:style w:type="character" w:customStyle="1" w:styleId="76">
    <w:name w:val="apple-converted-space"/>
    <w:qFormat/>
    <w:uiPriority w:val="0"/>
  </w:style>
  <w:style w:type="character" w:customStyle="1" w:styleId="77">
    <w:name w:val="selected"/>
    <w:qFormat/>
    <w:uiPriority w:val="0"/>
    <w:rPr>
      <w:shd w:val="clear" w:color="auto" w:fill="B00006"/>
    </w:rPr>
  </w:style>
  <w:style w:type="character" w:customStyle="1" w:styleId="78">
    <w:name w:val="正文首行缩进 2 Char1"/>
    <w:qFormat/>
    <w:uiPriority w:val="0"/>
  </w:style>
  <w:style w:type="character" w:customStyle="1" w:styleId="79">
    <w:name w:val="【正文】 Char"/>
    <w:link w:val="80"/>
    <w:qFormat/>
    <w:uiPriority w:val="0"/>
    <w:rPr>
      <w:rFonts w:cs="DokChampa"/>
      <w:kern w:val="2"/>
      <w:sz w:val="24"/>
      <w:szCs w:val="22"/>
    </w:rPr>
  </w:style>
  <w:style w:type="paragraph" w:customStyle="1" w:styleId="80">
    <w:name w:val="【正文】"/>
    <w:basedOn w:val="1"/>
    <w:link w:val="79"/>
    <w:qFormat/>
    <w:uiPriority w:val="0"/>
    <w:pPr>
      <w:spacing w:line="360" w:lineRule="auto"/>
      <w:ind w:firstLine="480" w:firstLineChars="200"/>
    </w:pPr>
    <w:rPr>
      <w:sz w:val="24"/>
      <w:szCs w:val="22"/>
    </w:rPr>
  </w:style>
  <w:style w:type="character" w:customStyle="1" w:styleId="81">
    <w:name w:val="图表 Char"/>
    <w:link w:val="82"/>
    <w:qFormat/>
    <w:uiPriority w:val="0"/>
    <w:rPr>
      <w:kern w:val="2"/>
      <w:sz w:val="21"/>
      <w:szCs w:val="21"/>
    </w:rPr>
  </w:style>
  <w:style w:type="paragraph" w:customStyle="1" w:styleId="82">
    <w:name w:val="图表"/>
    <w:basedOn w:val="1"/>
    <w:next w:val="1"/>
    <w:link w:val="81"/>
    <w:qFormat/>
    <w:uiPriority w:val="0"/>
    <w:pPr>
      <w:jc w:val="center"/>
    </w:pPr>
    <w:rPr>
      <w:szCs w:val="21"/>
    </w:rPr>
  </w:style>
  <w:style w:type="paragraph" w:customStyle="1" w:styleId="83">
    <w:name w:val="_Style 2"/>
    <w:basedOn w:val="1"/>
    <w:qFormat/>
    <w:uiPriority w:val="0"/>
  </w:style>
  <w:style w:type="paragraph" w:customStyle="1" w:styleId="84">
    <w:name w:val="_Style 4"/>
    <w:basedOn w:val="1"/>
    <w:qFormat/>
    <w:uiPriority w:val="34"/>
    <w:pPr>
      <w:adjustRightInd w:val="0"/>
      <w:ind w:firstLine="420" w:firstLineChars="200"/>
      <w:jc w:val="left"/>
      <w:textAlignment w:val="baseline"/>
    </w:pPr>
    <w:rPr>
      <w:kern w:val="0"/>
      <w:szCs w:val="20"/>
    </w:rPr>
  </w:style>
  <w:style w:type="paragraph" w:customStyle="1" w:styleId="85">
    <w:name w:val=" Char"/>
    <w:basedOn w:val="1"/>
    <w:qFormat/>
    <w:uiPriority w:val="0"/>
  </w:style>
  <w:style w:type="paragraph" w:customStyle="1" w:styleId="86">
    <w:name w:val="p0"/>
    <w:basedOn w:val="1"/>
    <w:qFormat/>
    <w:uiPriority w:val="0"/>
    <w:pPr>
      <w:widowControl/>
      <w:spacing w:line="365" w:lineRule="atLeast"/>
      <w:ind w:left="1"/>
      <w:textAlignment w:val="bottom"/>
    </w:pPr>
    <w:rPr>
      <w:rFonts w:ascii="Calibri" w:hAnsi="Calibri"/>
      <w:kern w:val="0"/>
      <w:sz w:val="20"/>
      <w:szCs w:val="22"/>
    </w:rPr>
  </w:style>
  <w:style w:type="paragraph" w:customStyle="1" w:styleId="87">
    <w:name w:val="节标题"/>
    <w:basedOn w:val="1"/>
    <w:next w:val="1"/>
    <w:qFormat/>
    <w:uiPriority w:val="0"/>
    <w:pPr>
      <w:widowControl/>
      <w:spacing w:line="289" w:lineRule="atLeast"/>
      <w:jc w:val="center"/>
      <w:textAlignment w:val="baseline"/>
    </w:pPr>
    <w:rPr>
      <w:color w:val="000000"/>
      <w:kern w:val="0"/>
      <w:sz w:val="28"/>
      <w:szCs w:val="20"/>
      <w:u w:val="none" w:color="000000"/>
    </w:rPr>
  </w:style>
  <w:style w:type="paragraph" w:customStyle="1" w:styleId="88">
    <w:name w:val=" Char Char Char Char"/>
    <w:basedOn w:val="1"/>
    <w:qFormat/>
    <w:uiPriority w:val="0"/>
    <w:rPr>
      <w:rFonts w:ascii="Tahoma" w:hAnsi="Tahoma"/>
      <w:sz w:val="24"/>
      <w:szCs w:val="20"/>
    </w:rPr>
  </w:style>
  <w:style w:type="paragraph" w:customStyle="1" w:styleId="89">
    <w:name w:val="列出段落2"/>
    <w:basedOn w:val="1"/>
    <w:qFormat/>
    <w:uiPriority w:val="0"/>
    <w:pPr>
      <w:ind w:firstLine="420" w:firstLineChars="200"/>
    </w:pPr>
    <w:rPr>
      <w:rFonts w:ascii="Calibri" w:hAnsi="Calibri"/>
      <w:szCs w:val="22"/>
    </w:rPr>
  </w:style>
  <w:style w:type="paragraph" w:customStyle="1" w:styleId="90">
    <w:name w:val="标题3-副本"/>
    <w:basedOn w:val="26"/>
    <w:qFormat/>
    <w:uiPriority w:val="0"/>
    <w:pPr>
      <w:numPr>
        <w:ilvl w:val="0"/>
        <w:numId w:val="0"/>
      </w:numPr>
      <w:ind w:left="840"/>
    </w:pPr>
  </w:style>
  <w:style w:type="paragraph" w:customStyle="1" w:styleId="91">
    <w:name w:val="（无样式）"/>
    <w:basedOn w:val="1"/>
    <w:qFormat/>
    <w:uiPriority w:val="0"/>
    <w:pPr>
      <w:widowControl/>
      <w:numPr>
        <w:ilvl w:val="0"/>
        <w:numId w:val="5"/>
      </w:numPr>
      <w:spacing w:line="360" w:lineRule="auto"/>
      <w:ind w:firstLine="0"/>
    </w:pPr>
    <w:rPr>
      <w:sz w:val="24"/>
      <w:szCs w:val="20"/>
    </w:rPr>
  </w:style>
  <w:style w:type="paragraph" w:customStyle="1" w:styleId="92">
    <w:name w:val="列出段落11"/>
    <w:basedOn w:val="1"/>
    <w:qFormat/>
    <w:uiPriority w:val="0"/>
    <w:pPr>
      <w:spacing w:after="120" w:line="360" w:lineRule="auto"/>
      <w:ind w:firstLine="420" w:firstLineChars="200"/>
    </w:pPr>
    <w:rPr>
      <w:rFonts w:ascii="Calibri" w:hAnsi="Calibri"/>
      <w:szCs w:val="22"/>
    </w:rPr>
  </w:style>
  <w:style w:type="paragraph" w:customStyle="1" w:styleId="93">
    <w:name w:val="List Paragraph2"/>
    <w:basedOn w:val="1"/>
    <w:qFormat/>
    <w:uiPriority w:val="0"/>
    <w:pPr>
      <w:spacing w:line="360" w:lineRule="auto"/>
      <w:ind w:firstLine="420"/>
    </w:pPr>
    <w:rPr>
      <w:color w:val="000000"/>
      <w:sz w:val="24"/>
      <w:szCs w:val="21"/>
    </w:rPr>
  </w:style>
  <w:style w:type="paragraph" w:customStyle="1" w:styleId="94">
    <w:name w:val="列出段落1"/>
    <w:basedOn w:val="1"/>
    <w:qFormat/>
    <w:uiPriority w:val="34"/>
    <w:pPr>
      <w:ind w:firstLine="420" w:firstLineChars="200"/>
    </w:pPr>
  </w:style>
  <w:style w:type="paragraph" w:customStyle="1" w:styleId="95">
    <w:name w:val="Char Char Char Char Char Char Char1 Char"/>
    <w:basedOn w:val="1"/>
    <w:qFormat/>
    <w:uiPriority w:val="0"/>
    <w:rPr>
      <w:rFonts w:ascii="Tahoma" w:hAnsi="Tahoma"/>
      <w:sz w:val="24"/>
      <w:szCs w:val="20"/>
    </w:rPr>
  </w:style>
  <w:style w:type="paragraph" w:customStyle="1" w:styleId="96">
    <w:name w:val="Table Paragraph"/>
    <w:basedOn w:val="1"/>
    <w:next w:val="29"/>
    <w:qFormat/>
    <w:uiPriority w:val="1"/>
    <w:rPr>
      <w:rFonts w:ascii="宋体" w:hAnsi="宋体" w:eastAsia="宋体" w:cs="宋体"/>
      <w:lang w:val="zh-CN" w:eastAsia="zh-CN" w:bidi="zh-CN"/>
    </w:rPr>
  </w:style>
  <w:style w:type="paragraph" w:customStyle="1" w:styleId="97">
    <w:name w:val="列表2"/>
    <w:basedOn w:val="1"/>
    <w:next w:val="1"/>
    <w:qFormat/>
    <w:uiPriority w:val="0"/>
    <w:pPr>
      <w:numPr>
        <w:ilvl w:val="0"/>
        <w:numId w:val="6"/>
      </w:numPr>
      <w:spacing w:line="200" w:lineRule="atLeast"/>
    </w:pPr>
    <w:rPr>
      <w:rFonts w:eastAsia="仿宋"/>
      <w:sz w:val="28"/>
    </w:rPr>
  </w:style>
  <w:style w:type="paragraph" w:customStyle="1" w:styleId="98">
    <w:name w:val="样式1"/>
    <w:basedOn w:val="1"/>
    <w:qFormat/>
    <w:uiPriority w:val="0"/>
    <w:pPr>
      <w:spacing w:line="360" w:lineRule="auto"/>
      <w:jc w:val="center"/>
    </w:pPr>
    <w:rPr>
      <w:rFonts w:ascii="Times New Roman" w:hAnsi="Times New Roman" w:cs="Times New Roman"/>
      <w:b/>
      <w:sz w:val="30"/>
      <w:szCs w:val="30"/>
    </w:rPr>
  </w:style>
  <w:style w:type="paragraph" w:customStyle="1" w:styleId="99">
    <w:name w:val="标题4"/>
    <w:basedOn w:val="1"/>
    <w:qFormat/>
    <w:uiPriority w:val="0"/>
    <w:pPr>
      <w:numPr>
        <w:ilvl w:val="0"/>
        <w:numId w:val="7"/>
      </w:numPr>
      <w:spacing w:line="360" w:lineRule="auto"/>
      <w:ind w:left="720" w:leftChars="300"/>
      <w:jc w:val="left"/>
    </w:pPr>
    <w:rPr>
      <w:rFonts w:ascii="宋体" w:hAnsi="宋体" w:cs="Times New Roman"/>
      <w:sz w:val="18"/>
      <w:szCs w:val="18"/>
    </w:rPr>
  </w:style>
  <w:style w:type="paragraph" w:styleId="100">
    <w:name w:val="List Paragraph"/>
    <w:basedOn w:val="1"/>
    <w:qFormat/>
    <w:uiPriority w:val="0"/>
    <w:pPr>
      <w:spacing w:line="360" w:lineRule="auto"/>
      <w:ind w:firstLine="420" w:firstLineChars="200"/>
    </w:pPr>
    <w:rPr>
      <w:rFonts w:ascii="宋体" w:hAnsi="宋体" w:cs="宋体"/>
      <w:sz w:val="24"/>
    </w:rPr>
  </w:style>
  <w:style w:type="paragraph" w:customStyle="1" w:styleId="101">
    <w:name w:val="_Style 100"/>
    <w:unhideWhenUsed/>
    <w:qFormat/>
    <w:uiPriority w:val="99"/>
    <w:rPr>
      <w:rFonts w:ascii="Times New Roman" w:hAnsi="Times New Roman" w:eastAsia="宋体" w:cs="Times New Roman"/>
      <w:kern w:val="2"/>
      <w:sz w:val="21"/>
      <w:szCs w:val="24"/>
      <w:lang w:val="en-US" w:eastAsia="zh-CN" w:bidi="ar-SA"/>
    </w:rPr>
  </w:style>
  <w:style w:type="paragraph" w:customStyle="1" w:styleId="102">
    <w:name w:val="Char"/>
    <w:basedOn w:val="1"/>
    <w:next w:val="1"/>
    <w:qFormat/>
    <w:uiPriority w:val="0"/>
    <w:pPr>
      <w:widowControl/>
      <w:spacing w:line="360" w:lineRule="auto"/>
      <w:jc w:val="left"/>
    </w:pPr>
    <w:rPr>
      <w:kern w:val="0"/>
      <w:szCs w:val="20"/>
      <w:lang w:eastAsia="en-US"/>
    </w:rPr>
  </w:style>
  <w:style w:type="paragraph" w:customStyle="1" w:styleId="103">
    <w:name w:val="*正文"/>
    <w:basedOn w:val="1"/>
    <w:qFormat/>
    <w:uiPriority w:val="0"/>
    <w:pPr>
      <w:widowControl/>
      <w:snapToGrid w:val="0"/>
      <w:ind w:firstLine="560"/>
      <w:jc w:val="left"/>
    </w:pPr>
    <w:rPr>
      <w:rFonts w:ascii="仿宋_GB2312"/>
      <w:color w:val="191919"/>
      <w:sz w:val="28"/>
      <w:szCs w:val="28"/>
    </w:rPr>
  </w:style>
  <w:style w:type="paragraph" w:customStyle="1" w:styleId="104">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kern w:val="2"/>
      <w:sz w:val="21"/>
      <w:szCs w:val="22"/>
      <w:lang w:val="en-US" w:eastAsia="zh-CN" w:bidi="ar-SA"/>
    </w:rPr>
  </w:style>
  <w:style w:type="character" w:customStyle="1" w:styleId="105">
    <w:name w:val="bds_more"/>
    <w:qFormat/>
    <w:uiPriority w:val="0"/>
    <w:rPr>
      <w:rFonts w:hint="eastAsia" w:ascii="宋体" w:hAnsi="宋体" w:eastAsia="宋体" w:cs="宋体"/>
    </w:rPr>
  </w:style>
  <w:style w:type="character" w:customStyle="1" w:styleId="106">
    <w:name w:val="bds_more1"/>
    <w:qFormat/>
    <w:uiPriority w:val="0"/>
  </w:style>
  <w:style w:type="character" w:customStyle="1" w:styleId="107">
    <w:name w:val="bds_more2"/>
    <w:qFormat/>
    <w:uiPriority w:val="0"/>
  </w:style>
  <w:style w:type="character" w:customStyle="1" w:styleId="108">
    <w:name w:val="bds_nopic"/>
    <w:qFormat/>
    <w:uiPriority w:val="0"/>
  </w:style>
  <w:style w:type="character" w:customStyle="1" w:styleId="109">
    <w:name w:val="bds_nopic1"/>
    <w:qFormat/>
    <w:uiPriority w:val="0"/>
  </w:style>
  <w:style w:type="character" w:customStyle="1" w:styleId="110">
    <w:name w:val="bds_nopic2"/>
    <w:qFormat/>
    <w:uiPriority w:val="0"/>
  </w:style>
  <w:style w:type="character" w:customStyle="1" w:styleId="111">
    <w:name w:val="font71"/>
    <w:qFormat/>
    <w:uiPriority w:val="0"/>
    <w:rPr>
      <w:rFonts w:hint="default" w:ascii="MS Sans Serif" w:hAnsi="MS Sans Serif" w:eastAsia="MS Sans Serif" w:cs="MS Sans Serif"/>
      <w:color w:val="000000"/>
      <w:sz w:val="18"/>
      <w:szCs w:val="18"/>
      <w:u w:val="none"/>
    </w:rPr>
  </w:style>
  <w:style w:type="paragraph" w:customStyle="1" w:styleId="112">
    <w:name w:val="WPSOffice手动目录 1"/>
    <w:qFormat/>
    <w:uiPriority w:val="0"/>
    <w:rPr>
      <w:rFonts w:ascii="Times New Roman" w:hAnsi="Times New Roman" w:eastAsia="宋体" w:cs="Times New Roman"/>
      <w:lang w:val="en-US" w:eastAsia="zh-CN" w:bidi="ar-SA"/>
    </w:rPr>
  </w:style>
  <w:style w:type="character" w:customStyle="1" w:styleId="113">
    <w:name w:val="font81"/>
    <w:qFormat/>
    <w:uiPriority w:val="0"/>
    <w:rPr>
      <w:rFonts w:hint="eastAsia" w:ascii="宋体" w:hAnsi="宋体" w:eastAsia="宋体" w:cs="宋体"/>
      <w:color w:val="000000"/>
      <w:sz w:val="20"/>
      <w:szCs w:val="20"/>
      <w:u w:val="none"/>
    </w:rPr>
  </w:style>
  <w:style w:type="character" w:customStyle="1" w:styleId="114">
    <w:name w:val="font232"/>
    <w:qFormat/>
    <w:uiPriority w:val="0"/>
    <w:rPr>
      <w:rFonts w:hint="eastAsia" w:ascii="宋体" w:hAnsi="宋体" w:eastAsia="宋体" w:cs="宋体"/>
      <w:b/>
      <w:bCs/>
      <w:color w:val="0070C0"/>
      <w:sz w:val="20"/>
      <w:szCs w:val="20"/>
      <w:u w:val="none"/>
    </w:rPr>
  </w:style>
  <w:style w:type="character" w:customStyle="1" w:styleId="115">
    <w:name w:val="font101"/>
    <w:qFormat/>
    <w:uiPriority w:val="0"/>
    <w:rPr>
      <w:rFonts w:hint="eastAsia" w:ascii="宋体" w:hAnsi="宋体" w:eastAsia="宋体" w:cs="宋体"/>
      <w:color w:val="000000"/>
      <w:sz w:val="18"/>
      <w:szCs w:val="18"/>
      <w:u w:val="none"/>
    </w:rPr>
  </w:style>
  <w:style w:type="character" w:customStyle="1" w:styleId="116">
    <w:name w:val="font161"/>
    <w:qFormat/>
    <w:uiPriority w:val="0"/>
    <w:rPr>
      <w:rFonts w:hint="eastAsia" w:ascii="宋体" w:hAnsi="宋体" w:eastAsia="宋体" w:cs="宋体"/>
      <w:b/>
      <w:bCs/>
      <w:color w:val="FF0000"/>
      <w:sz w:val="18"/>
      <w:szCs w:val="18"/>
      <w:u w:val="none"/>
    </w:rPr>
  </w:style>
  <w:style w:type="character" w:customStyle="1" w:styleId="117">
    <w:name w:val="font131"/>
    <w:qFormat/>
    <w:uiPriority w:val="0"/>
    <w:rPr>
      <w:rFonts w:hint="eastAsia" w:ascii="宋体" w:hAnsi="宋体" w:eastAsia="宋体" w:cs="宋体"/>
      <w:b/>
      <w:bCs/>
      <w:color w:val="FF0000"/>
      <w:sz w:val="20"/>
      <w:szCs w:val="20"/>
      <w:u w:val="none"/>
    </w:rPr>
  </w:style>
  <w:style w:type="character" w:customStyle="1" w:styleId="118">
    <w:name w:val="font31"/>
    <w:qFormat/>
    <w:uiPriority w:val="0"/>
    <w:rPr>
      <w:rFonts w:hint="eastAsia" w:ascii="宋体" w:hAnsi="宋体" w:eastAsia="宋体" w:cs="宋体"/>
      <w:color w:val="000000"/>
      <w:sz w:val="20"/>
      <w:szCs w:val="20"/>
      <w:u w:val="none"/>
    </w:rPr>
  </w:style>
  <w:style w:type="character" w:customStyle="1" w:styleId="119">
    <w:name w:val="hover"/>
    <w:qFormat/>
    <w:uiPriority w:val="0"/>
    <w:rPr>
      <w:color w:val="2590EB"/>
      <w:shd w:val="clear" w:color="auto" w:fill="E9F4FD"/>
    </w:rPr>
  </w:style>
  <w:style w:type="character" w:customStyle="1" w:styleId="120">
    <w:name w:val="hover1"/>
    <w:qFormat/>
    <w:uiPriority w:val="0"/>
    <w:rPr>
      <w:color w:val="2590EB"/>
    </w:rPr>
  </w:style>
  <w:style w:type="character" w:customStyle="1" w:styleId="121">
    <w:name w:val="hover2"/>
    <w:qFormat/>
    <w:uiPriority w:val="0"/>
    <w:rPr>
      <w:color w:val="2590EB"/>
    </w:rPr>
  </w:style>
  <w:style w:type="character" w:customStyle="1" w:styleId="122">
    <w:name w:val="hover3"/>
    <w:qFormat/>
    <w:uiPriority w:val="0"/>
  </w:style>
  <w:style w:type="character" w:customStyle="1" w:styleId="123">
    <w:name w:val="hover4"/>
    <w:qFormat/>
    <w:uiPriority w:val="0"/>
    <w:rPr>
      <w:color w:val="2590EB"/>
    </w:rPr>
  </w:style>
  <w:style w:type="character" w:customStyle="1" w:styleId="124">
    <w:name w:val="18"/>
    <w:qFormat/>
    <w:uiPriority w:val="0"/>
    <w:rPr>
      <w:rFonts w:hint="eastAsia" w:ascii="宋体" w:hAnsi="宋体" w:eastAsia="宋体" w:cs="宋体"/>
      <w:color w:val="000000"/>
      <w:sz w:val="20"/>
      <w:szCs w:val="20"/>
    </w:rPr>
  </w:style>
  <w:style w:type="character" w:customStyle="1" w:styleId="125">
    <w:name w:val="15"/>
    <w:qFormat/>
    <w:uiPriority w:val="0"/>
    <w:rPr>
      <w:rFonts w:hint="eastAsia" w:ascii="微软雅黑" w:hAnsi="微软雅黑" w:eastAsia="微软雅黑" w:cs="微软雅黑"/>
      <w:color w:val="000000"/>
      <w:sz w:val="20"/>
      <w:szCs w:val="20"/>
    </w:rPr>
  </w:style>
  <w:style w:type="character" w:customStyle="1" w:styleId="126">
    <w:name w:val="10"/>
    <w:qFormat/>
    <w:uiPriority w:val="0"/>
    <w:rPr>
      <w:rFonts w:hint="default" w:ascii="Times New Roman" w:hAnsi="Times New Roman" w:cs="Times New Roman"/>
    </w:rPr>
  </w:style>
  <w:style w:type="character" w:customStyle="1" w:styleId="127">
    <w:name w:val="16"/>
    <w:qFormat/>
    <w:uiPriority w:val="0"/>
    <w:rPr>
      <w:rFonts w:hint="eastAsia" w:ascii="宋体" w:hAnsi="宋体" w:eastAsia="宋体" w:cs="宋体"/>
      <w:color w:val="000000"/>
      <w:sz w:val="20"/>
      <w:szCs w:val="20"/>
    </w:rPr>
  </w:style>
  <w:style w:type="character" w:customStyle="1" w:styleId="128">
    <w:name w:val="17"/>
    <w:qFormat/>
    <w:uiPriority w:val="0"/>
    <w:rPr>
      <w:rFonts w:hint="eastAsia" w:ascii="微软雅黑" w:hAnsi="微软雅黑" w:eastAsia="微软雅黑" w:cs="微软雅黑"/>
      <w:color w:val="000000"/>
      <w:sz w:val="20"/>
      <w:szCs w:val="20"/>
    </w:rPr>
  </w:style>
  <w:style w:type="paragraph" w:customStyle="1" w:styleId="129">
    <w:name w:val="text-tag1"/>
    <w:basedOn w:val="1"/>
    <w:unhideWhenUsed/>
    <w:qFormat/>
    <w:uiPriority w:val="0"/>
    <w:pPr>
      <w:widowControl/>
      <w:spacing w:before="100" w:beforeLines="0" w:beforeAutospacing="1" w:after="100" w:afterLines="0" w:afterAutospacing="1"/>
      <w:jc w:val="left"/>
    </w:pPr>
    <w:rPr>
      <w:rFonts w:hint="eastAsia" w:ascii="宋体" w:hAnsi="宋体" w:eastAsia="宋体" w:cs="宋体"/>
      <w:kern w:val="0"/>
      <w:sz w:val="24"/>
      <w:szCs w:val="24"/>
    </w:rPr>
  </w:style>
  <w:style w:type="paragraph" w:customStyle="1" w:styleId="130">
    <w:name w:val="xl25"/>
    <w:qFormat/>
    <w:uiPriority w:val="0"/>
    <w:pPr>
      <w:spacing w:before="100" w:beforeAutospacing="1" w:after="100" w:afterAutospacing="1"/>
      <w:jc w:val="right"/>
    </w:pPr>
    <w:rPr>
      <w:rFonts w:ascii="Arial Unicode MS" w:hAnsi="Arial Unicode MS" w:eastAsia="宋体" w:cs="Arial Unicode MS"/>
      <w:color w:val="000000"/>
      <w:sz w:val="18"/>
      <w:szCs w:val="18"/>
      <w:lang w:val="en-US" w:eastAsia="zh-CN" w:bidi="ar-SA"/>
    </w:rPr>
  </w:style>
  <w:style w:type="paragraph" w:customStyle="1" w:styleId="131">
    <w:name w:val="无列表1"/>
    <w:semiHidden/>
    <w:qFormat/>
    <w:uiPriority w:val="0"/>
    <w:rPr>
      <w:rFonts w:ascii="Times New Roman" w:hAnsi="Times New Roman" w:eastAsia="宋体" w:cs="Times New Roman"/>
      <w:sz w:val="21"/>
      <w:szCs w:val="22"/>
      <w:lang w:val="en-US" w:eastAsia="zh-CN" w:bidi="ar-SA"/>
    </w:rPr>
  </w:style>
  <w:style w:type="character" w:customStyle="1" w:styleId="132">
    <w:name w:val="font41"/>
    <w:qFormat/>
    <w:uiPriority w:val="0"/>
    <w:rPr>
      <w:rFonts w:hint="eastAsia" w:ascii="宋体" w:hAnsi="宋体" w:eastAsia="宋体" w:cs="宋体"/>
      <w:color w:val="000000"/>
      <w:sz w:val="21"/>
      <w:szCs w:val="21"/>
      <w:u w:val="none"/>
    </w:rPr>
  </w:style>
  <w:style w:type="character" w:customStyle="1" w:styleId="133">
    <w:name w:val="font11"/>
    <w:qFormat/>
    <w:uiPriority w:val="0"/>
    <w:rPr>
      <w:rFonts w:hint="eastAsia" w:ascii="宋体" w:hAnsi="宋体" w:eastAsia="宋体" w:cs="宋体"/>
      <w:color w:val="000000"/>
      <w:sz w:val="16"/>
      <w:szCs w:val="16"/>
      <w:u w:val="none"/>
    </w:rPr>
  </w:style>
  <w:style w:type="paragraph" w:customStyle="1" w:styleId="134">
    <w:name w:val="Table Text"/>
    <w:semiHidden/>
    <w:qFormat/>
    <w:uiPriority w:val="0"/>
    <w:pPr>
      <w:kinsoku w:val="0"/>
      <w:autoSpaceDE w:val="0"/>
      <w:autoSpaceDN w:val="0"/>
      <w:adjustRightInd w:val="0"/>
      <w:snapToGrid w:val="0"/>
      <w:textAlignment w:val="baseline"/>
    </w:pPr>
    <w:rPr>
      <w:rFonts w:ascii="宋体" w:hAnsi="宋体" w:eastAsia="宋体" w:cs="宋体"/>
      <w:snapToGrid w:val="0"/>
      <w:color w:val="000000"/>
      <w:sz w:val="24"/>
      <w:szCs w:val="24"/>
      <w:lang w:val="en-US" w:eastAsia="en-US" w:bidi="ar-SA"/>
    </w:rPr>
  </w:style>
  <w:style w:type="table" w:customStyle="1" w:styleId="135">
    <w:name w:val="Table Normal"/>
    <w:unhideWhenUsed/>
    <w:qFormat/>
    <w:uiPriority w:val="0"/>
    <w:rPr>
      <w:lang w:val="en-US" w:eastAsia="zh-CN" w:bidi="ar-SA"/>
    </w:rPr>
    <w:tblPr>
      <w:tblCellMar>
        <w:top w:w="0" w:type="dxa"/>
        <w:left w:w="0" w:type="dxa"/>
        <w:bottom w:w="0" w:type="dxa"/>
        <w:right w:w="0" w:type="dxa"/>
      </w:tblCellMar>
    </w:tblPr>
  </w:style>
  <w:style w:type="character" w:customStyle="1" w:styleId="136">
    <w:name w:val="first-child"/>
    <w:qFormat/>
    <w:uiPriority w:val="0"/>
  </w:style>
  <w:style w:type="character" w:customStyle="1" w:styleId="137">
    <w:name w:val="layui-this"/>
    <w:qFormat/>
    <w:uiPriority w:val="0"/>
    <w:rPr>
      <w:bdr w:val="single" w:color="EEEEEE" w:sz="6" w:space="0"/>
      <w:shd w:val="clear" w:color="auto" w:fill="FFFFFF"/>
    </w:rPr>
  </w:style>
  <w:style w:type="paragraph" w:customStyle="1" w:styleId="138">
    <w:name w:val="Body Text First Indent 2"/>
    <w:basedOn w:val="139"/>
    <w:qFormat/>
    <w:uiPriority w:val="0"/>
    <w:pPr>
      <w:ind w:firstLine="420" w:firstLineChars="200"/>
    </w:pPr>
    <w:rPr>
      <w:rFonts w:ascii="Times New Roman" w:hAnsi="Times New Roman" w:eastAsia="宋体" w:cs="Times New Roman"/>
      <w:szCs w:val="20"/>
    </w:rPr>
  </w:style>
  <w:style w:type="paragraph" w:customStyle="1" w:styleId="139">
    <w:name w:val="Body Text Indent"/>
    <w:basedOn w:val="1"/>
    <w:qFormat/>
    <w:uiPriority w:val="0"/>
    <w:pPr>
      <w:spacing w:after="120"/>
      <w:ind w:left="420" w:leftChars="200"/>
    </w:pPr>
    <w:rPr>
      <w:rFonts w:ascii="Times New Roman" w:hAnsi="Times New Roman" w:eastAsia="宋体" w:cs="Times New Roman"/>
      <w:szCs w:val="20"/>
    </w:rPr>
  </w:style>
  <w:style w:type="character" w:customStyle="1" w:styleId="140">
    <w:name w:val="lemmawgt-lemmatitle-title1"/>
    <w:basedOn w:val="38"/>
    <w:qFormat/>
    <w:uiPriority w:val="0"/>
  </w:style>
  <w:style w:type="character" w:customStyle="1" w:styleId="141">
    <w:name w:val="mini-outputtext1"/>
    <w:basedOn w:val="38"/>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80</Pages>
  <Words>172</Words>
  <Characters>202</Characters>
  <Lines>1</Lines>
  <Paragraphs>1</Paragraphs>
  <TotalTime>54</TotalTime>
  <ScaleCrop>false</ScaleCrop>
  <LinksUpToDate>false</LinksUpToDate>
  <CharactersWithSpaces>272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2020-12-29T09:31:00Z</dcterms:created>
  <dc:creator>陈倩倩</dc:creator>
  <cp:lastModifiedBy>代理</cp:lastModifiedBy>
  <cp:lastPrinted>2025-10-15T02:47:00Z</cp:lastPrinted>
  <dcterms:modified xsi:type="dcterms:W3CDTF">2026-09-10T09:37:46Z</dcterms:modified>
  <dc:title>滁州市人力资源和社会保障信息中心信息网络设备采购及安装项目</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3CABC968973A475E95F2051585E4A663_13</vt:lpwstr>
  </property>
  <property fmtid="{D5CDD505-2E9C-101B-9397-08002B2CF9AE}" pid="4" name="KSOTemplateDocerSaveRecord">
    <vt:lpwstr>eyJoZGlkIjoiOTc5MDNjMmIyODczM2YwMGZkZTNjYWY1NjIxZTY5YjciLCJ1c2VySWQiOiI1MDM3MjkwOTMifQ==</vt:lpwstr>
  </property>
</Properties>
</file>